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1A1D" w:rsidRPr="000655BF" w:rsidP="00703F5D" w14:paraId="3EA4494E" w14:textId="1A2DB716">
      <w:pPr>
        <w:pStyle w:val="Title"/>
        <w:spacing w:before="0" w:after="0"/>
        <w:outlineLvl w:val="9"/>
        <w:rPr>
          <w:rFonts w:ascii="Times New Roman" w:hAnsi="Times New Roman"/>
          <w:sz w:val="24"/>
          <w:szCs w:val="24"/>
        </w:rPr>
      </w:pPr>
      <w:bookmarkStart w:id="0" w:name="_Toc88277949"/>
      <w:bookmarkStart w:id="1" w:name="_Toc475008970"/>
      <w:r w:rsidRPr="000655BF">
        <w:rPr>
          <w:rFonts w:ascii="Times New Roman" w:hAnsi="Times New Roman"/>
          <w:sz w:val="24"/>
          <w:szCs w:val="24"/>
        </w:rPr>
        <w:t>Program Evaluation for Prevention Contract Evaluation Activities</w:t>
      </w:r>
    </w:p>
    <w:p w:rsidR="000655BF" w:rsidRPr="000655BF" w:rsidP="00703F5D" w14:paraId="6DCE3F85" w14:textId="77777777">
      <w:pPr>
        <w:rPr>
          <w:szCs w:val="24"/>
        </w:rPr>
      </w:pPr>
    </w:p>
    <w:p w:rsidR="001F1A1D" w:rsidP="00703F5D" w14:paraId="3F9D0CA1" w14:textId="2945AE4B">
      <w:pPr>
        <w:pStyle w:val="Title"/>
        <w:spacing w:before="0" w:after="0"/>
        <w:outlineLvl w:val="9"/>
        <w:rPr>
          <w:rFonts w:ascii="Times New Roman" w:hAnsi="Times New Roman"/>
          <w:sz w:val="24"/>
          <w:szCs w:val="24"/>
        </w:rPr>
      </w:pPr>
      <w:r w:rsidRPr="000655BF">
        <w:rPr>
          <w:rFonts w:ascii="Times New Roman" w:hAnsi="Times New Roman"/>
          <w:sz w:val="24"/>
          <w:szCs w:val="24"/>
        </w:rPr>
        <w:t>Supporting Statement</w:t>
      </w:r>
    </w:p>
    <w:p w:rsidR="0058280C" w:rsidP="0058280C" w14:paraId="29836CE0" w14:textId="77777777">
      <w:pPr>
        <w:spacing w:before="120"/>
        <w:rPr>
          <w:rFonts w:eastAsia="Cambria"/>
          <w:b/>
        </w:rPr>
      </w:pPr>
      <w:r>
        <w:rPr>
          <w:rFonts w:eastAsia="Cambria"/>
          <w:b/>
        </w:rPr>
        <w:t>Check off which applies:</w:t>
      </w:r>
    </w:p>
    <w:p w:rsidR="0058280C" w:rsidP="0058280C" w14:paraId="31F49169"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mbria"/>
        </w:rPr>
        <w:t xml:space="preserve"> New </w:t>
      </w:r>
    </w:p>
    <w:p w:rsidR="0058280C" w:rsidP="0058280C" w14:paraId="0E7B404A" w14:textId="12AF6978">
      <w:pPr>
        <w:rPr>
          <w:rFonts w:eastAsia="Cambria"/>
        </w:rPr>
      </w:pPr>
      <w:sdt>
        <w:sdtPr>
          <w:rPr>
            <w:rFonts w:eastAsia="Cambria"/>
          </w:rPr>
          <w:id w:val="-330531051"/>
          <w14:checkbox>
            <w14:checked w14:val="1"/>
            <w14:checkedState w14:val="2612" w14:font="MS Gothic"/>
            <w14:uncheckedState w14:val="2610" w14:font="MS Gothic"/>
          </w14:checkbox>
        </w:sdtPr>
        <w:sdtContent>
          <w:r w:rsidR="0062547E">
            <w:rPr>
              <w:rFonts w:ascii="MS Gothic" w:eastAsia="MS Gothic" w:hAnsi="MS Gothic" w:hint="eastAsia"/>
            </w:rPr>
            <w:t>☒</w:t>
          </w:r>
        </w:sdtContent>
      </w:sdt>
      <w:r>
        <w:rPr>
          <w:rFonts w:eastAsia="Cambria"/>
        </w:rPr>
        <w:t xml:space="preserve"> Revision </w:t>
      </w:r>
      <w:r>
        <w:rPr>
          <w:rFonts w:eastAsia="Cambria"/>
        </w:rPr>
        <w:tab/>
        <w:t xml:space="preserve"> </w:t>
      </w:r>
      <w:r>
        <w:rPr>
          <w:rFonts w:eastAsia="Cambria"/>
        </w:rPr>
        <w:tab/>
      </w:r>
      <w:r>
        <w:rPr>
          <w:rFonts w:eastAsia="Cambria"/>
        </w:rPr>
        <w:tab/>
      </w:r>
    </w:p>
    <w:p w:rsidR="0058280C" w:rsidP="0058280C" w14:paraId="295E13E0" w14:textId="62BDB6C6">
      <w:pPr>
        <w:rPr>
          <w:rFonts w:eastAsia="Cambria"/>
        </w:rPr>
      </w:pPr>
      <w:sdt>
        <w:sdtPr>
          <w:rPr>
            <w:rFonts w:eastAsia="Cambria"/>
          </w:rPr>
          <w:id w:val="-1627156151"/>
          <w14:checkbox>
            <w14:checked w14:val="0"/>
            <w14:checkedState w14:val="2612" w14:font="MS Gothic"/>
            <w14:uncheckedState w14:val="2610" w14:font="MS Gothic"/>
          </w14:checkbox>
        </w:sdtPr>
        <w:sdtContent>
          <w:r w:rsidR="0062547E">
            <w:rPr>
              <w:rFonts w:ascii="MS Gothic" w:eastAsia="MS Gothic" w:hAnsi="MS Gothic" w:hint="eastAsia"/>
            </w:rPr>
            <w:t>☐</w:t>
          </w:r>
        </w:sdtContent>
      </w:sdt>
      <w:r>
        <w:rPr>
          <w:rFonts w:eastAsia="Cambria"/>
        </w:rPr>
        <w:t xml:space="preserve"> Reinstatement with Change </w:t>
      </w:r>
    </w:p>
    <w:p w:rsidR="0058280C" w:rsidP="0058280C" w14:paraId="192D4CAC"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eastAsia="Cambria"/>
        </w:rPr>
        <w:t xml:space="preserve"> Reinstatement without Change </w:t>
      </w:r>
    </w:p>
    <w:p w:rsidR="0058280C" w:rsidP="0058280C" w14:paraId="79E32338"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Cambria"/>
        </w:rPr>
        <w:t xml:space="preserve"> Extension</w:t>
      </w:r>
    </w:p>
    <w:p w:rsidR="0058280C" w:rsidP="0058280C" w14:paraId="19CB1927"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eastAsia="Cambria"/>
        </w:rPr>
        <w:t xml:space="preserve"> Emergency</w:t>
      </w:r>
    </w:p>
    <w:p w:rsidR="0058280C" w:rsidP="0058280C" w14:paraId="1F909FBF"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eastAsia="Cambria"/>
        </w:rPr>
        <w:t xml:space="preserve"> Existing</w:t>
      </w:r>
    </w:p>
    <w:p w:rsidR="0058280C" w:rsidRPr="0058280C" w:rsidP="0058280C" w14:paraId="412BD1C1" w14:textId="77777777"/>
    <w:p w:rsidR="001F1A1D" w:rsidRPr="000655BF" w:rsidP="002A1583" w14:paraId="06FA476C" w14:textId="67E474BF">
      <w:pPr>
        <w:pStyle w:val="Heading1"/>
      </w:pPr>
      <w:r w:rsidRPr="000655BF">
        <w:t>A.</w:t>
      </w:r>
      <w:r w:rsidRPr="000655BF">
        <w:tab/>
        <w:t>Justification</w:t>
      </w:r>
      <w:bookmarkEnd w:id="0"/>
      <w:bookmarkEnd w:id="1"/>
    </w:p>
    <w:p w:rsidR="001F1A1D" w:rsidRPr="000655BF" w:rsidP="00F01ECF" w14:paraId="4A929FEC" w14:textId="77777777">
      <w:pPr>
        <w:pStyle w:val="Heading2"/>
      </w:pPr>
      <w:bookmarkStart w:id="2" w:name="_Toc88033459"/>
      <w:bookmarkStart w:id="3" w:name="_Toc88277950"/>
      <w:bookmarkStart w:id="4" w:name="_Toc475008971"/>
      <w:r w:rsidRPr="000655BF">
        <w:t>A.1</w:t>
      </w:r>
      <w:r w:rsidRPr="000655BF" w:rsidR="00B437D0">
        <w:t>.</w:t>
      </w:r>
      <w:r w:rsidRPr="000655BF">
        <w:tab/>
        <w:t xml:space="preserve">Circumstances </w:t>
      </w:r>
      <w:r w:rsidRPr="000655BF" w:rsidR="007742D5">
        <w:t xml:space="preserve">of Information </w:t>
      </w:r>
      <w:r w:rsidRPr="000655BF">
        <w:t>Collection</w:t>
      </w:r>
      <w:bookmarkEnd w:id="2"/>
      <w:bookmarkEnd w:id="3"/>
      <w:bookmarkEnd w:id="4"/>
    </w:p>
    <w:p w:rsidR="00071BF9" w:rsidRPr="000655BF" w14:paraId="760E0895" w14:textId="014473DF">
      <w:pPr>
        <w:pStyle w:val="BodyText"/>
        <w:rPr>
          <w:bCs/>
          <w:sz w:val="24"/>
          <w:szCs w:val="24"/>
        </w:rPr>
      </w:pPr>
      <w:r w:rsidRPr="000655BF">
        <w:rPr>
          <w:sz w:val="24"/>
          <w:szCs w:val="24"/>
        </w:rPr>
        <w:t>The Substance Abuse and Mental Health Services Administration’s (SAMHSA)</w:t>
      </w:r>
      <w:r w:rsidRPr="000655BF" w:rsidR="0077239B">
        <w:rPr>
          <w:sz w:val="24"/>
          <w:szCs w:val="24"/>
        </w:rPr>
        <w:t>,</w:t>
      </w:r>
      <w:r w:rsidRPr="000655BF">
        <w:rPr>
          <w:sz w:val="24"/>
          <w:szCs w:val="24"/>
        </w:rPr>
        <w:t xml:space="preserve"> Center for </w:t>
      </w:r>
      <w:r w:rsidR="005D18B8">
        <w:rPr>
          <w:sz w:val="24"/>
          <w:szCs w:val="24"/>
        </w:rPr>
        <w:t>Substance Abuse Prevention (CSAP)</w:t>
      </w:r>
      <w:r w:rsidRPr="000655BF" w:rsidR="0077239B">
        <w:rPr>
          <w:sz w:val="24"/>
          <w:szCs w:val="24"/>
        </w:rPr>
        <w:t xml:space="preserve"> </w:t>
      </w:r>
      <w:r w:rsidRPr="000655BF">
        <w:rPr>
          <w:sz w:val="24"/>
          <w:szCs w:val="24"/>
        </w:rPr>
        <w:t>is requesting approval from the Office</w:t>
      </w:r>
      <w:r w:rsidR="001839B3">
        <w:rPr>
          <w:sz w:val="24"/>
          <w:szCs w:val="24"/>
        </w:rPr>
        <w:t>.</w:t>
      </w:r>
      <w:r w:rsidRPr="000655BF">
        <w:rPr>
          <w:sz w:val="24"/>
          <w:szCs w:val="24"/>
        </w:rPr>
        <w:t xml:space="preserve"> of Management and Budget (OMB) for</w:t>
      </w:r>
      <w:r w:rsidR="00467F16">
        <w:rPr>
          <w:sz w:val="24"/>
          <w:szCs w:val="24"/>
        </w:rPr>
        <w:t xml:space="preserve"> a</w:t>
      </w:r>
      <w:r w:rsidR="007609ED">
        <w:rPr>
          <w:sz w:val="24"/>
          <w:szCs w:val="24"/>
        </w:rPr>
        <w:t xml:space="preserve"> </w:t>
      </w:r>
      <w:r w:rsidR="007D6F5C">
        <w:rPr>
          <w:sz w:val="24"/>
          <w:szCs w:val="24"/>
        </w:rPr>
        <w:t>re</w:t>
      </w:r>
      <w:r w:rsidR="0062547E">
        <w:rPr>
          <w:sz w:val="24"/>
          <w:szCs w:val="24"/>
        </w:rPr>
        <w:t>vision</w:t>
      </w:r>
      <w:r w:rsidR="007D6F5C">
        <w:rPr>
          <w:sz w:val="24"/>
          <w:szCs w:val="24"/>
        </w:rPr>
        <w:t xml:space="preserve"> of</w:t>
      </w:r>
      <w:r w:rsidRPr="000655BF">
        <w:rPr>
          <w:sz w:val="24"/>
          <w:szCs w:val="24"/>
        </w:rPr>
        <w:t xml:space="preserve"> </w:t>
      </w:r>
      <w:r w:rsidR="000655BF">
        <w:rPr>
          <w:sz w:val="24"/>
          <w:szCs w:val="24"/>
        </w:rPr>
        <w:t xml:space="preserve">the </w:t>
      </w:r>
      <w:r w:rsidRPr="000655BF">
        <w:rPr>
          <w:sz w:val="24"/>
          <w:szCs w:val="24"/>
        </w:rPr>
        <w:t xml:space="preserve">data collection activities related to the cross-site evaluation of </w:t>
      </w:r>
      <w:r w:rsidRPr="000655BF">
        <w:rPr>
          <w:bCs/>
          <w:sz w:val="24"/>
          <w:szCs w:val="24"/>
        </w:rPr>
        <w:t>SAMHSA’s Strategic Prevention Framework for Prescription Drugs (SPF</w:t>
      </w:r>
      <w:r w:rsidR="00F01ECF">
        <w:rPr>
          <w:bCs/>
          <w:sz w:val="24"/>
          <w:szCs w:val="24"/>
        </w:rPr>
        <w:t xml:space="preserve"> </w:t>
      </w:r>
      <w:r w:rsidRPr="000655BF">
        <w:rPr>
          <w:bCs/>
          <w:sz w:val="24"/>
          <w:szCs w:val="24"/>
        </w:rPr>
        <w:t xml:space="preserve">Rx) </w:t>
      </w:r>
      <w:r w:rsidR="001B2BAF">
        <w:rPr>
          <w:bCs/>
          <w:sz w:val="24"/>
          <w:szCs w:val="24"/>
        </w:rPr>
        <w:t xml:space="preserve">for the </w:t>
      </w:r>
      <w:r w:rsidR="00F578CF">
        <w:rPr>
          <w:bCs/>
          <w:sz w:val="24"/>
          <w:szCs w:val="24"/>
        </w:rPr>
        <w:t>FY</w:t>
      </w:r>
      <w:r w:rsidR="001B2BAF">
        <w:rPr>
          <w:bCs/>
          <w:sz w:val="24"/>
          <w:szCs w:val="24"/>
        </w:rPr>
        <w:t xml:space="preserve"> </w:t>
      </w:r>
      <w:r w:rsidR="00F578CF">
        <w:rPr>
          <w:bCs/>
          <w:sz w:val="24"/>
          <w:szCs w:val="24"/>
        </w:rPr>
        <w:t>2021</w:t>
      </w:r>
      <w:r w:rsidR="00D56449">
        <w:rPr>
          <w:bCs/>
          <w:sz w:val="24"/>
          <w:szCs w:val="24"/>
        </w:rPr>
        <w:t xml:space="preserve"> and FY</w:t>
      </w:r>
      <w:r w:rsidR="001B2BAF">
        <w:rPr>
          <w:bCs/>
          <w:sz w:val="24"/>
          <w:szCs w:val="24"/>
        </w:rPr>
        <w:t xml:space="preserve"> </w:t>
      </w:r>
      <w:r w:rsidR="00D56449">
        <w:rPr>
          <w:bCs/>
          <w:sz w:val="24"/>
          <w:szCs w:val="24"/>
        </w:rPr>
        <w:t>2022</w:t>
      </w:r>
      <w:r w:rsidR="00F578CF">
        <w:rPr>
          <w:bCs/>
          <w:sz w:val="24"/>
          <w:szCs w:val="24"/>
        </w:rPr>
        <w:t xml:space="preserve"> cohort</w:t>
      </w:r>
      <w:r w:rsidR="001E41DC">
        <w:rPr>
          <w:bCs/>
          <w:sz w:val="24"/>
          <w:szCs w:val="24"/>
        </w:rPr>
        <w:t>s</w:t>
      </w:r>
      <w:r w:rsidRPr="000655BF" w:rsidR="00FC400D">
        <w:rPr>
          <w:bCs/>
          <w:sz w:val="24"/>
          <w:szCs w:val="24"/>
        </w:rPr>
        <w:t xml:space="preserve">. </w:t>
      </w:r>
      <w:r w:rsidR="00467F16">
        <w:rPr>
          <w:bCs/>
          <w:sz w:val="24"/>
          <w:szCs w:val="24"/>
        </w:rPr>
        <w:t xml:space="preserve">The SPF Rx (OMB No. 0930-0377) expiration date is </w:t>
      </w:r>
      <w:r w:rsidR="00D56449">
        <w:rPr>
          <w:bCs/>
          <w:sz w:val="24"/>
          <w:szCs w:val="24"/>
        </w:rPr>
        <w:t>December 31, 2025.</w:t>
      </w:r>
      <w:r w:rsidR="00467F16">
        <w:rPr>
          <w:bCs/>
          <w:sz w:val="24"/>
          <w:szCs w:val="24"/>
        </w:rPr>
        <w:t xml:space="preserve"> </w:t>
      </w:r>
      <w:r w:rsidRPr="000655BF" w:rsidR="00FC400D">
        <w:rPr>
          <w:sz w:val="24"/>
          <w:szCs w:val="24"/>
        </w:rPr>
        <w:t>SAM</w:t>
      </w:r>
      <w:r w:rsidRPr="000655BF" w:rsidR="00627A6F">
        <w:rPr>
          <w:sz w:val="24"/>
          <w:szCs w:val="24"/>
        </w:rPr>
        <w:t>H</w:t>
      </w:r>
      <w:r w:rsidRPr="000655BF" w:rsidR="00FC400D">
        <w:rPr>
          <w:sz w:val="24"/>
          <w:szCs w:val="24"/>
        </w:rPr>
        <w:t xml:space="preserve">SA </w:t>
      </w:r>
      <w:r w:rsidRPr="000655BF" w:rsidR="001C34FB">
        <w:rPr>
          <w:sz w:val="24"/>
          <w:szCs w:val="24"/>
        </w:rPr>
        <w:t>f</w:t>
      </w:r>
      <w:r w:rsidRPr="000655BF" w:rsidR="00FC400D">
        <w:rPr>
          <w:sz w:val="24"/>
          <w:szCs w:val="24"/>
        </w:rPr>
        <w:t>und</w:t>
      </w:r>
      <w:r w:rsidRPr="000655BF" w:rsidR="00300B53">
        <w:rPr>
          <w:sz w:val="24"/>
          <w:szCs w:val="24"/>
        </w:rPr>
        <w:t>s</w:t>
      </w:r>
      <w:r w:rsidRPr="000655BF" w:rsidR="00FC400D">
        <w:rPr>
          <w:sz w:val="24"/>
          <w:szCs w:val="24"/>
        </w:rPr>
        <w:t xml:space="preserve"> the </w:t>
      </w:r>
      <w:bookmarkStart w:id="5" w:name="_Hlk95746566"/>
      <w:r w:rsidRPr="000655BF" w:rsidR="00FC400D">
        <w:rPr>
          <w:sz w:val="24"/>
          <w:szCs w:val="24"/>
        </w:rPr>
        <w:t>Program Evaluation for Prevention Contract (PEPC), which supports the cross-site evaluation activities for SPF</w:t>
      </w:r>
      <w:r w:rsidR="00D00AE7">
        <w:rPr>
          <w:sz w:val="24"/>
          <w:szCs w:val="24"/>
        </w:rPr>
        <w:t xml:space="preserve"> </w:t>
      </w:r>
      <w:r w:rsidRPr="000655BF" w:rsidR="00FC400D">
        <w:rPr>
          <w:sz w:val="24"/>
          <w:szCs w:val="24"/>
        </w:rPr>
        <w:t>Rx</w:t>
      </w:r>
      <w:r w:rsidRPr="000655BF">
        <w:rPr>
          <w:bCs/>
          <w:sz w:val="24"/>
          <w:szCs w:val="24"/>
        </w:rPr>
        <w:t>.</w:t>
      </w:r>
      <w:r w:rsidRPr="000655BF" w:rsidR="00FC400D">
        <w:rPr>
          <w:bCs/>
          <w:sz w:val="24"/>
          <w:szCs w:val="24"/>
        </w:rPr>
        <w:t xml:space="preserve"> </w:t>
      </w:r>
    </w:p>
    <w:bookmarkEnd w:id="5"/>
    <w:p w:rsidR="001F1A1D" w:rsidRPr="000655BF" w14:paraId="6AC1487C" w14:textId="61444A21">
      <w:pPr>
        <w:pStyle w:val="BodyText"/>
        <w:rPr>
          <w:sz w:val="24"/>
          <w:szCs w:val="24"/>
        </w:rPr>
      </w:pPr>
      <w:r>
        <w:rPr>
          <w:bCs/>
          <w:sz w:val="24"/>
          <w:szCs w:val="24"/>
        </w:rPr>
        <w:t>A summary of t</w:t>
      </w:r>
      <w:r w:rsidRPr="000655BF">
        <w:rPr>
          <w:bCs/>
          <w:sz w:val="24"/>
          <w:szCs w:val="24"/>
        </w:rPr>
        <w:t xml:space="preserve">he </w:t>
      </w:r>
      <w:r w:rsidRPr="000655BF" w:rsidR="004F0E2A">
        <w:rPr>
          <w:bCs/>
          <w:sz w:val="24"/>
          <w:szCs w:val="24"/>
        </w:rPr>
        <w:t>grant program</w:t>
      </w:r>
      <w:r w:rsidRPr="000655BF" w:rsidR="00DB6297">
        <w:rPr>
          <w:bCs/>
          <w:sz w:val="24"/>
          <w:szCs w:val="24"/>
        </w:rPr>
        <w:t xml:space="preserve"> </w:t>
      </w:r>
      <w:r>
        <w:rPr>
          <w:bCs/>
          <w:sz w:val="24"/>
          <w:szCs w:val="24"/>
        </w:rPr>
        <w:t>follows</w:t>
      </w:r>
      <w:r w:rsidRPr="000655BF" w:rsidR="004F0E2A">
        <w:rPr>
          <w:bCs/>
          <w:sz w:val="24"/>
          <w:szCs w:val="24"/>
        </w:rPr>
        <w:t>.</w:t>
      </w:r>
    </w:p>
    <w:p w:rsidR="00895B71" w14:paraId="0A0F38D6" w14:textId="095B3C64">
      <w:pPr>
        <w:pStyle w:val="BodyText"/>
        <w:numPr>
          <w:ilvl w:val="0"/>
          <w:numId w:val="17"/>
        </w:numPr>
        <w:rPr>
          <w:sz w:val="24"/>
          <w:szCs w:val="24"/>
        </w:rPr>
      </w:pPr>
      <w:r w:rsidRPr="000655BF">
        <w:rPr>
          <w:sz w:val="24"/>
          <w:szCs w:val="24"/>
        </w:rPr>
        <w:t xml:space="preserve">The </w:t>
      </w:r>
      <w:r w:rsidR="00D00AE7">
        <w:rPr>
          <w:sz w:val="24"/>
          <w:szCs w:val="24"/>
        </w:rPr>
        <w:t>SPF Rx</w:t>
      </w:r>
      <w:r w:rsidRPr="000655BF">
        <w:rPr>
          <w:sz w:val="24"/>
          <w:szCs w:val="24"/>
        </w:rPr>
        <w:t xml:space="preserve"> </w:t>
      </w:r>
      <w:r w:rsidRPr="000655BF" w:rsidR="00BD2AB0">
        <w:rPr>
          <w:sz w:val="24"/>
          <w:szCs w:val="24"/>
        </w:rPr>
        <w:t xml:space="preserve">grant </w:t>
      </w:r>
      <w:r w:rsidRPr="000655BF">
        <w:rPr>
          <w:sz w:val="24"/>
          <w:szCs w:val="24"/>
        </w:rPr>
        <w:t>program is designed to address nonmedical use of prescription drugs as well as opioid overdoses by raising awareness about the dangers of sharing medications and by working with pharmaceutical and medical communities</w:t>
      </w:r>
      <w:r w:rsidRPr="000655BF" w:rsidR="00543127">
        <w:rPr>
          <w:sz w:val="24"/>
          <w:szCs w:val="24"/>
        </w:rPr>
        <w:t xml:space="preserve"> on the risks of overprescribing</w:t>
      </w:r>
      <w:r w:rsidRPr="00D147AD">
        <w:rPr>
          <w:sz w:val="24"/>
          <w:szCs w:val="24"/>
        </w:rPr>
        <w:t xml:space="preserve">. </w:t>
      </w:r>
      <w:r>
        <w:rPr>
          <w:sz w:val="24"/>
          <w:szCs w:val="24"/>
        </w:rPr>
        <w:t>S</w:t>
      </w:r>
      <w:r w:rsidRPr="00895B71">
        <w:rPr>
          <w:sz w:val="24"/>
          <w:szCs w:val="24"/>
        </w:rPr>
        <w:t xml:space="preserve">PF Rx program </w:t>
      </w:r>
      <w:r>
        <w:rPr>
          <w:sz w:val="24"/>
          <w:szCs w:val="24"/>
        </w:rPr>
        <w:t xml:space="preserve">grantees </w:t>
      </w:r>
      <w:r w:rsidRPr="00895B71">
        <w:rPr>
          <w:sz w:val="24"/>
          <w:szCs w:val="24"/>
        </w:rPr>
        <w:t xml:space="preserve">also raise community awareness and bring </w:t>
      </w:r>
      <w:r w:rsidRPr="00895B71" w:rsidR="00F53AB3">
        <w:rPr>
          <w:sz w:val="24"/>
          <w:szCs w:val="24"/>
        </w:rPr>
        <w:t>activities</w:t>
      </w:r>
      <w:r w:rsidR="00F53AB3">
        <w:rPr>
          <w:sz w:val="24"/>
          <w:szCs w:val="24"/>
        </w:rPr>
        <w:t xml:space="preserve"> </w:t>
      </w:r>
      <w:r w:rsidR="007F11C7">
        <w:rPr>
          <w:sz w:val="24"/>
          <w:szCs w:val="24"/>
        </w:rPr>
        <w:t xml:space="preserve">related to </w:t>
      </w:r>
      <w:r w:rsidRPr="00895B71">
        <w:rPr>
          <w:sz w:val="24"/>
          <w:szCs w:val="24"/>
        </w:rPr>
        <w:t>prescription drug abuse prevention and education to schools, communities, parents, prescribers, and their patients. SAMHSA</w:t>
      </w:r>
      <w:r>
        <w:rPr>
          <w:sz w:val="24"/>
          <w:szCs w:val="24"/>
        </w:rPr>
        <w:t xml:space="preserve"> plans to</w:t>
      </w:r>
      <w:r w:rsidRPr="00895B71">
        <w:rPr>
          <w:sz w:val="24"/>
          <w:szCs w:val="24"/>
        </w:rPr>
        <w:t xml:space="preserve"> track reductions in opioid overdoses and the incorporation of Prescription Drug Monitoring Program (PDMP) data into needs assessments and strategic plans as indicators of the program’s success.  </w:t>
      </w:r>
    </w:p>
    <w:p w:rsidR="00290773" w14:paraId="4D9C3BCA" w14:textId="44263F46">
      <w:pPr>
        <w:pStyle w:val="BodyText"/>
        <w:numPr>
          <w:ilvl w:val="0"/>
          <w:numId w:val="17"/>
        </w:numPr>
        <w:rPr>
          <w:sz w:val="24"/>
          <w:szCs w:val="24"/>
        </w:rPr>
      </w:pPr>
      <w:r w:rsidRPr="00525FDE">
        <w:rPr>
          <w:sz w:val="24"/>
          <w:szCs w:val="24"/>
        </w:rPr>
        <w:t>At the end of FY 20</w:t>
      </w:r>
      <w:r w:rsidRPr="00525FDE" w:rsidR="003F1D06">
        <w:rPr>
          <w:sz w:val="24"/>
          <w:szCs w:val="24"/>
        </w:rPr>
        <w:t>21</w:t>
      </w:r>
      <w:r w:rsidRPr="00D147AD" w:rsidR="004F0E2A">
        <w:rPr>
          <w:sz w:val="24"/>
          <w:szCs w:val="24"/>
        </w:rPr>
        <w:t xml:space="preserve">, SAMHSA awarded the </w:t>
      </w:r>
      <w:r w:rsidR="00F53AB3">
        <w:rPr>
          <w:sz w:val="24"/>
          <w:szCs w:val="24"/>
        </w:rPr>
        <w:t>five</w:t>
      </w:r>
      <w:r w:rsidRPr="00D147AD" w:rsidR="004F0E2A">
        <w:rPr>
          <w:sz w:val="24"/>
          <w:szCs w:val="24"/>
        </w:rPr>
        <w:t xml:space="preserve">-year </w:t>
      </w:r>
      <w:r w:rsidR="00D00AE7">
        <w:rPr>
          <w:sz w:val="24"/>
          <w:szCs w:val="24"/>
        </w:rPr>
        <w:t>SPF Rx</w:t>
      </w:r>
      <w:r w:rsidRPr="00D147AD" w:rsidR="004F0E2A">
        <w:rPr>
          <w:sz w:val="24"/>
          <w:szCs w:val="24"/>
        </w:rPr>
        <w:t xml:space="preserve"> grant to </w:t>
      </w:r>
      <w:r w:rsidR="001200BD">
        <w:rPr>
          <w:sz w:val="24"/>
          <w:szCs w:val="24"/>
        </w:rPr>
        <w:t>18</w:t>
      </w:r>
      <w:r w:rsidRPr="00525FDE" w:rsidR="004F0E2A">
        <w:rPr>
          <w:sz w:val="24"/>
          <w:szCs w:val="24"/>
        </w:rPr>
        <w:t xml:space="preserve"> states</w:t>
      </w:r>
      <w:r w:rsidRPr="00525FDE" w:rsidR="002F5275">
        <w:rPr>
          <w:sz w:val="24"/>
          <w:szCs w:val="24"/>
        </w:rPr>
        <w:t xml:space="preserve"> and </w:t>
      </w:r>
      <w:r w:rsidR="00432809">
        <w:rPr>
          <w:sz w:val="24"/>
          <w:szCs w:val="24"/>
        </w:rPr>
        <w:t>3</w:t>
      </w:r>
      <w:r w:rsidRPr="00525FDE" w:rsidR="00432809">
        <w:rPr>
          <w:sz w:val="24"/>
          <w:szCs w:val="24"/>
        </w:rPr>
        <w:t xml:space="preserve"> </w:t>
      </w:r>
      <w:r w:rsidRPr="00525FDE" w:rsidR="004F0E2A">
        <w:rPr>
          <w:sz w:val="24"/>
          <w:szCs w:val="24"/>
        </w:rPr>
        <w:t>tribal organizations</w:t>
      </w:r>
      <w:r w:rsidR="00525FDE">
        <w:rPr>
          <w:sz w:val="24"/>
          <w:szCs w:val="24"/>
        </w:rPr>
        <w:t>. These grantees identified 105 subrecipient community partners in their grant applications</w:t>
      </w:r>
      <w:r w:rsidR="009B18FB">
        <w:rPr>
          <w:sz w:val="24"/>
          <w:szCs w:val="24"/>
        </w:rPr>
        <w:t xml:space="preserve">. </w:t>
      </w:r>
      <w:r>
        <w:rPr>
          <w:sz w:val="24"/>
          <w:szCs w:val="24"/>
        </w:rPr>
        <w:t>This cohort</w:t>
      </w:r>
      <w:r w:rsidR="000C0F1C">
        <w:rPr>
          <w:sz w:val="24"/>
          <w:szCs w:val="24"/>
        </w:rPr>
        <w:t>, funded through FY 2026,</w:t>
      </w:r>
      <w:r>
        <w:rPr>
          <w:sz w:val="24"/>
          <w:szCs w:val="24"/>
        </w:rPr>
        <w:t xml:space="preserve"> focus</w:t>
      </w:r>
      <w:r w:rsidR="00432809">
        <w:rPr>
          <w:sz w:val="24"/>
          <w:szCs w:val="24"/>
        </w:rPr>
        <w:t>e</w:t>
      </w:r>
      <w:r w:rsidR="000C0F1C">
        <w:rPr>
          <w:sz w:val="24"/>
          <w:szCs w:val="24"/>
        </w:rPr>
        <w:t>s</w:t>
      </w:r>
      <w:r>
        <w:rPr>
          <w:sz w:val="24"/>
          <w:szCs w:val="24"/>
        </w:rPr>
        <w:t xml:space="preserve"> on the dangers of sharing medications; the risks of overprescribing, especially to young adults; community awareness and education; and incorporation of PDMP data into </w:t>
      </w:r>
      <w:r w:rsidR="000C0F1C">
        <w:rPr>
          <w:sz w:val="24"/>
          <w:szCs w:val="24"/>
        </w:rPr>
        <w:t xml:space="preserve">grantees’ </w:t>
      </w:r>
      <w:r>
        <w:rPr>
          <w:sz w:val="24"/>
          <w:szCs w:val="24"/>
        </w:rPr>
        <w:t>needs assessments and strategic plans.</w:t>
      </w:r>
    </w:p>
    <w:p w:rsidR="00417320" w14:paraId="7594CDE6" w14:textId="6EE58939">
      <w:pPr>
        <w:pStyle w:val="BodyText"/>
        <w:numPr>
          <w:ilvl w:val="0"/>
          <w:numId w:val="17"/>
        </w:numPr>
        <w:rPr>
          <w:sz w:val="24"/>
          <w:szCs w:val="24"/>
        </w:rPr>
      </w:pPr>
      <w:r>
        <w:rPr>
          <w:sz w:val="24"/>
          <w:szCs w:val="24"/>
        </w:rPr>
        <w:t xml:space="preserve">In FY 2022, SAMHSA added a cohort of </w:t>
      </w:r>
      <w:r w:rsidR="00F53AB3">
        <w:rPr>
          <w:sz w:val="24"/>
          <w:szCs w:val="24"/>
        </w:rPr>
        <w:t>six</w:t>
      </w:r>
      <w:r>
        <w:rPr>
          <w:sz w:val="24"/>
          <w:szCs w:val="24"/>
        </w:rPr>
        <w:t xml:space="preserve"> grantees</w:t>
      </w:r>
      <w:r w:rsidR="000C0F1C">
        <w:rPr>
          <w:sz w:val="24"/>
          <w:szCs w:val="24"/>
        </w:rPr>
        <w:t>, funded through FY 2027</w:t>
      </w:r>
      <w:r w:rsidR="007E458F">
        <w:rPr>
          <w:sz w:val="24"/>
          <w:szCs w:val="24"/>
        </w:rPr>
        <w:t>. T</w:t>
      </w:r>
      <w:r w:rsidR="00172632">
        <w:rPr>
          <w:sz w:val="24"/>
          <w:szCs w:val="24"/>
        </w:rPr>
        <w:t>his cohort focus</w:t>
      </w:r>
      <w:r w:rsidR="007E458F">
        <w:rPr>
          <w:sz w:val="24"/>
          <w:szCs w:val="24"/>
        </w:rPr>
        <w:t>ed</w:t>
      </w:r>
      <w:r w:rsidR="00172632">
        <w:rPr>
          <w:sz w:val="24"/>
          <w:szCs w:val="24"/>
        </w:rPr>
        <w:t xml:space="preserve"> on raising awareness about the risks of sharing medications, taking fake or counterfeit pills, and overprescribing.</w:t>
      </w:r>
    </w:p>
    <w:p w:rsidR="00DC0F52" w14:paraId="1084E41D" w14:textId="2127D45C">
      <w:pPr>
        <w:pStyle w:val="BodyText"/>
        <w:numPr>
          <w:ilvl w:val="0"/>
          <w:numId w:val="17"/>
        </w:numPr>
        <w:rPr>
          <w:sz w:val="24"/>
          <w:szCs w:val="24"/>
        </w:rPr>
      </w:pPr>
      <w:r>
        <w:rPr>
          <w:sz w:val="24"/>
          <w:szCs w:val="24"/>
        </w:rPr>
        <w:t xml:space="preserve">At the time of this submission, it is anticipated that SAMHSA may award grants to a FY 2027 cohort; we may include members of this FY 2027 cohort in the cross-site evaluation. </w:t>
      </w:r>
    </w:p>
    <w:p w:rsidR="00BB0DFA" w:rsidP="00BB0DFA" w14:paraId="23B8E067" w14:textId="0C4B133E">
      <w:pPr>
        <w:pStyle w:val="BodyText"/>
        <w:numPr>
          <w:ilvl w:val="0"/>
          <w:numId w:val="17"/>
        </w:numPr>
        <w:rPr>
          <w:sz w:val="24"/>
          <w:szCs w:val="24"/>
        </w:rPr>
      </w:pPr>
      <w:r w:rsidRPr="00525FDE">
        <w:rPr>
          <w:sz w:val="24"/>
          <w:szCs w:val="24"/>
        </w:rPr>
        <w:t xml:space="preserve">The </w:t>
      </w:r>
      <w:r w:rsidR="006910A4">
        <w:rPr>
          <w:sz w:val="24"/>
          <w:szCs w:val="24"/>
        </w:rPr>
        <w:t>cross-site SPF Rx</w:t>
      </w:r>
      <w:r w:rsidRPr="00525FDE" w:rsidR="006910A4">
        <w:rPr>
          <w:sz w:val="24"/>
          <w:szCs w:val="24"/>
        </w:rPr>
        <w:t xml:space="preserve"> </w:t>
      </w:r>
      <w:r w:rsidR="00172632">
        <w:rPr>
          <w:sz w:val="24"/>
          <w:szCs w:val="24"/>
        </w:rPr>
        <w:t xml:space="preserve">PEPC </w:t>
      </w:r>
      <w:r w:rsidRPr="00525FDE">
        <w:rPr>
          <w:sz w:val="24"/>
          <w:szCs w:val="24"/>
        </w:rPr>
        <w:t xml:space="preserve">evaluation </w:t>
      </w:r>
      <w:r w:rsidRPr="00D147AD" w:rsidR="00D147AD">
        <w:rPr>
          <w:sz w:val="24"/>
          <w:szCs w:val="24"/>
        </w:rPr>
        <w:t>consists</w:t>
      </w:r>
      <w:r w:rsidR="00D147AD">
        <w:rPr>
          <w:sz w:val="24"/>
          <w:szCs w:val="24"/>
        </w:rPr>
        <w:t xml:space="preserve"> of three interrelated components</w:t>
      </w:r>
      <w:r w:rsidR="00172632">
        <w:rPr>
          <w:sz w:val="24"/>
          <w:szCs w:val="24"/>
        </w:rPr>
        <w:t xml:space="preserve"> guided by the SPF</w:t>
      </w:r>
      <w:r w:rsidR="00D147AD">
        <w:rPr>
          <w:sz w:val="24"/>
          <w:szCs w:val="24"/>
        </w:rPr>
        <w:t xml:space="preserve">: </w:t>
      </w:r>
      <w:r w:rsidR="00130518">
        <w:rPr>
          <w:sz w:val="24"/>
          <w:szCs w:val="24"/>
        </w:rPr>
        <w:t>(</w:t>
      </w:r>
      <w:r w:rsidR="00D147AD">
        <w:rPr>
          <w:sz w:val="24"/>
          <w:szCs w:val="24"/>
        </w:rPr>
        <w:t xml:space="preserve">1) performance monitoring, </w:t>
      </w:r>
      <w:r w:rsidR="00130518">
        <w:rPr>
          <w:sz w:val="24"/>
          <w:szCs w:val="24"/>
        </w:rPr>
        <w:t>(</w:t>
      </w:r>
      <w:r w:rsidR="00D147AD">
        <w:rPr>
          <w:sz w:val="24"/>
          <w:szCs w:val="24"/>
        </w:rPr>
        <w:t xml:space="preserve">2) process evaluation, and </w:t>
      </w:r>
      <w:r w:rsidR="00130518">
        <w:rPr>
          <w:sz w:val="24"/>
          <w:szCs w:val="24"/>
        </w:rPr>
        <w:t>(</w:t>
      </w:r>
      <w:r w:rsidR="00D147AD">
        <w:rPr>
          <w:sz w:val="24"/>
          <w:szCs w:val="24"/>
        </w:rPr>
        <w:t>3) an outcome evaluation</w:t>
      </w:r>
      <w:r w:rsidRPr="000655BF">
        <w:rPr>
          <w:sz w:val="24"/>
          <w:szCs w:val="24"/>
        </w:rPr>
        <w:t>.</w:t>
      </w:r>
    </w:p>
    <w:p w:rsidR="00BB0DFA" w:rsidRPr="000655BF" w:rsidP="005736E9" w14:paraId="25BDCD95" w14:textId="4D754BC3">
      <w:pPr>
        <w:pStyle w:val="BodyText"/>
        <w:rPr>
          <w:bCs/>
          <w:sz w:val="24"/>
          <w:szCs w:val="24"/>
        </w:rPr>
      </w:pPr>
      <w:r w:rsidRPr="000655BF">
        <w:rPr>
          <w:bCs/>
          <w:sz w:val="24"/>
          <w:szCs w:val="24"/>
        </w:rPr>
        <w:t>SAMHSA requests approval for the data collection tools</w:t>
      </w:r>
      <w:r>
        <w:rPr>
          <w:bCs/>
          <w:sz w:val="24"/>
          <w:szCs w:val="24"/>
        </w:rPr>
        <w:t xml:space="preserve"> in Exhibit 1</w:t>
      </w:r>
      <w:r w:rsidR="007F11C7">
        <w:rPr>
          <w:bCs/>
          <w:sz w:val="24"/>
          <w:szCs w:val="24"/>
        </w:rPr>
        <w:t>.</w:t>
      </w:r>
    </w:p>
    <w:p w:rsidR="00BB0DFA" w:rsidRPr="000655BF" w:rsidP="005736E9" w14:paraId="7D849DF9" w14:textId="77777777">
      <w:pPr>
        <w:pStyle w:val="Caption"/>
        <w:spacing w:after="0"/>
        <w:rPr>
          <w:rFonts w:cs="Times New Roman"/>
          <w:sz w:val="24"/>
          <w:szCs w:val="24"/>
        </w:rPr>
      </w:pPr>
      <w:r w:rsidRPr="000655BF">
        <w:rPr>
          <w:rFonts w:cs="Times New Roman"/>
          <w:sz w:val="24"/>
          <w:szCs w:val="24"/>
        </w:rPr>
        <w:t>Exhibit 1. Data Collection Tools</w:t>
      </w:r>
    </w:p>
    <w:p w:rsidR="00BB0DFA" w:rsidRPr="00BB0DFA" w:rsidP="005736E9" w14:paraId="63AD5948" w14:textId="77777777">
      <w:pPr>
        <w:pStyle w:val="ListParagraph"/>
        <w:rPr>
          <w:szCs w:val="24"/>
          <w:lang w:eastAsia="en-US"/>
        </w:rPr>
      </w:pPr>
    </w:p>
    <w:tbl>
      <w:tblPr>
        <w:tblW w:w="9076" w:type="dxa"/>
        <w:tblInd w:w="-5" w:type="dxa"/>
        <w:tblLayout w:type="fixed"/>
        <w:tblCellMar>
          <w:left w:w="10" w:type="dxa"/>
          <w:right w:w="10" w:type="dxa"/>
        </w:tblCellMar>
        <w:tblLook w:val="04A0"/>
      </w:tblPr>
      <w:tblGrid>
        <w:gridCol w:w="5940"/>
        <w:gridCol w:w="1710"/>
        <w:gridCol w:w="1426"/>
      </w:tblGrid>
      <w:tr w14:paraId="0701EC3C" w14:textId="77777777">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108" w:type="dxa"/>
              <w:bottom w:w="0" w:type="dxa"/>
              <w:right w:w="108" w:type="dxa"/>
            </w:tcMar>
          </w:tcPr>
          <w:p w:rsidR="00BB0DFA" w:rsidRPr="000655BF" w14:paraId="0C471ADE" w14:textId="77777777">
            <w:pPr>
              <w:pStyle w:val="Tablebullet"/>
              <w:numPr>
                <w:ilvl w:val="0"/>
                <w:numId w:val="0"/>
              </w:numPr>
              <w:ind w:left="72"/>
              <w:jc w:val="center"/>
              <w:rPr>
                <w:rFonts w:ascii="Times New Roman" w:hAnsi="Times New Roman" w:cs="Times New Roman"/>
                <w:b/>
                <w:sz w:val="24"/>
                <w:szCs w:val="24"/>
              </w:rPr>
            </w:pPr>
            <w:r>
              <w:rPr>
                <w:rFonts w:ascii="Times New Roman" w:hAnsi="Times New Roman" w:cs="Times New Roman"/>
                <w:b/>
                <w:sz w:val="24"/>
                <w:szCs w:val="24"/>
              </w:rPr>
              <w:t>Instrument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B0DFA" w:rsidRPr="000655BF" w14:paraId="1EDE65DB" w14:textId="77777777">
            <w:pPr>
              <w:pStyle w:val="Tablebullet"/>
              <w:numPr>
                <w:ilvl w:val="0"/>
                <w:numId w:val="0"/>
              </w:numPr>
              <w:ind w:left="-12"/>
              <w:jc w:val="center"/>
              <w:rPr>
                <w:rFonts w:ascii="Times New Roman" w:hAnsi="Times New Roman" w:cs="Times New Roman"/>
                <w:b/>
                <w:sz w:val="24"/>
                <w:szCs w:val="24"/>
              </w:rPr>
            </w:pPr>
            <w:r w:rsidRPr="000655BF">
              <w:rPr>
                <w:rFonts w:ascii="Times New Roman" w:hAnsi="Times New Roman" w:cs="Times New Roman"/>
                <w:b/>
                <w:sz w:val="24"/>
                <w:szCs w:val="24"/>
              </w:rPr>
              <w:t>OMB Request</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rsidR="00BB0DFA" w:rsidRPr="000655BF" w14:paraId="54F646AB" w14:textId="77777777">
            <w:pPr>
              <w:pStyle w:val="Tablebullet"/>
              <w:numPr>
                <w:ilvl w:val="0"/>
                <w:numId w:val="0"/>
              </w:numPr>
              <w:ind w:left="-6"/>
              <w:jc w:val="center"/>
              <w:rPr>
                <w:rFonts w:ascii="Times New Roman" w:hAnsi="Times New Roman" w:cs="Times New Roman"/>
                <w:b/>
                <w:sz w:val="24"/>
                <w:szCs w:val="24"/>
              </w:rPr>
            </w:pPr>
            <w:r>
              <w:rPr>
                <w:rFonts w:ascii="Times New Roman" w:hAnsi="Times New Roman" w:cs="Times New Roman"/>
                <w:b/>
                <w:sz w:val="24"/>
                <w:szCs w:val="24"/>
              </w:rPr>
              <w:t>Attachment</w:t>
            </w:r>
          </w:p>
        </w:tc>
      </w:tr>
      <w:tr w14:paraId="20CC5C4F" w14:textId="77777777">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B0DFA" w:rsidRPr="000655BF" w14:paraId="6FD072AA" w14:textId="2C533502">
            <w:pPr>
              <w:pStyle w:val="Tablebullet"/>
              <w:numPr>
                <w:ilvl w:val="0"/>
                <w:numId w:val="0"/>
              </w:numPr>
              <w:spacing w:line="240" w:lineRule="auto"/>
              <w:ind w:left="72"/>
              <w:rPr>
                <w:rFonts w:ascii="Times New Roman" w:hAnsi="Times New Roman" w:cs="Times New Roman"/>
                <w:sz w:val="24"/>
                <w:szCs w:val="24"/>
              </w:rPr>
            </w:pPr>
            <w:r w:rsidRPr="1E6DD8C4">
              <w:rPr>
                <w:rFonts w:ascii="Times New Roman" w:hAnsi="Times New Roman" w:cs="Times New Roman"/>
                <w:sz w:val="24"/>
                <w:szCs w:val="24"/>
              </w:rPr>
              <w:t>Annual Reporting Tool (</w:t>
            </w:r>
            <w:r w:rsidR="000126EF">
              <w:rPr>
                <w:rFonts w:ascii="Times New Roman" w:hAnsi="Times New Roman" w:cs="Times New Roman"/>
                <w:sz w:val="24"/>
                <w:szCs w:val="24"/>
              </w:rPr>
              <w:t xml:space="preserve">ART; </w:t>
            </w:r>
            <w:r w:rsidRPr="1E6DD8C4">
              <w:rPr>
                <w:rFonts w:ascii="Times New Roman" w:hAnsi="Times New Roman" w:cs="Times New Roman"/>
                <w:sz w:val="24"/>
                <w:szCs w:val="24"/>
              </w:rPr>
              <w:t>survey instrumen</w:t>
            </w:r>
            <w:r w:rsidR="000126EF">
              <w:rPr>
                <w:rFonts w:ascii="Times New Roman" w:hAnsi="Times New Roman" w:cs="Times New Roman"/>
                <w:sz w:val="24"/>
                <w:szCs w:val="24"/>
              </w:rPr>
              <w:t>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2ACBDECB" w14:textId="09FDCEF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 xml:space="preserve">Major </w:t>
            </w:r>
            <w:r w:rsidR="007F11C7">
              <w:rPr>
                <w:rFonts w:ascii="Times New Roman" w:hAnsi="Times New Roman" w:cs="Times New Roman"/>
                <w:sz w:val="24"/>
                <w:szCs w:val="24"/>
              </w:rPr>
              <w:t>r</w:t>
            </w:r>
            <w:r w:rsidRPr="000655BF">
              <w:rPr>
                <w:rFonts w:ascii="Times New Roman" w:hAnsi="Times New Roman" w:cs="Times New Roman"/>
                <w:sz w:val="24"/>
                <w:szCs w:val="24"/>
              </w:rPr>
              <w:t>evision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6A2ECF1C" w14:textId="7777777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1</w:t>
            </w:r>
          </w:p>
        </w:tc>
      </w:tr>
      <w:tr w14:paraId="5DF6E66C" w14:textId="77777777">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B0DFA" w:rsidRPr="000655BF" w14:paraId="5AFE1532" w14:textId="77777777">
            <w:pPr>
              <w:pStyle w:val="Tablebullet"/>
              <w:numPr>
                <w:ilvl w:val="0"/>
                <w:numId w:val="0"/>
              </w:numPr>
              <w:spacing w:line="240" w:lineRule="auto"/>
              <w:ind w:left="72"/>
              <w:rPr>
                <w:rFonts w:ascii="Times New Roman" w:hAnsi="Times New Roman" w:cs="Times New Roman"/>
                <w:sz w:val="24"/>
                <w:szCs w:val="24"/>
              </w:rPr>
            </w:pPr>
            <w:r w:rsidRPr="000655BF">
              <w:rPr>
                <w:rFonts w:ascii="Times New Roman" w:hAnsi="Times New Roman" w:cs="Times New Roman"/>
                <w:sz w:val="24"/>
                <w:szCs w:val="24"/>
              </w:rPr>
              <w:t xml:space="preserve">Grantee-Level </w:t>
            </w:r>
            <w:r>
              <w:rPr>
                <w:rFonts w:ascii="Times New Roman" w:hAnsi="Times New Roman" w:cs="Times New Roman"/>
                <w:sz w:val="24"/>
                <w:szCs w:val="24"/>
              </w:rPr>
              <w:t xml:space="preserve">Prescription Drug Monitoring Program (PDMP) </w:t>
            </w:r>
            <w:r w:rsidRPr="000655BF">
              <w:rPr>
                <w:rFonts w:ascii="Times New Roman" w:hAnsi="Times New Roman" w:cs="Times New Roman"/>
                <w:sz w:val="24"/>
                <w:szCs w:val="24"/>
              </w:rPr>
              <w:t>Outcomes Module (secondary data collection instrument)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607FF87A" w14:textId="7777777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No change</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286C4DF1" w14:textId="7777777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2</w:t>
            </w:r>
          </w:p>
        </w:tc>
      </w:tr>
      <w:tr w14:paraId="5E96E856" w14:textId="77777777">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B0DFA" w:rsidRPr="000655BF" w14:paraId="63F2AF33" w14:textId="77777777">
            <w:pPr>
              <w:pStyle w:val="Tablebullet"/>
              <w:numPr>
                <w:ilvl w:val="0"/>
                <w:numId w:val="0"/>
              </w:numPr>
              <w:spacing w:line="240" w:lineRule="auto"/>
              <w:ind w:left="72"/>
              <w:rPr>
                <w:rFonts w:ascii="Times New Roman" w:hAnsi="Times New Roman" w:cs="Times New Roman"/>
                <w:sz w:val="24"/>
                <w:szCs w:val="24"/>
              </w:rPr>
            </w:pPr>
            <w:r w:rsidRPr="000655BF">
              <w:rPr>
                <w:rFonts w:ascii="Times New Roman" w:hAnsi="Times New Roman" w:cs="Times New Roman"/>
                <w:sz w:val="24"/>
                <w:szCs w:val="24"/>
              </w:rPr>
              <w:t xml:space="preserve">Community-Level </w:t>
            </w:r>
            <w:r>
              <w:rPr>
                <w:rFonts w:ascii="Times New Roman" w:hAnsi="Times New Roman" w:cs="Times New Roman"/>
                <w:sz w:val="24"/>
                <w:szCs w:val="24"/>
              </w:rPr>
              <w:t xml:space="preserve">PDMP </w:t>
            </w:r>
            <w:r w:rsidRPr="000655BF">
              <w:rPr>
                <w:rFonts w:ascii="Times New Roman" w:hAnsi="Times New Roman" w:cs="Times New Roman"/>
                <w:sz w:val="24"/>
                <w:szCs w:val="24"/>
              </w:rPr>
              <w:t>Outcomes Module (secondary data collection instrument)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70381BEE" w14:textId="7777777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No change</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33946296" w14:textId="7777777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3</w:t>
            </w:r>
          </w:p>
        </w:tc>
      </w:tr>
      <w:tr w14:paraId="6E4DC792" w14:textId="77777777">
        <w:tblPrEx>
          <w:tblW w:w="9076" w:type="dxa"/>
          <w:tblInd w:w="-5" w:type="dxa"/>
          <w:tblLayout w:type="fixed"/>
          <w:tblCellMar>
            <w:left w:w="10" w:type="dxa"/>
            <w:right w:w="10" w:type="dxa"/>
          </w:tblCellMar>
          <w:tblLook w:val="04A0"/>
        </w:tblPrEx>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B0DFA" w:rsidRPr="000655BF" w14:paraId="5E5C0EE5" w14:textId="77777777">
            <w:pPr>
              <w:pStyle w:val="Tablebullet"/>
              <w:numPr>
                <w:ilvl w:val="0"/>
                <w:numId w:val="0"/>
              </w:numPr>
              <w:spacing w:line="240" w:lineRule="auto"/>
              <w:ind w:left="72"/>
              <w:rPr>
                <w:rFonts w:ascii="Times New Roman" w:hAnsi="Times New Roman" w:cs="Times New Roman"/>
                <w:sz w:val="24"/>
                <w:szCs w:val="24"/>
              </w:rPr>
            </w:pPr>
            <w:r w:rsidRPr="000655BF">
              <w:rPr>
                <w:rFonts w:ascii="Times New Roman" w:hAnsi="Times New Roman" w:cs="Times New Roman"/>
                <w:sz w:val="24"/>
                <w:szCs w:val="24"/>
              </w:rPr>
              <w:t>Grantee-Level Interview (</w:t>
            </w:r>
            <w:r>
              <w:rPr>
                <w:rFonts w:ascii="Times New Roman" w:hAnsi="Times New Roman" w:cs="Times New Roman"/>
                <w:sz w:val="24"/>
                <w:szCs w:val="24"/>
              </w:rPr>
              <w:t>interview protocol</w:t>
            </w:r>
            <w:r w:rsidRPr="000655BF">
              <w:rPr>
                <w:rFonts w:ascii="Times New Roman" w:hAnsi="Times New Roman" w:cs="Times New Roman"/>
                <w:sz w:val="24"/>
                <w:szCs w:val="24"/>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0CB4575D" w14:textId="46728994">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 xml:space="preserve">Major </w:t>
            </w:r>
            <w:r w:rsidR="007F11C7">
              <w:rPr>
                <w:rFonts w:ascii="Times New Roman" w:hAnsi="Times New Roman" w:cs="Times New Roman"/>
                <w:sz w:val="24"/>
                <w:szCs w:val="24"/>
              </w:rPr>
              <w:t>r</w:t>
            </w:r>
            <w:r w:rsidRPr="000655BF">
              <w:rPr>
                <w:rFonts w:ascii="Times New Roman" w:hAnsi="Times New Roman" w:cs="Times New Roman"/>
                <w:sz w:val="24"/>
                <w:szCs w:val="24"/>
              </w:rPr>
              <w:t>evision</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DFA" w:rsidRPr="000655BF" w14:paraId="7D883B09" w14:textId="77777777">
            <w:pPr>
              <w:pStyle w:val="Tablebullet"/>
              <w:numPr>
                <w:ilvl w:val="0"/>
                <w:numId w:val="0"/>
              </w:numPr>
              <w:spacing w:line="240" w:lineRule="auto"/>
              <w:ind w:left="158"/>
              <w:jc w:val="center"/>
              <w:rPr>
                <w:rFonts w:ascii="Times New Roman" w:hAnsi="Times New Roman" w:cs="Times New Roman"/>
                <w:sz w:val="24"/>
                <w:szCs w:val="24"/>
              </w:rPr>
            </w:pPr>
            <w:r>
              <w:rPr>
                <w:rFonts w:ascii="Times New Roman" w:hAnsi="Times New Roman" w:cs="Times New Roman"/>
                <w:sz w:val="24"/>
                <w:szCs w:val="24"/>
              </w:rPr>
              <w:t>4</w:t>
            </w:r>
          </w:p>
        </w:tc>
      </w:tr>
    </w:tbl>
    <w:p w:rsidR="00BB0DFA" w:rsidRPr="00BB0DFA" w:rsidP="005736E9" w14:paraId="1AE8562B" w14:textId="77777777">
      <w:pPr>
        <w:pStyle w:val="BodyText"/>
        <w:rPr>
          <w:sz w:val="24"/>
          <w:szCs w:val="24"/>
        </w:rPr>
      </w:pPr>
    </w:p>
    <w:p w:rsidR="001F1A1D" w:rsidRPr="000655BF" w:rsidP="00895B71" w14:paraId="20F17469" w14:textId="2D2D2F4C">
      <w:pPr>
        <w:pStyle w:val="Heading2"/>
      </w:pPr>
      <w:r>
        <w:t>A.1.</w:t>
      </w:r>
      <w:r w:rsidR="004F0E2A">
        <w:t xml:space="preserve">a. Statement of </w:t>
      </w:r>
      <w:r w:rsidR="00B437D0">
        <w:t>N</w:t>
      </w:r>
      <w:r w:rsidR="004F0E2A">
        <w:t xml:space="preserve">eed for </w:t>
      </w:r>
      <w:r w:rsidR="006D46B3">
        <w:t xml:space="preserve">the SPF Rx </w:t>
      </w:r>
      <w:r w:rsidR="004F0E2A">
        <w:t xml:space="preserve">Program </w:t>
      </w:r>
      <w:r w:rsidR="006D46B3">
        <w:t xml:space="preserve">and its </w:t>
      </w:r>
      <w:r w:rsidR="00D00AE7">
        <w:t>PEPC</w:t>
      </w:r>
      <w:r w:rsidR="00656F85">
        <w:t xml:space="preserve"> </w:t>
      </w:r>
      <w:r w:rsidR="004F0E2A">
        <w:t>Evaluation Activities</w:t>
      </w:r>
      <w:r w:rsidR="00495182">
        <w:t xml:space="preserve"> </w:t>
      </w:r>
    </w:p>
    <w:p w:rsidR="00A75C43" w:rsidP="00A75C43" w14:paraId="666A29AC" w14:textId="0A5B8BDA">
      <w:pPr>
        <w:rPr>
          <w:szCs w:val="24"/>
        </w:rPr>
      </w:pPr>
      <w:r>
        <w:rPr>
          <w:szCs w:val="24"/>
        </w:rPr>
        <w:t>Substance misuse, and</w:t>
      </w:r>
      <w:r w:rsidR="007F11C7">
        <w:rPr>
          <w:szCs w:val="24"/>
        </w:rPr>
        <w:t>,</w:t>
      </w:r>
      <w:r>
        <w:rPr>
          <w:szCs w:val="24"/>
        </w:rPr>
        <w:t xml:space="preserve"> in particular</w:t>
      </w:r>
      <w:r w:rsidR="007F11C7">
        <w:rPr>
          <w:szCs w:val="24"/>
        </w:rPr>
        <w:t>,</w:t>
      </w:r>
      <w:r>
        <w:rPr>
          <w:szCs w:val="24"/>
        </w:rPr>
        <w:t xml:space="preserve"> overdose deaths linked to fake and counterfeit prescription pills, presents a</w:t>
      </w:r>
      <w:r w:rsidRPr="000655BF">
        <w:rPr>
          <w:szCs w:val="24"/>
        </w:rPr>
        <w:t xml:space="preserve"> significant public health issue in the United States. SAMHSA’s most recent National Survey on Drug Use and Health</w:t>
      </w:r>
      <w:r w:rsidRPr="001C48D2">
        <w:rPr>
          <w:szCs w:val="24"/>
        </w:rPr>
        <w:t xml:space="preserve"> </w:t>
      </w:r>
      <w:r w:rsidRPr="00174EC8">
        <w:rPr>
          <w:szCs w:val="24"/>
        </w:rPr>
        <w:t xml:space="preserve">estimated that </w:t>
      </w:r>
      <w:r>
        <w:rPr>
          <w:szCs w:val="24"/>
        </w:rPr>
        <w:t xml:space="preserve">11.5% </w:t>
      </w:r>
      <w:r w:rsidRPr="00174EC8">
        <w:rPr>
          <w:szCs w:val="24"/>
        </w:rPr>
        <w:t>of respondents reported misuse of prescription pain relievers in the past year</w:t>
      </w:r>
      <w:r>
        <w:rPr>
          <w:szCs w:val="24"/>
        </w:rPr>
        <w:t>,</w:t>
      </w:r>
      <w:r>
        <w:rPr>
          <w:rStyle w:val="FootnoteReference"/>
          <w:szCs w:val="24"/>
        </w:rPr>
        <w:footnoteReference w:id="3"/>
      </w:r>
      <w:r>
        <w:rPr>
          <w:szCs w:val="24"/>
        </w:rPr>
        <w:t xml:space="preserve"> up from 3.3% in 2020</w:t>
      </w:r>
      <w:r w:rsidR="00EC0561">
        <w:rPr>
          <w:szCs w:val="24"/>
        </w:rPr>
        <w:t>.</w:t>
      </w:r>
      <w:r>
        <w:rPr>
          <w:rStyle w:val="FootnoteReference"/>
          <w:szCs w:val="24"/>
        </w:rPr>
        <w:footnoteReference w:id="4"/>
      </w:r>
      <w:r>
        <w:rPr>
          <w:szCs w:val="24"/>
        </w:rPr>
        <w:t xml:space="preserve"> Overdose deaths linked to counterfeit pill use nationwide more than doubled in the period from July</w:t>
      </w:r>
      <w:r w:rsidR="007F11C7">
        <w:rPr>
          <w:szCs w:val="24"/>
        </w:rPr>
        <w:t>–</w:t>
      </w:r>
      <w:r>
        <w:rPr>
          <w:szCs w:val="24"/>
        </w:rPr>
        <w:t>September 2019 to October</w:t>
      </w:r>
      <w:r w:rsidR="007F11C7">
        <w:rPr>
          <w:szCs w:val="24"/>
        </w:rPr>
        <w:t>–</w:t>
      </w:r>
      <w:r>
        <w:rPr>
          <w:szCs w:val="24"/>
        </w:rPr>
        <w:t xml:space="preserve">December 2021, and </w:t>
      </w:r>
      <w:r w:rsidR="007F11C7">
        <w:rPr>
          <w:szCs w:val="24"/>
        </w:rPr>
        <w:t xml:space="preserve">it </w:t>
      </w:r>
      <w:r>
        <w:rPr>
          <w:szCs w:val="24"/>
        </w:rPr>
        <w:t>increased even more dramatically in western U.S. states, with younger populations overrepresented in such deaths</w:t>
      </w:r>
      <w:r w:rsidR="00DE67DE">
        <w:rPr>
          <w:szCs w:val="24"/>
        </w:rPr>
        <w:t>.</w:t>
      </w:r>
      <w:r>
        <w:rPr>
          <w:rStyle w:val="FootnoteReference"/>
          <w:szCs w:val="24"/>
        </w:rPr>
        <w:footnoteReference w:id="5"/>
      </w:r>
      <w:r>
        <w:rPr>
          <w:szCs w:val="24"/>
        </w:rPr>
        <w:t xml:space="preserve"> </w:t>
      </w:r>
      <w:r w:rsidRPr="000655BF">
        <w:rPr>
          <w:szCs w:val="24"/>
        </w:rPr>
        <w:t>In response to th</w:t>
      </w:r>
      <w:r>
        <w:rPr>
          <w:szCs w:val="24"/>
        </w:rPr>
        <w:t>is</w:t>
      </w:r>
      <w:r w:rsidRPr="000655BF">
        <w:rPr>
          <w:szCs w:val="24"/>
        </w:rPr>
        <w:t xml:space="preserve"> cris</w:t>
      </w:r>
      <w:r>
        <w:rPr>
          <w:szCs w:val="24"/>
        </w:rPr>
        <w:t>i</w:t>
      </w:r>
      <w:r w:rsidRPr="000655BF">
        <w:rPr>
          <w:szCs w:val="24"/>
        </w:rPr>
        <w:t xml:space="preserve">s, the </w:t>
      </w:r>
      <w:r>
        <w:rPr>
          <w:szCs w:val="24"/>
        </w:rPr>
        <w:t>SPF Rx</w:t>
      </w:r>
      <w:r w:rsidRPr="000655BF">
        <w:rPr>
          <w:szCs w:val="24"/>
        </w:rPr>
        <w:t xml:space="preserve"> grant </w:t>
      </w:r>
      <w:r w:rsidRPr="000655BF">
        <w:rPr>
          <w:szCs w:val="24"/>
        </w:rPr>
        <w:t>program seeks to provide infrastructure for states, tribal entities, and their subrecipients to address issues of prescription drug misuse.</w:t>
      </w:r>
    </w:p>
    <w:p w:rsidR="00637D32" w:rsidRPr="000655BF" w:rsidP="00A75C43" w14:paraId="70047DB1" w14:textId="69E810E0">
      <w:pPr>
        <w:rPr>
          <w:szCs w:val="24"/>
        </w:rPr>
      </w:pPr>
    </w:p>
    <w:p w:rsidR="00C137B3" w:rsidRPr="000655BF" w:rsidP="003F5A31" w14:paraId="52E28426" w14:textId="3C1CF0A1">
      <w:r>
        <w:t>SPF Rx</w:t>
      </w:r>
      <w:r w:rsidR="002A5F43">
        <w:t xml:space="preserve"> g</w:t>
      </w:r>
      <w:r w:rsidR="004F0E2A">
        <w:t xml:space="preserve">rantees use SAMHSA’s </w:t>
      </w:r>
      <w:r w:rsidR="00543127">
        <w:t>Strategic Prevention Framework</w:t>
      </w:r>
      <w:r w:rsidR="004F0E2A">
        <w:t xml:space="preserve"> to plan, implement, and evaluate their prevention projects. The </w:t>
      </w:r>
      <w:r w:rsidR="00BA3808">
        <w:t>framework</w:t>
      </w:r>
      <w:r w:rsidR="004F0E2A">
        <w:t>, which comprises five steps</w:t>
      </w:r>
      <w:r>
        <w:rPr>
          <w:rStyle w:val="FootnoteReference"/>
        </w:rPr>
        <w:footnoteReference w:id="6"/>
      </w:r>
      <w:r w:rsidRPr="1E6DD8C4" w:rsidR="1E6DD8C4">
        <w:rPr>
          <w:rFonts w:eastAsia="Times New Roman"/>
          <w:szCs w:val="24"/>
        </w:rPr>
        <w:t xml:space="preserve">, </w:t>
      </w:r>
      <w:r w:rsidR="004F0E2A">
        <w:t xml:space="preserve">provides a comprehensive process for focusing communities’ prevention initiatives on the most pressing needs and priority substance use and related health problems. </w:t>
      </w:r>
      <w:r w:rsidRPr="000655BF" w:rsidR="004F0E2A">
        <w:rPr>
          <w:szCs w:val="24"/>
        </w:rPr>
        <w:t>Use of the SPF ensures that prevention efforts are data</w:t>
      </w:r>
      <w:r w:rsidR="00BA3808">
        <w:rPr>
          <w:szCs w:val="24"/>
        </w:rPr>
        <w:t xml:space="preserve"> </w:t>
      </w:r>
      <w:r w:rsidRPr="000655BF" w:rsidR="004F0E2A">
        <w:rPr>
          <w:szCs w:val="24"/>
        </w:rPr>
        <w:t>driven, dynamic (</w:t>
      </w:r>
      <w:r w:rsidR="00BA3808">
        <w:rPr>
          <w:szCs w:val="24"/>
        </w:rPr>
        <w:t>that is</w:t>
      </w:r>
      <w:r w:rsidRPr="000655BF" w:rsidR="004F0E2A">
        <w:rPr>
          <w:szCs w:val="24"/>
        </w:rPr>
        <w:t>, involve continuous needs assessment and adjustment of prevention strategies, as needed), engage state</w:t>
      </w:r>
      <w:r w:rsidRPr="000655BF" w:rsidR="0085350A">
        <w:rPr>
          <w:szCs w:val="24"/>
        </w:rPr>
        <w:t xml:space="preserve">, </w:t>
      </w:r>
      <w:r w:rsidRPr="000655BF" w:rsidR="004F0E2A">
        <w:rPr>
          <w:szCs w:val="24"/>
        </w:rPr>
        <w:t>tribal</w:t>
      </w:r>
      <w:r w:rsidRPr="000655BF" w:rsidR="0085350A">
        <w:rPr>
          <w:szCs w:val="24"/>
        </w:rPr>
        <w:t>,</w:t>
      </w:r>
      <w:r w:rsidRPr="000655BF" w:rsidR="004F0E2A">
        <w:rPr>
          <w:szCs w:val="24"/>
        </w:rPr>
        <w:t xml:space="preserve"> and community partners, and focus on population-level change. The </w:t>
      </w:r>
      <w:r>
        <w:rPr>
          <w:szCs w:val="24"/>
        </w:rPr>
        <w:t>SPF Rx</w:t>
      </w:r>
      <w:r w:rsidRPr="000655BF" w:rsidR="004F0E2A">
        <w:rPr>
          <w:szCs w:val="24"/>
        </w:rPr>
        <w:t xml:space="preserve"> program </w:t>
      </w:r>
      <w:r w:rsidRPr="000655BF" w:rsidR="00DB6297">
        <w:rPr>
          <w:szCs w:val="24"/>
        </w:rPr>
        <w:t xml:space="preserve">has </w:t>
      </w:r>
      <w:r w:rsidRPr="000655BF" w:rsidR="004F0E2A">
        <w:rPr>
          <w:szCs w:val="24"/>
        </w:rPr>
        <w:t>several important requirements</w:t>
      </w:r>
      <w:r w:rsidR="00130518">
        <w:rPr>
          <w:szCs w:val="24"/>
        </w:rPr>
        <w:t>,</w:t>
      </w:r>
      <w:r w:rsidR="002A5F43">
        <w:rPr>
          <w:szCs w:val="24"/>
        </w:rPr>
        <w:t xml:space="preserve"> including that</w:t>
      </w:r>
      <w:r w:rsidRPr="000655BF" w:rsidR="004F0E2A">
        <w:rPr>
          <w:szCs w:val="24"/>
        </w:rPr>
        <w:t xml:space="preserve"> grantees must work collaboratively with other </w:t>
      </w:r>
      <w:r w:rsidRPr="000655BF" w:rsidR="004F0E2A">
        <w:rPr>
          <w:szCs w:val="24"/>
        </w:rPr>
        <w:t>state</w:t>
      </w:r>
      <w:r w:rsidRPr="000655BF" w:rsidR="0085350A">
        <w:rPr>
          <w:szCs w:val="24"/>
        </w:rPr>
        <w:t xml:space="preserve">, </w:t>
      </w:r>
      <w:r w:rsidRPr="000655BF" w:rsidR="004F0E2A">
        <w:rPr>
          <w:szCs w:val="24"/>
        </w:rPr>
        <w:t>tribal</w:t>
      </w:r>
      <w:r w:rsidRPr="000655BF" w:rsidR="0085350A">
        <w:rPr>
          <w:szCs w:val="24"/>
        </w:rPr>
        <w:t>,</w:t>
      </w:r>
      <w:r w:rsidRPr="000655BF" w:rsidR="004F0E2A">
        <w:rPr>
          <w:szCs w:val="24"/>
        </w:rPr>
        <w:t xml:space="preserve"> and community stakeholders</w:t>
      </w:r>
      <w:r w:rsidRPr="000655BF" w:rsidR="005E2875">
        <w:rPr>
          <w:szCs w:val="24"/>
        </w:rPr>
        <w:t xml:space="preserve"> (</w:t>
      </w:r>
      <w:r w:rsidRPr="000655BF" w:rsidR="004F0E2A">
        <w:rPr>
          <w:szCs w:val="24"/>
        </w:rPr>
        <w:t xml:space="preserve">schools; businesses; law enforcement; pharmaceutical and medical communities; </w:t>
      </w:r>
      <w:r w:rsidR="00BA3808">
        <w:rPr>
          <w:szCs w:val="24"/>
        </w:rPr>
        <w:t xml:space="preserve">and </w:t>
      </w:r>
      <w:r w:rsidRPr="000655BF" w:rsidR="004F0E2A">
        <w:rPr>
          <w:szCs w:val="24"/>
        </w:rPr>
        <w:t>youth, young adults, and other community members</w:t>
      </w:r>
      <w:r w:rsidR="00130518">
        <w:rPr>
          <w:szCs w:val="24"/>
        </w:rPr>
        <w:t>,</w:t>
      </w:r>
      <w:r w:rsidRPr="000655BF" w:rsidR="004F0E2A">
        <w:rPr>
          <w:szCs w:val="24"/>
        </w:rPr>
        <w:t xml:space="preserve"> including parents</w:t>
      </w:r>
      <w:r w:rsidRPr="000655BF" w:rsidR="005E2875">
        <w:rPr>
          <w:szCs w:val="24"/>
        </w:rPr>
        <w:t xml:space="preserve">) </w:t>
      </w:r>
      <w:r w:rsidRPr="000655BF" w:rsidR="004F0E2A">
        <w:rPr>
          <w:szCs w:val="24"/>
        </w:rPr>
        <w:t xml:space="preserve">to achieve their objectives. </w:t>
      </w:r>
      <w:r w:rsidRPr="000655BF" w:rsidR="00741166">
        <w:rPr>
          <w:szCs w:val="24"/>
        </w:rPr>
        <w:t xml:space="preserve">Most, though not all, </w:t>
      </w:r>
      <w:r w:rsidRPr="000655BF" w:rsidR="004F7010">
        <w:rPr>
          <w:szCs w:val="24"/>
        </w:rPr>
        <w:t xml:space="preserve">grantees choose to fund subrecipient </w:t>
      </w:r>
      <w:r w:rsidR="00AE13C4">
        <w:rPr>
          <w:szCs w:val="24"/>
        </w:rPr>
        <w:t xml:space="preserve">community partner </w:t>
      </w:r>
      <w:r w:rsidRPr="000655BF" w:rsidR="004F7010">
        <w:rPr>
          <w:szCs w:val="24"/>
        </w:rPr>
        <w:t>organizations to implement interventions at the community</w:t>
      </w:r>
      <w:r w:rsidRPr="000655BF" w:rsidR="00081B20">
        <w:rPr>
          <w:szCs w:val="24"/>
        </w:rPr>
        <w:t xml:space="preserve"> </w:t>
      </w:r>
      <w:r w:rsidRPr="000655BF" w:rsidR="004F7010">
        <w:rPr>
          <w:szCs w:val="24"/>
        </w:rPr>
        <w:t xml:space="preserve">level. </w:t>
      </w:r>
      <w:r w:rsidRPr="000655BF" w:rsidR="004F0E2A">
        <w:rPr>
          <w:szCs w:val="24"/>
        </w:rPr>
        <w:t xml:space="preserve">Grantees must also design and implement their own local evaluations and participate in </w:t>
      </w:r>
      <w:r w:rsidRPr="000655BF" w:rsidR="00DF5966">
        <w:rPr>
          <w:szCs w:val="24"/>
        </w:rPr>
        <w:t>SAMHSA’s</w:t>
      </w:r>
      <w:r w:rsidRPr="000655BF" w:rsidR="004F0E2A">
        <w:rPr>
          <w:szCs w:val="24"/>
        </w:rPr>
        <w:t xml:space="preserve"> cross</w:t>
      </w:r>
      <w:r w:rsidRPr="000655BF" w:rsidR="005E2875">
        <w:rPr>
          <w:szCs w:val="24"/>
        </w:rPr>
        <w:t>-</w:t>
      </w:r>
      <w:r w:rsidRPr="000655BF" w:rsidR="004F0E2A">
        <w:rPr>
          <w:szCs w:val="24"/>
        </w:rPr>
        <w:t>site evaluation.</w:t>
      </w:r>
      <w:bookmarkStart w:id="6" w:name="_Hlk95746967"/>
    </w:p>
    <w:bookmarkEnd w:id="6"/>
    <w:p w:rsidR="001F1A1D" w:rsidRPr="000655BF" w:rsidP="00895B71" w14:paraId="56F48689" w14:textId="56579EE1">
      <w:pPr>
        <w:pStyle w:val="Heading2"/>
      </w:pPr>
      <w:r w:rsidRPr="000655BF">
        <w:t>A.1.</w:t>
      </w:r>
      <w:r w:rsidRPr="000655BF" w:rsidR="004F0E2A">
        <w:t>b. Overview o</w:t>
      </w:r>
      <w:r w:rsidR="004651C0">
        <w:t>f</w:t>
      </w:r>
      <w:r w:rsidRPr="000655BF" w:rsidR="004F0E2A">
        <w:t xml:space="preserve"> Study Design and Evaluation Questions</w:t>
      </w:r>
    </w:p>
    <w:p w:rsidR="00C86BAB" w:rsidP="00C86BAB" w14:paraId="15026BF4" w14:textId="071FA2E6">
      <w:pPr>
        <w:rPr>
          <w:szCs w:val="24"/>
        </w:rPr>
      </w:pPr>
      <w:r w:rsidRPr="1E6DD8C4">
        <w:rPr>
          <w:szCs w:val="24"/>
        </w:rPr>
        <w:t>The theory of change guiding the SPF Rx program is that well planned and implemented prevention efforts at the community and grantee levels will result in population-level change. This includes reduced prescription drug misuse and continued enhancements to state,</w:t>
      </w:r>
      <w:r>
        <w:rPr>
          <w:szCs w:val="24"/>
        </w:rPr>
        <w:t xml:space="preserve"> territory,</w:t>
      </w:r>
      <w:r w:rsidRPr="1E6DD8C4">
        <w:rPr>
          <w:szCs w:val="24"/>
        </w:rPr>
        <w:t xml:space="preserve"> tribal, and community prevention systems. </w:t>
      </w:r>
      <w:r w:rsidRPr="00C86BAB">
        <w:rPr>
          <w:szCs w:val="24"/>
        </w:rPr>
        <w:t xml:space="preserve"> </w:t>
      </w:r>
    </w:p>
    <w:p w:rsidR="00C86BAB" w:rsidP="00C86BAB" w14:paraId="54DD1428" w14:textId="77777777">
      <w:pPr>
        <w:rPr>
          <w:szCs w:val="24"/>
        </w:rPr>
      </w:pPr>
    </w:p>
    <w:p w:rsidR="00C86BAB" w:rsidRPr="002622F7" w:rsidP="00C86BAB" w14:paraId="22BA1BC7" w14:textId="2570798D">
      <w:r w:rsidRPr="000655BF">
        <w:rPr>
          <w:szCs w:val="24"/>
        </w:rPr>
        <w:t xml:space="preserve">The </w:t>
      </w:r>
      <w:r>
        <w:rPr>
          <w:szCs w:val="24"/>
        </w:rPr>
        <w:t>PEPC cross-site</w:t>
      </w:r>
      <w:r w:rsidRPr="000655BF">
        <w:rPr>
          <w:szCs w:val="24"/>
        </w:rPr>
        <w:t xml:space="preserve"> evaluation will assist SAMHSA to </w:t>
      </w:r>
      <w:r>
        <w:rPr>
          <w:szCs w:val="24"/>
        </w:rPr>
        <w:t xml:space="preserve">(1) </w:t>
      </w:r>
      <w:r w:rsidRPr="000655BF">
        <w:rPr>
          <w:szCs w:val="24"/>
        </w:rPr>
        <w:t xml:space="preserve">better understand </w:t>
      </w:r>
      <w:r>
        <w:rPr>
          <w:szCs w:val="24"/>
        </w:rPr>
        <w:t>how</w:t>
      </w:r>
      <w:r w:rsidRPr="000655BF">
        <w:rPr>
          <w:szCs w:val="24"/>
        </w:rPr>
        <w:t xml:space="preserve"> </w:t>
      </w:r>
      <w:r>
        <w:rPr>
          <w:szCs w:val="24"/>
        </w:rPr>
        <w:t>SPF Rx</w:t>
      </w:r>
      <w:r w:rsidRPr="000655BF">
        <w:rPr>
          <w:szCs w:val="24"/>
        </w:rPr>
        <w:t xml:space="preserve"> </w:t>
      </w:r>
      <w:r>
        <w:rPr>
          <w:szCs w:val="24"/>
        </w:rPr>
        <w:t>grantees</w:t>
      </w:r>
      <w:r w:rsidRPr="000655BF">
        <w:rPr>
          <w:szCs w:val="24"/>
        </w:rPr>
        <w:t xml:space="preserve"> </w:t>
      </w:r>
      <w:r>
        <w:rPr>
          <w:szCs w:val="24"/>
        </w:rPr>
        <w:t>use the</w:t>
      </w:r>
      <w:r w:rsidR="00BA3808">
        <w:rPr>
          <w:szCs w:val="24"/>
        </w:rPr>
        <w:t xml:space="preserve"> framework</w:t>
      </w:r>
      <w:r>
        <w:rPr>
          <w:szCs w:val="24"/>
        </w:rPr>
        <w:t xml:space="preserve"> to address substance misuse in their communities, (2) identify which strategies are most promising for preventi</w:t>
      </w:r>
      <w:r w:rsidR="00BA3808">
        <w:rPr>
          <w:szCs w:val="24"/>
        </w:rPr>
        <w:t>ng</w:t>
      </w:r>
      <w:r>
        <w:rPr>
          <w:szCs w:val="24"/>
        </w:rPr>
        <w:t xml:space="preserve"> prescription substance misuse, and (3) leverage these learnings to improve prevention efforts across the United States</w:t>
      </w:r>
      <w:r w:rsidRPr="000655BF">
        <w:rPr>
          <w:szCs w:val="24"/>
        </w:rPr>
        <w:t xml:space="preserve">. The tools included in this package allow </w:t>
      </w:r>
      <w:r>
        <w:rPr>
          <w:szCs w:val="24"/>
        </w:rPr>
        <w:t>evaluators</w:t>
      </w:r>
      <w:r w:rsidRPr="000655BF">
        <w:rPr>
          <w:szCs w:val="24"/>
        </w:rPr>
        <w:t xml:space="preserve"> to collect</w:t>
      </w:r>
      <w:r>
        <w:rPr>
          <w:szCs w:val="24"/>
        </w:rPr>
        <w:t xml:space="preserve"> </w:t>
      </w:r>
      <w:r w:rsidRPr="000655BF">
        <w:rPr>
          <w:szCs w:val="24"/>
        </w:rPr>
        <w:t xml:space="preserve">and </w:t>
      </w:r>
      <w:r>
        <w:rPr>
          <w:szCs w:val="24"/>
        </w:rPr>
        <w:t>analyze</w:t>
      </w:r>
      <w:r w:rsidRPr="000655BF">
        <w:rPr>
          <w:szCs w:val="24"/>
        </w:rPr>
        <w:t xml:space="preserve"> </w:t>
      </w:r>
      <w:r>
        <w:rPr>
          <w:szCs w:val="24"/>
        </w:rPr>
        <w:t xml:space="preserve">process and </w:t>
      </w:r>
      <w:r w:rsidRPr="000655BF">
        <w:rPr>
          <w:szCs w:val="24"/>
        </w:rPr>
        <w:t>outcome data to better understand the</w:t>
      </w:r>
      <w:r>
        <w:rPr>
          <w:szCs w:val="24"/>
        </w:rPr>
        <w:t>se efforts</w:t>
      </w:r>
      <w:r w:rsidRPr="000655BF">
        <w:rPr>
          <w:szCs w:val="24"/>
        </w:rPr>
        <w:t xml:space="preserve">. </w:t>
      </w:r>
      <w:r>
        <w:rPr>
          <w:szCs w:val="24"/>
        </w:rPr>
        <w:t>In addition, t</w:t>
      </w:r>
      <w:r w:rsidRPr="000655BF">
        <w:rPr>
          <w:szCs w:val="24"/>
        </w:rPr>
        <w:t xml:space="preserve">he Public Health Services Act </w:t>
      </w:r>
      <w:r w:rsidRPr="008C0AE5" w:rsidR="008C0AE5">
        <w:rPr>
          <w:szCs w:val="24"/>
        </w:rPr>
        <w:t>(</w:t>
      </w:r>
      <w:r w:rsidRPr="002622F7" w:rsidR="002622F7">
        <w:t>Public Health Service Act, 2025</w:t>
      </w:r>
      <w:r w:rsidR="008C0AE5">
        <w:rPr>
          <w:b/>
          <w:bCs/>
          <w:szCs w:val="24"/>
        </w:rPr>
        <w:t xml:space="preserve">) </w:t>
      </w:r>
      <w:r w:rsidRPr="000655BF">
        <w:rPr>
          <w:szCs w:val="24"/>
        </w:rPr>
        <w:t xml:space="preserve">requires SAMHSA to monitor program performance and document the impact of government funding. The </w:t>
      </w:r>
      <w:r>
        <w:rPr>
          <w:szCs w:val="24"/>
        </w:rPr>
        <w:t>PEPC cross-site</w:t>
      </w:r>
      <w:r w:rsidRPr="000655BF">
        <w:rPr>
          <w:szCs w:val="24"/>
        </w:rPr>
        <w:t xml:space="preserve"> data collection tools </w:t>
      </w:r>
      <w:r>
        <w:rPr>
          <w:szCs w:val="24"/>
        </w:rPr>
        <w:t xml:space="preserve">also provide information required for </w:t>
      </w:r>
      <w:r w:rsidRPr="000655BF">
        <w:rPr>
          <w:szCs w:val="24"/>
        </w:rPr>
        <w:t xml:space="preserve">proper </w:t>
      </w:r>
      <w:r>
        <w:rPr>
          <w:szCs w:val="24"/>
        </w:rPr>
        <w:t>execution</w:t>
      </w:r>
      <w:r w:rsidRPr="000655BF">
        <w:rPr>
          <w:szCs w:val="24"/>
        </w:rPr>
        <w:t xml:space="preserve"> of SAMHSA’s required agency function of program oversight.</w:t>
      </w:r>
    </w:p>
    <w:p w:rsidR="00C86BAB" w:rsidP="00C86BAB" w14:paraId="58C87270" w14:textId="77777777">
      <w:pPr>
        <w:rPr>
          <w:szCs w:val="24"/>
        </w:rPr>
      </w:pPr>
    </w:p>
    <w:p w:rsidR="00C86BAB" w:rsidP="0000695E" w14:paraId="17E77159" w14:textId="17EC4D95">
      <w:pPr>
        <w:rPr>
          <w:szCs w:val="24"/>
        </w:rPr>
        <w:sectPr w:rsidSect="005F4491">
          <w:footerReference w:type="default" r:id="rId9"/>
          <w:footerReference w:type="first" r:id="rId10"/>
          <w:pgSz w:w="12240" w:h="15840"/>
          <w:pgMar w:top="1440" w:right="1440" w:bottom="1440" w:left="1440" w:header="720" w:footer="720" w:gutter="0"/>
          <w:cols w:space="720"/>
          <w:titlePg/>
        </w:sectPr>
      </w:pPr>
      <w:r w:rsidRPr="000655BF">
        <w:rPr>
          <w:szCs w:val="24"/>
        </w:rPr>
        <w:t xml:space="preserve">The goal of SAMHSA’s </w:t>
      </w:r>
      <w:r>
        <w:rPr>
          <w:szCs w:val="24"/>
        </w:rPr>
        <w:t>PEPC</w:t>
      </w:r>
      <w:r w:rsidRPr="000655BF">
        <w:rPr>
          <w:szCs w:val="24"/>
        </w:rPr>
        <w:t xml:space="preserve"> cross-site evaluation </w:t>
      </w:r>
      <w:r>
        <w:rPr>
          <w:szCs w:val="24"/>
        </w:rPr>
        <w:t xml:space="preserve">include </w:t>
      </w:r>
      <w:r w:rsidRPr="009213DE">
        <w:rPr>
          <w:szCs w:val="24"/>
        </w:rPr>
        <w:t xml:space="preserve">conducting (1) performance monitoring to track what activities grantees implement and with whom; (2) process evaluation to illustrate how grantees implemented each step of the </w:t>
      </w:r>
      <w:r w:rsidR="00BA3808">
        <w:rPr>
          <w:szCs w:val="24"/>
        </w:rPr>
        <w:t>framework</w:t>
      </w:r>
      <w:r w:rsidRPr="009213DE" w:rsidR="00BA3808">
        <w:rPr>
          <w:szCs w:val="24"/>
        </w:rPr>
        <w:t xml:space="preserve"> </w:t>
      </w:r>
      <w:r w:rsidRPr="009213DE">
        <w:rPr>
          <w:szCs w:val="24"/>
        </w:rPr>
        <w:t xml:space="preserve">model in real-world settings, with an emphasis on understanding barriers and facilitators; and (3) outcome evaluation to assess changes in targeted outcomes </w:t>
      </w:r>
      <w:r w:rsidR="00BA3808">
        <w:rPr>
          <w:szCs w:val="24"/>
        </w:rPr>
        <w:t>after</w:t>
      </w:r>
      <w:r w:rsidRPr="009213DE" w:rsidR="00BA3808">
        <w:rPr>
          <w:szCs w:val="24"/>
        </w:rPr>
        <w:t xml:space="preserve"> implement</w:t>
      </w:r>
      <w:r w:rsidR="00BA3808">
        <w:rPr>
          <w:szCs w:val="24"/>
        </w:rPr>
        <w:t>ing</w:t>
      </w:r>
      <w:r w:rsidRPr="009213DE" w:rsidR="00BA3808">
        <w:rPr>
          <w:szCs w:val="24"/>
        </w:rPr>
        <w:t xml:space="preserve"> </w:t>
      </w:r>
      <w:r w:rsidRPr="009213DE">
        <w:rPr>
          <w:szCs w:val="24"/>
        </w:rPr>
        <w:t>SPF Rx activities and drivers of those outcome changes</w:t>
      </w:r>
      <w:r>
        <w:rPr>
          <w:szCs w:val="24"/>
        </w:rPr>
        <w:t>.</w:t>
      </w:r>
      <w:r w:rsidR="000126EF">
        <w:rPr>
          <w:szCs w:val="24"/>
        </w:rPr>
        <w:t xml:space="preserve"> </w:t>
      </w:r>
      <w:r>
        <w:rPr>
          <w:szCs w:val="24"/>
        </w:rPr>
        <w:t>Exhibit 2 shows the logic model for the PEPC evaluation.</w:t>
      </w:r>
    </w:p>
    <w:p w:rsidR="00C86BAB" w:rsidRPr="005736E9" w:rsidP="6651A801" w14:paraId="5CF48B4B" w14:textId="323B1E2E">
      <w:pPr>
        <w:rPr>
          <w:b/>
          <w:bCs/>
        </w:rPr>
      </w:pPr>
      <w:r w:rsidRPr="6651A801">
        <w:rPr>
          <w:b/>
          <w:bCs/>
        </w:rPr>
        <w:t>Exhibit 2. PEPC Evaluation Logic Model</w:t>
      </w:r>
    </w:p>
    <w:p w:rsidR="0000695E" w:rsidP="0000695E" w14:paraId="70FA8373" w14:textId="02C4E9D0"/>
    <w:p w:rsidR="00C86BAB" w:rsidP="0000695E" w14:paraId="21AD4F64" w14:textId="20955D17">
      <w:pPr>
        <w:rPr>
          <w:szCs w:val="24"/>
        </w:rPr>
        <w:sectPr w:rsidSect="00C86BAB">
          <w:pgSz w:w="15840" w:h="12240" w:orient="landscape"/>
          <w:pgMar w:top="1440" w:right="1440" w:bottom="1440" w:left="1440" w:header="720" w:footer="720" w:gutter="0"/>
          <w:cols w:space="720"/>
          <w:titlePg/>
          <w:docGrid w:linePitch="326"/>
        </w:sectPr>
      </w:pPr>
      <w:r>
        <w:rPr>
          <w:noProof/>
          <w:szCs w:val="24"/>
        </w:rPr>
        <w:drawing>
          <wp:inline distT="0" distB="0" distL="0" distR="0">
            <wp:extent cx="8305558" cy="4721491"/>
            <wp:effectExtent l="0" t="0" r="635" b="3175"/>
            <wp:docPr id="583541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41599"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4723" cy="4732386"/>
                    </a:xfrm>
                    <a:prstGeom prst="rect">
                      <a:avLst/>
                    </a:prstGeom>
                    <a:noFill/>
                  </pic:spPr>
                </pic:pic>
              </a:graphicData>
            </a:graphic>
          </wp:inline>
        </w:drawing>
      </w:r>
    </w:p>
    <w:p w:rsidR="0000695E" w14:paraId="39A9A689" w14:textId="77777777">
      <w:pPr>
        <w:rPr>
          <w:szCs w:val="24"/>
          <w:lang w:eastAsia="en-US"/>
        </w:rPr>
      </w:pPr>
    </w:p>
    <w:p w:rsidR="00204EF4" w14:paraId="1C3C09FC" w14:textId="7D902B63">
      <w:pPr>
        <w:rPr>
          <w:szCs w:val="24"/>
          <w:lang w:eastAsia="en-US"/>
        </w:rPr>
      </w:pPr>
      <w:r>
        <w:rPr>
          <w:szCs w:val="24"/>
          <w:lang w:eastAsia="en-US"/>
        </w:rPr>
        <w:t>T</w:t>
      </w:r>
      <w:r w:rsidRPr="000655BF" w:rsidR="004F0E2A">
        <w:rPr>
          <w:szCs w:val="24"/>
          <w:lang w:eastAsia="en-US"/>
        </w:rPr>
        <w:t xml:space="preserve">he tools described in this statement will </w:t>
      </w:r>
      <w:r>
        <w:rPr>
          <w:szCs w:val="24"/>
          <w:lang w:eastAsia="en-US"/>
        </w:rPr>
        <w:t xml:space="preserve">collect the data </w:t>
      </w:r>
      <w:r w:rsidRPr="000655BF" w:rsidR="004F0E2A">
        <w:rPr>
          <w:szCs w:val="24"/>
          <w:lang w:eastAsia="en-US"/>
        </w:rPr>
        <w:t xml:space="preserve">for the national cross-site evaluation of SAMHSA’s </w:t>
      </w:r>
      <w:r w:rsidR="00D00AE7">
        <w:rPr>
          <w:szCs w:val="24"/>
          <w:lang w:eastAsia="en-US"/>
        </w:rPr>
        <w:t>SPF Rx</w:t>
      </w:r>
      <w:r w:rsidRPr="000655BF" w:rsidR="004F0E2A">
        <w:rPr>
          <w:szCs w:val="24"/>
          <w:lang w:eastAsia="en-US"/>
        </w:rPr>
        <w:t xml:space="preserve"> program</w:t>
      </w:r>
      <w:r w:rsidR="00495182">
        <w:rPr>
          <w:szCs w:val="24"/>
          <w:lang w:eastAsia="en-US"/>
        </w:rPr>
        <w:t xml:space="preserve"> </w:t>
      </w:r>
      <w:r w:rsidR="00A13DD5">
        <w:rPr>
          <w:szCs w:val="24"/>
          <w:lang w:eastAsia="en-US"/>
        </w:rPr>
        <w:t xml:space="preserve">for the </w:t>
      </w:r>
      <w:r w:rsidR="00495182">
        <w:rPr>
          <w:szCs w:val="24"/>
          <w:lang w:eastAsia="en-US"/>
        </w:rPr>
        <w:t xml:space="preserve">FY 2021 </w:t>
      </w:r>
      <w:r w:rsidR="00B10014">
        <w:rPr>
          <w:szCs w:val="24"/>
          <w:lang w:eastAsia="en-US"/>
        </w:rPr>
        <w:t xml:space="preserve">and FY 2022 </w:t>
      </w:r>
      <w:r w:rsidR="00495182">
        <w:rPr>
          <w:szCs w:val="24"/>
          <w:lang w:eastAsia="en-US"/>
        </w:rPr>
        <w:t>cohort</w:t>
      </w:r>
      <w:r w:rsidR="00B10014">
        <w:rPr>
          <w:szCs w:val="24"/>
          <w:lang w:eastAsia="en-US"/>
        </w:rPr>
        <w:t>s</w:t>
      </w:r>
      <w:r w:rsidR="00C34AAC">
        <w:rPr>
          <w:szCs w:val="24"/>
          <w:lang w:eastAsia="en-US"/>
        </w:rPr>
        <w:t xml:space="preserve"> as well as an anticipated cohort to be awarded in FY 2027</w:t>
      </w:r>
      <w:r w:rsidR="000B4BF6">
        <w:rPr>
          <w:szCs w:val="24"/>
          <w:lang w:eastAsia="en-US"/>
        </w:rPr>
        <w:t>.</w:t>
      </w:r>
    </w:p>
    <w:p w:rsidR="00204EF4" w14:paraId="59A1CDB6" w14:textId="77777777">
      <w:pPr>
        <w:rPr>
          <w:szCs w:val="24"/>
          <w:lang w:eastAsia="en-US"/>
        </w:rPr>
      </w:pPr>
    </w:p>
    <w:p w:rsidR="001F1A1D" w:rsidRPr="000655BF" w14:paraId="3472A45E" w14:textId="52223E82">
      <w:pPr>
        <w:rPr>
          <w:szCs w:val="24"/>
        </w:rPr>
      </w:pPr>
      <w:r w:rsidRPr="000655BF">
        <w:rPr>
          <w:szCs w:val="24"/>
          <w:lang w:eastAsia="en-US"/>
        </w:rPr>
        <w:t xml:space="preserve">The </w:t>
      </w:r>
      <w:r w:rsidR="00D00AE7">
        <w:rPr>
          <w:szCs w:val="24"/>
          <w:lang w:eastAsia="en-US"/>
        </w:rPr>
        <w:t>PEPC</w:t>
      </w:r>
      <w:r w:rsidRPr="000655BF">
        <w:rPr>
          <w:szCs w:val="24"/>
          <w:lang w:eastAsia="en-US"/>
        </w:rPr>
        <w:t xml:space="preserve"> team will systematically collect and maintain </w:t>
      </w:r>
      <w:r w:rsidR="00204EF4">
        <w:rPr>
          <w:szCs w:val="24"/>
          <w:lang w:eastAsia="en-US"/>
        </w:rPr>
        <w:t xml:space="preserve">data from the </w:t>
      </w:r>
      <w:r w:rsidRPr="00B73EE1" w:rsidR="003F1D06">
        <w:rPr>
          <w:szCs w:val="24"/>
          <w:lang w:eastAsia="en-US"/>
        </w:rPr>
        <w:t>Annual Reporting Tool</w:t>
      </w:r>
      <w:r w:rsidRPr="00B73EE1">
        <w:rPr>
          <w:szCs w:val="24"/>
          <w:lang w:eastAsia="en-US"/>
        </w:rPr>
        <w:t xml:space="preserve"> (</w:t>
      </w:r>
      <w:r w:rsidRPr="00B73EE1" w:rsidR="003F1D06">
        <w:rPr>
          <w:szCs w:val="24"/>
          <w:lang w:eastAsia="en-US"/>
        </w:rPr>
        <w:t>ART</w:t>
      </w:r>
      <w:r w:rsidRPr="00B73EE1">
        <w:rPr>
          <w:szCs w:val="24"/>
          <w:lang w:eastAsia="en-US"/>
        </w:rPr>
        <w:t>)</w:t>
      </w:r>
      <w:r w:rsidRPr="000655BF">
        <w:rPr>
          <w:szCs w:val="24"/>
          <w:lang w:eastAsia="en-US"/>
        </w:rPr>
        <w:t xml:space="preserve"> and</w:t>
      </w:r>
      <w:r w:rsidRPr="000655BF" w:rsidR="00DC6232">
        <w:rPr>
          <w:szCs w:val="24"/>
          <w:lang w:eastAsia="en-US"/>
        </w:rPr>
        <w:t xml:space="preserve"> </w:t>
      </w:r>
      <w:bookmarkStart w:id="7" w:name="_Hlk92194071"/>
      <w:r w:rsidRPr="000655BF" w:rsidR="00692D74">
        <w:rPr>
          <w:szCs w:val="24"/>
          <w:lang w:eastAsia="en-US"/>
        </w:rPr>
        <w:t>G</w:t>
      </w:r>
      <w:r w:rsidRPr="000655BF" w:rsidR="00DC6232">
        <w:rPr>
          <w:szCs w:val="24"/>
          <w:lang w:eastAsia="en-US"/>
        </w:rPr>
        <w:t xml:space="preserve">rantee- and </w:t>
      </w:r>
      <w:r w:rsidRPr="000655BF" w:rsidR="00692D74">
        <w:rPr>
          <w:szCs w:val="24"/>
          <w:lang w:eastAsia="en-US"/>
        </w:rPr>
        <w:t>C</w:t>
      </w:r>
      <w:r w:rsidRPr="000655BF" w:rsidR="00DC6232">
        <w:rPr>
          <w:szCs w:val="24"/>
          <w:lang w:eastAsia="en-US"/>
        </w:rPr>
        <w:t>ommunity-</w:t>
      </w:r>
      <w:r w:rsidRPr="000655BF" w:rsidR="00917731">
        <w:rPr>
          <w:szCs w:val="24"/>
          <w:lang w:eastAsia="en-US"/>
        </w:rPr>
        <w:t>l</w:t>
      </w:r>
      <w:r w:rsidRPr="000655BF" w:rsidR="00DC6232">
        <w:rPr>
          <w:szCs w:val="24"/>
          <w:lang w:eastAsia="en-US"/>
        </w:rPr>
        <w:t>evel</w:t>
      </w:r>
      <w:r w:rsidRPr="000655BF">
        <w:rPr>
          <w:szCs w:val="24"/>
          <w:lang w:eastAsia="en-US"/>
        </w:rPr>
        <w:t xml:space="preserve"> </w:t>
      </w:r>
      <w:r w:rsidR="00B73EE1">
        <w:rPr>
          <w:szCs w:val="24"/>
          <w:lang w:eastAsia="en-US"/>
        </w:rPr>
        <w:t xml:space="preserve">PDMP </w:t>
      </w:r>
      <w:r w:rsidRPr="000655BF" w:rsidR="00692D74">
        <w:rPr>
          <w:szCs w:val="24"/>
          <w:lang w:eastAsia="en-US"/>
        </w:rPr>
        <w:t>O</w:t>
      </w:r>
      <w:r w:rsidRPr="000655BF">
        <w:rPr>
          <w:szCs w:val="24"/>
          <w:lang w:eastAsia="en-US"/>
        </w:rPr>
        <w:t xml:space="preserve">utcomes </w:t>
      </w:r>
      <w:r w:rsidR="0078654B">
        <w:rPr>
          <w:szCs w:val="24"/>
          <w:lang w:eastAsia="en-US"/>
        </w:rPr>
        <w:t>M</w:t>
      </w:r>
      <w:r w:rsidR="00204EF4">
        <w:rPr>
          <w:szCs w:val="24"/>
          <w:lang w:eastAsia="en-US"/>
        </w:rPr>
        <w:t>odules that</w:t>
      </w:r>
      <w:r w:rsidRPr="000655BF">
        <w:rPr>
          <w:szCs w:val="24"/>
          <w:lang w:eastAsia="en-US"/>
        </w:rPr>
        <w:t xml:space="preserve"> </w:t>
      </w:r>
      <w:r w:rsidR="00204EF4">
        <w:rPr>
          <w:szCs w:val="24"/>
          <w:lang w:eastAsia="en-US"/>
        </w:rPr>
        <w:t>SPF Rx</w:t>
      </w:r>
      <w:r w:rsidRPr="000655BF" w:rsidR="00204EF4">
        <w:rPr>
          <w:szCs w:val="24"/>
          <w:lang w:eastAsia="en-US"/>
        </w:rPr>
        <w:t xml:space="preserve"> grantees </w:t>
      </w:r>
      <w:r w:rsidRPr="000655BF">
        <w:rPr>
          <w:szCs w:val="24"/>
          <w:lang w:eastAsia="en-US"/>
        </w:rPr>
        <w:t>submit</w:t>
      </w:r>
      <w:r w:rsidR="00204EF4">
        <w:rPr>
          <w:szCs w:val="24"/>
          <w:lang w:eastAsia="en-US"/>
        </w:rPr>
        <w:t xml:space="preserve"> </w:t>
      </w:r>
      <w:r w:rsidRPr="000655BF">
        <w:rPr>
          <w:szCs w:val="24"/>
          <w:lang w:eastAsia="en-US"/>
        </w:rPr>
        <w:t xml:space="preserve">through the online </w:t>
      </w:r>
      <w:r w:rsidR="00D00AE7">
        <w:rPr>
          <w:szCs w:val="24"/>
          <w:lang w:eastAsia="en-US"/>
        </w:rPr>
        <w:t>PEPC</w:t>
      </w:r>
      <w:r w:rsidRPr="000655BF">
        <w:rPr>
          <w:szCs w:val="24"/>
          <w:lang w:eastAsia="en-US"/>
        </w:rPr>
        <w:t xml:space="preserve"> </w:t>
      </w:r>
      <w:r w:rsidR="00416B41">
        <w:rPr>
          <w:szCs w:val="24"/>
          <w:lang w:eastAsia="en-US"/>
        </w:rPr>
        <w:t>Cross-</w:t>
      </w:r>
      <w:r w:rsidR="004642E6">
        <w:rPr>
          <w:szCs w:val="24"/>
          <w:lang w:eastAsia="en-US"/>
        </w:rPr>
        <w:t>S</w:t>
      </w:r>
      <w:r w:rsidR="00416B41">
        <w:rPr>
          <w:szCs w:val="24"/>
          <w:lang w:eastAsia="en-US"/>
        </w:rPr>
        <w:t>ite Data Collection Platform</w:t>
      </w:r>
      <w:r w:rsidRPr="00B73EE1">
        <w:rPr>
          <w:szCs w:val="24"/>
          <w:lang w:eastAsia="en-US"/>
        </w:rPr>
        <w:t xml:space="preserve"> (</w:t>
      </w:r>
      <w:r w:rsidR="00416B41">
        <w:rPr>
          <w:szCs w:val="24"/>
          <w:lang w:eastAsia="en-US"/>
        </w:rPr>
        <w:t>CS-DCP</w:t>
      </w:r>
      <w:r w:rsidRPr="00B73EE1">
        <w:rPr>
          <w:szCs w:val="24"/>
          <w:lang w:eastAsia="en-US"/>
        </w:rPr>
        <w:t>).</w:t>
      </w:r>
      <w:bookmarkEnd w:id="7"/>
      <w:r w:rsidRPr="000655BF" w:rsidR="00DC6232">
        <w:rPr>
          <w:szCs w:val="24"/>
          <w:lang w:eastAsia="en-US"/>
        </w:rPr>
        <w:t xml:space="preserve"> The evaluation also includes qualitative interviews with </w:t>
      </w:r>
      <w:r w:rsidR="00D00AE7">
        <w:rPr>
          <w:szCs w:val="24"/>
          <w:lang w:eastAsia="en-US"/>
        </w:rPr>
        <w:t>SPF Rx</w:t>
      </w:r>
      <w:r w:rsidRPr="000655BF" w:rsidR="00DC6232">
        <w:rPr>
          <w:szCs w:val="24"/>
          <w:lang w:eastAsia="en-US"/>
        </w:rPr>
        <w:t xml:space="preserve"> grantee project directors</w:t>
      </w:r>
      <w:r w:rsidRPr="000655BF" w:rsidR="00942C90">
        <w:rPr>
          <w:szCs w:val="24"/>
          <w:lang w:eastAsia="en-US"/>
        </w:rPr>
        <w:t xml:space="preserve"> using the Grantee-Level Interview tool</w:t>
      </w:r>
      <w:r w:rsidRPr="000655BF" w:rsidR="00DC6232">
        <w:rPr>
          <w:szCs w:val="24"/>
          <w:lang w:eastAsia="en-US"/>
        </w:rPr>
        <w:t>.</w:t>
      </w:r>
      <w:r w:rsidRPr="000655BF">
        <w:rPr>
          <w:b/>
          <w:i/>
          <w:szCs w:val="24"/>
        </w:rPr>
        <w:t xml:space="preserve"> </w:t>
      </w:r>
    </w:p>
    <w:p w:rsidR="00DC6232" w:rsidRPr="000655BF" w14:paraId="2D18748E" w14:textId="77777777">
      <w:pPr>
        <w:rPr>
          <w:szCs w:val="24"/>
        </w:rPr>
      </w:pPr>
    </w:p>
    <w:p w:rsidR="00D0263C" w:rsidRPr="000655BF" w:rsidP="00E763C3" w14:paraId="1E3C2D3A" w14:textId="3EDCF714">
      <w:pPr>
        <w:spacing w:after="240"/>
        <w:rPr>
          <w:szCs w:val="24"/>
        </w:rPr>
      </w:pPr>
      <w:r w:rsidRPr="000655BF">
        <w:rPr>
          <w:szCs w:val="24"/>
        </w:rPr>
        <w:t xml:space="preserve">The following </w:t>
      </w:r>
      <w:r w:rsidR="00055223">
        <w:rPr>
          <w:szCs w:val="24"/>
        </w:rPr>
        <w:t xml:space="preserve">monitoring and evaluation </w:t>
      </w:r>
      <w:r w:rsidRPr="000655BF">
        <w:rPr>
          <w:szCs w:val="24"/>
        </w:rPr>
        <w:t>questions guid</w:t>
      </w:r>
      <w:r w:rsidRPr="000655BF" w:rsidR="00306B77">
        <w:rPr>
          <w:szCs w:val="24"/>
        </w:rPr>
        <w:t>e</w:t>
      </w:r>
      <w:r w:rsidRPr="000655BF">
        <w:rPr>
          <w:szCs w:val="24"/>
        </w:rPr>
        <w:t xml:space="preserve"> the cross-site evaluation:</w:t>
      </w:r>
    </w:p>
    <w:p w:rsidR="00297E1A" w:rsidRPr="00055223" w:rsidP="005736E9" w14:paraId="34AD6326" w14:textId="008D97BA">
      <w:pPr>
        <w:pStyle w:val="Heading3"/>
        <w:rPr>
          <w:bCs/>
        </w:rPr>
      </w:pPr>
      <w:r w:rsidRPr="00055223">
        <w:t>Performance Monitoring</w:t>
      </w:r>
      <w:r w:rsidR="002945A3">
        <w:t xml:space="preserve"> Evaluation</w:t>
      </w:r>
      <w:r w:rsidR="0014774A">
        <w:t xml:space="preserve"> Questions</w:t>
      </w:r>
    </w:p>
    <w:p w:rsidR="009B4B61" w:rsidRPr="00C25838" w:rsidP="009B4B61" w14:paraId="20966229" w14:textId="77777777">
      <w:pPr>
        <w:pStyle w:val="bullets"/>
        <w:numPr>
          <w:ilvl w:val="1"/>
          <w:numId w:val="40"/>
        </w:numPr>
        <w:spacing w:after="0"/>
        <w:rPr>
          <w:b/>
          <w:bCs/>
          <w:szCs w:val="24"/>
        </w:rPr>
      </w:pPr>
      <w:r>
        <w:rPr>
          <w:b/>
          <w:bCs/>
          <w:szCs w:val="24"/>
        </w:rPr>
        <w:t>Was the SPF Rx program implemented as intended?</w:t>
      </w:r>
    </w:p>
    <w:p w:rsidR="009B4B61" w:rsidRPr="00C25838" w:rsidP="009B4B61" w14:paraId="444087F3" w14:textId="77777777">
      <w:pPr>
        <w:pStyle w:val="bullets"/>
        <w:numPr>
          <w:ilvl w:val="2"/>
          <w:numId w:val="40"/>
        </w:numPr>
        <w:spacing w:after="0"/>
        <w:rPr>
          <w:b/>
          <w:bCs/>
          <w:szCs w:val="24"/>
        </w:rPr>
      </w:pPr>
      <w:r>
        <w:rPr>
          <w:szCs w:val="24"/>
        </w:rPr>
        <w:t xml:space="preserve">What types of prevention strategies were implemented? </w:t>
      </w:r>
    </w:p>
    <w:p w:rsidR="009B4B61" w:rsidRPr="00C25838" w:rsidP="009B4B61" w14:paraId="7AAC52EF" w14:textId="77777777">
      <w:pPr>
        <w:pStyle w:val="bullets"/>
        <w:numPr>
          <w:ilvl w:val="2"/>
          <w:numId w:val="40"/>
        </w:numPr>
        <w:spacing w:after="0"/>
        <w:rPr>
          <w:b/>
          <w:bCs/>
          <w:szCs w:val="24"/>
        </w:rPr>
      </w:pPr>
      <w:r>
        <w:rPr>
          <w:szCs w:val="24"/>
        </w:rPr>
        <w:t>What was the overall reach of the prevention strategies selected for implementation?</w:t>
      </w:r>
    </w:p>
    <w:p w:rsidR="009B4B61" w:rsidRPr="00C25838" w:rsidP="009B4B61" w14:paraId="3FF69CFA" w14:textId="2EDCD5A0">
      <w:pPr>
        <w:pStyle w:val="bullets"/>
        <w:numPr>
          <w:ilvl w:val="2"/>
          <w:numId w:val="40"/>
        </w:numPr>
        <w:spacing w:after="0"/>
        <w:rPr>
          <w:szCs w:val="24"/>
        </w:rPr>
      </w:pPr>
      <w:r w:rsidRPr="00C25838">
        <w:rPr>
          <w:szCs w:val="24"/>
        </w:rPr>
        <w:t xml:space="preserve">What types of populations were served? How </w:t>
      </w:r>
      <w:r>
        <w:rPr>
          <w:szCs w:val="24"/>
        </w:rPr>
        <w:t xml:space="preserve">many individuals were served </w:t>
      </w:r>
      <w:r>
        <w:rPr>
          <w:szCs w:val="24"/>
        </w:rPr>
        <w:t>from</w:t>
      </w:r>
      <w:r>
        <w:rPr>
          <w:szCs w:val="24"/>
        </w:rPr>
        <w:t xml:space="preserve"> each population?</w:t>
      </w:r>
    </w:p>
    <w:p w:rsidR="009B4B61" w:rsidP="009B4B61" w14:paraId="72F0E9ED" w14:textId="77777777">
      <w:pPr>
        <w:pStyle w:val="bullets"/>
        <w:numPr>
          <w:ilvl w:val="2"/>
          <w:numId w:val="40"/>
        </w:numPr>
        <w:spacing w:after="0"/>
        <w:rPr>
          <w:szCs w:val="24"/>
        </w:rPr>
      </w:pPr>
      <w:r w:rsidRPr="00C25838">
        <w:rPr>
          <w:szCs w:val="24"/>
        </w:rPr>
        <w:t xml:space="preserve">To what extent </w:t>
      </w:r>
      <w:r>
        <w:rPr>
          <w:szCs w:val="24"/>
        </w:rPr>
        <w:t>did grantees and subrecipients conduct prevention strategies as planned?</w:t>
      </w:r>
    </w:p>
    <w:p w:rsidR="009B4B61" w:rsidP="009B4B61" w14:paraId="1F4B1166" w14:textId="77777777">
      <w:pPr>
        <w:pStyle w:val="bullets"/>
        <w:numPr>
          <w:ilvl w:val="2"/>
          <w:numId w:val="40"/>
        </w:numPr>
        <w:spacing w:after="0"/>
        <w:rPr>
          <w:szCs w:val="24"/>
        </w:rPr>
      </w:pPr>
      <w:r>
        <w:rPr>
          <w:szCs w:val="24"/>
        </w:rPr>
        <w:t xml:space="preserve">To what extent did grantees implement a comprehensive prevention approach? </w:t>
      </w:r>
    </w:p>
    <w:p w:rsidR="009B4B61" w:rsidP="009B4B61" w14:paraId="1DE749E7" w14:textId="77777777">
      <w:pPr>
        <w:pStyle w:val="bullets"/>
        <w:numPr>
          <w:ilvl w:val="2"/>
          <w:numId w:val="40"/>
        </w:numPr>
        <w:spacing w:after="0"/>
        <w:rPr>
          <w:szCs w:val="24"/>
        </w:rPr>
      </w:pPr>
      <w:r>
        <w:rPr>
          <w:szCs w:val="24"/>
        </w:rPr>
        <w:t xml:space="preserve">To what extent did grantees </w:t>
      </w:r>
      <w:r w:rsidRPr="004D1ABF">
        <w:rPr>
          <w:szCs w:val="24"/>
        </w:rPr>
        <w:t>and subrecipients use</w:t>
      </w:r>
      <w:r>
        <w:rPr>
          <w:szCs w:val="24"/>
        </w:rPr>
        <w:t xml:space="preserve"> funding and other resources (including PDMP data) as intended in the grant application?</w:t>
      </w:r>
    </w:p>
    <w:p w:rsidR="009B4B61" w:rsidP="009B4B61" w14:paraId="4D0AE035" w14:textId="77777777">
      <w:pPr>
        <w:pStyle w:val="bullets"/>
        <w:numPr>
          <w:ilvl w:val="2"/>
          <w:numId w:val="40"/>
        </w:numPr>
        <w:spacing w:after="0"/>
        <w:rPr>
          <w:szCs w:val="24"/>
        </w:rPr>
      </w:pPr>
      <w:r>
        <w:rPr>
          <w:szCs w:val="24"/>
        </w:rPr>
        <w:t>To what extent did the SPF Rx FY 2021 and FY 2022 cohorts implement their projects differently to meet the unique goals of the FY21 and FY22 NOFOs?</w:t>
      </w:r>
    </w:p>
    <w:p w:rsidR="009B4B61" w:rsidRPr="00C25838" w:rsidP="009B4B61" w14:paraId="3548416C" w14:textId="48C9AA24">
      <w:pPr>
        <w:pStyle w:val="bullets"/>
        <w:numPr>
          <w:ilvl w:val="2"/>
          <w:numId w:val="40"/>
        </w:numPr>
        <w:spacing w:after="0"/>
        <w:rPr>
          <w:szCs w:val="24"/>
        </w:rPr>
      </w:pPr>
      <w:r>
        <w:rPr>
          <w:szCs w:val="24"/>
        </w:rPr>
        <w:t xml:space="preserve">To what extent did grantees report rates of opioid overdoses in their state/tribe/territory? </w:t>
      </w:r>
    </w:p>
    <w:p w:rsidR="009B4B61" w:rsidRPr="00055223" w:rsidP="009B4B61" w14:paraId="3002A2DA" w14:textId="2E07CCC2">
      <w:pPr>
        <w:pStyle w:val="Heading3"/>
      </w:pPr>
      <w:r w:rsidRPr="00055223">
        <w:t>Process Evaluation</w:t>
      </w:r>
      <w:r>
        <w:t xml:space="preserve"> Questions</w:t>
      </w:r>
    </w:p>
    <w:p w:rsidR="009B4B61" w:rsidP="009B4B61" w14:paraId="702E5E22" w14:textId="77777777">
      <w:pPr>
        <w:pStyle w:val="bullets"/>
        <w:numPr>
          <w:ilvl w:val="1"/>
          <w:numId w:val="40"/>
        </w:numPr>
        <w:spacing w:after="0"/>
        <w:rPr>
          <w:b/>
          <w:bCs/>
          <w:szCs w:val="24"/>
        </w:rPr>
      </w:pPr>
      <w:r>
        <w:rPr>
          <w:b/>
          <w:bCs/>
          <w:szCs w:val="24"/>
        </w:rPr>
        <w:t>How did grantees plan and implement programs?</w:t>
      </w:r>
    </w:p>
    <w:p w:rsidR="009B4B61" w:rsidRPr="00C25838" w:rsidP="009B4B61" w14:paraId="3DDE2F7E" w14:textId="059B5A76">
      <w:pPr>
        <w:pStyle w:val="bullets"/>
        <w:numPr>
          <w:ilvl w:val="2"/>
          <w:numId w:val="40"/>
        </w:numPr>
        <w:spacing w:after="0"/>
        <w:rPr>
          <w:b/>
          <w:bCs/>
          <w:szCs w:val="24"/>
        </w:rPr>
      </w:pPr>
      <w:r>
        <w:rPr>
          <w:szCs w:val="24"/>
        </w:rPr>
        <w:t xml:space="preserve">Assessment: How did grantees assess the needs of the communities they serve, including risk and protective factors, prior to selecting activities? </w:t>
      </w:r>
    </w:p>
    <w:p w:rsidR="009B4B61" w:rsidRPr="00C25838" w:rsidP="009B4B61" w14:paraId="0FD0D968" w14:textId="515BFE75">
      <w:pPr>
        <w:pStyle w:val="bullets"/>
        <w:numPr>
          <w:ilvl w:val="2"/>
          <w:numId w:val="40"/>
        </w:numPr>
        <w:spacing w:after="0"/>
        <w:rPr>
          <w:b/>
          <w:bCs/>
          <w:szCs w:val="24"/>
        </w:rPr>
      </w:pPr>
      <w:r>
        <w:rPr>
          <w:szCs w:val="24"/>
        </w:rPr>
        <w:t xml:space="preserve">Capacity: How did grantees build and mobilize resources to address substance use </w:t>
      </w:r>
      <w:r w:rsidR="001B34D2">
        <w:rPr>
          <w:szCs w:val="24"/>
        </w:rPr>
        <w:t>priorities</w:t>
      </w:r>
      <w:r w:rsidR="009D5C3F">
        <w:rPr>
          <w:szCs w:val="24"/>
        </w:rPr>
        <w:t xml:space="preserve"> </w:t>
      </w:r>
      <w:r>
        <w:rPr>
          <w:szCs w:val="24"/>
        </w:rPr>
        <w:t xml:space="preserve">and assess community readiness for change by engaging community stakeholders, developing a prevention team, and raising community awareness? </w:t>
      </w:r>
    </w:p>
    <w:p w:rsidR="009B4B61" w:rsidRPr="00C25838" w:rsidP="009B4B61" w14:paraId="5A311C15" w14:textId="77777777">
      <w:pPr>
        <w:pStyle w:val="bullets"/>
        <w:numPr>
          <w:ilvl w:val="2"/>
          <w:numId w:val="40"/>
        </w:numPr>
        <w:spacing w:after="0"/>
        <w:rPr>
          <w:b/>
          <w:bCs/>
          <w:szCs w:val="24"/>
        </w:rPr>
      </w:pPr>
      <w:r>
        <w:rPr>
          <w:szCs w:val="24"/>
        </w:rPr>
        <w:t xml:space="preserve">Planning: How did </w:t>
      </w:r>
      <w:r>
        <w:rPr>
          <w:szCs w:val="24"/>
        </w:rPr>
        <w:t>grantees</w:t>
      </w:r>
      <w:r>
        <w:rPr>
          <w:szCs w:val="24"/>
        </w:rPr>
        <w:t xml:space="preserve"> prioritize risk and protective factors, select interventions, and develop a comprehensive plan? </w:t>
      </w:r>
    </w:p>
    <w:p w:rsidR="009B4B61" w:rsidRPr="00C25838" w:rsidP="009B4B61" w14:paraId="290F3F67" w14:textId="77777777">
      <w:pPr>
        <w:pStyle w:val="bullets"/>
        <w:numPr>
          <w:ilvl w:val="2"/>
          <w:numId w:val="40"/>
        </w:numPr>
        <w:spacing w:after="0"/>
        <w:rPr>
          <w:b/>
          <w:bCs/>
          <w:szCs w:val="24"/>
        </w:rPr>
      </w:pPr>
      <w:r>
        <w:rPr>
          <w:szCs w:val="24"/>
        </w:rPr>
        <w:t xml:space="preserve">Implementation: What prevention strategies did </w:t>
      </w:r>
      <w:r>
        <w:rPr>
          <w:szCs w:val="24"/>
        </w:rPr>
        <w:t>grantees</w:t>
      </w:r>
      <w:r>
        <w:rPr>
          <w:szCs w:val="24"/>
        </w:rPr>
        <w:t xml:space="preserve"> implement, and how did they balance fidelity to the evidence-based programs, practices, and policies with the need to adapt to their communities? What were common elements of these programs? </w:t>
      </w:r>
    </w:p>
    <w:p w:rsidR="009B4B61" w:rsidRPr="00C25838" w:rsidP="009B4B61" w14:paraId="490009DD" w14:textId="77777777">
      <w:pPr>
        <w:pStyle w:val="bullets"/>
        <w:numPr>
          <w:ilvl w:val="2"/>
          <w:numId w:val="40"/>
        </w:numPr>
        <w:spacing w:after="0"/>
        <w:rPr>
          <w:b/>
          <w:bCs/>
          <w:szCs w:val="24"/>
        </w:rPr>
      </w:pPr>
      <w:r>
        <w:rPr>
          <w:szCs w:val="24"/>
        </w:rPr>
        <w:t>Evaluation: How did grantees use data to assess the success of activities on an ongoing basis and make midcourse adjustments across the SPF Rx cohorts?</w:t>
      </w:r>
    </w:p>
    <w:p w:rsidR="009B4B61" w:rsidRPr="00C25838" w:rsidP="009B4B61" w14:paraId="21874D03" w14:textId="5CE8BC22">
      <w:pPr>
        <w:pStyle w:val="bullets"/>
        <w:numPr>
          <w:ilvl w:val="2"/>
          <w:numId w:val="40"/>
        </w:numPr>
        <w:spacing w:after="0"/>
        <w:rPr>
          <w:b/>
          <w:bCs/>
          <w:szCs w:val="24"/>
        </w:rPr>
      </w:pPr>
      <w:r>
        <w:rPr>
          <w:szCs w:val="24"/>
        </w:rPr>
        <w:t>How were sustainability principles integrated into work at each step?</w:t>
      </w:r>
    </w:p>
    <w:p w:rsidR="009B4B61" w:rsidP="009B4B61" w14:paraId="5EA22AE1" w14:textId="77777777">
      <w:pPr>
        <w:pStyle w:val="bullets"/>
        <w:numPr>
          <w:ilvl w:val="1"/>
          <w:numId w:val="40"/>
        </w:numPr>
        <w:spacing w:after="0"/>
        <w:rPr>
          <w:b/>
          <w:bCs/>
          <w:szCs w:val="24"/>
        </w:rPr>
      </w:pPr>
      <w:r>
        <w:rPr>
          <w:b/>
          <w:bCs/>
          <w:szCs w:val="24"/>
        </w:rPr>
        <w:t>How did grantees overcome barriers and leverage facilitators of implementation?</w:t>
      </w:r>
    </w:p>
    <w:p w:rsidR="009B4B61" w:rsidRPr="00C25838" w:rsidP="009B4B61" w14:paraId="0E53DBD3" w14:textId="6B8FD54E">
      <w:pPr>
        <w:pStyle w:val="bullets"/>
        <w:numPr>
          <w:ilvl w:val="2"/>
          <w:numId w:val="40"/>
        </w:numPr>
        <w:spacing w:after="0"/>
        <w:rPr>
          <w:b/>
          <w:bCs/>
          <w:szCs w:val="24"/>
        </w:rPr>
      </w:pPr>
      <w:r>
        <w:rPr>
          <w:szCs w:val="24"/>
        </w:rPr>
        <w:t>How did contextual factors, including state and federal policies and practices (such</w:t>
      </w:r>
      <w:r w:rsidR="00E20244">
        <w:rPr>
          <w:szCs w:val="24"/>
        </w:rPr>
        <w:t xml:space="preserve"> as</w:t>
      </w:r>
      <w:r>
        <w:rPr>
          <w:szCs w:val="24"/>
        </w:rPr>
        <w:t xml:space="preserve"> use of naloxone) influence the success of implementation? How was implementation adapted in the FY 2022 cohort to focus on fake and counterfeit pills? </w:t>
      </w:r>
    </w:p>
    <w:p w:rsidR="009B4B61" w:rsidRPr="00C25838" w:rsidP="009B4B61" w14:paraId="4224D836" w14:textId="1E73E61B">
      <w:pPr>
        <w:pStyle w:val="bullets"/>
        <w:numPr>
          <w:ilvl w:val="2"/>
          <w:numId w:val="40"/>
        </w:numPr>
        <w:spacing w:after="0"/>
        <w:rPr>
          <w:b/>
          <w:bCs/>
          <w:szCs w:val="24"/>
        </w:rPr>
      </w:pPr>
      <w:r>
        <w:rPr>
          <w:szCs w:val="24"/>
        </w:rPr>
        <w:t>How did availability of funding sources for programs to prevent and treat substance use disorder (other than SPF Rx grant funding) influence the success of implementation?</w:t>
      </w:r>
    </w:p>
    <w:p w:rsidR="009B4B61" w:rsidRPr="00C25838" w:rsidP="009B4B61" w14:paraId="1A87700D" w14:textId="68BAD21C">
      <w:pPr>
        <w:pStyle w:val="bullets"/>
        <w:numPr>
          <w:ilvl w:val="2"/>
          <w:numId w:val="40"/>
        </w:numPr>
        <w:spacing w:after="0"/>
        <w:rPr>
          <w:b/>
          <w:bCs/>
          <w:szCs w:val="24"/>
        </w:rPr>
      </w:pPr>
      <w:r>
        <w:rPr>
          <w:szCs w:val="24"/>
        </w:rPr>
        <w:t>How did geographic location/characteristics (e.g., urban, suburban, rural) influence the success of implementation?</w:t>
      </w:r>
    </w:p>
    <w:p w:rsidR="009B4B61" w:rsidRPr="00C25838" w:rsidP="009B4B61" w14:paraId="58E273CB" w14:textId="2F29203C">
      <w:pPr>
        <w:pStyle w:val="bullets"/>
        <w:numPr>
          <w:ilvl w:val="2"/>
          <w:numId w:val="40"/>
        </w:numPr>
        <w:spacing w:after="0"/>
        <w:rPr>
          <w:b/>
          <w:bCs/>
          <w:szCs w:val="24"/>
        </w:rPr>
      </w:pPr>
      <w:r>
        <w:rPr>
          <w:szCs w:val="24"/>
        </w:rPr>
        <w:t xml:space="preserve">Did contextual factors and/or availability of additional supports of funding affect success of implementation differently for the FY21 and FY22 SPF Rx cohorts? </w:t>
      </w:r>
    </w:p>
    <w:p w:rsidR="009B4B61" w:rsidRPr="0014774A" w:rsidP="009B4B61" w14:paraId="0281211F" w14:textId="35EC632A">
      <w:pPr>
        <w:pStyle w:val="Heading3"/>
      </w:pPr>
      <w:r w:rsidRPr="0014774A">
        <w:t>Outcome Evaluation</w:t>
      </w:r>
      <w:r>
        <w:t xml:space="preserve"> Questions</w:t>
      </w:r>
    </w:p>
    <w:p w:rsidR="009B4B61" w:rsidP="009B4B61" w14:paraId="2EE044BB" w14:textId="3D7E21F8">
      <w:pPr>
        <w:pStyle w:val="bullets"/>
        <w:numPr>
          <w:ilvl w:val="1"/>
          <w:numId w:val="40"/>
        </w:numPr>
        <w:spacing w:after="0"/>
        <w:rPr>
          <w:b/>
          <w:bCs/>
          <w:szCs w:val="24"/>
        </w:rPr>
      </w:pPr>
      <w:r>
        <w:rPr>
          <w:b/>
          <w:bCs/>
          <w:szCs w:val="24"/>
        </w:rPr>
        <w:t>How did outcomes change following the implementation of the SPF Rx programming?</w:t>
      </w:r>
    </w:p>
    <w:p w:rsidR="009B4B61" w:rsidRPr="00C25838" w:rsidP="009B4B61" w14:paraId="6CB982B0" w14:textId="77812D09">
      <w:pPr>
        <w:pStyle w:val="bullets"/>
        <w:numPr>
          <w:ilvl w:val="2"/>
          <w:numId w:val="40"/>
        </w:numPr>
        <w:spacing w:after="0"/>
        <w:rPr>
          <w:b/>
          <w:bCs/>
          <w:szCs w:val="24"/>
        </w:rPr>
      </w:pPr>
      <w:r>
        <w:rPr>
          <w:szCs w:val="24"/>
        </w:rPr>
        <w:t>How much change was observed in short-term outcomes (e.g., awareness of dangers of counterfeit pills, PDMP data use)?</w:t>
      </w:r>
    </w:p>
    <w:p w:rsidR="009B4B61" w:rsidRPr="00C25838" w:rsidP="009B4B61" w14:paraId="23D79918" w14:textId="3A28E5D5">
      <w:pPr>
        <w:pStyle w:val="bullets"/>
        <w:numPr>
          <w:ilvl w:val="2"/>
          <w:numId w:val="40"/>
        </w:numPr>
        <w:spacing w:after="0"/>
        <w:rPr>
          <w:b/>
          <w:bCs/>
          <w:szCs w:val="24"/>
        </w:rPr>
      </w:pPr>
      <w:r>
        <w:rPr>
          <w:szCs w:val="24"/>
        </w:rPr>
        <w:t>How much change was observed in medium-term outcomes (e.g., prescribing patterns)?</w:t>
      </w:r>
    </w:p>
    <w:p w:rsidR="009B4B61" w:rsidRPr="00C25838" w:rsidP="009B4B61" w14:paraId="2118EAA3" w14:textId="676E48F3">
      <w:pPr>
        <w:pStyle w:val="bullets"/>
        <w:numPr>
          <w:ilvl w:val="2"/>
          <w:numId w:val="40"/>
        </w:numPr>
        <w:spacing w:after="0"/>
        <w:rPr>
          <w:b/>
          <w:bCs/>
          <w:szCs w:val="24"/>
        </w:rPr>
      </w:pPr>
      <w:r>
        <w:rPr>
          <w:szCs w:val="24"/>
        </w:rPr>
        <w:t>How much change was observed in long-term outcomes (e.g., opioid overdose)?</w:t>
      </w:r>
    </w:p>
    <w:p w:rsidR="009B4B61" w:rsidRPr="00C25838" w:rsidP="009B4B61" w14:paraId="53EE3C8A" w14:textId="77777777">
      <w:pPr>
        <w:pStyle w:val="bullets"/>
        <w:numPr>
          <w:ilvl w:val="2"/>
          <w:numId w:val="40"/>
        </w:numPr>
        <w:spacing w:after="0"/>
        <w:rPr>
          <w:b/>
          <w:bCs/>
          <w:szCs w:val="24"/>
        </w:rPr>
      </w:pPr>
      <w:r>
        <w:rPr>
          <w:szCs w:val="24"/>
        </w:rPr>
        <w:t xml:space="preserve">Did </w:t>
      </w:r>
      <w:r>
        <w:rPr>
          <w:szCs w:val="24"/>
        </w:rPr>
        <w:t>observed changes</w:t>
      </w:r>
      <w:r>
        <w:rPr>
          <w:szCs w:val="24"/>
        </w:rPr>
        <w:t xml:space="preserve"> in outcomes vary across SPF Rx grantee cohorts?</w:t>
      </w:r>
    </w:p>
    <w:p w:rsidR="009B4B61" w:rsidRPr="00C25838" w:rsidP="009B4B61" w14:paraId="7595655A" w14:textId="3CCB98D2">
      <w:pPr>
        <w:pStyle w:val="bullets"/>
        <w:numPr>
          <w:ilvl w:val="2"/>
          <w:numId w:val="40"/>
        </w:numPr>
        <w:spacing w:after="0"/>
        <w:rPr>
          <w:b/>
          <w:bCs/>
          <w:szCs w:val="24"/>
        </w:rPr>
      </w:pPr>
      <w:r>
        <w:rPr>
          <w:szCs w:val="24"/>
        </w:rPr>
        <w:t>What types of prevention strategies were associated with higher/lower levels of outcome improvement across grantees/communities?</w:t>
      </w:r>
    </w:p>
    <w:p w:rsidR="009B4B61" w:rsidRPr="00C25838" w:rsidP="009B4B61" w14:paraId="7F5E2B1F" w14:textId="77777777">
      <w:pPr>
        <w:pStyle w:val="bullets"/>
        <w:numPr>
          <w:ilvl w:val="2"/>
          <w:numId w:val="40"/>
        </w:numPr>
        <w:spacing w:after="0"/>
        <w:rPr>
          <w:b/>
          <w:bCs/>
          <w:szCs w:val="24"/>
        </w:rPr>
      </w:pPr>
      <w:r>
        <w:rPr>
          <w:szCs w:val="24"/>
        </w:rPr>
        <w:t xml:space="preserve">Which findings from the performance monitoring and process evaluation appeared to be drivers of outcome improvement? </w:t>
      </w:r>
    </w:p>
    <w:p w:rsidR="009B4B61" w:rsidRPr="00B65215" w:rsidP="009B4B61" w14:paraId="5AA94729" w14:textId="4EBFC36D">
      <w:pPr>
        <w:pStyle w:val="bullets"/>
        <w:numPr>
          <w:ilvl w:val="2"/>
          <w:numId w:val="40"/>
        </w:numPr>
        <w:spacing w:after="0"/>
        <w:rPr>
          <w:b/>
          <w:bCs/>
          <w:szCs w:val="24"/>
        </w:rPr>
      </w:pPr>
      <w:r>
        <w:rPr>
          <w:szCs w:val="24"/>
        </w:rPr>
        <w:t xml:space="preserve">What was the impact of the SPF Rx program on outcomes (estimated by comparing communities receiving SPF Rx programming to communities not receiving such programming)? </w:t>
      </w:r>
    </w:p>
    <w:p w:rsidR="007F1F30" w:rsidP="003F5A31" w14:paraId="0AE14CCF" w14:textId="0FCC2EBD">
      <w:pPr>
        <w:pStyle w:val="Heading2"/>
      </w:pPr>
      <w:r>
        <w:t>A.1.c. Overview of Data Collection Plan</w:t>
      </w:r>
    </w:p>
    <w:p w:rsidR="00B0133A" w:rsidRPr="000655BF" w:rsidP="00B0133A" w14:paraId="3A90EE00" w14:textId="35F9B7AE">
      <w:r>
        <w:t xml:space="preserve">The evaluation </w:t>
      </w:r>
      <w:r w:rsidR="00495182">
        <w:t>includes</w:t>
      </w:r>
      <w:r>
        <w:t xml:space="preserve"> yearly</w:t>
      </w:r>
      <w:r w:rsidR="00D35A6E">
        <w:t xml:space="preserve"> quantitative and qualitative</w:t>
      </w:r>
      <w:r>
        <w:t xml:space="preserve"> </w:t>
      </w:r>
      <w:r w:rsidR="00EB2A28">
        <w:t xml:space="preserve">data collection </w:t>
      </w:r>
      <w:r w:rsidR="00D35A6E">
        <w:t>using</w:t>
      </w:r>
      <w:r w:rsidR="00EB2A28">
        <w:t xml:space="preserve"> the </w:t>
      </w:r>
      <w:r w:rsidR="003F1D06">
        <w:t>ART</w:t>
      </w:r>
      <w:r w:rsidR="00CC6889">
        <w:t>,</w:t>
      </w:r>
      <w:r w:rsidR="004D744C">
        <w:t xml:space="preserve"> </w:t>
      </w:r>
      <w:r w:rsidR="00EB2A28">
        <w:t>the</w:t>
      </w:r>
      <w:r>
        <w:t xml:space="preserve"> Grantee- and Community-Level </w:t>
      </w:r>
      <w:r w:rsidR="007E5D8C">
        <w:t xml:space="preserve">PDMP </w:t>
      </w:r>
      <w:r>
        <w:t>Outcomes</w:t>
      </w:r>
      <w:r w:rsidR="00EB2A28">
        <w:t xml:space="preserve"> </w:t>
      </w:r>
      <w:r w:rsidR="009709FA">
        <w:t>M</w:t>
      </w:r>
      <w:r w:rsidR="00EB2A28">
        <w:t>odules</w:t>
      </w:r>
      <w:r w:rsidR="004F6AF0">
        <w:t xml:space="preserve">, and the </w:t>
      </w:r>
      <w:r w:rsidR="00495182">
        <w:t>G</w:t>
      </w:r>
      <w:r w:rsidR="004F6AF0">
        <w:t xml:space="preserve">rantee-level </w:t>
      </w:r>
      <w:r w:rsidR="00495182">
        <w:t>I</w:t>
      </w:r>
      <w:r w:rsidR="004F6AF0">
        <w:t>nterview</w:t>
      </w:r>
      <w:r>
        <w:t xml:space="preserve">. The </w:t>
      </w:r>
      <w:r w:rsidR="003F1D06">
        <w:t>ART</w:t>
      </w:r>
      <w:r>
        <w:t xml:space="preserve"> </w:t>
      </w:r>
      <w:r w:rsidR="00970F4A">
        <w:t>contains</w:t>
      </w:r>
      <w:r>
        <w:t xml:space="preserve"> questions </w:t>
      </w:r>
      <w:r w:rsidR="004808B7">
        <w:t>for</w:t>
      </w:r>
      <w:r>
        <w:t xml:space="preserve"> </w:t>
      </w:r>
      <w:r w:rsidR="009A6624">
        <w:t xml:space="preserve">grantees and </w:t>
      </w:r>
      <w:r w:rsidR="004808B7">
        <w:t>subrecipient</w:t>
      </w:r>
      <w:r w:rsidR="00AE13C4">
        <w:t>s</w:t>
      </w:r>
      <w:r w:rsidR="004808B7">
        <w:t xml:space="preserve"> on their</w:t>
      </w:r>
      <w:r>
        <w:t xml:space="preserve"> </w:t>
      </w:r>
      <w:r w:rsidR="001F5A41">
        <w:t>needs assessment</w:t>
      </w:r>
      <w:r w:rsidR="001F5A41">
        <w:t xml:space="preserve">, data sources, resources, </w:t>
      </w:r>
      <w:r w:rsidR="005613EE">
        <w:t xml:space="preserve">and </w:t>
      </w:r>
      <w:r w:rsidR="001F5A41">
        <w:t>capacity building and sustainability</w:t>
      </w:r>
      <w:r w:rsidR="004808B7">
        <w:t xml:space="preserve">, </w:t>
      </w:r>
      <w:r w:rsidR="00D00AE7">
        <w:t>SPF Rx</w:t>
      </w:r>
      <w:r>
        <w:t xml:space="preserve"> interventions </w:t>
      </w:r>
      <w:r w:rsidR="004808B7">
        <w:t>they</w:t>
      </w:r>
      <w:r>
        <w:t xml:space="preserve"> implement</w:t>
      </w:r>
      <w:r w:rsidR="004642E6">
        <w:t>ed</w:t>
      </w:r>
      <w:r>
        <w:t xml:space="preserve"> and the</w:t>
      </w:r>
      <w:r w:rsidR="004808B7">
        <w:t>ir</w:t>
      </w:r>
      <w:r>
        <w:t xml:space="preserve"> target population</w:t>
      </w:r>
      <w:r w:rsidR="00D35A6E">
        <w:t>s</w:t>
      </w:r>
      <w:r>
        <w:t xml:space="preserve"> and reach. The </w:t>
      </w:r>
      <w:r w:rsidR="003F1D06">
        <w:t>ART</w:t>
      </w:r>
      <w:r>
        <w:t xml:space="preserve"> serve</w:t>
      </w:r>
      <w:r w:rsidR="00D35A6E">
        <w:t>s</w:t>
      </w:r>
      <w:r>
        <w:t xml:space="preserve"> as </w:t>
      </w:r>
      <w:r w:rsidR="004808B7">
        <w:t>a</w:t>
      </w:r>
      <w:r>
        <w:t xml:space="preserve"> source of</w:t>
      </w:r>
      <w:r w:rsidR="00692D74">
        <w:t xml:space="preserve"> </w:t>
      </w:r>
      <w:r w:rsidR="00F53F22">
        <w:t xml:space="preserve">performance monitoring and </w:t>
      </w:r>
      <w:r w:rsidR="00692D74">
        <w:t>process</w:t>
      </w:r>
      <w:r w:rsidR="00F53F22">
        <w:t xml:space="preserve"> evaluation</w:t>
      </w:r>
      <w:r w:rsidR="00692D74">
        <w:t xml:space="preserve"> </w:t>
      </w:r>
      <w:r w:rsidR="00203DA4">
        <w:t>data and</w:t>
      </w:r>
      <w:r w:rsidR="004642E6">
        <w:t xml:space="preserve"> will </w:t>
      </w:r>
      <w:r w:rsidR="00692D74">
        <w:t xml:space="preserve">provide </w:t>
      </w:r>
      <w:r w:rsidR="003256C5">
        <w:t>independent</w:t>
      </w:r>
      <w:r>
        <w:t xml:space="preserve"> </w:t>
      </w:r>
      <w:r w:rsidR="004808B7">
        <w:t xml:space="preserve">and moderator </w:t>
      </w:r>
      <w:r>
        <w:t>variables for the evaluation</w:t>
      </w:r>
      <w:r w:rsidR="00692D74">
        <w:t xml:space="preserve"> of outcomes</w:t>
      </w:r>
      <w:r w:rsidR="00B42A45">
        <w:t>.</w:t>
      </w:r>
      <w:r>
        <w:t xml:space="preserve"> Grantee- and Community-Level </w:t>
      </w:r>
      <w:r w:rsidR="007E5D8C">
        <w:t xml:space="preserve">PDMP </w:t>
      </w:r>
      <w:r>
        <w:t xml:space="preserve">outcomes are </w:t>
      </w:r>
      <w:r w:rsidR="004808B7">
        <w:t xml:space="preserve">one set of </w:t>
      </w:r>
      <w:r>
        <w:t xml:space="preserve">dependent variables </w:t>
      </w:r>
      <w:r w:rsidR="004808B7">
        <w:t xml:space="preserve">for the evaluation </w:t>
      </w:r>
      <w:r>
        <w:t xml:space="preserve">and were selected as indicators of </w:t>
      </w:r>
      <w:r w:rsidR="004F6AF0">
        <w:t xml:space="preserve">improvements in the </w:t>
      </w:r>
      <w:r w:rsidR="004F6AF0">
        <w:t>use of PDMPs</w:t>
      </w:r>
      <w:r>
        <w:t xml:space="preserve">. The </w:t>
      </w:r>
      <w:r w:rsidR="007E5D8C">
        <w:t xml:space="preserve">PDMP </w:t>
      </w:r>
      <w:r>
        <w:t xml:space="preserve">outcomes modules include </w:t>
      </w:r>
      <w:r w:rsidR="004808B7">
        <w:t>two</w:t>
      </w:r>
      <w:r>
        <w:t xml:space="preserve"> categories of indicators: </w:t>
      </w:r>
      <w:r w:rsidR="004F6AF0">
        <w:t xml:space="preserve">opioid prescribing patterns and </w:t>
      </w:r>
      <w:r>
        <w:t xml:space="preserve">prescriber use of </w:t>
      </w:r>
      <w:r w:rsidR="0096773C">
        <w:t>P</w:t>
      </w:r>
      <w:r>
        <w:t>DMPs.</w:t>
      </w:r>
      <w:r w:rsidR="004D744C">
        <w:t xml:space="preserve"> The Grantee-Level Interviews will be conducted with the </w:t>
      </w:r>
      <w:r w:rsidR="005613EE">
        <w:t>p</w:t>
      </w:r>
      <w:r w:rsidR="004D744C">
        <w:t xml:space="preserve">roject </w:t>
      </w:r>
      <w:r w:rsidR="005613EE">
        <w:t>d</w:t>
      </w:r>
      <w:r w:rsidR="004D744C">
        <w:t>irector or designated staff for the state-, tribal-, or territory-level SPF Rx Program.</w:t>
      </w:r>
      <w:r w:rsidR="00CF3035">
        <w:t xml:space="preserve"> </w:t>
      </w:r>
      <w:r w:rsidR="00B5033B">
        <w:t xml:space="preserve">Interviews </w:t>
      </w:r>
      <w:r w:rsidR="00A82A95">
        <w:t xml:space="preserve">will </w:t>
      </w:r>
      <w:r w:rsidR="00B5033B">
        <w:t>collect information on the specific contextual factors that have been found to influence implementation and align with the evaluation questions listed above</w:t>
      </w:r>
      <w:r w:rsidR="00996A0C">
        <w:t>. Interviews</w:t>
      </w:r>
      <w:r w:rsidR="00B5033B">
        <w:t xml:space="preserve"> also include questions aimed at collecting information on perceptions of how the population assesses the risks associated with fake and counterfeit pills. </w:t>
      </w:r>
    </w:p>
    <w:p w:rsidR="00CF3035" w:rsidRPr="000655BF" w:rsidP="00B0133A" w14:paraId="65357546" w14:textId="77777777">
      <w:pPr>
        <w:rPr>
          <w:szCs w:val="24"/>
        </w:rPr>
      </w:pPr>
    </w:p>
    <w:p w:rsidR="00996A0C" w:rsidP="003F5A31" w14:paraId="47FC3622" w14:textId="22D9C118">
      <w:pPr>
        <w:pStyle w:val="Heading2"/>
      </w:pPr>
      <w:r>
        <w:t>A.1.d. Timeline for Data Collection</w:t>
      </w:r>
    </w:p>
    <w:p w:rsidR="0053734B" w:rsidP="0053734B" w14:paraId="03B4E7B2" w14:textId="08C407B9">
      <w:pPr>
        <w:pStyle w:val="BodyText"/>
        <w:spacing w:after="0"/>
        <w:rPr>
          <w:sz w:val="24"/>
          <w:szCs w:val="24"/>
        </w:rPr>
      </w:pPr>
      <w:r w:rsidRPr="52AD967A">
        <w:rPr>
          <w:sz w:val="24"/>
          <w:szCs w:val="24"/>
        </w:rPr>
        <w:t>To reduce burden, the SPF Rx evaluation also will use data from other sources</w:t>
      </w:r>
      <w:r w:rsidRPr="52AD967A" w:rsidR="0033059F">
        <w:rPr>
          <w:sz w:val="24"/>
          <w:szCs w:val="24"/>
        </w:rPr>
        <w:t>,</w:t>
      </w:r>
      <w:r w:rsidRPr="52AD967A">
        <w:rPr>
          <w:sz w:val="24"/>
          <w:szCs w:val="24"/>
        </w:rPr>
        <w:t xml:space="preserve"> including SPF Rx grantee proposals, SAMHSA's Performance Accountability and Reporting System (SPARS), and secondary outcome data sources. Document review of </w:t>
      </w:r>
      <w:r w:rsidRPr="52AD967A">
        <w:rPr>
          <w:sz w:val="24"/>
          <w:szCs w:val="24"/>
        </w:rPr>
        <w:t>grantee</w:t>
      </w:r>
      <w:r w:rsidRPr="52AD967A">
        <w:rPr>
          <w:sz w:val="24"/>
          <w:szCs w:val="24"/>
        </w:rPr>
        <w:t xml:space="preserve"> proposals will provide information on SPF Rx </w:t>
      </w:r>
      <w:r w:rsidRPr="52AD967A">
        <w:rPr>
          <w:sz w:val="24"/>
          <w:szCs w:val="24"/>
        </w:rPr>
        <w:t>grantee</w:t>
      </w:r>
      <w:r w:rsidRPr="52AD967A">
        <w:rPr>
          <w:sz w:val="24"/>
          <w:szCs w:val="24"/>
        </w:rPr>
        <w:t xml:space="preserve"> planned activities and targets. In SPARS </w:t>
      </w:r>
      <w:r w:rsidRPr="00D8376C">
        <w:rPr>
          <w:sz w:val="24"/>
          <w:szCs w:val="24"/>
        </w:rPr>
        <w:t>(OMB #</w:t>
      </w:r>
      <w:r w:rsidRPr="00D8376C" w:rsidR="007F0540">
        <w:rPr>
          <w:sz w:val="24"/>
          <w:szCs w:val="24"/>
        </w:rPr>
        <w:t>0930</w:t>
      </w:r>
      <w:r w:rsidRPr="00D8376C" w:rsidR="00A51480">
        <w:rPr>
          <w:sz w:val="24"/>
          <w:szCs w:val="24"/>
        </w:rPr>
        <w:t>-</w:t>
      </w:r>
      <w:r w:rsidRPr="00D8376C" w:rsidR="007F0540">
        <w:rPr>
          <w:sz w:val="24"/>
          <w:szCs w:val="24"/>
        </w:rPr>
        <w:t xml:space="preserve">0354 </w:t>
      </w:r>
      <w:r w:rsidRPr="00D8376C">
        <w:rPr>
          <w:sz w:val="24"/>
          <w:szCs w:val="24"/>
        </w:rPr>
        <w:t xml:space="preserve">Expiration Date: </w:t>
      </w:r>
      <w:r w:rsidRPr="00D8376C" w:rsidR="007F0540">
        <w:rPr>
          <w:sz w:val="24"/>
          <w:szCs w:val="24"/>
        </w:rPr>
        <w:t>11</w:t>
      </w:r>
      <w:r w:rsidRPr="00D8376C">
        <w:rPr>
          <w:sz w:val="24"/>
          <w:szCs w:val="24"/>
        </w:rPr>
        <w:t>/</w:t>
      </w:r>
      <w:r w:rsidRPr="00D8376C" w:rsidR="007F0540">
        <w:rPr>
          <w:sz w:val="24"/>
          <w:szCs w:val="24"/>
        </w:rPr>
        <w:t>30</w:t>
      </w:r>
      <w:r w:rsidRPr="00D8376C">
        <w:rPr>
          <w:sz w:val="24"/>
          <w:szCs w:val="24"/>
        </w:rPr>
        <w:t>/</w:t>
      </w:r>
      <w:r w:rsidRPr="00D8376C" w:rsidR="007F0540">
        <w:rPr>
          <w:sz w:val="24"/>
          <w:szCs w:val="24"/>
        </w:rPr>
        <w:t>2027</w:t>
      </w:r>
      <w:r w:rsidRPr="00D8376C">
        <w:rPr>
          <w:sz w:val="24"/>
          <w:szCs w:val="24"/>
        </w:rPr>
        <w:t>)</w:t>
      </w:r>
      <w:r w:rsidRPr="52AD967A">
        <w:rPr>
          <w:sz w:val="24"/>
          <w:szCs w:val="24"/>
        </w:rPr>
        <w:t xml:space="preserve">, SPF Rx grantees report quarterly on their grant progress and challenges into the Division of State Programs-Management Reporting Tool and annually into the </w:t>
      </w:r>
      <w:r w:rsidRPr="52AD967A">
        <w:rPr>
          <w:sz w:val="24"/>
          <w:szCs w:val="24"/>
        </w:rPr>
        <w:t>outcomes</w:t>
      </w:r>
      <w:r w:rsidRPr="52AD967A">
        <w:rPr>
          <w:sz w:val="24"/>
          <w:szCs w:val="24"/>
        </w:rPr>
        <w:t xml:space="preserve"> module</w:t>
      </w:r>
      <w:r>
        <w:t xml:space="preserve">, </w:t>
      </w:r>
      <w:r w:rsidRPr="52AD967A">
        <w:rPr>
          <w:sz w:val="24"/>
          <w:szCs w:val="24"/>
        </w:rPr>
        <w:t>providing grantee- and community-level information on opioid overdoses</w:t>
      </w:r>
      <w:r w:rsidRPr="52AD967A" w:rsidR="0033059F">
        <w:rPr>
          <w:sz w:val="24"/>
          <w:szCs w:val="24"/>
        </w:rPr>
        <w:t xml:space="preserve"> and</w:t>
      </w:r>
      <w:r w:rsidRPr="52AD967A">
        <w:rPr>
          <w:sz w:val="24"/>
          <w:szCs w:val="24"/>
        </w:rPr>
        <w:t xml:space="preserve"> steps to enhance access to and use of PDMP data</w:t>
      </w:r>
      <w:r w:rsidRPr="52AD967A" w:rsidR="00A51480">
        <w:rPr>
          <w:sz w:val="24"/>
          <w:szCs w:val="24"/>
        </w:rPr>
        <w:t xml:space="preserve">. </w:t>
      </w:r>
      <w:r w:rsidRPr="52AD967A">
        <w:rPr>
          <w:sz w:val="24"/>
          <w:szCs w:val="24"/>
        </w:rPr>
        <w:t xml:space="preserve">Secondary outcome data sources </w:t>
      </w:r>
      <w:r w:rsidRPr="52AD967A" w:rsidR="009A6624">
        <w:rPr>
          <w:sz w:val="24"/>
          <w:szCs w:val="24"/>
        </w:rPr>
        <w:t xml:space="preserve">being considered for </w:t>
      </w:r>
      <w:r w:rsidRPr="52AD967A">
        <w:rPr>
          <w:sz w:val="24"/>
          <w:szCs w:val="24"/>
        </w:rPr>
        <w:t xml:space="preserve">the SPF Rx evaluation will </w:t>
      </w:r>
      <w:r w:rsidRPr="52AD967A" w:rsidR="006A2772">
        <w:rPr>
          <w:sz w:val="24"/>
          <w:szCs w:val="24"/>
        </w:rPr>
        <w:t xml:space="preserve">include </w:t>
      </w:r>
      <w:r w:rsidRPr="52AD967A" w:rsidR="0033059F">
        <w:rPr>
          <w:sz w:val="24"/>
          <w:szCs w:val="24"/>
        </w:rPr>
        <w:t>w</w:t>
      </w:r>
      <w:r w:rsidRPr="52AD967A" w:rsidR="006A2772">
        <w:rPr>
          <w:sz w:val="24"/>
          <w:szCs w:val="24"/>
        </w:rPr>
        <w:t xml:space="preserve">astewater </w:t>
      </w:r>
      <w:r w:rsidRPr="52AD967A" w:rsidR="0033059F">
        <w:rPr>
          <w:sz w:val="24"/>
          <w:szCs w:val="24"/>
        </w:rPr>
        <w:t>m</w:t>
      </w:r>
      <w:r w:rsidRPr="52AD967A" w:rsidR="006A2772">
        <w:rPr>
          <w:sz w:val="24"/>
          <w:szCs w:val="24"/>
        </w:rPr>
        <w:t xml:space="preserve">onitoring </w:t>
      </w:r>
      <w:r w:rsidRPr="52AD967A" w:rsidR="0033059F">
        <w:rPr>
          <w:sz w:val="24"/>
          <w:szCs w:val="24"/>
        </w:rPr>
        <w:t>d</w:t>
      </w:r>
      <w:r w:rsidRPr="52AD967A" w:rsidR="006A2772">
        <w:rPr>
          <w:sz w:val="24"/>
          <w:szCs w:val="24"/>
        </w:rPr>
        <w:t xml:space="preserve">ata, </w:t>
      </w:r>
      <w:r w:rsidRPr="52AD967A" w:rsidR="00A51480">
        <w:rPr>
          <w:sz w:val="24"/>
          <w:szCs w:val="24"/>
        </w:rPr>
        <w:t>C</w:t>
      </w:r>
      <w:r w:rsidRPr="52AD967A" w:rsidR="0033059F">
        <w:rPr>
          <w:sz w:val="24"/>
          <w:szCs w:val="24"/>
        </w:rPr>
        <w:t xml:space="preserve">enters for </w:t>
      </w:r>
      <w:r w:rsidRPr="52AD967A" w:rsidR="00A51480">
        <w:rPr>
          <w:sz w:val="24"/>
          <w:szCs w:val="24"/>
        </w:rPr>
        <w:t>D</w:t>
      </w:r>
      <w:r w:rsidRPr="52AD967A" w:rsidR="0033059F">
        <w:rPr>
          <w:sz w:val="24"/>
          <w:szCs w:val="24"/>
        </w:rPr>
        <w:t xml:space="preserve">isease </w:t>
      </w:r>
      <w:r w:rsidRPr="52AD967A" w:rsidR="00A51480">
        <w:rPr>
          <w:sz w:val="24"/>
          <w:szCs w:val="24"/>
        </w:rPr>
        <w:t>C</w:t>
      </w:r>
      <w:r w:rsidRPr="52AD967A" w:rsidR="0033059F">
        <w:rPr>
          <w:sz w:val="24"/>
          <w:szCs w:val="24"/>
        </w:rPr>
        <w:t>ontrol and Prevention</w:t>
      </w:r>
      <w:r w:rsidRPr="52AD967A" w:rsidR="00A51480">
        <w:rPr>
          <w:sz w:val="24"/>
          <w:szCs w:val="24"/>
        </w:rPr>
        <w:t xml:space="preserve"> </w:t>
      </w:r>
      <w:r w:rsidRPr="52AD967A" w:rsidR="0033059F">
        <w:rPr>
          <w:sz w:val="24"/>
          <w:szCs w:val="24"/>
        </w:rPr>
        <w:t>o</w:t>
      </w:r>
      <w:r w:rsidRPr="52AD967A" w:rsidR="00A51480">
        <w:rPr>
          <w:sz w:val="24"/>
          <w:szCs w:val="24"/>
        </w:rPr>
        <w:t xml:space="preserve">pioid </w:t>
      </w:r>
      <w:r w:rsidRPr="52AD967A" w:rsidR="0033059F">
        <w:rPr>
          <w:sz w:val="24"/>
          <w:szCs w:val="24"/>
        </w:rPr>
        <w:t>d</w:t>
      </w:r>
      <w:r w:rsidRPr="52AD967A" w:rsidR="00A51480">
        <w:rPr>
          <w:sz w:val="24"/>
          <w:szCs w:val="24"/>
        </w:rPr>
        <w:t xml:space="preserve">ispensing </w:t>
      </w:r>
      <w:r w:rsidRPr="52AD967A" w:rsidR="0033059F">
        <w:rPr>
          <w:sz w:val="24"/>
          <w:szCs w:val="24"/>
        </w:rPr>
        <w:t>r</w:t>
      </w:r>
      <w:r w:rsidRPr="52AD967A" w:rsidR="00A51480">
        <w:rPr>
          <w:sz w:val="24"/>
          <w:szCs w:val="24"/>
        </w:rPr>
        <w:t xml:space="preserve">ates, </w:t>
      </w:r>
      <w:r w:rsidRPr="52AD967A" w:rsidR="0033059F">
        <w:rPr>
          <w:sz w:val="24"/>
          <w:szCs w:val="24"/>
        </w:rPr>
        <w:t xml:space="preserve">the </w:t>
      </w:r>
      <w:r w:rsidRPr="52AD967A" w:rsidR="00A51480">
        <w:rPr>
          <w:sz w:val="24"/>
          <w:szCs w:val="24"/>
        </w:rPr>
        <w:t xml:space="preserve">National Survey on Drug Use and Health, and </w:t>
      </w:r>
      <w:r w:rsidRPr="52AD967A" w:rsidR="0033059F">
        <w:rPr>
          <w:sz w:val="24"/>
          <w:szCs w:val="24"/>
        </w:rPr>
        <w:t xml:space="preserve">the </w:t>
      </w:r>
      <w:r w:rsidRPr="52AD967A" w:rsidR="00A51480">
        <w:rPr>
          <w:sz w:val="24"/>
          <w:szCs w:val="24"/>
        </w:rPr>
        <w:t>Youth Risk Behavior Surveillance System</w:t>
      </w:r>
      <w:r w:rsidRPr="52AD967A" w:rsidR="00B37252">
        <w:rPr>
          <w:sz w:val="24"/>
          <w:szCs w:val="24"/>
        </w:rPr>
        <w:t xml:space="preserve">. </w:t>
      </w:r>
      <w:r w:rsidRPr="52AD967A">
        <w:rPr>
          <w:sz w:val="24"/>
          <w:szCs w:val="24"/>
        </w:rPr>
        <w:t>The PEPC team carefully reviewed each of the data sources to ensure nonduplication of data collection efforts and streamline data collection for the PEPC evaluation.</w:t>
      </w:r>
    </w:p>
    <w:p w:rsidR="0053734B" w:rsidRPr="00701712" w:rsidP="0053734B" w14:paraId="13F8009F" w14:textId="77777777">
      <w:pPr>
        <w:pStyle w:val="BodyText"/>
        <w:spacing w:after="0"/>
        <w:rPr>
          <w:sz w:val="24"/>
          <w:szCs w:val="24"/>
        </w:rPr>
      </w:pPr>
    </w:p>
    <w:p w:rsidR="005736E9" w:rsidP="00B0133A" w14:paraId="4EE0F557" w14:textId="7DE1C864">
      <w:pPr>
        <w:rPr>
          <w:szCs w:val="24"/>
        </w:rPr>
      </w:pPr>
      <w:r w:rsidRPr="000655BF">
        <w:rPr>
          <w:szCs w:val="24"/>
        </w:rPr>
        <w:t>Exhibit</w:t>
      </w:r>
      <w:r w:rsidRPr="000655BF" w:rsidR="00CF3035">
        <w:rPr>
          <w:szCs w:val="24"/>
        </w:rPr>
        <w:t xml:space="preserve"> </w:t>
      </w:r>
      <w:r w:rsidR="00E2473B">
        <w:rPr>
          <w:szCs w:val="24"/>
        </w:rPr>
        <w:t>3</w:t>
      </w:r>
      <w:r w:rsidRPr="000655BF" w:rsidR="00E2473B">
        <w:rPr>
          <w:szCs w:val="24"/>
        </w:rPr>
        <w:t xml:space="preserve"> </w:t>
      </w:r>
      <w:r w:rsidRPr="000655BF" w:rsidR="00CF3035">
        <w:rPr>
          <w:szCs w:val="24"/>
        </w:rPr>
        <w:t xml:space="preserve">provides an overview of the </w:t>
      </w:r>
      <w:r w:rsidR="007064B0">
        <w:rPr>
          <w:szCs w:val="24"/>
        </w:rPr>
        <w:t>PEPC</w:t>
      </w:r>
      <w:r w:rsidRPr="000655BF" w:rsidR="007064B0">
        <w:rPr>
          <w:szCs w:val="24"/>
        </w:rPr>
        <w:t xml:space="preserve"> data collection instruments</w:t>
      </w:r>
      <w:r w:rsidRPr="000655BF" w:rsidR="00CF3035">
        <w:rPr>
          <w:szCs w:val="24"/>
        </w:rPr>
        <w:t xml:space="preserve">, frequency of data collection, and number of times each tool </w:t>
      </w:r>
      <w:r w:rsidR="007064B0">
        <w:rPr>
          <w:szCs w:val="24"/>
        </w:rPr>
        <w:t>will be used</w:t>
      </w:r>
      <w:r>
        <w:rPr>
          <w:szCs w:val="24"/>
        </w:rPr>
        <w:t>.</w:t>
      </w:r>
    </w:p>
    <w:p w:rsidR="005736E9" w14:paraId="59D1A79A" w14:textId="77777777">
      <w:pPr>
        <w:suppressAutoHyphens w:val="0"/>
        <w:rPr>
          <w:szCs w:val="24"/>
        </w:rPr>
      </w:pPr>
      <w:r>
        <w:rPr>
          <w:szCs w:val="24"/>
        </w:rPr>
        <w:br w:type="page"/>
      </w:r>
    </w:p>
    <w:p w:rsidR="00CF3035" w:rsidRPr="000655BF" w:rsidP="00B0133A" w14:paraId="371A0FED" w14:textId="77777777">
      <w:pPr>
        <w:rPr>
          <w:szCs w:val="24"/>
        </w:rPr>
      </w:pPr>
    </w:p>
    <w:p w:rsidR="00885452" w:rsidRPr="000655BF" w:rsidP="00B0133A" w14:paraId="2730EE90" w14:textId="434E2124">
      <w:pPr>
        <w:rPr>
          <w:szCs w:val="24"/>
        </w:rPr>
      </w:pPr>
    </w:p>
    <w:p w:rsidR="00CF3035" w:rsidRPr="000655BF" w:rsidP="00B0133A" w14:paraId="1B3CC9A1" w14:textId="4B9595D9">
      <w:pPr>
        <w:rPr>
          <w:b/>
          <w:szCs w:val="24"/>
        </w:rPr>
      </w:pPr>
      <w:r w:rsidRPr="000655BF">
        <w:rPr>
          <w:b/>
          <w:szCs w:val="24"/>
        </w:rPr>
        <w:t>Exhibit</w:t>
      </w:r>
      <w:r w:rsidRPr="000655BF">
        <w:rPr>
          <w:b/>
          <w:szCs w:val="24"/>
        </w:rPr>
        <w:t xml:space="preserve"> </w:t>
      </w:r>
      <w:r w:rsidR="00E2473B">
        <w:rPr>
          <w:b/>
          <w:szCs w:val="24"/>
        </w:rPr>
        <w:t>3</w:t>
      </w:r>
      <w:r w:rsidRPr="000655BF">
        <w:rPr>
          <w:b/>
          <w:szCs w:val="24"/>
        </w:rPr>
        <w:t xml:space="preserve">. </w:t>
      </w:r>
      <w:r w:rsidR="00E8349D">
        <w:rPr>
          <w:b/>
          <w:szCs w:val="24"/>
        </w:rPr>
        <w:t>PEPC</w:t>
      </w:r>
      <w:r w:rsidRPr="000655BF">
        <w:rPr>
          <w:b/>
          <w:szCs w:val="24"/>
        </w:rPr>
        <w:t xml:space="preserve"> </w:t>
      </w:r>
      <w:r w:rsidRPr="000655BF" w:rsidR="005E1E2A">
        <w:rPr>
          <w:b/>
          <w:szCs w:val="24"/>
        </w:rPr>
        <w:t xml:space="preserve">Cross-Site Evaluation </w:t>
      </w:r>
      <w:r w:rsidRPr="000655BF">
        <w:rPr>
          <w:b/>
          <w:szCs w:val="24"/>
        </w:rPr>
        <w:t>Data Collection Tools</w:t>
      </w:r>
      <w:r w:rsidRPr="000655BF" w:rsidR="00856723">
        <w:rPr>
          <w:b/>
          <w:szCs w:val="24"/>
        </w:rPr>
        <w:t xml:space="preserve"> (N</w:t>
      </w:r>
      <w:r w:rsidR="004642E6">
        <w:rPr>
          <w:b/>
          <w:szCs w:val="24"/>
        </w:rPr>
        <w:t> </w:t>
      </w:r>
      <w:r w:rsidRPr="000655BF" w:rsidR="00A32F64">
        <w:rPr>
          <w:b/>
          <w:szCs w:val="24"/>
        </w:rPr>
        <w:t>=</w:t>
      </w:r>
      <w:r w:rsidR="004642E6">
        <w:rPr>
          <w:b/>
          <w:szCs w:val="24"/>
        </w:rPr>
        <w:t> </w:t>
      </w:r>
      <w:r w:rsidR="0053734B">
        <w:rPr>
          <w:b/>
          <w:szCs w:val="24"/>
        </w:rPr>
        <w:t>36</w:t>
      </w:r>
      <w:r w:rsidRPr="000655BF" w:rsidR="000E51E4">
        <w:rPr>
          <w:b/>
          <w:szCs w:val="24"/>
        </w:rPr>
        <w:t xml:space="preserve"> </w:t>
      </w:r>
      <w:r w:rsidRPr="000655BF" w:rsidR="00A32F64">
        <w:rPr>
          <w:b/>
          <w:szCs w:val="24"/>
        </w:rPr>
        <w:t>grantees and</w:t>
      </w:r>
      <w:r w:rsidRPr="000655BF" w:rsidR="009220DD">
        <w:rPr>
          <w:b/>
          <w:szCs w:val="24"/>
        </w:rPr>
        <w:t xml:space="preserve"> </w:t>
      </w:r>
      <w:r w:rsidR="0053734B">
        <w:rPr>
          <w:b/>
          <w:szCs w:val="24"/>
        </w:rPr>
        <w:t>187</w:t>
      </w:r>
      <w:r w:rsidRPr="000655BF" w:rsidR="000E51E4">
        <w:rPr>
          <w:b/>
          <w:szCs w:val="24"/>
        </w:rPr>
        <w:t xml:space="preserve"> </w:t>
      </w:r>
      <w:r w:rsidRPr="000655BF" w:rsidR="00A32F64">
        <w:rPr>
          <w:b/>
          <w:szCs w:val="24"/>
        </w:rPr>
        <w:t>subrecipients)</w:t>
      </w:r>
    </w:p>
    <w:p w:rsidR="004E6FB0" w:rsidRPr="000655BF" w:rsidP="00B0133A" w14:paraId="060FEBA0" w14:textId="77777777">
      <w:pPr>
        <w:rPr>
          <w:szCs w:val="24"/>
        </w:rPr>
      </w:pPr>
    </w:p>
    <w:tbl>
      <w:tblPr>
        <w:tblStyle w:val="TableGrid"/>
        <w:tblW w:w="9501" w:type="dxa"/>
        <w:tblLook w:val="04A0"/>
      </w:tblPr>
      <w:tblGrid>
        <w:gridCol w:w="1878"/>
        <w:gridCol w:w="2084"/>
        <w:gridCol w:w="1973"/>
        <w:gridCol w:w="2079"/>
        <w:gridCol w:w="1487"/>
      </w:tblGrid>
      <w:tr w14:paraId="6729CED3" w14:textId="77777777" w:rsidTr="00970389">
        <w:tblPrEx>
          <w:tblW w:w="9501" w:type="dxa"/>
          <w:tblLook w:val="04A0"/>
        </w:tblPrEx>
        <w:tc>
          <w:tcPr>
            <w:tcW w:w="1878" w:type="dxa"/>
            <w:shd w:val="clear" w:color="auto" w:fill="8DB3E2" w:themeFill="text2" w:themeFillTint="66"/>
          </w:tcPr>
          <w:p w:rsidR="005E1E2A" w:rsidRPr="000655BF" w:rsidP="00B0133A" w14:paraId="2BCF0D34" w14:textId="77777777">
            <w:pPr>
              <w:rPr>
                <w:szCs w:val="24"/>
              </w:rPr>
            </w:pPr>
            <w:r w:rsidRPr="000655BF">
              <w:rPr>
                <w:szCs w:val="24"/>
              </w:rPr>
              <w:t>Instrument</w:t>
            </w:r>
          </w:p>
        </w:tc>
        <w:tc>
          <w:tcPr>
            <w:tcW w:w="2084" w:type="dxa"/>
            <w:shd w:val="clear" w:color="auto" w:fill="8DB3E2" w:themeFill="text2" w:themeFillTint="66"/>
          </w:tcPr>
          <w:p w:rsidR="005E1E2A" w:rsidRPr="000655BF" w:rsidP="00B0133A" w14:paraId="413A4095" w14:textId="77777777">
            <w:pPr>
              <w:rPr>
                <w:szCs w:val="24"/>
              </w:rPr>
            </w:pPr>
            <w:r w:rsidRPr="000655BF">
              <w:rPr>
                <w:szCs w:val="24"/>
              </w:rPr>
              <w:t>Data Collection Method</w:t>
            </w:r>
          </w:p>
        </w:tc>
        <w:tc>
          <w:tcPr>
            <w:tcW w:w="1973" w:type="dxa"/>
            <w:shd w:val="clear" w:color="auto" w:fill="8DB3E2" w:themeFill="text2" w:themeFillTint="66"/>
          </w:tcPr>
          <w:p w:rsidR="005E1E2A" w:rsidRPr="000655BF" w:rsidP="00B0133A" w14:paraId="72CC72E9" w14:textId="77777777">
            <w:pPr>
              <w:rPr>
                <w:szCs w:val="24"/>
              </w:rPr>
            </w:pPr>
            <w:r w:rsidRPr="000655BF">
              <w:rPr>
                <w:szCs w:val="24"/>
              </w:rPr>
              <w:t>Frequency of Data Collection</w:t>
            </w:r>
          </w:p>
        </w:tc>
        <w:tc>
          <w:tcPr>
            <w:tcW w:w="2079" w:type="dxa"/>
            <w:shd w:val="clear" w:color="auto" w:fill="8DB3E2" w:themeFill="text2" w:themeFillTint="66"/>
          </w:tcPr>
          <w:p w:rsidR="005E1E2A" w:rsidRPr="000655BF" w:rsidP="00B0133A" w14:paraId="28614C3B" w14:textId="77777777">
            <w:pPr>
              <w:rPr>
                <w:szCs w:val="24"/>
              </w:rPr>
            </w:pPr>
            <w:r w:rsidRPr="000655BF">
              <w:rPr>
                <w:szCs w:val="24"/>
              </w:rPr>
              <w:t>Maximum Number of Data Collections</w:t>
            </w:r>
          </w:p>
        </w:tc>
        <w:tc>
          <w:tcPr>
            <w:tcW w:w="1487" w:type="dxa"/>
            <w:shd w:val="clear" w:color="auto" w:fill="8DB3E2" w:themeFill="text2" w:themeFillTint="66"/>
          </w:tcPr>
          <w:p w:rsidR="005E1E2A" w:rsidRPr="000655BF" w:rsidP="00B0133A" w14:paraId="37B64961" w14:textId="77777777">
            <w:pPr>
              <w:rPr>
                <w:szCs w:val="24"/>
              </w:rPr>
            </w:pPr>
            <w:r w:rsidRPr="000655BF">
              <w:rPr>
                <w:szCs w:val="24"/>
              </w:rPr>
              <w:t>Attachment Number</w:t>
            </w:r>
          </w:p>
        </w:tc>
      </w:tr>
      <w:tr w14:paraId="4793BDE3" w14:textId="77777777" w:rsidTr="00970389">
        <w:tblPrEx>
          <w:tblW w:w="9501" w:type="dxa"/>
          <w:tblLook w:val="04A0"/>
        </w:tblPrEx>
        <w:tc>
          <w:tcPr>
            <w:tcW w:w="1878" w:type="dxa"/>
          </w:tcPr>
          <w:p w:rsidR="005E1E2A" w:rsidRPr="000655BF" w:rsidP="00B0133A" w14:paraId="49F06485" w14:textId="544353BC">
            <w:pPr>
              <w:rPr>
                <w:szCs w:val="24"/>
              </w:rPr>
            </w:pPr>
            <w:r>
              <w:rPr>
                <w:szCs w:val="24"/>
              </w:rPr>
              <w:t>ART</w:t>
            </w:r>
          </w:p>
        </w:tc>
        <w:tc>
          <w:tcPr>
            <w:tcW w:w="2084" w:type="dxa"/>
          </w:tcPr>
          <w:p w:rsidR="005E1E2A" w:rsidRPr="000655BF" w:rsidP="00C22712" w14:paraId="264D236D" w14:textId="51E1572B">
            <w:pPr>
              <w:rPr>
                <w:szCs w:val="24"/>
              </w:rPr>
            </w:pPr>
            <w:r w:rsidRPr="000655BF">
              <w:rPr>
                <w:szCs w:val="24"/>
              </w:rPr>
              <w:t xml:space="preserve">Grantees and subrecipients both </w:t>
            </w:r>
            <w:r w:rsidRPr="000655BF" w:rsidR="001F5A41">
              <w:rPr>
                <w:szCs w:val="24"/>
              </w:rPr>
              <w:t>submit</w:t>
            </w:r>
            <w:r w:rsidRPr="000655BF">
              <w:rPr>
                <w:szCs w:val="24"/>
              </w:rPr>
              <w:t xml:space="preserve"> </w:t>
            </w:r>
            <w:r w:rsidR="007064B0">
              <w:rPr>
                <w:szCs w:val="24"/>
              </w:rPr>
              <w:t xml:space="preserve">data </w:t>
            </w:r>
            <w:r w:rsidRPr="000655BF">
              <w:rPr>
                <w:szCs w:val="24"/>
              </w:rPr>
              <w:t xml:space="preserve">in </w:t>
            </w:r>
            <w:r w:rsidR="00D00AE7">
              <w:rPr>
                <w:szCs w:val="24"/>
              </w:rPr>
              <w:t>PEPC</w:t>
            </w:r>
            <w:r w:rsidR="00F51BCE">
              <w:rPr>
                <w:szCs w:val="24"/>
              </w:rPr>
              <w:t xml:space="preserve"> </w:t>
            </w:r>
            <w:bookmarkStart w:id="8" w:name="_Hlk95134157"/>
            <w:r w:rsidR="00416B41">
              <w:rPr>
                <w:szCs w:val="24"/>
              </w:rPr>
              <w:t>CS-DCP</w:t>
            </w:r>
            <w:bookmarkEnd w:id="8"/>
            <w:r w:rsidR="00AD5C9B">
              <w:rPr>
                <w:szCs w:val="24"/>
              </w:rPr>
              <w:t>.</w:t>
            </w:r>
          </w:p>
        </w:tc>
        <w:tc>
          <w:tcPr>
            <w:tcW w:w="1973" w:type="dxa"/>
          </w:tcPr>
          <w:p w:rsidR="005E1E2A" w:rsidRPr="000655BF" w:rsidP="00C74797" w14:paraId="7854CFA8" w14:textId="77777777">
            <w:pPr>
              <w:rPr>
                <w:szCs w:val="24"/>
              </w:rPr>
            </w:pPr>
            <w:r w:rsidRPr="000655BF">
              <w:rPr>
                <w:szCs w:val="24"/>
              </w:rPr>
              <w:t>Yearly (subrecipients complete for each year funded)</w:t>
            </w:r>
          </w:p>
        </w:tc>
        <w:tc>
          <w:tcPr>
            <w:tcW w:w="2079" w:type="dxa"/>
          </w:tcPr>
          <w:p w:rsidR="00AE2139" w:rsidP="00C74CA5" w14:paraId="721FCF36" w14:textId="630BDDD4">
            <w:pPr>
              <w:rPr>
                <w:szCs w:val="24"/>
              </w:rPr>
            </w:pPr>
            <w:r>
              <w:rPr>
                <w:szCs w:val="24"/>
              </w:rPr>
              <w:t>3</w:t>
            </w:r>
            <w:r w:rsidRPr="000655BF">
              <w:rPr>
                <w:szCs w:val="24"/>
              </w:rPr>
              <w:t xml:space="preserve"> </w:t>
            </w:r>
            <w:r w:rsidRPr="000655BF" w:rsidR="00C74CA5">
              <w:rPr>
                <w:szCs w:val="24"/>
              </w:rPr>
              <w:t>times</w:t>
            </w:r>
            <w:r w:rsidRPr="000655BF" w:rsidR="005E1E2A">
              <w:rPr>
                <w:szCs w:val="24"/>
              </w:rPr>
              <w:t xml:space="preserve">: </w:t>
            </w:r>
          </w:p>
          <w:p w:rsidR="005E1E2A" w:rsidRPr="000655BF" w:rsidP="00C74CA5" w14:paraId="68AF4FAC" w14:textId="03583DCF">
            <w:pPr>
              <w:rPr>
                <w:szCs w:val="24"/>
              </w:rPr>
            </w:pPr>
            <w:r>
              <w:rPr>
                <w:szCs w:val="24"/>
              </w:rPr>
              <w:t>2026</w:t>
            </w:r>
            <w:r w:rsidR="00213AD5">
              <w:rPr>
                <w:szCs w:val="24"/>
              </w:rPr>
              <w:t xml:space="preserve">, </w:t>
            </w:r>
            <w:r>
              <w:rPr>
                <w:szCs w:val="24"/>
              </w:rPr>
              <w:t>2027</w:t>
            </w:r>
            <w:r w:rsidR="00213AD5">
              <w:rPr>
                <w:szCs w:val="24"/>
              </w:rPr>
              <w:t>, and 2028</w:t>
            </w:r>
          </w:p>
        </w:tc>
        <w:tc>
          <w:tcPr>
            <w:tcW w:w="1487" w:type="dxa"/>
          </w:tcPr>
          <w:p w:rsidR="005E1E2A" w:rsidRPr="000655BF" w:rsidP="00B0133A" w14:paraId="28906C34" w14:textId="77777777">
            <w:pPr>
              <w:rPr>
                <w:szCs w:val="24"/>
              </w:rPr>
            </w:pPr>
            <w:r w:rsidRPr="000655BF">
              <w:rPr>
                <w:szCs w:val="24"/>
              </w:rPr>
              <w:t>1</w:t>
            </w:r>
          </w:p>
        </w:tc>
      </w:tr>
      <w:tr w14:paraId="0451E2B1" w14:textId="77777777" w:rsidTr="00970389">
        <w:tblPrEx>
          <w:tblW w:w="9501" w:type="dxa"/>
          <w:tblLook w:val="04A0"/>
        </w:tblPrEx>
        <w:tc>
          <w:tcPr>
            <w:tcW w:w="1878" w:type="dxa"/>
          </w:tcPr>
          <w:p w:rsidR="005E1E2A" w:rsidRPr="00D04C2D" w:rsidP="00B0133A" w14:paraId="09E893BF" w14:textId="34AB02B7">
            <w:pPr>
              <w:rPr>
                <w:szCs w:val="24"/>
              </w:rPr>
            </w:pPr>
            <w:r w:rsidRPr="00D04C2D">
              <w:rPr>
                <w:szCs w:val="24"/>
              </w:rPr>
              <w:t xml:space="preserve">Grantee-Level </w:t>
            </w:r>
            <w:r w:rsidR="007E5D8C">
              <w:rPr>
                <w:szCs w:val="24"/>
              </w:rPr>
              <w:t xml:space="preserve">PDMP </w:t>
            </w:r>
            <w:r w:rsidRPr="00D04C2D">
              <w:rPr>
                <w:szCs w:val="24"/>
              </w:rPr>
              <w:t>Outcomes Module</w:t>
            </w:r>
          </w:p>
        </w:tc>
        <w:tc>
          <w:tcPr>
            <w:tcW w:w="2084" w:type="dxa"/>
          </w:tcPr>
          <w:p w:rsidR="005E1E2A" w:rsidRPr="000655BF" w:rsidP="00B0133A" w14:paraId="3A78B78A" w14:textId="49BF6D4B">
            <w:pPr>
              <w:rPr>
                <w:szCs w:val="24"/>
              </w:rPr>
            </w:pPr>
            <w:r w:rsidRPr="000655BF">
              <w:rPr>
                <w:szCs w:val="24"/>
              </w:rPr>
              <w:t xml:space="preserve">Grantees submit </w:t>
            </w:r>
            <w:r w:rsidR="007064B0">
              <w:rPr>
                <w:szCs w:val="24"/>
              </w:rPr>
              <w:t xml:space="preserve">data </w:t>
            </w:r>
            <w:r w:rsidRPr="000655BF">
              <w:rPr>
                <w:szCs w:val="24"/>
              </w:rPr>
              <w:t xml:space="preserve">in </w:t>
            </w:r>
            <w:r w:rsidR="00D00AE7">
              <w:rPr>
                <w:szCs w:val="24"/>
              </w:rPr>
              <w:t>PEPC</w:t>
            </w:r>
            <w:r w:rsidR="00F51BCE">
              <w:rPr>
                <w:szCs w:val="24"/>
              </w:rPr>
              <w:t xml:space="preserve"> </w:t>
            </w:r>
            <w:r w:rsidRPr="00416B41" w:rsidR="00416B41">
              <w:rPr>
                <w:szCs w:val="24"/>
              </w:rPr>
              <w:t>CS-DCP</w:t>
            </w:r>
            <w:r w:rsidR="00AD5C9B">
              <w:rPr>
                <w:szCs w:val="24"/>
              </w:rPr>
              <w:t>.</w:t>
            </w:r>
          </w:p>
        </w:tc>
        <w:tc>
          <w:tcPr>
            <w:tcW w:w="1973" w:type="dxa"/>
          </w:tcPr>
          <w:p w:rsidR="005E1E2A" w:rsidRPr="000655BF" w:rsidP="00C74797" w14:paraId="442608F7" w14:textId="77777777">
            <w:pPr>
              <w:rPr>
                <w:szCs w:val="24"/>
              </w:rPr>
            </w:pPr>
            <w:r w:rsidRPr="000655BF">
              <w:rPr>
                <w:szCs w:val="24"/>
              </w:rPr>
              <w:t>Yearly</w:t>
            </w:r>
          </w:p>
        </w:tc>
        <w:tc>
          <w:tcPr>
            <w:tcW w:w="2079" w:type="dxa"/>
          </w:tcPr>
          <w:p w:rsidR="00E17724" w:rsidP="00E17724" w14:paraId="74E89886" w14:textId="0DE54074">
            <w:pPr>
              <w:rPr>
                <w:szCs w:val="24"/>
              </w:rPr>
            </w:pPr>
            <w:r>
              <w:rPr>
                <w:szCs w:val="24"/>
              </w:rPr>
              <w:t>3</w:t>
            </w:r>
            <w:r w:rsidRPr="000655BF">
              <w:rPr>
                <w:szCs w:val="24"/>
              </w:rPr>
              <w:t xml:space="preserve"> </w:t>
            </w:r>
            <w:r w:rsidRPr="000655BF">
              <w:rPr>
                <w:szCs w:val="24"/>
              </w:rPr>
              <w:t xml:space="preserve">times: </w:t>
            </w:r>
          </w:p>
          <w:p w:rsidR="005E1E2A" w:rsidRPr="000655BF" w:rsidP="00C74CA5" w14:paraId="0232D1C9" w14:textId="4A9DA199">
            <w:pPr>
              <w:rPr>
                <w:szCs w:val="24"/>
              </w:rPr>
            </w:pPr>
            <w:r>
              <w:rPr>
                <w:szCs w:val="24"/>
              </w:rPr>
              <w:t>2026</w:t>
            </w:r>
            <w:r w:rsidR="00213AD5">
              <w:rPr>
                <w:szCs w:val="24"/>
              </w:rPr>
              <w:t xml:space="preserve">, </w:t>
            </w:r>
            <w:r>
              <w:rPr>
                <w:szCs w:val="24"/>
              </w:rPr>
              <w:t>2027</w:t>
            </w:r>
            <w:r w:rsidR="00213AD5">
              <w:rPr>
                <w:szCs w:val="24"/>
              </w:rPr>
              <w:t>, and 2028</w:t>
            </w:r>
          </w:p>
        </w:tc>
        <w:tc>
          <w:tcPr>
            <w:tcW w:w="1487" w:type="dxa"/>
          </w:tcPr>
          <w:p w:rsidR="005E1E2A" w:rsidRPr="000655BF" w:rsidP="00B0133A" w14:paraId="72A6CEA1" w14:textId="77777777">
            <w:pPr>
              <w:rPr>
                <w:szCs w:val="24"/>
              </w:rPr>
            </w:pPr>
            <w:r w:rsidRPr="000655BF">
              <w:rPr>
                <w:szCs w:val="24"/>
              </w:rPr>
              <w:t>2</w:t>
            </w:r>
          </w:p>
        </w:tc>
      </w:tr>
      <w:tr w14:paraId="229D058D" w14:textId="77777777" w:rsidTr="00970389">
        <w:tblPrEx>
          <w:tblW w:w="9501" w:type="dxa"/>
          <w:tblLook w:val="04A0"/>
        </w:tblPrEx>
        <w:tc>
          <w:tcPr>
            <w:tcW w:w="1878" w:type="dxa"/>
          </w:tcPr>
          <w:p w:rsidR="005E1E2A" w:rsidRPr="00D04C2D" w:rsidP="00B0133A" w14:paraId="54724F94" w14:textId="2DCAF413">
            <w:pPr>
              <w:rPr>
                <w:szCs w:val="24"/>
              </w:rPr>
            </w:pPr>
            <w:r w:rsidRPr="00D04C2D">
              <w:rPr>
                <w:szCs w:val="24"/>
              </w:rPr>
              <w:t>Community-Level</w:t>
            </w:r>
            <w:r w:rsidR="007E5D8C">
              <w:rPr>
                <w:szCs w:val="24"/>
              </w:rPr>
              <w:t xml:space="preserve"> PDMP</w:t>
            </w:r>
            <w:r w:rsidRPr="00D04C2D">
              <w:rPr>
                <w:szCs w:val="24"/>
              </w:rPr>
              <w:t xml:space="preserve"> </w:t>
            </w:r>
            <w:r w:rsidRPr="00F51BCE">
              <w:rPr>
                <w:szCs w:val="24"/>
              </w:rPr>
              <w:t>Outcomes</w:t>
            </w:r>
            <w:r w:rsidRPr="00D04C2D">
              <w:rPr>
                <w:szCs w:val="24"/>
              </w:rPr>
              <w:t xml:space="preserve"> Module</w:t>
            </w:r>
          </w:p>
        </w:tc>
        <w:tc>
          <w:tcPr>
            <w:tcW w:w="2084" w:type="dxa"/>
          </w:tcPr>
          <w:p w:rsidR="005E1E2A" w:rsidRPr="000655BF" w:rsidP="00B0133A" w14:paraId="4063D235" w14:textId="489D075A">
            <w:pPr>
              <w:rPr>
                <w:szCs w:val="24"/>
              </w:rPr>
            </w:pPr>
            <w:r w:rsidRPr="000655BF">
              <w:rPr>
                <w:szCs w:val="24"/>
              </w:rPr>
              <w:t xml:space="preserve">Grantees submit </w:t>
            </w:r>
            <w:r w:rsidRPr="000655BF">
              <w:rPr>
                <w:szCs w:val="24"/>
              </w:rPr>
              <w:t>for</w:t>
            </w:r>
            <w:r w:rsidRPr="000655BF">
              <w:rPr>
                <w:szCs w:val="24"/>
              </w:rPr>
              <w:t xml:space="preserve"> subrecipient communities in</w:t>
            </w:r>
            <w:r w:rsidR="001200BD">
              <w:rPr>
                <w:szCs w:val="24"/>
              </w:rPr>
              <w:t xml:space="preserve"> </w:t>
            </w:r>
            <w:r w:rsidR="00D00AE7">
              <w:rPr>
                <w:szCs w:val="24"/>
              </w:rPr>
              <w:t>PEPC</w:t>
            </w:r>
            <w:r w:rsidR="00F51BCE">
              <w:rPr>
                <w:szCs w:val="24"/>
              </w:rPr>
              <w:t xml:space="preserve"> </w:t>
            </w:r>
            <w:r w:rsidRPr="00416B41" w:rsidR="00416B41">
              <w:rPr>
                <w:szCs w:val="24"/>
              </w:rPr>
              <w:t>CS-DCP</w:t>
            </w:r>
            <w:r w:rsidR="00AD5C9B">
              <w:rPr>
                <w:szCs w:val="24"/>
              </w:rPr>
              <w:t>.</w:t>
            </w:r>
          </w:p>
        </w:tc>
        <w:tc>
          <w:tcPr>
            <w:tcW w:w="1973" w:type="dxa"/>
          </w:tcPr>
          <w:p w:rsidR="005E1E2A" w:rsidRPr="000655BF" w:rsidP="00C74797" w14:paraId="5084153E" w14:textId="77777777">
            <w:pPr>
              <w:rPr>
                <w:szCs w:val="24"/>
              </w:rPr>
            </w:pPr>
            <w:r w:rsidRPr="000655BF">
              <w:rPr>
                <w:szCs w:val="24"/>
              </w:rPr>
              <w:t>Yearly</w:t>
            </w:r>
          </w:p>
        </w:tc>
        <w:tc>
          <w:tcPr>
            <w:tcW w:w="2079" w:type="dxa"/>
          </w:tcPr>
          <w:p w:rsidR="00E17724" w:rsidP="00E17724" w14:paraId="7B11AB5D" w14:textId="762DABFB">
            <w:pPr>
              <w:rPr>
                <w:szCs w:val="24"/>
              </w:rPr>
            </w:pPr>
            <w:r>
              <w:rPr>
                <w:szCs w:val="24"/>
              </w:rPr>
              <w:t>3</w:t>
            </w:r>
            <w:r w:rsidRPr="000655BF">
              <w:rPr>
                <w:szCs w:val="24"/>
              </w:rPr>
              <w:t xml:space="preserve"> </w:t>
            </w:r>
            <w:r w:rsidRPr="000655BF">
              <w:rPr>
                <w:szCs w:val="24"/>
              </w:rPr>
              <w:t xml:space="preserve">times: </w:t>
            </w:r>
          </w:p>
          <w:p w:rsidR="005E1E2A" w:rsidRPr="000655BF" w:rsidP="00C74CA5" w14:paraId="762FCB21" w14:textId="12FADB9B">
            <w:pPr>
              <w:rPr>
                <w:szCs w:val="24"/>
              </w:rPr>
            </w:pPr>
            <w:r>
              <w:rPr>
                <w:szCs w:val="24"/>
              </w:rPr>
              <w:t>2026</w:t>
            </w:r>
            <w:r w:rsidR="00213AD5">
              <w:rPr>
                <w:szCs w:val="24"/>
              </w:rPr>
              <w:t>,</w:t>
            </w:r>
            <w:r>
              <w:rPr>
                <w:szCs w:val="24"/>
              </w:rPr>
              <w:t>2027</w:t>
            </w:r>
            <w:r w:rsidR="00213AD5">
              <w:rPr>
                <w:szCs w:val="24"/>
              </w:rPr>
              <w:t>, and 2028</w:t>
            </w:r>
          </w:p>
        </w:tc>
        <w:tc>
          <w:tcPr>
            <w:tcW w:w="1487" w:type="dxa"/>
          </w:tcPr>
          <w:p w:rsidR="005E1E2A" w:rsidRPr="000655BF" w:rsidP="00B0133A" w14:paraId="2290A880" w14:textId="77777777">
            <w:pPr>
              <w:rPr>
                <w:szCs w:val="24"/>
              </w:rPr>
            </w:pPr>
            <w:r w:rsidRPr="000655BF">
              <w:rPr>
                <w:szCs w:val="24"/>
              </w:rPr>
              <w:t>3</w:t>
            </w:r>
          </w:p>
        </w:tc>
      </w:tr>
      <w:tr w14:paraId="43438AB4" w14:textId="77777777" w:rsidTr="00970389">
        <w:tblPrEx>
          <w:tblW w:w="9501" w:type="dxa"/>
          <w:tblLook w:val="04A0"/>
        </w:tblPrEx>
        <w:tc>
          <w:tcPr>
            <w:tcW w:w="1878" w:type="dxa"/>
          </w:tcPr>
          <w:p w:rsidR="006E35B8" w:rsidRPr="000655BF" w:rsidP="006E35B8" w14:paraId="7CEABDE6" w14:textId="77777777">
            <w:pPr>
              <w:rPr>
                <w:szCs w:val="24"/>
              </w:rPr>
            </w:pPr>
            <w:r w:rsidRPr="000655BF">
              <w:rPr>
                <w:szCs w:val="24"/>
              </w:rPr>
              <w:t>Grantee-Level Interview</w:t>
            </w:r>
          </w:p>
        </w:tc>
        <w:tc>
          <w:tcPr>
            <w:tcW w:w="2084" w:type="dxa"/>
          </w:tcPr>
          <w:p w:rsidR="006E35B8" w:rsidRPr="000655BF" w:rsidP="006E35B8" w14:paraId="54840BED" w14:textId="77777777">
            <w:pPr>
              <w:rPr>
                <w:szCs w:val="24"/>
              </w:rPr>
            </w:pPr>
            <w:r w:rsidRPr="000655BF">
              <w:rPr>
                <w:szCs w:val="24"/>
              </w:rPr>
              <w:t>Grantee interviews are recorded and transcribed; stored on secure drive</w:t>
            </w:r>
          </w:p>
        </w:tc>
        <w:tc>
          <w:tcPr>
            <w:tcW w:w="1973" w:type="dxa"/>
          </w:tcPr>
          <w:p w:rsidR="006E35B8" w:rsidRPr="000655BF" w:rsidP="006E35B8" w14:paraId="68CA682C" w14:textId="276B8059">
            <w:pPr>
              <w:rPr>
                <w:szCs w:val="24"/>
              </w:rPr>
            </w:pPr>
            <w:r>
              <w:rPr>
                <w:szCs w:val="24"/>
              </w:rPr>
              <w:t>Yearly</w:t>
            </w:r>
          </w:p>
        </w:tc>
        <w:tc>
          <w:tcPr>
            <w:tcW w:w="2079" w:type="dxa"/>
          </w:tcPr>
          <w:p w:rsidR="006E35B8" w:rsidP="006E35B8" w14:paraId="4C9F5253" w14:textId="72EE0BBB">
            <w:pPr>
              <w:rPr>
                <w:szCs w:val="24"/>
              </w:rPr>
            </w:pPr>
            <w:r>
              <w:rPr>
                <w:szCs w:val="24"/>
              </w:rPr>
              <w:t>3</w:t>
            </w:r>
            <w:r w:rsidRPr="000655BF">
              <w:rPr>
                <w:szCs w:val="24"/>
              </w:rPr>
              <w:t xml:space="preserve"> </w:t>
            </w:r>
            <w:r w:rsidRPr="000655BF">
              <w:rPr>
                <w:szCs w:val="24"/>
              </w:rPr>
              <w:t xml:space="preserve">times: </w:t>
            </w:r>
          </w:p>
          <w:p w:rsidR="006E35B8" w:rsidRPr="000655BF" w:rsidP="006E35B8" w14:paraId="380B6176" w14:textId="6B23FB3C">
            <w:pPr>
              <w:rPr>
                <w:szCs w:val="24"/>
              </w:rPr>
            </w:pPr>
            <w:r>
              <w:rPr>
                <w:szCs w:val="24"/>
              </w:rPr>
              <w:t>2026</w:t>
            </w:r>
            <w:r w:rsidR="00213AD5">
              <w:rPr>
                <w:szCs w:val="24"/>
              </w:rPr>
              <w:t xml:space="preserve">, </w:t>
            </w:r>
            <w:r>
              <w:rPr>
                <w:szCs w:val="24"/>
              </w:rPr>
              <w:t>2027</w:t>
            </w:r>
            <w:r w:rsidR="00213AD5">
              <w:rPr>
                <w:szCs w:val="24"/>
              </w:rPr>
              <w:t>, and 2028</w:t>
            </w:r>
          </w:p>
        </w:tc>
        <w:tc>
          <w:tcPr>
            <w:tcW w:w="1487" w:type="dxa"/>
          </w:tcPr>
          <w:p w:rsidR="006E35B8" w:rsidRPr="000655BF" w:rsidP="006E35B8" w14:paraId="27A6C0EA" w14:textId="77777777">
            <w:pPr>
              <w:rPr>
                <w:szCs w:val="24"/>
              </w:rPr>
            </w:pPr>
            <w:r w:rsidRPr="000655BF">
              <w:rPr>
                <w:szCs w:val="24"/>
              </w:rPr>
              <w:t>4</w:t>
            </w:r>
          </w:p>
        </w:tc>
      </w:tr>
    </w:tbl>
    <w:p w:rsidR="001F1A1D" w:rsidRPr="000655BF" w14:paraId="39985D30" w14:textId="3D69C318">
      <w:pPr>
        <w:pStyle w:val="BodyText"/>
        <w:spacing w:after="0"/>
        <w:rPr>
          <w:sz w:val="24"/>
          <w:szCs w:val="24"/>
        </w:rPr>
      </w:pPr>
    </w:p>
    <w:p w:rsidR="001F1A1D" w:rsidRPr="000655BF" w:rsidP="002A1583" w14:paraId="00FE33FB" w14:textId="77777777">
      <w:pPr>
        <w:pStyle w:val="Heading2"/>
      </w:pPr>
      <w:r w:rsidRPr="000655BF">
        <w:t>A.2</w:t>
      </w:r>
      <w:r w:rsidRPr="000655BF" w:rsidR="00DB1FE9">
        <w:t>.</w:t>
      </w:r>
      <w:r w:rsidRPr="000655BF">
        <w:tab/>
        <w:t>Purpose and Use of Information</w:t>
      </w:r>
    </w:p>
    <w:p w:rsidR="00627A6F" w14:paraId="1E28C286" w14:textId="43EDAE8A">
      <w:pPr>
        <w:pStyle w:val="BodyText"/>
        <w:spacing w:after="0"/>
        <w:rPr>
          <w:sz w:val="24"/>
          <w:szCs w:val="24"/>
        </w:rPr>
      </w:pPr>
      <w:r w:rsidRPr="1E6DD8C4">
        <w:rPr>
          <w:sz w:val="24"/>
          <w:szCs w:val="24"/>
        </w:rPr>
        <w:t>This section describes</w:t>
      </w:r>
      <w:r w:rsidRPr="1E6DD8C4" w:rsidR="00A63AB1">
        <w:rPr>
          <w:sz w:val="24"/>
          <w:szCs w:val="24"/>
        </w:rPr>
        <w:t xml:space="preserve"> the practical utility of </w:t>
      </w:r>
      <w:r w:rsidRPr="1E6DD8C4" w:rsidR="002854C8">
        <w:rPr>
          <w:sz w:val="24"/>
          <w:szCs w:val="24"/>
        </w:rPr>
        <w:t xml:space="preserve">the </w:t>
      </w:r>
      <w:r w:rsidR="009213DE">
        <w:rPr>
          <w:sz w:val="24"/>
          <w:szCs w:val="24"/>
        </w:rPr>
        <w:t>PEPC</w:t>
      </w:r>
      <w:r w:rsidRPr="1E6DD8C4" w:rsidR="002854C8">
        <w:rPr>
          <w:sz w:val="24"/>
          <w:szCs w:val="24"/>
        </w:rPr>
        <w:t xml:space="preserve"> </w:t>
      </w:r>
      <w:r w:rsidRPr="1E6DD8C4" w:rsidR="00A63AB1">
        <w:rPr>
          <w:sz w:val="24"/>
          <w:szCs w:val="24"/>
        </w:rPr>
        <w:t>data collection</w:t>
      </w:r>
      <w:r w:rsidRPr="1E6DD8C4" w:rsidR="002854C8">
        <w:rPr>
          <w:sz w:val="24"/>
          <w:szCs w:val="24"/>
        </w:rPr>
        <w:t>.</w:t>
      </w:r>
      <w:r w:rsidR="0000695E">
        <w:t xml:space="preserve"> </w:t>
      </w:r>
      <w:r w:rsidR="00C86BAB">
        <w:rPr>
          <w:sz w:val="24"/>
          <w:szCs w:val="24"/>
        </w:rPr>
        <w:t>Data gathered as part of the PEPC Evaluation will allow SAMHSA to understand</w:t>
      </w:r>
      <w:r w:rsidRPr="1E6DD8C4">
        <w:rPr>
          <w:sz w:val="24"/>
          <w:szCs w:val="24"/>
        </w:rPr>
        <w:t xml:space="preserve"> </w:t>
      </w:r>
      <w:r w:rsidRPr="1E6DD8C4" w:rsidR="004F0E2A">
        <w:rPr>
          <w:sz w:val="24"/>
          <w:szCs w:val="24"/>
        </w:rPr>
        <w:t>changes</w:t>
      </w:r>
      <w:r w:rsidR="0033036B">
        <w:rPr>
          <w:sz w:val="24"/>
          <w:szCs w:val="24"/>
        </w:rPr>
        <w:t xml:space="preserve"> at the grantee, community, and system levels with regards to awareness of the dangers of fake and counterfeit pills; timeliness of pharmacy data input into PDMP databases; prescriber knowledge and utilization of PDMP databases; rates of prescription drug misuse; prevalence of high-risk prescribing patterns; and rates of opioid-related health events including overdoses and overdose deaths</w:t>
      </w:r>
      <w:r w:rsidR="00353E2B">
        <w:rPr>
          <w:sz w:val="24"/>
          <w:szCs w:val="24"/>
        </w:rPr>
        <w:t xml:space="preserve"> ac</w:t>
      </w:r>
      <w:r w:rsidRPr="1E6DD8C4" w:rsidR="00B614CF">
        <w:rPr>
          <w:sz w:val="24"/>
          <w:szCs w:val="24"/>
        </w:rPr>
        <w:t xml:space="preserve">ross </w:t>
      </w:r>
      <w:r w:rsidR="00EA6418">
        <w:rPr>
          <w:sz w:val="24"/>
          <w:szCs w:val="24"/>
        </w:rPr>
        <w:t>the</w:t>
      </w:r>
      <w:r w:rsidRPr="1E6DD8C4" w:rsidR="00B614CF">
        <w:rPr>
          <w:sz w:val="24"/>
          <w:szCs w:val="24"/>
        </w:rPr>
        <w:t xml:space="preserve"> </w:t>
      </w:r>
      <w:r w:rsidRPr="1E6DD8C4" w:rsidR="00F457D3">
        <w:rPr>
          <w:sz w:val="24"/>
          <w:szCs w:val="24"/>
        </w:rPr>
        <w:t xml:space="preserve">5 </w:t>
      </w:r>
      <w:r w:rsidRPr="1E6DD8C4" w:rsidR="00B614CF">
        <w:rPr>
          <w:sz w:val="24"/>
          <w:szCs w:val="24"/>
        </w:rPr>
        <w:t>year</w:t>
      </w:r>
      <w:r w:rsidR="00EA6418">
        <w:rPr>
          <w:sz w:val="24"/>
          <w:szCs w:val="24"/>
        </w:rPr>
        <w:t xml:space="preserve"> grant period for each </w:t>
      </w:r>
      <w:r w:rsidR="00353E2B">
        <w:rPr>
          <w:sz w:val="24"/>
          <w:szCs w:val="24"/>
        </w:rPr>
        <w:t xml:space="preserve">SPF Rx </w:t>
      </w:r>
      <w:r w:rsidR="00EA6418">
        <w:rPr>
          <w:sz w:val="24"/>
          <w:szCs w:val="24"/>
        </w:rPr>
        <w:t>cohort</w:t>
      </w:r>
      <w:r w:rsidRPr="1E6DD8C4" w:rsidR="006F651F">
        <w:rPr>
          <w:sz w:val="24"/>
          <w:szCs w:val="24"/>
        </w:rPr>
        <w:t>.</w:t>
      </w:r>
      <w:r w:rsidR="00FF7873">
        <w:rPr>
          <w:sz w:val="24"/>
          <w:szCs w:val="24"/>
        </w:rPr>
        <w:t xml:space="preserve"> </w:t>
      </w:r>
      <w:r w:rsidRPr="005736E9" w:rsidR="00FF7873">
        <w:rPr>
          <w:b/>
          <w:bCs/>
          <w:sz w:val="24"/>
          <w:szCs w:val="24"/>
        </w:rPr>
        <w:t>The data collected will</w:t>
      </w:r>
      <w:r w:rsidRPr="005736E9" w:rsidR="006F651F">
        <w:rPr>
          <w:b/>
          <w:bCs/>
          <w:sz w:val="24"/>
          <w:szCs w:val="24"/>
        </w:rPr>
        <w:t xml:space="preserve"> ex</w:t>
      </w:r>
      <w:r w:rsidRPr="005736E9" w:rsidR="00FF7873">
        <w:rPr>
          <w:b/>
          <w:bCs/>
          <w:sz w:val="24"/>
          <w:szCs w:val="24"/>
        </w:rPr>
        <w:t>pand</w:t>
      </w:r>
      <w:r w:rsidRPr="005736E9" w:rsidR="006F651F">
        <w:rPr>
          <w:b/>
          <w:bCs/>
          <w:sz w:val="24"/>
          <w:szCs w:val="24"/>
        </w:rPr>
        <w:t xml:space="preserve"> SAMHSA’s understanding of what is required to implement strategies and prevent prescription drug misuse and opioid overdose</w:t>
      </w:r>
      <w:r w:rsidRPr="1E6DD8C4" w:rsidR="006F651F">
        <w:rPr>
          <w:sz w:val="24"/>
          <w:szCs w:val="24"/>
        </w:rPr>
        <w:t>.</w:t>
      </w:r>
      <w:r w:rsidRPr="1E6DD8C4" w:rsidR="00A63AB1">
        <w:rPr>
          <w:sz w:val="24"/>
          <w:szCs w:val="24"/>
        </w:rPr>
        <w:t xml:space="preserve"> </w:t>
      </w:r>
    </w:p>
    <w:p w:rsidR="00AA692B" w14:paraId="16F05E52" w14:textId="1E5F1ACD">
      <w:pPr>
        <w:pStyle w:val="BodyText"/>
        <w:spacing w:after="0"/>
        <w:rPr>
          <w:sz w:val="24"/>
          <w:szCs w:val="24"/>
        </w:rPr>
      </w:pPr>
    </w:p>
    <w:p w:rsidR="00E763C3" w:rsidP="00E763C3" w14:paraId="22BD142F" w14:textId="65CB737A">
      <w:pPr>
        <w:pStyle w:val="BodyText"/>
        <w:rPr>
          <w:sz w:val="24"/>
          <w:szCs w:val="24"/>
        </w:rPr>
      </w:pPr>
      <w:r w:rsidRPr="1E6DD8C4">
        <w:rPr>
          <w:sz w:val="24"/>
          <w:szCs w:val="24"/>
        </w:rPr>
        <w:t xml:space="preserve">The </w:t>
      </w:r>
      <w:r w:rsidR="0033036B">
        <w:rPr>
          <w:sz w:val="24"/>
          <w:szCs w:val="24"/>
        </w:rPr>
        <w:t>PEPC</w:t>
      </w:r>
      <w:r w:rsidRPr="1E6DD8C4">
        <w:rPr>
          <w:sz w:val="24"/>
          <w:szCs w:val="24"/>
        </w:rPr>
        <w:t xml:space="preserve"> cross-site evaluation is expected to have important program and policy implications at the federal, state, </w:t>
      </w:r>
      <w:r w:rsidR="004101A0">
        <w:rPr>
          <w:sz w:val="24"/>
          <w:szCs w:val="24"/>
        </w:rPr>
        <w:t xml:space="preserve">territorial, </w:t>
      </w:r>
      <w:r w:rsidRPr="1E6DD8C4">
        <w:rPr>
          <w:sz w:val="24"/>
          <w:szCs w:val="24"/>
        </w:rPr>
        <w:t>tribal, and community levels. It will provide valuable information to the prevention field about best practices in these real-world settings, including what types of interventions should be funded and implemented to reduce prescription drug misuse</w:t>
      </w:r>
      <w:r w:rsidRPr="00EA6418" w:rsidR="00EA6418">
        <w:rPr>
          <w:sz w:val="24"/>
          <w:szCs w:val="24"/>
        </w:rPr>
        <w:t xml:space="preserve"> </w:t>
      </w:r>
      <w:r w:rsidRPr="1E6DD8C4" w:rsidR="00EA6418">
        <w:rPr>
          <w:sz w:val="24"/>
          <w:szCs w:val="24"/>
        </w:rPr>
        <w:t>and opioid overdose</w:t>
      </w:r>
      <w:r w:rsidRPr="1E6DD8C4">
        <w:rPr>
          <w:sz w:val="24"/>
          <w:szCs w:val="24"/>
        </w:rPr>
        <w:t xml:space="preserve">. Additionally, the evaluation will provide information about ways to build access and usage capacity of PDMP at the state, </w:t>
      </w:r>
      <w:r w:rsidR="004101A0">
        <w:rPr>
          <w:sz w:val="24"/>
          <w:szCs w:val="24"/>
        </w:rPr>
        <w:t xml:space="preserve">territorial, </w:t>
      </w:r>
      <w:r w:rsidRPr="1E6DD8C4">
        <w:rPr>
          <w:sz w:val="24"/>
          <w:szCs w:val="24"/>
        </w:rPr>
        <w:t xml:space="preserve">tribal, and community levels. </w:t>
      </w:r>
      <w:r w:rsidR="009A6624">
        <w:rPr>
          <w:sz w:val="24"/>
          <w:szCs w:val="24"/>
        </w:rPr>
        <w:t>The proposed measures in this package</w:t>
      </w:r>
      <w:r w:rsidRPr="1E6DD8C4" w:rsidR="004F0E2A">
        <w:rPr>
          <w:sz w:val="24"/>
          <w:szCs w:val="24"/>
        </w:rPr>
        <w:t xml:space="preserve"> provide process data regarding progression through the SPF model</w:t>
      </w:r>
      <w:r w:rsidRPr="1E6DD8C4" w:rsidR="00412573">
        <w:rPr>
          <w:sz w:val="24"/>
          <w:szCs w:val="24"/>
        </w:rPr>
        <w:t>;</w:t>
      </w:r>
      <w:r w:rsidRPr="1E6DD8C4" w:rsidR="004F0E2A">
        <w:rPr>
          <w:sz w:val="24"/>
          <w:szCs w:val="24"/>
        </w:rPr>
        <w:t xml:space="preserve"> challenges and successes experienced during these steps</w:t>
      </w:r>
      <w:r w:rsidRPr="1E6DD8C4" w:rsidR="00412573">
        <w:rPr>
          <w:sz w:val="24"/>
          <w:szCs w:val="24"/>
        </w:rPr>
        <w:t>;</w:t>
      </w:r>
      <w:r w:rsidRPr="1E6DD8C4" w:rsidR="004F0E2A">
        <w:rPr>
          <w:sz w:val="24"/>
          <w:szCs w:val="24"/>
        </w:rPr>
        <w:t xml:space="preserve"> PDMP infrastructure</w:t>
      </w:r>
      <w:r w:rsidRPr="1E6DD8C4" w:rsidR="00412573">
        <w:rPr>
          <w:sz w:val="24"/>
          <w:szCs w:val="24"/>
        </w:rPr>
        <w:t>;</w:t>
      </w:r>
      <w:r w:rsidRPr="1E6DD8C4" w:rsidR="004F0E2A">
        <w:rPr>
          <w:sz w:val="24"/>
          <w:szCs w:val="24"/>
        </w:rPr>
        <w:t xml:space="preserve"> intervention implementation</w:t>
      </w:r>
      <w:r w:rsidRPr="1E6DD8C4" w:rsidR="00412573">
        <w:rPr>
          <w:sz w:val="24"/>
          <w:szCs w:val="24"/>
        </w:rPr>
        <w:t>;</w:t>
      </w:r>
      <w:r w:rsidRPr="1E6DD8C4" w:rsidR="004F0E2A">
        <w:rPr>
          <w:sz w:val="24"/>
          <w:szCs w:val="24"/>
        </w:rPr>
        <w:t xml:space="preserve"> </w:t>
      </w:r>
      <w:r w:rsidRPr="1E6DD8C4" w:rsidR="00D23651">
        <w:rPr>
          <w:sz w:val="24"/>
          <w:szCs w:val="24"/>
        </w:rPr>
        <w:t>prescri</w:t>
      </w:r>
      <w:r w:rsidRPr="1E6DD8C4" w:rsidR="004E5217">
        <w:rPr>
          <w:sz w:val="24"/>
          <w:szCs w:val="24"/>
        </w:rPr>
        <w:t xml:space="preserve">ber use </w:t>
      </w:r>
      <w:r w:rsidRPr="1E6DD8C4" w:rsidR="0091660C">
        <w:rPr>
          <w:sz w:val="24"/>
          <w:szCs w:val="24"/>
        </w:rPr>
        <w:t xml:space="preserve">of PDMP </w:t>
      </w:r>
      <w:r w:rsidRPr="1E6DD8C4" w:rsidR="004E5217">
        <w:rPr>
          <w:sz w:val="24"/>
          <w:szCs w:val="24"/>
        </w:rPr>
        <w:t>and prescribing patterns</w:t>
      </w:r>
      <w:r w:rsidRPr="1E6DD8C4" w:rsidR="007B0B28">
        <w:rPr>
          <w:sz w:val="24"/>
          <w:szCs w:val="24"/>
        </w:rPr>
        <w:t>;</w:t>
      </w:r>
      <w:r w:rsidRPr="1E6DD8C4" w:rsidR="004F0E2A">
        <w:rPr>
          <w:sz w:val="24"/>
          <w:szCs w:val="24"/>
        </w:rPr>
        <w:t xml:space="preserve"> and </w:t>
      </w:r>
      <w:r w:rsidRPr="1E6DD8C4" w:rsidR="00412573">
        <w:rPr>
          <w:sz w:val="24"/>
          <w:szCs w:val="24"/>
        </w:rPr>
        <w:t>funding</w:t>
      </w:r>
      <w:r w:rsidRPr="1E6DD8C4" w:rsidR="004F0E2A">
        <w:rPr>
          <w:sz w:val="24"/>
          <w:szCs w:val="24"/>
        </w:rPr>
        <w:t xml:space="preserve">. This data </w:t>
      </w:r>
      <w:r w:rsidRPr="1E6DD8C4" w:rsidR="004F0E2A">
        <w:rPr>
          <w:sz w:val="24"/>
          <w:szCs w:val="24"/>
        </w:rPr>
        <w:t xml:space="preserve">collection </w:t>
      </w:r>
      <w:r w:rsidR="009A6624">
        <w:rPr>
          <w:sz w:val="24"/>
          <w:szCs w:val="24"/>
        </w:rPr>
        <w:t>will enable the study to estimate the impact of SPF Rx</w:t>
      </w:r>
      <w:r w:rsidRPr="1E6DD8C4" w:rsidR="004F0E2A">
        <w:rPr>
          <w:sz w:val="24"/>
          <w:szCs w:val="24"/>
        </w:rPr>
        <w:t xml:space="preserve"> on outcomes related to the prevalence of </w:t>
      </w:r>
      <w:r w:rsidRPr="1E6DD8C4" w:rsidR="00D23651">
        <w:rPr>
          <w:sz w:val="24"/>
          <w:szCs w:val="24"/>
        </w:rPr>
        <w:t xml:space="preserve">prescription drug </w:t>
      </w:r>
      <w:r w:rsidRPr="1E6DD8C4" w:rsidR="00BE356C">
        <w:rPr>
          <w:sz w:val="24"/>
          <w:szCs w:val="24"/>
        </w:rPr>
        <w:t>misuse</w:t>
      </w:r>
      <w:r w:rsidRPr="1E6DD8C4" w:rsidR="004F0E2A">
        <w:rPr>
          <w:sz w:val="24"/>
          <w:szCs w:val="24"/>
        </w:rPr>
        <w:t xml:space="preserve"> and capacity for and use of PDMP for monitoring prescriber behavior and prevention strategies</w:t>
      </w:r>
      <w:r w:rsidRPr="1E6DD8C4" w:rsidR="004E5217">
        <w:rPr>
          <w:sz w:val="24"/>
          <w:szCs w:val="24"/>
        </w:rPr>
        <w:t xml:space="preserve">. </w:t>
      </w:r>
      <w:r w:rsidRPr="1E6DD8C4" w:rsidR="004F0E2A">
        <w:rPr>
          <w:sz w:val="24"/>
          <w:szCs w:val="24"/>
        </w:rPr>
        <w:t xml:space="preserve">The </w:t>
      </w:r>
      <w:r w:rsidR="004101A0">
        <w:rPr>
          <w:sz w:val="24"/>
          <w:szCs w:val="24"/>
        </w:rPr>
        <w:t>prevalence of fake and counterfeit drugs poses</w:t>
      </w:r>
      <w:r w:rsidRPr="1E6DD8C4" w:rsidR="004F0E2A">
        <w:rPr>
          <w:sz w:val="24"/>
          <w:szCs w:val="24"/>
        </w:rPr>
        <w:t xml:space="preserve"> a serious public health issue</w:t>
      </w:r>
      <w:r w:rsidRPr="1E6DD8C4" w:rsidR="003256C5">
        <w:rPr>
          <w:sz w:val="24"/>
          <w:szCs w:val="24"/>
        </w:rPr>
        <w:t xml:space="preserve"> </w:t>
      </w:r>
      <w:r w:rsidR="00290E09">
        <w:rPr>
          <w:sz w:val="24"/>
          <w:szCs w:val="24"/>
        </w:rPr>
        <w:t xml:space="preserve">and </w:t>
      </w:r>
      <w:r w:rsidRPr="1E6DD8C4" w:rsidR="003256C5">
        <w:rPr>
          <w:sz w:val="24"/>
          <w:szCs w:val="24"/>
        </w:rPr>
        <w:t>highlights the critical need</w:t>
      </w:r>
      <w:r w:rsidRPr="1E6DD8C4" w:rsidR="004F0E2A">
        <w:rPr>
          <w:sz w:val="24"/>
          <w:szCs w:val="24"/>
        </w:rPr>
        <w:t xml:space="preserve"> for the </w:t>
      </w:r>
      <w:r w:rsidR="004101A0">
        <w:rPr>
          <w:sz w:val="24"/>
          <w:szCs w:val="24"/>
        </w:rPr>
        <w:t>PEPC</w:t>
      </w:r>
      <w:r w:rsidRPr="1E6DD8C4" w:rsidR="004F0E2A">
        <w:rPr>
          <w:sz w:val="24"/>
          <w:szCs w:val="24"/>
        </w:rPr>
        <w:t xml:space="preserve"> cross-site evaluation to examine the implementation and effectiveness of prevention interventions developed to target this issue</w:t>
      </w:r>
      <w:r w:rsidR="004101A0">
        <w:rPr>
          <w:sz w:val="24"/>
          <w:szCs w:val="24"/>
        </w:rPr>
        <w:t xml:space="preserve"> as well as broader issues of prescription drug misuse</w:t>
      </w:r>
      <w:r w:rsidRPr="1E6DD8C4" w:rsidR="004F0E2A">
        <w:rPr>
          <w:sz w:val="24"/>
          <w:szCs w:val="24"/>
        </w:rPr>
        <w:t>.</w:t>
      </w:r>
    </w:p>
    <w:p w:rsidR="001F1A1D" w:rsidRPr="000655BF" w:rsidP="00E763C3" w14:paraId="44DAD3F0" w14:textId="2564008F">
      <w:pPr>
        <w:pStyle w:val="BodyText"/>
        <w:spacing w:after="120"/>
        <w:rPr>
          <w:sz w:val="24"/>
          <w:szCs w:val="24"/>
        </w:rPr>
      </w:pPr>
      <w:r w:rsidRPr="000655BF">
        <w:rPr>
          <w:sz w:val="24"/>
          <w:szCs w:val="24"/>
        </w:rPr>
        <w:t xml:space="preserve">The </w:t>
      </w:r>
      <w:r w:rsidR="003F1D06">
        <w:rPr>
          <w:sz w:val="24"/>
          <w:szCs w:val="24"/>
        </w:rPr>
        <w:t>ART</w:t>
      </w:r>
      <w:r w:rsidRPr="000655BF" w:rsidR="00C94CC1">
        <w:rPr>
          <w:sz w:val="24"/>
          <w:szCs w:val="24"/>
        </w:rPr>
        <w:t xml:space="preserve">, </w:t>
      </w:r>
      <w:r w:rsidRPr="000655BF" w:rsidR="00EC23A1">
        <w:rPr>
          <w:sz w:val="24"/>
          <w:szCs w:val="24"/>
        </w:rPr>
        <w:t>Grantee</w:t>
      </w:r>
      <w:r w:rsidRPr="000655BF" w:rsidR="0036522B">
        <w:rPr>
          <w:sz w:val="24"/>
          <w:szCs w:val="24"/>
        </w:rPr>
        <w:t xml:space="preserve">- and Community-Level </w:t>
      </w:r>
      <w:r w:rsidR="007E5D8C">
        <w:rPr>
          <w:sz w:val="24"/>
          <w:szCs w:val="24"/>
        </w:rPr>
        <w:t xml:space="preserve">PDMP </w:t>
      </w:r>
      <w:r w:rsidRPr="000655BF" w:rsidR="00C94CC1">
        <w:rPr>
          <w:sz w:val="24"/>
          <w:szCs w:val="24"/>
        </w:rPr>
        <w:t>Outcomes Modules, and Grantee-Level Interviews</w:t>
      </w:r>
      <w:r w:rsidRPr="000655BF">
        <w:rPr>
          <w:sz w:val="24"/>
          <w:szCs w:val="24"/>
        </w:rPr>
        <w:t xml:space="preserve"> </w:t>
      </w:r>
      <w:r w:rsidRPr="000655BF" w:rsidR="00EE2666">
        <w:rPr>
          <w:sz w:val="24"/>
          <w:szCs w:val="24"/>
        </w:rPr>
        <w:t>are</w:t>
      </w:r>
      <w:r w:rsidRPr="000655BF">
        <w:rPr>
          <w:sz w:val="24"/>
          <w:szCs w:val="24"/>
        </w:rPr>
        <w:t xml:space="preserve"> used to collect data </w:t>
      </w:r>
      <w:r w:rsidR="009A7EC7">
        <w:rPr>
          <w:sz w:val="24"/>
          <w:szCs w:val="24"/>
        </w:rPr>
        <w:t xml:space="preserve">for </w:t>
      </w:r>
      <w:r w:rsidRPr="000655BF">
        <w:rPr>
          <w:sz w:val="24"/>
          <w:szCs w:val="24"/>
        </w:rPr>
        <w:t>measur</w:t>
      </w:r>
      <w:r w:rsidR="009A7EC7">
        <w:rPr>
          <w:sz w:val="24"/>
          <w:szCs w:val="24"/>
        </w:rPr>
        <w:t>ing</w:t>
      </w:r>
      <w:r w:rsidRPr="000655BF">
        <w:rPr>
          <w:sz w:val="24"/>
          <w:szCs w:val="24"/>
        </w:rPr>
        <w:t xml:space="preserve"> the main constructs of interest </w:t>
      </w:r>
      <w:r w:rsidR="009A7EC7">
        <w:rPr>
          <w:sz w:val="24"/>
          <w:szCs w:val="24"/>
        </w:rPr>
        <w:t>and</w:t>
      </w:r>
      <w:r w:rsidRPr="000655BF">
        <w:rPr>
          <w:sz w:val="24"/>
          <w:szCs w:val="24"/>
        </w:rPr>
        <w:t xml:space="preserve"> answer</w:t>
      </w:r>
      <w:r w:rsidR="009A7EC7">
        <w:rPr>
          <w:sz w:val="24"/>
          <w:szCs w:val="24"/>
        </w:rPr>
        <w:t>ing</w:t>
      </w:r>
      <w:r w:rsidRPr="000655BF">
        <w:rPr>
          <w:sz w:val="24"/>
          <w:szCs w:val="24"/>
        </w:rPr>
        <w:t xml:space="preserve"> the </w:t>
      </w:r>
      <w:r w:rsidR="004101A0">
        <w:rPr>
          <w:sz w:val="24"/>
          <w:szCs w:val="24"/>
        </w:rPr>
        <w:t xml:space="preserve">PEPC </w:t>
      </w:r>
      <w:r w:rsidR="00D33196">
        <w:rPr>
          <w:sz w:val="24"/>
          <w:szCs w:val="24"/>
        </w:rPr>
        <w:t>evaluation questions</w:t>
      </w:r>
      <w:r w:rsidRPr="000655BF">
        <w:rPr>
          <w:sz w:val="24"/>
          <w:szCs w:val="24"/>
        </w:rPr>
        <w:t xml:space="preserve">. </w:t>
      </w:r>
      <w:r w:rsidRPr="00D012B9" w:rsidR="00D012B9">
        <w:rPr>
          <w:sz w:val="24"/>
          <w:szCs w:val="24"/>
        </w:rPr>
        <w:t xml:space="preserve">Collecting </w:t>
      </w:r>
      <w:r w:rsidR="00D012B9">
        <w:rPr>
          <w:sz w:val="24"/>
          <w:szCs w:val="24"/>
        </w:rPr>
        <w:t>data through these instruments at multiple time points</w:t>
      </w:r>
      <w:r w:rsidRPr="00D012B9" w:rsidR="00D012B9">
        <w:rPr>
          <w:sz w:val="24"/>
          <w:szCs w:val="24"/>
        </w:rPr>
        <w:t xml:space="preserve"> is necessary to assess the </w:t>
      </w:r>
      <w:r w:rsidRPr="00D012B9" w:rsidR="00D012B9">
        <w:rPr>
          <w:sz w:val="24"/>
          <w:szCs w:val="24"/>
        </w:rPr>
        <w:t>grantees’</w:t>
      </w:r>
      <w:r w:rsidRPr="00D012B9" w:rsidR="00D012B9">
        <w:rPr>
          <w:sz w:val="24"/>
          <w:szCs w:val="24"/>
        </w:rPr>
        <w:t xml:space="preserve"> progress and change</w:t>
      </w:r>
      <w:r w:rsidR="00290E09">
        <w:rPr>
          <w:sz w:val="24"/>
          <w:szCs w:val="24"/>
        </w:rPr>
        <w:t>s</w:t>
      </w:r>
      <w:r w:rsidRPr="00D012B9" w:rsidR="00D012B9">
        <w:rPr>
          <w:sz w:val="24"/>
          <w:szCs w:val="24"/>
        </w:rPr>
        <w:t xml:space="preserve"> in outcomes over the course of the grant</w:t>
      </w:r>
      <w:r w:rsidR="00290E09">
        <w:rPr>
          <w:sz w:val="24"/>
          <w:szCs w:val="24"/>
        </w:rPr>
        <w:t>s</w:t>
      </w:r>
      <w:r w:rsidRPr="00D012B9" w:rsidR="00D012B9">
        <w:rPr>
          <w:sz w:val="24"/>
          <w:szCs w:val="24"/>
        </w:rPr>
        <w:t xml:space="preserve">. </w:t>
      </w:r>
      <w:r w:rsidRPr="000655BF">
        <w:rPr>
          <w:sz w:val="24"/>
          <w:szCs w:val="24"/>
        </w:rPr>
        <w:t xml:space="preserve">The instrumentation is described in </w:t>
      </w:r>
      <w:r w:rsidRPr="000655BF" w:rsidR="00C53DB2">
        <w:rPr>
          <w:sz w:val="24"/>
          <w:szCs w:val="24"/>
        </w:rPr>
        <w:t>detail</w:t>
      </w:r>
      <w:r w:rsidRPr="000655BF">
        <w:rPr>
          <w:sz w:val="24"/>
          <w:szCs w:val="24"/>
        </w:rPr>
        <w:t xml:space="preserve"> below. </w:t>
      </w:r>
    </w:p>
    <w:p w:rsidR="00E763C3" w:rsidP="002B3686" w14:paraId="03333E85" w14:textId="0138DADD">
      <w:pPr>
        <w:pStyle w:val="BulletListHead"/>
      </w:pPr>
      <w:r>
        <w:t>Annual Reporting Tool</w:t>
      </w:r>
      <w:r w:rsidRPr="000655BF" w:rsidR="004F0E2A">
        <w:t xml:space="preserve"> (</w:t>
      </w:r>
      <w:r>
        <w:t>ART</w:t>
      </w:r>
      <w:r w:rsidRPr="000655BF" w:rsidR="004F0E2A">
        <w:t xml:space="preserve">, Attachment 1): </w:t>
      </w:r>
    </w:p>
    <w:p w:rsidR="001F1A1D" w:rsidRPr="000655BF" w:rsidP="00FD159E" w14:paraId="1A016838" w14:textId="1FDA43D8">
      <w:pPr>
        <w:pStyle w:val="ListBulletLast"/>
        <w:numPr>
          <w:ilvl w:val="0"/>
          <w:numId w:val="0"/>
        </w:numPr>
        <w:tabs>
          <w:tab w:val="left" w:pos="0"/>
        </w:tabs>
        <w:rPr>
          <w:rFonts w:cs="Times New Roman"/>
          <w:sz w:val="24"/>
          <w:szCs w:val="24"/>
        </w:rPr>
      </w:pPr>
      <w:r w:rsidRPr="000655BF">
        <w:rPr>
          <w:rFonts w:cs="Times New Roman"/>
          <w:sz w:val="24"/>
          <w:szCs w:val="24"/>
        </w:rPr>
        <w:t xml:space="preserve">The </w:t>
      </w:r>
      <w:r w:rsidR="003F1D06">
        <w:rPr>
          <w:rFonts w:cs="Times New Roman"/>
          <w:sz w:val="24"/>
          <w:szCs w:val="24"/>
        </w:rPr>
        <w:t>ART</w:t>
      </w:r>
      <w:r w:rsidRPr="000655BF">
        <w:rPr>
          <w:rFonts w:cs="Times New Roman"/>
          <w:sz w:val="24"/>
          <w:szCs w:val="24"/>
        </w:rPr>
        <w:t xml:space="preserve"> is a survey </w:t>
      </w:r>
      <w:r w:rsidRPr="000655BF" w:rsidR="007B0B28">
        <w:rPr>
          <w:rFonts w:cs="Times New Roman"/>
          <w:sz w:val="24"/>
          <w:szCs w:val="24"/>
        </w:rPr>
        <w:t xml:space="preserve">instrument </w:t>
      </w:r>
      <w:r w:rsidR="00290E09">
        <w:rPr>
          <w:rFonts w:cs="Times New Roman"/>
          <w:sz w:val="24"/>
          <w:szCs w:val="24"/>
        </w:rPr>
        <w:t xml:space="preserve">that </w:t>
      </w:r>
      <w:r w:rsidRPr="000655BF" w:rsidR="007B0B28">
        <w:rPr>
          <w:rFonts w:cs="Times New Roman"/>
          <w:sz w:val="24"/>
          <w:szCs w:val="24"/>
        </w:rPr>
        <w:t>collect</w:t>
      </w:r>
      <w:r w:rsidR="00290E09">
        <w:rPr>
          <w:rFonts w:cs="Times New Roman"/>
          <w:sz w:val="24"/>
          <w:szCs w:val="24"/>
        </w:rPr>
        <w:t>s</w:t>
      </w:r>
      <w:r w:rsidRPr="000655BF" w:rsidR="007B0B28">
        <w:rPr>
          <w:rFonts w:cs="Times New Roman"/>
          <w:sz w:val="24"/>
          <w:szCs w:val="24"/>
        </w:rPr>
        <w:t xml:space="preserve"> </w:t>
      </w:r>
      <w:r w:rsidR="00290E09">
        <w:rPr>
          <w:rFonts w:cs="Times New Roman"/>
          <w:sz w:val="24"/>
          <w:szCs w:val="24"/>
        </w:rPr>
        <w:t xml:space="preserve">data </w:t>
      </w:r>
      <w:r w:rsidRPr="000655BF" w:rsidR="007B0B28">
        <w:rPr>
          <w:rFonts w:cs="Times New Roman"/>
          <w:sz w:val="24"/>
          <w:szCs w:val="24"/>
        </w:rPr>
        <w:t xml:space="preserve">through </w:t>
      </w:r>
      <w:r w:rsidR="00D00AE7">
        <w:rPr>
          <w:rFonts w:cs="Times New Roman"/>
          <w:sz w:val="24"/>
          <w:szCs w:val="24"/>
        </w:rPr>
        <w:t>PEPC</w:t>
      </w:r>
      <w:r w:rsidRPr="000655BF" w:rsidR="007B0B28">
        <w:rPr>
          <w:rFonts w:cs="Times New Roman"/>
          <w:sz w:val="24"/>
          <w:szCs w:val="24"/>
        </w:rPr>
        <w:t xml:space="preserve">’s </w:t>
      </w:r>
      <w:r w:rsidR="00416B41">
        <w:rPr>
          <w:rFonts w:cs="Times New Roman"/>
          <w:sz w:val="24"/>
          <w:szCs w:val="24"/>
        </w:rPr>
        <w:t>CS-DCP</w:t>
      </w:r>
      <w:r w:rsidRPr="000655BF" w:rsidR="007B0B28">
        <w:rPr>
          <w:rFonts w:cs="Times New Roman"/>
          <w:sz w:val="24"/>
          <w:szCs w:val="24"/>
        </w:rPr>
        <w:t xml:space="preserve">. It is </w:t>
      </w:r>
      <w:r w:rsidRPr="000655BF">
        <w:rPr>
          <w:rFonts w:cs="Times New Roman"/>
          <w:sz w:val="24"/>
          <w:szCs w:val="24"/>
        </w:rPr>
        <w:t xml:space="preserve">designed to be completed by grantees and subrecipient </w:t>
      </w:r>
      <w:r w:rsidR="00D52FAA">
        <w:rPr>
          <w:rFonts w:cs="Times New Roman"/>
          <w:sz w:val="24"/>
          <w:szCs w:val="24"/>
        </w:rPr>
        <w:t xml:space="preserve">community </w:t>
      </w:r>
      <w:r w:rsidRPr="000655BF" w:rsidR="007C4B69">
        <w:rPr>
          <w:rFonts w:cs="Times New Roman"/>
          <w:sz w:val="24"/>
          <w:szCs w:val="24"/>
        </w:rPr>
        <w:t>project directors</w:t>
      </w:r>
      <w:r w:rsidR="00D52FAA">
        <w:rPr>
          <w:rFonts w:cs="Times New Roman"/>
          <w:sz w:val="24"/>
          <w:szCs w:val="24"/>
        </w:rPr>
        <w:t xml:space="preserve"> or their </w:t>
      </w:r>
      <w:r w:rsidR="00D52FAA">
        <w:rPr>
          <w:rFonts w:cs="Times New Roman"/>
          <w:sz w:val="24"/>
          <w:szCs w:val="24"/>
        </w:rPr>
        <w:t>designees</w:t>
      </w:r>
      <w:r w:rsidRPr="000655BF" w:rsidR="005F4491">
        <w:rPr>
          <w:rFonts w:cs="Times New Roman"/>
          <w:sz w:val="24"/>
          <w:szCs w:val="24"/>
        </w:rPr>
        <w:t xml:space="preserve">. </w:t>
      </w:r>
      <w:r w:rsidRPr="000655BF" w:rsidR="00A32F64">
        <w:rPr>
          <w:rFonts w:cs="Times New Roman"/>
          <w:sz w:val="24"/>
          <w:szCs w:val="24"/>
        </w:rPr>
        <w:t xml:space="preserve">The </w:t>
      </w:r>
      <w:r w:rsidR="00D00AE7">
        <w:rPr>
          <w:rFonts w:cs="Times New Roman"/>
          <w:sz w:val="24"/>
          <w:szCs w:val="24"/>
        </w:rPr>
        <w:t>PEPC</w:t>
      </w:r>
      <w:r w:rsidRPr="000655BF" w:rsidR="007B0B28">
        <w:rPr>
          <w:rFonts w:cs="Times New Roman"/>
          <w:sz w:val="24"/>
          <w:szCs w:val="24"/>
        </w:rPr>
        <w:t xml:space="preserve"> </w:t>
      </w:r>
      <w:r w:rsidRPr="000655BF" w:rsidR="00A32F64">
        <w:rPr>
          <w:rFonts w:cs="Times New Roman"/>
          <w:sz w:val="24"/>
          <w:szCs w:val="24"/>
        </w:rPr>
        <w:t>evaluation team collect</w:t>
      </w:r>
      <w:r w:rsidRPr="000655BF" w:rsidR="00EC23A1">
        <w:rPr>
          <w:rFonts w:cs="Times New Roman"/>
          <w:sz w:val="24"/>
          <w:szCs w:val="24"/>
        </w:rPr>
        <w:t>s</w:t>
      </w:r>
      <w:r w:rsidRPr="000655BF" w:rsidR="00A32F64">
        <w:rPr>
          <w:rFonts w:cs="Times New Roman"/>
          <w:sz w:val="24"/>
          <w:szCs w:val="24"/>
        </w:rPr>
        <w:t xml:space="preserve"> </w:t>
      </w:r>
      <w:r w:rsidR="003F1D06">
        <w:rPr>
          <w:rFonts w:cs="Times New Roman"/>
          <w:sz w:val="24"/>
          <w:szCs w:val="24"/>
        </w:rPr>
        <w:t>ART</w:t>
      </w:r>
      <w:r w:rsidRPr="000655BF" w:rsidR="00A32F64">
        <w:rPr>
          <w:rFonts w:cs="Times New Roman"/>
          <w:sz w:val="24"/>
          <w:szCs w:val="24"/>
        </w:rPr>
        <w:t xml:space="preserve"> data yearly</w:t>
      </w:r>
      <w:r w:rsidRPr="000655BF" w:rsidR="00952A4E">
        <w:rPr>
          <w:rFonts w:cs="Times New Roman"/>
          <w:sz w:val="24"/>
          <w:szCs w:val="24"/>
        </w:rPr>
        <w:t xml:space="preserve"> to monitor </w:t>
      </w:r>
      <w:r w:rsidRPr="000655BF">
        <w:rPr>
          <w:rFonts w:cs="Times New Roman"/>
          <w:sz w:val="24"/>
          <w:szCs w:val="24"/>
        </w:rPr>
        <w:t xml:space="preserve">state, </w:t>
      </w:r>
      <w:r w:rsidR="0053734B">
        <w:rPr>
          <w:rFonts w:cs="Times New Roman"/>
          <w:sz w:val="24"/>
          <w:szCs w:val="24"/>
        </w:rPr>
        <w:t xml:space="preserve">territory, </w:t>
      </w:r>
      <w:r w:rsidRPr="000655BF">
        <w:rPr>
          <w:rFonts w:cs="Times New Roman"/>
          <w:sz w:val="24"/>
          <w:szCs w:val="24"/>
        </w:rPr>
        <w:t xml:space="preserve">tribal entity, </w:t>
      </w:r>
      <w:r w:rsidRPr="000655BF" w:rsidR="007B0B28">
        <w:rPr>
          <w:rFonts w:cs="Times New Roman"/>
          <w:sz w:val="24"/>
          <w:szCs w:val="24"/>
        </w:rPr>
        <w:t xml:space="preserve">and </w:t>
      </w:r>
      <w:r w:rsidRPr="000655BF" w:rsidR="00A32F64">
        <w:rPr>
          <w:rFonts w:cs="Times New Roman"/>
          <w:sz w:val="24"/>
          <w:szCs w:val="24"/>
        </w:rPr>
        <w:t xml:space="preserve">community-level </w:t>
      </w:r>
      <w:r w:rsidRPr="000655BF">
        <w:rPr>
          <w:rFonts w:cs="Times New Roman"/>
          <w:sz w:val="24"/>
          <w:szCs w:val="24"/>
        </w:rPr>
        <w:t xml:space="preserve">performance and to evaluate the effectiveness of the </w:t>
      </w:r>
      <w:r w:rsidR="00D00AE7">
        <w:rPr>
          <w:rFonts w:cs="Times New Roman"/>
          <w:sz w:val="24"/>
          <w:szCs w:val="24"/>
        </w:rPr>
        <w:t>SPF Rx</w:t>
      </w:r>
      <w:r w:rsidRPr="000655BF">
        <w:rPr>
          <w:rFonts w:cs="Times New Roman"/>
          <w:sz w:val="24"/>
          <w:szCs w:val="24"/>
        </w:rPr>
        <w:t xml:space="preserve"> program across states, tribal entities, </w:t>
      </w:r>
      <w:r w:rsidR="00563C82">
        <w:rPr>
          <w:rFonts w:cs="Times New Roman"/>
          <w:sz w:val="24"/>
          <w:szCs w:val="24"/>
        </w:rPr>
        <w:t xml:space="preserve">U.S. territories, </w:t>
      </w:r>
      <w:r w:rsidRPr="000655BF">
        <w:rPr>
          <w:rFonts w:cs="Times New Roman"/>
          <w:sz w:val="24"/>
          <w:szCs w:val="24"/>
        </w:rPr>
        <w:t xml:space="preserve">and </w:t>
      </w:r>
      <w:r w:rsidRPr="000655BF" w:rsidR="00A32F64">
        <w:rPr>
          <w:rFonts w:cs="Times New Roman"/>
          <w:sz w:val="24"/>
          <w:szCs w:val="24"/>
        </w:rPr>
        <w:t xml:space="preserve">subrecipient </w:t>
      </w:r>
      <w:r w:rsidRPr="000655BF" w:rsidR="007B0B28">
        <w:rPr>
          <w:rFonts w:cs="Times New Roman"/>
          <w:sz w:val="24"/>
          <w:szCs w:val="24"/>
        </w:rPr>
        <w:t>communities</w:t>
      </w:r>
      <w:r w:rsidRPr="000655BF">
        <w:rPr>
          <w:rFonts w:cs="Times New Roman"/>
          <w:sz w:val="24"/>
          <w:szCs w:val="24"/>
        </w:rPr>
        <w:t xml:space="preserve">. The </w:t>
      </w:r>
      <w:r w:rsidR="003F1D06">
        <w:rPr>
          <w:rFonts w:cs="Times New Roman"/>
          <w:sz w:val="24"/>
          <w:szCs w:val="24"/>
        </w:rPr>
        <w:t>ART</w:t>
      </w:r>
      <w:r w:rsidRPr="000655BF">
        <w:rPr>
          <w:rFonts w:cs="Times New Roman"/>
          <w:sz w:val="24"/>
          <w:szCs w:val="24"/>
        </w:rPr>
        <w:t xml:space="preserve"> provide</w:t>
      </w:r>
      <w:r w:rsidRPr="000655BF" w:rsidR="000616A7">
        <w:rPr>
          <w:rFonts w:cs="Times New Roman"/>
          <w:sz w:val="24"/>
          <w:szCs w:val="24"/>
        </w:rPr>
        <w:t>s</w:t>
      </w:r>
      <w:r w:rsidRPr="000655BF">
        <w:rPr>
          <w:rFonts w:cs="Times New Roman"/>
          <w:sz w:val="24"/>
          <w:szCs w:val="24"/>
        </w:rPr>
        <w:t xml:space="preserve"> data related to </w:t>
      </w:r>
      <w:r w:rsidRPr="000655BF" w:rsidR="00412573">
        <w:rPr>
          <w:rFonts w:cs="Times New Roman"/>
          <w:sz w:val="24"/>
          <w:szCs w:val="24"/>
        </w:rPr>
        <w:t>funding use and effectiveness</w:t>
      </w:r>
      <w:r w:rsidRPr="000655BF">
        <w:rPr>
          <w:rFonts w:cs="Times New Roman"/>
          <w:sz w:val="24"/>
          <w:szCs w:val="24"/>
        </w:rPr>
        <w:t xml:space="preserve">, organizational capacity, collaboration with community partners, data infrastructure, planned intervention targets, evaluation, contextual factors, and sustainability. Repeated collection of these data is </w:t>
      </w:r>
      <w:r w:rsidRPr="000655BF" w:rsidR="009A7EC7">
        <w:rPr>
          <w:rFonts w:cs="Times New Roman"/>
          <w:sz w:val="24"/>
          <w:szCs w:val="24"/>
        </w:rPr>
        <w:t>ne</w:t>
      </w:r>
      <w:r w:rsidR="009A7EC7">
        <w:rPr>
          <w:rFonts w:cs="Times New Roman"/>
          <w:sz w:val="24"/>
          <w:szCs w:val="24"/>
        </w:rPr>
        <w:t>cessary</w:t>
      </w:r>
      <w:r w:rsidRPr="000655BF" w:rsidR="009A7EC7">
        <w:rPr>
          <w:rFonts w:cs="Times New Roman"/>
          <w:sz w:val="24"/>
          <w:szCs w:val="24"/>
        </w:rPr>
        <w:t xml:space="preserve"> </w:t>
      </w:r>
      <w:r w:rsidRPr="000655BF">
        <w:rPr>
          <w:rFonts w:cs="Times New Roman"/>
          <w:sz w:val="24"/>
          <w:szCs w:val="24"/>
        </w:rPr>
        <w:t xml:space="preserve">to </w:t>
      </w:r>
      <w:r w:rsidR="00F457D3">
        <w:rPr>
          <w:rFonts w:cs="Times New Roman"/>
          <w:sz w:val="24"/>
          <w:szCs w:val="24"/>
        </w:rPr>
        <w:t>(</w:t>
      </w:r>
      <w:r w:rsidRPr="000655BF">
        <w:rPr>
          <w:rFonts w:cs="Times New Roman"/>
          <w:sz w:val="24"/>
          <w:szCs w:val="24"/>
        </w:rPr>
        <w:t xml:space="preserve">1) track the grantees and </w:t>
      </w:r>
      <w:r w:rsidRPr="000655BF" w:rsidR="00F116A0">
        <w:rPr>
          <w:rFonts w:cs="Times New Roman"/>
          <w:sz w:val="24"/>
          <w:szCs w:val="24"/>
        </w:rPr>
        <w:t>subrecipient</w:t>
      </w:r>
      <w:r w:rsidRPr="000655BF">
        <w:rPr>
          <w:rFonts w:cs="Times New Roman"/>
          <w:sz w:val="24"/>
          <w:szCs w:val="24"/>
        </w:rPr>
        <w:t>s’ progress and change</w:t>
      </w:r>
      <w:r w:rsidRPr="000655BF" w:rsidR="00F32104">
        <w:rPr>
          <w:rFonts w:cs="Times New Roman"/>
          <w:sz w:val="24"/>
          <w:szCs w:val="24"/>
        </w:rPr>
        <w:t xml:space="preserve">s </w:t>
      </w:r>
      <w:r w:rsidR="0091660C">
        <w:rPr>
          <w:rFonts w:cs="Times New Roman"/>
          <w:sz w:val="24"/>
          <w:szCs w:val="24"/>
        </w:rPr>
        <w:t>on</w:t>
      </w:r>
      <w:r w:rsidRPr="000655BF" w:rsidR="00F32104">
        <w:rPr>
          <w:rFonts w:cs="Times New Roman"/>
          <w:sz w:val="24"/>
          <w:szCs w:val="24"/>
        </w:rPr>
        <w:t xml:space="preserve"> the </w:t>
      </w:r>
      <w:r w:rsidRPr="000655BF" w:rsidR="00CF7223">
        <w:rPr>
          <w:rFonts w:cs="Times New Roman"/>
          <w:sz w:val="24"/>
          <w:szCs w:val="24"/>
        </w:rPr>
        <w:t>indicators</w:t>
      </w:r>
      <w:r w:rsidRPr="000655BF">
        <w:rPr>
          <w:rFonts w:cs="Times New Roman"/>
          <w:sz w:val="24"/>
          <w:szCs w:val="24"/>
        </w:rPr>
        <w:t xml:space="preserve"> over time</w:t>
      </w:r>
      <w:r w:rsidRPr="000655BF" w:rsidR="00C53DB2">
        <w:rPr>
          <w:rFonts w:cs="Times New Roman"/>
          <w:sz w:val="24"/>
          <w:szCs w:val="24"/>
        </w:rPr>
        <w:t xml:space="preserve"> </w:t>
      </w:r>
      <w:r w:rsidRPr="000655BF" w:rsidR="000616A7">
        <w:rPr>
          <w:rFonts w:cs="Times New Roman"/>
          <w:sz w:val="24"/>
          <w:szCs w:val="24"/>
        </w:rPr>
        <w:t xml:space="preserve">and </w:t>
      </w:r>
      <w:r w:rsidR="00F457D3">
        <w:rPr>
          <w:rFonts w:cs="Times New Roman"/>
          <w:sz w:val="24"/>
          <w:szCs w:val="24"/>
        </w:rPr>
        <w:t>(</w:t>
      </w:r>
      <w:r w:rsidRPr="000655BF">
        <w:rPr>
          <w:rFonts w:cs="Times New Roman"/>
          <w:sz w:val="24"/>
          <w:szCs w:val="24"/>
        </w:rPr>
        <w:t xml:space="preserve">2) allow SAMHSA and the grantees to monitor </w:t>
      </w:r>
      <w:r w:rsidR="005A0373">
        <w:rPr>
          <w:rFonts w:cs="Times New Roman"/>
          <w:sz w:val="24"/>
          <w:szCs w:val="24"/>
        </w:rPr>
        <w:t xml:space="preserve">and improve </w:t>
      </w:r>
      <w:r w:rsidRPr="000655BF">
        <w:rPr>
          <w:rFonts w:cs="Times New Roman"/>
          <w:sz w:val="24"/>
          <w:szCs w:val="24"/>
        </w:rPr>
        <w:t xml:space="preserve">performance and ongoing implementation. </w:t>
      </w:r>
    </w:p>
    <w:p w:rsidR="00333BD8" w:rsidRPr="000655BF" w:rsidP="00FD0E71" w14:paraId="4307F181" w14:textId="6881614B">
      <w:pPr>
        <w:pStyle w:val="ListBulletLast"/>
        <w:numPr>
          <w:ilvl w:val="0"/>
          <w:numId w:val="0"/>
        </w:numPr>
        <w:tabs>
          <w:tab w:val="left" w:pos="0"/>
        </w:tabs>
        <w:rPr>
          <w:rFonts w:cs="Times New Roman"/>
          <w:sz w:val="24"/>
          <w:szCs w:val="24"/>
        </w:rPr>
      </w:pPr>
      <w:r>
        <w:rPr>
          <w:rFonts w:cs="Times New Roman"/>
          <w:sz w:val="24"/>
          <w:szCs w:val="24"/>
        </w:rPr>
        <w:t xml:space="preserve">The </w:t>
      </w:r>
      <w:r w:rsidR="00CC17A6">
        <w:rPr>
          <w:rFonts w:cs="Times New Roman"/>
          <w:sz w:val="24"/>
          <w:szCs w:val="24"/>
        </w:rPr>
        <w:t xml:space="preserve">ART </w:t>
      </w:r>
      <w:r>
        <w:rPr>
          <w:rFonts w:cs="Times New Roman"/>
          <w:sz w:val="24"/>
          <w:szCs w:val="24"/>
        </w:rPr>
        <w:t xml:space="preserve">underwent extensive changes from the prior SPF Rx evaluation. </w:t>
      </w:r>
      <w:r w:rsidRPr="000655BF">
        <w:rPr>
          <w:rFonts w:cs="Times New Roman"/>
          <w:sz w:val="24"/>
          <w:szCs w:val="24"/>
        </w:rPr>
        <w:t>T</w:t>
      </w:r>
      <w:r w:rsidR="00EC118D">
        <w:rPr>
          <w:rFonts w:cs="Times New Roman"/>
          <w:sz w:val="24"/>
          <w:szCs w:val="24"/>
        </w:rPr>
        <w:t xml:space="preserve">o </w:t>
      </w:r>
      <w:r w:rsidR="005A0373">
        <w:rPr>
          <w:rFonts w:cs="Times New Roman"/>
          <w:sz w:val="24"/>
          <w:szCs w:val="24"/>
        </w:rPr>
        <w:t>reduce</w:t>
      </w:r>
      <w:r w:rsidR="00EC118D">
        <w:rPr>
          <w:rFonts w:cs="Times New Roman"/>
          <w:sz w:val="24"/>
          <w:szCs w:val="24"/>
        </w:rPr>
        <w:t xml:space="preserve"> burden on respondents, t</w:t>
      </w:r>
      <w:r w:rsidRPr="000655BF">
        <w:rPr>
          <w:rFonts w:cs="Times New Roman"/>
          <w:sz w:val="24"/>
          <w:szCs w:val="24"/>
        </w:rPr>
        <w:t xml:space="preserve">he </w:t>
      </w:r>
      <w:r w:rsidR="003F1D06">
        <w:rPr>
          <w:rFonts w:cs="Times New Roman"/>
          <w:sz w:val="24"/>
          <w:szCs w:val="24"/>
        </w:rPr>
        <w:t>ART</w:t>
      </w:r>
      <w:r w:rsidRPr="000655BF">
        <w:rPr>
          <w:rFonts w:cs="Times New Roman"/>
          <w:sz w:val="24"/>
          <w:szCs w:val="24"/>
        </w:rPr>
        <w:t xml:space="preserve"> included in this </w:t>
      </w:r>
      <w:r w:rsidR="00BE419A">
        <w:rPr>
          <w:rFonts w:cs="Times New Roman"/>
          <w:sz w:val="24"/>
          <w:szCs w:val="24"/>
        </w:rPr>
        <w:t>d</w:t>
      </w:r>
      <w:r w:rsidR="00B429E2">
        <w:rPr>
          <w:rFonts w:cs="Times New Roman"/>
          <w:sz w:val="24"/>
          <w:szCs w:val="24"/>
        </w:rPr>
        <w:t>ata collection</w:t>
      </w:r>
      <w:r w:rsidRPr="000655BF">
        <w:rPr>
          <w:rFonts w:cs="Times New Roman"/>
          <w:sz w:val="24"/>
          <w:szCs w:val="24"/>
        </w:rPr>
        <w:t xml:space="preserve"> </w:t>
      </w:r>
      <w:r w:rsidR="005A0373">
        <w:rPr>
          <w:rFonts w:cs="Times New Roman"/>
          <w:sz w:val="24"/>
          <w:szCs w:val="24"/>
        </w:rPr>
        <w:t>eliminates</w:t>
      </w:r>
      <w:r w:rsidR="00EC118D">
        <w:rPr>
          <w:rFonts w:cs="Times New Roman"/>
          <w:sz w:val="24"/>
          <w:szCs w:val="24"/>
        </w:rPr>
        <w:t xml:space="preserve"> items that were not relevant to the PEPC evaluation questions or that were duplicative of the C</w:t>
      </w:r>
      <w:r w:rsidR="009B4B61">
        <w:rPr>
          <w:rFonts w:cs="Times New Roman"/>
          <w:sz w:val="24"/>
          <w:szCs w:val="24"/>
        </w:rPr>
        <w:t>SAP Online Reporting Tool</w:t>
      </w:r>
      <w:r w:rsidR="009A7EC7">
        <w:rPr>
          <w:rFonts w:cs="Times New Roman"/>
          <w:sz w:val="24"/>
          <w:szCs w:val="24"/>
        </w:rPr>
        <w:t>,</w:t>
      </w:r>
      <w:r w:rsidR="000C1374">
        <w:rPr>
          <w:rFonts w:cs="Times New Roman"/>
          <w:sz w:val="24"/>
          <w:szCs w:val="24"/>
        </w:rPr>
        <w:t xml:space="preserve"> </w:t>
      </w:r>
      <w:r w:rsidR="009B4B61">
        <w:rPr>
          <w:rFonts w:cs="Times New Roman"/>
          <w:sz w:val="24"/>
          <w:szCs w:val="24"/>
        </w:rPr>
        <w:t>which collects grantee data through SPARS.</w:t>
      </w:r>
      <w:r w:rsidRPr="000655BF" w:rsidR="00F03A84">
        <w:rPr>
          <w:rFonts w:cs="Times New Roman"/>
          <w:sz w:val="24"/>
          <w:szCs w:val="24"/>
        </w:rPr>
        <w:t xml:space="preserve"> </w:t>
      </w:r>
      <w:r w:rsidR="00796277">
        <w:rPr>
          <w:rFonts w:cs="Times New Roman"/>
          <w:sz w:val="24"/>
          <w:szCs w:val="24"/>
        </w:rPr>
        <w:t>To enhance alignment with the PEPC evaluation, we added an item to the ART to capture information about PDMP partnerships. A</w:t>
      </w:r>
      <w:r w:rsidR="009A7EC7">
        <w:rPr>
          <w:rFonts w:cs="Times New Roman"/>
          <w:sz w:val="24"/>
          <w:szCs w:val="24"/>
        </w:rPr>
        <w:t>nd</w:t>
      </w:r>
      <w:r w:rsidR="00796277">
        <w:rPr>
          <w:rFonts w:cs="Times New Roman"/>
          <w:sz w:val="24"/>
          <w:szCs w:val="24"/>
        </w:rPr>
        <w:t xml:space="preserve">, to support higher quality and more complete data across respondents and allow for analysis by grantee, by subrecipient, and by all respondents, we plan to ask all remaining items in the revised ART of both </w:t>
      </w:r>
      <w:r w:rsidR="00796277">
        <w:rPr>
          <w:rFonts w:cs="Times New Roman"/>
          <w:sz w:val="24"/>
          <w:szCs w:val="24"/>
        </w:rPr>
        <w:t>grantees</w:t>
      </w:r>
      <w:r w:rsidR="00796277">
        <w:rPr>
          <w:rFonts w:cs="Times New Roman"/>
          <w:sz w:val="24"/>
          <w:szCs w:val="24"/>
        </w:rPr>
        <w:t xml:space="preserve"> and subrecipients. </w:t>
      </w:r>
    </w:p>
    <w:p w:rsidR="00A4680F" w:rsidRPr="000655BF" w:rsidP="00FD159E" w14:paraId="22C8AE71" w14:textId="5310FB6E">
      <w:pPr>
        <w:pStyle w:val="ListBulletLast"/>
        <w:numPr>
          <w:ilvl w:val="0"/>
          <w:numId w:val="0"/>
        </w:numPr>
        <w:rPr>
          <w:rFonts w:cs="Times New Roman"/>
          <w:sz w:val="24"/>
          <w:szCs w:val="24"/>
        </w:rPr>
      </w:pPr>
      <w:r w:rsidRPr="1E6DD8C4">
        <w:rPr>
          <w:rFonts w:cs="Times New Roman"/>
          <w:sz w:val="24"/>
          <w:szCs w:val="24"/>
        </w:rPr>
        <w:t xml:space="preserve">The </w:t>
      </w:r>
      <w:r w:rsidRPr="1E6DD8C4" w:rsidR="003F1D06">
        <w:rPr>
          <w:rFonts w:cs="Times New Roman"/>
          <w:sz w:val="24"/>
          <w:szCs w:val="24"/>
        </w:rPr>
        <w:t>ART</w:t>
      </w:r>
      <w:r w:rsidRPr="1E6DD8C4">
        <w:rPr>
          <w:rFonts w:cs="Times New Roman"/>
          <w:sz w:val="24"/>
          <w:szCs w:val="24"/>
        </w:rPr>
        <w:t xml:space="preserve"> </w:t>
      </w:r>
      <w:r w:rsidRPr="1E6DD8C4" w:rsidR="00D0263C">
        <w:rPr>
          <w:rFonts w:cs="Times New Roman"/>
          <w:sz w:val="24"/>
          <w:szCs w:val="24"/>
        </w:rPr>
        <w:t xml:space="preserve">will be collected </w:t>
      </w:r>
      <w:r w:rsidRPr="1E6DD8C4" w:rsidR="00686DBF">
        <w:rPr>
          <w:rFonts w:cs="Times New Roman"/>
          <w:sz w:val="24"/>
          <w:szCs w:val="24"/>
        </w:rPr>
        <w:t xml:space="preserve">annually under this </w:t>
      </w:r>
      <w:r w:rsidRPr="1E6DD8C4" w:rsidR="00BE419A">
        <w:rPr>
          <w:rFonts w:cs="Times New Roman"/>
          <w:sz w:val="24"/>
          <w:szCs w:val="24"/>
        </w:rPr>
        <w:t>d</w:t>
      </w:r>
      <w:r w:rsidRPr="1E6DD8C4" w:rsidR="00B429E2">
        <w:rPr>
          <w:rFonts w:cs="Times New Roman"/>
          <w:sz w:val="24"/>
          <w:szCs w:val="24"/>
        </w:rPr>
        <w:t>ata collection</w:t>
      </w:r>
      <w:r w:rsidRPr="1E6DD8C4" w:rsidR="002D68B3">
        <w:rPr>
          <w:rFonts w:cs="Times New Roman"/>
          <w:sz w:val="24"/>
          <w:szCs w:val="24"/>
        </w:rPr>
        <w:t>—</w:t>
      </w:r>
      <w:r w:rsidR="007F0540">
        <w:rPr>
          <w:rFonts w:cs="Times New Roman"/>
          <w:sz w:val="24"/>
          <w:szCs w:val="24"/>
        </w:rPr>
        <w:t>in</w:t>
      </w:r>
      <w:r w:rsidRPr="1E6DD8C4" w:rsidR="007F0540">
        <w:rPr>
          <w:rFonts w:cs="Times New Roman"/>
          <w:sz w:val="24"/>
          <w:szCs w:val="24"/>
        </w:rPr>
        <w:t xml:space="preserve"> </w:t>
      </w:r>
      <w:r w:rsidRPr="1E6DD8C4" w:rsidR="002D68B3">
        <w:rPr>
          <w:rFonts w:cs="Times New Roman"/>
          <w:sz w:val="24"/>
          <w:szCs w:val="24"/>
        </w:rPr>
        <w:t>Year 1 (</w:t>
      </w:r>
      <w:r w:rsidRPr="1E6DD8C4" w:rsidR="00806B9B">
        <w:rPr>
          <w:rFonts w:cs="Times New Roman"/>
          <w:sz w:val="24"/>
          <w:szCs w:val="24"/>
        </w:rPr>
        <w:t>202</w:t>
      </w:r>
      <w:r w:rsidR="00806B9B">
        <w:rPr>
          <w:rFonts w:cs="Times New Roman"/>
          <w:sz w:val="24"/>
          <w:szCs w:val="24"/>
        </w:rPr>
        <w:t>6</w:t>
      </w:r>
      <w:r w:rsidRPr="1E6DD8C4" w:rsidR="002D68B3">
        <w:rPr>
          <w:rFonts w:cs="Times New Roman"/>
          <w:sz w:val="24"/>
          <w:szCs w:val="24"/>
        </w:rPr>
        <w:t>)</w:t>
      </w:r>
      <w:r w:rsidR="00213AD5">
        <w:rPr>
          <w:rFonts w:cs="Times New Roman"/>
          <w:sz w:val="24"/>
          <w:szCs w:val="24"/>
        </w:rPr>
        <w:t>,</w:t>
      </w:r>
      <w:r w:rsidRPr="1E6DD8C4" w:rsidR="002D68B3">
        <w:rPr>
          <w:rFonts w:cs="Times New Roman"/>
          <w:sz w:val="24"/>
          <w:szCs w:val="24"/>
        </w:rPr>
        <w:t xml:space="preserve"> Year </w:t>
      </w:r>
      <w:r w:rsidR="007F0540">
        <w:rPr>
          <w:rFonts w:cs="Times New Roman"/>
          <w:sz w:val="24"/>
          <w:szCs w:val="24"/>
        </w:rPr>
        <w:t>2</w:t>
      </w:r>
      <w:r w:rsidRPr="1E6DD8C4" w:rsidR="007F0540">
        <w:rPr>
          <w:rFonts w:cs="Times New Roman"/>
          <w:sz w:val="24"/>
          <w:szCs w:val="24"/>
        </w:rPr>
        <w:t xml:space="preserve"> </w:t>
      </w:r>
      <w:r w:rsidRPr="1E6DD8C4" w:rsidR="002D68B3">
        <w:rPr>
          <w:rFonts w:cs="Times New Roman"/>
          <w:sz w:val="24"/>
          <w:szCs w:val="24"/>
        </w:rPr>
        <w:t>(</w:t>
      </w:r>
      <w:r w:rsidRPr="1E6DD8C4" w:rsidR="007F0540">
        <w:rPr>
          <w:rFonts w:cs="Times New Roman"/>
          <w:sz w:val="24"/>
          <w:szCs w:val="24"/>
        </w:rPr>
        <w:t>20</w:t>
      </w:r>
      <w:r w:rsidR="007F0540">
        <w:rPr>
          <w:rFonts w:cs="Times New Roman"/>
          <w:sz w:val="24"/>
          <w:szCs w:val="24"/>
        </w:rPr>
        <w:t>27</w:t>
      </w:r>
      <w:r w:rsidRPr="1E6DD8C4" w:rsidR="002D68B3">
        <w:rPr>
          <w:rFonts w:cs="Times New Roman"/>
          <w:sz w:val="24"/>
          <w:szCs w:val="24"/>
        </w:rPr>
        <w:t>)</w:t>
      </w:r>
      <w:r w:rsidR="00213AD5">
        <w:rPr>
          <w:rFonts w:cs="Times New Roman"/>
          <w:sz w:val="24"/>
          <w:szCs w:val="24"/>
        </w:rPr>
        <w:t>, and Year 3 (2028)</w:t>
      </w:r>
      <w:r w:rsidR="005A0373">
        <w:rPr>
          <w:rFonts w:cs="Times New Roman"/>
          <w:sz w:val="24"/>
          <w:szCs w:val="24"/>
        </w:rPr>
        <w:t xml:space="preserve"> for a total of </w:t>
      </w:r>
      <w:r w:rsidR="00213AD5">
        <w:rPr>
          <w:rFonts w:cs="Times New Roman"/>
          <w:sz w:val="24"/>
          <w:szCs w:val="24"/>
        </w:rPr>
        <w:t xml:space="preserve">three </w:t>
      </w:r>
      <w:r w:rsidR="005A0373">
        <w:rPr>
          <w:rFonts w:cs="Times New Roman"/>
          <w:sz w:val="24"/>
          <w:szCs w:val="24"/>
        </w:rPr>
        <w:t>times</w:t>
      </w:r>
      <w:r w:rsidRPr="1E6DD8C4">
        <w:rPr>
          <w:rFonts w:cs="Times New Roman"/>
          <w:sz w:val="24"/>
          <w:szCs w:val="24"/>
        </w:rPr>
        <w:t xml:space="preserve">. </w:t>
      </w:r>
    </w:p>
    <w:p w:rsidR="00F03A84" w:rsidRPr="000655BF" w:rsidP="002B3686" w14:paraId="07D8F0F5" w14:textId="3F03A43D">
      <w:pPr>
        <w:pStyle w:val="BulletListHead"/>
      </w:pPr>
      <w:r w:rsidRPr="000655BF">
        <w:t>Grantee</w:t>
      </w:r>
      <w:r w:rsidRPr="000655BF" w:rsidR="00333BD8">
        <w:t>-</w:t>
      </w:r>
      <w:r w:rsidRPr="000655BF">
        <w:t xml:space="preserve"> (Attachment 2) and Community-Level </w:t>
      </w:r>
      <w:r w:rsidR="007E5D8C">
        <w:t xml:space="preserve">PDMP </w:t>
      </w:r>
      <w:r w:rsidRPr="000655BF">
        <w:t xml:space="preserve">Outcomes Modules (Attachment 3): </w:t>
      </w:r>
    </w:p>
    <w:p w:rsidR="00751E16" w:rsidP="00D012B9" w14:paraId="6652E483" w14:textId="0F88AA68">
      <w:pPr>
        <w:pStyle w:val="ListBulletLast"/>
        <w:numPr>
          <w:ilvl w:val="0"/>
          <w:numId w:val="0"/>
        </w:numPr>
        <w:spacing w:after="0"/>
        <w:rPr>
          <w:rFonts w:cs="Times New Roman"/>
          <w:sz w:val="24"/>
          <w:szCs w:val="24"/>
        </w:rPr>
      </w:pPr>
      <w:r w:rsidRPr="000655BF">
        <w:rPr>
          <w:rFonts w:cs="Times New Roman"/>
          <w:sz w:val="24"/>
          <w:szCs w:val="24"/>
        </w:rPr>
        <w:t xml:space="preserve">The Grantee- and Community-Level </w:t>
      </w:r>
      <w:r w:rsidR="007E5D8C">
        <w:rPr>
          <w:rFonts w:cs="Times New Roman"/>
          <w:sz w:val="24"/>
          <w:szCs w:val="24"/>
        </w:rPr>
        <w:t xml:space="preserve">PDMP </w:t>
      </w:r>
      <w:r w:rsidRPr="000655BF">
        <w:rPr>
          <w:rFonts w:cs="Times New Roman"/>
          <w:sz w:val="24"/>
          <w:szCs w:val="24"/>
        </w:rPr>
        <w:t>Outcomes Modules</w:t>
      </w:r>
      <w:r w:rsidRPr="000655BF" w:rsidR="00F32104">
        <w:rPr>
          <w:rFonts w:cs="Times New Roman"/>
          <w:sz w:val="24"/>
          <w:szCs w:val="24"/>
        </w:rPr>
        <w:t xml:space="preserve"> </w:t>
      </w:r>
      <w:r w:rsidRPr="000655BF">
        <w:rPr>
          <w:rFonts w:cs="Times New Roman"/>
          <w:sz w:val="24"/>
          <w:szCs w:val="24"/>
        </w:rPr>
        <w:t>are</w:t>
      </w:r>
      <w:r w:rsidRPr="000655BF" w:rsidR="00F32104">
        <w:rPr>
          <w:rFonts w:cs="Times New Roman"/>
          <w:sz w:val="24"/>
          <w:szCs w:val="24"/>
        </w:rPr>
        <w:t xml:space="preserve"> survey instrument</w:t>
      </w:r>
      <w:r w:rsidRPr="000655BF">
        <w:rPr>
          <w:rFonts w:cs="Times New Roman"/>
          <w:sz w:val="24"/>
          <w:szCs w:val="24"/>
        </w:rPr>
        <w:t>s</w:t>
      </w:r>
      <w:r w:rsidRPr="000655BF" w:rsidR="00F32104">
        <w:rPr>
          <w:rFonts w:cs="Times New Roman"/>
          <w:sz w:val="24"/>
          <w:szCs w:val="24"/>
        </w:rPr>
        <w:t xml:space="preserve"> collected through </w:t>
      </w:r>
      <w:r w:rsidR="00D00AE7">
        <w:rPr>
          <w:rFonts w:cs="Times New Roman"/>
          <w:sz w:val="24"/>
          <w:szCs w:val="24"/>
        </w:rPr>
        <w:t>PEPC</w:t>
      </w:r>
      <w:r w:rsidRPr="000655BF" w:rsidR="00F32104">
        <w:rPr>
          <w:rFonts w:cs="Times New Roman"/>
          <w:sz w:val="24"/>
          <w:szCs w:val="24"/>
        </w:rPr>
        <w:t xml:space="preserve">’s </w:t>
      </w:r>
      <w:r w:rsidRPr="0055061C" w:rsidR="00416B41">
        <w:rPr>
          <w:rFonts w:cs="Times New Roman"/>
          <w:sz w:val="24"/>
          <w:szCs w:val="24"/>
        </w:rPr>
        <w:t>CS-DCP</w:t>
      </w:r>
      <w:r w:rsidRPr="000655BF" w:rsidR="00F32104">
        <w:rPr>
          <w:rFonts w:cs="Times New Roman"/>
          <w:sz w:val="24"/>
          <w:szCs w:val="24"/>
        </w:rPr>
        <w:t xml:space="preserve">. </w:t>
      </w:r>
      <w:r w:rsidRPr="000655BF" w:rsidR="004F0E2A">
        <w:rPr>
          <w:rFonts w:cs="Times New Roman"/>
          <w:sz w:val="24"/>
          <w:szCs w:val="24"/>
        </w:rPr>
        <w:t>Grantees use the</w:t>
      </w:r>
      <w:r w:rsidR="007E5D8C">
        <w:rPr>
          <w:rFonts w:cs="Times New Roman"/>
          <w:sz w:val="24"/>
          <w:szCs w:val="24"/>
        </w:rPr>
        <w:t xml:space="preserve"> PDMP</w:t>
      </w:r>
      <w:r w:rsidRPr="000655BF" w:rsidR="004F0E2A">
        <w:rPr>
          <w:rFonts w:cs="Times New Roman"/>
          <w:sz w:val="24"/>
          <w:szCs w:val="24"/>
        </w:rPr>
        <w:t xml:space="preserve"> </w:t>
      </w:r>
      <w:r w:rsidRPr="000655BF" w:rsidR="00333BD8">
        <w:rPr>
          <w:rFonts w:cs="Times New Roman"/>
          <w:sz w:val="24"/>
          <w:szCs w:val="24"/>
        </w:rPr>
        <w:t xml:space="preserve">Outcomes Modules </w:t>
      </w:r>
      <w:r w:rsidRPr="000655BF" w:rsidR="004F0E2A">
        <w:rPr>
          <w:rFonts w:cs="Times New Roman"/>
          <w:sz w:val="24"/>
          <w:szCs w:val="24"/>
        </w:rPr>
        <w:t xml:space="preserve">instruments to provide </w:t>
      </w:r>
      <w:r w:rsidRPr="000655BF" w:rsidR="00594E64">
        <w:rPr>
          <w:rFonts w:cs="Times New Roman"/>
          <w:sz w:val="24"/>
          <w:szCs w:val="24"/>
        </w:rPr>
        <w:t xml:space="preserve">outcome </w:t>
      </w:r>
      <w:r w:rsidRPr="000655BF" w:rsidR="004F0E2A">
        <w:rPr>
          <w:rFonts w:cs="Times New Roman"/>
          <w:sz w:val="24"/>
          <w:szCs w:val="24"/>
        </w:rPr>
        <w:t xml:space="preserve">data </w:t>
      </w:r>
      <w:r w:rsidRPr="000655BF" w:rsidR="00D44E8B">
        <w:rPr>
          <w:rFonts w:cs="Times New Roman"/>
          <w:sz w:val="24"/>
          <w:szCs w:val="24"/>
        </w:rPr>
        <w:t xml:space="preserve">for opioid prescribing practices and prescribers’ use of PDMPs (from PDMP data) </w:t>
      </w:r>
      <w:r w:rsidRPr="000655BF" w:rsidR="000F1B38">
        <w:rPr>
          <w:rFonts w:cs="Times New Roman"/>
          <w:sz w:val="24"/>
          <w:szCs w:val="24"/>
        </w:rPr>
        <w:t>at the grantee</w:t>
      </w:r>
      <w:r w:rsidR="00D012B9">
        <w:rPr>
          <w:rFonts w:cs="Times New Roman"/>
          <w:sz w:val="24"/>
          <w:szCs w:val="24"/>
        </w:rPr>
        <w:t xml:space="preserve"> </w:t>
      </w:r>
      <w:r w:rsidRPr="000655BF" w:rsidR="0074793F">
        <w:rPr>
          <w:rFonts w:cs="Times New Roman"/>
          <w:sz w:val="24"/>
          <w:szCs w:val="24"/>
        </w:rPr>
        <w:t xml:space="preserve">and </w:t>
      </w:r>
      <w:r w:rsidR="00D012B9">
        <w:rPr>
          <w:rFonts w:cs="Times New Roman"/>
          <w:sz w:val="24"/>
          <w:szCs w:val="24"/>
        </w:rPr>
        <w:t xml:space="preserve">subrecipient </w:t>
      </w:r>
      <w:r w:rsidR="00AE13C4">
        <w:rPr>
          <w:rFonts w:cs="Times New Roman"/>
          <w:sz w:val="24"/>
          <w:szCs w:val="24"/>
        </w:rPr>
        <w:t xml:space="preserve">community </w:t>
      </w:r>
      <w:r w:rsidRPr="000655BF" w:rsidR="000F1B38">
        <w:rPr>
          <w:rFonts w:cs="Times New Roman"/>
          <w:sz w:val="24"/>
          <w:szCs w:val="24"/>
        </w:rPr>
        <w:t>levels</w:t>
      </w:r>
      <w:r w:rsidRPr="000655BF" w:rsidR="004F0E2A">
        <w:rPr>
          <w:rFonts w:cs="Times New Roman"/>
          <w:sz w:val="24"/>
          <w:szCs w:val="24"/>
        </w:rPr>
        <w:t xml:space="preserve">. </w:t>
      </w:r>
    </w:p>
    <w:p w:rsidR="00D012B9" w:rsidP="00D012B9" w14:paraId="3EA349A2" w14:textId="194CA219">
      <w:pPr>
        <w:pStyle w:val="ListBulletLast"/>
        <w:numPr>
          <w:ilvl w:val="0"/>
          <w:numId w:val="0"/>
        </w:numPr>
        <w:spacing w:after="0"/>
        <w:rPr>
          <w:rFonts w:cs="Times New Roman"/>
          <w:sz w:val="24"/>
          <w:szCs w:val="24"/>
        </w:rPr>
      </w:pPr>
    </w:p>
    <w:p w:rsidR="00D012B9" w:rsidP="00D012B9" w14:paraId="2BF34F2F" w14:textId="0298A3F8">
      <w:pPr>
        <w:pStyle w:val="ListBulletLast"/>
        <w:numPr>
          <w:ilvl w:val="0"/>
          <w:numId w:val="0"/>
        </w:numPr>
        <w:spacing w:after="0"/>
        <w:rPr>
          <w:rFonts w:cs="Times New Roman"/>
          <w:sz w:val="24"/>
          <w:szCs w:val="24"/>
        </w:rPr>
      </w:pPr>
      <w:r>
        <w:rPr>
          <w:rFonts w:cs="Times New Roman"/>
          <w:sz w:val="24"/>
          <w:szCs w:val="24"/>
        </w:rPr>
        <w:t xml:space="preserve">The PDMP Outcomes Modules included in this data collection </w:t>
      </w:r>
      <w:r w:rsidR="00AA692B">
        <w:rPr>
          <w:rFonts w:cs="Times New Roman"/>
          <w:sz w:val="24"/>
          <w:szCs w:val="24"/>
        </w:rPr>
        <w:t xml:space="preserve">are the same as those used by the </w:t>
      </w:r>
      <w:r w:rsidR="0091660C">
        <w:rPr>
          <w:rFonts w:cs="Times New Roman"/>
          <w:sz w:val="24"/>
          <w:szCs w:val="24"/>
        </w:rPr>
        <w:t xml:space="preserve">prior </w:t>
      </w:r>
      <w:r w:rsidR="00D00AE7">
        <w:rPr>
          <w:rFonts w:cs="Times New Roman"/>
          <w:sz w:val="24"/>
          <w:szCs w:val="24"/>
        </w:rPr>
        <w:t>SPF Rx</w:t>
      </w:r>
      <w:r w:rsidR="00AA692B">
        <w:rPr>
          <w:rFonts w:cs="Times New Roman"/>
          <w:sz w:val="24"/>
          <w:szCs w:val="24"/>
        </w:rPr>
        <w:t xml:space="preserve"> evaluation.</w:t>
      </w:r>
    </w:p>
    <w:p w:rsidR="00D012B9" w:rsidRPr="000655BF" w:rsidP="00D012B9" w14:paraId="25C23D2D" w14:textId="77777777">
      <w:pPr>
        <w:pStyle w:val="ListBulletLast"/>
        <w:numPr>
          <w:ilvl w:val="0"/>
          <w:numId w:val="0"/>
        </w:numPr>
        <w:spacing w:after="0"/>
        <w:rPr>
          <w:rFonts w:cs="Times New Roman"/>
          <w:sz w:val="24"/>
          <w:szCs w:val="24"/>
        </w:rPr>
      </w:pPr>
    </w:p>
    <w:p w:rsidR="00EC118D" w:rsidRPr="0055061C" w:rsidP="002B3686" w14:paraId="3DBFA70B" w14:textId="0F5461E5">
      <w:pPr>
        <w:pStyle w:val="BulletListHead"/>
        <w:rPr>
          <w:rFonts w:eastAsia="Times New Roman"/>
          <w:b w:val="0"/>
          <w:bCs/>
        </w:rPr>
      </w:pPr>
      <w:r w:rsidRPr="0055061C">
        <w:rPr>
          <w:b w:val="0"/>
          <w:bCs/>
        </w:rPr>
        <w:t xml:space="preserve">The Grantee- and Community-Level </w:t>
      </w:r>
      <w:r w:rsidRPr="0055061C" w:rsidR="007E5D8C">
        <w:rPr>
          <w:b w:val="0"/>
          <w:bCs/>
        </w:rPr>
        <w:t xml:space="preserve">PDMP </w:t>
      </w:r>
      <w:r w:rsidRPr="0055061C">
        <w:rPr>
          <w:b w:val="0"/>
          <w:bCs/>
        </w:rPr>
        <w:t xml:space="preserve">Outcomes Modules </w:t>
      </w:r>
      <w:r w:rsidRPr="0055061C" w:rsidR="00D012B9">
        <w:rPr>
          <w:b w:val="0"/>
          <w:bCs/>
        </w:rPr>
        <w:t xml:space="preserve">will be collected </w:t>
      </w:r>
      <w:r w:rsidRPr="0055061C" w:rsidR="1E6DD8C4">
        <w:rPr>
          <w:rFonts w:eastAsia="Times New Roman"/>
          <w:b w:val="0"/>
          <w:bCs/>
        </w:rPr>
        <w:t>annually under this data collection</w:t>
      </w:r>
      <w:r w:rsidR="009A7EC7">
        <w:rPr>
          <w:rFonts w:eastAsia="Times New Roman"/>
          <w:b w:val="0"/>
          <w:bCs/>
        </w:rPr>
        <w:t>—</w:t>
      </w:r>
      <w:r w:rsidR="007F0540">
        <w:rPr>
          <w:rFonts w:eastAsia="Times New Roman"/>
          <w:b w:val="0"/>
          <w:bCs/>
        </w:rPr>
        <w:t>in</w:t>
      </w:r>
      <w:r w:rsidRPr="0055061C" w:rsidR="007F0540">
        <w:rPr>
          <w:rFonts w:eastAsia="Times New Roman"/>
          <w:b w:val="0"/>
          <w:bCs/>
        </w:rPr>
        <w:t xml:space="preserve"> </w:t>
      </w:r>
      <w:r w:rsidRPr="0055061C" w:rsidR="1E6DD8C4">
        <w:rPr>
          <w:rFonts w:eastAsia="Times New Roman"/>
          <w:b w:val="0"/>
          <w:bCs/>
        </w:rPr>
        <w:t>Year 1 (</w:t>
      </w:r>
      <w:r w:rsidRPr="0055061C" w:rsidR="00DA3F4F">
        <w:rPr>
          <w:rFonts w:eastAsia="Times New Roman"/>
          <w:b w:val="0"/>
          <w:bCs/>
        </w:rPr>
        <w:t>202</w:t>
      </w:r>
      <w:r w:rsidR="00DA3F4F">
        <w:rPr>
          <w:rFonts w:eastAsia="Times New Roman"/>
          <w:b w:val="0"/>
          <w:bCs/>
        </w:rPr>
        <w:t>6</w:t>
      </w:r>
      <w:r w:rsidRPr="0055061C" w:rsidR="1E6DD8C4">
        <w:rPr>
          <w:rFonts w:eastAsia="Times New Roman"/>
          <w:b w:val="0"/>
          <w:bCs/>
        </w:rPr>
        <w:t>)</w:t>
      </w:r>
      <w:r w:rsidR="00213AD5">
        <w:rPr>
          <w:rFonts w:eastAsia="Times New Roman"/>
          <w:b w:val="0"/>
          <w:bCs/>
        </w:rPr>
        <w:t xml:space="preserve">, </w:t>
      </w:r>
      <w:r w:rsidRPr="0055061C" w:rsidR="1E6DD8C4">
        <w:rPr>
          <w:rFonts w:eastAsia="Times New Roman"/>
          <w:b w:val="0"/>
          <w:bCs/>
        </w:rPr>
        <w:t xml:space="preserve">Year </w:t>
      </w:r>
      <w:r w:rsidR="007F0540">
        <w:rPr>
          <w:rFonts w:eastAsia="Times New Roman"/>
          <w:b w:val="0"/>
          <w:bCs/>
        </w:rPr>
        <w:t>2</w:t>
      </w:r>
      <w:r w:rsidRPr="0055061C" w:rsidR="007F0540">
        <w:rPr>
          <w:rFonts w:eastAsia="Times New Roman"/>
          <w:b w:val="0"/>
          <w:bCs/>
        </w:rPr>
        <w:t xml:space="preserve"> </w:t>
      </w:r>
      <w:r w:rsidRPr="0055061C" w:rsidR="1E6DD8C4">
        <w:rPr>
          <w:rFonts w:eastAsia="Times New Roman"/>
          <w:b w:val="0"/>
          <w:bCs/>
        </w:rPr>
        <w:t>(</w:t>
      </w:r>
      <w:r w:rsidRPr="0055061C" w:rsidR="001E41DC">
        <w:rPr>
          <w:rFonts w:eastAsia="Times New Roman"/>
          <w:b w:val="0"/>
          <w:bCs/>
        </w:rPr>
        <w:t>20</w:t>
      </w:r>
      <w:r w:rsidR="001E41DC">
        <w:rPr>
          <w:rFonts w:eastAsia="Times New Roman"/>
          <w:b w:val="0"/>
          <w:bCs/>
        </w:rPr>
        <w:t>2</w:t>
      </w:r>
      <w:r w:rsidR="007F0540">
        <w:rPr>
          <w:rFonts w:eastAsia="Times New Roman"/>
          <w:b w:val="0"/>
          <w:bCs/>
        </w:rPr>
        <w:t>7</w:t>
      </w:r>
      <w:r w:rsidRPr="0055061C" w:rsidR="1E6DD8C4">
        <w:rPr>
          <w:rFonts w:eastAsia="Times New Roman"/>
          <w:b w:val="0"/>
          <w:bCs/>
        </w:rPr>
        <w:t>)</w:t>
      </w:r>
      <w:r w:rsidR="00213AD5">
        <w:rPr>
          <w:rFonts w:eastAsia="Times New Roman"/>
          <w:b w:val="0"/>
          <w:bCs/>
        </w:rPr>
        <w:t>, and Year 3 (2028)</w:t>
      </w:r>
      <w:r w:rsidR="005A0373">
        <w:rPr>
          <w:rFonts w:eastAsia="Times New Roman"/>
          <w:b w:val="0"/>
          <w:bCs/>
        </w:rPr>
        <w:t xml:space="preserve"> for a total of</w:t>
      </w:r>
      <w:r w:rsidRPr="0055061C" w:rsidR="1E6DD8C4">
        <w:rPr>
          <w:rFonts w:eastAsia="Times New Roman"/>
          <w:b w:val="0"/>
          <w:bCs/>
        </w:rPr>
        <w:t xml:space="preserve"> </w:t>
      </w:r>
      <w:r w:rsidR="00213AD5">
        <w:rPr>
          <w:rFonts w:eastAsia="Times New Roman"/>
          <w:b w:val="0"/>
          <w:bCs/>
        </w:rPr>
        <w:t>three</w:t>
      </w:r>
      <w:r w:rsidRPr="00B13815" w:rsidR="00213AD5">
        <w:rPr>
          <w:rFonts w:eastAsia="Times New Roman"/>
          <w:b w:val="0"/>
          <w:bCs/>
        </w:rPr>
        <w:t xml:space="preserve"> </w:t>
      </w:r>
      <w:r w:rsidRPr="00B13815" w:rsidR="005A0373">
        <w:rPr>
          <w:rFonts w:eastAsia="Times New Roman"/>
          <w:b w:val="0"/>
          <w:bCs/>
        </w:rPr>
        <w:t>times</w:t>
      </w:r>
      <w:r w:rsidR="005A0373">
        <w:rPr>
          <w:rFonts w:eastAsia="Times New Roman"/>
          <w:b w:val="0"/>
          <w:bCs/>
        </w:rPr>
        <w:t>.</w:t>
      </w:r>
    </w:p>
    <w:p w:rsidR="00E763C3" w:rsidP="002B3686" w14:paraId="46E72CDF" w14:textId="5D4BBDDD">
      <w:pPr>
        <w:pStyle w:val="BulletListHead"/>
      </w:pPr>
      <w:r w:rsidRPr="000655BF">
        <w:t>Grantee</w:t>
      </w:r>
      <w:r w:rsidRPr="000655BF" w:rsidR="00BA3A04">
        <w:t>-Level</w:t>
      </w:r>
      <w:r w:rsidRPr="000655BF">
        <w:t xml:space="preserve"> Interview (Attachment </w:t>
      </w:r>
      <w:r w:rsidRPr="000655BF" w:rsidR="00CA2297">
        <w:t>4</w:t>
      </w:r>
      <w:r w:rsidRPr="000655BF">
        <w:t xml:space="preserve">): </w:t>
      </w:r>
    </w:p>
    <w:p w:rsidR="00B9520C" w:rsidP="00B81BE1" w14:paraId="2C69AB4C" w14:textId="1530CBDC">
      <w:pPr>
        <w:pStyle w:val="ListBulletLast"/>
        <w:numPr>
          <w:ilvl w:val="0"/>
          <w:numId w:val="0"/>
        </w:numPr>
        <w:rPr>
          <w:rFonts w:cs="Times New Roman"/>
          <w:sz w:val="24"/>
          <w:szCs w:val="24"/>
        </w:rPr>
      </w:pPr>
      <w:r w:rsidRPr="000655BF">
        <w:rPr>
          <w:rFonts w:cs="Times New Roman"/>
          <w:sz w:val="24"/>
          <w:szCs w:val="24"/>
        </w:rPr>
        <w:t xml:space="preserve">The </w:t>
      </w:r>
      <w:r w:rsidRPr="000655BF" w:rsidR="00E24FAC">
        <w:rPr>
          <w:rFonts w:cs="Times New Roman"/>
          <w:sz w:val="24"/>
          <w:szCs w:val="24"/>
        </w:rPr>
        <w:t>G</w:t>
      </w:r>
      <w:r w:rsidRPr="000655BF" w:rsidR="0012057F">
        <w:rPr>
          <w:rFonts w:cs="Times New Roman"/>
          <w:sz w:val="24"/>
          <w:szCs w:val="24"/>
        </w:rPr>
        <w:t>rantee-Level Interview</w:t>
      </w:r>
      <w:r w:rsidRPr="000655BF">
        <w:rPr>
          <w:rFonts w:cs="Times New Roman"/>
          <w:sz w:val="24"/>
          <w:szCs w:val="24"/>
        </w:rPr>
        <w:t xml:space="preserve"> is a semi</w:t>
      </w:r>
      <w:r w:rsidRPr="000655BF" w:rsidR="007C4B69">
        <w:rPr>
          <w:rFonts w:cs="Times New Roman"/>
          <w:sz w:val="24"/>
          <w:szCs w:val="24"/>
        </w:rPr>
        <w:t>-</w:t>
      </w:r>
      <w:r w:rsidRPr="000655BF">
        <w:rPr>
          <w:rFonts w:cs="Times New Roman"/>
          <w:sz w:val="24"/>
          <w:szCs w:val="24"/>
        </w:rPr>
        <w:t>structured interview</w:t>
      </w:r>
      <w:r w:rsidRPr="000655BF" w:rsidR="00A13631">
        <w:rPr>
          <w:rFonts w:cs="Times New Roman"/>
          <w:sz w:val="24"/>
          <w:szCs w:val="24"/>
        </w:rPr>
        <w:t xml:space="preserve"> conducted by telephone with grantee staff. This instrument is</w:t>
      </w:r>
      <w:r w:rsidRPr="000655BF">
        <w:rPr>
          <w:rFonts w:cs="Times New Roman"/>
          <w:sz w:val="24"/>
          <w:szCs w:val="24"/>
        </w:rPr>
        <w:t xml:space="preserve"> designed to collect more in-depth</w:t>
      </w:r>
      <w:r w:rsidRPr="000655BF" w:rsidR="006E52E6">
        <w:rPr>
          <w:rFonts w:cs="Times New Roman"/>
          <w:sz w:val="24"/>
          <w:szCs w:val="24"/>
        </w:rPr>
        <w:t xml:space="preserve"> qualitative</w:t>
      </w:r>
      <w:r w:rsidRPr="000655BF">
        <w:rPr>
          <w:rFonts w:cs="Times New Roman"/>
          <w:sz w:val="24"/>
          <w:szCs w:val="24"/>
        </w:rPr>
        <w:t xml:space="preserve"> information on </w:t>
      </w:r>
      <w:r w:rsidR="00097836">
        <w:rPr>
          <w:rFonts w:cs="Times New Roman"/>
          <w:sz w:val="24"/>
          <w:szCs w:val="24"/>
        </w:rPr>
        <w:t xml:space="preserve">progress toward implementing the grant, </w:t>
      </w:r>
      <w:r w:rsidRPr="000655BF">
        <w:rPr>
          <w:rFonts w:cs="Times New Roman"/>
          <w:sz w:val="24"/>
          <w:szCs w:val="24"/>
        </w:rPr>
        <w:t xml:space="preserve">organizational infrastructure, use of PDMP data, collaboration, </w:t>
      </w:r>
      <w:r w:rsidRPr="000655BF" w:rsidR="00E24FAC">
        <w:rPr>
          <w:rFonts w:cs="Times New Roman"/>
          <w:sz w:val="24"/>
          <w:szCs w:val="24"/>
        </w:rPr>
        <w:t>funding use and effectiveness</w:t>
      </w:r>
      <w:r w:rsidRPr="000655BF">
        <w:rPr>
          <w:rFonts w:cs="Times New Roman"/>
          <w:sz w:val="24"/>
          <w:szCs w:val="24"/>
        </w:rPr>
        <w:t xml:space="preserve">, </w:t>
      </w:r>
      <w:r w:rsidRPr="000655BF" w:rsidR="00F116A0">
        <w:rPr>
          <w:rFonts w:cs="Times New Roman"/>
          <w:sz w:val="24"/>
          <w:szCs w:val="24"/>
        </w:rPr>
        <w:t>subrecipient</w:t>
      </w:r>
      <w:r w:rsidRPr="000655BF">
        <w:rPr>
          <w:rFonts w:cs="Times New Roman"/>
          <w:sz w:val="24"/>
          <w:szCs w:val="24"/>
        </w:rPr>
        <w:t xml:space="preserve"> </w:t>
      </w:r>
      <w:r w:rsidR="00097836">
        <w:rPr>
          <w:rFonts w:cs="Times New Roman"/>
          <w:sz w:val="24"/>
          <w:szCs w:val="24"/>
        </w:rPr>
        <w:t>collaboration</w:t>
      </w:r>
      <w:r w:rsidRPr="000655BF">
        <w:rPr>
          <w:rFonts w:cs="Times New Roman"/>
          <w:sz w:val="24"/>
          <w:szCs w:val="24"/>
        </w:rPr>
        <w:t xml:space="preserve">, criteria for intervention selection, </w:t>
      </w:r>
      <w:r w:rsidR="00097836">
        <w:rPr>
          <w:rFonts w:cs="Times New Roman"/>
          <w:sz w:val="24"/>
          <w:szCs w:val="24"/>
        </w:rPr>
        <w:t>adaptations to interventions</w:t>
      </w:r>
      <w:r w:rsidRPr="000655BF">
        <w:rPr>
          <w:rFonts w:cs="Times New Roman"/>
          <w:sz w:val="24"/>
          <w:szCs w:val="24"/>
        </w:rPr>
        <w:t xml:space="preserve">, </w:t>
      </w:r>
      <w:r w:rsidR="00097836">
        <w:rPr>
          <w:rFonts w:cs="Times New Roman"/>
          <w:sz w:val="24"/>
          <w:szCs w:val="24"/>
        </w:rPr>
        <w:t>challenges</w:t>
      </w:r>
      <w:r w:rsidR="00F457D3">
        <w:rPr>
          <w:rFonts w:cs="Times New Roman"/>
          <w:sz w:val="24"/>
          <w:szCs w:val="24"/>
        </w:rPr>
        <w:t>,</w:t>
      </w:r>
      <w:r w:rsidR="00097836">
        <w:rPr>
          <w:rFonts w:cs="Times New Roman"/>
          <w:sz w:val="24"/>
          <w:szCs w:val="24"/>
        </w:rPr>
        <w:t xml:space="preserve"> and lessons learned</w:t>
      </w:r>
      <w:r w:rsidRPr="000655BF">
        <w:rPr>
          <w:rFonts w:cs="Times New Roman"/>
          <w:sz w:val="24"/>
          <w:szCs w:val="24"/>
        </w:rPr>
        <w:t xml:space="preserve">. </w:t>
      </w:r>
    </w:p>
    <w:p w:rsidR="00B9520C" w:rsidP="00B81BE1" w14:paraId="7ABA6E50" w14:textId="0D8D33B7">
      <w:pPr>
        <w:pStyle w:val="ListBulletLast"/>
        <w:numPr>
          <w:ilvl w:val="0"/>
          <w:numId w:val="0"/>
        </w:numPr>
        <w:rPr>
          <w:rFonts w:cs="Times New Roman"/>
          <w:sz w:val="24"/>
          <w:szCs w:val="24"/>
        </w:rPr>
      </w:pPr>
      <w:r>
        <w:rPr>
          <w:rFonts w:cs="Times New Roman"/>
          <w:sz w:val="24"/>
          <w:szCs w:val="24"/>
        </w:rPr>
        <w:t xml:space="preserve">The Grantee-Level Interview protocol underwent extensive changes from the prior </w:t>
      </w:r>
      <w:r w:rsidR="0091660C">
        <w:rPr>
          <w:rFonts w:cs="Times New Roman"/>
          <w:sz w:val="24"/>
          <w:szCs w:val="24"/>
        </w:rPr>
        <w:t>SPF</w:t>
      </w:r>
      <w:r w:rsidR="00DC148C">
        <w:rPr>
          <w:rFonts w:cs="Times New Roman"/>
          <w:sz w:val="24"/>
          <w:szCs w:val="24"/>
        </w:rPr>
        <w:t xml:space="preserve"> </w:t>
      </w:r>
      <w:r w:rsidR="0091660C">
        <w:rPr>
          <w:rFonts w:cs="Times New Roman"/>
          <w:sz w:val="24"/>
          <w:szCs w:val="24"/>
        </w:rPr>
        <w:t xml:space="preserve">Rx </w:t>
      </w:r>
      <w:r>
        <w:rPr>
          <w:rFonts w:cs="Times New Roman"/>
          <w:sz w:val="24"/>
          <w:szCs w:val="24"/>
        </w:rPr>
        <w:t xml:space="preserve">evaluation. </w:t>
      </w:r>
      <w:r w:rsidR="00CD201A">
        <w:rPr>
          <w:rFonts w:cs="Times New Roman"/>
          <w:sz w:val="24"/>
          <w:szCs w:val="24"/>
        </w:rPr>
        <w:t>The</w:t>
      </w:r>
      <w:r w:rsidR="006C0BD8">
        <w:rPr>
          <w:rFonts w:cs="Times New Roman"/>
          <w:sz w:val="24"/>
          <w:szCs w:val="24"/>
        </w:rPr>
        <w:t xml:space="preserve"> interview </w:t>
      </w:r>
      <w:r w:rsidR="00CD201A">
        <w:rPr>
          <w:rFonts w:cs="Times New Roman"/>
          <w:sz w:val="24"/>
          <w:szCs w:val="24"/>
        </w:rPr>
        <w:t xml:space="preserve">continues to </w:t>
      </w:r>
      <w:r>
        <w:rPr>
          <w:rFonts w:cs="Times New Roman"/>
          <w:sz w:val="24"/>
          <w:szCs w:val="24"/>
        </w:rPr>
        <w:t xml:space="preserve">reflect </w:t>
      </w:r>
      <w:r w:rsidR="0058550E">
        <w:rPr>
          <w:rFonts w:cs="Times New Roman"/>
          <w:sz w:val="24"/>
          <w:szCs w:val="24"/>
        </w:rPr>
        <w:t>constructs from the Consolidated Framework for Implementation Research (</w:t>
      </w:r>
      <w:r w:rsidRPr="006767D4" w:rsidR="0058550E">
        <w:rPr>
          <w:rFonts w:cs="Times New Roman"/>
          <w:sz w:val="24"/>
          <w:szCs w:val="24"/>
        </w:rPr>
        <w:t>Damschroder</w:t>
      </w:r>
      <w:r w:rsidR="0058550E">
        <w:rPr>
          <w:rFonts w:cs="Times New Roman"/>
          <w:sz w:val="24"/>
          <w:szCs w:val="24"/>
        </w:rPr>
        <w:t xml:space="preserve"> et al., 2009)</w:t>
      </w:r>
      <w:r>
        <w:rPr>
          <w:rFonts w:cs="Times New Roman"/>
          <w:sz w:val="24"/>
          <w:szCs w:val="24"/>
        </w:rPr>
        <w:t xml:space="preserve"> related to </w:t>
      </w:r>
      <w:r w:rsidR="006C0BD8">
        <w:rPr>
          <w:rFonts w:cs="Times New Roman"/>
          <w:sz w:val="24"/>
          <w:szCs w:val="24"/>
        </w:rPr>
        <w:t>grant implementation</w:t>
      </w:r>
      <w:r w:rsidR="001312EC">
        <w:rPr>
          <w:rFonts w:cs="Times New Roman"/>
          <w:sz w:val="24"/>
          <w:szCs w:val="24"/>
        </w:rPr>
        <w:t>,</w:t>
      </w:r>
      <w:r w:rsidR="0091660C">
        <w:rPr>
          <w:rFonts w:cs="Times New Roman"/>
          <w:sz w:val="24"/>
          <w:szCs w:val="24"/>
        </w:rPr>
        <w:t xml:space="preserve"> </w:t>
      </w:r>
      <w:r w:rsidR="006C0BD8">
        <w:rPr>
          <w:rFonts w:cs="Times New Roman"/>
          <w:sz w:val="24"/>
          <w:szCs w:val="24"/>
        </w:rPr>
        <w:t>i</w:t>
      </w:r>
      <w:r w:rsidRPr="006C0BD8" w:rsidR="006C0BD8">
        <w:rPr>
          <w:rFonts w:cs="Times New Roman"/>
          <w:sz w:val="24"/>
          <w:szCs w:val="24"/>
        </w:rPr>
        <w:t>nner (</w:t>
      </w:r>
      <w:r w:rsidR="001312EC">
        <w:rPr>
          <w:rFonts w:cs="Times New Roman"/>
          <w:sz w:val="24"/>
          <w:szCs w:val="24"/>
        </w:rPr>
        <w:t>for example</w:t>
      </w:r>
      <w:r w:rsidRPr="006C0BD8" w:rsidR="006C0BD8">
        <w:rPr>
          <w:rFonts w:cs="Times New Roman"/>
          <w:sz w:val="24"/>
          <w:szCs w:val="24"/>
        </w:rPr>
        <w:t>, infrastructure and capacity) and outer (</w:t>
      </w:r>
      <w:r w:rsidR="001312EC">
        <w:rPr>
          <w:rFonts w:cs="Times New Roman"/>
          <w:sz w:val="24"/>
          <w:szCs w:val="24"/>
        </w:rPr>
        <w:t>for example</w:t>
      </w:r>
      <w:r w:rsidRPr="006C0BD8" w:rsidR="006C0BD8">
        <w:rPr>
          <w:rFonts w:cs="Times New Roman"/>
          <w:sz w:val="24"/>
          <w:szCs w:val="24"/>
        </w:rPr>
        <w:t>, collaboration) setting factors</w:t>
      </w:r>
      <w:r w:rsidR="001312EC">
        <w:rPr>
          <w:rFonts w:cs="Times New Roman"/>
          <w:sz w:val="24"/>
          <w:szCs w:val="24"/>
        </w:rPr>
        <w:t>,</w:t>
      </w:r>
      <w:r w:rsidRPr="006C0BD8" w:rsidR="006C0BD8">
        <w:rPr>
          <w:rFonts w:cs="Times New Roman"/>
          <w:sz w:val="24"/>
          <w:szCs w:val="24"/>
        </w:rPr>
        <w:t xml:space="preserve"> and intervention characteristics influencing implementation</w:t>
      </w:r>
      <w:r w:rsidR="006C0BD8">
        <w:rPr>
          <w:rFonts w:cs="Times New Roman"/>
          <w:sz w:val="24"/>
          <w:szCs w:val="24"/>
        </w:rPr>
        <w:t>.</w:t>
      </w:r>
      <w:r w:rsidR="00CD201A">
        <w:rPr>
          <w:rFonts w:cs="Times New Roman"/>
          <w:sz w:val="24"/>
          <w:szCs w:val="24"/>
        </w:rPr>
        <w:t xml:space="preserve"> </w:t>
      </w:r>
      <w:r w:rsidR="001312EC">
        <w:rPr>
          <w:rFonts w:cs="Times New Roman"/>
          <w:sz w:val="24"/>
          <w:szCs w:val="24"/>
        </w:rPr>
        <w:t>M</w:t>
      </w:r>
      <w:r w:rsidR="00CD201A">
        <w:rPr>
          <w:rFonts w:cs="Times New Roman"/>
          <w:sz w:val="24"/>
          <w:szCs w:val="24"/>
        </w:rPr>
        <w:t>ost of the existing items</w:t>
      </w:r>
      <w:r w:rsidR="001312EC">
        <w:rPr>
          <w:rFonts w:cs="Times New Roman"/>
          <w:sz w:val="24"/>
          <w:szCs w:val="24"/>
        </w:rPr>
        <w:t>, however,</w:t>
      </w:r>
      <w:r w:rsidR="00CD201A">
        <w:rPr>
          <w:rFonts w:cs="Times New Roman"/>
          <w:sz w:val="24"/>
          <w:szCs w:val="24"/>
        </w:rPr>
        <w:t xml:space="preserve"> were replaced to better align with the evaluation questions presented above. </w:t>
      </w:r>
    </w:p>
    <w:p w:rsidR="001F1A1D" w:rsidRPr="000655BF" w:rsidP="00B81BE1" w14:paraId="29D6EAA6" w14:textId="64D47F24">
      <w:pPr>
        <w:pStyle w:val="ListBulletLast"/>
        <w:numPr>
          <w:ilvl w:val="0"/>
          <w:numId w:val="0"/>
        </w:numPr>
        <w:rPr>
          <w:rFonts w:cs="Times New Roman"/>
          <w:sz w:val="24"/>
          <w:szCs w:val="24"/>
        </w:rPr>
      </w:pPr>
      <w:r w:rsidRPr="000655BF">
        <w:rPr>
          <w:rFonts w:cs="Times New Roman"/>
          <w:sz w:val="24"/>
          <w:szCs w:val="24"/>
        </w:rPr>
        <w:t xml:space="preserve">The </w:t>
      </w:r>
      <w:r w:rsidRPr="000655BF" w:rsidR="00E24FAC">
        <w:rPr>
          <w:rFonts w:cs="Times New Roman"/>
          <w:sz w:val="24"/>
          <w:szCs w:val="24"/>
        </w:rPr>
        <w:t>G</w:t>
      </w:r>
      <w:r w:rsidRPr="000655BF" w:rsidR="0036522B">
        <w:rPr>
          <w:rFonts w:cs="Times New Roman"/>
          <w:sz w:val="24"/>
          <w:szCs w:val="24"/>
        </w:rPr>
        <w:t xml:space="preserve">rantee-Level Interview </w:t>
      </w:r>
      <w:r w:rsidR="00097836">
        <w:rPr>
          <w:rFonts w:cs="Times New Roman"/>
          <w:sz w:val="24"/>
          <w:szCs w:val="24"/>
        </w:rPr>
        <w:t xml:space="preserve">will be conducted </w:t>
      </w:r>
      <w:r w:rsidRPr="006E35B8" w:rsidR="006E35B8">
        <w:rPr>
          <w:rFonts w:cs="Times New Roman"/>
          <w:sz w:val="24"/>
          <w:szCs w:val="24"/>
        </w:rPr>
        <w:t>annually under this data collection</w:t>
      </w:r>
      <w:r w:rsidR="001312EC">
        <w:rPr>
          <w:rFonts w:cs="Times New Roman"/>
          <w:sz w:val="24"/>
          <w:szCs w:val="24"/>
        </w:rPr>
        <w:t>—</w:t>
      </w:r>
      <w:r w:rsidR="007F0540">
        <w:rPr>
          <w:rFonts w:cs="Times New Roman"/>
          <w:sz w:val="24"/>
          <w:szCs w:val="24"/>
        </w:rPr>
        <w:t>in</w:t>
      </w:r>
      <w:r w:rsidRPr="006E35B8" w:rsidR="007F0540">
        <w:rPr>
          <w:rFonts w:cs="Times New Roman"/>
          <w:sz w:val="24"/>
          <w:szCs w:val="24"/>
        </w:rPr>
        <w:t xml:space="preserve"> </w:t>
      </w:r>
      <w:r w:rsidRPr="006E35B8" w:rsidR="006E35B8">
        <w:rPr>
          <w:rFonts w:cs="Times New Roman"/>
          <w:sz w:val="24"/>
          <w:szCs w:val="24"/>
        </w:rPr>
        <w:t>Year 1 (202</w:t>
      </w:r>
      <w:r w:rsidR="00DA3F4F">
        <w:rPr>
          <w:rFonts w:cs="Times New Roman"/>
          <w:sz w:val="24"/>
          <w:szCs w:val="24"/>
        </w:rPr>
        <w:t>6</w:t>
      </w:r>
      <w:r w:rsidRPr="006E35B8" w:rsidR="006E35B8">
        <w:rPr>
          <w:rFonts w:cs="Times New Roman"/>
          <w:sz w:val="24"/>
          <w:szCs w:val="24"/>
        </w:rPr>
        <w:t>)</w:t>
      </w:r>
      <w:r w:rsidR="00213AD5">
        <w:rPr>
          <w:rFonts w:cs="Times New Roman"/>
          <w:sz w:val="24"/>
          <w:szCs w:val="24"/>
        </w:rPr>
        <w:t>,</w:t>
      </w:r>
      <w:r w:rsidRPr="006E35B8" w:rsidR="007F0540">
        <w:rPr>
          <w:rFonts w:cs="Times New Roman"/>
          <w:sz w:val="24"/>
          <w:szCs w:val="24"/>
        </w:rPr>
        <w:t xml:space="preserve"> </w:t>
      </w:r>
      <w:r w:rsidRPr="006E35B8" w:rsidR="006E35B8">
        <w:rPr>
          <w:rFonts w:cs="Times New Roman"/>
          <w:sz w:val="24"/>
          <w:szCs w:val="24"/>
        </w:rPr>
        <w:t xml:space="preserve">Year </w:t>
      </w:r>
      <w:r w:rsidR="00D33ED8">
        <w:rPr>
          <w:rFonts w:cs="Times New Roman"/>
          <w:sz w:val="24"/>
          <w:szCs w:val="24"/>
        </w:rPr>
        <w:t>2</w:t>
      </w:r>
      <w:r w:rsidRPr="006E35B8" w:rsidR="00D33ED8">
        <w:rPr>
          <w:rFonts w:cs="Times New Roman"/>
          <w:sz w:val="24"/>
          <w:szCs w:val="24"/>
        </w:rPr>
        <w:t xml:space="preserve"> </w:t>
      </w:r>
      <w:r w:rsidRPr="006E35B8" w:rsidR="006E35B8">
        <w:rPr>
          <w:rFonts w:cs="Times New Roman"/>
          <w:sz w:val="24"/>
          <w:szCs w:val="24"/>
        </w:rPr>
        <w:t>(</w:t>
      </w:r>
      <w:r w:rsidRPr="006E35B8" w:rsidR="00D33ED8">
        <w:rPr>
          <w:rFonts w:cs="Times New Roman"/>
          <w:sz w:val="24"/>
          <w:szCs w:val="24"/>
        </w:rPr>
        <w:t>20</w:t>
      </w:r>
      <w:r w:rsidR="00D33ED8">
        <w:rPr>
          <w:rFonts w:cs="Times New Roman"/>
          <w:sz w:val="24"/>
          <w:szCs w:val="24"/>
        </w:rPr>
        <w:t>27</w:t>
      </w:r>
      <w:r w:rsidRPr="006E35B8" w:rsidR="006E35B8">
        <w:rPr>
          <w:rFonts w:cs="Times New Roman"/>
          <w:sz w:val="24"/>
          <w:szCs w:val="24"/>
        </w:rPr>
        <w:t>)</w:t>
      </w:r>
      <w:r w:rsidR="00213AD5">
        <w:rPr>
          <w:rFonts w:cs="Times New Roman"/>
          <w:sz w:val="24"/>
          <w:szCs w:val="24"/>
        </w:rPr>
        <w:t>, and Year 3 (2028)</w:t>
      </w:r>
      <w:r w:rsidRPr="00AE2E0D" w:rsidR="00AE2E0D">
        <w:rPr>
          <w:rFonts w:cs="Times New Roman"/>
          <w:sz w:val="24"/>
          <w:szCs w:val="24"/>
        </w:rPr>
        <w:t xml:space="preserve"> </w:t>
      </w:r>
      <w:r w:rsidR="00AE2E0D">
        <w:rPr>
          <w:rFonts w:cs="Times New Roman"/>
          <w:sz w:val="24"/>
          <w:szCs w:val="24"/>
        </w:rPr>
        <w:t xml:space="preserve">for a total of </w:t>
      </w:r>
      <w:r w:rsidR="00213AD5">
        <w:rPr>
          <w:rFonts w:cs="Times New Roman"/>
          <w:sz w:val="24"/>
          <w:szCs w:val="24"/>
        </w:rPr>
        <w:t>three</w:t>
      </w:r>
      <w:r w:rsidRPr="006E35B8" w:rsidR="00213AD5">
        <w:rPr>
          <w:rFonts w:cs="Times New Roman"/>
          <w:sz w:val="24"/>
          <w:szCs w:val="24"/>
        </w:rPr>
        <w:t xml:space="preserve"> </w:t>
      </w:r>
      <w:r w:rsidRPr="006E35B8" w:rsidR="00AE2E0D">
        <w:rPr>
          <w:rFonts w:cs="Times New Roman"/>
          <w:sz w:val="24"/>
          <w:szCs w:val="24"/>
        </w:rPr>
        <w:t>times</w:t>
      </w:r>
      <w:r w:rsidRPr="000655BF" w:rsidR="00B81BE1">
        <w:rPr>
          <w:rFonts w:cs="Times New Roman"/>
          <w:sz w:val="24"/>
          <w:szCs w:val="24"/>
        </w:rPr>
        <w:t>.</w:t>
      </w:r>
      <w:r w:rsidRPr="000655BF">
        <w:rPr>
          <w:rFonts w:cs="Times New Roman"/>
          <w:sz w:val="24"/>
          <w:szCs w:val="24"/>
        </w:rPr>
        <w:t xml:space="preserve"> </w:t>
      </w:r>
    </w:p>
    <w:p w:rsidR="001F1A1D" w:rsidRPr="000655BF" w:rsidP="002A1583" w14:paraId="2875F08F" w14:textId="66FE2B73">
      <w:pPr>
        <w:pStyle w:val="Heading2"/>
      </w:pPr>
      <w:r w:rsidRPr="00E763C3">
        <w:t>A.3</w:t>
      </w:r>
      <w:r w:rsidRPr="00E763C3" w:rsidR="00C6777E">
        <w:t>.</w:t>
      </w:r>
      <w:r w:rsidRPr="00E763C3">
        <w:tab/>
        <w:t xml:space="preserve">Use of </w:t>
      </w:r>
      <w:r w:rsidRPr="000655BF">
        <w:t>Technology</w:t>
      </w:r>
      <w:r w:rsidR="0040276D">
        <w:t xml:space="preserve"> to Reduce Burden</w:t>
      </w:r>
    </w:p>
    <w:p w:rsidR="001F1A1D" w:rsidRPr="000655BF" w14:paraId="4F9A6E46" w14:textId="23DB0AF8">
      <w:pPr>
        <w:pStyle w:val="BodyText"/>
        <w:rPr>
          <w:sz w:val="24"/>
          <w:szCs w:val="24"/>
        </w:rPr>
      </w:pPr>
      <w:r w:rsidRPr="000655BF">
        <w:rPr>
          <w:sz w:val="24"/>
          <w:szCs w:val="24"/>
        </w:rPr>
        <w:t xml:space="preserve">All efforts have been made to minimize respondent burden </w:t>
      </w:r>
      <w:r w:rsidRPr="000655BF" w:rsidR="00C52E4B">
        <w:rPr>
          <w:sz w:val="24"/>
          <w:szCs w:val="24"/>
        </w:rPr>
        <w:t>while obtaining</w:t>
      </w:r>
      <w:r w:rsidRPr="000655BF" w:rsidR="00933F8C">
        <w:rPr>
          <w:sz w:val="24"/>
          <w:szCs w:val="24"/>
        </w:rPr>
        <w:t xml:space="preserve"> </w:t>
      </w:r>
      <w:r w:rsidRPr="000655BF">
        <w:rPr>
          <w:sz w:val="24"/>
          <w:szCs w:val="24"/>
        </w:rPr>
        <w:t>the essential information ne</w:t>
      </w:r>
      <w:r w:rsidR="001312EC">
        <w:rPr>
          <w:sz w:val="24"/>
          <w:szCs w:val="24"/>
        </w:rPr>
        <w:t>cessary</w:t>
      </w:r>
      <w:r w:rsidRPr="000655BF">
        <w:rPr>
          <w:sz w:val="24"/>
          <w:szCs w:val="24"/>
        </w:rPr>
        <w:t xml:space="preserve"> to answer the </w:t>
      </w:r>
      <w:r w:rsidR="005F0050">
        <w:rPr>
          <w:sz w:val="24"/>
          <w:szCs w:val="24"/>
        </w:rPr>
        <w:t>evaluation</w:t>
      </w:r>
      <w:r w:rsidR="00097836">
        <w:rPr>
          <w:sz w:val="24"/>
          <w:szCs w:val="24"/>
        </w:rPr>
        <w:t xml:space="preserve"> question</w:t>
      </w:r>
      <w:r w:rsidRPr="000655BF">
        <w:rPr>
          <w:sz w:val="24"/>
          <w:szCs w:val="24"/>
        </w:rPr>
        <w:t xml:space="preserve">s. </w:t>
      </w:r>
      <w:r w:rsidRPr="000655BF" w:rsidR="00AA53A1">
        <w:rPr>
          <w:sz w:val="24"/>
          <w:szCs w:val="24"/>
        </w:rPr>
        <w:t xml:space="preserve">The use of web-based data submission methods decreases respondent burden </w:t>
      </w:r>
      <w:r w:rsidR="001312EC">
        <w:rPr>
          <w:sz w:val="24"/>
          <w:szCs w:val="24"/>
        </w:rPr>
        <w:t>when</w:t>
      </w:r>
      <w:r w:rsidRPr="000655BF" w:rsidR="001312EC">
        <w:rPr>
          <w:sz w:val="24"/>
          <w:szCs w:val="24"/>
        </w:rPr>
        <w:t xml:space="preserve"> </w:t>
      </w:r>
      <w:r w:rsidRPr="000655BF" w:rsidR="00AA53A1">
        <w:rPr>
          <w:sz w:val="24"/>
          <w:szCs w:val="24"/>
        </w:rPr>
        <w:t xml:space="preserve">compared </w:t>
      </w:r>
      <w:r w:rsidR="001312EC">
        <w:rPr>
          <w:sz w:val="24"/>
          <w:szCs w:val="24"/>
        </w:rPr>
        <w:t>with</w:t>
      </w:r>
      <w:r w:rsidRPr="000655BF" w:rsidR="00AA53A1">
        <w:rPr>
          <w:sz w:val="24"/>
          <w:szCs w:val="24"/>
        </w:rPr>
        <w:t xml:space="preserve"> </w:t>
      </w:r>
      <w:r w:rsidR="001312EC">
        <w:rPr>
          <w:sz w:val="24"/>
          <w:szCs w:val="24"/>
        </w:rPr>
        <w:t>other</w:t>
      </w:r>
      <w:r w:rsidRPr="000655BF" w:rsidR="00AA53A1">
        <w:rPr>
          <w:sz w:val="24"/>
          <w:szCs w:val="24"/>
        </w:rPr>
        <w:t xml:space="preserve"> methods, such as a paper format, by allowing direct transmission of the data.</w:t>
      </w:r>
      <w:r w:rsidRPr="000655BF" w:rsidR="00AE129F">
        <w:rPr>
          <w:sz w:val="24"/>
          <w:szCs w:val="24"/>
        </w:rPr>
        <w:t xml:space="preserve"> During the data collection period</w:t>
      </w:r>
      <w:r w:rsidR="001312EC">
        <w:rPr>
          <w:sz w:val="24"/>
          <w:szCs w:val="24"/>
        </w:rPr>
        <w:t>,</w:t>
      </w:r>
      <w:r w:rsidRPr="000655BF" w:rsidR="00AE129F">
        <w:rPr>
          <w:sz w:val="24"/>
          <w:szCs w:val="24"/>
        </w:rPr>
        <w:t xml:space="preserve"> r</w:t>
      </w:r>
      <w:r w:rsidRPr="000655BF" w:rsidR="00AA53A1">
        <w:rPr>
          <w:sz w:val="24"/>
          <w:szCs w:val="24"/>
        </w:rPr>
        <w:t xml:space="preserve">espondents can enter and submit the data at a time and location that is convenient for them. In addition, the data entry and quality control mechanisms built into the web-based portal reduce errors that might otherwise require follow-up, </w:t>
      </w:r>
      <w:r w:rsidR="00856066">
        <w:rPr>
          <w:sz w:val="24"/>
          <w:szCs w:val="24"/>
        </w:rPr>
        <w:t>resulting in less</w:t>
      </w:r>
      <w:r w:rsidRPr="000655BF" w:rsidR="00AA53A1">
        <w:rPr>
          <w:sz w:val="24"/>
          <w:szCs w:val="24"/>
        </w:rPr>
        <w:t xml:space="preserve"> burden </w:t>
      </w:r>
      <w:r w:rsidR="00856066">
        <w:rPr>
          <w:sz w:val="24"/>
          <w:szCs w:val="24"/>
        </w:rPr>
        <w:t>than</w:t>
      </w:r>
      <w:r w:rsidRPr="000655BF" w:rsidR="00AA53A1">
        <w:rPr>
          <w:sz w:val="24"/>
          <w:szCs w:val="24"/>
        </w:rPr>
        <w:t xml:space="preserve"> that required for hardcopy data collection. </w:t>
      </w:r>
      <w:r w:rsidRPr="000655BF" w:rsidR="003869BA">
        <w:rPr>
          <w:sz w:val="24"/>
          <w:szCs w:val="24"/>
        </w:rPr>
        <w:t xml:space="preserve">Whenever possible, the </w:t>
      </w:r>
      <w:r w:rsidR="00D00AE7">
        <w:rPr>
          <w:sz w:val="24"/>
          <w:szCs w:val="24"/>
        </w:rPr>
        <w:t>PEPC</w:t>
      </w:r>
      <w:r w:rsidRPr="000655BF" w:rsidR="003869BA">
        <w:rPr>
          <w:sz w:val="24"/>
          <w:szCs w:val="24"/>
        </w:rPr>
        <w:t xml:space="preserve"> team uses automated </w:t>
      </w:r>
      <w:r w:rsidR="00A40571">
        <w:rPr>
          <w:sz w:val="24"/>
          <w:szCs w:val="24"/>
        </w:rPr>
        <w:t>data checks</w:t>
      </w:r>
      <w:r w:rsidRPr="000655BF" w:rsidR="00A40571">
        <w:rPr>
          <w:sz w:val="24"/>
          <w:szCs w:val="24"/>
        </w:rPr>
        <w:t xml:space="preserve"> </w:t>
      </w:r>
      <w:r w:rsidRPr="000655BF" w:rsidR="003869BA">
        <w:rPr>
          <w:sz w:val="24"/>
          <w:szCs w:val="24"/>
        </w:rPr>
        <w:t xml:space="preserve">to improve data quality and reduce burden for respondents. </w:t>
      </w:r>
      <w:r w:rsidR="001312EC">
        <w:rPr>
          <w:sz w:val="24"/>
          <w:szCs w:val="24"/>
        </w:rPr>
        <w:t>In a</w:t>
      </w:r>
      <w:r w:rsidRPr="000655BF" w:rsidR="001312EC">
        <w:rPr>
          <w:sz w:val="24"/>
          <w:szCs w:val="24"/>
        </w:rPr>
        <w:t>ddition</w:t>
      </w:r>
      <w:r w:rsidRPr="000655BF" w:rsidR="003869BA">
        <w:rPr>
          <w:sz w:val="24"/>
          <w:szCs w:val="24"/>
        </w:rPr>
        <w:t>, any publicly produced documents will be 508</w:t>
      </w:r>
      <w:r w:rsidR="001312EC">
        <w:rPr>
          <w:sz w:val="24"/>
          <w:szCs w:val="24"/>
        </w:rPr>
        <w:t xml:space="preserve"> </w:t>
      </w:r>
      <w:r w:rsidRPr="000655BF" w:rsidR="003869BA">
        <w:rPr>
          <w:sz w:val="24"/>
          <w:szCs w:val="24"/>
        </w:rPr>
        <w:t xml:space="preserve">compliant </w:t>
      </w:r>
      <w:r w:rsidR="008429F6">
        <w:rPr>
          <w:sz w:val="24"/>
          <w:szCs w:val="24"/>
        </w:rPr>
        <w:t>to improve</w:t>
      </w:r>
      <w:r w:rsidRPr="000655BF" w:rsidR="003869BA">
        <w:rPr>
          <w:sz w:val="24"/>
          <w:szCs w:val="24"/>
        </w:rPr>
        <w:t xml:space="preserve"> accessibility to the public.</w:t>
      </w:r>
    </w:p>
    <w:p w:rsidR="001F1A1D" w:rsidRPr="002B3686" w:rsidP="002B3686" w14:paraId="7285427A" w14:textId="6330805D">
      <w:pPr>
        <w:pStyle w:val="Heading3"/>
      </w:pPr>
      <w:bookmarkStart w:id="9" w:name="_Hlk95165677"/>
      <w:r>
        <w:t>PEPC</w:t>
      </w:r>
      <w:r w:rsidRPr="002B3686" w:rsidR="00933F8C">
        <w:t xml:space="preserve"> </w:t>
      </w:r>
      <w:r w:rsidRPr="002B3686" w:rsidR="00416B41">
        <w:t>CS-DCP</w:t>
      </w:r>
      <w:bookmarkEnd w:id="9"/>
    </w:p>
    <w:p w:rsidR="001F1A1D" w:rsidRPr="000655BF" w14:paraId="7D54345C" w14:textId="32D77D7C">
      <w:pPr>
        <w:pStyle w:val="BodyText"/>
        <w:rPr>
          <w:sz w:val="24"/>
          <w:szCs w:val="24"/>
        </w:rPr>
      </w:pPr>
      <w:r>
        <w:rPr>
          <w:sz w:val="24"/>
          <w:szCs w:val="24"/>
        </w:rPr>
        <w:t>SPF Rx</w:t>
      </w:r>
      <w:r w:rsidRPr="000655BF" w:rsidR="004F0E2A">
        <w:rPr>
          <w:sz w:val="24"/>
          <w:szCs w:val="24"/>
        </w:rPr>
        <w:t xml:space="preserve"> grantee staff will </w:t>
      </w:r>
      <w:r w:rsidRPr="000655BF" w:rsidR="003869BA">
        <w:rPr>
          <w:sz w:val="24"/>
          <w:szCs w:val="24"/>
        </w:rPr>
        <w:t xml:space="preserve">submit their responses electronically by </w:t>
      </w:r>
      <w:r w:rsidRPr="000655BF" w:rsidR="004F0E2A">
        <w:rPr>
          <w:sz w:val="24"/>
          <w:szCs w:val="24"/>
        </w:rPr>
        <w:t>provid</w:t>
      </w:r>
      <w:r w:rsidRPr="000655BF" w:rsidR="003869BA">
        <w:rPr>
          <w:sz w:val="24"/>
          <w:szCs w:val="24"/>
        </w:rPr>
        <w:t>ing</w:t>
      </w:r>
      <w:r w:rsidRPr="000655BF" w:rsidR="004F0E2A">
        <w:rPr>
          <w:sz w:val="24"/>
          <w:szCs w:val="24"/>
        </w:rPr>
        <w:t xml:space="preserve"> </w:t>
      </w:r>
      <w:r w:rsidRPr="000655BF" w:rsidR="003869BA">
        <w:rPr>
          <w:sz w:val="24"/>
          <w:szCs w:val="24"/>
        </w:rPr>
        <w:t>their</w:t>
      </w:r>
      <w:r w:rsidRPr="000655BF" w:rsidR="004F0E2A">
        <w:rPr>
          <w:sz w:val="24"/>
          <w:szCs w:val="24"/>
        </w:rPr>
        <w:t xml:space="preserve"> </w:t>
      </w:r>
      <w:r w:rsidR="003F1D06">
        <w:rPr>
          <w:sz w:val="24"/>
          <w:szCs w:val="24"/>
        </w:rPr>
        <w:t>ART</w:t>
      </w:r>
      <w:r w:rsidRPr="000655BF" w:rsidR="004F0E2A">
        <w:rPr>
          <w:sz w:val="24"/>
          <w:szCs w:val="24"/>
        </w:rPr>
        <w:t xml:space="preserve"> and the Grantee</w:t>
      </w:r>
      <w:r w:rsidRPr="000655BF" w:rsidR="003869BA">
        <w:rPr>
          <w:sz w:val="24"/>
          <w:szCs w:val="24"/>
        </w:rPr>
        <w:t>- and Community-Level</w:t>
      </w:r>
      <w:r w:rsidRPr="000655BF" w:rsidR="004F0E2A">
        <w:rPr>
          <w:sz w:val="24"/>
          <w:szCs w:val="24"/>
        </w:rPr>
        <w:t xml:space="preserve"> Outcomes </w:t>
      </w:r>
      <w:r w:rsidRPr="000655BF" w:rsidR="003869BA">
        <w:rPr>
          <w:sz w:val="24"/>
          <w:szCs w:val="24"/>
        </w:rPr>
        <w:t>data</w:t>
      </w:r>
      <w:r w:rsidRPr="000655BF" w:rsidR="004F0E2A">
        <w:rPr>
          <w:sz w:val="24"/>
          <w:szCs w:val="24"/>
        </w:rPr>
        <w:t xml:space="preserve"> through SAMHSA’s </w:t>
      </w:r>
      <w:r w:rsidRPr="00416B41" w:rsidR="00416B41">
        <w:rPr>
          <w:sz w:val="24"/>
          <w:szCs w:val="24"/>
        </w:rPr>
        <w:t>CS-DCP</w:t>
      </w:r>
      <w:r w:rsidRPr="000655BF" w:rsidR="004F0E2A">
        <w:rPr>
          <w:sz w:val="24"/>
          <w:szCs w:val="24"/>
        </w:rPr>
        <w:t>. Use of a web-based system reduce</w:t>
      </w:r>
      <w:r w:rsidRPr="000655BF" w:rsidR="00AE129F">
        <w:rPr>
          <w:sz w:val="24"/>
          <w:szCs w:val="24"/>
        </w:rPr>
        <w:t>s</w:t>
      </w:r>
      <w:r w:rsidRPr="000655BF" w:rsidR="004F0E2A">
        <w:rPr>
          <w:sz w:val="24"/>
          <w:szCs w:val="24"/>
        </w:rPr>
        <w:t xml:space="preserve"> respondent burden and data entry error, increasing the efficiency of data entry and improving data quality, for the reasons listed </w:t>
      </w:r>
      <w:r w:rsidR="001312EC">
        <w:rPr>
          <w:sz w:val="24"/>
          <w:szCs w:val="24"/>
        </w:rPr>
        <w:t>here</w:t>
      </w:r>
      <w:r w:rsidRPr="000655BF" w:rsidR="004F0E2A">
        <w:rPr>
          <w:sz w:val="24"/>
          <w:szCs w:val="24"/>
        </w:rPr>
        <w:t xml:space="preserve">. </w:t>
      </w:r>
    </w:p>
    <w:p w:rsidR="00AC6B26" w:rsidP="00643C58" w14:paraId="2675B58C" w14:textId="16F602A6">
      <w:pPr>
        <w:pStyle w:val="ListBulletLast"/>
        <w:rPr>
          <w:rFonts w:cs="Times New Roman"/>
          <w:sz w:val="24"/>
          <w:szCs w:val="24"/>
        </w:rPr>
      </w:pPr>
      <w:r>
        <w:rPr>
          <w:rFonts w:cs="Times New Roman"/>
          <w:sz w:val="24"/>
          <w:szCs w:val="24"/>
        </w:rPr>
        <w:t>Each of the web-based</w:t>
      </w:r>
      <w:r w:rsidRPr="000655BF" w:rsidR="004F0E2A">
        <w:rPr>
          <w:rFonts w:cs="Times New Roman"/>
          <w:sz w:val="24"/>
          <w:szCs w:val="24"/>
        </w:rPr>
        <w:t xml:space="preserve"> instruments ha</w:t>
      </w:r>
      <w:r>
        <w:rPr>
          <w:rFonts w:cs="Times New Roman"/>
          <w:sz w:val="24"/>
          <w:szCs w:val="24"/>
        </w:rPr>
        <w:t>s</w:t>
      </w:r>
      <w:r w:rsidRPr="000655BF" w:rsidR="004F0E2A">
        <w:rPr>
          <w:rFonts w:cs="Times New Roman"/>
          <w:sz w:val="24"/>
          <w:szCs w:val="24"/>
        </w:rPr>
        <w:t xml:space="preserve"> automated data checks</w:t>
      </w:r>
      <w:r w:rsidR="001312EC">
        <w:rPr>
          <w:rFonts w:cs="Times New Roman"/>
          <w:sz w:val="24"/>
          <w:szCs w:val="24"/>
        </w:rPr>
        <w:t>,</w:t>
      </w:r>
      <w:r w:rsidRPr="000655BF" w:rsidR="004F0E2A">
        <w:rPr>
          <w:rFonts w:cs="Times New Roman"/>
          <w:sz w:val="24"/>
          <w:szCs w:val="24"/>
        </w:rPr>
        <w:t xml:space="preserve"> skip procedures</w:t>
      </w:r>
      <w:r w:rsidR="001312EC">
        <w:rPr>
          <w:rFonts w:cs="Times New Roman"/>
          <w:sz w:val="24"/>
          <w:szCs w:val="24"/>
        </w:rPr>
        <w:t>,</w:t>
      </w:r>
      <w:r w:rsidRPr="000655BF" w:rsidR="004F0E2A">
        <w:rPr>
          <w:rFonts w:cs="Times New Roman"/>
          <w:sz w:val="24"/>
          <w:szCs w:val="24"/>
        </w:rPr>
        <w:t xml:space="preserve"> and prepopulated fields based on prior responses to certain questions. </w:t>
      </w:r>
      <w:r w:rsidRPr="000655BF" w:rsidR="003869BA">
        <w:rPr>
          <w:rFonts w:cs="Times New Roman"/>
          <w:sz w:val="24"/>
          <w:szCs w:val="24"/>
        </w:rPr>
        <w:t xml:space="preserve">Only the questions that are required at that </w:t>
      </w:r>
      <w:r w:rsidR="00856066">
        <w:rPr>
          <w:rFonts w:cs="Times New Roman"/>
          <w:sz w:val="24"/>
          <w:szCs w:val="24"/>
        </w:rPr>
        <w:t>time</w:t>
      </w:r>
      <w:r w:rsidRPr="000655BF" w:rsidR="00856066">
        <w:rPr>
          <w:rFonts w:cs="Times New Roman"/>
          <w:sz w:val="24"/>
          <w:szCs w:val="24"/>
        </w:rPr>
        <w:t xml:space="preserve"> </w:t>
      </w:r>
      <w:r w:rsidRPr="000655BF" w:rsidR="003869BA">
        <w:rPr>
          <w:rFonts w:cs="Times New Roman"/>
          <w:sz w:val="24"/>
          <w:szCs w:val="24"/>
        </w:rPr>
        <w:t xml:space="preserve">will appear on the instrumentation. </w:t>
      </w:r>
    </w:p>
    <w:p w:rsidR="009960D3" w:rsidRPr="009960D3" w:rsidP="009960D3" w14:paraId="7F0763F7" w14:textId="4399DEAC">
      <w:pPr>
        <w:pStyle w:val="ListBulletLast"/>
        <w:rPr>
          <w:rFonts w:cs="Times New Roman"/>
          <w:sz w:val="24"/>
          <w:szCs w:val="24"/>
        </w:rPr>
      </w:pPr>
      <w:r w:rsidRPr="009960D3">
        <w:rPr>
          <w:rFonts w:cs="Times New Roman"/>
          <w:sz w:val="24"/>
          <w:szCs w:val="24"/>
        </w:rPr>
        <w:t>The automated data checks will ensure that responses follow the expected format (</w:t>
      </w:r>
      <w:r w:rsidR="000F5A15">
        <w:rPr>
          <w:rFonts w:cs="Times New Roman"/>
          <w:sz w:val="24"/>
          <w:szCs w:val="24"/>
        </w:rPr>
        <w:t>for example</w:t>
      </w:r>
      <w:r w:rsidRPr="009960D3">
        <w:rPr>
          <w:rFonts w:cs="Times New Roman"/>
          <w:sz w:val="24"/>
          <w:szCs w:val="24"/>
        </w:rPr>
        <w:t>, numbers or dates whe</w:t>
      </w:r>
      <w:r w:rsidR="000F5A15">
        <w:rPr>
          <w:rFonts w:cs="Times New Roman"/>
          <w:sz w:val="24"/>
          <w:szCs w:val="24"/>
        </w:rPr>
        <w:t>n</w:t>
      </w:r>
      <w:r w:rsidRPr="009960D3">
        <w:rPr>
          <w:rFonts w:cs="Times New Roman"/>
          <w:sz w:val="24"/>
          <w:szCs w:val="24"/>
        </w:rPr>
        <w:t xml:space="preserve"> those are expected).</w:t>
      </w:r>
      <w:r>
        <w:rPr>
          <w:rFonts w:cs="Times New Roman"/>
          <w:sz w:val="24"/>
          <w:szCs w:val="24"/>
        </w:rPr>
        <w:t xml:space="preserve"> For relevant items, they will also flag responses that appear to be out of the normal range of responses for that item (</w:t>
      </w:r>
      <w:r w:rsidR="000F5A15">
        <w:rPr>
          <w:rFonts w:cs="Times New Roman"/>
          <w:sz w:val="24"/>
          <w:szCs w:val="24"/>
        </w:rPr>
        <w:t>such as</w:t>
      </w:r>
      <w:r>
        <w:rPr>
          <w:rFonts w:cs="Times New Roman"/>
          <w:sz w:val="24"/>
          <w:szCs w:val="24"/>
        </w:rPr>
        <w:t xml:space="preserve"> responses for intervention reach that exceed the target population in the community).</w:t>
      </w:r>
    </w:p>
    <w:p w:rsidR="001F1A1D" w:rsidRPr="000655BF" w14:paraId="1F5A8CAF" w14:textId="07575308">
      <w:pPr>
        <w:pStyle w:val="BodyText"/>
        <w:rPr>
          <w:sz w:val="24"/>
          <w:szCs w:val="24"/>
        </w:rPr>
      </w:pPr>
      <w:r w:rsidRPr="000655BF">
        <w:rPr>
          <w:sz w:val="24"/>
          <w:szCs w:val="24"/>
        </w:rPr>
        <w:t xml:space="preserve">Web-based systems also allow the cross-site evaluation team to review submissions </w:t>
      </w:r>
      <w:r w:rsidRPr="000655BF" w:rsidR="00DC0C26">
        <w:rPr>
          <w:sz w:val="24"/>
          <w:szCs w:val="24"/>
        </w:rPr>
        <w:t>efficiently</w:t>
      </w:r>
      <w:r w:rsidRPr="000655BF">
        <w:rPr>
          <w:sz w:val="24"/>
          <w:szCs w:val="24"/>
        </w:rPr>
        <w:t xml:space="preserve">, request revisions </w:t>
      </w:r>
      <w:r w:rsidRPr="000655BF" w:rsidR="00741C9D">
        <w:rPr>
          <w:sz w:val="24"/>
          <w:szCs w:val="24"/>
        </w:rPr>
        <w:t xml:space="preserve">or clarifications </w:t>
      </w:r>
      <w:r w:rsidRPr="000655BF">
        <w:rPr>
          <w:sz w:val="24"/>
          <w:szCs w:val="24"/>
        </w:rPr>
        <w:t xml:space="preserve">as needed, and then approve grantee submissions as appropriate. </w:t>
      </w:r>
      <w:r w:rsidRPr="000655BF" w:rsidR="00AC6B26">
        <w:rPr>
          <w:sz w:val="24"/>
          <w:szCs w:val="24"/>
        </w:rPr>
        <w:t xml:space="preserve">This process increases </w:t>
      </w:r>
      <w:r w:rsidR="000F5A15">
        <w:rPr>
          <w:sz w:val="24"/>
          <w:szCs w:val="24"/>
        </w:rPr>
        <w:t xml:space="preserve">the </w:t>
      </w:r>
      <w:r w:rsidRPr="000655BF" w:rsidR="00AC6B26">
        <w:rPr>
          <w:sz w:val="24"/>
          <w:szCs w:val="24"/>
        </w:rPr>
        <w:t>accuracy of data, which ultimately makes th</w:t>
      </w:r>
      <w:r w:rsidRPr="000655BF" w:rsidR="00741C9D">
        <w:rPr>
          <w:sz w:val="24"/>
          <w:szCs w:val="24"/>
        </w:rPr>
        <w:t>e</w:t>
      </w:r>
      <w:r w:rsidRPr="000655BF" w:rsidR="00AC6B26">
        <w:rPr>
          <w:sz w:val="24"/>
          <w:szCs w:val="24"/>
        </w:rPr>
        <w:t xml:space="preserve">se data easier to analyze and strengthens the analysis and results. </w:t>
      </w:r>
    </w:p>
    <w:p w:rsidR="001F1A1D" w:rsidRPr="000655BF" w:rsidP="002A1583" w14:paraId="6FD3E752" w14:textId="71308272">
      <w:pPr>
        <w:pStyle w:val="Heading2"/>
      </w:pPr>
      <w:r w:rsidRPr="000655BF">
        <w:t>A.4</w:t>
      </w:r>
      <w:r w:rsidRPr="000655BF" w:rsidR="00C6777E">
        <w:t>.</w:t>
      </w:r>
      <w:r w:rsidRPr="000655BF">
        <w:tab/>
        <w:t xml:space="preserve">Effort to </w:t>
      </w:r>
      <w:r w:rsidR="008429F6">
        <w:t>Avoid</w:t>
      </w:r>
      <w:r w:rsidRPr="000655BF" w:rsidR="008429F6">
        <w:t xml:space="preserve"> </w:t>
      </w:r>
      <w:r w:rsidRPr="000655BF">
        <w:t>Duplication</w:t>
      </w:r>
    </w:p>
    <w:p w:rsidR="001F1A1D" w:rsidRPr="000655BF" w14:paraId="2F5E1526" w14:textId="1FE6EB82">
      <w:pPr>
        <w:pStyle w:val="L1-FlLSp12"/>
        <w:spacing w:line="240" w:lineRule="auto"/>
        <w:rPr>
          <w:rFonts w:ascii="Times New Roman" w:eastAsia="SimSun" w:hAnsi="Times New Roman"/>
          <w:szCs w:val="24"/>
          <w:lang w:eastAsia="zh-CN"/>
        </w:rPr>
      </w:pPr>
      <w:r w:rsidRPr="000655BF">
        <w:rPr>
          <w:rFonts w:ascii="Times New Roman" w:eastAsia="SimSun" w:hAnsi="Times New Roman"/>
          <w:szCs w:val="24"/>
          <w:lang w:eastAsia="zh-CN"/>
        </w:rPr>
        <w:t>This evaluation collect</w:t>
      </w:r>
      <w:r w:rsidRPr="000655BF" w:rsidR="00426FF7">
        <w:rPr>
          <w:rFonts w:ascii="Times New Roman" w:eastAsia="SimSun" w:hAnsi="Times New Roman"/>
          <w:szCs w:val="24"/>
          <w:lang w:eastAsia="zh-CN"/>
        </w:rPr>
        <w:t>s</w:t>
      </w:r>
      <w:r w:rsidRPr="000655BF">
        <w:rPr>
          <w:rFonts w:ascii="Times New Roman" w:eastAsia="SimSun" w:hAnsi="Times New Roman"/>
          <w:szCs w:val="24"/>
          <w:lang w:eastAsia="zh-CN"/>
        </w:rPr>
        <w:t xml:space="preserve"> information unique to </w:t>
      </w:r>
      <w:r w:rsidR="00D00AE7">
        <w:rPr>
          <w:rFonts w:ascii="Times New Roman" w:eastAsia="SimSun" w:hAnsi="Times New Roman"/>
          <w:szCs w:val="24"/>
          <w:lang w:eastAsia="zh-CN"/>
        </w:rPr>
        <w:t>SPF Rx</w:t>
      </w:r>
      <w:r w:rsidRPr="000655BF">
        <w:rPr>
          <w:rFonts w:ascii="Times New Roman" w:eastAsia="SimSun" w:hAnsi="Times New Roman"/>
          <w:szCs w:val="24"/>
          <w:lang w:eastAsia="zh-CN"/>
        </w:rPr>
        <w:t xml:space="preserve"> programs that is otherwise not available to </w:t>
      </w:r>
      <w:r w:rsidR="00A332B5">
        <w:rPr>
          <w:rFonts w:ascii="Times New Roman" w:eastAsia="SimSun" w:hAnsi="Times New Roman"/>
          <w:szCs w:val="24"/>
          <w:lang w:eastAsia="zh-CN"/>
        </w:rPr>
        <w:t>p</w:t>
      </w:r>
      <w:r w:rsidRPr="000655BF" w:rsidR="00E61B5C">
        <w:rPr>
          <w:rFonts w:ascii="Times New Roman" w:eastAsia="SimSun" w:hAnsi="Times New Roman"/>
          <w:szCs w:val="24"/>
          <w:lang w:eastAsia="zh-CN"/>
        </w:rPr>
        <w:t xml:space="preserve">roject </w:t>
      </w:r>
      <w:r w:rsidR="00A332B5">
        <w:rPr>
          <w:rFonts w:ascii="Times New Roman" w:eastAsia="SimSun" w:hAnsi="Times New Roman"/>
          <w:szCs w:val="24"/>
          <w:lang w:eastAsia="zh-CN"/>
        </w:rPr>
        <w:t>o</w:t>
      </w:r>
      <w:r w:rsidRPr="000655BF" w:rsidR="00E61B5C">
        <w:rPr>
          <w:rFonts w:ascii="Times New Roman" w:eastAsia="SimSun" w:hAnsi="Times New Roman"/>
          <w:szCs w:val="24"/>
          <w:lang w:eastAsia="zh-CN"/>
        </w:rPr>
        <w:t>fficers</w:t>
      </w:r>
      <w:r w:rsidRPr="000655BF">
        <w:rPr>
          <w:rFonts w:ascii="Times New Roman" w:eastAsia="SimSun" w:hAnsi="Times New Roman"/>
          <w:szCs w:val="24"/>
          <w:lang w:eastAsia="zh-CN"/>
        </w:rPr>
        <w:t xml:space="preserve"> or the </w:t>
      </w:r>
      <w:r w:rsidR="00D00AE7">
        <w:rPr>
          <w:rFonts w:ascii="Times New Roman" w:eastAsia="SimSun" w:hAnsi="Times New Roman"/>
          <w:szCs w:val="24"/>
          <w:lang w:eastAsia="zh-CN"/>
        </w:rPr>
        <w:t>PEPC</w:t>
      </w:r>
      <w:r w:rsidRPr="000655BF">
        <w:rPr>
          <w:rFonts w:ascii="Times New Roman" w:eastAsia="SimSun" w:hAnsi="Times New Roman"/>
          <w:szCs w:val="24"/>
          <w:lang w:eastAsia="zh-CN"/>
        </w:rPr>
        <w:t xml:space="preserve"> cross-site evaluation team. With an eye toward minimizing duplication and burden, the </w:t>
      </w:r>
      <w:r w:rsidR="00D00AE7">
        <w:rPr>
          <w:rFonts w:ascii="Times New Roman" w:eastAsia="SimSun" w:hAnsi="Times New Roman"/>
          <w:szCs w:val="24"/>
          <w:lang w:eastAsia="zh-CN"/>
        </w:rPr>
        <w:t>PEPC</w:t>
      </w:r>
      <w:r w:rsidRPr="000655BF">
        <w:rPr>
          <w:rFonts w:ascii="Times New Roman" w:eastAsia="SimSun" w:hAnsi="Times New Roman"/>
          <w:szCs w:val="24"/>
          <w:lang w:eastAsia="zh-CN"/>
        </w:rPr>
        <w:t xml:space="preserve"> evaluation team </w:t>
      </w:r>
      <w:r w:rsidRPr="000655BF" w:rsidR="00E61B5C">
        <w:rPr>
          <w:rFonts w:ascii="Times New Roman" w:eastAsia="SimSun" w:hAnsi="Times New Roman"/>
          <w:szCs w:val="24"/>
          <w:lang w:eastAsia="zh-CN"/>
        </w:rPr>
        <w:t>ensured</w:t>
      </w:r>
      <w:r w:rsidRPr="000655BF">
        <w:rPr>
          <w:rFonts w:ascii="Times New Roman" w:eastAsia="SimSun" w:hAnsi="Times New Roman"/>
          <w:szCs w:val="24"/>
          <w:lang w:eastAsia="zh-CN"/>
        </w:rPr>
        <w:t xml:space="preserve"> data collected from each instrument is non</w:t>
      </w:r>
      <w:r w:rsidR="00080C5A">
        <w:rPr>
          <w:rFonts w:ascii="Times New Roman" w:eastAsia="SimSun" w:hAnsi="Times New Roman"/>
          <w:szCs w:val="24"/>
          <w:lang w:eastAsia="zh-CN"/>
        </w:rPr>
        <w:t>duplicative</w:t>
      </w:r>
      <w:r w:rsidR="004902CA">
        <w:rPr>
          <w:rFonts w:ascii="Times New Roman" w:eastAsia="SimSun" w:hAnsi="Times New Roman"/>
          <w:szCs w:val="24"/>
          <w:lang w:eastAsia="zh-CN"/>
        </w:rPr>
        <w:t xml:space="preserve"> (including by dropping several items from the </w:t>
      </w:r>
      <w:r w:rsidR="009F50DF">
        <w:rPr>
          <w:rFonts w:ascii="Times New Roman" w:eastAsia="SimSun" w:hAnsi="Times New Roman"/>
          <w:szCs w:val="24"/>
          <w:lang w:eastAsia="zh-CN"/>
        </w:rPr>
        <w:t xml:space="preserve">previous version of the </w:t>
      </w:r>
      <w:r w:rsidR="004902CA">
        <w:rPr>
          <w:rFonts w:ascii="Times New Roman" w:eastAsia="SimSun" w:hAnsi="Times New Roman"/>
          <w:szCs w:val="24"/>
          <w:lang w:eastAsia="zh-CN"/>
        </w:rPr>
        <w:t xml:space="preserve">ART that </w:t>
      </w:r>
      <w:r w:rsidR="00A332B5">
        <w:rPr>
          <w:rFonts w:ascii="Times New Roman" w:eastAsia="SimSun" w:hAnsi="Times New Roman"/>
          <w:szCs w:val="24"/>
          <w:lang w:eastAsia="zh-CN"/>
        </w:rPr>
        <w:t xml:space="preserve">grantees already </w:t>
      </w:r>
      <w:r w:rsidR="004902CA">
        <w:rPr>
          <w:rFonts w:ascii="Times New Roman" w:eastAsia="SimSun" w:hAnsi="Times New Roman"/>
          <w:szCs w:val="24"/>
          <w:lang w:eastAsia="zh-CN"/>
        </w:rPr>
        <w:t>collected as part of the</w:t>
      </w:r>
      <w:r w:rsidRPr="009A7EC7" w:rsidR="009A7EC7">
        <w:t xml:space="preserve"> </w:t>
      </w:r>
      <w:r w:rsidRPr="009A7EC7" w:rsidR="009A7EC7">
        <w:rPr>
          <w:rFonts w:ascii="Times New Roman" w:eastAsia="SimSun" w:hAnsi="Times New Roman"/>
          <w:szCs w:val="24"/>
          <w:lang w:eastAsia="zh-CN"/>
        </w:rPr>
        <w:t>CSAP Online Reporting Tool</w:t>
      </w:r>
      <w:r w:rsidR="004902CA">
        <w:rPr>
          <w:rFonts w:ascii="Times New Roman" w:eastAsia="SimSun" w:hAnsi="Times New Roman"/>
          <w:szCs w:val="24"/>
          <w:lang w:eastAsia="zh-CN"/>
        </w:rPr>
        <w:t>)</w:t>
      </w:r>
      <w:r w:rsidRPr="000655BF">
        <w:rPr>
          <w:rFonts w:ascii="Times New Roman" w:eastAsia="SimSun" w:hAnsi="Times New Roman"/>
          <w:szCs w:val="24"/>
          <w:lang w:eastAsia="zh-CN"/>
        </w:rPr>
        <w:t xml:space="preserve"> and complementary to the other evaluation components</w:t>
      </w:r>
      <w:r w:rsidRPr="000655BF" w:rsidR="00F40F1D">
        <w:rPr>
          <w:rFonts w:ascii="Times New Roman" w:eastAsia="SimSun" w:hAnsi="Times New Roman"/>
          <w:szCs w:val="24"/>
          <w:lang w:eastAsia="zh-CN"/>
        </w:rPr>
        <w:t xml:space="preserve"> and program monitoring tools</w:t>
      </w:r>
      <w:r w:rsidRPr="000655BF">
        <w:rPr>
          <w:rFonts w:ascii="Times New Roman" w:eastAsia="SimSun" w:hAnsi="Times New Roman"/>
          <w:szCs w:val="24"/>
          <w:lang w:eastAsia="zh-CN"/>
        </w:rPr>
        <w:t>.</w:t>
      </w:r>
      <w:r w:rsidRPr="000655BF" w:rsidR="00CB151B">
        <w:rPr>
          <w:rFonts w:ascii="Times New Roman" w:eastAsia="SimSun" w:hAnsi="Times New Roman"/>
          <w:szCs w:val="24"/>
          <w:lang w:eastAsia="zh-CN"/>
        </w:rPr>
        <w:t xml:space="preserve"> </w:t>
      </w:r>
    </w:p>
    <w:p w:rsidR="001F1A1D" w:rsidRPr="000655BF" w:rsidP="002A1583" w14:paraId="475E1D0F" w14:textId="1B5265AC">
      <w:pPr>
        <w:pStyle w:val="Heading2"/>
      </w:pPr>
      <w:r w:rsidRPr="000655BF">
        <w:t>A.5</w:t>
      </w:r>
      <w:r w:rsidRPr="000655BF" w:rsidR="00C6777E">
        <w:t>.</w:t>
      </w:r>
      <w:r w:rsidRPr="000655BF">
        <w:tab/>
      </w:r>
      <w:r w:rsidR="0058550E">
        <w:t>Methods to Minimize Burden on Small Entities</w:t>
      </w:r>
    </w:p>
    <w:p w:rsidR="001F1A1D" w:rsidRPr="000655BF" w14:paraId="008DA284" w14:textId="6E8BAE6E">
      <w:pPr>
        <w:pStyle w:val="BodyText"/>
        <w:rPr>
          <w:sz w:val="24"/>
          <w:szCs w:val="24"/>
        </w:rPr>
      </w:pPr>
      <w:r w:rsidRPr="1E6DD8C4">
        <w:rPr>
          <w:sz w:val="24"/>
          <w:szCs w:val="24"/>
        </w:rPr>
        <w:t xml:space="preserve">Participation in this evaluation will not impose a significant </w:t>
      </w:r>
      <w:r w:rsidRPr="00BF30A1" w:rsidR="00A332B5">
        <w:rPr>
          <w:sz w:val="24"/>
          <w:szCs w:val="24"/>
        </w:rPr>
        <w:t>burden</w:t>
      </w:r>
      <w:r w:rsidRPr="1E6DD8C4">
        <w:rPr>
          <w:sz w:val="24"/>
          <w:szCs w:val="24"/>
        </w:rPr>
        <w:t xml:space="preserve"> on small entities. </w:t>
      </w:r>
      <w:r w:rsidRPr="1E6DD8C4" w:rsidR="00D00AE7">
        <w:rPr>
          <w:sz w:val="24"/>
          <w:szCs w:val="24"/>
        </w:rPr>
        <w:t>SPF Rx</w:t>
      </w:r>
      <w:r w:rsidRPr="1E6DD8C4">
        <w:rPr>
          <w:sz w:val="24"/>
          <w:szCs w:val="24"/>
        </w:rPr>
        <w:t xml:space="preserve"> grantees are state agencies, tribal </w:t>
      </w:r>
      <w:r w:rsidRPr="1E6DD8C4" w:rsidR="00DC0C26">
        <w:rPr>
          <w:sz w:val="24"/>
          <w:szCs w:val="24"/>
        </w:rPr>
        <w:t>entities</w:t>
      </w:r>
      <w:r w:rsidRPr="1E6DD8C4">
        <w:rPr>
          <w:sz w:val="24"/>
          <w:szCs w:val="24"/>
        </w:rPr>
        <w:t>, and subrecipients. Some subrecipients may be small entities</w:t>
      </w:r>
      <w:r w:rsidRPr="1E6DD8C4" w:rsidR="00856066">
        <w:rPr>
          <w:sz w:val="24"/>
          <w:szCs w:val="24"/>
        </w:rPr>
        <w:t>,</w:t>
      </w:r>
      <w:r w:rsidRPr="1E6DD8C4" w:rsidR="00373CC4">
        <w:rPr>
          <w:sz w:val="24"/>
          <w:szCs w:val="24"/>
        </w:rPr>
        <w:t xml:space="preserve"> such as local coalitions</w:t>
      </w:r>
      <w:r w:rsidRPr="1E6DD8C4">
        <w:rPr>
          <w:sz w:val="24"/>
          <w:szCs w:val="24"/>
        </w:rPr>
        <w:t>,</w:t>
      </w:r>
      <w:r w:rsidR="00A332B5">
        <w:rPr>
          <w:sz w:val="24"/>
          <w:szCs w:val="24"/>
        </w:rPr>
        <w:t xml:space="preserve"> but</w:t>
      </w:r>
      <w:r w:rsidRPr="1E6DD8C4">
        <w:rPr>
          <w:sz w:val="24"/>
          <w:szCs w:val="24"/>
        </w:rPr>
        <w:t xml:space="preserve"> the </w:t>
      </w:r>
      <w:r w:rsidRPr="1E6DD8C4" w:rsidR="00403AC1">
        <w:rPr>
          <w:sz w:val="24"/>
          <w:szCs w:val="24"/>
        </w:rPr>
        <w:t xml:space="preserve">data collection </w:t>
      </w:r>
      <w:r w:rsidRPr="1E6DD8C4" w:rsidR="00373CC4">
        <w:rPr>
          <w:sz w:val="24"/>
          <w:szCs w:val="24"/>
        </w:rPr>
        <w:t xml:space="preserve">instruments </w:t>
      </w:r>
      <w:r w:rsidRPr="1E6DD8C4" w:rsidR="00403AC1">
        <w:rPr>
          <w:sz w:val="24"/>
          <w:szCs w:val="24"/>
        </w:rPr>
        <w:t>have been</w:t>
      </w:r>
      <w:r w:rsidRPr="1E6DD8C4">
        <w:rPr>
          <w:sz w:val="24"/>
          <w:szCs w:val="24"/>
        </w:rPr>
        <w:t xml:space="preserve"> designed to include only the most pertinent information needed to </w:t>
      </w:r>
      <w:r w:rsidRPr="1E6DD8C4" w:rsidR="00F40F1D">
        <w:rPr>
          <w:sz w:val="24"/>
          <w:szCs w:val="24"/>
        </w:rPr>
        <w:t xml:space="preserve">understand </w:t>
      </w:r>
      <w:r w:rsidRPr="1E6DD8C4">
        <w:rPr>
          <w:sz w:val="24"/>
          <w:szCs w:val="24"/>
        </w:rPr>
        <w:t xml:space="preserve">progress and to carry out the evaluation </w:t>
      </w:r>
      <w:r w:rsidRPr="1E6DD8C4" w:rsidR="00373CC4">
        <w:rPr>
          <w:sz w:val="24"/>
          <w:szCs w:val="24"/>
        </w:rPr>
        <w:t xml:space="preserve">and feasibility study </w:t>
      </w:r>
      <w:r w:rsidRPr="1E6DD8C4">
        <w:rPr>
          <w:sz w:val="24"/>
          <w:szCs w:val="24"/>
        </w:rPr>
        <w:t>effectively</w:t>
      </w:r>
      <w:r w:rsidRPr="1E6DD8C4" w:rsidR="00AC1090">
        <w:rPr>
          <w:sz w:val="24"/>
          <w:szCs w:val="24"/>
        </w:rPr>
        <w:t>.</w:t>
      </w:r>
      <w:r w:rsidRPr="1E6DD8C4">
        <w:rPr>
          <w:sz w:val="24"/>
          <w:szCs w:val="24"/>
        </w:rPr>
        <w:t xml:space="preserve"> </w:t>
      </w:r>
      <w:r w:rsidRPr="1E6DD8C4" w:rsidR="00A91B75">
        <w:rPr>
          <w:sz w:val="24"/>
          <w:szCs w:val="24"/>
        </w:rPr>
        <w:t>T</w:t>
      </w:r>
      <w:r w:rsidRPr="1E6DD8C4" w:rsidR="009960D3">
        <w:rPr>
          <w:sz w:val="24"/>
          <w:szCs w:val="24"/>
        </w:rPr>
        <w:t>he ART is the only evaluation tool that the subrecipients need to complete</w:t>
      </w:r>
      <w:r w:rsidR="00A332B5">
        <w:rPr>
          <w:sz w:val="24"/>
          <w:szCs w:val="24"/>
        </w:rPr>
        <w:t>,</w:t>
      </w:r>
      <w:r w:rsidRPr="1E6DD8C4" w:rsidR="00A91B75">
        <w:rPr>
          <w:sz w:val="24"/>
          <w:szCs w:val="24"/>
        </w:rPr>
        <w:t xml:space="preserve"> and skip patterns allow the respondents to only report on activities they conducted during the prior year</w:t>
      </w:r>
      <w:r w:rsidRPr="1E6DD8C4" w:rsidR="009960D3">
        <w:rPr>
          <w:sz w:val="24"/>
          <w:szCs w:val="24"/>
        </w:rPr>
        <w:t xml:space="preserve">. </w:t>
      </w:r>
      <w:r w:rsidRPr="1E6DD8C4" w:rsidR="00AC1090">
        <w:rPr>
          <w:sz w:val="24"/>
          <w:szCs w:val="24"/>
        </w:rPr>
        <w:t>B</w:t>
      </w:r>
      <w:r w:rsidRPr="1E6DD8C4" w:rsidR="00D95F6D">
        <w:rPr>
          <w:sz w:val="24"/>
          <w:szCs w:val="24"/>
        </w:rPr>
        <w:t>urden on small entities is expected to be minimal</w:t>
      </w:r>
      <w:r w:rsidRPr="1E6DD8C4">
        <w:rPr>
          <w:sz w:val="24"/>
          <w:szCs w:val="24"/>
        </w:rPr>
        <w:t>.</w:t>
      </w:r>
    </w:p>
    <w:p w:rsidR="001F1A1D" w:rsidRPr="000655BF" w:rsidP="002A1583" w14:paraId="54A0622A" w14:textId="066288C4">
      <w:pPr>
        <w:pStyle w:val="Heading2"/>
      </w:pPr>
      <w:r w:rsidRPr="000655BF">
        <w:t>A.6</w:t>
      </w:r>
      <w:r w:rsidRPr="000655BF" w:rsidR="00C6777E">
        <w:t>.</w:t>
      </w:r>
      <w:r w:rsidRPr="000655BF">
        <w:tab/>
        <w:t xml:space="preserve">Consequences </w:t>
      </w:r>
      <w:r w:rsidRPr="000655BF" w:rsidR="00741C9D">
        <w:t>i</w:t>
      </w:r>
      <w:r w:rsidRPr="000655BF">
        <w:t xml:space="preserve">f Information </w:t>
      </w:r>
      <w:r w:rsidR="00A332B5">
        <w:t>i</w:t>
      </w:r>
      <w:r w:rsidRPr="000655BF" w:rsidR="00467E44">
        <w:t xml:space="preserve">s </w:t>
      </w:r>
      <w:r w:rsidRPr="000655BF">
        <w:t>Collected Less Frequently</w:t>
      </w:r>
    </w:p>
    <w:p w:rsidR="00D82453" w14:paraId="7CF795E4" w14:textId="5A3E5D8A">
      <w:pPr>
        <w:pStyle w:val="BodyText"/>
        <w:rPr>
          <w:sz w:val="24"/>
          <w:szCs w:val="24"/>
        </w:rPr>
      </w:pPr>
      <w:r w:rsidRPr="1E6DD8C4">
        <w:rPr>
          <w:sz w:val="24"/>
          <w:szCs w:val="24"/>
        </w:rPr>
        <w:t xml:space="preserve">The </w:t>
      </w:r>
      <w:r>
        <w:rPr>
          <w:sz w:val="24"/>
          <w:szCs w:val="24"/>
        </w:rPr>
        <w:t xml:space="preserve">annual </w:t>
      </w:r>
      <w:r w:rsidRPr="1E6DD8C4">
        <w:rPr>
          <w:sz w:val="24"/>
          <w:szCs w:val="24"/>
        </w:rPr>
        <w:t xml:space="preserve">data collection points for the </w:t>
      </w:r>
      <w:r>
        <w:rPr>
          <w:sz w:val="24"/>
          <w:szCs w:val="24"/>
        </w:rPr>
        <w:t>PEPC</w:t>
      </w:r>
      <w:r w:rsidRPr="1E6DD8C4">
        <w:rPr>
          <w:sz w:val="24"/>
          <w:szCs w:val="24"/>
        </w:rPr>
        <w:t xml:space="preserve"> cross-site evaluation in the CS-DCP</w:t>
      </w:r>
      <w:r w:rsidRPr="1E6DD8C4">
        <w:rPr>
          <w:i/>
          <w:iCs/>
          <w:sz w:val="24"/>
          <w:szCs w:val="24"/>
        </w:rPr>
        <w:t xml:space="preserve"> </w:t>
      </w:r>
      <w:r w:rsidRPr="1E6DD8C4">
        <w:rPr>
          <w:sz w:val="24"/>
          <w:szCs w:val="24"/>
        </w:rPr>
        <w:t xml:space="preserve">are necessary to track and evaluate progress and change over time for grantees, </w:t>
      </w:r>
      <w:r>
        <w:rPr>
          <w:sz w:val="24"/>
          <w:szCs w:val="24"/>
        </w:rPr>
        <w:t xml:space="preserve">territories, </w:t>
      </w:r>
      <w:r w:rsidRPr="1E6DD8C4">
        <w:rPr>
          <w:sz w:val="24"/>
          <w:szCs w:val="24"/>
        </w:rPr>
        <w:t xml:space="preserve">tribes, and communities. SAMHSA uses these data for performance monitoring </w:t>
      </w:r>
      <w:r w:rsidR="00A332B5">
        <w:rPr>
          <w:sz w:val="24"/>
          <w:szCs w:val="24"/>
        </w:rPr>
        <w:t>and</w:t>
      </w:r>
      <w:r w:rsidRPr="1E6DD8C4">
        <w:rPr>
          <w:sz w:val="24"/>
          <w:szCs w:val="24"/>
        </w:rPr>
        <w:t xml:space="preserve"> for the cross-site evaluation for the SPF Rx programs</w:t>
      </w:r>
      <w:r w:rsidR="00B83AFC">
        <w:rPr>
          <w:sz w:val="24"/>
          <w:szCs w:val="24"/>
        </w:rPr>
        <w:t>, which has an annual reporting requirement that uses these data to describe grantee progress</w:t>
      </w:r>
      <w:r>
        <w:rPr>
          <w:sz w:val="24"/>
          <w:szCs w:val="24"/>
        </w:rPr>
        <w:t>.</w:t>
      </w:r>
      <w:r w:rsidRPr="1E6DD8C4">
        <w:rPr>
          <w:sz w:val="24"/>
          <w:szCs w:val="24"/>
        </w:rPr>
        <w:t xml:space="preserve"> </w:t>
      </w:r>
      <w:r>
        <w:rPr>
          <w:sz w:val="24"/>
          <w:szCs w:val="24"/>
        </w:rPr>
        <w:t>G</w:t>
      </w:r>
      <w:r w:rsidRPr="1E6DD8C4">
        <w:rPr>
          <w:sz w:val="24"/>
          <w:szCs w:val="24"/>
        </w:rPr>
        <w:t>rantees use these data to track ongoing implementation of their efforts under this grant. Less frequent reporting could impede SAMHSA’s and the grantees’ ability to do so effectively.</w:t>
      </w:r>
    </w:p>
    <w:p w:rsidR="001F1A1D" w:rsidRPr="000655BF" w14:paraId="041BE570" w14:textId="3C9AB196">
      <w:pPr>
        <w:pStyle w:val="BodyText"/>
        <w:rPr>
          <w:sz w:val="24"/>
          <w:szCs w:val="24"/>
        </w:rPr>
      </w:pPr>
      <w:r w:rsidRPr="000655BF">
        <w:rPr>
          <w:sz w:val="24"/>
          <w:szCs w:val="24"/>
        </w:rPr>
        <w:t xml:space="preserve">The data collection schedule represents the minimum amount of information needed for the government to accomplish the objectives of its evaluation and meet data reporting requirements. SAMHSA made every effort to ensure that data </w:t>
      </w:r>
      <w:r w:rsidRPr="000655BF">
        <w:rPr>
          <w:sz w:val="24"/>
          <w:szCs w:val="24"/>
        </w:rPr>
        <w:t>are</w:t>
      </w:r>
      <w:r w:rsidRPr="000655BF">
        <w:rPr>
          <w:sz w:val="24"/>
          <w:szCs w:val="24"/>
        </w:rPr>
        <w:t xml:space="preserve"> collected only when necessary. </w:t>
      </w:r>
      <w:r w:rsidR="009960D3">
        <w:rPr>
          <w:sz w:val="24"/>
          <w:szCs w:val="24"/>
        </w:rPr>
        <w:t xml:space="preserve">Performance monitoring goals of this evaluation generally require annual data collection to allow for prompt ongoing feedback and course corrections as needed. </w:t>
      </w:r>
      <w:r w:rsidRPr="000655BF">
        <w:rPr>
          <w:sz w:val="24"/>
          <w:szCs w:val="24"/>
        </w:rPr>
        <w:t xml:space="preserve">For example, the </w:t>
      </w:r>
      <w:r w:rsidR="003F1D06">
        <w:rPr>
          <w:sz w:val="24"/>
          <w:szCs w:val="24"/>
        </w:rPr>
        <w:t>ART</w:t>
      </w:r>
      <w:r w:rsidRPr="000655BF">
        <w:rPr>
          <w:sz w:val="24"/>
          <w:szCs w:val="24"/>
        </w:rPr>
        <w:t xml:space="preserve"> tool for </w:t>
      </w:r>
      <w:r w:rsidR="00D00AE7">
        <w:rPr>
          <w:sz w:val="24"/>
          <w:szCs w:val="24"/>
        </w:rPr>
        <w:t>SPF Rx</w:t>
      </w:r>
      <w:r w:rsidRPr="000655BF">
        <w:rPr>
          <w:sz w:val="24"/>
          <w:szCs w:val="24"/>
        </w:rPr>
        <w:t xml:space="preserve"> collect</w:t>
      </w:r>
      <w:r w:rsidRPr="000655BF" w:rsidR="00BC47EB">
        <w:rPr>
          <w:sz w:val="24"/>
          <w:szCs w:val="24"/>
        </w:rPr>
        <w:t>s</w:t>
      </w:r>
      <w:r w:rsidRPr="000655BF">
        <w:rPr>
          <w:sz w:val="24"/>
          <w:szCs w:val="24"/>
        </w:rPr>
        <w:t xml:space="preserve"> grantee and subrecipient implementation data annually</w:t>
      </w:r>
      <w:r w:rsidRPr="000655BF" w:rsidR="00FD4C93">
        <w:rPr>
          <w:sz w:val="24"/>
          <w:szCs w:val="24"/>
        </w:rPr>
        <w:t>,</w:t>
      </w:r>
      <w:r w:rsidRPr="000655BF" w:rsidR="00BC47EB">
        <w:rPr>
          <w:sz w:val="24"/>
          <w:szCs w:val="24"/>
        </w:rPr>
        <w:t xml:space="preserve"> </w:t>
      </w:r>
      <w:r w:rsidRPr="000655BF" w:rsidR="00E961B1">
        <w:rPr>
          <w:sz w:val="24"/>
          <w:szCs w:val="24"/>
        </w:rPr>
        <w:t>allow</w:t>
      </w:r>
      <w:r w:rsidRPr="000655BF" w:rsidR="00FD4C93">
        <w:rPr>
          <w:sz w:val="24"/>
          <w:szCs w:val="24"/>
        </w:rPr>
        <w:t>ing</w:t>
      </w:r>
      <w:r w:rsidRPr="000655BF" w:rsidR="00BC47EB">
        <w:rPr>
          <w:sz w:val="24"/>
          <w:szCs w:val="24"/>
        </w:rPr>
        <w:t xml:space="preserve"> the </w:t>
      </w:r>
      <w:r w:rsidR="00D00AE7">
        <w:rPr>
          <w:sz w:val="24"/>
          <w:szCs w:val="24"/>
        </w:rPr>
        <w:t>PEPC</w:t>
      </w:r>
      <w:r w:rsidRPr="000655BF" w:rsidR="00BC47EB">
        <w:rPr>
          <w:sz w:val="24"/>
          <w:szCs w:val="24"/>
        </w:rPr>
        <w:t xml:space="preserve"> team </w:t>
      </w:r>
      <w:r w:rsidRPr="000655BF" w:rsidR="00E961B1">
        <w:rPr>
          <w:sz w:val="24"/>
          <w:szCs w:val="24"/>
        </w:rPr>
        <w:t>to track implementation progress among grantees and their subrecipients</w:t>
      </w:r>
      <w:r w:rsidRPr="000655BF" w:rsidR="00FD4C93">
        <w:rPr>
          <w:sz w:val="24"/>
          <w:szCs w:val="24"/>
        </w:rPr>
        <w:t xml:space="preserve"> and </w:t>
      </w:r>
      <w:r w:rsidRPr="000655BF" w:rsidR="00BC47EB">
        <w:rPr>
          <w:sz w:val="24"/>
          <w:szCs w:val="24"/>
        </w:rPr>
        <w:t xml:space="preserve">for regular data feedback to </w:t>
      </w:r>
      <w:r w:rsidRPr="000655BF" w:rsidR="00BC47EB">
        <w:rPr>
          <w:sz w:val="24"/>
          <w:szCs w:val="24"/>
        </w:rPr>
        <w:t>grantees on subrecipient implementation</w:t>
      </w:r>
      <w:r w:rsidRPr="000655BF">
        <w:rPr>
          <w:sz w:val="24"/>
          <w:szCs w:val="24"/>
        </w:rPr>
        <w:t xml:space="preserve">. </w:t>
      </w:r>
      <w:r w:rsidRPr="000655BF" w:rsidR="00467E44">
        <w:rPr>
          <w:sz w:val="24"/>
          <w:szCs w:val="24"/>
        </w:rPr>
        <w:t>Ti</w:t>
      </w:r>
      <w:r w:rsidRPr="000655BF" w:rsidR="00BE11FF">
        <w:rPr>
          <w:sz w:val="24"/>
          <w:szCs w:val="24"/>
        </w:rPr>
        <w:t xml:space="preserve">ming information </w:t>
      </w:r>
      <w:r w:rsidR="00A332B5">
        <w:rPr>
          <w:sz w:val="24"/>
          <w:szCs w:val="24"/>
        </w:rPr>
        <w:t>is available</w:t>
      </w:r>
      <w:r w:rsidRPr="000655BF" w:rsidR="00BE11FF">
        <w:rPr>
          <w:sz w:val="24"/>
          <w:szCs w:val="24"/>
        </w:rPr>
        <w:t xml:space="preserve"> in Exhibit </w:t>
      </w:r>
      <w:r w:rsidR="0055061C">
        <w:rPr>
          <w:sz w:val="24"/>
          <w:szCs w:val="24"/>
        </w:rPr>
        <w:t>3</w:t>
      </w:r>
      <w:r w:rsidRPr="000655BF">
        <w:rPr>
          <w:sz w:val="24"/>
          <w:szCs w:val="24"/>
        </w:rPr>
        <w:t xml:space="preserve">. </w:t>
      </w:r>
      <w:r w:rsidRPr="00B1595C" w:rsidR="00D82453">
        <w:rPr>
          <w:b/>
          <w:bCs/>
          <w:sz w:val="24"/>
          <w:szCs w:val="24"/>
        </w:rPr>
        <w:t xml:space="preserve">SAMHSA is federally required to report on Government Performance and Results Act (GPRA) measures annually. GPRA measures are included in the PEPC cross-site evaluation and therefore must be collected each year from grantees. </w:t>
      </w:r>
      <w:r w:rsidR="0058550E">
        <w:rPr>
          <w:sz w:val="24"/>
          <w:szCs w:val="24"/>
        </w:rPr>
        <w:t>If data are not collected at all, SAMHSA would not b</w:t>
      </w:r>
      <w:r w:rsidR="00D82453">
        <w:rPr>
          <w:sz w:val="24"/>
          <w:szCs w:val="24"/>
        </w:rPr>
        <w:t>e able to meet these federal requirements.</w:t>
      </w:r>
    </w:p>
    <w:p w:rsidR="00073926" w:rsidRPr="003F6500" w:rsidP="00583C89" w14:paraId="3D3D9D81" w14:textId="76949FF8">
      <w:pPr>
        <w:pStyle w:val="Heading4"/>
      </w:pPr>
      <w:r w:rsidRPr="0029072B">
        <w:t>ART</w:t>
      </w:r>
      <w:r w:rsidRPr="0029072B" w:rsidR="00816C0B">
        <w:t xml:space="preserve"> and </w:t>
      </w:r>
      <w:r w:rsidRPr="0029072B">
        <w:t xml:space="preserve">Grantee- and Community-Level </w:t>
      </w:r>
      <w:r w:rsidRPr="003F6500" w:rsidR="007E5D8C">
        <w:t xml:space="preserve">PDMP </w:t>
      </w:r>
      <w:r w:rsidRPr="003F6500">
        <w:t>Outcomes Module</w:t>
      </w:r>
      <w:r w:rsidR="00CF1DB3">
        <w:t>s</w:t>
      </w:r>
    </w:p>
    <w:p w:rsidR="00073926" w:rsidRPr="000655BF" w14:paraId="7FD030F5" w14:textId="21649F45">
      <w:pPr>
        <w:pStyle w:val="BodyText"/>
        <w:rPr>
          <w:sz w:val="24"/>
          <w:szCs w:val="24"/>
        </w:rPr>
      </w:pPr>
      <w:r w:rsidRPr="000655BF">
        <w:rPr>
          <w:sz w:val="24"/>
          <w:szCs w:val="24"/>
        </w:rPr>
        <w:t xml:space="preserve">The </w:t>
      </w:r>
      <w:r w:rsidR="005B271C">
        <w:rPr>
          <w:sz w:val="24"/>
          <w:szCs w:val="24"/>
        </w:rPr>
        <w:t xml:space="preserve">PEPC </w:t>
      </w:r>
      <w:r w:rsidRPr="000655BF">
        <w:rPr>
          <w:sz w:val="24"/>
          <w:szCs w:val="24"/>
        </w:rPr>
        <w:t xml:space="preserve">evaluation team collects </w:t>
      </w:r>
      <w:r w:rsidR="003F1D06">
        <w:rPr>
          <w:sz w:val="24"/>
          <w:szCs w:val="24"/>
        </w:rPr>
        <w:t>ART</w:t>
      </w:r>
      <w:r w:rsidRPr="000655BF">
        <w:rPr>
          <w:sz w:val="24"/>
          <w:szCs w:val="24"/>
        </w:rPr>
        <w:t xml:space="preserve"> and Grantee- and Community-Level Outcomes data </w:t>
      </w:r>
      <w:r w:rsidR="00A91B75">
        <w:rPr>
          <w:sz w:val="24"/>
          <w:szCs w:val="24"/>
        </w:rPr>
        <w:t>annually</w:t>
      </w:r>
      <w:r w:rsidRPr="000655BF">
        <w:rPr>
          <w:sz w:val="24"/>
          <w:szCs w:val="24"/>
        </w:rPr>
        <w:t xml:space="preserve"> </w:t>
      </w:r>
      <w:r w:rsidR="00D54211">
        <w:rPr>
          <w:sz w:val="24"/>
          <w:szCs w:val="24"/>
        </w:rPr>
        <w:t>for performance monitoring and to</w:t>
      </w:r>
      <w:r w:rsidRPr="000655BF">
        <w:rPr>
          <w:sz w:val="24"/>
          <w:szCs w:val="24"/>
        </w:rPr>
        <w:t xml:space="preserve"> track trends across time. </w:t>
      </w:r>
      <w:r w:rsidR="00A91B75">
        <w:rPr>
          <w:sz w:val="24"/>
          <w:szCs w:val="24"/>
        </w:rPr>
        <w:t>Annual</w:t>
      </w:r>
      <w:r w:rsidRPr="000655BF">
        <w:rPr>
          <w:sz w:val="24"/>
          <w:szCs w:val="24"/>
        </w:rPr>
        <w:t xml:space="preserve"> updates to the </w:t>
      </w:r>
      <w:r w:rsidR="003F1D06">
        <w:rPr>
          <w:sz w:val="24"/>
          <w:szCs w:val="24"/>
        </w:rPr>
        <w:t>ART</w:t>
      </w:r>
      <w:r w:rsidRPr="000655BF">
        <w:rPr>
          <w:sz w:val="24"/>
          <w:szCs w:val="24"/>
        </w:rPr>
        <w:t xml:space="preserve"> </w:t>
      </w:r>
      <w:r w:rsidR="00D54211">
        <w:rPr>
          <w:sz w:val="24"/>
          <w:szCs w:val="24"/>
        </w:rPr>
        <w:t>allow SAMHSA and grantees to monitor how long it takes grantees and subrecipients to begin implementing interventions a</w:t>
      </w:r>
      <w:r w:rsidR="002D2332">
        <w:rPr>
          <w:sz w:val="24"/>
          <w:szCs w:val="24"/>
        </w:rPr>
        <w:t>nd to</w:t>
      </w:r>
      <w:r w:rsidR="00D54211">
        <w:rPr>
          <w:sz w:val="24"/>
          <w:szCs w:val="24"/>
        </w:rPr>
        <w:t xml:space="preserve"> provide </w:t>
      </w:r>
      <w:r w:rsidRPr="000655BF">
        <w:rPr>
          <w:sz w:val="24"/>
          <w:szCs w:val="24"/>
        </w:rPr>
        <w:t xml:space="preserve">trend data </w:t>
      </w:r>
      <w:r w:rsidRPr="000655BF" w:rsidR="007179F6">
        <w:rPr>
          <w:sz w:val="24"/>
          <w:szCs w:val="24"/>
        </w:rPr>
        <w:t>on</w:t>
      </w:r>
      <w:r w:rsidRPr="000655BF" w:rsidR="00A63AA5">
        <w:rPr>
          <w:sz w:val="24"/>
          <w:szCs w:val="24"/>
        </w:rPr>
        <w:t xml:space="preserve"> the type</w:t>
      </w:r>
      <w:r w:rsidR="00A91B75">
        <w:rPr>
          <w:sz w:val="24"/>
          <w:szCs w:val="24"/>
        </w:rPr>
        <w:t xml:space="preserve"> of interventions implemented</w:t>
      </w:r>
      <w:r w:rsidRPr="000655BF" w:rsidR="00A63AA5">
        <w:rPr>
          <w:sz w:val="24"/>
          <w:szCs w:val="24"/>
        </w:rPr>
        <w:t xml:space="preserve"> and </w:t>
      </w:r>
      <w:r w:rsidR="00A91B75">
        <w:rPr>
          <w:sz w:val="24"/>
          <w:szCs w:val="24"/>
        </w:rPr>
        <w:t xml:space="preserve">the </w:t>
      </w:r>
      <w:r w:rsidRPr="000655BF" w:rsidR="00A63AA5">
        <w:rPr>
          <w:sz w:val="24"/>
          <w:szCs w:val="24"/>
        </w:rPr>
        <w:t>reach of</w:t>
      </w:r>
      <w:r w:rsidRPr="000655BF" w:rsidR="007179F6">
        <w:rPr>
          <w:sz w:val="24"/>
          <w:szCs w:val="24"/>
        </w:rPr>
        <w:t xml:space="preserve"> the </w:t>
      </w:r>
      <w:r w:rsidR="00D00AE7">
        <w:rPr>
          <w:sz w:val="24"/>
          <w:szCs w:val="24"/>
        </w:rPr>
        <w:t>SPF Rx</w:t>
      </w:r>
      <w:r w:rsidRPr="000655BF" w:rsidR="007179F6">
        <w:rPr>
          <w:sz w:val="24"/>
          <w:szCs w:val="24"/>
        </w:rPr>
        <w:t xml:space="preserve"> </w:t>
      </w:r>
      <w:r w:rsidRPr="000655BF" w:rsidR="00A63AA5">
        <w:rPr>
          <w:sz w:val="24"/>
          <w:szCs w:val="24"/>
        </w:rPr>
        <w:t>program interventions</w:t>
      </w:r>
      <w:r w:rsidRPr="000655BF" w:rsidR="007179F6">
        <w:rPr>
          <w:sz w:val="24"/>
          <w:szCs w:val="24"/>
        </w:rPr>
        <w:t xml:space="preserve">. </w:t>
      </w:r>
      <w:r w:rsidR="00D54211">
        <w:rPr>
          <w:sz w:val="24"/>
          <w:szCs w:val="24"/>
        </w:rPr>
        <w:t>T</w:t>
      </w:r>
      <w:r w:rsidRPr="000655BF" w:rsidR="007179F6">
        <w:rPr>
          <w:sz w:val="24"/>
          <w:szCs w:val="24"/>
        </w:rPr>
        <w:t xml:space="preserve">he evaluation team uses the </w:t>
      </w:r>
      <w:r w:rsidRPr="000655BF">
        <w:rPr>
          <w:sz w:val="24"/>
          <w:szCs w:val="24"/>
        </w:rPr>
        <w:t>outcomes data</w:t>
      </w:r>
      <w:r w:rsidRPr="000655BF" w:rsidR="00AC1090">
        <w:rPr>
          <w:sz w:val="24"/>
          <w:szCs w:val="24"/>
        </w:rPr>
        <w:t xml:space="preserve"> from the Grantee- and Community-Level </w:t>
      </w:r>
      <w:r w:rsidR="007E5D8C">
        <w:rPr>
          <w:sz w:val="24"/>
          <w:szCs w:val="24"/>
        </w:rPr>
        <w:t xml:space="preserve">PDMP </w:t>
      </w:r>
      <w:r w:rsidRPr="000655BF" w:rsidR="00AC1090">
        <w:rPr>
          <w:sz w:val="24"/>
          <w:szCs w:val="24"/>
        </w:rPr>
        <w:t>Outcomes Module</w:t>
      </w:r>
      <w:r w:rsidRPr="000655BF" w:rsidR="009A3203">
        <w:rPr>
          <w:sz w:val="24"/>
          <w:szCs w:val="24"/>
        </w:rPr>
        <w:t>s</w:t>
      </w:r>
      <w:r w:rsidRPr="000655BF">
        <w:rPr>
          <w:sz w:val="24"/>
          <w:szCs w:val="24"/>
        </w:rPr>
        <w:t xml:space="preserve"> related to</w:t>
      </w:r>
      <w:r w:rsidR="00106719">
        <w:rPr>
          <w:sz w:val="24"/>
          <w:szCs w:val="24"/>
        </w:rPr>
        <w:t xml:space="preserve"> </w:t>
      </w:r>
      <w:r w:rsidRPr="000655BF">
        <w:rPr>
          <w:sz w:val="24"/>
          <w:szCs w:val="24"/>
        </w:rPr>
        <w:t>PDMP use and prescription drug misuse</w:t>
      </w:r>
      <w:r w:rsidRPr="000655BF" w:rsidR="007179F6">
        <w:rPr>
          <w:sz w:val="24"/>
          <w:szCs w:val="24"/>
        </w:rPr>
        <w:t xml:space="preserve"> as the dependent variables</w:t>
      </w:r>
      <w:r w:rsidRPr="000655BF">
        <w:rPr>
          <w:sz w:val="24"/>
          <w:szCs w:val="24"/>
        </w:rPr>
        <w:t xml:space="preserve"> to</w:t>
      </w:r>
      <w:r w:rsidRPr="000655BF" w:rsidR="007179F6">
        <w:rPr>
          <w:sz w:val="24"/>
          <w:szCs w:val="24"/>
        </w:rPr>
        <w:t xml:space="preserve"> measure the impact of the program over time. </w:t>
      </w:r>
      <w:r w:rsidR="0053179B">
        <w:rPr>
          <w:sz w:val="24"/>
          <w:szCs w:val="24"/>
        </w:rPr>
        <w:t>Collecting d</w:t>
      </w:r>
      <w:r w:rsidRPr="000655BF" w:rsidR="007179F6">
        <w:rPr>
          <w:sz w:val="24"/>
          <w:szCs w:val="24"/>
        </w:rPr>
        <w:t>ata points</w:t>
      </w:r>
      <w:r w:rsidR="0053179B">
        <w:rPr>
          <w:sz w:val="24"/>
          <w:szCs w:val="24"/>
        </w:rPr>
        <w:t xml:space="preserve"> less than annually</w:t>
      </w:r>
      <w:r w:rsidRPr="000655BF" w:rsidR="007179F6">
        <w:rPr>
          <w:sz w:val="24"/>
          <w:szCs w:val="24"/>
        </w:rPr>
        <w:t xml:space="preserve"> would inhibit our ability to </w:t>
      </w:r>
      <w:r w:rsidRPr="000655BF" w:rsidR="001D2081">
        <w:rPr>
          <w:sz w:val="24"/>
          <w:szCs w:val="24"/>
        </w:rPr>
        <w:t>conduct reliable</w:t>
      </w:r>
      <w:r w:rsidRPr="000655BF" w:rsidR="007179F6">
        <w:rPr>
          <w:sz w:val="24"/>
          <w:szCs w:val="24"/>
        </w:rPr>
        <w:t xml:space="preserve"> trends analysis</w:t>
      </w:r>
      <w:r w:rsidR="00A91B75">
        <w:rPr>
          <w:sz w:val="24"/>
          <w:szCs w:val="24"/>
        </w:rPr>
        <w:t xml:space="preserve"> on those outcomes</w:t>
      </w:r>
      <w:r w:rsidRPr="000655BF" w:rsidR="007179F6">
        <w:rPr>
          <w:sz w:val="24"/>
          <w:szCs w:val="24"/>
        </w:rPr>
        <w:t>.</w:t>
      </w:r>
    </w:p>
    <w:p w:rsidR="007179F6" w:rsidRPr="0029072B" w:rsidP="00583C89" w14:paraId="70F311B3" w14:textId="77777777">
      <w:pPr>
        <w:pStyle w:val="Heading4"/>
      </w:pPr>
      <w:r w:rsidRPr="0029072B">
        <w:t>Grantee-Level Interview</w:t>
      </w:r>
    </w:p>
    <w:p w:rsidR="007179F6" w:rsidRPr="000655BF" w14:paraId="37FAF30B" w14:textId="51133B31">
      <w:pPr>
        <w:pStyle w:val="BodyText"/>
        <w:rPr>
          <w:sz w:val="24"/>
          <w:szCs w:val="24"/>
        </w:rPr>
      </w:pPr>
      <w:r>
        <w:rPr>
          <w:sz w:val="24"/>
          <w:szCs w:val="24"/>
        </w:rPr>
        <w:t>T</w:t>
      </w:r>
      <w:r w:rsidRPr="000655BF">
        <w:rPr>
          <w:sz w:val="24"/>
          <w:szCs w:val="24"/>
        </w:rPr>
        <w:t>he Grantee-Level Interview</w:t>
      </w:r>
      <w:r>
        <w:rPr>
          <w:sz w:val="24"/>
          <w:szCs w:val="24"/>
        </w:rPr>
        <w:t xml:space="preserve"> provides for data collection</w:t>
      </w:r>
      <w:r w:rsidRPr="000655BF">
        <w:rPr>
          <w:sz w:val="24"/>
          <w:szCs w:val="24"/>
        </w:rPr>
        <w:t xml:space="preserve"> </w:t>
      </w:r>
      <w:r w:rsidR="004902CA">
        <w:rPr>
          <w:sz w:val="24"/>
          <w:szCs w:val="24"/>
        </w:rPr>
        <w:t>annually</w:t>
      </w:r>
      <w:r w:rsidR="006E35B8">
        <w:rPr>
          <w:sz w:val="24"/>
          <w:szCs w:val="24"/>
        </w:rPr>
        <w:t xml:space="preserve">, </w:t>
      </w:r>
      <w:r>
        <w:rPr>
          <w:sz w:val="24"/>
          <w:szCs w:val="24"/>
        </w:rPr>
        <w:t>allow</w:t>
      </w:r>
      <w:r w:rsidR="006E35B8">
        <w:rPr>
          <w:sz w:val="24"/>
          <w:szCs w:val="24"/>
        </w:rPr>
        <w:t>ing</w:t>
      </w:r>
      <w:r>
        <w:rPr>
          <w:sz w:val="24"/>
          <w:szCs w:val="24"/>
        </w:rPr>
        <w:t xml:space="preserve"> </w:t>
      </w:r>
      <w:r w:rsidR="008B3505">
        <w:rPr>
          <w:sz w:val="24"/>
          <w:szCs w:val="24"/>
        </w:rPr>
        <w:t>for SAMSHA to understand priority issues</w:t>
      </w:r>
      <w:r w:rsidR="00D82453">
        <w:rPr>
          <w:sz w:val="24"/>
          <w:szCs w:val="24"/>
        </w:rPr>
        <w:t xml:space="preserve"> as they emerge</w:t>
      </w:r>
      <w:r w:rsidR="008B3505">
        <w:rPr>
          <w:sz w:val="24"/>
          <w:szCs w:val="24"/>
        </w:rPr>
        <w:t>, including issues related to fake and counterfeit pills, and measure more proximal outcomes of the evaluation</w:t>
      </w:r>
      <w:r>
        <w:rPr>
          <w:sz w:val="24"/>
          <w:szCs w:val="24"/>
        </w:rPr>
        <w:t>.</w:t>
      </w:r>
    </w:p>
    <w:p w:rsidR="001F1A1D" w:rsidRPr="000655BF" w:rsidP="002A1583" w14:paraId="314ABFF1" w14:textId="172DD2D6">
      <w:pPr>
        <w:pStyle w:val="Heading2"/>
      </w:pPr>
      <w:r w:rsidRPr="000655BF">
        <w:t>A.7</w:t>
      </w:r>
      <w:r w:rsidRPr="000655BF" w:rsidR="00C6777E">
        <w:t>.</w:t>
      </w:r>
      <w:r w:rsidRPr="000655BF">
        <w:tab/>
      </w:r>
      <w:r w:rsidR="00D82453">
        <w:t>Special Circumstances</w:t>
      </w:r>
    </w:p>
    <w:p w:rsidR="001F1A1D" w:rsidRPr="000655BF" w14:paraId="1BB25D51" w14:textId="188010CC">
      <w:pPr>
        <w:pStyle w:val="BodyText"/>
        <w:rPr>
          <w:sz w:val="24"/>
          <w:szCs w:val="24"/>
        </w:rPr>
      </w:pPr>
      <w:r>
        <w:rPr>
          <w:sz w:val="24"/>
          <w:szCs w:val="24"/>
        </w:rPr>
        <w:t>None.</w:t>
      </w:r>
    </w:p>
    <w:p w:rsidR="001F1A1D" w:rsidRPr="000655BF" w:rsidP="002A1583" w14:paraId="24B29AF5" w14:textId="77777777">
      <w:pPr>
        <w:pStyle w:val="Heading2"/>
      </w:pPr>
      <w:r w:rsidRPr="000655BF">
        <w:t>A.8</w:t>
      </w:r>
      <w:r w:rsidRPr="000655BF" w:rsidR="00C6777E">
        <w:t>.</w:t>
      </w:r>
      <w:r w:rsidRPr="000655BF">
        <w:tab/>
        <w:t xml:space="preserve">Consultation </w:t>
      </w:r>
      <w:r w:rsidRPr="000655BF" w:rsidR="00C53DB2">
        <w:t>outside</w:t>
      </w:r>
      <w:r w:rsidRPr="000655BF">
        <w:t xml:space="preserve"> the Agency</w:t>
      </w:r>
    </w:p>
    <w:p w:rsidR="001F1A1D" w:rsidRPr="000655BF" w14:paraId="72EF7B1F" w14:textId="15314DFB">
      <w:pPr>
        <w:pStyle w:val="BodyText"/>
        <w:rPr>
          <w:rStyle w:val="Strong"/>
          <w:b w:val="0"/>
          <w:bCs w:val="0"/>
          <w:sz w:val="24"/>
          <w:szCs w:val="24"/>
        </w:rPr>
      </w:pPr>
      <w:r w:rsidRPr="728C4DB3">
        <w:rPr>
          <w:rStyle w:val="Strong"/>
          <w:b w:val="0"/>
          <w:bCs w:val="0"/>
          <w:sz w:val="24"/>
          <w:szCs w:val="24"/>
        </w:rPr>
        <w:t xml:space="preserve">The notice required by 5 CFR 1320.8(d) </w:t>
      </w:r>
      <w:r w:rsidRPr="728C4DB3" w:rsidR="00F25EB3">
        <w:rPr>
          <w:rStyle w:val="Strong"/>
          <w:b w:val="0"/>
          <w:bCs w:val="0"/>
          <w:sz w:val="24"/>
          <w:szCs w:val="24"/>
        </w:rPr>
        <w:t>was</w:t>
      </w:r>
      <w:r w:rsidRPr="728C4DB3">
        <w:rPr>
          <w:rStyle w:val="Strong"/>
          <w:b w:val="0"/>
          <w:bCs w:val="0"/>
          <w:sz w:val="24"/>
          <w:szCs w:val="24"/>
        </w:rPr>
        <w:t xml:space="preserve"> published in the Federal Register Notice on </w:t>
      </w:r>
      <w:r w:rsidRPr="00E4703E" w:rsidR="00E4703E">
        <w:rPr>
          <w:rStyle w:val="Strong"/>
          <w:b w:val="0"/>
          <w:bCs w:val="0"/>
          <w:sz w:val="24"/>
          <w:szCs w:val="24"/>
        </w:rPr>
        <w:t>November</w:t>
      </w:r>
      <w:r w:rsidRPr="00E4703E" w:rsidR="00FD0E71">
        <w:rPr>
          <w:rStyle w:val="Strong"/>
          <w:b w:val="0"/>
          <w:bCs w:val="0"/>
          <w:sz w:val="24"/>
          <w:szCs w:val="24"/>
        </w:rPr>
        <w:t xml:space="preserve"> </w:t>
      </w:r>
      <w:r w:rsidRPr="00E4703E" w:rsidR="00E4703E">
        <w:rPr>
          <w:rStyle w:val="Strong"/>
          <w:b w:val="0"/>
          <w:bCs w:val="0"/>
          <w:sz w:val="24"/>
          <w:szCs w:val="24"/>
        </w:rPr>
        <w:t>20</w:t>
      </w:r>
      <w:r w:rsidRPr="00E4703E" w:rsidR="00FD0E71">
        <w:rPr>
          <w:rStyle w:val="Strong"/>
          <w:b w:val="0"/>
          <w:bCs w:val="0"/>
          <w:sz w:val="24"/>
          <w:szCs w:val="24"/>
        </w:rPr>
        <w:t>, 20</w:t>
      </w:r>
      <w:r w:rsidRPr="00E4703E" w:rsidR="000655BF">
        <w:rPr>
          <w:rStyle w:val="Strong"/>
          <w:b w:val="0"/>
          <w:bCs w:val="0"/>
          <w:sz w:val="24"/>
          <w:szCs w:val="24"/>
        </w:rPr>
        <w:t>2</w:t>
      </w:r>
      <w:r w:rsidRPr="00E4703E" w:rsidR="00E4703E">
        <w:rPr>
          <w:rStyle w:val="Strong"/>
          <w:b w:val="0"/>
          <w:bCs w:val="0"/>
          <w:sz w:val="24"/>
          <w:szCs w:val="24"/>
        </w:rPr>
        <w:t>5</w:t>
      </w:r>
      <w:r w:rsidRPr="00E4703E">
        <w:rPr>
          <w:rStyle w:val="Strong"/>
          <w:b w:val="0"/>
          <w:bCs w:val="0"/>
          <w:sz w:val="24"/>
          <w:szCs w:val="24"/>
        </w:rPr>
        <w:t xml:space="preserve"> (</w:t>
      </w:r>
      <w:r w:rsidRPr="00E4703E" w:rsidR="00E4703E">
        <w:rPr>
          <w:rStyle w:val="Strong"/>
          <w:b w:val="0"/>
          <w:bCs w:val="0"/>
          <w:sz w:val="24"/>
          <w:szCs w:val="24"/>
        </w:rPr>
        <w:t>90</w:t>
      </w:r>
      <w:r w:rsidRPr="00E4703E" w:rsidR="00F25EB3">
        <w:rPr>
          <w:rStyle w:val="Strong"/>
          <w:b w:val="0"/>
          <w:bCs w:val="0"/>
          <w:sz w:val="24"/>
          <w:szCs w:val="24"/>
        </w:rPr>
        <w:t xml:space="preserve"> </w:t>
      </w:r>
      <w:r w:rsidRPr="00E4703E">
        <w:rPr>
          <w:rStyle w:val="Strong"/>
          <w:b w:val="0"/>
          <w:bCs w:val="0"/>
          <w:sz w:val="24"/>
          <w:szCs w:val="24"/>
        </w:rPr>
        <w:t xml:space="preserve">FR </w:t>
      </w:r>
      <w:r w:rsidRPr="00E4703E" w:rsidR="00E4703E">
        <w:rPr>
          <w:rStyle w:val="Strong"/>
          <w:b w:val="0"/>
          <w:bCs w:val="0"/>
          <w:sz w:val="24"/>
          <w:szCs w:val="24"/>
        </w:rPr>
        <w:t>54412</w:t>
      </w:r>
      <w:r w:rsidRPr="00E4703E">
        <w:rPr>
          <w:rStyle w:val="Strong"/>
          <w:b w:val="0"/>
          <w:bCs w:val="0"/>
          <w:sz w:val="24"/>
          <w:szCs w:val="24"/>
        </w:rPr>
        <w:t>).</w:t>
      </w:r>
      <w:r w:rsidRPr="728C4DB3">
        <w:rPr>
          <w:rStyle w:val="Strong"/>
          <w:b w:val="0"/>
          <w:bCs w:val="0"/>
          <w:sz w:val="24"/>
          <w:szCs w:val="24"/>
        </w:rPr>
        <w:t xml:space="preserve"> </w:t>
      </w:r>
      <w:r w:rsidRPr="728C4DB3" w:rsidR="00F25EB3">
        <w:rPr>
          <w:rStyle w:val="Strong"/>
          <w:b w:val="0"/>
          <w:bCs w:val="0"/>
          <w:sz w:val="24"/>
          <w:szCs w:val="24"/>
        </w:rPr>
        <w:t>No comments were received.</w:t>
      </w:r>
    </w:p>
    <w:p w:rsidR="001F1A1D" w:rsidRPr="000655BF" w:rsidP="00212CF0" w14:paraId="604F25CD" w14:textId="2D733BE4">
      <w:pPr>
        <w:pStyle w:val="BodyText"/>
        <w:rPr>
          <w:sz w:val="24"/>
          <w:szCs w:val="24"/>
        </w:rPr>
      </w:pPr>
      <w:r w:rsidRPr="1E6DD8C4">
        <w:rPr>
          <w:sz w:val="24"/>
          <w:szCs w:val="24"/>
        </w:rPr>
        <w:t xml:space="preserve">SAMHSA and the </w:t>
      </w:r>
      <w:r w:rsidRPr="1E6DD8C4" w:rsidR="00D00AE7">
        <w:rPr>
          <w:sz w:val="24"/>
          <w:szCs w:val="24"/>
        </w:rPr>
        <w:t>PEPC</w:t>
      </w:r>
      <w:r w:rsidRPr="1E6DD8C4" w:rsidR="00961BE7">
        <w:rPr>
          <w:sz w:val="24"/>
          <w:szCs w:val="24"/>
        </w:rPr>
        <w:t xml:space="preserve"> </w:t>
      </w:r>
      <w:r w:rsidRPr="1E6DD8C4" w:rsidR="00BC39FA">
        <w:rPr>
          <w:sz w:val="24"/>
          <w:szCs w:val="24"/>
        </w:rPr>
        <w:t xml:space="preserve">evaluation </w:t>
      </w:r>
      <w:r w:rsidRPr="1E6DD8C4" w:rsidR="00961BE7">
        <w:rPr>
          <w:sz w:val="24"/>
          <w:szCs w:val="24"/>
        </w:rPr>
        <w:t>team</w:t>
      </w:r>
      <w:r w:rsidRPr="002D2332" w:rsidR="002D2332">
        <w:rPr>
          <w:sz w:val="24"/>
          <w:szCs w:val="24"/>
        </w:rPr>
        <w:t xml:space="preserve"> </w:t>
      </w:r>
      <w:r w:rsidR="002D2332">
        <w:rPr>
          <w:sz w:val="24"/>
          <w:szCs w:val="24"/>
        </w:rPr>
        <w:t>developed t</w:t>
      </w:r>
      <w:r w:rsidRPr="1E6DD8C4" w:rsidR="002D2332">
        <w:rPr>
          <w:sz w:val="24"/>
          <w:szCs w:val="24"/>
        </w:rPr>
        <w:t xml:space="preserve">he </w:t>
      </w:r>
      <w:r w:rsidR="002D2332">
        <w:rPr>
          <w:sz w:val="24"/>
          <w:szCs w:val="24"/>
        </w:rPr>
        <w:t>PEPC</w:t>
      </w:r>
      <w:r w:rsidRPr="1E6DD8C4" w:rsidR="002D2332">
        <w:rPr>
          <w:sz w:val="24"/>
          <w:szCs w:val="24"/>
        </w:rPr>
        <w:t xml:space="preserve"> evaluation tools</w:t>
      </w:r>
      <w:r w:rsidRPr="1E6DD8C4">
        <w:rPr>
          <w:sz w:val="24"/>
          <w:szCs w:val="24"/>
        </w:rPr>
        <w:t xml:space="preserve">. </w:t>
      </w:r>
      <w:r w:rsidRPr="1E6DD8C4" w:rsidR="00212CF0">
        <w:rPr>
          <w:sz w:val="24"/>
          <w:szCs w:val="24"/>
        </w:rPr>
        <w:t xml:space="preserve">These tools originated with earlier evaluations of SAMHSA CSAP programs and </w:t>
      </w:r>
      <w:r w:rsidR="006F763A">
        <w:rPr>
          <w:sz w:val="24"/>
          <w:szCs w:val="24"/>
        </w:rPr>
        <w:t>have been refined over time</w:t>
      </w:r>
      <w:r w:rsidRPr="1E6DD8C4">
        <w:rPr>
          <w:sz w:val="24"/>
          <w:szCs w:val="24"/>
        </w:rPr>
        <w:t>.</w:t>
      </w:r>
      <w:r w:rsidR="006F763A">
        <w:rPr>
          <w:sz w:val="24"/>
          <w:szCs w:val="24"/>
        </w:rPr>
        <w:t xml:space="preserve"> The most recent revisions are to remove items that are duplicative of other data collection efforts, specifically the </w:t>
      </w:r>
      <w:r w:rsidR="009A7EC7">
        <w:rPr>
          <w:sz w:val="24"/>
          <w:szCs w:val="24"/>
        </w:rPr>
        <w:t>CSAP Online Reporting Tool</w:t>
      </w:r>
      <w:r w:rsidR="006F763A">
        <w:rPr>
          <w:sz w:val="24"/>
          <w:szCs w:val="24"/>
        </w:rPr>
        <w:t>, and to align with the research questions for the current evaluation.</w:t>
      </w:r>
      <w:r w:rsidRPr="1E6DD8C4">
        <w:rPr>
          <w:sz w:val="24"/>
          <w:szCs w:val="24"/>
        </w:rPr>
        <w:t xml:space="preserve"> </w:t>
      </w:r>
    </w:p>
    <w:p w:rsidR="001F1A1D" w:rsidRPr="000655BF" w:rsidP="002A1583" w14:paraId="576A24CE" w14:textId="77777777">
      <w:pPr>
        <w:pStyle w:val="Heading2"/>
      </w:pPr>
      <w:r w:rsidRPr="000655BF">
        <w:t>A.9</w:t>
      </w:r>
      <w:r w:rsidRPr="000655BF" w:rsidR="00C6777E">
        <w:t>.</w:t>
      </w:r>
      <w:r w:rsidRPr="000655BF">
        <w:tab/>
        <w:t>Payment to Respondents</w:t>
      </w:r>
    </w:p>
    <w:p w:rsidR="001F1A1D" w:rsidRPr="000655BF" w14:paraId="1E12CBEE" w14:textId="77777777">
      <w:pPr>
        <w:pStyle w:val="BodyText"/>
        <w:rPr>
          <w:sz w:val="24"/>
          <w:szCs w:val="24"/>
        </w:rPr>
      </w:pPr>
      <w:r w:rsidRPr="000655BF">
        <w:rPr>
          <w:sz w:val="24"/>
          <w:szCs w:val="24"/>
        </w:rPr>
        <w:t>No cash incentives or gifts will be given to respondents.</w:t>
      </w:r>
    </w:p>
    <w:p w:rsidR="001F1A1D" w:rsidRPr="000655BF" w:rsidP="002A1583" w14:paraId="52261BD0" w14:textId="77777777">
      <w:pPr>
        <w:pStyle w:val="Heading2"/>
      </w:pPr>
      <w:r w:rsidRPr="000655BF">
        <w:t>A.10</w:t>
      </w:r>
      <w:r w:rsidRPr="000655BF" w:rsidR="00C6777E">
        <w:t>.</w:t>
      </w:r>
      <w:r w:rsidRPr="000655BF">
        <w:tab/>
        <w:t>Assurance of Confidentiality</w:t>
      </w:r>
    </w:p>
    <w:p w:rsidR="00D54A71" w:rsidRPr="000655BF" w:rsidP="00D54A71" w14:paraId="1B05D6CD" w14:textId="21090245">
      <w:pPr>
        <w:pStyle w:val="BodyText"/>
        <w:rPr>
          <w:sz w:val="24"/>
          <w:szCs w:val="24"/>
        </w:rPr>
      </w:pPr>
      <w:r w:rsidRPr="0055061C">
        <w:rPr>
          <w:sz w:val="24"/>
          <w:szCs w:val="24"/>
        </w:rPr>
        <w:t xml:space="preserve">Data will be kept private to the extent allowable by law. </w:t>
      </w:r>
      <w:r w:rsidRPr="000655BF">
        <w:rPr>
          <w:sz w:val="24"/>
          <w:szCs w:val="24"/>
        </w:rPr>
        <w:t xml:space="preserve">All members of the </w:t>
      </w:r>
      <w:r w:rsidR="00D00AE7">
        <w:rPr>
          <w:sz w:val="24"/>
          <w:szCs w:val="24"/>
        </w:rPr>
        <w:t>PEPC</w:t>
      </w:r>
      <w:r w:rsidRPr="000655BF" w:rsidR="00843E13">
        <w:rPr>
          <w:sz w:val="24"/>
          <w:szCs w:val="24"/>
        </w:rPr>
        <w:t xml:space="preserve"> </w:t>
      </w:r>
      <w:r w:rsidRPr="000655BF">
        <w:rPr>
          <w:sz w:val="24"/>
          <w:szCs w:val="24"/>
        </w:rPr>
        <w:t xml:space="preserve">team will receive general awareness training and role-based training commensurate with the responsibilities required to perform the tasks of the project. </w:t>
      </w:r>
      <w:r w:rsidR="002D2332">
        <w:rPr>
          <w:sz w:val="24"/>
          <w:szCs w:val="24"/>
        </w:rPr>
        <w:t>Before</w:t>
      </w:r>
      <w:r w:rsidRPr="000655BF">
        <w:rPr>
          <w:sz w:val="24"/>
          <w:szCs w:val="24"/>
        </w:rPr>
        <w:t xml:space="preserve"> performing any </w:t>
      </w:r>
      <w:r w:rsidRPr="000655BF">
        <w:rPr>
          <w:sz w:val="24"/>
          <w:szCs w:val="24"/>
        </w:rPr>
        <w:t>project</w:t>
      </w:r>
      <w:r w:rsidRPr="000655BF">
        <w:rPr>
          <w:sz w:val="24"/>
          <w:szCs w:val="24"/>
        </w:rPr>
        <w:t xml:space="preserve"> work </w:t>
      </w:r>
      <w:r w:rsidRPr="000655BF">
        <w:rPr>
          <w:sz w:val="24"/>
          <w:szCs w:val="24"/>
        </w:rPr>
        <w:t>or accessing any system, and annually thereaf</w:t>
      </w:r>
      <w:r w:rsidRPr="000655BF" w:rsidR="00843E13">
        <w:rPr>
          <w:sz w:val="24"/>
          <w:szCs w:val="24"/>
        </w:rPr>
        <w:t>ter throughout the life of the study</w:t>
      </w:r>
      <w:r w:rsidRPr="000655BF">
        <w:rPr>
          <w:sz w:val="24"/>
          <w:szCs w:val="24"/>
        </w:rPr>
        <w:t xml:space="preserve">, </w:t>
      </w:r>
      <w:r w:rsidR="002D2332">
        <w:rPr>
          <w:sz w:val="24"/>
          <w:szCs w:val="24"/>
        </w:rPr>
        <w:t>all</w:t>
      </w:r>
      <w:r w:rsidR="00516E52">
        <w:rPr>
          <w:sz w:val="24"/>
          <w:szCs w:val="24"/>
        </w:rPr>
        <w:t xml:space="preserve"> PEPC</w:t>
      </w:r>
      <w:r w:rsidRPr="000655BF">
        <w:rPr>
          <w:sz w:val="24"/>
          <w:szCs w:val="24"/>
        </w:rPr>
        <w:t xml:space="preserve"> team member</w:t>
      </w:r>
      <w:r w:rsidR="002D2332">
        <w:rPr>
          <w:sz w:val="24"/>
          <w:szCs w:val="24"/>
        </w:rPr>
        <w:t>s</w:t>
      </w:r>
      <w:r w:rsidRPr="000655BF">
        <w:rPr>
          <w:sz w:val="24"/>
          <w:szCs w:val="24"/>
        </w:rPr>
        <w:t xml:space="preserve"> will complete the SAMHSA Security Awareness Training required by the agency as well as Records Management and Human Subjects Research Training. The project will maintain a list of all </w:t>
      </w:r>
      <w:r w:rsidR="002D2332">
        <w:rPr>
          <w:sz w:val="24"/>
          <w:szCs w:val="24"/>
        </w:rPr>
        <w:t>people</w:t>
      </w:r>
      <w:r w:rsidRPr="000655BF" w:rsidR="002D2332">
        <w:rPr>
          <w:sz w:val="24"/>
          <w:szCs w:val="24"/>
        </w:rPr>
        <w:t xml:space="preserve"> </w:t>
      </w:r>
      <w:r w:rsidRPr="000655BF">
        <w:rPr>
          <w:sz w:val="24"/>
          <w:szCs w:val="24"/>
        </w:rPr>
        <w:t xml:space="preserve">who have completed these </w:t>
      </w:r>
      <w:r w:rsidRPr="000655BF">
        <w:rPr>
          <w:sz w:val="24"/>
          <w:szCs w:val="24"/>
        </w:rPr>
        <w:t>trainings</w:t>
      </w:r>
      <w:r w:rsidRPr="000655BF">
        <w:rPr>
          <w:sz w:val="24"/>
          <w:szCs w:val="24"/>
        </w:rPr>
        <w:t xml:space="preserve"> and will submit this list to the </w:t>
      </w:r>
      <w:r w:rsidR="002D2332">
        <w:rPr>
          <w:sz w:val="24"/>
          <w:szCs w:val="24"/>
        </w:rPr>
        <w:t>p</w:t>
      </w:r>
      <w:r w:rsidRPr="000655BF">
        <w:rPr>
          <w:sz w:val="24"/>
          <w:szCs w:val="24"/>
        </w:rPr>
        <w:t xml:space="preserve">roject </w:t>
      </w:r>
      <w:r w:rsidR="002D2332">
        <w:rPr>
          <w:sz w:val="24"/>
          <w:szCs w:val="24"/>
        </w:rPr>
        <w:t>o</w:t>
      </w:r>
      <w:r w:rsidRPr="000655BF">
        <w:rPr>
          <w:sz w:val="24"/>
          <w:szCs w:val="24"/>
        </w:rPr>
        <w:t xml:space="preserve">fficer upon request. </w:t>
      </w:r>
    </w:p>
    <w:p w:rsidR="0093216A" w:rsidP="0093216A" w14:paraId="6F7B8AAF" w14:textId="2738B4AF">
      <w:pPr>
        <w:pStyle w:val="L1-FlLSp12"/>
        <w:spacing w:line="240" w:lineRule="auto"/>
        <w:rPr>
          <w:rFonts w:ascii="Times New Roman" w:eastAsia="SimSun" w:hAnsi="Times New Roman"/>
          <w:szCs w:val="24"/>
          <w:lang w:eastAsia="zh-CN"/>
        </w:rPr>
      </w:pPr>
      <w:r w:rsidRPr="0093216A">
        <w:rPr>
          <w:rFonts w:ascii="Times New Roman" w:eastAsia="SimSun" w:hAnsi="Times New Roman"/>
          <w:szCs w:val="24"/>
          <w:lang w:eastAsia="zh-CN"/>
        </w:rPr>
        <w:t xml:space="preserve">The </w:t>
      </w:r>
      <w:r w:rsidR="00E72BF6">
        <w:rPr>
          <w:rFonts w:ascii="Times New Roman" w:eastAsia="SimSun" w:hAnsi="Times New Roman"/>
          <w:szCs w:val="24"/>
          <w:lang w:eastAsia="zh-CN"/>
        </w:rPr>
        <w:t>PEPC</w:t>
      </w:r>
      <w:r w:rsidRPr="0093216A">
        <w:rPr>
          <w:rFonts w:ascii="Times New Roman" w:eastAsia="SimSun" w:hAnsi="Times New Roman"/>
          <w:szCs w:val="24"/>
          <w:lang w:eastAsia="zh-CN"/>
        </w:rPr>
        <w:t xml:space="preserve"> data collection instruments do not request </w:t>
      </w:r>
      <w:r w:rsidR="002D2332">
        <w:rPr>
          <w:rFonts w:ascii="Times New Roman" w:eastAsia="SimSun" w:hAnsi="Times New Roman"/>
          <w:szCs w:val="24"/>
          <w:lang w:eastAsia="zh-CN"/>
        </w:rPr>
        <w:t>p</w:t>
      </w:r>
      <w:r w:rsidRPr="00D52B12" w:rsidR="00D52B12">
        <w:rPr>
          <w:rFonts w:ascii="Times New Roman" w:eastAsia="SimSun" w:hAnsi="Times New Roman"/>
          <w:szCs w:val="24"/>
          <w:lang w:eastAsia="zh-CN"/>
        </w:rPr>
        <w:t xml:space="preserve">ersonal </w:t>
      </w:r>
      <w:r w:rsidR="002D2332">
        <w:rPr>
          <w:rFonts w:ascii="Times New Roman" w:eastAsia="SimSun" w:hAnsi="Times New Roman"/>
          <w:szCs w:val="24"/>
          <w:lang w:eastAsia="zh-CN"/>
        </w:rPr>
        <w:t>i</w:t>
      </w:r>
      <w:r w:rsidRPr="00D52B12" w:rsidR="00D52B12">
        <w:rPr>
          <w:rFonts w:ascii="Times New Roman" w:eastAsia="SimSun" w:hAnsi="Times New Roman"/>
          <w:szCs w:val="24"/>
          <w:lang w:eastAsia="zh-CN"/>
        </w:rPr>
        <w:t xml:space="preserve">dentifiable </w:t>
      </w:r>
      <w:r w:rsidR="002D2332">
        <w:rPr>
          <w:rFonts w:ascii="Times New Roman" w:eastAsia="SimSun" w:hAnsi="Times New Roman"/>
          <w:szCs w:val="24"/>
          <w:lang w:eastAsia="zh-CN"/>
        </w:rPr>
        <w:t>i</w:t>
      </w:r>
      <w:r w:rsidRPr="00D52B12" w:rsidR="00D52B12">
        <w:rPr>
          <w:rFonts w:ascii="Times New Roman" w:eastAsia="SimSun" w:hAnsi="Times New Roman"/>
          <w:szCs w:val="24"/>
          <w:lang w:eastAsia="zh-CN"/>
        </w:rPr>
        <w:t>nformation</w:t>
      </w:r>
      <w:r w:rsidRPr="0093216A">
        <w:rPr>
          <w:rFonts w:ascii="Times New Roman" w:eastAsia="SimSun" w:hAnsi="Times New Roman"/>
          <w:szCs w:val="24"/>
          <w:lang w:eastAsia="zh-CN"/>
        </w:rPr>
        <w:t xml:space="preserve">. They collect programmatic data at the grantee and community levels along with aggregated </w:t>
      </w:r>
      <w:r w:rsidRPr="0093216A">
        <w:rPr>
          <w:rFonts w:ascii="Times New Roman" w:eastAsia="SimSun" w:hAnsi="Times New Roman"/>
          <w:szCs w:val="24"/>
          <w:lang w:eastAsia="zh-CN"/>
        </w:rPr>
        <w:t>non</w:t>
      </w:r>
      <w:r w:rsidR="00080C5A">
        <w:rPr>
          <w:rFonts w:ascii="Times New Roman" w:eastAsia="SimSun" w:hAnsi="Times New Roman"/>
          <w:szCs w:val="24"/>
          <w:lang w:eastAsia="zh-CN"/>
        </w:rPr>
        <w:t>identifying</w:t>
      </w:r>
      <w:r w:rsidRPr="0093216A">
        <w:rPr>
          <w:rFonts w:ascii="Times New Roman" w:eastAsia="SimSun" w:hAnsi="Times New Roman"/>
          <w:szCs w:val="24"/>
          <w:lang w:eastAsia="zh-CN"/>
        </w:rPr>
        <w:t xml:space="preserve"> outcomes data.</w:t>
      </w:r>
      <w:r>
        <w:rPr>
          <w:rFonts w:ascii="Times New Roman" w:eastAsia="SimSun" w:hAnsi="Times New Roman"/>
          <w:szCs w:val="24"/>
          <w:lang w:eastAsia="zh-CN"/>
        </w:rPr>
        <w:t xml:space="preserve"> </w:t>
      </w:r>
      <w:r w:rsidRPr="0093216A">
        <w:rPr>
          <w:rFonts w:ascii="Times New Roman" w:eastAsia="SimSun" w:hAnsi="Times New Roman"/>
          <w:szCs w:val="24"/>
          <w:lang w:eastAsia="zh-CN"/>
        </w:rPr>
        <w:t xml:space="preserve">Identifiers such as name, email address, </w:t>
      </w:r>
      <w:r w:rsidR="00E0521D">
        <w:rPr>
          <w:rFonts w:ascii="Times New Roman" w:eastAsia="SimSun" w:hAnsi="Times New Roman"/>
          <w:szCs w:val="24"/>
          <w:lang w:eastAsia="zh-CN"/>
        </w:rPr>
        <w:t xml:space="preserve">phone number, </w:t>
      </w:r>
      <w:r w:rsidRPr="0093216A">
        <w:rPr>
          <w:rFonts w:ascii="Times New Roman" w:eastAsia="SimSun" w:hAnsi="Times New Roman"/>
          <w:szCs w:val="24"/>
          <w:lang w:eastAsia="zh-CN"/>
        </w:rPr>
        <w:t xml:space="preserve">and </w:t>
      </w:r>
      <w:r>
        <w:rPr>
          <w:rFonts w:ascii="Times New Roman" w:eastAsia="SimSun" w:hAnsi="Times New Roman"/>
          <w:szCs w:val="24"/>
          <w:lang w:eastAsia="zh-CN"/>
        </w:rPr>
        <w:t>organizational role</w:t>
      </w:r>
      <w:r w:rsidRPr="0093216A">
        <w:rPr>
          <w:rFonts w:ascii="Times New Roman" w:eastAsia="SimSun" w:hAnsi="Times New Roman"/>
          <w:szCs w:val="24"/>
          <w:lang w:eastAsia="zh-CN"/>
        </w:rPr>
        <w:t xml:space="preserve"> will be collected </w:t>
      </w:r>
      <w:r w:rsidR="00E0521D">
        <w:rPr>
          <w:rFonts w:ascii="Times New Roman" w:eastAsia="SimSun" w:hAnsi="Times New Roman"/>
          <w:szCs w:val="24"/>
          <w:lang w:eastAsia="zh-CN"/>
        </w:rPr>
        <w:t xml:space="preserve">separately </w:t>
      </w:r>
      <w:r w:rsidRPr="0093216A">
        <w:rPr>
          <w:rFonts w:ascii="Times New Roman" w:eastAsia="SimSun" w:hAnsi="Times New Roman"/>
          <w:szCs w:val="24"/>
          <w:lang w:eastAsia="zh-CN"/>
        </w:rPr>
        <w:t xml:space="preserve">to </w:t>
      </w:r>
      <w:r w:rsidR="002D2332">
        <w:rPr>
          <w:rFonts w:ascii="Times New Roman" w:eastAsia="SimSun" w:hAnsi="Times New Roman"/>
          <w:szCs w:val="24"/>
          <w:lang w:eastAsia="zh-CN"/>
        </w:rPr>
        <w:t xml:space="preserve">help with </w:t>
      </w:r>
      <w:r w:rsidRPr="0093216A">
        <w:rPr>
          <w:rFonts w:ascii="Times New Roman" w:eastAsia="SimSun" w:hAnsi="Times New Roman"/>
          <w:szCs w:val="24"/>
          <w:lang w:eastAsia="zh-CN"/>
        </w:rPr>
        <w:t>survey administration (</w:t>
      </w:r>
      <w:r w:rsidR="002D2332">
        <w:rPr>
          <w:rFonts w:ascii="Times New Roman" w:eastAsia="SimSun" w:hAnsi="Times New Roman"/>
          <w:szCs w:val="24"/>
          <w:lang w:eastAsia="zh-CN"/>
        </w:rPr>
        <w:t>that is</w:t>
      </w:r>
      <w:r w:rsidRPr="0093216A">
        <w:rPr>
          <w:rFonts w:ascii="Times New Roman" w:eastAsia="SimSun" w:hAnsi="Times New Roman"/>
          <w:szCs w:val="24"/>
          <w:lang w:eastAsia="zh-CN"/>
        </w:rPr>
        <w:t xml:space="preserve">, to provide respondents access to the </w:t>
      </w:r>
      <w:r w:rsidRPr="00D6369F" w:rsidR="00D6369F">
        <w:rPr>
          <w:rFonts w:ascii="Times New Roman" w:eastAsia="SimSun" w:hAnsi="Times New Roman"/>
          <w:szCs w:val="24"/>
          <w:lang w:eastAsia="zh-CN"/>
        </w:rPr>
        <w:t>CS-DCP</w:t>
      </w:r>
      <w:r w:rsidRPr="0093216A">
        <w:rPr>
          <w:rFonts w:ascii="Times New Roman" w:eastAsia="SimSun" w:hAnsi="Times New Roman"/>
          <w:szCs w:val="24"/>
          <w:lang w:eastAsia="zh-CN"/>
        </w:rPr>
        <w:t xml:space="preserve">) and to notify respondents of the </w:t>
      </w:r>
      <w:r w:rsidR="0053179B">
        <w:rPr>
          <w:rFonts w:ascii="Times New Roman" w:eastAsia="SimSun" w:hAnsi="Times New Roman"/>
          <w:szCs w:val="24"/>
          <w:lang w:eastAsia="zh-CN"/>
        </w:rPr>
        <w:t>G</w:t>
      </w:r>
      <w:r w:rsidRPr="0093216A">
        <w:rPr>
          <w:rFonts w:ascii="Times New Roman" w:eastAsia="SimSun" w:hAnsi="Times New Roman"/>
          <w:szCs w:val="24"/>
          <w:lang w:eastAsia="zh-CN"/>
        </w:rPr>
        <w:t>rantee-</w:t>
      </w:r>
      <w:r w:rsidR="0053179B">
        <w:rPr>
          <w:rFonts w:ascii="Times New Roman" w:eastAsia="SimSun" w:hAnsi="Times New Roman"/>
          <w:szCs w:val="24"/>
          <w:lang w:eastAsia="zh-CN"/>
        </w:rPr>
        <w:t>L</w:t>
      </w:r>
      <w:r w:rsidRPr="0093216A">
        <w:rPr>
          <w:rFonts w:ascii="Times New Roman" w:eastAsia="SimSun" w:hAnsi="Times New Roman"/>
          <w:szCs w:val="24"/>
          <w:lang w:eastAsia="zh-CN"/>
        </w:rPr>
        <w:t xml:space="preserve">evel </w:t>
      </w:r>
      <w:r w:rsidR="0053179B">
        <w:rPr>
          <w:rFonts w:ascii="Times New Roman" w:eastAsia="SimSun" w:hAnsi="Times New Roman"/>
          <w:szCs w:val="24"/>
          <w:lang w:eastAsia="zh-CN"/>
        </w:rPr>
        <w:t>I</w:t>
      </w:r>
      <w:r w:rsidRPr="0093216A">
        <w:rPr>
          <w:rFonts w:ascii="Times New Roman" w:eastAsia="SimSun" w:hAnsi="Times New Roman"/>
          <w:szCs w:val="24"/>
          <w:lang w:eastAsia="zh-CN"/>
        </w:rPr>
        <w:t>nterviews. Sensitive respondent information, such as birthdates and Social Security numbers, will not be collected</w:t>
      </w:r>
      <w:r>
        <w:rPr>
          <w:rFonts w:ascii="Times New Roman" w:eastAsia="SimSun" w:hAnsi="Times New Roman"/>
          <w:szCs w:val="24"/>
          <w:lang w:eastAsia="zh-CN"/>
        </w:rPr>
        <w:t>.</w:t>
      </w:r>
      <w:r w:rsidRPr="0093216A">
        <w:rPr>
          <w:rFonts w:ascii="Times New Roman" w:eastAsia="SimSun" w:hAnsi="Times New Roman"/>
          <w:szCs w:val="24"/>
          <w:lang w:eastAsia="zh-CN"/>
        </w:rPr>
        <w:t xml:space="preserve"> </w:t>
      </w:r>
      <w:r w:rsidRPr="000655BF">
        <w:rPr>
          <w:rFonts w:ascii="Times New Roman" w:eastAsia="SimSun" w:hAnsi="Times New Roman"/>
          <w:szCs w:val="24"/>
          <w:lang w:eastAsia="zh-CN"/>
        </w:rPr>
        <w:t xml:space="preserve">Individuals and organizations providing information to the </w:t>
      </w:r>
      <w:r w:rsidR="00D00AE7">
        <w:rPr>
          <w:rFonts w:ascii="Times New Roman" w:eastAsia="SimSun" w:hAnsi="Times New Roman"/>
          <w:szCs w:val="24"/>
          <w:lang w:eastAsia="zh-CN"/>
        </w:rPr>
        <w:t>SPF Rx</w:t>
      </w:r>
      <w:r w:rsidRPr="000655BF">
        <w:rPr>
          <w:rFonts w:ascii="Times New Roman" w:eastAsia="SimSun" w:hAnsi="Times New Roman"/>
          <w:szCs w:val="24"/>
          <w:lang w:eastAsia="zh-CN"/>
        </w:rPr>
        <w:t xml:space="preserve"> evaluation will be told </w:t>
      </w:r>
      <w:r w:rsidR="002D2332">
        <w:rPr>
          <w:rFonts w:ascii="Times New Roman" w:eastAsia="SimSun" w:hAnsi="Times New Roman"/>
          <w:szCs w:val="24"/>
          <w:lang w:eastAsia="zh-CN"/>
        </w:rPr>
        <w:t xml:space="preserve">why </w:t>
      </w:r>
      <w:r w:rsidRPr="000655BF">
        <w:rPr>
          <w:rFonts w:ascii="Times New Roman" w:eastAsia="SimSun" w:hAnsi="Times New Roman"/>
          <w:szCs w:val="24"/>
          <w:lang w:eastAsia="zh-CN"/>
        </w:rPr>
        <w:t xml:space="preserve">the information is </w:t>
      </w:r>
      <w:r w:rsidR="002D2332">
        <w:rPr>
          <w:rFonts w:ascii="Times New Roman" w:eastAsia="SimSun" w:hAnsi="Times New Roman"/>
          <w:szCs w:val="24"/>
          <w:lang w:eastAsia="zh-CN"/>
        </w:rPr>
        <w:t xml:space="preserve">being </w:t>
      </w:r>
      <w:r w:rsidRPr="000655BF">
        <w:rPr>
          <w:rFonts w:ascii="Times New Roman" w:eastAsia="SimSun" w:hAnsi="Times New Roman"/>
          <w:szCs w:val="24"/>
          <w:lang w:eastAsia="zh-CN"/>
        </w:rPr>
        <w:t xml:space="preserve">collected and that any identifiable information about them will not be used or disclosed for any other purpose. </w:t>
      </w:r>
      <w:r w:rsidR="002D2332">
        <w:rPr>
          <w:rFonts w:ascii="Times New Roman" w:eastAsia="SimSun" w:hAnsi="Times New Roman"/>
          <w:szCs w:val="24"/>
          <w:lang w:eastAsia="zh-CN"/>
        </w:rPr>
        <w:t>After</w:t>
      </w:r>
      <w:r w:rsidRPr="000655BF">
        <w:rPr>
          <w:rFonts w:ascii="Times New Roman" w:eastAsia="SimSun" w:hAnsi="Times New Roman"/>
          <w:szCs w:val="24"/>
          <w:lang w:eastAsia="zh-CN"/>
        </w:rPr>
        <w:t xml:space="preserve"> data collection is complete, </w:t>
      </w:r>
      <w:r>
        <w:rPr>
          <w:rFonts w:ascii="Times New Roman" w:eastAsia="SimSun" w:hAnsi="Times New Roman"/>
          <w:szCs w:val="24"/>
          <w:lang w:eastAsia="zh-CN"/>
        </w:rPr>
        <w:t xml:space="preserve">any </w:t>
      </w:r>
      <w:r w:rsidRPr="000655BF">
        <w:rPr>
          <w:rFonts w:ascii="Times New Roman" w:eastAsia="SimSun" w:hAnsi="Times New Roman"/>
          <w:szCs w:val="24"/>
          <w:lang w:eastAsia="zh-CN"/>
        </w:rPr>
        <w:t>personal identifiers will be removed from the data and destroyed.</w:t>
      </w:r>
    </w:p>
    <w:p w:rsidR="0093216A" w:rsidP="0093216A" w14:paraId="6FEBCA45" w14:textId="43BBA21E">
      <w:pPr>
        <w:pStyle w:val="L1-FlLSp12"/>
        <w:spacing w:line="240" w:lineRule="auto"/>
        <w:rPr>
          <w:rFonts w:ascii="Times New Roman" w:eastAsia="SimSun" w:hAnsi="Times New Roman"/>
          <w:szCs w:val="24"/>
          <w:lang w:eastAsia="zh-CN"/>
        </w:rPr>
      </w:pPr>
    </w:p>
    <w:p w:rsidR="001775D2" w:rsidP="00887859" w14:paraId="62CB8619" w14:textId="6A07EBB1">
      <w:pPr>
        <w:pStyle w:val="L1-FlLSp12"/>
        <w:spacing w:line="240" w:lineRule="auto"/>
        <w:rPr>
          <w:rFonts w:ascii="Times New Roman" w:hAnsi="Times New Roman"/>
          <w:szCs w:val="24"/>
        </w:rPr>
      </w:pPr>
      <w:r w:rsidRPr="000655BF">
        <w:rPr>
          <w:rFonts w:ascii="Times New Roman" w:hAnsi="Times New Roman"/>
          <w:szCs w:val="24"/>
        </w:rPr>
        <w:t xml:space="preserve">The </w:t>
      </w:r>
      <w:r w:rsidRPr="000655BF" w:rsidR="00843E13">
        <w:rPr>
          <w:rFonts w:ascii="Times New Roman" w:hAnsi="Times New Roman"/>
          <w:szCs w:val="24"/>
        </w:rPr>
        <w:t xml:space="preserve">study </w:t>
      </w:r>
      <w:r w:rsidRPr="000655BF">
        <w:rPr>
          <w:rFonts w:ascii="Times New Roman" w:hAnsi="Times New Roman"/>
          <w:szCs w:val="24"/>
        </w:rPr>
        <w:t>team</w:t>
      </w:r>
      <w:r w:rsidRPr="000655BF" w:rsidR="00843E13">
        <w:rPr>
          <w:rFonts w:ascii="Times New Roman" w:hAnsi="Times New Roman"/>
          <w:szCs w:val="24"/>
        </w:rPr>
        <w:t>s</w:t>
      </w:r>
      <w:r w:rsidRPr="000655BF">
        <w:rPr>
          <w:rFonts w:ascii="Times New Roman" w:hAnsi="Times New Roman"/>
          <w:szCs w:val="24"/>
        </w:rPr>
        <w:t xml:space="preserve"> will safeguard the names of respondents, all information or opinions collected </w:t>
      </w:r>
      <w:r w:rsidRPr="000655BF" w:rsidR="0093216A">
        <w:rPr>
          <w:rFonts w:ascii="Times New Roman" w:hAnsi="Times New Roman"/>
          <w:szCs w:val="24"/>
        </w:rPr>
        <w:t>during</w:t>
      </w:r>
      <w:r w:rsidRPr="000655BF">
        <w:rPr>
          <w:rFonts w:ascii="Times New Roman" w:hAnsi="Times New Roman"/>
          <w:szCs w:val="24"/>
        </w:rPr>
        <w:t xml:space="preserve"> interviews, and any information about respondents learned incidentally during the project.</w:t>
      </w:r>
      <w:r w:rsidR="0093216A">
        <w:rPr>
          <w:rFonts w:ascii="Times New Roman" w:hAnsi="Times New Roman"/>
          <w:szCs w:val="24"/>
        </w:rPr>
        <w:t xml:space="preserve"> </w:t>
      </w:r>
      <w:r>
        <w:rPr>
          <w:rFonts w:ascii="Times New Roman" w:hAnsi="Times New Roman"/>
          <w:szCs w:val="24"/>
        </w:rPr>
        <w:t>T</w:t>
      </w:r>
      <w:r w:rsidRPr="000655BF" w:rsidR="00C77A3D">
        <w:rPr>
          <w:rFonts w:ascii="Times New Roman" w:eastAsia="SimSun" w:hAnsi="Times New Roman"/>
          <w:szCs w:val="24"/>
          <w:lang w:eastAsia="zh-CN"/>
        </w:rPr>
        <w:t xml:space="preserve">he </w:t>
      </w:r>
      <w:r w:rsidR="00D00AE7">
        <w:rPr>
          <w:rFonts w:ascii="Times New Roman" w:eastAsia="SimSun" w:hAnsi="Times New Roman"/>
          <w:szCs w:val="24"/>
          <w:lang w:eastAsia="zh-CN"/>
        </w:rPr>
        <w:t>PEPC</w:t>
      </w:r>
      <w:r>
        <w:rPr>
          <w:rFonts w:ascii="Times New Roman" w:eastAsia="SimSun" w:hAnsi="Times New Roman"/>
          <w:szCs w:val="24"/>
          <w:lang w:eastAsia="zh-CN"/>
        </w:rPr>
        <w:t xml:space="preserve"> </w:t>
      </w:r>
      <w:r w:rsidRPr="000655BF" w:rsidR="00C77A3D">
        <w:rPr>
          <w:rFonts w:ascii="Times New Roman" w:eastAsia="SimSun" w:hAnsi="Times New Roman"/>
          <w:szCs w:val="24"/>
          <w:lang w:eastAsia="zh-CN"/>
        </w:rPr>
        <w:t xml:space="preserve">team is trained </w:t>
      </w:r>
      <w:r w:rsidRPr="000655BF" w:rsidR="00C77A3D">
        <w:rPr>
          <w:rFonts w:ascii="Times New Roman" w:eastAsia="SimSun" w:hAnsi="Times New Roman"/>
          <w:szCs w:val="24"/>
          <w:lang w:eastAsia="zh-CN"/>
        </w:rPr>
        <w:t>on</w:t>
      </w:r>
      <w:r w:rsidRPr="000655BF" w:rsidR="00C77A3D">
        <w:rPr>
          <w:rFonts w:ascii="Times New Roman" w:eastAsia="SimSun" w:hAnsi="Times New Roman"/>
          <w:szCs w:val="24"/>
          <w:lang w:eastAsia="zh-CN"/>
        </w:rPr>
        <w:t xml:space="preserve"> privacy and proper handling </w:t>
      </w:r>
      <w:r w:rsidR="0053179B">
        <w:rPr>
          <w:rFonts w:ascii="Times New Roman" w:eastAsia="SimSun" w:hAnsi="Times New Roman"/>
          <w:szCs w:val="24"/>
          <w:lang w:eastAsia="zh-CN"/>
        </w:rPr>
        <w:t xml:space="preserve">of </w:t>
      </w:r>
      <w:r w:rsidRPr="000655BF" w:rsidR="00C77A3D">
        <w:rPr>
          <w:rFonts w:ascii="Times New Roman" w:eastAsia="SimSun" w:hAnsi="Times New Roman"/>
          <w:szCs w:val="24"/>
          <w:lang w:eastAsia="zh-CN"/>
        </w:rPr>
        <w:t xml:space="preserve">sensitive data. </w:t>
      </w:r>
      <w:r w:rsidRPr="000655BF">
        <w:rPr>
          <w:rFonts w:ascii="Times New Roman" w:hAnsi="Times New Roman"/>
          <w:szCs w:val="24"/>
        </w:rPr>
        <w:t xml:space="preserve">Hard copies of evaluation data and notes containing personal identifiers will be kept in locked containers or a locked room when not </w:t>
      </w:r>
      <w:r w:rsidR="002D2332">
        <w:rPr>
          <w:rFonts w:ascii="Times New Roman" w:hAnsi="Times New Roman"/>
          <w:szCs w:val="24"/>
        </w:rPr>
        <w:t>in</w:t>
      </w:r>
      <w:r w:rsidRPr="000655BF">
        <w:rPr>
          <w:rFonts w:ascii="Times New Roman" w:hAnsi="Times New Roman"/>
          <w:szCs w:val="24"/>
        </w:rPr>
        <w:t xml:space="preserve"> use. </w:t>
      </w:r>
      <w:r w:rsidRPr="000655BF" w:rsidR="000478B8">
        <w:rPr>
          <w:rFonts w:ascii="Times New Roman" w:hAnsi="Times New Roman"/>
          <w:szCs w:val="24"/>
        </w:rPr>
        <w:t xml:space="preserve">Every effort will be </w:t>
      </w:r>
      <w:r w:rsidRPr="000655BF" w:rsidR="000478B8">
        <w:rPr>
          <w:rFonts w:ascii="Times New Roman" w:hAnsi="Times New Roman"/>
          <w:szCs w:val="24"/>
        </w:rPr>
        <w:t>taken</w:t>
      </w:r>
      <w:r w:rsidRPr="000655BF" w:rsidR="000478B8">
        <w:rPr>
          <w:rFonts w:ascii="Times New Roman" w:hAnsi="Times New Roman"/>
          <w:szCs w:val="24"/>
        </w:rPr>
        <w:t xml:space="preserve"> to limit</w:t>
      </w:r>
      <w:r w:rsidRPr="000655BF">
        <w:rPr>
          <w:rFonts w:ascii="Times New Roman" w:hAnsi="Times New Roman"/>
          <w:szCs w:val="24"/>
        </w:rPr>
        <w:t xml:space="preserve"> access to data to only those pe</w:t>
      </w:r>
      <w:r w:rsidR="002D2332">
        <w:rPr>
          <w:rFonts w:ascii="Times New Roman" w:hAnsi="Times New Roman"/>
          <w:szCs w:val="24"/>
        </w:rPr>
        <w:t>ople</w:t>
      </w:r>
      <w:r w:rsidRPr="000655BF">
        <w:rPr>
          <w:rFonts w:ascii="Times New Roman" w:hAnsi="Times New Roman"/>
          <w:szCs w:val="24"/>
        </w:rPr>
        <w:t xml:space="preserve"> who are working on the project and who have been instructed in appropriate </w:t>
      </w:r>
      <w:r w:rsidR="002D2332">
        <w:rPr>
          <w:rFonts w:ascii="Times New Roman" w:hAnsi="Times New Roman"/>
          <w:szCs w:val="24"/>
        </w:rPr>
        <w:t>h</w:t>
      </w:r>
      <w:r w:rsidRPr="000655BF">
        <w:rPr>
          <w:rFonts w:ascii="Times New Roman" w:hAnsi="Times New Roman"/>
          <w:szCs w:val="24"/>
        </w:rPr>
        <w:t xml:space="preserve">uman </w:t>
      </w:r>
      <w:r w:rsidR="002D2332">
        <w:rPr>
          <w:rFonts w:ascii="Times New Roman" w:hAnsi="Times New Roman"/>
          <w:szCs w:val="24"/>
        </w:rPr>
        <w:t>s</w:t>
      </w:r>
      <w:r w:rsidRPr="000655BF">
        <w:rPr>
          <w:rFonts w:ascii="Times New Roman" w:hAnsi="Times New Roman"/>
          <w:szCs w:val="24"/>
        </w:rPr>
        <w:t>ubjects</w:t>
      </w:r>
      <w:r w:rsidRPr="000655BF">
        <w:rPr>
          <w:rFonts w:ascii="Times New Roman" w:hAnsi="Times New Roman"/>
          <w:szCs w:val="24"/>
        </w:rPr>
        <w:t xml:space="preserve"> requirements </w:t>
      </w:r>
      <w:r w:rsidRPr="000655BF" w:rsidR="00843E13">
        <w:rPr>
          <w:rFonts w:ascii="Times New Roman" w:hAnsi="Times New Roman"/>
          <w:szCs w:val="24"/>
        </w:rPr>
        <w:t xml:space="preserve">for the project. </w:t>
      </w:r>
    </w:p>
    <w:p w:rsidR="001775D2" w:rsidP="00887859" w14:paraId="6F196FFC" w14:textId="3DEA0D3C">
      <w:pPr>
        <w:pStyle w:val="L1-FlLSp12"/>
        <w:spacing w:line="240" w:lineRule="auto"/>
        <w:rPr>
          <w:rFonts w:ascii="Times New Roman" w:hAnsi="Times New Roman"/>
          <w:szCs w:val="24"/>
        </w:rPr>
      </w:pPr>
    </w:p>
    <w:p w:rsidR="001775D2" w:rsidP="00887859" w14:paraId="570A85D8" w14:textId="6EBDEB66">
      <w:pPr>
        <w:pStyle w:val="L1-FlLSp12"/>
        <w:spacing w:line="240" w:lineRule="auto"/>
        <w:rPr>
          <w:rFonts w:ascii="Times New Roman" w:hAnsi="Times New Roman"/>
          <w:szCs w:val="24"/>
        </w:rPr>
      </w:pPr>
      <w:r w:rsidRPr="001775D2">
        <w:rPr>
          <w:rFonts w:ascii="Times New Roman" w:hAnsi="Times New Roman"/>
          <w:szCs w:val="24"/>
        </w:rPr>
        <w:t xml:space="preserve">Electronic files and audio files will be accessible only to project staff who have received permission from the </w:t>
      </w:r>
      <w:r w:rsidR="00E0521D">
        <w:rPr>
          <w:rFonts w:ascii="Times New Roman" w:hAnsi="Times New Roman"/>
          <w:szCs w:val="24"/>
        </w:rPr>
        <w:t xml:space="preserve">PEPC </w:t>
      </w:r>
      <w:r w:rsidR="00C41894">
        <w:rPr>
          <w:rFonts w:ascii="Times New Roman" w:hAnsi="Times New Roman"/>
          <w:szCs w:val="24"/>
        </w:rPr>
        <w:t>p</w:t>
      </w:r>
      <w:r w:rsidRPr="001775D2">
        <w:rPr>
          <w:rFonts w:ascii="Times New Roman" w:hAnsi="Times New Roman"/>
          <w:szCs w:val="24"/>
        </w:rPr>
        <w:t xml:space="preserve">roject </w:t>
      </w:r>
      <w:r w:rsidR="00C41894">
        <w:rPr>
          <w:rFonts w:ascii="Times New Roman" w:hAnsi="Times New Roman"/>
          <w:szCs w:val="24"/>
        </w:rPr>
        <w:t>d</w:t>
      </w:r>
      <w:r w:rsidRPr="001775D2">
        <w:rPr>
          <w:rFonts w:ascii="Times New Roman" w:hAnsi="Times New Roman"/>
          <w:szCs w:val="24"/>
        </w:rPr>
        <w:t>irector to access them</w:t>
      </w:r>
      <w:r w:rsidR="0053179B">
        <w:rPr>
          <w:rFonts w:ascii="Times New Roman" w:hAnsi="Times New Roman"/>
          <w:szCs w:val="24"/>
        </w:rPr>
        <w:t>. F</w:t>
      </w:r>
      <w:r w:rsidRPr="001775D2">
        <w:rPr>
          <w:rFonts w:ascii="Times New Roman" w:hAnsi="Times New Roman"/>
          <w:szCs w:val="24"/>
        </w:rPr>
        <w:t xml:space="preserve">iles containing data are stored on a platform requiring password protection and additional authentication </w:t>
      </w:r>
      <w:r w:rsidR="00C41894">
        <w:rPr>
          <w:rFonts w:ascii="Times New Roman" w:hAnsi="Times New Roman"/>
          <w:szCs w:val="24"/>
        </w:rPr>
        <w:t>before</w:t>
      </w:r>
      <w:r w:rsidRPr="001775D2">
        <w:rPr>
          <w:rFonts w:ascii="Times New Roman" w:hAnsi="Times New Roman"/>
          <w:szCs w:val="24"/>
        </w:rPr>
        <w:t xml:space="preserve"> accessing. </w:t>
      </w:r>
      <w:r w:rsidR="00C41894">
        <w:rPr>
          <w:rFonts w:ascii="Times New Roman" w:hAnsi="Times New Roman"/>
          <w:szCs w:val="24"/>
        </w:rPr>
        <w:t>A</w:t>
      </w:r>
      <w:r w:rsidRPr="001775D2" w:rsidR="00C41894">
        <w:rPr>
          <w:rFonts w:ascii="Times New Roman" w:hAnsi="Times New Roman"/>
          <w:szCs w:val="24"/>
        </w:rPr>
        <w:t xml:space="preserve"> hierarchy of user roles</w:t>
      </w:r>
      <w:r w:rsidR="00C41894">
        <w:rPr>
          <w:rFonts w:ascii="Times New Roman" w:hAnsi="Times New Roman"/>
          <w:szCs w:val="24"/>
        </w:rPr>
        <w:t xml:space="preserve"> </w:t>
      </w:r>
      <w:r w:rsidR="00C41894">
        <w:rPr>
          <w:rFonts w:ascii="Times New Roman" w:hAnsi="Times New Roman"/>
          <w:szCs w:val="24"/>
        </w:rPr>
        <w:t>determine</w:t>
      </w:r>
      <w:r w:rsidR="00C41894">
        <w:rPr>
          <w:rFonts w:ascii="Times New Roman" w:hAnsi="Times New Roman"/>
          <w:szCs w:val="24"/>
        </w:rPr>
        <w:t xml:space="preserve"> a</w:t>
      </w:r>
      <w:r w:rsidRPr="001775D2" w:rsidR="00C41894">
        <w:rPr>
          <w:rFonts w:ascii="Times New Roman" w:hAnsi="Times New Roman"/>
          <w:szCs w:val="24"/>
        </w:rPr>
        <w:t xml:space="preserve">ccess </w:t>
      </w:r>
      <w:r w:rsidRPr="001775D2">
        <w:rPr>
          <w:rFonts w:ascii="Times New Roman" w:hAnsi="Times New Roman"/>
          <w:szCs w:val="24"/>
        </w:rPr>
        <w:t xml:space="preserve">to data in the system, with each role conferring only the minimum </w:t>
      </w:r>
      <w:r w:rsidR="0053179B">
        <w:rPr>
          <w:rFonts w:ascii="Times New Roman" w:hAnsi="Times New Roman"/>
          <w:szCs w:val="24"/>
        </w:rPr>
        <w:t xml:space="preserve">level of </w:t>
      </w:r>
      <w:r w:rsidRPr="001775D2">
        <w:rPr>
          <w:rFonts w:ascii="Times New Roman" w:hAnsi="Times New Roman"/>
          <w:szCs w:val="24"/>
        </w:rPr>
        <w:t xml:space="preserve">access to </w:t>
      </w:r>
      <w:r w:rsidR="00C41894">
        <w:rPr>
          <w:rFonts w:ascii="Times New Roman" w:hAnsi="Times New Roman"/>
          <w:szCs w:val="24"/>
        </w:rPr>
        <w:t>the</w:t>
      </w:r>
      <w:r w:rsidRPr="001775D2">
        <w:rPr>
          <w:rFonts w:ascii="Times New Roman" w:hAnsi="Times New Roman"/>
          <w:szCs w:val="24"/>
        </w:rPr>
        <w:t xml:space="preserve"> data needed to perform their specific functions.</w:t>
      </w:r>
      <w:r>
        <w:rPr>
          <w:rFonts w:ascii="Times New Roman" w:hAnsi="Times New Roman"/>
          <w:szCs w:val="24"/>
        </w:rPr>
        <w:t xml:space="preserve"> </w:t>
      </w:r>
      <w:r w:rsidRPr="001775D2">
        <w:rPr>
          <w:rFonts w:ascii="Times New Roman" w:hAnsi="Times New Roman"/>
          <w:szCs w:val="24"/>
        </w:rPr>
        <w:t xml:space="preserve">Access to network-based data files will be controlled </w:t>
      </w:r>
      <w:r w:rsidRPr="001775D2" w:rsidR="00E0521D">
        <w:rPr>
          <w:rFonts w:ascii="Times New Roman" w:hAnsi="Times New Roman"/>
          <w:szCs w:val="24"/>
        </w:rPr>
        <w:t>using</w:t>
      </w:r>
      <w:r w:rsidRPr="001775D2">
        <w:rPr>
          <w:rFonts w:ascii="Times New Roman" w:hAnsi="Times New Roman"/>
          <w:szCs w:val="24"/>
        </w:rPr>
        <w:t xml:space="preserve"> </w:t>
      </w:r>
      <w:r w:rsidR="00C41894">
        <w:rPr>
          <w:rFonts w:ascii="Times New Roman" w:hAnsi="Times New Roman"/>
          <w:szCs w:val="24"/>
        </w:rPr>
        <w:t>a</w:t>
      </w:r>
      <w:r w:rsidRPr="001775D2">
        <w:rPr>
          <w:rFonts w:ascii="Times New Roman" w:hAnsi="Times New Roman"/>
          <w:szCs w:val="24"/>
        </w:rPr>
        <w:t xml:space="preserve">ccess </w:t>
      </w:r>
      <w:r w:rsidR="00C41894">
        <w:rPr>
          <w:rFonts w:ascii="Times New Roman" w:hAnsi="Times New Roman"/>
          <w:szCs w:val="24"/>
        </w:rPr>
        <w:t>c</w:t>
      </w:r>
      <w:r w:rsidRPr="001775D2">
        <w:rPr>
          <w:rFonts w:ascii="Times New Roman" w:hAnsi="Times New Roman"/>
          <w:szCs w:val="24"/>
        </w:rPr>
        <w:t xml:space="preserve">ontrol </w:t>
      </w:r>
      <w:r w:rsidR="00C41894">
        <w:rPr>
          <w:rFonts w:ascii="Times New Roman" w:hAnsi="Times New Roman"/>
          <w:szCs w:val="24"/>
        </w:rPr>
        <w:t>l</w:t>
      </w:r>
      <w:r w:rsidRPr="001775D2">
        <w:rPr>
          <w:rFonts w:ascii="Times New Roman" w:hAnsi="Times New Roman"/>
          <w:szCs w:val="24"/>
        </w:rPr>
        <w:t xml:space="preserve">ists or directory- and file-access rights based on user account ID and the associated user group designation. Staff will be instructed on the proper storage, transfer, and use of sensitive information and </w:t>
      </w:r>
      <w:r w:rsidR="0053179B">
        <w:rPr>
          <w:rFonts w:ascii="Times New Roman" w:hAnsi="Times New Roman"/>
          <w:szCs w:val="24"/>
        </w:rPr>
        <w:t>available</w:t>
      </w:r>
      <w:r w:rsidRPr="001775D2">
        <w:rPr>
          <w:rFonts w:ascii="Times New Roman" w:hAnsi="Times New Roman"/>
          <w:szCs w:val="24"/>
        </w:rPr>
        <w:t xml:space="preserve"> tools </w:t>
      </w:r>
      <w:r w:rsidR="0053179B">
        <w:rPr>
          <w:rFonts w:ascii="Times New Roman" w:hAnsi="Times New Roman"/>
          <w:szCs w:val="24"/>
        </w:rPr>
        <w:t>(</w:t>
      </w:r>
      <w:r w:rsidR="00C41894">
        <w:rPr>
          <w:rFonts w:ascii="Times New Roman" w:hAnsi="Times New Roman"/>
          <w:szCs w:val="24"/>
        </w:rPr>
        <w:t>for example</w:t>
      </w:r>
      <w:r w:rsidR="0053179B">
        <w:rPr>
          <w:rFonts w:ascii="Times New Roman" w:hAnsi="Times New Roman"/>
          <w:szCs w:val="24"/>
        </w:rPr>
        <w:t xml:space="preserve">, </w:t>
      </w:r>
      <w:r w:rsidRPr="001775D2">
        <w:rPr>
          <w:rFonts w:ascii="Times New Roman" w:hAnsi="Times New Roman"/>
          <w:szCs w:val="24"/>
        </w:rPr>
        <w:t>encryption</w:t>
      </w:r>
      <w:r w:rsidR="0053179B">
        <w:rPr>
          <w:rFonts w:ascii="Times New Roman" w:hAnsi="Times New Roman"/>
          <w:szCs w:val="24"/>
        </w:rPr>
        <w:t>)</w:t>
      </w:r>
      <w:r w:rsidRPr="001775D2">
        <w:rPr>
          <w:rFonts w:ascii="Times New Roman" w:hAnsi="Times New Roman"/>
          <w:szCs w:val="24"/>
        </w:rPr>
        <w:t>.</w:t>
      </w:r>
      <w:r w:rsidRPr="001775D2">
        <w:t xml:space="preserve"> </w:t>
      </w:r>
      <w:r w:rsidRPr="001775D2">
        <w:rPr>
          <w:rFonts w:ascii="Times New Roman" w:hAnsi="Times New Roman"/>
          <w:szCs w:val="24"/>
        </w:rPr>
        <w:t xml:space="preserve">The </w:t>
      </w:r>
      <w:r w:rsidR="00D00AE7">
        <w:rPr>
          <w:rFonts w:ascii="Times New Roman" w:hAnsi="Times New Roman"/>
          <w:szCs w:val="24"/>
        </w:rPr>
        <w:t>PEPC</w:t>
      </w:r>
      <w:r w:rsidRPr="001775D2">
        <w:rPr>
          <w:rFonts w:ascii="Times New Roman" w:hAnsi="Times New Roman"/>
          <w:szCs w:val="24"/>
        </w:rPr>
        <w:t xml:space="preserve"> team takes responsibility for ensuring that the web and data systems are properly maintained, monitored, and secured. Server staff will follow standard procedures for applying security patches and conducting routine maintenance for system updates. </w:t>
      </w:r>
    </w:p>
    <w:p w:rsidR="001775D2" w:rsidP="00887859" w14:paraId="363F295D" w14:textId="77777777">
      <w:pPr>
        <w:pStyle w:val="L1-FlLSp12"/>
        <w:spacing w:line="240" w:lineRule="auto"/>
        <w:rPr>
          <w:rFonts w:ascii="Times New Roman" w:hAnsi="Times New Roman"/>
          <w:szCs w:val="24"/>
        </w:rPr>
      </w:pPr>
    </w:p>
    <w:p w:rsidR="00D54A71" w:rsidRPr="000655BF" w:rsidP="00887859" w14:paraId="4A0E40F3" w14:textId="194D43B0">
      <w:pPr>
        <w:pStyle w:val="L1-FlLSp12"/>
        <w:spacing w:line="240" w:lineRule="auto"/>
        <w:rPr>
          <w:rFonts w:ascii="Times New Roman" w:hAnsi="Times New Roman"/>
          <w:szCs w:val="24"/>
        </w:rPr>
      </w:pPr>
      <w:r w:rsidRPr="000655BF">
        <w:rPr>
          <w:rFonts w:ascii="Times New Roman" w:hAnsi="Times New Roman"/>
          <w:szCs w:val="24"/>
        </w:rPr>
        <w:t xml:space="preserve">All </w:t>
      </w:r>
      <w:r w:rsidRPr="000655BF">
        <w:rPr>
          <w:rFonts w:ascii="Times New Roman" w:hAnsi="Times New Roman"/>
          <w:szCs w:val="24"/>
        </w:rPr>
        <w:t xml:space="preserve">data, notes, recordings, </w:t>
      </w:r>
      <w:r w:rsidR="00C41894">
        <w:rPr>
          <w:rFonts w:ascii="Times New Roman" w:hAnsi="Times New Roman"/>
          <w:szCs w:val="24"/>
        </w:rPr>
        <w:t>and so on</w:t>
      </w:r>
      <w:r w:rsidRPr="000655BF">
        <w:rPr>
          <w:rFonts w:ascii="Times New Roman" w:hAnsi="Times New Roman"/>
          <w:szCs w:val="24"/>
        </w:rPr>
        <w:t xml:space="preserve"> will be provided to SAMHSA at least 30 days </w:t>
      </w:r>
      <w:r w:rsidR="00C41894">
        <w:rPr>
          <w:rFonts w:ascii="Times New Roman" w:hAnsi="Times New Roman"/>
          <w:szCs w:val="24"/>
        </w:rPr>
        <w:t>before the</w:t>
      </w:r>
      <w:r w:rsidRPr="000655BF">
        <w:rPr>
          <w:rFonts w:ascii="Times New Roman" w:hAnsi="Times New Roman"/>
          <w:szCs w:val="24"/>
        </w:rPr>
        <w:t xml:space="preserve"> contract end date. SAMHSA will ensure documentation of </w:t>
      </w:r>
      <w:r w:rsidR="001775D2">
        <w:rPr>
          <w:rFonts w:ascii="Times New Roman" w:hAnsi="Times New Roman"/>
          <w:szCs w:val="24"/>
        </w:rPr>
        <w:t xml:space="preserve">data </w:t>
      </w:r>
      <w:r w:rsidRPr="000655BF">
        <w:rPr>
          <w:rFonts w:ascii="Times New Roman" w:hAnsi="Times New Roman"/>
          <w:szCs w:val="24"/>
        </w:rPr>
        <w:t xml:space="preserve">destruction is completed by the contractor </w:t>
      </w:r>
      <w:r w:rsidR="00C41894">
        <w:rPr>
          <w:rFonts w:ascii="Times New Roman" w:hAnsi="Times New Roman"/>
          <w:szCs w:val="24"/>
        </w:rPr>
        <w:t>after</w:t>
      </w:r>
      <w:r w:rsidRPr="000655BF">
        <w:rPr>
          <w:rFonts w:ascii="Times New Roman" w:hAnsi="Times New Roman"/>
          <w:szCs w:val="24"/>
        </w:rPr>
        <w:t xml:space="preserve"> all information and data </w:t>
      </w:r>
      <w:r w:rsidR="00C41894">
        <w:rPr>
          <w:rFonts w:ascii="Times New Roman" w:hAnsi="Times New Roman"/>
          <w:szCs w:val="24"/>
        </w:rPr>
        <w:t>are</w:t>
      </w:r>
      <w:r w:rsidRPr="000655BF">
        <w:rPr>
          <w:rFonts w:ascii="Times New Roman" w:hAnsi="Times New Roman"/>
          <w:szCs w:val="24"/>
        </w:rPr>
        <w:t xml:space="preserve"> provided to SAMHSA. </w:t>
      </w:r>
    </w:p>
    <w:p w:rsidR="00D54A71" w:rsidRPr="000655BF" w14:paraId="5C137B3F" w14:textId="77777777">
      <w:pPr>
        <w:pStyle w:val="L1-FlLSp12"/>
        <w:spacing w:line="240" w:lineRule="auto"/>
        <w:rPr>
          <w:rFonts w:ascii="Times New Roman" w:eastAsia="SimSun" w:hAnsi="Times New Roman"/>
          <w:szCs w:val="24"/>
          <w:lang w:eastAsia="zh-CN"/>
        </w:rPr>
      </w:pPr>
    </w:p>
    <w:p w:rsidR="00D54A71" w:rsidRPr="000655BF" w:rsidP="728C4DB3" w14:paraId="726C0064" w14:textId="337DD4AE">
      <w:pPr>
        <w:pStyle w:val="L1-FlLSp12"/>
        <w:spacing w:line="240" w:lineRule="auto"/>
        <w:rPr>
          <w:rFonts w:ascii="Times New Roman" w:eastAsia="SimSun" w:hAnsi="Times New Roman"/>
          <w:lang w:eastAsia="zh-CN"/>
        </w:rPr>
      </w:pPr>
      <w:r w:rsidRPr="728C4DB3">
        <w:rPr>
          <w:rFonts w:ascii="Times New Roman" w:eastAsia="SimSun" w:hAnsi="Times New Roman"/>
          <w:lang w:eastAsia="zh-CN"/>
        </w:rPr>
        <w:t xml:space="preserve">The </w:t>
      </w:r>
      <w:r w:rsidR="004902CA">
        <w:rPr>
          <w:rFonts w:ascii="Times New Roman" w:eastAsia="SimSun" w:hAnsi="Times New Roman"/>
          <w:lang w:eastAsia="zh-CN"/>
        </w:rPr>
        <w:t>PEPC</w:t>
      </w:r>
      <w:r w:rsidRPr="728C4DB3">
        <w:rPr>
          <w:rFonts w:ascii="Times New Roman" w:eastAsia="SimSun" w:hAnsi="Times New Roman"/>
          <w:lang w:eastAsia="zh-CN"/>
        </w:rPr>
        <w:t xml:space="preserve"> cross-site evaluation study </w:t>
      </w:r>
      <w:r w:rsidR="00D33ED8">
        <w:rPr>
          <w:rFonts w:ascii="Times New Roman" w:eastAsia="SimSun" w:hAnsi="Times New Roman"/>
          <w:lang w:eastAsia="zh-CN"/>
        </w:rPr>
        <w:t>will be</w:t>
      </w:r>
      <w:r w:rsidRPr="728C4DB3" w:rsidR="00D33ED8">
        <w:rPr>
          <w:rFonts w:ascii="Times New Roman" w:eastAsia="SimSun" w:hAnsi="Times New Roman"/>
          <w:lang w:eastAsia="zh-CN"/>
        </w:rPr>
        <w:t xml:space="preserve"> </w:t>
      </w:r>
      <w:r w:rsidRPr="728C4DB3">
        <w:rPr>
          <w:rFonts w:ascii="Times New Roman" w:eastAsia="SimSun" w:hAnsi="Times New Roman"/>
          <w:lang w:eastAsia="zh-CN"/>
        </w:rPr>
        <w:t xml:space="preserve">presented to the </w:t>
      </w:r>
      <w:r w:rsidRPr="728C4DB3" w:rsidR="00D00AE7">
        <w:rPr>
          <w:rFonts w:ascii="Times New Roman" w:eastAsia="SimSun" w:hAnsi="Times New Roman"/>
          <w:lang w:eastAsia="zh-CN"/>
        </w:rPr>
        <w:t>PEPC</w:t>
      </w:r>
      <w:r w:rsidRPr="728C4DB3" w:rsidR="00D557A2">
        <w:rPr>
          <w:rFonts w:ascii="Times New Roman" w:eastAsia="SimSun" w:hAnsi="Times New Roman"/>
          <w:lang w:eastAsia="zh-CN"/>
        </w:rPr>
        <w:t xml:space="preserve"> </w:t>
      </w:r>
      <w:r w:rsidRPr="728C4DB3">
        <w:rPr>
          <w:rFonts w:ascii="Times New Roman" w:eastAsia="SimSun" w:hAnsi="Times New Roman"/>
          <w:lang w:eastAsia="zh-CN"/>
        </w:rPr>
        <w:t xml:space="preserve">contractor’s </w:t>
      </w:r>
      <w:r w:rsidR="00C41894">
        <w:rPr>
          <w:rFonts w:ascii="Times New Roman" w:eastAsia="SimSun" w:hAnsi="Times New Roman"/>
          <w:lang w:eastAsia="zh-CN"/>
        </w:rPr>
        <w:t>i</w:t>
      </w:r>
      <w:r w:rsidRPr="728C4DB3">
        <w:rPr>
          <w:rFonts w:ascii="Times New Roman" w:eastAsia="SimSun" w:hAnsi="Times New Roman"/>
          <w:lang w:eastAsia="zh-CN"/>
        </w:rPr>
        <w:t xml:space="preserve">nstitutional </w:t>
      </w:r>
      <w:r w:rsidR="00C41894">
        <w:rPr>
          <w:rFonts w:ascii="Times New Roman" w:eastAsia="SimSun" w:hAnsi="Times New Roman"/>
          <w:lang w:eastAsia="zh-CN"/>
        </w:rPr>
        <w:t>r</w:t>
      </w:r>
      <w:r w:rsidRPr="728C4DB3">
        <w:rPr>
          <w:rFonts w:ascii="Times New Roman" w:eastAsia="SimSun" w:hAnsi="Times New Roman"/>
          <w:lang w:eastAsia="zh-CN"/>
        </w:rPr>
        <w:t xml:space="preserve">eview </w:t>
      </w:r>
      <w:r w:rsidR="00C41894">
        <w:rPr>
          <w:rFonts w:ascii="Times New Roman" w:eastAsia="SimSun" w:hAnsi="Times New Roman"/>
          <w:lang w:eastAsia="zh-CN"/>
        </w:rPr>
        <w:t>b</w:t>
      </w:r>
      <w:r w:rsidRPr="728C4DB3">
        <w:rPr>
          <w:rFonts w:ascii="Times New Roman" w:eastAsia="SimSun" w:hAnsi="Times New Roman"/>
          <w:lang w:eastAsia="zh-CN"/>
        </w:rPr>
        <w:t>oard</w:t>
      </w:r>
      <w:r w:rsidR="00D33ED8">
        <w:rPr>
          <w:rFonts w:ascii="Times New Roman" w:eastAsia="SimSun" w:hAnsi="Times New Roman"/>
          <w:lang w:eastAsia="zh-CN"/>
        </w:rPr>
        <w:t xml:space="preserve"> for approval. If</w:t>
      </w:r>
      <w:r w:rsidRPr="728C4DB3">
        <w:rPr>
          <w:rFonts w:ascii="Times New Roman" w:eastAsia="SimSun" w:hAnsi="Times New Roman"/>
          <w:lang w:eastAsia="zh-CN"/>
        </w:rPr>
        <w:t xml:space="preserve"> any of the protocols are changed in the future, </w:t>
      </w:r>
      <w:r w:rsidR="00D33ED8">
        <w:rPr>
          <w:rFonts w:ascii="Times New Roman" w:eastAsia="SimSun" w:hAnsi="Times New Roman"/>
          <w:lang w:eastAsia="zh-CN"/>
        </w:rPr>
        <w:t xml:space="preserve">including as a result of review by the Office of Management and Budget, </w:t>
      </w:r>
      <w:r w:rsidRPr="728C4DB3">
        <w:rPr>
          <w:rFonts w:ascii="Times New Roman" w:eastAsia="SimSun" w:hAnsi="Times New Roman"/>
          <w:lang w:eastAsia="zh-CN"/>
        </w:rPr>
        <w:t xml:space="preserve">the study will be resubmitted to determine whether further </w:t>
      </w:r>
      <w:r w:rsidR="00C41894">
        <w:rPr>
          <w:rFonts w:ascii="Times New Roman" w:eastAsia="SimSun" w:hAnsi="Times New Roman"/>
          <w:lang w:eastAsia="zh-CN"/>
        </w:rPr>
        <w:t>review by the institutional review board</w:t>
      </w:r>
      <w:r w:rsidRPr="728C4DB3">
        <w:rPr>
          <w:rFonts w:ascii="Times New Roman" w:eastAsia="SimSun" w:hAnsi="Times New Roman"/>
          <w:lang w:eastAsia="zh-CN"/>
        </w:rPr>
        <w:t xml:space="preserve"> is required.</w:t>
      </w:r>
    </w:p>
    <w:p w:rsidR="001F1A1D" w:rsidRPr="000655BF" w:rsidP="002A1583" w14:paraId="3457FABC" w14:textId="77777777">
      <w:pPr>
        <w:pStyle w:val="Heading2"/>
      </w:pPr>
      <w:r w:rsidRPr="000655BF">
        <w:t>A.11</w:t>
      </w:r>
      <w:r w:rsidRPr="000655BF" w:rsidR="00C6777E">
        <w:t>.</w:t>
      </w:r>
      <w:r w:rsidRPr="000655BF">
        <w:tab/>
        <w:t xml:space="preserve">Questions </w:t>
      </w:r>
      <w:r w:rsidRPr="000655BF">
        <w:t>of</w:t>
      </w:r>
      <w:r w:rsidRPr="000655BF">
        <w:t xml:space="preserve"> </w:t>
      </w:r>
      <w:r w:rsidRPr="000655BF">
        <w:t>a Sensitive</w:t>
      </w:r>
      <w:r w:rsidRPr="000655BF">
        <w:t xml:space="preserve"> Nature</w:t>
      </w:r>
    </w:p>
    <w:p w:rsidR="001F1A1D" w:rsidRPr="000655BF" w14:paraId="2E3AC242" w14:textId="2794E994">
      <w:pPr>
        <w:pStyle w:val="BodyText"/>
        <w:rPr>
          <w:sz w:val="24"/>
          <w:szCs w:val="24"/>
        </w:rPr>
      </w:pPr>
      <w:r w:rsidRPr="000655BF">
        <w:rPr>
          <w:sz w:val="24"/>
          <w:szCs w:val="24"/>
        </w:rPr>
        <w:t xml:space="preserve">The information respondents </w:t>
      </w:r>
      <w:r w:rsidR="00BE0E14">
        <w:rPr>
          <w:sz w:val="24"/>
          <w:szCs w:val="24"/>
        </w:rPr>
        <w:t>reported in</w:t>
      </w:r>
      <w:r w:rsidRPr="000655BF" w:rsidR="00BE0E14">
        <w:rPr>
          <w:sz w:val="24"/>
          <w:szCs w:val="24"/>
        </w:rPr>
        <w:t xml:space="preserve"> </w:t>
      </w:r>
      <w:r w:rsidRPr="000655BF" w:rsidR="00F116A0">
        <w:rPr>
          <w:sz w:val="24"/>
          <w:szCs w:val="24"/>
        </w:rPr>
        <w:t xml:space="preserve">the </w:t>
      </w:r>
      <w:r w:rsidR="006F763A">
        <w:rPr>
          <w:sz w:val="24"/>
          <w:szCs w:val="24"/>
        </w:rPr>
        <w:t>PEPC evaluation</w:t>
      </w:r>
      <w:r w:rsidRPr="000655BF">
        <w:rPr>
          <w:sz w:val="24"/>
          <w:szCs w:val="24"/>
        </w:rPr>
        <w:t xml:space="preserve"> do</w:t>
      </w:r>
      <w:r w:rsidRPr="000655BF" w:rsidR="00C54FC7">
        <w:rPr>
          <w:sz w:val="24"/>
          <w:szCs w:val="24"/>
        </w:rPr>
        <w:t>es</w:t>
      </w:r>
      <w:r w:rsidRPr="000655BF">
        <w:rPr>
          <w:sz w:val="24"/>
          <w:szCs w:val="24"/>
        </w:rPr>
        <w:t xml:space="preserve"> not ask for sensitive personal information</w:t>
      </w:r>
      <w:r w:rsidRPr="000655BF" w:rsidR="000E36B4">
        <w:rPr>
          <w:sz w:val="24"/>
          <w:szCs w:val="24"/>
        </w:rPr>
        <w:t xml:space="preserve"> or </w:t>
      </w:r>
      <w:r w:rsidRPr="000655BF" w:rsidR="00D272BB">
        <w:rPr>
          <w:sz w:val="24"/>
          <w:szCs w:val="24"/>
        </w:rPr>
        <w:t xml:space="preserve">include </w:t>
      </w:r>
      <w:r w:rsidRPr="000655BF" w:rsidR="000E36B4">
        <w:rPr>
          <w:sz w:val="24"/>
          <w:szCs w:val="24"/>
        </w:rPr>
        <w:t>questions of a sensitive nature.</w:t>
      </w:r>
      <w:r w:rsidRPr="000655BF">
        <w:rPr>
          <w:sz w:val="24"/>
          <w:szCs w:val="24"/>
        </w:rPr>
        <w:t xml:space="preserve"> The focus of the</w:t>
      </w:r>
      <w:r w:rsidRPr="000655BF" w:rsidR="00F116A0">
        <w:rPr>
          <w:sz w:val="24"/>
          <w:szCs w:val="24"/>
        </w:rPr>
        <w:t xml:space="preserve"> </w:t>
      </w:r>
      <w:r w:rsidR="006F763A">
        <w:rPr>
          <w:sz w:val="24"/>
          <w:szCs w:val="24"/>
        </w:rPr>
        <w:t>PEPC</w:t>
      </w:r>
      <w:r w:rsidRPr="000655BF">
        <w:rPr>
          <w:sz w:val="24"/>
          <w:szCs w:val="24"/>
        </w:rPr>
        <w:t xml:space="preserve"> data collection is on the programmatic characteristics of the </w:t>
      </w:r>
      <w:r w:rsidR="00D00AE7">
        <w:rPr>
          <w:sz w:val="24"/>
          <w:szCs w:val="24"/>
        </w:rPr>
        <w:t>SPF Rx</w:t>
      </w:r>
      <w:r w:rsidRPr="000655BF">
        <w:rPr>
          <w:sz w:val="24"/>
          <w:szCs w:val="24"/>
        </w:rPr>
        <w:t xml:space="preserve"> grantees and subrecipient</w:t>
      </w:r>
      <w:r w:rsidR="001222FC">
        <w:rPr>
          <w:sz w:val="24"/>
          <w:szCs w:val="24"/>
        </w:rPr>
        <w:t>s</w:t>
      </w:r>
      <w:r w:rsidRPr="000655BF">
        <w:rPr>
          <w:sz w:val="24"/>
          <w:szCs w:val="24"/>
        </w:rPr>
        <w:t xml:space="preserve">. </w:t>
      </w:r>
      <w:r w:rsidRPr="000655BF">
        <w:rPr>
          <w:sz w:val="24"/>
          <w:szCs w:val="24"/>
        </w:rPr>
        <w:t>Grantee</w:t>
      </w:r>
      <w:r w:rsidRPr="000655BF">
        <w:rPr>
          <w:sz w:val="24"/>
          <w:szCs w:val="24"/>
        </w:rPr>
        <w:t xml:space="preserve"> staff provide information about their organizations and </w:t>
      </w:r>
      <w:r w:rsidR="00D00AE7">
        <w:rPr>
          <w:sz w:val="24"/>
          <w:szCs w:val="24"/>
        </w:rPr>
        <w:t>SPF Rx</w:t>
      </w:r>
      <w:r w:rsidRPr="000655BF">
        <w:rPr>
          <w:sz w:val="24"/>
          <w:szCs w:val="24"/>
        </w:rPr>
        <w:t xml:space="preserve"> activities rather than information about themselves. </w:t>
      </w:r>
    </w:p>
    <w:p w:rsidR="00040BDC" w:rsidRPr="000655BF" w:rsidP="002A1583" w14:paraId="1F3B2E27" w14:textId="77777777">
      <w:pPr>
        <w:pStyle w:val="Heading2"/>
      </w:pPr>
      <w:r w:rsidRPr="000655BF">
        <w:t>A.12.</w:t>
      </w:r>
      <w:r w:rsidRPr="000655BF">
        <w:tab/>
        <w:t>Estimates of Annualized Hour Burden</w:t>
      </w:r>
    </w:p>
    <w:p w:rsidR="00E32793" w:rsidRPr="000655BF" w:rsidP="002A0237" w14:paraId="3C664F48" w14:textId="3873C755">
      <w:pPr>
        <w:rPr>
          <w:szCs w:val="24"/>
          <w:lang w:eastAsia="en-US"/>
        </w:rPr>
      </w:pPr>
      <w:r w:rsidRPr="000655BF">
        <w:rPr>
          <w:szCs w:val="24"/>
          <w:lang w:eastAsia="en-US"/>
        </w:rPr>
        <w:t xml:space="preserve">This section provides </w:t>
      </w:r>
      <w:r w:rsidRPr="000655BF" w:rsidR="00A83037">
        <w:rPr>
          <w:szCs w:val="24"/>
          <w:lang w:eastAsia="en-US"/>
        </w:rPr>
        <w:t xml:space="preserve">annualized and total </w:t>
      </w:r>
      <w:r w:rsidRPr="000655BF">
        <w:rPr>
          <w:szCs w:val="24"/>
          <w:lang w:eastAsia="en-US"/>
        </w:rPr>
        <w:t xml:space="preserve">burden estimates for each </w:t>
      </w:r>
      <w:r w:rsidR="00D00AE7">
        <w:rPr>
          <w:szCs w:val="24"/>
          <w:lang w:eastAsia="en-US"/>
        </w:rPr>
        <w:t>SPF Rx</w:t>
      </w:r>
      <w:r w:rsidRPr="000655BF">
        <w:rPr>
          <w:szCs w:val="24"/>
          <w:lang w:eastAsia="en-US"/>
        </w:rPr>
        <w:t xml:space="preserve"> instrument included in th</w:t>
      </w:r>
      <w:r w:rsidR="00BE0E14">
        <w:rPr>
          <w:szCs w:val="24"/>
          <w:lang w:eastAsia="en-US"/>
        </w:rPr>
        <w:t>e</w:t>
      </w:r>
      <w:r w:rsidRPr="000655BF">
        <w:rPr>
          <w:szCs w:val="24"/>
          <w:lang w:eastAsia="en-US"/>
        </w:rPr>
        <w:t xml:space="preserve"> OMB </w:t>
      </w:r>
      <w:r w:rsidR="00DE501A">
        <w:rPr>
          <w:szCs w:val="24"/>
          <w:lang w:eastAsia="en-US"/>
        </w:rPr>
        <w:t>package</w:t>
      </w:r>
      <w:r w:rsidRPr="000655BF">
        <w:rPr>
          <w:szCs w:val="24"/>
          <w:lang w:eastAsia="en-US"/>
        </w:rPr>
        <w:t xml:space="preserve">. The total burden for this entire OMB </w:t>
      </w:r>
      <w:r w:rsidR="00DE501A">
        <w:rPr>
          <w:szCs w:val="24"/>
          <w:lang w:eastAsia="en-US"/>
        </w:rPr>
        <w:t>package</w:t>
      </w:r>
      <w:r w:rsidRPr="000655BF" w:rsidR="00DE501A">
        <w:rPr>
          <w:szCs w:val="24"/>
          <w:lang w:eastAsia="en-US"/>
        </w:rPr>
        <w:t xml:space="preserve"> </w:t>
      </w:r>
      <w:r w:rsidRPr="000655BF">
        <w:rPr>
          <w:szCs w:val="24"/>
          <w:lang w:eastAsia="en-US"/>
        </w:rPr>
        <w:t xml:space="preserve">is </w:t>
      </w:r>
      <w:r w:rsidR="00C34AAC">
        <w:rPr>
          <w:szCs w:val="24"/>
        </w:rPr>
        <w:t>1,226.50</w:t>
      </w:r>
      <w:r w:rsidRPr="00E04617" w:rsidR="0098537F">
        <w:rPr>
          <w:szCs w:val="24"/>
        </w:rPr>
        <w:t xml:space="preserve"> </w:t>
      </w:r>
      <w:r w:rsidRPr="00E04617">
        <w:rPr>
          <w:szCs w:val="24"/>
          <w:lang w:eastAsia="en-US"/>
        </w:rPr>
        <w:t xml:space="preserve">hours and </w:t>
      </w:r>
      <w:r w:rsidRPr="00E04617" w:rsidR="00E04617">
        <w:rPr>
          <w:szCs w:val="24"/>
        </w:rPr>
        <w:t>$</w:t>
      </w:r>
      <w:r w:rsidR="00C34AAC">
        <w:rPr>
          <w:szCs w:val="24"/>
        </w:rPr>
        <w:t>52,567.46</w:t>
      </w:r>
      <w:r w:rsidR="00516E52">
        <w:rPr>
          <w:szCs w:val="24"/>
        </w:rPr>
        <w:t xml:space="preserve"> over </w:t>
      </w:r>
      <w:r w:rsidR="00C34AAC">
        <w:rPr>
          <w:szCs w:val="24"/>
        </w:rPr>
        <w:t xml:space="preserve">three </w:t>
      </w:r>
      <w:r w:rsidR="00516E52">
        <w:rPr>
          <w:szCs w:val="24"/>
        </w:rPr>
        <w:t>years</w:t>
      </w:r>
      <w:r w:rsidR="00BE0E14">
        <w:rPr>
          <w:szCs w:val="24"/>
          <w:lang w:eastAsia="en-US"/>
        </w:rPr>
        <w:t xml:space="preserve"> (</w:t>
      </w:r>
      <w:r w:rsidRPr="00E04617">
        <w:rPr>
          <w:szCs w:val="24"/>
          <w:lang w:eastAsia="en-US"/>
        </w:rPr>
        <w:t xml:space="preserve">Exhibit </w:t>
      </w:r>
      <w:r w:rsidR="00E2473B">
        <w:rPr>
          <w:szCs w:val="24"/>
          <w:lang w:eastAsia="en-US"/>
        </w:rPr>
        <w:t>4</w:t>
      </w:r>
      <w:r w:rsidR="00BE0E14">
        <w:rPr>
          <w:szCs w:val="24"/>
          <w:lang w:eastAsia="en-US"/>
        </w:rPr>
        <w:t>)</w:t>
      </w:r>
      <w:r w:rsidRPr="00E04617" w:rsidR="00416B41">
        <w:rPr>
          <w:szCs w:val="24"/>
          <w:lang w:eastAsia="en-US"/>
        </w:rPr>
        <w:t>.</w:t>
      </w:r>
      <w:r w:rsidRPr="00E04617" w:rsidR="00B311FE">
        <w:rPr>
          <w:szCs w:val="24"/>
          <w:lang w:eastAsia="en-US"/>
        </w:rPr>
        <w:t xml:space="preserve"> The average annualized burden for this OMB </w:t>
      </w:r>
      <w:r w:rsidRPr="00E04617" w:rsidR="00DE501A">
        <w:rPr>
          <w:szCs w:val="24"/>
          <w:lang w:eastAsia="en-US"/>
        </w:rPr>
        <w:t>package</w:t>
      </w:r>
      <w:r w:rsidRPr="00E04617" w:rsidR="00B311FE">
        <w:rPr>
          <w:szCs w:val="24"/>
          <w:lang w:eastAsia="en-US"/>
        </w:rPr>
        <w:t xml:space="preserve"> is </w:t>
      </w:r>
      <w:r w:rsidR="000D18E0">
        <w:rPr>
          <w:szCs w:val="24"/>
          <w:lang w:eastAsia="en-US"/>
        </w:rPr>
        <w:t>409.17</w:t>
      </w:r>
      <w:r w:rsidRPr="00E04617" w:rsidR="00B311FE">
        <w:rPr>
          <w:szCs w:val="24"/>
          <w:lang w:eastAsia="en-US"/>
        </w:rPr>
        <w:t xml:space="preserve"> hours and </w:t>
      </w:r>
      <w:r w:rsidRPr="00E04617" w:rsidR="00E04617">
        <w:rPr>
          <w:szCs w:val="24"/>
          <w:lang w:eastAsia="en-US"/>
        </w:rPr>
        <w:t>$</w:t>
      </w:r>
      <w:r w:rsidR="000D18E0">
        <w:rPr>
          <w:szCs w:val="24"/>
          <w:lang w:eastAsia="en-US"/>
        </w:rPr>
        <w:t>17,522.49</w:t>
      </w:r>
      <w:r w:rsidR="00BE0E14">
        <w:rPr>
          <w:szCs w:val="24"/>
          <w:lang w:eastAsia="en-US"/>
        </w:rPr>
        <w:t xml:space="preserve"> (</w:t>
      </w:r>
      <w:r w:rsidRPr="00E04617" w:rsidR="00B311FE">
        <w:rPr>
          <w:szCs w:val="24"/>
          <w:lang w:eastAsia="en-US"/>
        </w:rPr>
        <w:t xml:space="preserve">Exhibit </w:t>
      </w:r>
      <w:r w:rsidR="002C0099">
        <w:rPr>
          <w:szCs w:val="24"/>
          <w:lang w:eastAsia="en-US"/>
        </w:rPr>
        <w:t>9</w:t>
      </w:r>
      <w:r w:rsidR="00BE0E14">
        <w:rPr>
          <w:szCs w:val="24"/>
          <w:lang w:eastAsia="en-US"/>
        </w:rPr>
        <w:t>)</w:t>
      </w:r>
      <w:r w:rsidRPr="00E04617" w:rsidR="00B311FE">
        <w:rPr>
          <w:szCs w:val="24"/>
          <w:lang w:eastAsia="en-US"/>
        </w:rPr>
        <w:t>.</w:t>
      </w:r>
      <w:r w:rsidRPr="00E04617" w:rsidR="00A24911">
        <w:rPr>
          <w:szCs w:val="24"/>
          <w:lang w:eastAsia="en-US"/>
        </w:rPr>
        <w:t xml:space="preserve">  </w:t>
      </w:r>
    </w:p>
    <w:p w:rsidR="00816C0B" w14:paraId="3D0BB08D" w14:textId="5BA8C50A">
      <w:pPr>
        <w:suppressAutoHyphens w:val="0"/>
        <w:rPr>
          <w:b/>
          <w:szCs w:val="24"/>
          <w:lang w:eastAsia="en-US"/>
        </w:rPr>
      </w:pPr>
    </w:p>
    <w:p w:rsidR="00E32793" w:rsidRPr="000655BF" w:rsidP="00816C0B" w14:paraId="59BF3086" w14:textId="7F6AD6EC">
      <w:pPr>
        <w:spacing w:before="240"/>
        <w:rPr>
          <w:b/>
          <w:szCs w:val="24"/>
          <w:lang w:eastAsia="en-US"/>
        </w:rPr>
      </w:pPr>
      <w:r w:rsidRPr="000655BF">
        <w:rPr>
          <w:b/>
          <w:szCs w:val="24"/>
          <w:lang w:eastAsia="en-US"/>
        </w:rPr>
        <w:t xml:space="preserve">Exhibit </w:t>
      </w:r>
      <w:r w:rsidR="00E2473B">
        <w:rPr>
          <w:b/>
          <w:szCs w:val="24"/>
          <w:lang w:eastAsia="en-US"/>
        </w:rPr>
        <w:t>4</w:t>
      </w:r>
      <w:r w:rsidRPr="000655BF">
        <w:rPr>
          <w:b/>
          <w:szCs w:val="24"/>
          <w:lang w:eastAsia="en-US"/>
        </w:rPr>
        <w:t xml:space="preserve">. </w:t>
      </w:r>
      <w:r w:rsidRPr="000655BF" w:rsidR="0051644E">
        <w:rPr>
          <w:b/>
          <w:szCs w:val="24"/>
          <w:lang w:eastAsia="en-US"/>
        </w:rPr>
        <w:t xml:space="preserve">Total </w:t>
      </w:r>
      <w:r w:rsidR="00B429E2">
        <w:rPr>
          <w:b/>
          <w:szCs w:val="24"/>
          <w:lang w:eastAsia="en-US"/>
        </w:rPr>
        <w:t xml:space="preserve">Data </w:t>
      </w:r>
      <w:r w:rsidR="00CF4704">
        <w:rPr>
          <w:b/>
          <w:szCs w:val="24"/>
          <w:lang w:eastAsia="en-US"/>
        </w:rPr>
        <w:t>C</w:t>
      </w:r>
      <w:r w:rsidR="00B429E2">
        <w:rPr>
          <w:b/>
          <w:szCs w:val="24"/>
          <w:lang w:eastAsia="en-US"/>
        </w:rPr>
        <w:t>ollection</w:t>
      </w:r>
      <w:r w:rsidRPr="000655BF" w:rsidR="0051644E">
        <w:rPr>
          <w:b/>
          <w:szCs w:val="24"/>
          <w:lang w:eastAsia="en-US"/>
        </w:rPr>
        <w:t xml:space="preserve"> Burden</w:t>
      </w:r>
      <w:r w:rsidR="006722FA">
        <w:rPr>
          <w:b/>
          <w:szCs w:val="24"/>
          <w:lang w:eastAsia="en-US"/>
        </w:rPr>
        <w:t xml:space="preserve"> for </w:t>
      </w:r>
      <w:r w:rsidR="00E72BF6">
        <w:rPr>
          <w:b/>
          <w:szCs w:val="24"/>
          <w:lang w:eastAsia="en-US"/>
        </w:rPr>
        <w:t>PEPC</w:t>
      </w:r>
      <w:r w:rsidRPr="006722FA" w:rsidR="006722FA">
        <w:rPr>
          <w:b/>
          <w:szCs w:val="24"/>
          <w:lang w:eastAsia="en-US"/>
        </w:rPr>
        <w:t xml:space="preserve"> </w:t>
      </w:r>
      <w:r w:rsidR="006722FA">
        <w:rPr>
          <w:b/>
          <w:szCs w:val="24"/>
          <w:lang w:eastAsia="en-US"/>
        </w:rPr>
        <w:t>Evaluation</w:t>
      </w:r>
    </w:p>
    <w:p w:rsidR="002A0237" w:rsidRPr="000655BF" w:rsidP="002A0237" w14:paraId="16B570BB" w14:textId="77777777">
      <w:pPr>
        <w:rPr>
          <w:b/>
          <w:szCs w:val="24"/>
          <w:lang w:eastAsia="en-US"/>
        </w:rPr>
      </w:pPr>
    </w:p>
    <w:tbl>
      <w:tblPr>
        <w:tblW w:w="744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132"/>
        <w:gridCol w:w="1710"/>
        <w:gridCol w:w="1620"/>
        <w:gridCol w:w="1980"/>
      </w:tblGrid>
      <w:tr w14:paraId="7E5FFD7F" w14:textId="77777777" w:rsidTr="00887BF3">
        <w:tblPrEx>
          <w:tblW w:w="7442"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231"/>
        </w:trPr>
        <w:tc>
          <w:tcPr>
            <w:tcW w:w="2132"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E26F25" w14:paraId="49B26690" w14:textId="77777777">
            <w:pPr>
              <w:keepNext/>
              <w:keepLines/>
              <w:rPr>
                <w:b/>
                <w:szCs w:val="24"/>
              </w:rPr>
            </w:pPr>
            <w:r w:rsidRPr="000655BF">
              <w:rPr>
                <w:b/>
                <w:szCs w:val="24"/>
              </w:rPr>
              <w:t>Study</w:t>
            </w:r>
          </w:p>
        </w:tc>
        <w:tc>
          <w:tcPr>
            <w:tcW w:w="171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E26F25" w14:paraId="793A6AF1"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Total Responses</w:t>
            </w:r>
          </w:p>
        </w:tc>
        <w:tc>
          <w:tcPr>
            <w:tcW w:w="162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E26F25" w14:paraId="5125A466" w14:textId="4CB2D0EF">
            <w:pPr>
              <w:keepNext/>
              <w:keepLines/>
              <w:jc w:val="center"/>
              <w:rPr>
                <w:b/>
                <w:szCs w:val="24"/>
              </w:rPr>
            </w:pPr>
            <w:r w:rsidRPr="000655BF">
              <w:rPr>
                <w:b/>
                <w:szCs w:val="24"/>
              </w:rPr>
              <w:t>Total Burden Hours</w:t>
            </w:r>
          </w:p>
        </w:tc>
        <w:tc>
          <w:tcPr>
            <w:tcW w:w="198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E26F25" w14:paraId="2C20B8D8" w14:textId="68AFD910">
            <w:pPr>
              <w:keepNext/>
              <w:keepLines/>
              <w:jc w:val="center"/>
              <w:rPr>
                <w:b/>
                <w:szCs w:val="24"/>
              </w:rPr>
            </w:pPr>
            <w:r w:rsidRPr="000655BF">
              <w:rPr>
                <w:b/>
                <w:szCs w:val="24"/>
              </w:rPr>
              <w:t xml:space="preserve">Total Wage </w:t>
            </w:r>
            <w:r w:rsidRPr="000655BF">
              <w:rPr>
                <w:b/>
                <w:szCs w:val="24"/>
              </w:rPr>
              <w:t>Cost</w:t>
            </w:r>
            <w:r w:rsidRPr="000655BF" w:rsidR="004052C1">
              <w:rPr>
                <w:b/>
                <w:szCs w:val="24"/>
                <w:vertAlign w:val="superscript"/>
              </w:rPr>
              <w:t>a</w:t>
            </w:r>
            <w:r w:rsidR="004052C1">
              <w:rPr>
                <w:b/>
                <w:szCs w:val="24"/>
                <w:vertAlign w:val="superscript"/>
              </w:rPr>
              <w:t>,</w:t>
            </w:r>
            <w:r w:rsidRPr="000655BF">
              <w:rPr>
                <w:b/>
                <w:szCs w:val="24"/>
                <w:vertAlign w:val="superscript"/>
              </w:rPr>
              <w:t>b</w:t>
            </w:r>
          </w:p>
        </w:tc>
      </w:tr>
      <w:tr w14:paraId="56C8408F" w14:textId="77777777" w:rsidTr="0062547E">
        <w:tblPrEx>
          <w:tblW w:w="7442" w:type="dxa"/>
          <w:tblInd w:w="-72" w:type="dxa"/>
          <w:tblLayout w:type="fixed"/>
          <w:tblCellMar>
            <w:left w:w="0" w:type="dxa"/>
            <w:right w:w="0" w:type="dxa"/>
          </w:tblCellMar>
          <w:tblLook w:val="04A0"/>
        </w:tblPrEx>
        <w:trPr>
          <w:trHeight w:val="691"/>
        </w:trPr>
        <w:tc>
          <w:tcPr>
            <w:tcW w:w="2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14E7B" w:rsidRPr="006722FA" w:rsidP="0078323D" w14:paraId="438CF8D5" w14:textId="5B7C8FBF">
            <w:pPr>
              <w:keepNext/>
              <w:keepLines/>
              <w:jc w:val="center"/>
              <w:rPr>
                <w:szCs w:val="24"/>
              </w:rPr>
            </w:pPr>
            <w:r>
              <w:rPr>
                <w:szCs w:val="24"/>
              </w:rPr>
              <w:t>PEPC</w:t>
            </w:r>
            <w:r w:rsidRPr="006722FA">
              <w:rPr>
                <w:szCs w:val="24"/>
              </w:rPr>
              <w:t xml:space="preserve"> </w:t>
            </w:r>
            <w:r w:rsidR="00752360">
              <w:rPr>
                <w:szCs w:val="24"/>
              </w:rPr>
              <w:t>Evaluation</w:t>
            </w:r>
            <w:r w:rsidRPr="006722FA" w:rsidR="006722FA">
              <w:rPr>
                <w:szCs w:val="24"/>
              </w:rPr>
              <w:t xml:space="preserve"> </w:t>
            </w:r>
            <w:r w:rsidRPr="006722FA">
              <w:rPr>
                <w:szCs w:val="24"/>
              </w:rPr>
              <w:t>Total</w:t>
            </w:r>
          </w:p>
        </w:tc>
        <w:tc>
          <w:tcPr>
            <w:tcW w:w="1710" w:type="dxa"/>
            <w:tcBorders>
              <w:top w:val="single" w:sz="8" w:space="0" w:color="auto"/>
              <w:left w:val="single" w:sz="8" w:space="0" w:color="auto"/>
              <w:bottom w:val="single" w:sz="8" w:space="0" w:color="auto"/>
              <w:right w:val="single" w:sz="8" w:space="0" w:color="auto"/>
            </w:tcBorders>
            <w:vAlign w:val="center"/>
          </w:tcPr>
          <w:p w:rsidR="00A14E7B" w:rsidRPr="006722FA" w:rsidP="0078323D" w14:paraId="4418821F" w14:textId="0AB2D7CF">
            <w:pPr>
              <w:pStyle w:val="HTMLPreformatted"/>
              <w:keepNext/>
              <w:keepLines/>
              <w:jc w:val="center"/>
              <w:rPr>
                <w:rFonts w:ascii="Times New Roman" w:hAnsi="Times New Roman" w:cs="Times New Roman"/>
                <w:sz w:val="24"/>
                <w:szCs w:val="24"/>
              </w:rPr>
            </w:pPr>
            <w:r>
              <w:rPr>
                <w:rFonts w:ascii="Times New Roman" w:hAnsi="Times New Roman" w:cs="Times New Roman"/>
                <w:iCs/>
                <w:color w:val="000000"/>
                <w:sz w:val="24"/>
                <w:szCs w:val="24"/>
              </w:rPr>
              <w:t>830</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4E7B" w:rsidRPr="006722FA" w:rsidP="0078323D" w14:paraId="7B44A877" w14:textId="69E86142">
            <w:pPr>
              <w:keepNext/>
              <w:keepLines/>
              <w:jc w:val="center"/>
              <w:rPr>
                <w:szCs w:val="24"/>
              </w:rPr>
            </w:pPr>
            <w:r>
              <w:rPr>
                <w:color w:val="000000"/>
              </w:rPr>
              <w:t>1,226.50</w:t>
            </w:r>
          </w:p>
        </w:tc>
        <w:tc>
          <w:tcPr>
            <w:tcW w:w="1980" w:type="dxa"/>
            <w:tcBorders>
              <w:top w:val="single" w:sz="8" w:space="0" w:color="auto"/>
              <w:left w:val="single" w:sz="8" w:space="0" w:color="auto"/>
              <w:bottom w:val="single" w:sz="8" w:space="0" w:color="auto"/>
              <w:right w:val="single" w:sz="8" w:space="0" w:color="auto"/>
            </w:tcBorders>
            <w:vAlign w:val="center"/>
          </w:tcPr>
          <w:p w:rsidR="00A14E7B" w:rsidRPr="006722FA" w:rsidP="00B311FE" w14:paraId="13FFC8D5" w14:textId="44E758FF">
            <w:pPr>
              <w:keepNext/>
              <w:keepLines/>
              <w:jc w:val="center"/>
              <w:rPr>
                <w:szCs w:val="24"/>
              </w:rPr>
            </w:pPr>
            <w:r>
              <w:rPr>
                <w:color w:val="000000"/>
              </w:rPr>
              <w:t>$52,567.46</w:t>
            </w:r>
          </w:p>
        </w:tc>
      </w:tr>
    </w:tbl>
    <w:p w:rsidR="00C52E4B" w:rsidRPr="00816C0B" w:rsidP="00C52E4B" w14:paraId="54A61539" w14:textId="3CC1790D">
      <w:pPr>
        <w:pStyle w:val="ExhibitNote1"/>
        <w:rPr>
          <w:rFonts w:cs="Times New Roman"/>
          <w:i/>
        </w:rPr>
      </w:pPr>
      <w:r w:rsidRPr="00816C0B">
        <w:rPr>
          <w:rFonts w:cs="Times New Roman"/>
          <w:i/>
          <w:vertAlign w:val="superscript"/>
        </w:rPr>
        <w:t>a</w:t>
      </w:r>
      <w:r w:rsidRPr="00816C0B">
        <w:rPr>
          <w:rFonts w:cs="Times New Roman"/>
          <w:i/>
          <w:vertAlign w:val="superscript"/>
        </w:rPr>
        <w:t xml:space="preserve"> </w:t>
      </w:r>
      <w:r w:rsidRPr="00816C0B" w:rsidR="002F7184">
        <w:rPr>
          <w:rFonts w:cs="Times New Roman"/>
          <w:b/>
          <w:i/>
        </w:rPr>
        <w:t xml:space="preserve">Total </w:t>
      </w:r>
      <w:r w:rsidR="004052C1">
        <w:rPr>
          <w:rFonts w:cs="Times New Roman"/>
          <w:b/>
          <w:i/>
        </w:rPr>
        <w:t>wage cost</w:t>
      </w:r>
      <w:r w:rsidRPr="00816C0B" w:rsidR="002F7184">
        <w:rPr>
          <w:rFonts w:cs="Times New Roman"/>
          <w:b/>
          <w:i/>
        </w:rPr>
        <w:t xml:space="preserve"> includes </w:t>
      </w:r>
      <w:r w:rsidR="005A43D6">
        <w:rPr>
          <w:rFonts w:cs="Times New Roman"/>
          <w:b/>
          <w:i/>
        </w:rPr>
        <w:t>the hourly wage of the grantee project director</w:t>
      </w:r>
      <w:r w:rsidRPr="00816C0B">
        <w:rPr>
          <w:rFonts w:cs="Times New Roman"/>
          <w:b/>
          <w:i/>
        </w:rPr>
        <w:t xml:space="preserve"> or </w:t>
      </w:r>
      <w:r w:rsidR="005A43D6">
        <w:rPr>
          <w:rFonts w:cs="Times New Roman"/>
          <w:b/>
          <w:i/>
        </w:rPr>
        <w:t>e</w:t>
      </w:r>
      <w:r w:rsidRPr="00816C0B">
        <w:rPr>
          <w:rFonts w:cs="Times New Roman"/>
          <w:b/>
          <w:i/>
        </w:rPr>
        <w:t xml:space="preserve">valuator </w:t>
      </w:r>
      <w:r w:rsidRPr="00816C0B" w:rsidR="002F7184">
        <w:rPr>
          <w:rFonts w:cs="Times New Roman"/>
          <w:b/>
          <w:i/>
        </w:rPr>
        <w:t>and</w:t>
      </w:r>
      <w:r w:rsidR="005A43D6">
        <w:rPr>
          <w:rFonts w:cs="Times New Roman"/>
          <w:b/>
          <w:i/>
        </w:rPr>
        <w:t xml:space="preserve"> those of</w:t>
      </w:r>
      <w:r w:rsidRPr="00816C0B" w:rsidR="002F7184">
        <w:rPr>
          <w:rFonts w:cs="Times New Roman"/>
          <w:b/>
          <w:i/>
        </w:rPr>
        <w:t xml:space="preserve"> </w:t>
      </w:r>
      <w:r w:rsidR="005A43D6">
        <w:rPr>
          <w:rFonts w:cs="Times New Roman"/>
          <w:b/>
          <w:i/>
        </w:rPr>
        <w:t>the s</w:t>
      </w:r>
      <w:r w:rsidRPr="00816C0B" w:rsidR="005A43D6">
        <w:rPr>
          <w:rFonts w:cs="Times New Roman"/>
          <w:b/>
          <w:i/>
        </w:rPr>
        <w:t xml:space="preserve">ubrecipient </w:t>
      </w:r>
      <w:r w:rsidR="005A43D6">
        <w:rPr>
          <w:rFonts w:cs="Times New Roman"/>
          <w:b/>
          <w:i/>
        </w:rPr>
        <w:t>s</w:t>
      </w:r>
      <w:r w:rsidRPr="00816C0B" w:rsidR="005A43D6">
        <w:rPr>
          <w:rFonts w:cs="Times New Roman"/>
          <w:b/>
          <w:i/>
        </w:rPr>
        <w:t>taff</w:t>
      </w:r>
      <w:r w:rsidRPr="00816C0B" w:rsidR="002F7184">
        <w:rPr>
          <w:rFonts w:cs="Times New Roman"/>
          <w:b/>
          <w:i/>
        </w:rPr>
        <w:t xml:space="preserve">. </w:t>
      </w:r>
      <w:bookmarkStart w:id="10" w:name="_Hlk192232038"/>
      <w:r w:rsidRPr="00816C0B" w:rsidR="002F7184">
        <w:rPr>
          <w:rFonts w:cs="Times New Roman"/>
          <w:b/>
          <w:i/>
        </w:rPr>
        <w:t xml:space="preserve">The </w:t>
      </w:r>
      <w:r w:rsidR="005A43D6">
        <w:rPr>
          <w:rFonts w:cs="Times New Roman"/>
          <w:b/>
          <w:i/>
        </w:rPr>
        <w:t>g</w:t>
      </w:r>
      <w:r w:rsidRPr="00816C0B" w:rsidR="002F7184">
        <w:rPr>
          <w:rFonts w:cs="Times New Roman"/>
          <w:b/>
          <w:i/>
        </w:rPr>
        <w:t xml:space="preserve">rantee </w:t>
      </w:r>
      <w:r w:rsidR="005A43D6">
        <w:rPr>
          <w:rFonts w:cs="Times New Roman"/>
          <w:b/>
          <w:i/>
        </w:rPr>
        <w:t>project director</w:t>
      </w:r>
      <w:r w:rsidRPr="00816C0B" w:rsidR="002F7184">
        <w:rPr>
          <w:rFonts w:cs="Times New Roman"/>
          <w:b/>
          <w:i/>
        </w:rPr>
        <w:t xml:space="preserve"> or </w:t>
      </w:r>
      <w:r w:rsidR="005A43D6">
        <w:rPr>
          <w:rFonts w:cs="Times New Roman"/>
          <w:b/>
          <w:i/>
        </w:rPr>
        <w:t>e</w:t>
      </w:r>
      <w:r w:rsidRPr="00816C0B" w:rsidR="002F7184">
        <w:rPr>
          <w:rFonts w:cs="Times New Roman"/>
          <w:b/>
          <w:i/>
        </w:rPr>
        <w:t>valuator hourly wage</w:t>
      </w:r>
      <w:r w:rsidRPr="00816C0B">
        <w:rPr>
          <w:rFonts w:cs="Times New Roman"/>
          <w:i/>
        </w:rPr>
        <w:t xml:space="preserve"> is based on the mean hourly wage for state government managers as reported in the </w:t>
      </w:r>
      <w:r w:rsidRPr="00816C0B" w:rsidR="00752360">
        <w:rPr>
          <w:rFonts w:cs="Times New Roman"/>
          <w:i/>
        </w:rPr>
        <w:t>20</w:t>
      </w:r>
      <w:r w:rsidR="00752360">
        <w:rPr>
          <w:rFonts w:cs="Times New Roman"/>
          <w:i/>
        </w:rPr>
        <w:t>23</w:t>
      </w:r>
      <w:r w:rsidRPr="00816C0B" w:rsidR="00752360">
        <w:rPr>
          <w:rFonts w:cs="Times New Roman"/>
          <w:i/>
        </w:rPr>
        <w:t xml:space="preserve"> </w:t>
      </w:r>
      <w:r w:rsidRPr="00816C0B">
        <w:rPr>
          <w:rFonts w:cs="Times New Roman"/>
          <w:i/>
        </w:rPr>
        <w:t xml:space="preserve">Occupational Employment </w:t>
      </w:r>
      <w:r w:rsidR="005A43D6">
        <w:rPr>
          <w:rFonts w:cs="Times New Roman"/>
          <w:i/>
        </w:rPr>
        <w:t>and Wage Statistics report from</w:t>
      </w:r>
      <w:r w:rsidRPr="00816C0B" w:rsidR="005A43D6">
        <w:rPr>
          <w:rFonts w:cs="Times New Roman"/>
          <w:i/>
        </w:rPr>
        <w:t xml:space="preserve"> </w:t>
      </w:r>
      <w:r w:rsidRPr="00816C0B">
        <w:rPr>
          <w:rFonts w:cs="Times New Roman"/>
          <w:i/>
        </w:rPr>
        <w:t xml:space="preserve">the Bureau of Labor Statistics </w:t>
      </w:r>
      <w:r w:rsidR="005A43D6">
        <w:rPr>
          <w:rFonts w:cs="Times New Roman"/>
          <w:i/>
        </w:rPr>
        <w:t>available</w:t>
      </w:r>
      <w:r w:rsidRPr="00816C0B" w:rsidR="005A43D6">
        <w:rPr>
          <w:rFonts w:cs="Times New Roman"/>
          <w:i/>
        </w:rPr>
        <w:t xml:space="preserve"> </w:t>
      </w:r>
      <w:r w:rsidRPr="00816C0B">
        <w:rPr>
          <w:rFonts w:cs="Times New Roman"/>
          <w:i/>
        </w:rPr>
        <w:t xml:space="preserve">at </w:t>
      </w:r>
      <w:hyperlink r:id="rId12" w:anchor="11-00000" w:history="1">
        <w:r w:rsidRPr="006700BF" w:rsidR="008722EA">
          <w:rPr>
            <w:rStyle w:val="Hyperlink"/>
            <w:rFonts w:cs="Times New Roman"/>
            <w:i/>
          </w:rPr>
          <w:t>https://www.bls.gov/oes/current/naics4_999200.htm#11-00000</w:t>
        </w:r>
      </w:hyperlink>
      <w:r w:rsidRPr="00816C0B" w:rsidR="002F7184">
        <w:rPr>
          <w:rFonts w:cs="Times New Roman"/>
          <w:i/>
        </w:rPr>
        <w:t xml:space="preserve">. </w:t>
      </w:r>
      <w:r w:rsidRPr="00816C0B">
        <w:rPr>
          <w:rFonts w:cs="Times New Roman"/>
          <w:b/>
          <w:i/>
        </w:rPr>
        <w:t xml:space="preserve">Subrecipient </w:t>
      </w:r>
      <w:r w:rsidR="005A43D6">
        <w:rPr>
          <w:rFonts w:cs="Times New Roman"/>
          <w:b/>
          <w:i/>
        </w:rPr>
        <w:t>s</w:t>
      </w:r>
      <w:r w:rsidRPr="00816C0B">
        <w:rPr>
          <w:rFonts w:cs="Times New Roman"/>
          <w:b/>
          <w:i/>
        </w:rPr>
        <w:t>taff hourly wage</w:t>
      </w:r>
      <w:r w:rsidRPr="00816C0B">
        <w:rPr>
          <w:rFonts w:cs="Times New Roman"/>
          <w:i/>
        </w:rPr>
        <w:t xml:space="preserve"> is based on the mean hourly wage for local government counselors, social workers, and other community and social service specialists as reported in the </w:t>
      </w:r>
      <w:r w:rsidR="005A43D6">
        <w:rPr>
          <w:rFonts w:cs="Times New Roman"/>
          <w:i/>
        </w:rPr>
        <w:t>same report</w:t>
      </w:r>
      <w:r w:rsidRPr="00816C0B" w:rsidR="005A43D6">
        <w:rPr>
          <w:rFonts w:cs="Times New Roman"/>
          <w:i/>
        </w:rPr>
        <w:t xml:space="preserve"> </w:t>
      </w:r>
      <w:r w:rsidR="005A43D6">
        <w:rPr>
          <w:rFonts w:cs="Times New Roman"/>
          <w:i/>
        </w:rPr>
        <w:t>available</w:t>
      </w:r>
      <w:r w:rsidRPr="00816C0B" w:rsidR="005A43D6">
        <w:rPr>
          <w:rFonts w:cs="Times New Roman"/>
          <w:i/>
        </w:rPr>
        <w:t xml:space="preserve"> </w:t>
      </w:r>
      <w:r w:rsidRPr="00816C0B">
        <w:rPr>
          <w:rFonts w:cs="Times New Roman"/>
          <w:i/>
        </w:rPr>
        <w:t xml:space="preserve">at </w:t>
      </w:r>
      <w:r w:rsidRPr="0053179B" w:rsidR="0053179B">
        <w:rPr>
          <w:rFonts w:cs="Times New Roman"/>
          <w:i/>
        </w:rPr>
        <w:t>https://www.bls.gov/oes/current/naics4_999300.htm</w:t>
      </w:r>
      <w:r w:rsidRPr="00816C0B">
        <w:rPr>
          <w:rFonts w:cs="Times New Roman"/>
          <w:i/>
        </w:rPr>
        <w:t>.</w:t>
      </w:r>
    </w:p>
    <w:bookmarkEnd w:id="10"/>
    <w:p w:rsidR="00C52E4B" w:rsidRPr="00816C0B" w:rsidP="00C52E4B" w14:paraId="0288FFEE" w14:textId="56EE6FB8">
      <w:pPr>
        <w:pStyle w:val="ExhibitNote1"/>
        <w:rPr>
          <w:rFonts w:cs="Times New Roman"/>
          <w:i/>
        </w:rPr>
      </w:pPr>
      <w:r w:rsidRPr="00816C0B">
        <w:rPr>
          <w:rFonts w:cs="Times New Roman"/>
          <w:b/>
          <w:i/>
          <w:vertAlign w:val="superscript"/>
        </w:rPr>
        <w:t xml:space="preserve">b </w:t>
      </w:r>
      <w:r w:rsidRPr="00816C0B">
        <w:rPr>
          <w:rFonts w:cs="Times New Roman"/>
          <w:b/>
          <w:bCs/>
          <w:i/>
        </w:rPr>
        <w:t xml:space="preserve">Total </w:t>
      </w:r>
      <w:r w:rsidRPr="00816C0B">
        <w:rPr>
          <w:rFonts w:cs="Times New Roman"/>
          <w:b/>
          <w:bCs/>
          <w:i/>
        </w:rPr>
        <w:t>wage</w:t>
      </w:r>
      <w:r w:rsidRPr="00816C0B">
        <w:rPr>
          <w:rFonts w:cs="Times New Roman"/>
          <w:b/>
          <w:bCs/>
          <w:i/>
        </w:rPr>
        <w:t xml:space="preserve"> cost</w:t>
      </w:r>
      <w:r w:rsidRPr="00816C0B">
        <w:rPr>
          <w:rFonts w:cs="Times New Roman"/>
          <w:i/>
        </w:rPr>
        <w:t xml:space="preserve"> is calculated as total burden </w:t>
      </w:r>
      <w:r w:rsidRPr="00816C0B">
        <w:rPr>
          <w:rFonts w:cs="Times New Roman"/>
          <w:i/>
        </w:rPr>
        <w:t>hours × average hourly wage</w:t>
      </w:r>
      <w:r w:rsidRPr="00816C0B">
        <w:rPr>
          <w:rFonts w:cs="Times New Roman"/>
          <w:i/>
        </w:rPr>
        <w:t xml:space="preserve"> by staff type</w:t>
      </w:r>
      <w:r w:rsidRPr="00816C0B">
        <w:rPr>
          <w:rFonts w:cs="Times New Roman"/>
          <w:i/>
        </w:rPr>
        <w:t>.</w:t>
      </w:r>
    </w:p>
    <w:p w:rsidR="00A10E67" w:rsidP="00672EC4" w14:paraId="0BBC9A0F" w14:textId="77777777">
      <w:pPr>
        <w:pStyle w:val="BodyText"/>
        <w:rPr>
          <w:sz w:val="24"/>
          <w:szCs w:val="24"/>
        </w:rPr>
      </w:pPr>
    </w:p>
    <w:p w:rsidR="00672EC4" w:rsidRPr="000655BF" w:rsidP="00672EC4" w14:paraId="14E864D9" w14:textId="50DEBB19">
      <w:pPr>
        <w:pStyle w:val="BodyText"/>
        <w:rPr>
          <w:sz w:val="24"/>
          <w:szCs w:val="24"/>
        </w:rPr>
      </w:pPr>
      <w:r w:rsidRPr="1E6DD8C4">
        <w:rPr>
          <w:sz w:val="24"/>
          <w:szCs w:val="24"/>
        </w:rPr>
        <w:t>For</w:t>
      </w:r>
      <w:r w:rsidRPr="1E6DD8C4" w:rsidR="00D84F0C">
        <w:rPr>
          <w:sz w:val="24"/>
          <w:szCs w:val="24"/>
        </w:rPr>
        <w:t xml:space="preserve"> </w:t>
      </w:r>
      <w:r w:rsidRPr="1E6DD8C4" w:rsidR="008E6DE9">
        <w:rPr>
          <w:sz w:val="24"/>
          <w:szCs w:val="24"/>
        </w:rPr>
        <w:t>the</w:t>
      </w:r>
      <w:r w:rsidRPr="1E6DD8C4" w:rsidR="00D84F0C">
        <w:rPr>
          <w:sz w:val="24"/>
          <w:szCs w:val="24"/>
        </w:rPr>
        <w:t xml:space="preserve"> </w:t>
      </w:r>
      <w:r w:rsidR="005A43D6">
        <w:rPr>
          <w:sz w:val="24"/>
          <w:szCs w:val="24"/>
        </w:rPr>
        <w:t>four</w:t>
      </w:r>
      <w:r w:rsidRPr="1E6DD8C4" w:rsidR="002D7FA2">
        <w:rPr>
          <w:sz w:val="24"/>
          <w:szCs w:val="24"/>
        </w:rPr>
        <w:t xml:space="preserve"> </w:t>
      </w:r>
      <w:r w:rsidRPr="1E6DD8C4" w:rsidR="008E6DE9">
        <w:rPr>
          <w:sz w:val="24"/>
          <w:szCs w:val="24"/>
        </w:rPr>
        <w:t>years</w:t>
      </w:r>
      <w:r w:rsidRPr="1E6DD8C4" w:rsidR="00D84F0C">
        <w:rPr>
          <w:sz w:val="24"/>
          <w:szCs w:val="24"/>
        </w:rPr>
        <w:t xml:space="preserve"> of the</w:t>
      </w:r>
      <w:r w:rsidRPr="1E6DD8C4">
        <w:rPr>
          <w:sz w:val="24"/>
          <w:szCs w:val="24"/>
        </w:rPr>
        <w:t xml:space="preserve"> </w:t>
      </w:r>
      <w:r w:rsidR="00752360">
        <w:rPr>
          <w:sz w:val="24"/>
          <w:szCs w:val="24"/>
        </w:rPr>
        <w:t xml:space="preserve">PEPC </w:t>
      </w:r>
      <w:r w:rsidRPr="1E6DD8C4" w:rsidR="00D84F0C">
        <w:rPr>
          <w:sz w:val="24"/>
          <w:szCs w:val="24"/>
        </w:rPr>
        <w:t>evaluation</w:t>
      </w:r>
      <w:r w:rsidRPr="1E6DD8C4">
        <w:rPr>
          <w:sz w:val="24"/>
          <w:szCs w:val="24"/>
        </w:rPr>
        <w:t xml:space="preserve">, </w:t>
      </w:r>
      <w:r w:rsidRPr="1E6DD8C4" w:rsidR="006920F9">
        <w:rPr>
          <w:sz w:val="24"/>
          <w:szCs w:val="24"/>
        </w:rPr>
        <w:t xml:space="preserve">we assume that </w:t>
      </w:r>
      <w:r w:rsidRPr="1E6DD8C4">
        <w:rPr>
          <w:sz w:val="24"/>
          <w:szCs w:val="24"/>
        </w:rPr>
        <w:t>t</w:t>
      </w:r>
      <w:r w:rsidRPr="1E6DD8C4" w:rsidR="004F0E2A">
        <w:rPr>
          <w:sz w:val="24"/>
          <w:szCs w:val="24"/>
        </w:rPr>
        <w:t xml:space="preserve">he number of annual data collection responses </w:t>
      </w:r>
      <w:r w:rsidRPr="1E6DD8C4" w:rsidR="006920F9">
        <w:rPr>
          <w:sz w:val="24"/>
          <w:szCs w:val="24"/>
        </w:rPr>
        <w:t>vary</w:t>
      </w:r>
      <w:r w:rsidRPr="1E6DD8C4" w:rsidR="006920F9">
        <w:rPr>
          <w:sz w:val="24"/>
          <w:szCs w:val="24"/>
        </w:rPr>
        <w:t xml:space="preserve"> by year</w:t>
      </w:r>
      <w:r w:rsidRPr="1E6DD8C4" w:rsidR="004F0E2A">
        <w:rPr>
          <w:sz w:val="24"/>
          <w:szCs w:val="24"/>
        </w:rPr>
        <w:t xml:space="preserve"> </w:t>
      </w:r>
      <w:r w:rsidR="004741BC">
        <w:rPr>
          <w:sz w:val="24"/>
          <w:szCs w:val="24"/>
        </w:rPr>
        <w:t>as the number of grantees and their subrecipients fluctuates with expiring and newly awarded grants</w:t>
      </w:r>
      <w:r w:rsidRPr="1E6DD8C4" w:rsidR="004F0E2A">
        <w:rPr>
          <w:sz w:val="24"/>
          <w:szCs w:val="24"/>
        </w:rPr>
        <w:t xml:space="preserve">. As such, the burden and respondent cost </w:t>
      </w:r>
      <w:r w:rsidRPr="1E6DD8C4" w:rsidR="00D84F0C">
        <w:rPr>
          <w:sz w:val="24"/>
          <w:szCs w:val="24"/>
        </w:rPr>
        <w:t>may</w:t>
      </w:r>
      <w:r w:rsidRPr="1E6DD8C4" w:rsidR="004F0E2A">
        <w:rPr>
          <w:sz w:val="24"/>
          <w:szCs w:val="24"/>
        </w:rPr>
        <w:t xml:space="preserve"> vary by year. Exhibit</w:t>
      </w:r>
      <w:r w:rsidR="00A2141B">
        <w:rPr>
          <w:sz w:val="24"/>
          <w:szCs w:val="24"/>
        </w:rPr>
        <w:t xml:space="preserve"> 5</w:t>
      </w:r>
      <w:r w:rsidRPr="1E6DD8C4" w:rsidR="00FF3B7A">
        <w:rPr>
          <w:b/>
          <w:bCs/>
          <w:i/>
          <w:iCs/>
          <w:sz w:val="24"/>
          <w:szCs w:val="24"/>
        </w:rPr>
        <w:t xml:space="preserve"> </w:t>
      </w:r>
      <w:r w:rsidRPr="1E6DD8C4" w:rsidR="004F0E2A">
        <w:rPr>
          <w:sz w:val="24"/>
          <w:szCs w:val="24"/>
        </w:rPr>
        <w:t xml:space="preserve">provides an overview of the </w:t>
      </w:r>
      <w:r w:rsidRPr="1E6DD8C4" w:rsidR="00287058">
        <w:rPr>
          <w:sz w:val="24"/>
          <w:szCs w:val="24"/>
        </w:rPr>
        <w:t xml:space="preserve">total </w:t>
      </w:r>
      <w:r w:rsidRPr="1E6DD8C4" w:rsidR="004F0E2A">
        <w:rPr>
          <w:sz w:val="24"/>
          <w:szCs w:val="24"/>
        </w:rPr>
        <w:t>estimated number of responses</w:t>
      </w:r>
      <w:r w:rsidRPr="1E6DD8C4" w:rsidR="00287058">
        <w:rPr>
          <w:sz w:val="24"/>
          <w:szCs w:val="24"/>
        </w:rPr>
        <w:t xml:space="preserve"> </w:t>
      </w:r>
      <w:r w:rsidRPr="1E6DD8C4" w:rsidR="00B311FE">
        <w:rPr>
          <w:sz w:val="24"/>
          <w:szCs w:val="24"/>
        </w:rPr>
        <w:t>per</w:t>
      </w:r>
      <w:r w:rsidRPr="1E6DD8C4" w:rsidR="00287058">
        <w:rPr>
          <w:sz w:val="24"/>
          <w:szCs w:val="24"/>
        </w:rPr>
        <w:t xml:space="preserve"> year</w:t>
      </w:r>
      <w:r w:rsidRPr="1E6DD8C4" w:rsidR="00ED4054">
        <w:rPr>
          <w:sz w:val="24"/>
          <w:szCs w:val="24"/>
        </w:rPr>
        <w:t xml:space="preserve"> for the evaluation</w:t>
      </w:r>
      <w:r w:rsidRPr="1E6DD8C4" w:rsidR="004F0E2A">
        <w:rPr>
          <w:sz w:val="24"/>
          <w:szCs w:val="24"/>
        </w:rPr>
        <w:t>.</w:t>
      </w:r>
      <w:r w:rsidRPr="1E6DD8C4">
        <w:rPr>
          <w:sz w:val="24"/>
          <w:szCs w:val="24"/>
        </w:rPr>
        <w:t xml:space="preserve"> </w:t>
      </w:r>
    </w:p>
    <w:p w:rsidR="00A2141B" w14:paraId="18F89B38" w14:textId="77777777">
      <w:pPr>
        <w:pStyle w:val="BodyText"/>
        <w:rPr>
          <w:b/>
          <w:bCs/>
          <w:sz w:val="24"/>
          <w:szCs w:val="24"/>
        </w:rPr>
      </w:pPr>
      <w:r>
        <w:rPr>
          <w:b/>
          <w:bCs/>
          <w:sz w:val="24"/>
          <w:szCs w:val="24"/>
        </w:rPr>
        <w:br w:type="page"/>
      </w:r>
    </w:p>
    <w:p w:rsidR="00287058" w:rsidRPr="000655BF" w14:paraId="266FB524" w14:textId="79040FA9">
      <w:pPr>
        <w:pStyle w:val="BodyText"/>
        <w:rPr>
          <w:b/>
          <w:bCs/>
          <w:sz w:val="24"/>
          <w:szCs w:val="24"/>
        </w:rPr>
      </w:pPr>
      <w:r w:rsidRPr="000655BF">
        <w:rPr>
          <w:b/>
          <w:bCs/>
          <w:sz w:val="24"/>
          <w:szCs w:val="24"/>
        </w:rPr>
        <w:t xml:space="preserve">Exhibit </w:t>
      </w:r>
      <w:r w:rsidR="00E2473B">
        <w:rPr>
          <w:b/>
          <w:bCs/>
          <w:sz w:val="24"/>
          <w:szCs w:val="24"/>
        </w:rPr>
        <w:t>5</w:t>
      </w:r>
      <w:r w:rsidRPr="000655BF">
        <w:rPr>
          <w:b/>
          <w:bCs/>
          <w:sz w:val="24"/>
          <w:szCs w:val="24"/>
        </w:rPr>
        <w:t xml:space="preserve">. </w:t>
      </w:r>
      <w:r w:rsidR="00066F5C">
        <w:rPr>
          <w:b/>
          <w:bCs/>
          <w:sz w:val="24"/>
          <w:szCs w:val="24"/>
        </w:rPr>
        <w:t>PEPC</w:t>
      </w:r>
      <w:r w:rsidRPr="006920F9" w:rsidR="006920F9">
        <w:rPr>
          <w:b/>
          <w:bCs/>
          <w:sz w:val="24"/>
          <w:szCs w:val="24"/>
        </w:rPr>
        <w:t xml:space="preserve"> </w:t>
      </w:r>
      <w:r w:rsidRPr="000655BF" w:rsidR="00BA64B9">
        <w:rPr>
          <w:b/>
          <w:bCs/>
          <w:sz w:val="24"/>
          <w:szCs w:val="24"/>
        </w:rPr>
        <w:t xml:space="preserve">Evaluation </w:t>
      </w:r>
      <w:r w:rsidRPr="000655BF">
        <w:rPr>
          <w:b/>
          <w:bCs/>
          <w:sz w:val="24"/>
          <w:szCs w:val="24"/>
        </w:rPr>
        <w:t>Burden Totals by Year</w:t>
      </w:r>
    </w:p>
    <w:tbl>
      <w:tblPr>
        <w:tblW w:w="68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340"/>
        <w:gridCol w:w="2042"/>
        <w:gridCol w:w="1620"/>
        <w:gridCol w:w="1890"/>
      </w:tblGrid>
      <w:tr w14:paraId="6E11597F" w14:textId="77777777" w:rsidTr="00887BF3">
        <w:tblPrEx>
          <w:tblW w:w="68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287058" w14:paraId="2684DDAD" w14:textId="77777777">
            <w:pPr>
              <w:keepNext/>
              <w:keepLines/>
              <w:rPr>
                <w:b/>
                <w:szCs w:val="24"/>
              </w:rPr>
            </w:pPr>
            <w:r w:rsidRPr="000655BF">
              <w:rPr>
                <w:b/>
                <w:szCs w:val="24"/>
              </w:rPr>
              <w:t>Year</w:t>
            </w:r>
          </w:p>
        </w:tc>
        <w:tc>
          <w:tcPr>
            <w:tcW w:w="2042"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287058" w14:paraId="0E2BA687" w14:textId="77777777">
            <w:pPr>
              <w:pStyle w:val="HTMLPreformatted"/>
              <w:keepNext/>
              <w:keepLines/>
              <w:jc w:val="center"/>
              <w:rPr>
                <w:rFonts w:ascii="Times New Roman" w:hAnsi="Times New Roman" w:cs="Times New Roman"/>
                <w:b/>
                <w:sz w:val="24"/>
                <w:szCs w:val="24"/>
              </w:rPr>
            </w:pPr>
            <w:r w:rsidRPr="000655BF">
              <w:rPr>
                <w:rFonts w:ascii="Times New Roman" w:hAnsi="Times New Roman" w:cs="Times New Roman"/>
                <w:b/>
                <w:sz w:val="24"/>
                <w:szCs w:val="24"/>
              </w:rPr>
              <w:t>Total Responses</w:t>
            </w:r>
          </w:p>
        </w:tc>
        <w:tc>
          <w:tcPr>
            <w:tcW w:w="162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A14E7B" w:rsidRPr="000655BF" w:rsidP="006D59B8" w14:paraId="3BA052FF" w14:textId="6FD08331">
            <w:pPr>
              <w:keepNext/>
              <w:keepLines/>
              <w:jc w:val="center"/>
              <w:rPr>
                <w:b/>
                <w:szCs w:val="24"/>
                <w:vertAlign w:val="superscript"/>
              </w:rPr>
            </w:pPr>
            <w:r w:rsidRPr="000655BF">
              <w:rPr>
                <w:b/>
                <w:szCs w:val="24"/>
              </w:rPr>
              <w:t>Total Burden Hours</w:t>
            </w:r>
          </w:p>
        </w:tc>
        <w:tc>
          <w:tcPr>
            <w:tcW w:w="1890" w:type="dxa"/>
            <w:tcBorders>
              <w:top w:val="single" w:sz="8" w:space="0" w:color="auto"/>
              <w:left w:val="single" w:sz="8" w:space="0" w:color="auto"/>
              <w:bottom w:val="single" w:sz="8" w:space="0" w:color="auto"/>
              <w:right w:val="single" w:sz="8" w:space="0" w:color="auto"/>
            </w:tcBorders>
            <w:shd w:val="clear" w:color="auto" w:fill="8DB3E2" w:themeFill="text2" w:themeFillTint="66"/>
          </w:tcPr>
          <w:p w:rsidR="00A14E7B" w:rsidRPr="000655BF" w:rsidP="00287058" w14:paraId="109CE532" w14:textId="51755A42">
            <w:pPr>
              <w:keepNext/>
              <w:keepLines/>
              <w:jc w:val="center"/>
              <w:rPr>
                <w:b/>
                <w:szCs w:val="24"/>
                <w:vertAlign w:val="superscript"/>
              </w:rPr>
            </w:pPr>
            <w:r w:rsidRPr="000655BF">
              <w:rPr>
                <w:b/>
                <w:szCs w:val="24"/>
              </w:rPr>
              <w:t xml:space="preserve">Total Wage </w:t>
            </w:r>
            <w:r w:rsidRPr="000655BF">
              <w:rPr>
                <w:b/>
                <w:szCs w:val="24"/>
              </w:rPr>
              <w:t>Cost</w:t>
            </w:r>
            <w:r w:rsidRPr="000655BF" w:rsidR="004052C1">
              <w:rPr>
                <w:b/>
                <w:szCs w:val="24"/>
                <w:vertAlign w:val="superscript"/>
              </w:rPr>
              <w:t>a</w:t>
            </w:r>
            <w:r w:rsidR="004052C1">
              <w:rPr>
                <w:b/>
                <w:szCs w:val="24"/>
                <w:vertAlign w:val="superscript"/>
              </w:rPr>
              <w:t>,</w:t>
            </w:r>
            <w:r w:rsidRPr="000655BF">
              <w:rPr>
                <w:b/>
                <w:szCs w:val="24"/>
                <w:vertAlign w:val="superscript"/>
              </w:rPr>
              <w:t>b</w:t>
            </w:r>
          </w:p>
        </w:tc>
      </w:tr>
      <w:tr w14:paraId="7952EAF8" w14:textId="77777777" w:rsidTr="00887BF3">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3125" w:rsidRPr="000655BF" w:rsidP="0078323D" w14:paraId="2D4AA846" w14:textId="69F2D274">
            <w:pPr>
              <w:keepNext/>
              <w:keepLines/>
              <w:jc w:val="center"/>
              <w:rPr>
                <w:szCs w:val="24"/>
              </w:rPr>
            </w:pPr>
            <w:r>
              <w:rPr>
                <w:szCs w:val="24"/>
              </w:rPr>
              <w:t xml:space="preserve">Year </w:t>
            </w:r>
            <w:r w:rsidR="00EF229A">
              <w:rPr>
                <w:szCs w:val="24"/>
              </w:rPr>
              <w:t>1</w:t>
            </w:r>
          </w:p>
        </w:tc>
        <w:tc>
          <w:tcPr>
            <w:tcW w:w="2042" w:type="dxa"/>
            <w:tcBorders>
              <w:top w:val="single" w:sz="8" w:space="0" w:color="auto"/>
              <w:left w:val="single" w:sz="8" w:space="0" w:color="auto"/>
              <w:bottom w:val="single" w:sz="8" w:space="0" w:color="auto"/>
              <w:right w:val="single" w:sz="8" w:space="0" w:color="auto"/>
            </w:tcBorders>
            <w:vAlign w:val="center"/>
          </w:tcPr>
          <w:p w:rsidR="00C93125" w:rsidP="0078323D" w14:paraId="24266351" w14:textId="722C4BAA">
            <w:pPr>
              <w:pStyle w:val="HTMLPreformatted"/>
              <w:keepNext/>
              <w:keepLines/>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348</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3125" w:rsidP="0078323D" w14:paraId="6FBCE4C1" w14:textId="285FAC00">
            <w:pPr>
              <w:keepNext/>
              <w:keepLines/>
              <w:jc w:val="center"/>
              <w:rPr>
                <w:iCs/>
                <w:color w:val="000000"/>
                <w:szCs w:val="24"/>
              </w:rPr>
            </w:pPr>
            <w:r>
              <w:rPr>
                <w:iCs/>
                <w:color w:val="000000"/>
                <w:szCs w:val="24"/>
              </w:rPr>
              <w:t>514</w:t>
            </w:r>
            <w:r w:rsidR="00226C31">
              <w:rPr>
                <w:iCs/>
                <w:color w:val="000000"/>
                <w:szCs w:val="24"/>
              </w:rPr>
              <w:t>.25</w:t>
            </w:r>
          </w:p>
        </w:tc>
        <w:tc>
          <w:tcPr>
            <w:tcW w:w="1890" w:type="dxa"/>
            <w:tcBorders>
              <w:top w:val="single" w:sz="8" w:space="0" w:color="auto"/>
              <w:left w:val="single" w:sz="8" w:space="0" w:color="auto"/>
              <w:bottom w:val="single" w:sz="8" w:space="0" w:color="auto"/>
              <w:right w:val="single" w:sz="8" w:space="0" w:color="auto"/>
            </w:tcBorders>
            <w:vAlign w:val="center"/>
          </w:tcPr>
          <w:p w:rsidR="00C93125" w:rsidP="0078323D" w14:paraId="3CA0A125" w14:textId="7956547D">
            <w:pPr>
              <w:keepNext/>
              <w:keepLines/>
              <w:jc w:val="center"/>
              <w:rPr>
                <w:iCs/>
                <w:color w:val="000000"/>
                <w:szCs w:val="24"/>
              </w:rPr>
            </w:pPr>
            <w:r>
              <w:rPr>
                <w:iCs/>
                <w:color w:val="000000"/>
                <w:szCs w:val="24"/>
              </w:rPr>
              <w:t>$</w:t>
            </w:r>
            <w:r w:rsidR="00C2592C">
              <w:rPr>
                <w:iCs/>
                <w:color w:val="000000"/>
                <w:szCs w:val="24"/>
              </w:rPr>
              <w:t>22,040.89</w:t>
            </w:r>
          </w:p>
        </w:tc>
      </w:tr>
      <w:tr w14:paraId="656C8CF9" w14:textId="77777777" w:rsidTr="00EF229A">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6C31" w:rsidRPr="000655BF" w:rsidP="00226C31" w14:paraId="7D0D26D3" w14:textId="06519F1C">
            <w:pPr>
              <w:keepNext/>
              <w:keepLines/>
              <w:jc w:val="center"/>
              <w:rPr>
                <w:szCs w:val="24"/>
              </w:rPr>
            </w:pPr>
            <w:r>
              <w:rPr>
                <w:szCs w:val="24"/>
              </w:rPr>
              <w:t xml:space="preserve">Year </w:t>
            </w:r>
            <w:r w:rsidR="00EF229A">
              <w:rPr>
                <w:szCs w:val="24"/>
              </w:rPr>
              <w:t>2</w:t>
            </w:r>
          </w:p>
        </w:tc>
        <w:tc>
          <w:tcPr>
            <w:tcW w:w="2042" w:type="dxa"/>
            <w:tcBorders>
              <w:top w:val="single" w:sz="8" w:space="0" w:color="auto"/>
              <w:left w:val="single" w:sz="8" w:space="0" w:color="auto"/>
              <w:bottom w:val="single" w:sz="8" w:space="0" w:color="auto"/>
              <w:right w:val="single" w:sz="8" w:space="0" w:color="auto"/>
            </w:tcBorders>
          </w:tcPr>
          <w:p w:rsidR="00226C31" w:rsidP="00226C31" w14:paraId="7C975ADE" w14:textId="7FF42D1A">
            <w:pPr>
              <w:pStyle w:val="HTMLPreformatted"/>
              <w:keepNext/>
              <w:keepLines/>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80</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6C31" w:rsidP="00226C31" w14:paraId="5585FE58" w14:textId="55733BA6">
            <w:pPr>
              <w:keepNext/>
              <w:keepLines/>
              <w:jc w:val="center"/>
              <w:rPr>
                <w:iCs/>
                <w:color w:val="000000"/>
                <w:szCs w:val="24"/>
              </w:rPr>
            </w:pPr>
            <w:r>
              <w:rPr>
                <w:iCs/>
                <w:color w:val="000000"/>
                <w:szCs w:val="24"/>
              </w:rPr>
              <w:t>118</w:t>
            </w:r>
            <w:r>
              <w:rPr>
                <w:iCs/>
                <w:color w:val="000000"/>
                <w:szCs w:val="24"/>
              </w:rPr>
              <w:t>.25</w:t>
            </w:r>
          </w:p>
        </w:tc>
        <w:tc>
          <w:tcPr>
            <w:tcW w:w="1890" w:type="dxa"/>
            <w:tcBorders>
              <w:top w:val="single" w:sz="8" w:space="0" w:color="auto"/>
              <w:left w:val="single" w:sz="8" w:space="0" w:color="auto"/>
              <w:bottom w:val="single" w:sz="8" w:space="0" w:color="auto"/>
              <w:right w:val="single" w:sz="8" w:space="0" w:color="auto"/>
            </w:tcBorders>
            <w:vAlign w:val="center"/>
          </w:tcPr>
          <w:p w:rsidR="00226C31" w:rsidP="00226C31" w14:paraId="107B4E03" w14:textId="40C43D3A">
            <w:pPr>
              <w:keepNext/>
              <w:keepLines/>
              <w:jc w:val="center"/>
              <w:rPr>
                <w:iCs/>
                <w:color w:val="000000"/>
                <w:szCs w:val="24"/>
              </w:rPr>
            </w:pPr>
            <w:r w:rsidRPr="006920F9">
              <w:rPr>
                <w:iCs/>
                <w:color w:val="000000"/>
                <w:szCs w:val="24"/>
              </w:rPr>
              <w:t>$</w:t>
            </w:r>
            <w:r w:rsidR="00716FF3">
              <w:rPr>
                <w:iCs/>
                <w:color w:val="000000"/>
                <w:szCs w:val="24"/>
              </w:rPr>
              <w:t>5,069.53</w:t>
            </w:r>
          </w:p>
        </w:tc>
      </w:tr>
      <w:tr w14:paraId="6A40DD4C" w14:textId="77777777" w:rsidTr="00EF229A">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3AD5" w:rsidP="00226C31" w14:paraId="02959CFA" w14:textId="5EDA64AD">
            <w:pPr>
              <w:keepNext/>
              <w:keepLines/>
              <w:jc w:val="center"/>
              <w:rPr>
                <w:szCs w:val="24"/>
              </w:rPr>
            </w:pPr>
            <w:r>
              <w:rPr>
                <w:szCs w:val="24"/>
              </w:rPr>
              <w:t>Year 3</w:t>
            </w:r>
          </w:p>
        </w:tc>
        <w:tc>
          <w:tcPr>
            <w:tcW w:w="2042" w:type="dxa"/>
            <w:tcBorders>
              <w:top w:val="single" w:sz="8" w:space="0" w:color="auto"/>
              <w:left w:val="single" w:sz="8" w:space="0" w:color="auto"/>
              <w:bottom w:val="single" w:sz="8" w:space="0" w:color="auto"/>
              <w:right w:val="single" w:sz="8" w:space="0" w:color="auto"/>
            </w:tcBorders>
          </w:tcPr>
          <w:p w:rsidR="00213AD5" w:rsidP="00226C31" w14:paraId="40B3D40C" w14:textId="03DB200A">
            <w:pPr>
              <w:pStyle w:val="HTMLPreformatted"/>
              <w:keepNext/>
              <w:keepLines/>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402</w:t>
            </w:r>
          </w:p>
        </w:tc>
        <w:tc>
          <w:tcPr>
            <w:tcW w:w="1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AD5" w:rsidP="00226C31" w14:paraId="4DDAB72A" w14:textId="3EA37011">
            <w:pPr>
              <w:keepNext/>
              <w:keepLines/>
              <w:jc w:val="center"/>
              <w:rPr>
                <w:iCs/>
                <w:color w:val="000000"/>
                <w:szCs w:val="24"/>
              </w:rPr>
            </w:pPr>
            <w:r>
              <w:rPr>
                <w:iCs/>
                <w:color w:val="000000"/>
                <w:szCs w:val="24"/>
              </w:rPr>
              <w:t>594</w:t>
            </w:r>
          </w:p>
        </w:tc>
        <w:tc>
          <w:tcPr>
            <w:tcW w:w="1890" w:type="dxa"/>
            <w:tcBorders>
              <w:top w:val="single" w:sz="8" w:space="0" w:color="auto"/>
              <w:left w:val="single" w:sz="8" w:space="0" w:color="auto"/>
              <w:bottom w:val="single" w:sz="8" w:space="0" w:color="auto"/>
              <w:right w:val="single" w:sz="8" w:space="0" w:color="auto"/>
            </w:tcBorders>
            <w:vAlign w:val="center"/>
          </w:tcPr>
          <w:p w:rsidR="00213AD5" w:rsidRPr="006920F9" w:rsidP="00226C31" w14:paraId="5AB198D4" w14:textId="55EA546C">
            <w:pPr>
              <w:keepNext/>
              <w:keepLines/>
              <w:jc w:val="center"/>
              <w:rPr>
                <w:iCs/>
                <w:color w:val="000000"/>
                <w:szCs w:val="24"/>
              </w:rPr>
            </w:pPr>
            <w:r>
              <w:rPr>
                <w:iCs/>
                <w:color w:val="000000"/>
                <w:szCs w:val="24"/>
              </w:rPr>
              <w:t>$25,457.04</w:t>
            </w:r>
          </w:p>
        </w:tc>
      </w:tr>
      <w:tr w14:paraId="36DF1AF7" w14:textId="77777777" w:rsidTr="00DD277C">
        <w:tblPrEx>
          <w:tblW w:w="6892" w:type="dxa"/>
          <w:tblLayout w:type="fixed"/>
          <w:tblCellMar>
            <w:left w:w="0" w:type="dxa"/>
            <w:right w:w="0" w:type="dxa"/>
          </w:tblCellMar>
          <w:tblLook w:val="04A0"/>
        </w:tblPrEx>
        <w:trPr>
          <w:trHeight w:val="231"/>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0F9" w:rsidRPr="000655BF" w:rsidP="006920F9" w14:paraId="2BD1FEB8" w14:textId="77777777">
            <w:pPr>
              <w:keepNext/>
              <w:keepLines/>
              <w:jc w:val="center"/>
              <w:rPr>
                <w:szCs w:val="24"/>
              </w:rPr>
            </w:pPr>
            <w:r w:rsidRPr="000655BF">
              <w:rPr>
                <w:szCs w:val="24"/>
              </w:rPr>
              <w:t>Total</w:t>
            </w:r>
          </w:p>
        </w:tc>
        <w:tc>
          <w:tcPr>
            <w:tcW w:w="2042" w:type="dxa"/>
            <w:tcBorders>
              <w:top w:val="nil"/>
              <w:left w:val="nil"/>
              <w:bottom w:val="single" w:sz="8" w:space="0" w:color="auto"/>
              <w:right w:val="single" w:sz="8" w:space="0" w:color="auto"/>
            </w:tcBorders>
            <w:vAlign w:val="center"/>
          </w:tcPr>
          <w:p w:rsidR="006920F9" w:rsidRPr="00A2542F" w:rsidP="006920F9" w14:paraId="6B3935C3" w14:textId="49398927">
            <w:pPr>
              <w:pStyle w:val="HTMLPreformatted"/>
              <w:keepNext/>
              <w:keepLines/>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830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6920F9" w:rsidRPr="000655BF" w:rsidP="006920F9" w14:paraId="0CD063B8" w14:textId="60E252C3">
            <w:pPr>
              <w:keepNext/>
              <w:keepLines/>
              <w:jc w:val="center"/>
              <w:rPr>
                <w:szCs w:val="24"/>
              </w:rPr>
            </w:pPr>
            <w:r>
              <w:rPr>
                <w:color w:val="000000"/>
              </w:rPr>
              <w:t>1,226.50</w:t>
            </w:r>
          </w:p>
        </w:tc>
        <w:tc>
          <w:tcPr>
            <w:tcW w:w="1890" w:type="dxa"/>
            <w:tcBorders>
              <w:top w:val="nil"/>
              <w:left w:val="nil"/>
              <w:bottom w:val="single" w:sz="8" w:space="0" w:color="auto"/>
              <w:right w:val="single" w:sz="8" w:space="0" w:color="auto"/>
            </w:tcBorders>
            <w:vAlign w:val="center"/>
          </w:tcPr>
          <w:p w:rsidR="006920F9" w:rsidRPr="000655BF" w:rsidP="006920F9" w14:paraId="318E3048" w14:textId="658DEA77">
            <w:pPr>
              <w:keepNext/>
              <w:keepLines/>
              <w:jc w:val="center"/>
              <w:rPr>
                <w:szCs w:val="24"/>
              </w:rPr>
            </w:pPr>
            <w:r>
              <w:rPr>
                <w:color w:val="000000"/>
              </w:rPr>
              <w:t>$</w:t>
            </w:r>
            <w:r w:rsidR="00DC649F">
              <w:rPr>
                <w:color w:val="000000"/>
              </w:rPr>
              <w:t>52,567.46</w:t>
            </w:r>
          </w:p>
        </w:tc>
      </w:tr>
    </w:tbl>
    <w:p w:rsidR="002F7184" w:rsidRPr="00816C0B" w:rsidP="002F7184" w14:paraId="5660A016" w14:textId="67162753">
      <w:pPr>
        <w:pStyle w:val="ExhibitNote1"/>
        <w:rPr>
          <w:rFonts w:cs="Times New Roman"/>
          <w:i/>
        </w:rPr>
      </w:pPr>
      <w:r w:rsidRPr="00816C0B">
        <w:rPr>
          <w:rFonts w:cs="Times New Roman"/>
          <w:i/>
          <w:vertAlign w:val="superscript"/>
        </w:rPr>
        <w:t xml:space="preserve">a </w:t>
      </w:r>
      <w:r w:rsidRPr="00816C0B" w:rsidR="00451FCB">
        <w:rPr>
          <w:rFonts w:cs="Times New Roman"/>
          <w:b/>
          <w:i/>
        </w:rPr>
        <w:t xml:space="preserve">Total </w:t>
      </w:r>
      <w:r w:rsidR="004052C1">
        <w:rPr>
          <w:rFonts w:cs="Times New Roman"/>
          <w:b/>
          <w:i/>
        </w:rPr>
        <w:t>wage cost</w:t>
      </w:r>
      <w:r w:rsidRPr="00816C0B" w:rsidR="00451FCB">
        <w:rPr>
          <w:rFonts w:cs="Times New Roman"/>
          <w:b/>
          <w:i/>
        </w:rPr>
        <w:t xml:space="preserve"> includes </w:t>
      </w:r>
      <w:r w:rsidR="00451FCB">
        <w:rPr>
          <w:rFonts w:cs="Times New Roman"/>
          <w:b/>
          <w:i/>
        </w:rPr>
        <w:t>the hourly wage of the grantee project director</w:t>
      </w:r>
      <w:r w:rsidRPr="00816C0B" w:rsidR="00451FCB">
        <w:rPr>
          <w:rFonts w:cs="Times New Roman"/>
          <w:b/>
          <w:i/>
        </w:rPr>
        <w:t xml:space="preserve"> or </w:t>
      </w:r>
      <w:r w:rsidR="00451FCB">
        <w:rPr>
          <w:rFonts w:cs="Times New Roman"/>
          <w:b/>
          <w:i/>
        </w:rPr>
        <w:t>e</w:t>
      </w:r>
      <w:r w:rsidRPr="00816C0B" w:rsidR="00451FCB">
        <w:rPr>
          <w:rFonts w:cs="Times New Roman"/>
          <w:b/>
          <w:i/>
        </w:rPr>
        <w:t>valuator and</w:t>
      </w:r>
      <w:r w:rsidR="00451FCB">
        <w:rPr>
          <w:rFonts w:cs="Times New Roman"/>
          <w:b/>
          <w:i/>
        </w:rPr>
        <w:t xml:space="preserve"> those of</w:t>
      </w:r>
      <w:r w:rsidRPr="00816C0B" w:rsidR="00451FCB">
        <w:rPr>
          <w:rFonts w:cs="Times New Roman"/>
          <w:b/>
          <w:i/>
        </w:rPr>
        <w:t xml:space="preserve"> </w:t>
      </w:r>
      <w:r w:rsidR="00451FCB">
        <w:rPr>
          <w:rFonts w:cs="Times New Roman"/>
          <w:b/>
          <w:i/>
        </w:rPr>
        <w:t>the s</w:t>
      </w:r>
      <w:r w:rsidRPr="00816C0B" w:rsidR="00451FCB">
        <w:rPr>
          <w:rFonts w:cs="Times New Roman"/>
          <w:b/>
          <w:i/>
        </w:rPr>
        <w:t xml:space="preserve">ubrecipient </w:t>
      </w:r>
      <w:r w:rsidR="00451FCB">
        <w:rPr>
          <w:rFonts w:cs="Times New Roman"/>
          <w:b/>
          <w:i/>
        </w:rPr>
        <w:t>s</w:t>
      </w:r>
      <w:r w:rsidRPr="00816C0B" w:rsidR="00451FCB">
        <w:rPr>
          <w:rFonts w:cs="Times New Roman"/>
          <w:b/>
          <w:i/>
        </w:rPr>
        <w:t xml:space="preserve">taff. The </w:t>
      </w:r>
      <w:r w:rsidR="00451FCB">
        <w:rPr>
          <w:rFonts w:cs="Times New Roman"/>
          <w:b/>
          <w:i/>
        </w:rPr>
        <w:t>g</w:t>
      </w:r>
      <w:r w:rsidRPr="00816C0B" w:rsidR="00451FCB">
        <w:rPr>
          <w:rFonts w:cs="Times New Roman"/>
          <w:b/>
          <w:i/>
        </w:rPr>
        <w:t xml:space="preserve">rantee </w:t>
      </w:r>
      <w:r w:rsidR="00451FCB">
        <w:rPr>
          <w:rFonts w:cs="Times New Roman"/>
          <w:b/>
          <w:i/>
        </w:rPr>
        <w:t>project director</w:t>
      </w:r>
      <w:r w:rsidRPr="00816C0B" w:rsidR="00451FCB">
        <w:rPr>
          <w:rFonts w:cs="Times New Roman"/>
          <w:b/>
          <w:i/>
        </w:rPr>
        <w:t xml:space="preserve"> or </w:t>
      </w:r>
      <w:r w:rsidR="00451FCB">
        <w:rPr>
          <w:rFonts w:cs="Times New Roman"/>
          <w:b/>
          <w:i/>
        </w:rPr>
        <w:t>e</w:t>
      </w:r>
      <w:r w:rsidRPr="00816C0B" w:rsidR="00451FCB">
        <w:rPr>
          <w:rFonts w:cs="Times New Roman"/>
          <w:b/>
          <w:i/>
        </w:rPr>
        <w:t>valuator hourly wage</w:t>
      </w:r>
      <w:r w:rsidRPr="00816C0B" w:rsidR="00451FCB">
        <w:rPr>
          <w:rFonts w:cs="Times New Roman"/>
          <w:i/>
        </w:rPr>
        <w:t xml:space="preserve"> is based on the mean hourly wage for state government managers as reported in the 20</w:t>
      </w:r>
      <w:r w:rsidR="00451FCB">
        <w:rPr>
          <w:rFonts w:cs="Times New Roman"/>
          <w:i/>
        </w:rPr>
        <w:t>23</w:t>
      </w:r>
      <w:r w:rsidRPr="00816C0B" w:rsidR="00451FCB">
        <w:rPr>
          <w:rFonts w:cs="Times New Roman"/>
          <w:i/>
        </w:rPr>
        <w:t xml:space="preserve"> Occupational Employment </w:t>
      </w:r>
      <w:r w:rsidR="00451FCB">
        <w:rPr>
          <w:rFonts w:cs="Times New Roman"/>
          <w:i/>
        </w:rPr>
        <w:t>and Wage Statistics report from</w:t>
      </w:r>
      <w:r w:rsidRPr="00816C0B" w:rsidR="00451FCB">
        <w:rPr>
          <w:rFonts w:cs="Times New Roman"/>
          <w:i/>
        </w:rPr>
        <w:t xml:space="preserve"> the Bureau of Labor Statistics </w:t>
      </w:r>
      <w:r w:rsidR="00451FCB">
        <w:rPr>
          <w:rFonts w:cs="Times New Roman"/>
          <w:i/>
        </w:rPr>
        <w:t>available</w:t>
      </w:r>
      <w:r w:rsidRPr="00816C0B" w:rsidR="00451FCB">
        <w:rPr>
          <w:rFonts w:cs="Times New Roman"/>
          <w:i/>
        </w:rPr>
        <w:t xml:space="preserve"> at </w:t>
      </w:r>
      <w:hyperlink r:id="rId12" w:anchor="11-00000" w:history="1">
        <w:r w:rsidRPr="006700BF" w:rsidR="00451FCB">
          <w:rPr>
            <w:rStyle w:val="Hyperlink"/>
            <w:rFonts w:cs="Times New Roman"/>
            <w:i/>
          </w:rPr>
          <w:t>https://www.bls.gov/oes/current/naics4_999200.htm#11-00000</w:t>
        </w:r>
      </w:hyperlink>
      <w:r w:rsidRPr="00816C0B" w:rsidR="00451FCB">
        <w:rPr>
          <w:rFonts w:cs="Times New Roman"/>
          <w:i/>
        </w:rPr>
        <w:t xml:space="preserve">. </w:t>
      </w:r>
      <w:r w:rsidRPr="00816C0B" w:rsidR="00451FCB">
        <w:rPr>
          <w:rFonts w:cs="Times New Roman"/>
          <w:b/>
          <w:i/>
        </w:rPr>
        <w:t xml:space="preserve">Subrecipient </w:t>
      </w:r>
      <w:r w:rsidR="00451FCB">
        <w:rPr>
          <w:rFonts w:cs="Times New Roman"/>
          <w:b/>
          <w:i/>
        </w:rPr>
        <w:t>s</w:t>
      </w:r>
      <w:r w:rsidRPr="00816C0B" w:rsidR="00451FCB">
        <w:rPr>
          <w:rFonts w:cs="Times New Roman"/>
          <w:b/>
          <w:i/>
        </w:rPr>
        <w:t>taff hourly wage</w:t>
      </w:r>
      <w:r w:rsidRPr="00816C0B" w:rsidR="00451FCB">
        <w:rPr>
          <w:rFonts w:cs="Times New Roman"/>
          <w:i/>
        </w:rPr>
        <w:t xml:space="preserve"> is based on the mean hourly wage for local government counselors, social workers, and other community and social service specialists as reported in the </w:t>
      </w:r>
      <w:r w:rsidR="00451FCB">
        <w:rPr>
          <w:rFonts w:cs="Times New Roman"/>
          <w:i/>
        </w:rPr>
        <w:t>same report</w:t>
      </w:r>
      <w:r w:rsidRPr="00816C0B" w:rsidR="00451FCB">
        <w:rPr>
          <w:rFonts w:cs="Times New Roman"/>
          <w:i/>
        </w:rPr>
        <w:t xml:space="preserve"> </w:t>
      </w:r>
      <w:r w:rsidR="00451FCB">
        <w:rPr>
          <w:rFonts w:cs="Times New Roman"/>
          <w:i/>
        </w:rPr>
        <w:t>available</w:t>
      </w:r>
      <w:r w:rsidRPr="00816C0B" w:rsidR="00451FCB">
        <w:rPr>
          <w:rFonts w:cs="Times New Roman"/>
          <w:i/>
        </w:rPr>
        <w:t xml:space="preserve"> at </w:t>
      </w:r>
      <w:r w:rsidRPr="0053179B" w:rsidR="00451FCB">
        <w:rPr>
          <w:rFonts w:cs="Times New Roman"/>
          <w:i/>
        </w:rPr>
        <w:t>https://www.bls.gov/oes/current/naics4_999300.htm</w:t>
      </w:r>
      <w:r w:rsidRPr="00816C0B" w:rsidR="00451FCB">
        <w:rPr>
          <w:rFonts w:cs="Times New Roman"/>
          <w:i/>
        </w:rPr>
        <w:t>.</w:t>
      </w:r>
    </w:p>
    <w:p w:rsidR="002F7184" w:rsidRPr="00816C0B" w:rsidP="000655BF" w14:paraId="53EA611B" w14:textId="4255925D">
      <w:pPr>
        <w:pStyle w:val="ExhibitNote1"/>
        <w:rPr>
          <w:rFonts w:cs="Times New Roman"/>
          <w:i/>
        </w:rPr>
      </w:pPr>
      <w:r w:rsidRPr="00816C0B">
        <w:rPr>
          <w:rFonts w:cs="Times New Roman"/>
          <w:b/>
          <w:i/>
          <w:vertAlign w:val="superscript"/>
        </w:rPr>
        <w:t xml:space="preserve">b </w:t>
      </w:r>
      <w:r w:rsidRPr="00816C0B">
        <w:rPr>
          <w:rFonts w:cs="Times New Roman"/>
          <w:b/>
          <w:bCs/>
          <w:i/>
        </w:rPr>
        <w:t>Total wage cost</w:t>
      </w:r>
      <w:r w:rsidRPr="00816C0B">
        <w:rPr>
          <w:rFonts w:cs="Times New Roman"/>
          <w:i/>
        </w:rPr>
        <w:t xml:space="preserve"> is calculated as total burden </w:t>
      </w:r>
      <w:r w:rsidRPr="00816C0B">
        <w:rPr>
          <w:rFonts w:cs="Times New Roman"/>
          <w:i/>
        </w:rPr>
        <w:t>hours × average hourly wage</w:t>
      </w:r>
      <w:r w:rsidRPr="00816C0B">
        <w:rPr>
          <w:rFonts w:cs="Times New Roman"/>
          <w:i/>
        </w:rPr>
        <w:t xml:space="preserve"> by staff type.</w:t>
      </w:r>
    </w:p>
    <w:p w:rsidR="000655BF" w:rsidP="000655BF" w14:paraId="0EF4C8B4" w14:textId="77777777">
      <w:pPr>
        <w:pStyle w:val="BodyText"/>
        <w:spacing w:after="0"/>
        <w:rPr>
          <w:sz w:val="24"/>
          <w:szCs w:val="24"/>
        </w:rPr>
      </w:pPr>
    </w:p>
    <w:p w:rsidR="001F1A1D" w:rsidRPr="000655BF" w:rsidP="001A5089" w14:paraId="520DFA70" w14:textId="6C044078">
      <w:pPr>
        <w:pStyle w:val="Heading4"/>
      </w:pPr>
      <w:r>
        <w:t>A</w:t>
      </w:r>
      <w:r w:rsidR="003D0A0E">
        <w:t xml:space="preserve">nnual </w:t>
      </w:r>
      <w:r>
        <w:t>R</w:t>
      </w:r>
      <w:r w:rsidR="003D0A0E">
        <w:t xml:space="preserve">eporting </w:t>
      </w:r>
      <w:r>
        <w:t>T</w:t>
      </w:r>
      <w:r w:rsidR="003D0A0E">
        <w:t>ool</w:t>
      </w:r>
    </w:p>
    <w:p w:rsidR="001F1A1D" w:rsidRPr="000655BF" w14:paraId="20090A61" w14:textId="47E803F5">
      <w:pPr>
        <w:pStyle w:val="BodyText"/>
        <w:rPr>
          <w:sz w:val="24"/>
          <w:szCs w:val="24"/>
        </w:rPr>
      </w:pPr>
      <w:r w:rsidRPr="000655BF">
        <w:rPr>
          <w:sz w:val="24"/>
          <w:szCs w:val="24"/>
        </w:rPr>
        <w:t>The</w:t>
      </w:r>
      <w:r w:rsidRPr="000655BF">
        <w:rPr>
          <w:iCs/>
          <w:sz w:val="24"/>
          <w:szCs w:val="24"/>
        </w:rPr>
        <w:t xml:space="preserve"> </w:t>
      </w:r>
      <w:r w:rsidR="003F1D06">
        <w:rPr>
          <w:iCs/>
          <w:sz w:val="24"/>
          <w:szCs w:val="24"/>
        </w:rPr>
        <w:t>ART</w:t>
      </w:r>
      <w:r w:rsidRPr="000655BF">
        <w:rPr>
          <w:sz w:val="24"/>
          <w:szCs w:val="24"/>
        </w:rPr>
        <w:t xml:space="preserve"> is required </w:t>
      </w:r>
      <w:r w:rsidRPr="000655BF" w:rsidR="00092702">
        <w:rPr>
          <w:sz w:val="24"/>
          <w:szCs w:val="24"/>
        </w:rPr>
        <w:t xml:space="preserve">annually </w:t>
      </w:r>
      <w:r w:rsidRPr="000655BF">
        <w:rPr>
          <w:sz w:val="24"/>
          <w:szCs w:val="24"/>
        </w:rPr>
        <w:t xml:space="preserve">of </w:t>
      </w:r>
      <w:r w:rsidRPr="000655BF" w:rsidR="00092702">
        <w:rPr>
          <w:sz w:val="24"/>
          <w:szCs w:val="24"/>
        </w:rPr>
        <w:t xml:space="preserve">all </w:t>
      </w:r>
      <w:r w:rsidRPr="000655BF">
        <w:rPr>
          <w:sz w:val="24"/>
          <w:szCs w:val="24"/>
        </w:rPr>
        <w:t xml:space="preserve">grantees </w:t>
      </w:r>
      <w:r w:rsidRPr="000655BF" w:rsidR="00092702">
        <w:rPr>
          <w:sz w:val="24"/>
          <w:szCs w:val="24"/>
        </w:rPr>
        <w:t>and subrecipients that have been funded during that year</w:t>
      </w:r>
      <w:r w:rsidRPr="000655BF">
        <w:rPr>
          <w:sz w:val="24"/>
          <w:szCs w:val="24"/>
        </w:rPr>
        <w:t xml:space="preserve">. </w:t>
      </w:r>
      <w:r w:rsidRPr="000655BF" w:rsidR="00092702">
        <w:rPr>
          <w:sz w:val="24"/>
          <w:szCs w:val="24"/>
        </w:rPr>
        <w:t>Key assumptions related to the burden include</w:t>
      </w:r>
      <w:r w:rsidR="00451FCB">
        <w:rPr>
          <w:sz w:val="24"/>
          <w:szCs w:val="24"/>
        </w:rPr>
        <w:t xml:space="preserve"> the following</w:t>
      </w:r>
      <w:r w:rsidRPr="000655BF" w:rsidR="00092702">
        <w:rPr>
          <w:sz w:val="24"/>
          <w:szCs w:val="24"/>
        </w:rPr>
        <w:t>:</w:t>
      </w:r>
    </w:p>
    <w:p w:rsidR="00451079" w:rsidP="00CD5747" w14:paraId="509C0CA2" w14:textId="7E0C4AB0">
      <w:pPr>
        <w:pStyle w:val="ListBulletLast"/>
        <w:rPr>
          <w:rFonts w:cs="Times New Roman"/>
          <w:sz w:val="24"/>
          <w:szCs w:val="24"/>
        </w:rPr>
      </w:pPr>
      <w:r>
        <w:rPr>
          <w:rFonts w:cs="Times New Roman"/>
          <w:sz w:val="24"/>
          <w:szCs w:val="24"/>
        </w:rPr>
        <w:t xml:space="preserve">The number of grantees and subrecipients participating in data collection will vary each year as grants expire. </w:t>
      </w:r>
    </w:p>
    <w:p w:rsidR="00451079" w:rsidP="00451079" w14:paraId="63110BAC" w14:textId="5577D4F1">
      <w:pPr>
        <w:pStyle w:val="ListBulletLast"/>
        <w:numPr>
          <w:ilvl w:val="1"/>
          <w:numId w:val="11"/>
        </w:numPr>
        <w:rPr>
          <w:rFonts w:cs="Times New Roman"/>
          <w:sz w:val="24"/>
          <w:szCs w:val="24"/>
        </w:rPr>
      </w:pPr>
      <w:r>
        <w:rPr>
          <w:rFonts w:cs="Times New Roman"/>
          <w:sz w:val="24"/>
          <w:szCs w:val="24"/>
        </w:rPr>
        <w:t xml:space="preserve">In Year </w:t>
      </w:r>
      <w:r w:rsidR="00BD3D38">
        <w:rPr>
          <w:rFonts w:cs="Times New Roman"/>
          <w:sz w:val="24"/>
          <w:szCs w:val="24"/>
        </w:rPr>
        <w:t>1</w:t>
      </w:r>
      <w:r>
        <w:rPr>
          <w:rFonts w:cs="Times New Roman"/>
          <w:sz w:val="24"/>
          <w:szCs w:val="24"/>
        </w:rPr>
        <w:t xml:space="preserve">, </w:t>
      </w:r>
      <w:r w:rsidR="00C2592C">
        <w:rPr>
          <w:rFonts w:cs="Times New Roman"/>
          <w:sz w:val="24"/>
          <w:szCs w:val="24"/>
        </w:rPr>
        <w:t xml:space="preserve">26 </w:t>
      </w:r>
      <w:r>
        <w:rPr>
          <w:rFonts w:cs="Times New Roman"/>
          <w:sz w:val="24"/>
          <w:szCs w:val="24"/>
        </w:rPr>
        <w:t xml:space="preserve">grantees </w:t>
      </w:r>
      <w:r>
        <w:rPr>
          <w:rFonts w:cs="Times New Roman"/>
          <w:sz w:val="24"/>
          <w:szCs w:val="24"/>
        </w:rPr>
        <w:t>(</w:t>
      </w:r>
      <w:r w:rsidRPr="00451079">
        <w:rPr>
          <w:rFonts w:cs="Times New Roman"/>
          <w:sz w:val="24"/>
          <w:szCs w:val="24"/>
        </w:rPr>
        <w:t>20 grantees from the FY 2021 cohort</w:t>
      </w:r>
      <w:r w:rsidR="00C2592C">
        <w:rPr>
          <w:rFonts w:cs="Times New Roman"/>
          <w:sz w:val="24"/>
          <w:szCs w:val="24"/>
        </w:rPr>
        <w:t xml:space="preserve"> and</w:t>
      </w:r>
      <w:r>
        <w:rPr>
          <w:rFonts w:cs="Times New Roman"/>
          <w:sz w:val="24"/>
          <w:szCs w:val="24"/>
        </w:rPr>
        <w:t xml:space="preserve"> </w:t>
      </w:r>
      <w:r w:rsidRPr="00451079">
        <w:rPr>
          <w:rFonts w:cs="Times New Roman"/>
          <w:sz w:val="24"/>
          <w:szCs w:val="24"/>
        </w:rPr>
        <w:t>6 from the FY 2022 cohort</w:t>
      </w:r>
      <w:r>
        <w:rPr>
          <w:rFonts w:cs="Times New Roman"/>
          <w:sz w:val="24"/>
          <w:szCs w:val="24"/>
        </w:rPr>
        <w:t xml:space="preserve">) </w:t>
      </w:r>
      <w:r>
        <w:rPr>
          <w:rFonts w:cs="Times New Roman"/>
          <w:sz w:val="24"/>
          <w:szCs w:val="24"/>
        </w:rPr>
        <w:t xml:space="preserve">and their estimated </w:t>
      </w:r>
      <w:r w:rsidR="00C2592C">
        <w:rPr>
          <w:rFonts w:cs="Times New Roman"/>
          <w:sz w:val="24"/>
          <w:szCs w:val="24"/>
        </w:rPr>
        <w:t xml:space="preserve">135 </w:t>
      </w:r>
      <w:r>
        <w:rPr>
          <w:rFonts w:cs="Times New Roman"/>
          <w:sz w:val="24"/>
          <w:szCs w:val="24"/>
        </w:rPr>
        <w:t xml:space="preserve">subrecipients will participate in </w:t>
      </w:r>
      <w:r>
        <w:rPr>
          <w:rFonts w:cs="Times New Roman"/>
          <w:sz w:val="24"/>
          <w:szCs w:val="24"/>
        </w:rPr>
        <w:t>the ART</w:t>
      </w:r>
      <w:r>
        <w:rPr>
          <w:rFonts w:cs="Times New Roman"/>
          <w:sz w:val="24"/>
          <w:szCs w:val="24"/>
        </w:rPr>
        <w:t xml:space="preserve">. </w:t>
      </w:r>
    </w:p>
    <w:p w:rsidR="00ED4054" w:rsidP="00451079" w14:paraId="4C9D340B" w14:textId="19E32646">
      <w:pPr>
        <w:pStyle w:val="ListBulletLast"/>
        <w:numPr>
          <w:ilvl w:val="1"/>
          <w:numId w:val="11"/>
        </w:numPr>
        <w:rPr>
          <w:rFonts w:cs="Times New Roman"/>
          <w:sz w:val="24"/>
          <w:szCs w:val="24"/>
        </w:rPr>
      </w:pPr>
      <w:r>
        <w:rPr>
          <w:rFonts w:cs="Times New Roman"/>
          <w:sz w:val="24"/>
          <w:szCs w:val="24"/>
        </w:rPr>
        <w:t xml:space="preserve">In Year </w:t>
      </w:r>
      <w:r w:rsidR="00BD3D38">
        <w:rPr>
          <w:rFonts w:cs="Times New Roman"/>
          <w:sz w:val="24"/>
          <w:szCs w:val="24"/>
        </w:rPr>
        <w:t>2</w:t>
      </w:r>
      <w:r>
        <w:rPr>
          <w:rFonts w:cs="Times New Roman"/>
          <w:sz w:val="24"/>
          <w:szCs w:val="24"/>
        </w:rPr>
        <w:t>, 6 g</w:t>
      </w:r>
      <w:r w:rsidR="00451079">
        <w:rPr>
          <w:rFonts w:cs="Times New Roman"/>
          <w:sz w:val="24"/>
          <w:szCs w:val="24"/>
        </w:rPr>
        <w:t>rantees from the FY 2022 cohort</w:t>
      </w:r>
      <w:r w:rsidRPr="00451079" w:rsidR="00451079">
        <w:rPr>
          <w:rFonts w:cs="Times New Roman"/>
          <w:sz w:val="24"/>
          <w:szCs w:val="24"/>
        </w:rPr>
        <w:t xml:space="preserve"> </w:t>
      </w:r>
      <w:r w:rsidR="00451079">
        <w:rPr>
          <w:rFonts w:cs="Times New Roman"/>
          <w:sz w:val="24"/>
          <w:szCs w:val="24"/>
        </w:rPr>
        <w:t xml:space="preserve">and their estimated </w:t>
      </w:r>
      <w:r w:rsidR="00C2592C">
        <w:rPr>
          <w:rFonts w:cs="Times New Roman"/>
          <w:sz w:val="24"/>
          <w:szCs w:val="24"/>
        </w:rPr>
        <w:t xml:space="preserve">31 </w:t>
      </w:r>
      <w:r w:rsidR="00451079">
        <w:rPr>
          <w:rFonts w:cs="Times New Roman"/>
          <w:sz w:val="24"/>
          <w:szCs w:val="24"/>
        </w:rPr>
        <w:t>subrecipients will participate in the ART.</w:t>
      </w:r>
    </w:p>
    <w:p w:rsidR="00DC649F" w:rsidP="00451079" w14:paraId="634B869E" w14:textId="2ADDC271">
      <w:pPr>
        <w:pStyle w:val="ListBulletLast"/>
        <w:numPr>
          <w:ilvl w:val="1"/>
          <w:numId w:val="11"/>
        </w:numPr>
        <w:rPr>
          <w:rFonts w:cs="Times New Roman"/>
          <w:sz w:val="24"/>
          <w:szCs w:val="24"/>
        </w:rPr>
      </w:pPr>
      <w:r>
        <w:rPr>
          <w:rFonts w:cs="Times New Roman"/>
          <w:sz w:val="24"/>
          <w:szCs w:val="24"/>
        </w:rPr>
        <w:t>In Year 3, 30 grantees (from an anticipated FY2027 cohort) and their estimated 156 subrecipients will participate in the ART.</w:t>
      </w:r>
    </w:p>
    <w:p w:rsidR="008E6DE9" w:rsidP="00643C58" w14:paraId="189E1486" w14:textId="1EBE98B9">
      <w:pPr>
        <w:pStyle w:val="ListBulletLast"/>
        <w:rPr>
          <w:rFonts w:cs="Times New Roman"/>
          <w:sz w:val="24"/>
          <w:szCs w:val="24"/>
        </w:rPr>
      </w:pPr>
      <w:r>
        <w:rPr>
          <w:rFonts w:cs="Times New Roman"/>
          <w:sz w:val="24"/>
          <w:szCs w:val="24"/>
        </w:rPr>
        <w:t xml:space="preserve">For </w:t>
      </w:r>
      <w:r w:rsidR="00451079">
        <w:rPr>
          <w:rFonts w:cs="Times New Roman"/>
          <w:sz w:val="24"/>
          <w:szCs w:val="24"/>
        </w:rPr>
        <w:t xml:space="preserve">grantees and </w:t>
      </w:r>
      <w:r>
        <w:rPr>
          <w:rFonts w:cs="Times New Roman"/>
          <w:sz w:val="24"/>
          <w:szCs w:val="24"/>
        </w:rPr>
        <w:t>subrecipients, t</w:t>
      </w:r>
      <w:r w:rsidRPr="000655BF" w:rsidR="004F0E2A">
        <w:rPr>
          <w:rFonts w:cs="Times New Roman"/>
          <w:sz w:val="24"/>
          <w:szCs w:val="24"/>
        </w:rPr>
        <w:t xml:space="preserve">he </w:t>
      </w:r>
      <w:r w:rsidR="003F1D06">
        <w:rPr>
          <w:rFonts w:cs="Times New Roman"/>
          <w:iCs/>
          <w:sz w:val="24"/>
          <w:szCs w:val="24"/>
        </w:rPr>
        <w:t>ART</w:t>
      </w:r>
      <w:r w:rsidRPr="000655BF" w:rsidR="004F0E2A">
        <w:rPr>
          <w:rFonts w:cs="Times New Roman"/>
          <w:sz w:val="24"/>
          <w:szCs w:val="24"/>
        </w:rPr>
        <w:t xml:space="preserve"> is estimated to take </w:t>
      </w:r>
      <w:r w:rsidR="00451079">
        <w:rPr>
          <w:rFonts w:cs="Times New Roman"/>
          <w:sz w:val="24"/>
          <w:szCs w:val="24"/>
        </w:rPr>
        <w:t>1.5</w:t>
      </w:r>
      <w:r w:rsidRPr="000655BF" w:rsidR="00451079">
        <w:rPr>
          <w:rFonts w:cs="Times New Roman"/>
          <w:sz w:val="24"/>
          <w:szCs w:val="24"/>
        </w:rPr>
        <w:t xml:space="preserve"> </w:t>
      </w:r>
      <w:r w:rsidRPr="000655BF" w:rsidR="004F0E2A">
        <w:rPr>
          <w:rFonts w:cs="Times New Roman"/>
          <w:sz w:val="24"/>
          <w:szCs w:val="24"/>
        </w:rPr>
        <w:t xml:space="preserve">hours to complete </w:t>
      </w:r>
      <w:r w:rsidRPr="000655BF" w:rsidR="00431AC2">
        <w:rPr>
          <w:rFonts w:cs="Times New Roman"/>
          <w:sz w:val="24"/>
          <w:szCs w:val="24"/>
        </w:rPr>
        <w:t>each</w:t>
      </w:r>
      <w:r w:rsidRPr="000655BF" w:rsidR="004F0E2A">
        <w:rPr>
          <w:rFonts w:cs="Times New Roman"/>
          <w:sz w:val="24"/>
          <w:szCs w:val="24"/>
        </w:rPr>
        <w:t xml:space="preserve"> response</w:t>
      </w:r>
      <w:r w:rsidRPr="000655BF" w:rsidR="00015F00">
        <w:rPr>
          <w:rFonts w:cs="Times New Roman"/>
          <w:sz w:val="24"/>
          <w:szCs w:val="24"/>
        </w:rPr>
        <w:t xml:space="preserve"> period</w:t>
      </w:r>
      <w:r w:rsidR="004D3882">
        <w:rPr>
          <w:rFonts w:cs="Times New Roman"/>
          <w:sz w:val="24"/>
          <w:szCs w:val="24"/>
        </w:rPr>
        <w:t>.</w:t>
      </w:r>
      <w:r w:rsidRPr="000655BF" w:rsidR="004F0E2A">
        <w:rPr>
          <w:rFonts w:cs="Times New Roman"/>
          <w:sz w:val="24"/>
          <w:szCs w:val="24"/>
        </w:rPr>
        <w:t xml:space="preserve"> </w:t>
      </w:r>
      <w:r w:rsidR="004D3882">
        <w:rPr>
          <w:rFonts w:cs="Times New Roman"/>
          <w:sz w:val="24"/>
          <w:szCs w:val="24"/>
        </w:rPr>
        <w:t>T</w:t>
      </w:r>
      <w:r w:rsidRPr="000655BF" w:rsidR="004D3882">
        <w:rPr>
          <w:rFonts w:cs="Times New Roman"/>
          <w:sz w:val="24"/>
          <w:szCs w:val="24"/>
        </w:rPr>
        <w:t xml:space="preserve">his </w:t>
      </w:r>
      <w:r w:rsidRPr="000655BF" w:rsidR="004F0E2A">
        <w:rPr>
          <w:rFonts w:cs="Times New Roman"/>
          <w:sz w:val="24"/>
          <w:szCs w:val="24"/>
        </w:rPr>
        <w:t xml:space="preserve">includes </w:t>
      </w:r>
      <w:r w:rsidR="004D3882">
        <w:rPr>
          <w:rFonts w:cs="Times New Roman"/>
          <w:sz w:val="24"/>
          <w:szCs w:val="24"/>
        </w:rPr>
        <w:t>one</w:t>
      </w:r>
      <w:r w:rsidRPr="000655BF" w:rsidR="004815E6">
        <w:rPr>
          <w:rFonts w:cs="Times New Roman"/>
          <w:sz w:val="24"/>
          <w:szCs w:val="24"/>
        </w:rPr>
        <w:t xml:space="preserve"> hour </w:t>
      </w:r>
      <w:r w:rsidRPr="000655BF" w:rsidR="004F0E2A">
        <w:rPr>
          <w:rFonts w:cs="Times New Roman"/>
          <w:sz w:val="24"/>
          <w:szCs w:val="24"/>
        </w:rPr>
        <w:t xml:space="preserve">to </w:t>
      </w:r>
      <w:r w:rsidRPr="000655BF" w:rsidR="004815E6">
        <w:rPr>
          <w:rFonts w:cs="Times New Roman"/>
          <w:sz w:val="24"/>
          <w:szCs w:val="24"/>
        </w:rPr>
        <w:t>research</w:t>
      </w:r>
      <w:r w:rsidRPr="000655BF" w:rsidR="004F0E2A">
        <w:rPr>
          <w:rFonts w:cs="Times New Roman"/>
          <w:sz w:val="24"/>
          <w:szCs w:val="24"/>
        </w:rPr>
        <w:t xml:space="preserve"> and compile information</w:t>
      </w:r>
      <w:r w:rsidRPr="000655BF" w:rsidR="004815E6">
        <w:rPr>
          <w:rFonts w:cs="Times New Roman"/>
          <w:sz w:val="24"/>
          <w:szCs w:val="24"/>
        </w:rPr>
        <w:t xml:space="preserve"> </w:t>
      </w:r>
      <w:r w:rsidRPr="000655BF" w:rsidR="004F0E2A">
        <w:rPr>
          <w:rFonts w:cs="Times New Roman"/>
          <w:sz w:val="24"/>
          <w:szCs w:val="24"/>
        </w:rPr>
        <w:t xml:space="preserve">and </w:t>
      </w:r>
      <w:r w:rsidR="004D3882">
        <w:rPr>
          <w:rFonts w:cs="Times New Roman"/>
          <w:sz w:val="24"/>
          <w:szCs w:val="24"/>
        </w:rPr>
        <w:t>half an</w:t>
      </w:r>
      <w:r w:rsidRPr="000655BF" w:rsidR="004815E6">
        <w:rPr>
          <w:rFonts w:cs="Times New Roman"/>
          <w:sz w:val="24"/>
          <w:szCs w:val="24"/>
        </w:rPr>
        <w:t xml:space="preserve"> hour </w:t>
      </w:r>
      <w:r w:rsidRPr="000655BF" w:rsidR="004F0E2A">
        <w:rPr>
          <w:rFonts w:cs="Times New Roman"/>
          <w:sz w:val="24"/>
          <w:szCs w:val="24"/>
        </w:rPr>
        <w:t>to complete the web instrument</w:t>
      </w:r>
      <w:r w:rsidR="00F25D9A">
        <w:rPr>
          <w:rFonts w:cs="Times New Roman"/>
          <w:sz w:val="24"/>
          <w:szCs w:val="24"/>
        </w:rPr>
        <w:t xml:space="preserve"> in the CS-DCP</w:t>
      </w:r>
      <w:r w:rsidRPr="000655BF" w:rsidR="004F0E2A">
        <w:rPr>
          <w:rFonts w:cs="Times New Roman"/>
          <w:sz w:val="24"/>
          <w:szCs w:val="24"/>
        </w:rPr>
        <w:t>.</w:t>
      </w:r>
    </w:p>
    <w:p w:rsidR="001E2A28" w:rsidRPr="000655BF" w:rsidP="001E2A28" w14:paraId="1945189B"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00A44408" w:rsidP="00DE501A" w14:paraId="540A1906" w14:textId="0D5A966B">
      <w:pPr>
        <w:pStyle w:val="BodyText"/>
        <w:rPr>
          <w:sz w:val="24"/>
          <w:szCs w:val="24"/>
        </w:rPr>
      </w:pPr>
      <w:r w:rsidRPr="000655BF">
        <w:rPr>
          <w:sz w:val="24"/>
          <w:szCs w:val="24"/>
        </w:rPr>
        <w:t>Exhibit</w:t>
      </w:r>
      <w:r w:rsidR="00CA512F">
        <w:rPr>
          <w:sz w:val="24"/>
          <w:szCs w:val="24"/>
        </w:rPr>
        <w:t>s</w:t>
      </w:r>
      <w:r w:rsidRPr="000655BF">
        <w:rPr>
          <w:sz w:val="24"/>
          <w:szCs w:val="24"/>
        </w:rPr>
        <w:t xml:space="preserve"> </w:t>
      </w:r>
      <w:r w:rsidR="00E2473B">
        <w:rPr>
          <w:sz w:val="24"/>
          <w:szCs w:val="24"/>
        </w:rPr>
        <w:t>6</w:t>
      </w:r>
      <w:r w:rsidR="004D3882">
        <w:rPr>
          <w:sz w:val="24"/>
          <w:szCs w:val="24"/>
        </w:rPr>
        <w:t xml:space="preserve"> </w:t>
      </w:r>
      <w:r w:rsidR="00BA4521">
        <w:rPr>
          <w:sz w:val="24"/>
          <w:szCs w:val="24"/>
        </w:rPr>
        <w:t>to 8</w:t>
      </w:r>
      <w:r w:rsidR="00B46D53">
        <w:rPr>
          <w:sz w:val="24"/>
          <w:szCs w:val="24"/>
        </w:rPr>
        <w:t xml:space="preserve"> </w:t>
      </w:r>
      <w:r w:rsidRPr="000655BF">
        <w:rPr>
          <w:sz w:val="24"/>
          <w:szCs w:val="24"/>
        </w:rPr>
        <w:t xml:space="preserve">provide </w:t>
      </w:r>
      <w:r w:rsidRPr="000655BF">
        <w:rPr>
          <w:sz w:val="24"/>
          <w:szCs w:val="24"/>
        </w:rPr>
        <w:t>detail</w:t>
      </w:r>
      <w:r w:rsidRPr="000655BF">
        <w:rPr>
          <w:sz w:val="24"/>
          <w:szCs w:val="24"/>
        </w:rPr>
        <w:t xml:space="preserve"> of the annual burden for the </w:t>
      </w:r>
      <w:r w:rsidR="003F1D06">
        <w:rPr>
          <w:sz w:val="24"/>
          <w:szCs w:val="24"/>
        </w:rPr>
        <w:t>ART</w:t>
      </w:r>
      <w:r w:rsidRPr="000655BF">
        <w:rPr>
          <w:sz w:val="24"/>
          <w:szCs w:val="24"/>
        </w:rPr>
        <w:t xml:space="preserve"> for Years </w:t>
      </w:r>
      <w:r w:rsidR="00416B41">
        <w:rPr>
          <w:sz w:val="24"/>
          <w:szCs w:val="24"/>
        </w:rPr>
        <w:t>1</w:t>
      </w:r>
      <w:r w:rsidR="00BA4521">
        <w:rPr>
          <w:sz w:val="24"/>
          <w:szCs w:val="24"/>
        </w:rPr>
        <w:t xml:space="preserve"> to 3</w:t>
      </w:r>
      <w:r w:rsidR="00C52BEE">
        <w:rPr>
          <w:sz w:val="24"/>
          <w:szCs w:val="24"/>
        </w:rPr>
        <w:t xml:space="preserve"> </w:t>
      </w:r>
      <w:r w:rsidR="00416B41">
        <w:rPr>
          <w:sz w:val="24"/>
          <w:szCs w:val="24"/>
        </w:rPr>
        <w:t xml:space="preserve">of the </w:t>
      </w:r>
      <w:r w:rsidR="00BD3D38">
        <w:rPr>
          <w:sz w:val="24"/>
          <w:szCs w:val="24"/>
        </w:rPr>
        <w:t>PEPC</w:t>
      </w:r>
      <w:r w:rsidR="00416B41">
        <w:rPr>
          <w:sz w:val="24"/>
          <w:szCs w:val="24"/>
        </w:rPr>
        <w:t xml:space="preserve"> evaluation</w:t>
      </w:r>
      <w:r>
        <w:rPr>
          <w:sz w:val="24"/>
          <w:szCs w:val="24"/>
        </w:rPr>
        <w:t>.</w:t>
      </w:r>
      <w:r w:rsidRPr="000655BF">
        <w:rPr>
          <w:sz w:val="24"/>
          <w:szCs w:val="24"/>
        </w:rPr>
        <w:t xml:space="preserve"> The estimated burden for the </w:t>
      </w:r>
      <w:r w:rsidR="003F1D06">
        <w:rPr>
          <w:sz w:val="24"/>
          <w:szCs w:val="24"/>
        </w:rPr>
        <w:t>ART</w:t>
      </w:r>
      <w:r w:rsidRPr="000655BF">
        <w:rPr>
          <w:sz w:val="24"/>
          <w:szCs w:val="24"/>
        </w:rPr>
        <w:t xml:space="preserve"> is </w:t>
      </w:r>
      <w:r w:rsidR="00451079">
        <w:rPr>
          <w:sz w:val="24"/>
          <w:szCs w:val="24"/>
        </w:rPr>
        <w:t xml:space="preserve">1.5 </w:t>
      </w:r>
      <w:r w:rsidRPr="000655BF">
        <w:rPr>
          <w:sz w:val="24"/>
          <w:szCs w:val="24"/>
        </w:rPr>
        <w:t xml:space="preserve">hours per respondent, including time to gather relevant information and enter it into </w:t>
      </w:r>
      <w:r w:rsidRPr="00D6369F" w:rsidR="00D6369F">
        <w:rPr>
          <w:sz w:val="24"/>
          <w:szCs w:val="24"/>
        </w:rPr>
        <w:t>CS-DCP</w:t>
      </w:r>
      <w:r w:rsidRPr="00D6369F">
        <w:rPr>
          <w:sz w:val="24"/>
          <w:szCs w:val="24"/>
        </w:rPr>
        <w:t>.</w:t>
      </w:r>
      <w:r w:rsidRPr="000655BF">
        <w:rPr>
          <w:sz w:val="24"/>
          <w:szCs w:val="24"/>
        </w:rPr>
        <w:t xml:space="preserve"> </w:t>
      </w:r>
      <w:r w:rsidR="00451079">
        <w:rPr>
          <w:sz w:val="24"/>
          <w:szCs w:val="24"/>
        </w:rPr>
        <w:t xml:space="preserve">The content of the ART was reduced by approximately 75% from the previous data collection, and this burden estimate represents </w:t>
      </w:r>
      <w:r w:rsidR="005C791D">
        <w:rPr>
          <w:sz w:val="24"/>
          <w:szCs w:val="24"/>
        </w:rPr>
        <w:t xml:space="preserve">our best estimate of the time needed to gather information </w:t>
      </w:r>
      <w:r w:rsidR="00E37705">
        <w:rPr>
          <w:sz w:val="24"/>
          <w:szCs w:val="24"/>
        </w:rPr>
        <w:t>to</w:t>
      </w:r>
      <w:r w:rsidR="005C791D">
        <w:rPr>
          <w:sz w:val="24"/>
          <w:szCs w:val="24"/>
        </w:rPr>
        <w:t xml:space="preserve"> complete the reduced instrument. </w:t>
      </w:r>
      <w:r w:rsidRPr="003A7298">
        <w:rPr>
          <w:sz w:val="24"/>
          <w:szCs w:val="24"/>
        </w:rPr>
        <w:t>The</w:t>
      </w:r>
      <w:r>
        <w:rPr>
          <w:sz w:val="24"/>
          <w:szCs w:val="24"/>
        </w:rPr>
        <w:t xml:space="preserve"> burden for the </w:t>
      </w:r>
      <w:r w:rsidR="003F1D06">
        <w:rPr>
          <w:sz w:val="24"/>
          <w:szCs w:val="24"/>
        </w:rPr>
        <w:t>ART</w:t>
      </w:r>
      <w:r>
        <w:rPr>
          <w:sz w:val="24"/>
          <w:szCs w:val="24"/>
        </w:rPr>
        <w:t xml:space="preserve"> is reported by respondent type to reflect a more accurate hourly wage and cost for completion.</w:t>
      </w:r>
    </w:p>
    <w:p w:rsidR="001F1A1D" w:rsidRPr="000655BF" w:rsidP="00DE501A" w14:paraId="0ACDB85F" w14:textId="676AEB00">
      <w:pPr>
        <w:pStyle w:val="BodyText"/>
        <w:rPr>
          <w:sz w:val="24"/>
          <w:szCs w:val="24"/>
        </w:rPr>
      </w:pPr>
      <w:r w:rsidRPr="000655BF">
        <w:rPr>
          <w:sz w:val="24"/>
          <w:szCs w:val="24"/>
        </w:rPr>
        <w:t xml:space="preserve">Exhibit </w:t>
      </w:r>
      <w:r w:rsidR="00BA4521">
        <w:rPr>
          <w:sz w:val="24"/>
          <w:szCs w:val="24"/>
        </w:rPr>
        <w:t>9</w:t>
      </w:r>
      <w:r w:rsidRPr="000655BF" w:rsidR="00BA4521">
        <w:rPr>
          <w:sz w:val="24"/>
          <w:szCs w:val="24"/>
        </w:rPr>
        <w:t xml:space="preserve"> </w:t>
      </w:r>
      <w:r w:rsidRPr="000655BF">
        <w:rPr>
          <w:sz w:val="24"/>
          <w:szCs w:val="24"/>
        </w:rPr>
        <w:t xml:space="preserve">presents </w:t>
      </w:r>
      <w:r w:rsidR="00B927F4">
        <w:rPr>
          <w:sz w:val="24"/>
          <w:szCs w:val="24"/>
        </w:rPr>
        <w:t xml:space="preserve">average annualized </w:t>
      </w:r>
      <w:r w:rsidRPr="000655BF">
        <w:rPr>
          <w:sz w:val="24"/>
          <w:szCs w:val="24"/>
        </w:rPr>
        <w:t xml:space="preserve">estimates </w:t>
      </w:r>
      <w:r w:rsidR="00B927F4">
        <w:rPr>
          <w:sz w:val="24"/>
          <w:szCs w:val="24"/>
        </w:rPr>
        <w:t>of the</w:t>
      </w:r>
      <w:r w:rsidRPr="000655BF" w:rsidR="00E2074E">
        <w:rPr>
          <w:sz w:val="24"/>
          <w:szCs w:val="24"/>
        </w:rPr>
        <w:t xml:space="preserve"> </w:t>
      </w:r>
      <w:r w:rsidR="003F1D06">
        <w:rPr>
          <w:iCs/>
          <w:sz w:val="24"/>
          <w:szCs w:val="24"/>
        </w:rPr>
        <w:t>ART</w:t>
      </w:r>
      <w:r w:rsidRPr="000655BF" w:rsidR="00885452">
        <w:rPr>
          <w:sz w:val="24"/>
          <w:szCs w:val="24"/>
        </w:rPr>
        <w:t xml:space="preserve"> </w:t>
      </w:r>
      <w:r w:rsidRPr="00CE57F7">
        <w:rPr>
          <w:sz w:val="24"/>
          <w:szCs w:val="24"/>
        </w:rPr>
        <w:t>burden</w:t>
      </w:r>
      <w:r w:rsidRPr="00CE57F7" w:rsidR="00E2074E">
        <w:rPr>
          <w:sz w:val="24"/>
          <w:szCs w:val="24"/>
        </w:rPr>
        <w:t xml:space="preserve"> </w:t>
      </w:r>
      <w:r w:rsidRPr="00CE57F7">
        <w:rPr>
          <w:sz w:val="24"/>
          <w:szCs w:val="24"/>
        </w:rPr>
        <w:t>(</w:t>
      </w:r>
      <w:r w:rsidRPr="0062547E" w:rsidR="002C0099">
        <w:rPr>
          <w:sz w:val="24"/>
          <w:szCs w:val="24"/>
        </w:rPr>
        <w:t xml:space="preserve">192 </w:t>
      </w:r>
      <w:r w:rsidRPr="00CE57F7" w:rsidR="00616E10">
        <w:rPr>
          <w:sz w:val="24"/>
          <w:szCs w:val="24"/>
        </w:rPr>
        <w:t>hours</w:t>
      </w:r>
      <w:r w:rsidRPr="00CE57F7">
        <w:rPr>
          <w:sz w:val="24"/>
          <w:szCs w:val="24"/>
        </w:rPr>
        <w:t xml:space="preserve">) and the </w:t>
      </w:r>
      <w:r w:rsidRPr="00CE57F7" w:rsidR="00BC2F0E">
        <w:rPr>
          <w:sz w:val="24"/>
          <w:szCs w:val="24"/>
        </w:rPr>
        <w:t xml:space="preserve">total </w:t>
      </w:r>
      <w:r w:rsidRPr="00CE57F7">
        <w:rPr>
          <w:sz w:val="24"/>
          <w:szCs w:val="24"/>
        </w:rPr>
        <w:t>respondent cost (</w:t>
      </w:r>
      <w:r w:rsidRPr="00CE57F7" w:rsidR="00B661D5">
        <w:rPr>
          <w:sz w:val="24"/>
          <w:szCs w:val="24"/>
        </w:rPr>
        <w:t>$</w:t>
      </w:r>
      <w:r w:rsidRPr="0062547E" w:rsidR="00CE57F7">
        <w:rPr>
          <w:sz w:val="24"/>
          <w:szCs w:val="24"/>
        </w:rPr>
        <w:t>6,496.51</w:t>
      </w:r>
      <w:r w:rsidRPr="00CE57F7" w:rsidR="007D484C">
        <w:rPr>
          <w:sz w:val="24"/>
          <w:szCs w:val="24"/>
        </w:rPr>
        <w:t> </w:t>
      </w:r>
      <w:r w:rsidRPr="00CE57F7">
        <w:rPr>
          <w:sz w:val="24"/>
          <w:szCs w:val="24"/>
        </w:rPr>
        <w:t xml:space="preserve">= total burden hours × the </w:t>
      </w:r>
      <w:r w:rsidRPr="00CE57F7" w:rsidR="008D2076">
        <w:rPr>
          <w:sz w:val="24"/>
          <w:szCs w:val="24"/>
        </w:rPr>
        <w:t xml:space="preserve">estimated </w:t>
      </w:r>
      <w:r w:rsidRPr="00CE57F7">
        <w:rPr>
          <w:sz w:val="24"/>
          <w:szCs w:val="24"/>
        </w:rPr>
        <w:t>hourly wage for</w:t>
      </w:r>
      <w:r w:rsidRPr="00CE57F7" w:rsidR="00BC2F0E">
        <w:rPr>
          <w:sz w:val="24"/>
          <w:szCs w:val="24"/>
        </w:rPr>
        <w:t xml:space="preserve"> respondents).</w:t>
      </w:r>
      <w:r w:rsidRPr="00063006" w:rsidR="00DE501A">
        <w:rPr>
          <w:sz w:val="24"/>
          <w:szCs w:val="24"/>
        </w:rPr>
        <w:t xml:space="preserve"> </w:t>
      </w:r>
      <w:r w:rsidR="00DE501A">
        <w:rPr>
          <w:rStyle w:val="CommentReference"/>
        </w:rPr>
        <w:t xml:space="preserve"> </w:t>
      </w:r>
    </w:p>
    <w:p w:rsidR="001F1A1D" w:rsidRPr="000655BF" w:rsidP="001A5089" w14:paraId="1126C19F" w14:textId="4518E329">
      <w:pPr>
        <w:pStyle w:val="Heading4"/>
        <w:rPr>
          <w:szCs w:val="24"/>
        </w:rPr>
      </w:pPr>
      <w:r w:rsidRPr="0029072B">
        <w:t xml:space="preserve">Grantee-Level </w:t>
      </w:r>
      <w:r w:rsidRPr="0029072B" w:rsidR="007E5D8C">
        <w:t xml:space="preserve">PDMP </w:t>
      </w:r>
      <w:r w:rsidRPr="0029072B">
        <w:t>Outcomes Module</w:t>
      </w:r>
    </w:p>
    <w:p w:rsidR="00643C58" w:rsidRPr="000655BF" w:rsidP="00DE501A" w14:paraId="784F32CF" w14:textId="12518A0C">
      <w:pPr>
        <w:pStyle w:val="BodyText"/>
        <w:rPr>
          <w:sz w:val="24"/>
          <w:szCs w:val="24"/>
        </w:rPr>
      </w:pPr>
      <w:r w:rsidRPr="000655BF">
        <w:rPr>
          <w:sz w:val="24"/>
          <w:szCs w:val="24"/>
        </w:rPr>
        <w:t>The</w:t>
      </w:r>
      <w:r w:rsidRPr="000655BF">
        <w:rPr>
          <w:i/>
          <w:iCs/>
          <w:sz w:val="24"/>
          <w:szCs w:val="24"/>
        </w:rPr>
        <w:t xml:space="preserve"> </w:t>
      </w:r>
      <w:r w:rsidRPr="000655BF">
        <w:rPr>
          <w:iCs/>
          <w:sz w:val="24"/>
          <w:szCs w:val="24"/>
        </w:rPr>
        <w:t xml:space="preserve">Grantee-Level </w:t>
      </w:r>
      <w:r w:rsidR="007E5D8C">
        <w:rPr>
          <w:iCs/>
          <w:sz w:val="24"/>
          <w:szCs w:val="24"/>
        </w:rPr>
        <w:t xml:space="preserve">PDMP </w:t>
      </w:r>
      <w:r w:rsidRPr="000655BF">
        <w:rPr>
          <w:iCs/>
          <w:sz w:val="24"/>
          <w:szCs w:val="24"/>
        </w:rPr>
        <w:t>Outcome</w:t>
      </w:r>
      <w:r w:rsidR="007E5D8C">
        <w:rPr>
          <w:iCs/>
          <w:sz w:val="24"/>
          <w:szCs w:val="24"/>
        </w:rPr>
        <w:t>s</w:t>
      </w:r>
      <w:r w:rsidRPr="000655BF">
        <w:rPr>
          <w:iCs/>
          <w:sz w:val="24"/>
          <w:szCs w:val="24"/>
        </w:rPr>
        <w:t xml:space="preserve"> Module</w:t>
      </w:r>
      <w:r w:rsidRPr="000655BF" w:rsidR="00ED2E7A">
        <w:rPr>
          <w:iCs/>
          <w:sz w:val="24"/>
          <w:szCs w:val="24"/>
        </w:rPr>
        <w:t xml:space="preserve"> is</w:t>
      </w:r>
      <w:r w:rsidRPr="000655BF">
        <w:rPr>
          <w:sz w:val="24"/>
          <w:szCs w:val="24"/>
        </w:rPr>
        <w:t xml:space="preserve"> required </w:t>
      </w:r>
      <w:r w:rsidRPr="000655BF" w:rsidR="00ED2E7A">
        <w:rPr>
          <w:sz w:val="24"/>
          <w:szCs w:val="24"/>
        </w:rPr>
        <w:t xml:space="preserve">annually </w:t>
      </w:r>
      <w:r w:rsidRPr="000655BF">
        <w:rPr>
          <w:sz w:val="24"/>
          <w:szCs w:val="24"/>
        </w:rPr>
        <w:t>of</w:t>
      </w:r>
      <w:r w:rsidRPr="000655BF">
        <w:rPr>
          <w:sz w:val="24"/>
          <w:szCs w:val="24"/>
        </w:rPr>
        <w:t xml:space="preserve"> all grantees.</w:t>
      </w:r>
      <w:r w:rsidRPr="000655BF">
        <w:rPr>
          <w:sz w:val="24"/>
          <w:szCs w:val="24"/>
        </w:rPr>
        <w:t xml:space="preserve"> Key assumptions related to the burden include</w:t>
      </w:r>
      <w:r w:rsidR="005E0CEA">
        <w:rPr>
          <w:sz w:val="24"/>
          <w:szCs w:val="24"/>
        </w:rPr>
        <w:t xml:space="preserve"> the following</w:t>
      </w:r>
      <w:r w:rsidRPr="000655BF">
        <w:rPr>
          <w:sz w:val="24"/>
          <w:szCs w:val="24"/>
        </w:rPr>
        <w:t>:</w:t>
      </w:r>
    </w:p>
    <w:p w:rsidR="002C67B1" w:rsidRPr="00BD3D38" w:rsidP="002C67B1" w14:paraId="2FBC6CD8" w14:textId="3D0599F0">
      <w:pPr>
        <w:pStyle w:val="ListBulletLast"/>
        <w:rPr>
          <w:rFonts w:cs="Times New Roman"/>
          <w:sz w:val="24"/>
          <w:szCs w:val="24"/>
        </w:rPr>
      </w:pPr>
      <w:r>
        <w:rPr>
          <w:rFonts w:cs="Times New Roman"/>
          <w:sz w:val="24"/>
          <w:szCs w:val="24"/>
        </w:rPr>
        <w:t>The number of grantees participating in data collection will vary each year as grants expire</w:t>
      </w:r>
      <w:r w:rsidR="00BA4521">
        <w:rPr>
          <w:rFonts w:cs="Times New Roman"/>
          <w:sz w:val="24"/>
          <w:szCs w:val="24"/>
        </w:rPr>
        <w:t xml:space="preserve"> and are awarded</w:t>
      </w:r>
      <w:r>
        <w:rPr>
          <w:rFonts w:cs="Times New Roman"/>
          <w:sz w:val="24"/>
          <w:szCs w:val="24"/>
        </w:rPr>
        <w:t xml:space="preserve">. </w:t>
      </w:r>
    </w:p>
    <w:p w:rsidR="004741BC" w:rsidP="002C67B1" w14:paraId="27FBBC3B" w14:textId="421B5193">
      <w:pPr>
        <w:pStyle w:val="ListBulletLast"/>
        <w:numPr>
          <w:ilvl w:val="1"/>
          <w:numId w:val="11"/>
        </w:numPr>
      </w:pPr>
      <w:r>
        <w:t xml:space="preserve">In Year </w:t>
      </w:r>
      <w:r w:rsidR="00BD3D38">
        <w:t>1</w:t>
      </w:r>
      <w:r>
        <w:t xml:space="preserve">, </w:t>
      </w:r>
      <w:r w:rsidR="00C2592C">
        <w:t xml:space="preserve">26 </w:t>
      </w:r>
      <w:r>
        <w:t>grantees (</w:t>
      </w:r>
      <w:r w:rsidRPr="00451079">
        <w:t>20 grantees from the FY 2021 cohort</w:t>
      </w:r>
      <w:r w:rsidR="00C2592C">
        <w:t xml:space="preserve"> and</w:t>
      </w:r>
      <w:r>
        <w:t xml:space="preserve"> </w:t>
      </w:r>
      <w:r w:rsidRPr="00451079">
        <w:t>6 from the FY 2022 cohort</w:t>
      </w:r>
      <w:r>
        <w:t xml:space="preserve">) will complete the Grantee-Level PDMP Outcomes Module. </w:t>
      </w:r>
    </w:p>
    <w:p w:rsidR="004741BC" w:rsidP="002C67B1" w14:paraId="7F70FD1F" w14:textId="59CB57B7">
      <w:pPr>
        <w:pStyle w:val="ListBulletLast"/>
        <w:numPr>
          <w:ilvl w:val="1"/>
          <w:numId w:val="11"/>
        </w:numPr>
      </w:pPr>
      <w:r>
        <w:t xml:space="preserve">In Year </w:t>
      </w:r>
      <w:r w:rsidR="00BD3D38">
        <w:t>2</w:t>
      </w:r>
      <w:r>
        <w:t>, 6 grantees from the FY 2022 cohort</w:t>
      </w:r>
      <w:r w:rsidRPr="004741BC">
        <w:t xml:space="preserve"> </w:t>
      </w:r>
      <w:r>
        <w:t>will complete the Grantee-Level PDMP Outcomes Module.</w:t>
      </w:r>
    </w:p>
    <w:p w:rsidR="00BA4521" w:rsidP="002C67B1" w14:paraId="40E6017A" w14:textId="5B9BDD52">
      <w:pPr>
        <w:pStyle w:val="ListBulletLast"/>
        <w:numPr>
          <w:ilvl w:val="1"/>
          <w:numId w:val="11"/>
        </w:numPr>
      </w:pPr>
      <w:r>
        <w:t>In Year 3, 30 grantees from the anticipated FY 2027 cohort will complete the Grantee-Level PDMP Outcomes Module.</w:t>
      </w:r>
    </w:p>
    <w:p w:rsidR="00882411" w:rsidRPr="00DF556C" w:rsidP="00882411" w14:paraId="5A258F0D" w14:textId="14711DAC">
      <w:pPr>
        <w:pStyle w:val="ListBulletLast"/>
        <w:rPr>
          <w:rFonts w:cs="Times New Roman"/>
          <w:sz w:val="24"/>
          <w:szCs w:val="24"/>
        </w:rPr>
      </w:pPr>
      <w:r w:rsidRPr="00DF556C">
        <w:rPr>
          <w:rFonts w:cs="Times New Roman"/>
          <w:sz w:val="24"/>
          <w:szCs w:val="24"/>
        </w:rPr>
        <w:t xml:space="preserve">The </w:t>
      </w:r>
      <w:r w:rsidRPr="00DF556C">
        <w:rPr>
          <w:rFonts w:cs="Times New Roman"/>
          <w:iCs/>
          <w:sz w:val="24"/>
          <w:szCs w:val="24"/>
        </w:rPr>
        <w:t xml:space="preserve">Grantee-Level </w:t>
      </w:r>
      <w:r w:rsidRPr="00DF556C" w:rsidR="007E5D8C">
        <w:rPr>
          <w:rFonts w:cs="Times New Roman"/>
          <w:iCs/>
          <w:sz w:val="24"/>
          <w:szCs w:val="24"/>
        </w:rPr>
        <w:t xml:space="preserve">PDMP </w:t>
      </w:r>
      <w:r w:rsidRPr="00DF556C">
        <w:rPr>
          <w:rFonts w:cs="Times New Roman"/>
          <w:iCs/>
          <w:sz w:val="24"/>
          <w:szCs w:val="24"/>
        </w:rPr>
        <w:t>Outcome</w:t>
      </w:r>
      <w:r w:rsidRPr="00DF556C" w:rsidR="007E5D8C">
        <w:rPr>
          <w:rFonts w:cs="Times New Roman"/>
          <w:iCs/>
          <w:sz w:val="24"/>
          <w:szCs w:val="24"/>
        </w:rPr>
        <w:t>s</w:t>
      </w:r>
      <w:r w:rsidRPr="00DF556C">
        <w:rPr>
          <w:rFonts w:cs="Times New Roman"/>
          <w:iCs/>
          <w:sz w:val="24"/>
          <w:szCs w:val="24"/>
        </w:rPr>
        <w:t xml:space="preserve"> </w:t>
      </w:r>
      <w:r w:rsidRPr="00DF556C">
        <w:rPr>
          <w:rFonts w:cs="Times New Roman"/>
          <w:sz w:val="24"/>
          <w:szCs w:val="24"/>
        </w:rPr>
        <w:t xml:space="preserve">Module is estimated to take </w:t>
      </w:r>
      <w:r w:rsidRPr="00DF556C" w:rsidR="00327500">
        <w:rPr>
          <w:rFonts w:cs="Times New Roman"/>
          <w:sz w:val="24"/>
          <w:szCs w:val="24"/>
        </w:rPr>
        <w:t>2.5</w:t>
      </w:r>
      <w:r w:rsidRPr="00DF556C">
        <w:rPr>
          <w:rFonts w:cs="Times New Roman"/>
          <w:sz w:val="24"/>
          <w:szCs w:val="24"/>
        </w:rPr>
        <w:t xml:space="preserve"> hours to complete per response; this includes </w:t>
      </w:r>
      <w:r w:rsidRPr="00DF556C" w:rsidR="00327500">
        <w:rPr>
          <w:rFonts w:cs="Times New Roman"/>
          <w:sz w:val="24"/>
          <w:szCs w:val="24"/>
        </w:rPr>
        <w:t>1.5</w:t>
      </w:r>
      <w:r w:rsidRPr="00DF556C">
        <w:rPr>
          <w:rFonts w:cs="Times New Roman"/>
          <w:sz w:val="24"/>
          <w:szCs w:val="24"/>
        </w:rPr>
        <w:t xml:space="preserve"> hours to research</w:t>
      </w:r>
      <w:r w:rsidRPr="00DF556C" w:rsidR="00B177F2">
        <w:rPr>
          <w:rFonts w:cs="Times New Roman"/>
          <w:sz w:val="24"/>
          <w:szCs w:val="24"/>
        </w:rPr>
        <w:t xml:space="preserve"> and compile information, and </w:t>
      </w:r>
      <w:r w:rsidR="007D484C">
        <w:rPr>
          <w:rFonts w:cs="Times New Roman"/>
          <w:sz w:val="24"/>
          <w:szCs w:val="24"/>
        </w:rPr>
        <w:t>1</w:t>
      </w:r>
      <w:r w:rsidRPr="00DF556C" w:rsidR="007D484C">
        <w:rPr>
          <w:rFonts w:cs="Times New Roman"/>
          <w:sz w:val="24"/>
          <w:szCs w:val="24"/>
        </w:rPr>
        <w:t xml:space="preserve"> </w:t>
      </w:r>
      <w:r w:rsidRPr="00DF556C">
        <w:rPr>
          <w:rFonts w:cs="Times New Roman"/>
          <w:sz w:val="24"/>
          <w:szCs w:val="24"/>
        </w:rPr>
        <w:t xml:space="preserve">hour to complete the web instrument. </w:t>
      </w:r>
    </w:p>
    <w:p w:rsidR="00882411" w:rsidRPr="000655BF" w:rsidP="00882411" w14:paraId="6DEDBCB6" w14:textId="77777777">
      <w:pPr>
        <w:pStyle w:val="ListBulletLast"/>
        <w:rPr>
          <w:rFonts w:cs="Times New Roman"/>
          <w:sz w:val="24"/>
          <w:szCs w:val="24"/>
        </w:rPr>
      </w:pPr>
      <w:r w:rsidRPr="00DF556C">
        <w:rPr>
          <w:rFonts w:cs="Times New Roman"/>
          <w:sz w:val="24"/>
          <w:szCs w:val="24"/>
        </w:rPr>
        <w:t>There are no direct costs to respondents other than their time to complete the instrument</w:t>
      </w:r>
      <w:r w:rsidRPr="000655BF">
        <w:rPr>
          <w:rFonts w:cs="Times New Roman"/>
          <w:sz w:val="24"/>
          <w:szCs w:val="24"/>
        </w:rPr>
        <w:t>.</w:t>
      </w:r>
    </w:p>
    <w:p w:rsidR="00DF556C" w:rsidP="00063006" w14:paraId="0D6E8711" w14:textId="6D25EB90">
      <w:pPr>
        <w:pStyle w:val="ListBulletLast"/>
        <w:numPr>
          <w:ilvl w:val="0"/>
          <w:numId w:val="0"/>
        </w:numPr>
        <w:rPr>
          <w:rFonts w:cs="Times New Roman"/>
          <w:sz w:val="24"/>
          <w:szCs w:val="24"/>
        </w:rPr>
      </w:pPr>
      <w:bookmarkStart w:id="11" w:name="_Hlk95140051"/>
      <w:r w:rsidRPr="00DF556C">
        <w:rPr>
          <w:rFonts w:cs="Times New Roman"/>
          <w:sz w:val="24"/>
          <w:szCs w:val="24"/>
        </w:rPr>
        <w:t xml:space="preserve">Exhibits </w:t>
      </w:r>
      <w:r w:rsidR="00E2473B">
        <w:rPr>
          <w:rFonts w:cs="Times New Roman"/>
          <w:sz w:val="24"/>
          <w:szCs w:val="24"/>
        </w:rPr>
        <w:t>6</w:t>
      </w:r>
      <w:r w:rsidR="005E0CEA">
        <w:rPr>
          <w:rFonts w:cs="Times New Roman"/>
          <w:sz w:val="24"/>
          <w:szCs w:val="24"/>
        </w:rPr>
        <w:t xml:space="preserve"> </w:t>
      </w:r>
      <w:r w:rsidR="00BA4521">
        <w:rPr>
          <w:rFonts w:cs="Times New Roman"/>
          <w:sz w:val="24"/>
          <w:szCs w:val="24"/>
        </w:rPr>
        <w:t>to 8</w:t>
      </w:r>
      <w:r w:rsidRPr="00DF556C" w:rsidR="00B46D53">
        <w:rPr>
          <w:rFonts w:cs="Times New Roman"/>
          <w:sz w:val="24"/>
          <w:szCs w:val="24"/>
        </w:rPr>
        <w:t xml:space="preserve"> </w:t>
      </w:r>
      <w:r w:rsidRPr="00DF556C">
        <w:rPr>
          <w:rFonts w:cs="Times New Roman"/>
          <w:sz w:val="24"/>
          <w:szCs w:val="24"/>
        </w:rPr>
        <w:t>provide detail</w:t>
      </w:r>
      <w:r w:rsidR="007D484C">
        <w:rPr>
          <w:rFonts w:cs="Times New Roman"/>
          <w:sz w:val="24"/>
          <w:szCs w:val="24"/>
        </w:rPr>
        <w:t>s on</w:t>
      </w:r>
      <w:r w:rsidRPr="00DF556C">
        <w:rPr>
          <w:rFonts w:cs="Times New Roman"/>
          <w:sz w:val="24"/>
          <w:szCs w:val="24"/>
        </w:rPr>
        <w:t xml:space="preserve"> the annual burden for the Grantee-Level PDMP Outcomes Module for Years 1</w:t>
      </w:r>
      <w:r w:rsidR="00F537D6">
        <w:rPr>
          <w:rFonts w:cs="Times New Roman"/>
          <w:sz w:val="24"/>
          <w:szCs w:val="24"/>
        </w:rPr>
        <w:t xml:space="preserve"> </w:t>
      </w:r>
      <w:r w:rsidR="00BA4521">
        <w:rPr>
          <w:rFonts w:cs="Times New Roman"/>
          <w:sz w:val="24"/>
          <w:szCs w:val="24"/>
        </w:rPr>
        <w:t>to 3</w:t>
      </w:r>
      <w:r w:rsidRPr="00DF556C" w:rsidR="00162176">
        <w:rPr>
          <w:rFonts w:cs="Times New Roman"/>
          <w:sz w:val="24"/>
          <w:szCs w:val="24"/>
        </w:rPr>
        <w:t xml:space="preserve"> </w:t>
      </w:r>
      <w:r w:rsidRPr="00DF556C">
        <w:rPr>
          <w:rFonts w:cs="Times New Roman"/>
          <w:sz w:val="24"/>
          <w:szCs w:val="24"/>
        </w:rPr>
        <w:t xml:space="preserve">of the </w:t>
      </w:r>
      <w:r w:rsidR="00BD3D38">
        <w:rPr>
          <w:rFonts w:cs="Times New Roman"/>
          <w:sz w:val="24"/>
          <w:szCs w:val="24"/>
        </w:rPr>
        <w:t>PEPC</w:t>
      </w:r>
      <w:r w:rsidRPr="00DF556C">
        <w:rPr>
          <w:rFonts w:cs="Times New Roman"/>
          <w:sz w:val="24"/>
          <w:szCs w:val="24"/>
        </w:rPr>
        <w:t xml:space="preserve"> evaluation. </w:t>
      </w:r>
      <w:bookmarkStart w:id="12" w:name="_Hlk95161467"/>
      <w:r>
        <w:rPr>
          <w:rFonts w:cs="Times New Roman"/>
          <w:sz w:val="24"/>
          <w:szCs w:val="24"/>
        </w:rPr>
        <w:t xml:space="preserve">The </w:t>
      </w:r>
      <w:bookmarkEnd w:id="11"/>
      <w:r w:rsidR="00F535A4">
        <w:rPr>
          <w:rFonts w:cs="Times New Roman"/>
          <w:sz w:val="24"/>
          <w:szCs w:val="24"/>
        </w:rPr>
        <w:t>estimated burden of</w:t>
      </w:r>
      <w:r w:rsidR="00A44408">
        <w:rPr>
          <w:rFonts w:cs="Times New Roman"/>
          <w:sz w:val="24"/>
          <w:szCs w:val="24"/>
        </w:rPr>
        <w:t xml:space="preserve"> 2.5 hours reflect</w:t>
      </w:r>
      <w:r w:rsidR="00223987">
        <w:rPr>
          <w:rFonts w:cs="Times New Roman"/>
          <w:sz w:val="24"/>
          <w:szCs w:val="24"/>
        </w:rPr>
        <w:t>s</w:t>
      </w:r>
      <w:r>
        <w:rPr>
          <w:rFonts w:cs="Times New Roman"/>
          <w:sz w:val="24"/>
          <w:szCs w:val="24"/>
        </w:rPr>
        <w:t xml:space="preserve"> </w:t>
      </w:r>
      <w:r w:rsidRPr="000655BF" w:rsidR="00A44408">
        <w:rPr>
          <w:rFonts w:cs="Times New Roman"/>
          <w:sz w:val="24"/>
          <w:szCs w:val="24"/>
        </w:rPr>
        <w:t xml:space="preserve">the average of actual burden estimates provided by </w:t>
      </w:r>
      <w:r w:rsidR="009F3426">
        <w:rPr>
          <w:rFonts w:cs="Times New Roman"/>
          <w:sz w:val="24"/>
          <w:szCs w:val="24"/>
        </w:rPr>
        <w:t>six</w:t>
      </w:r>
      <w:r w:rsidRPr="000655BF" w:rsidR="00A44408">
        <w:rPr>
          <w:rFonts w:cs="Times New Roman"/>
          <w:sz w:val="24"/>
          <w:szCs w:val="24"/>
        </w:rPr>
        <w:t xml:space="preserve"> </w:t>
      </w:r>
      <w:r>
        <w:rPr>
          <w:rFonts w:cs="Times New Roman"/>
          <w:sz w:val="24"/>
          <w:szCs w:val="24"/>
        </w:rPr>
        <w:t>FY</w:t>
      </w:r>
      <w:r w:rsidR="009F3426">
        <w:rPr>
          <w:rFonts w:cs="Times New Roman"/>
          <w:sz w:val="24"/>
          <w:szCs w:val="24"/>
        </w:rPr>
        <w:t xml:space="preserve"> </w:t>
      </w:r>
      <w:r>
        <w:rPr>
          <w:rFonts w:cs="Times New Roman"/>
          <w:sz w:val="24"/>
          <w:szCs w:val="24"/>
        </w:rPr>
        <w:t xml:space="preserve">2016 </w:t>
      </w:r>
      <w:r w:rsidR="00D00AE7">
        <w:rPr>
          <w:rFonts w:cs="Times New Roman"/>
          <w:sz w:val="24"/>
          <w:szCs w:val="24"/>
        </w:rPr>
        <w:t>SPF Rx</w:t>
      </w:r>
      <w:r w:rsidRPr="000655BF" w:rsidR="00A44408">
        <w:rPr>
          <w:rFonts w:cs="Times New Roman"/>
          <w:sz w:val="24"/>
          <w:szCs w:val="24"/>
        </w:rPr>
        <w:t xml:space="preserve"> grantees</w:t>
      </w:r>
      <w:r w:rsidR="00A44408">
        <w:rPr>
          <w:rFonts w:cs="Times New Roman"/>
          <w:sz w:val="24"/>
          <w:szCs w:val="24"/>
        </w:rPr>
        <w:t xml:space="preserve"> </w:t>
      </w:r>
      <w:r w:rsidRPr="00AD2FD8" w:rsidR="00A44408">
        <w:rPr>
          <w:rFonts w:cs="Times New Roman"/>
          <w:sz w:val="24"/>
          <w:szCs w:val="24"/>
        </w:rPr>
        <w:t>(6.2 hours) and</w:t>
      </w:r>
      <w:r w:rsidR="00A44408">
        <w:rPr>
          <w:rFonts w:cs="Times New Roman"/>
          <w:sz w:val="24"/>
          <w:szCs w:val="24"/>
        </w:rPr>
        <w:t xml:space="preserve"> the removal of </w:t>
      </w:r>
      <w:r w:rsidR="00A14E7B">
        <w:rPr>
          <w:rFonts w:cs="Times New Roman"/>
          <w:sz w:val="24"/>
          <w:szCs w:val="24"/>
        </w:rPr>
        <w:t>a</w:t>
      </w:r>
      <w:r w:rsidR="005E0CEA">
        <w:rPr>
          <w:rFonts w:cs="Times New Roman"/>
          <w:sz w:val="24"/>
          <w:szCs w:val="24"/>
        </w:rPr>
        <w:t>bout</w:t>
      </w:r>
      <w:r w:rsidR="00A14E7B">
        <w:rPr>
          <w:rFonts w:cs="Times New Roman"/>
          <w:sz w:val="24"/>
          <w:szCs w:val="24"/>
        </w:rPr>
        <w:t xml:space="preserve"> two-</w:t>
      </w:r>
      <w:r w:rsidR="00A44408">
        <w:rPr>
          <w:rFonts w:cs="Times New Roman"/>
          <w:sz w:val="24"/>
          <w:szCs w:val="24"/>
        </w:rPr>
        <w:t>thirds of the instrument</w:t>
      </w:r>
      <w:r w:rsidR="00223987">
        <w:rPr>
          <w:rFonts w:cs="Times New Roman"/>
          <w:sz w:val="24"/>
          <w:szCs w:val="24"/>
        </w:rPr>
        <w:t xml:space="preserve"> used for that cohort</w:t>
      </w:r>
      <w:r w:rsidR="00A44408">
        <w:rPr>
          <w:rFonts w:cs="Times New Roman"/>
          <w:sz w:val="24"/>
          <w:szCs w:val="24"/>
        </w:rPr>
        <w:t xml:space="preserve">. </w:t>
      </w:r>
      <w:bookmarkEnd w:id="12"/>
    </w:p>
    <w:p w:rsidR="001F1A1D" w:rsidRPr="000655BF" w:rsidP="00063006" w14:paraId="546D8DE6" w14:textId="48691974">
      <w:pPr>
        <w:pStyle w:val="ListBulletLast"/>
        <w:numPr>
          <w:ilvl w:val="0"/>
          <w:numId w:val="0"/>
        </w:numPr>
        <w:rPr>
          <w:rFonts w:cs="Times New Roman"/>
          <w:sz w:val="24"/>
          <w:szCs w:val="24"/>
        </w:rPr>
      </w:pPr>
      <w:r w:rsidRPr="00B661D5">
        <w:rPr>
          <w:rFonts w:cs="Times New Roman"/>
          <w:sz w:val="24"/>
          <w:szCs w:val="24"/>
        </w:rPr>
        <w:t>Exhibit</w:t>
      </w:r>
      <w:r w:rsidR="00BA4521">
        <w:rPr>
          <w:rFonts w:cs="Times New Roman"/>
          <w:sz w:val="24"/>
          <w:szCs w:val="24"/>
        </w:rPr>
        <w:t xml:space="preserve"> 9</w:t>
      </w:r>
      <w:r w:rsidRPr="00B661D5" w:rsidR="00F537D6">
        <w:rPr>
          <w:rFonts w:cs="Times New Roman"/>
          <w:b/>
          <w:i/>
          <w:sz w:val="24"/>
          <w:szCs w:val="24"/>
        </w:rPr>
        <w:t xml:space="preserve"> </w:t>
      </w:r>
      <w:r w:rsidRPr="00B661D5">
        <w:rPr>
          <w:rFonts w:cs="Times New Roman"/>
          <w:sz w:val="24"/>
          <w:szCs w:val="24"/>
        </w:rPr>
        <w:t xml:space="preserve">presents estimates of the </w:t>
      </w:r>
      <w:r w:rsidRPr="00B661D5" w:rsidR="00955F60">
        <w:rPr>
          <w:rFonts w:cs="Times New Roman"/>
          <w:sz w:val="24"/>
          <w:szCs w:val="24"/>
        </w:rPr>
        <w:t xml:space="preserve">average annualized </w:t>
      </w:r>
      <w:r w:rsidRPr="00B661D5">
        <w:rPr>
          <w:rFonts w:cs="Times New Roman"/>
          <w:iCs/>
          <w:sz w:val="24"/>
          <w:szCs w:val="24"/>
        </w:rPr>
        <w:t xml:space="preserve">Grantee-Level </w:t>
      </w:r>
      <w:r w:rsidR="002C0099">
        <w:rPr>
          <w:rFonts w:cs="Times New Roman"/>
          <w:iCs/>
          <w:sz w:val="24"/>
          <w:szCs w:val="24"/>
        </w:rPr>
        <w:t xml:space="preserve">PDMP </w:t>
      </w:r>
      <w:r w:rsidRPr="00B661D5">
        <w:rPr>
          <w:rFonts w:cs="Times New Roman"/>
          <w:iCs/>
          <w:sz w:val="24"/>
          <w:szCs w:val="24"/>
        </w:rPr>
        <w:t>Outcome</w:t>
      </w:r>
      <w:r w:rsidR="002C0099">
        <w:rPr>
          <w:rFonts w:cs="Times New Roman"/>
          <w:iCs/>
          <w:sz w:val="24"/>
          <w:szCs w:val="24"/>
        </w:rPr>
        <w:t>s</w:t>
      </w:r>
      <w:r w:rsidRPr="00B661D5">
        <w:rPr>
          <w:rFonts w:cs="Times New Roman"/>
          <w:iCs/>
          <w:sz w:val="24"/>
          <w:szCs w:val="24"/>
        </w:rPr>
        <w:t xml:space="preserve"> </w:t>
      </w:r>
      <w:r w:rsidRPr="00B661D5" w:rsidR="005E6F0D">
        <w:rPr>
          <w:rFonts w:cs="Times New Roman"/>
          <w:sz w:val="24"/>
          <w:szCs w:val="24"/>
        </w:rPr>
        <w:t>M</w:t>
      </w:r>
      <w:r w:rsidRPr="00B661D5">
        <w:rPr>
          <w:rFonts w:cs="Times New Roman"/>
          <w:sz w:val="24"/>
          <w:szCs w:val="24"/>
        </w:rPr>
        <w:t xml:space="preserve">odule burden </w:t>
      </w:r>
      <w:r w:rsidRPr="002C0099" w:rsidR="00616E10">
        <w:rPr>
          <w:rFonts w:cs="Times New Roman"/>
          <w:sz w:val="24"/>
          <w:szCs w:val="24"/>
        </w:rPr>
        <w:t>(</w:t>
      </w:r>
      <w:r w:rsidRPr="0062547E" w:rsidR="002C0099">
        <w:rPr>
          <w:rFonts w:cs="Times New Roman"/>
          <w:sz w:val="24"/>
          <w:szCs w:val="24"/>
        </w:rPr>
        <w:t>52</w:t>
      </w:r>
      <w:r w:rsidRPr="002C0099" w:rsidR="002C0099">
        <w:rPr>
          <w:rFonts w:cs="Times New Roman"/>
          <w:sz w:val="24"/>
          <w:szCs w:val="24"/>
        </w:rPr>
        <w:t xml:space="preserve"> </w:t>
      </w:r>
      <w:r w:rsidRPr="002C0099" w:rsidR="00616E10">
        <w:rPr>
          <w:rFonts w:cs="Times New Roman"/>
          <w:sz w:val="24"/>
          <w:szCs w:val="24"/>
        </w:rPr>
        <w:t>hours)</w:t>
      </w:r>
      <w:r w:rsidRPr="002C0099">
        <w:rPr>
          <w:rFonts w:cs="Times New Roman"/>
          <w:sz w:val="24"/>
          <w:szCs w:val="24"/>
        </w:rPr>
        <w:t xml:space="preserve"> and </w:t>
      </w:r>
      <w:r w:rsidRPr="002C0099" w:rsidR="00DF556C">
        <w:rPr>
          <w:rFonts w:cs="Times New Roman"/>
          <w:sz w:val="24"/>
          <w:szCs w:val="24"/>
        </w:rPr>
        <w:t xml:space="preserve">the total </w:t>
      </w:r>
      <w:r w:rsidRPr="002C0099">
        <w:rPr>
          <w:rFonts w:cs="Times New Roman"/>
          <w:sz w:val="24"/>
          <w:szCs w:val="24"/>
        </w:rPr>
        <w:t>respondent cost</w:t>
      </w:r>
      <w:r w:rsidRPr="002C0099" w:rsidR="00616E10">
        <w:rPr>
          <w:rFonts w:cs="Times New Roman"/>
          <w:sz w:val="24"/>
          <w:szCs w:val="24"/>
        </w:rPr>
        <w:t xml:space="preserve"> (</w:t>
      </w:r>
      <w:r w:rsidRPr="002C0099" w:rsidR="00B661D5">
        <w:rPr>
          <w:rFonts w:cs="Times New Roman"/>
          <w:sz w:val="24"/>
          <w:szCs w:val="24"/>
        </w:rPr>
        <w:t>$</w:t>
      </w:r>
      <w:r w:rsidRPr="002C0099" w:rsidR="002C0099">
        <w:rPr>
          <w:rFonts w:cs="Times New Roman"/>
          <w:sz w:val="24"/>
          <w:szCs w:val="24"/>
        </w:rPr>
        <w:t>2,627.25</w:t>
      </w:r>
      <w:r w:rsidRPr="002C0099" w:rsidR="00616E10">
        <w:rPr>
          <w:rFonts w:cs="Times New Roman"/>
          <w:sz w:val="24"/>
          <w:szCs w:val="24"/>
        </w:rPr>
        <w:t xml:space="preserve">= </w:t>
      </w:r>
      <w:r w:rsidRPr="002C0099">
        <w:rPr>
          <w:rFonts w:cs="Times New Roman"/>
          <w:sz w:val="24"/>
          <w:szCs w:val="24"/>
        </w:rPr>
        <w:t xml:space="preserve">total burden hours × the </w:t>
      </w:r>
      <w:r w:rsidRPr="002C0099" w:rsidR="008D2076">
        <w:rPr>
          <w:rFonts w:cs="Times New Roman"/>
          <w:sz w:val="24"/>
          <w:szCs w:val="24"/>
        </w:rPr>
        <w:t xml:space="preserve">estimated </w:t>
      </w:r>
      <w:r w:rsidRPr="002C0099">
        <w:rPr>
          <w:rFonts w:cs="Times New Roman"/>
          <w:sz w:val="24"/>
          <w:szCs w:val="24"/>
        </w:rPr>
        <w:t xml:space="preserve">hourly wage for </w:t>
      </w:r>
      <w:r w:rsidRPr="002C0099" w:rsidR="008D2076">
        <w:rPr>
          <w:rFonts w:cs="Times New Roman"/>
          <w:sz w:val="24"/>
          <w:szCs w:val="24"/>
        </w:rPr>
        <w:t>respondents).</w:t>
      </w:r>
      <w:r w:rsidR="00DE501A">
        <w:rPr>
          <w:rFonts w:cs="Times New Roman"/>
          <w:sz w:val="24"/>
          <w:szCs w:val="24"/>
        </w:rPr>
        <w:t xml:space="preserve">  </w:t>
      </w:r>
      <w:r w:rsidR="00DE501A">
        <w:rPr>
          <w:rStyle w:val="CommentReference"/>
        </w:rPr>
        <w:t xml:space="preserve"> </w:t>
      </w:r>
    </w:p>
    <w:p w:rsidR="00425917" w:rsidRPr="0029072B" w:rsidP="00C37873" w14:paraId="09E98D18" w14:textId="06AA00EF">
      <w:pPr>
        <w:pStyle w:val="Heading4"/>
      </w:pPr>
      <w:r w:rsidRPr="0029072B">
        <w:t xml:space="preserve">Community-Level </w:t>
      </w:r>
      <w:r w:rsidRPr="0029072B" w:rsidR="007E5D8C">
        <w:t xml:space="preserve">PDMP </w:t>
      </w:r>
      <w:r w:rsidRPr="0029072B">
        <w:t>Outcome</w:t>
      </w:r>
      <w:r w:rsidRPr="0029072B" w:rsidR="007E5D8C">
        <w:t>s Module</w:t>
      </w:r>
    </w:p>
    <w:p w:rsidR="00643C58" w:rsidRPr="000655BF" w14:paraId="45A0AB3D" w14:textId="6C55D8C6">
      <w:pPr>
        <w:pStyle w:val="BodyText"/>
        <w:rPr>
          <w:sz w:val="24"/>
          <w:szCs w:val="24"/>
        </w:rPr>
      </w:pPr>
      <w:r w:rsidRPr="000655BF">
        <w:rPr>
          <w:sz w:val="24"/>
          <w:szCs w:val="24"/>
        </w:rPr>
        <w:t>The</w:t>
      </w:r>
      <w:r w:rsidRPr="000655BF">
        <w:rPr>
          <w:i/>
          <w:iCs/>
          <w:sz w:val="24"/>
          <w:szCs w:val="24"/>
        </w:rPr>
        <w:t xml:space="preserve"> </w:t>
      </w:r>
      <w:r w:rsidRPr="000655BF">
        <w:rPr>
          <w:iCs/>
          <w:sz w:val="24"/>
          <w:szCs w:val="24"/>
        </w:rPr>
        <w:t xml:space="preserve">Community-Level </w:t>
      </w:r>
      <w:r w:rsidR="007E5D8C">
        <w:rPr>
          <w:iCs/>
          <w:sz w:val="24"/>
          <w:szCs w:val="24"/>
        </w:rPr>
        <w:t xml:space="preserve">PDMP </w:t>
      </w:r>
      <w:r w:rsidRPr="000655BF">
        <w:rPr>
          <w:iCs/>
          <w:sz w:val="24"/>
          <w:szCs w:val="24"/>
        </w:rPr>
        <w:t>Outcome</w:t>
      </w:r>
      <w:r w:rsidR="007E5D8C">
        <w:rPr>
          <w:iCs/>
          <w:sz w:val="24"/>
          <w:szCs w:val="24"/>
        </w:rPr>
        <w:t>s</w:t>
      </w:r>
      <w:r w:rsidRPr="000655BF">
        <w:rPr>
          <w:iCs/>
          <w:sz w:val="24"/>
          <w:szCs w:val="24"/>
        </w:rPr>
        <w:t xml:space="preserve"> Module is</w:t>
      </w:r>
      <w:r w:rsidRPr="000655BF">
        <w:rPr>
          <w:sz w:val="24"/>
          <w:szCs w:val="24"/>
        </w:rPr>
        <w:t xml:space="preserve"> required to be reported annually by grantees for all subrecipients. </w:t>
      </w:r>
      <w:r w:rsidRPr="000655BF">
        <w:rPr>
          <w:sz w:val="24"/>
          <w:szCs w:val="24"/>
        </w:rPr>
        <w:t>Key assumptions related to the burden include</w:t>
      </w:r>
      <w:r w:rsidR="005E0CEA">
        <w:rPr>
          <w:sz w:val="24"/>
          <w:szCs w:val="24"/>
        </w:rPr>
        <w:t xml:space="preserve"> the following</w:t>
      </w:r>
      <w:r w:rsidRPr="000655BF">
        <w:rPr>
          <w:sz w:val="24"/>
          <w:szCs w:val="24"/>
        </w:rPr>
        <w:t>:</w:t>
      </w:r>
      <w:r w:rsidRPr="000655BF" w:rsidR="004F0E2A">
        <w:rPr>
          <w:sz w:val="24"/>
          <w:szCs w:val="24"/>
        </w:rPr>
        <w:t xml:space="preserve"> </w:t>
      </w:r>
    </w:p>
    <w:p w:rsidR="002C67B1" w:rsidP="002C67B1" w14:paraId="78DB7BD9" w14:textId="70577284">
      <w:pPr>
        <w:pStyle w:val="ListBulletLast"/>
        <w:rPr>
          <w:rFonts w:cs="Times New Roman"/>
          <w:sz w:val="24"/>
          <w:szCs w:val="24"/>
        </w:rPr>
      </w:pPr>
      <w:r>
        <w:rPr>
          <w:rFonts w:cs="Times New Roman"/>
          <w:sz w:val="24"/>
          <w:szCs w:val="24"/>
        </w:rPr>
        <w:t xml:space="preserve">The number of grantees and subrecipients participating in data collection will vary each year as grants expire. </w:t>
      </w:r>
    </w:p>
    <w:p w:rsidR="002C67B1" w:rsidP="002C67B1" w14:paraId="6CA0CFCF" w14:textId="45D02A7A">
      <w:pPr>
        <w:pStyle w:val="ListBulletLast"/>
        <w:numPr>
          <w:ilvl w:val="1"/>
          <w:numId w:val="11"/>
        </w:numPr>
        <w:rPr>
          <w:rFonts w:cs="Times New Roman"/>
          <w:sz w:val="24"/>
          <w:szCs w:val="24"/>
        </w:rPr>
      </w:pPr>
      <w:r>
        <w:rPr>
          <w:rFonts w:cs="Times New Roman"/>
          <w:sz w:val="24"/>
          <w:szCs w:val="24"/>
        </w:rPr>
        <w:t xml:space="preserve">In Year </w:t>
      </w:r>
      <w:r w:rsidR="00BD3D38">
        <w:rPr>
          <w:rFonts w:cs="Times New Roman"/>
          <w:sz w:val="24"/>
          <w:szCs w:val="24"/>
        </w:rPr>
        <w:t>1</w:t>
      </w:r>
      <w:r>
        <w:rPr>
          <w:rFonts w:cs="Times New Roman"/>
          <w:sz w:val="24"/>
          <w:szCs w:val="24"/>
        </w:rPr>
        <w:t xml:space="preserve">, </w:t>
      </w:r>
      <w:r w:rsidR="00C2592C">
        <w:rPr>
          <w:rFonts w:cs="Times New Roman"/>
          <w:sz w:val="24"/>
          <w:szCs w:val="24"/>
        </w:rPr>
        <w:t xml:space="preserve">26 </w:t>
      </w:r>
      <w:r>
        <w:rPr>
          <w:rFonts w:cs="Times New Roman"/>
          <w:sz w:val="24"/>
          <w:szCs w:val="24"/>
        </w:rPr>
        <w:t>grantees (</w:t>
      </w:r>
      <w:r w:rsidRPr="00451079">
        <w:rPr>
          <w:rFonts w:cs="Times New Roman"/>
          <w:sz w:val="24"/>
          <w:szCs w:val="24"/>
        </w:rPr>
        <w:t>20 grantees from the FY 2021 cohort</w:t>
      </w:r>
      <w:r w:rsidR="00C2592C">
        <w:rPr>
          <w:rFonts w:cs="Times New Roman"/>
          <w:sz w:val="24"/>
          <w:szCs w:val="24"/>
        </w:rPr>
        <w:t xml:space="preserve"> and</w:t>
      </w:r>
      <w:r>
        <w:rPr>
          <w:rFonts w:cs="Times New Roman"/>
          <w:sz w:val="24"/>
          <w:szCs w:val="24"/>
        </w:rPr>
        <w:t xml:space="preserve"> </w:t>
      </w:r>
      <w:r w:rsidRPr="00451079">
        <w:rPr>
          <w:rFonts w:cs="Times New Roman"/>
          <w:sz w:val="24"/>
          <w:szCs w:val="24"/>
        </w:rPr>
        <w:t>6 from the FY 2022 cohort</w:t>
      </w:r>
      <w:r>
        <w:rPr>
          <w:rFonts w:cs="Times New Roman"/>
          <w:sz w:val="24"/>
          <w:szCs w:val="24"/>
        </w:rPr>
        <w:t xml:space="preserve">) will complete the Community-Level PDMP Outcomes Module for their estimated </w:t>
      </w:r>
      <w:r w:rsidR="00C2592C">
        <w:rPr>
          <w:rFonts w:cs="Times New Roman"/>
          <w:sz w:val="24"/>
          <w:szCs w:val="24"/>
        </w:rPr>
        <w:t xml:space="preserve">135 </w:t>
      </w:r>
      <w:r>
        <w:rPr>
          <w:rFonts w:cs="Times New Roman"/>
          <w:sz w:val="24"/>
          <w:szCs w:val="24"/>
        </w:rPr>
        <w:t xml:space="preserve">subrecipients. </w:t>
      </w:r>
    </w:p>
    <w:p w:rsidR="002C67B1" w:rsidP="002C67B1" w14:paraId="70512657" w14:textId="79ACAC37">
      <w:pPr>
        <w:pStyle w:val="ListBulletLast"/>
        <w:numPr>
          <w:ilvl w:val="1"/>
          <w:numId w:val="11"/>
        </w:numPr>
        <w:rPr>
          <w:rFonts w:cs="Times New Roman"/>
          <w:sz w:val="24"/>
          <w:szCs w:val="24"/>
        </w:rPr>
      </w:pPr>
      <w:r>
        <w:rPr>
          <w:rFonts w:cs="Times New Roman"/>
          <w:sz w:val="24"/>
          <w:szCs w:val="24"/>
        </w:rPr>
        <w:t xml:space="preserve">In Year </w:t>
      </w:r>
      <w:r w:rsidR="00BD3D38">
        <w:rPr>
          <w:rFonts w:cs="Times New Roman"/>
          <w:sz w:val="24"/>
          <w:szCs w:val="24"/>
        </w:rPr>
        <w:t>2</w:t>
      </w:r>
      <w:r>
        <w:rPr>
          <w:rFonts w:cs="Times New Roman"/>
          <w:sz w:val="24"/>
          <w:szCs w:val="24"/>
        </w:rPr>
        <w:t>, 6 grantees</w:t>
      </w:r>
      <w:r w:rsidR="00C2592C">
        <w:rPr>
          <w:rFonts w:cs="Times New Roman"/>
          <w:sz w:val="24"/>
          <w:szCs w:val="24"/>
        </w:rPr>
        <w:t xml:space="preserve"> </w:t>
      </w:r>
      <w:r>
        <w:rPr>
          <w:rFonts w:cs="Times New Roman"/>
          <w:sz w:val="24"/>
          <w:szCs w:val="24"/>
        </w:rPr>
        <w:t>from the FY 2022 cohort</w:t>
      </w:r>
      <w:r w:rsidRPr="00451079">
        <w:rPr>
          <w:rFonts w:cs="Times New Roman"/>
          <w:sz w:val="24"/>
          <w:szCs w:val="24"/>
        </w:rPr>
        <w:t xml:space="preserve"> </w:t>
      </w:r>
      <w:r>
        <w:rPr>
          <w:rFonts w:cs="Times New Roman"/>
          <w:sz w:val="24"/>
          <w:szCs w:val="24"/>
        </w:rPr>
        <w:t xml:space="preserve">will complete the Community-Level PDMP Outcomes Module for their estimated </w:t>
      </w:r>
      <w:r w:rsidR="008A682F">
        <w:rPr>
          <w:rFonts w:cs="Times New Roman"/>
          <w:sz w:val="24"/>
          <w:szCs w:val="24"/>
        </w:rPr>
        <w:t xml:space="preserve">31 </w:t>
      </w:r>
      <w:r>
        <w:rPr>
          <w:rFonts w:cs="Times New Roman"/>
          <w:sz w:val="24"/>
          <w:szCs w:val="24"/>
        </w:rPr>
        <w:t>subrecipients.</w:t>
      </w:r>
    </w:p>
    <w:p w:rsidR="00BA4521" w:rsidRPr="0062547E" w14:paraId="0FA18CFD" w14:textId="273123AB">
      <w:pPr>
        <w:pStyle w:val="ListParagraph"/>
        <w:numPr>
          <w:ilvl w:val="1"/>
          <w:numId w:val="11"/>
        </w:numPr>
        <w:rPr>
          <w:szCs w:val="24"/>
        </w:rPr>
      </w:pPr>
      <w:r w:rsidRPr="00BA4521">
        <w:rPr>
          <w:rFonts w:eastAsia="Calibri"/>
          <w:szCs w:val="24"/>
          <w:lang w:eastAsia="en-US"/>
        </w:rPr>
        <w:t>In Year 3, 30 grantees (from an anticipated FY2027 cohort) will complete the Community-Level PDMP Outcomes Module for their estimated 156 subrecipients.</w:t>
      </w:r>
    </w:p>
    <w:p w:rsidR="00BA4521" w:rsidRPr="00BA4521" w:rsidP="0062547E" w14:paraId="30A69F0C" w14:textId="77777777">
      <w:pPr>
        <w:pStyle w:val="ListParagraph"/>
        <w:ind w:left="1440"/>
        <w:rPr>
          <w:szCs w:val="24"/>
        </w:rPr>
      </w:pPr>
    </w:p>
    <w:p w:rsidR="00643C58" w:rsidRPr="000655BF" w:rsidP="00643C58" w14:paraId="703AA923" w14:textId="07F64B3A">
      <w:pPr>
        <w:pStyle w:val="ListBulletLast"/>
        <w:rPr>
          <w:rFonts w:cs="Times New Roman"/>
          <w:sz w:val="24"/>
          <w:szCs w:val="24"/>
        </w:rPr>
      </w:pPr>
      <w:r w:rsidRPr="000655BF">
        <w:rPr>
          <w:rFonts w:cs="Times New Roman"/>
          <w:sz w:val="24"/>
          <w:szCs w:val="24"/>
        </w:rPr>
        <w:t xml:space="preserve">The </w:t>
      </w:r>
      <w:r w:rsidRPr="000655BF">
        <w:rPr>
          <w:rFonts w:cs="Times New Roman"/>
          <w:iCs/>
          <w:sz w:val="24"/>
          <w:szCs w:val="24"/>
        </w:rPr>
        <w:t xml:space="preserve">Community-Level </w:t>
      </w:r>
      <w:r w:rsidR="007E5D8C">
        <w:rPr>
          <w:rFonts w:cs="Times New Roman"/>
          <w:iCs/>
          <w:sz w:val="24"/>
          <w:szCs w:val="24"/>
        </w:rPr>
        <w:t xml:space="preserve">PDMP </w:t>
      </w:r>
      <w:r w:rsidRPr="000655BF">
        <w:rPr>
          <w:rFonts w:cs="Times New Roman"/>
          <w:iCs/>
          <w:sz w:val="24"/>
          <w:szCs w:val="24"/>
        </w:rPr>
        <w:t xml:space="preserve">Outcomes Module </w:t>
      </w:r>
      <w:r w:rsidRPr="000655BF">
        <w:rPr>
          <w:rFonts w:cs="Times New Roman"/>
          <w:sz w:val="24"/>
          <w:szCs w:val="24"/>
        </w:rPr>
        <w:t xml:space="preserve">is estimated to take </w:t>
      </w:r>
      <w:r w:rsidRPr="000655BF" w:rsidR="0063520F">
        <w:rPr>
          <w:rFonts w:cs="Times New Roman"/>
          <w:sz w:val="24"/>
          <w:szCs w:val="24"/>
        </w:rPr>
        <w:t>1.25</w:t>
      </w:r>
      <w:r w:rsidRPr="000655BF">
        <w:rPr>
          <w:rFonts w:cs="Times New Roman"/>
          <w:sz w:val="24"/>
          <w:szCs w:val="24"/>
        </w:rPr>
        <w:t xml:space="preserve"> hours to complete per response; this includes</w:t>
      </w:r>
      <w:r w:rsidR="005E0CEA">
        <w:rPr>
          <w:rFonts w:cs="Times New Roman"/>
          <w:sz w:val="24"/>
          <w:szCs w:val="24"/>
        </w:rPr>
        <w:t xml:space="preserve"> </w:t>
      </w:r>
      <w:r w:rsidRPr="000655BF" w:rsidR="0063520F">
        <w:rPr>
          <w:rFonts w:cs="Times New Roman"/>
          <w:sz w:val="24"/>
          <w:szCs w:val="24"/>
        </w:rPr>
        <w:t>.75</w:t>
      </w:r>
      <w:r w:rsidRPr="000655BF">
        <w:rPr>
          <w:rFonts w:cs="Times New Roman"/>
          <w:sz w:val="24"/>
          <w:szCs w:val="24"/>
        </w:rPr>
        <w:t xml:space="preserve"> hours to research and compile information (to include working with subrecipient</w:t>
      </w:r>
      <w:r w:rsidRPr="000655BF" w:rsidR="0020769C">
        <w:rPr>
          <w:rFonts w:cs="Times New Roman"/>
          <w:sz w:val="24"/>
          <w:szCs w:val="24"/>
        </w:rPr>
        <w:t>s</w:t>
      </w:r>
      <w:r w:rsidRPr="000655BF">
        <w:rPr>
          <w:rFonts w:cs="Times New Roman"/>
          <w:sz w:val="24"/>
          <w:szCs w:val="24"/>
        </w:rPr>
        <w:t xml:space="preserve"> to identify correct data), and</w:t>
      </w:r>
      <w:r w:rsidR="005E0CEA">
        <w:rPr>
          <w:rFonts w:cs="Times New Roman"/>
          <w:sz w:val="24"/>
          <w:szCs w:val="24"/>
        </w:rPr>
        <w:t xml:space="preserve"> </w:t>
      </w:r>
      <w:r w:rsidRPr="000655BF" w:rsidR="0063520F">
        <w:rPr>
          <w:rFonts w:cs="Times New Roman"/>
          <w:sz w:val="24"/>
          <w:szCs w:val="24"/>
        </w:rPr>
        <w:t xml:space="preserve">.5 </w:t>
      </w:r>
      <w:r w:rsidRPr="000655BF">
        <w:rPr>
          <w:rFonts w:cs="Times New Roman"/>
          <w:sz w:val="24"/>
          <w:szCs w:val="24"/>
        </w:rPr>
        <w:t xml:space="preserve">hour to complete the web instrument. </w:t>
      </w:r>
    </w:p>
    <w:p w:rsidR="00882411" w:rsidRPr="000655BF" w:rsidP="00882411" w14:paraId="1577A1AC" w14:textId="77777777">
      <w:pPr>
        <w:pStyle w:val="ListBulletLast"/>
        <w:rPr>
          <w:rFonts w:cs="Times New Roman"/>
          <w:sz w:val="24"/>
          <w:szCs w:val="24"/>
        </w:rPr>
      </w:pPr>
      <w:r w:rsidRPr="000655BF">
        <w:rPr>
          <w:rFonts w:cs="Times New Roman"/>
          <w:sz w:val="24"/>
          <w:szCs w:val="24"/>
        </w:rPr>
        <w:t>There are no direct costs to respondents other than their time to complete the instrument.</w:t>
      </w:r>
    </w:p>
    <w:p w:rsidR="0082030C" w:rsidP="00887BF3" w14:paraId="5E7458E5" w14:textId="660F01D7">
      <w:pPr>
        <w:pStyle w:val="ListBulletLast"/>
        <w:numPr>
          <w:ilvl w:val="0"/>
          <w:numId w:val="0"/>
        </w:numPr>
        <w:rPr>
          <w:rFonts w:cs="Times New Roman"/>
          <w:sz w:val="24"/>
          <w:szCs w:val="24"/>
        </w:rPr>
      </w:pPr>
      <w:r w:rsidRPr="728C4DB3">
        <w:rPr>
          <w:rFonts w:cs="Times New Roman"/>
          <w:sz w:val="24"/>
          <w:szCs w:val="24"/>
        </w:rPr>
        <w:t xml:space="preserve">Exhibits </w:t>
      </w:r>
      <w:r w:rsidR="00E2473B">
        <w:rPr>
          <w:rFonts w:cs="Times New Roman"/>
          <w:sz w:val="24"/>
          <w:szCs w:val="24"/>
        </w:rPr>
        <w:t>6</w:t>
      </w:r>
      <w:r w:rsidR="005E0CEA">
        <w:rPr>
          <w:rFonts w:cs="Times New Roman"/>
          <w:sz w:val="24"/>
          <w:szCs w:val="24"/>
        </w:rPr>
        <w:t xml:space="preserve"> </w:t>
      </w:r>
      <w:r w:rsidR="00BA4521">
        <w:rPr>
          <w:rFonts w:cs="Times New Roman"/>
          <w:sz w:val="24"/>
          <w:szCs w:val="24"/>
        </w:rPr>
        <w:t>to 8</w:t>
      </w:r>
      <w:r w:rsidRPr="728C4DB3" w:rsidR="00B46D53">
        <w:rPr>
          <w:rFonts w:cs="Times New Roman"/>
          <w:sz w:val="24"/>
          <w:szCs w:val="24"/>
        </w:rPr>
        <w:t xml:space="preserve"> </w:t>
      </w:r>
      <w:r w:rsidRPr="728C4DB3">
        <w:rPr>
          <w:rFonts w:cs="Times New Roman"/>
          <w:sz w:val="24"/>
          <w:szCs w:val="24"/>
        </w:rPr>
        <w:t xml:space="preserve">provide </w:t>
      </w:r>
      <w:r w:rsidRPr="728C4DB3">
        <w:rPr>
          <w:rFonts w:cs="Times New Roman"/>
          <w:sz w:val="24"/>
          <w:szCs w:val="24"/>
        </w:rPr>
        <w:t>detail</w:t>
      </w:r>
      <w:r w:rsidRPr="728C4DB3">
        <w:rPr>
          <w:rFonts w:cs="Times New Roman"/>
          <w:sz w:val="24"/>
          <w:szCs w:val="24"/>
        </w:rPr>
        <w:t xml:space="preserve"> of the annual burden for the Community-Level PDMP Outcomes Module for Years 1</w:t>
      </w:r>
      <w:r w:rsidR="00F537D6">
        <w:rPr>
          <w:rFonts w:cs="Times New Roman"/>
          <w:sz w:val="24"/>
          <w:szCs w:val="24"/>
        </w:rPr>
        <w:t xml:space="preserve"> </w:t>
      </w:r>
      <w:r w:rsidR="00BA4521">
        <w:rPr>
          <w:rFonts w:cs="Times New Roman"/>
          <w:sz w:val="24"/>
          <w:szCs w:val="24"/>
        </w:rPr>
        <w:t>to 3</w:t>
      </w:r>
      <w:r w:rsidRPr="728C4DB3" w:rsidR="00162176">
        <w:rPr>
          <w:rFonts w:cs="Times New Roman"/>
          <w:sz w:val="24"/>
          <w:szCs w:val="24"/>
        </w:rPr>
        <w:t xml:space="preserve"> </w:t>
      </w:r>
      <w:r w:rsidRPr="728C4DB3">
        <w:rPr>
          <w:rFonts w:cs="Times New Roman"/>
          <w:sz w:val="24"/>
          <w:szCs w:val="24"/>
        </w:rPr>
        <w:t xml:space="preserve">of the </w:t>
      </w:r>
      <w:r w:rsidR="00E2473B">
        <w:rPr>
          <w:rFonts w:cs="Times New Roman"/>
          <w:sz w:val="24"/>
          <w:szCs w:val="24"/>
        </w:rPr>
        <w:t>PEPC evaluation</w:t>
      </w:r>
      <w:r w:rsidRPr="728C4DB3">
        <w:rPr>
          <w:rFonts w:cs="Times New Roman"/>
          <w:sz w:val="24"/>
          <w:szCs w:val="24"/>
        </w:rPr>
        <w:t xml:space="preserve">. </w:t>
      </w:r>
      <w:r w:rsidRPr="728C4DB3" w:rsidR="00223987">
        <w:rPr>
          <w:rFonts w:cs="Times New Roman"/>
          <w:sz w:val="24"/>
          <w:szCs w:val="24"/>
        </w:rPr>
        <w:t>The</w:t>
      </w:r>
      <w:r w:rsidRPr="728C4DB3">
        <w:rPr>
          <w:rFonts w:cs="Times New Roman"/>
          <w:sz w:val="24"/>
          <w:szCs w:val="24"/>
        </w:rPr>
        <w:t xml:space="preserve"> </w:t>
      </w:r>
      <w:r w:rsidRPr="728C4DB3" w:rsidR="00A44408">
        <w:rPr>
          <w:rFonts w:cs="Times New Roman"/>
          <w:sz w:val="24"/>
          <w:szCs w:val="24"/>
        </w:rPr>
        <w:t xml:space="preserve">estimated </w:t>
      </w:r>
      <w:r w:rsidRPr="728C4DB3" w:rsidR="00223987">
        <w:rPr>
          <w:rFonts w:cs="Times New Roman"/>
          <w:sz w:val="24"/>
          <w:szCs w:val="24"/>
        </w:rPr>
        <w:t>burden of 1.25 hours for t</w:t>
      </w:r>
      <w:r w:rsidRPr="728C4DB3" w:rsidR="00A44408">
        <w:rPr>
          <w:rFonts w:cs="Times New Roman"/>
          <w:sz w:val="24"/>
          <w:szCs w:val="24"/>
        </w:rPr>
        <w:t xml:space="preserve">he Community-Level </w:t>
      </w:r>
      <w:r w:rsidRPr="728C4DB3" w:rsidR="007E5D8C">
        <w:rPr>
          <w:rFonts w:cs="Times New Roman"/>
          <w:sz w:val="24"/>
          <w:szCs w:val="24"/>
        </w:rPr>
        <w:t xml:space="preserve">PDMP </w:t>
      </w:r>
      <w:r w:rsidRPr="728C4DB3" w:rsidR="00A44408">
        <w:rPr>
          <w:rFonts w:cs="Times New Roman"/>
          <w:sz w:val="24"/>
          <w:szCs w:val="24"/>
        </w:rPr>
        <w:t>Outcomes Module reflect</w:t>
      </w:r>
      <w:r w:rsidRPr="728C4DB3" w:rsidR="00223987">
        <w:rPr>
          <w:rFonts w:cs="Times New Roman"/>
          <w:sz w:val="24"/>
          <w:szCs w:val="24"/>
        </w:rPr>
        <w:t>s</w:t>
      </w:r>
      <w:r w:rsidRPr="728C4DB3" w:rsidR="00A44408">
        <w:rPr>
          <w:rFonts w:cs="Times New Roman"/>
          <w:sz w:val="24"/>
          <w:szCs w:val="24"/>
        </w:rPr>
        <w:t xml:space="preserve"> the average of actua</w:t>
      </w:r>
      <w:r w:rsidRPr="728C4DB3" w:rsidR="00B177F2">
        <w:rPr>
          <w:rFonts w:cs="Times New Roman"/>
          <w:sz w:val="24"/>
          <w:szCs w:val="24"/>
        </w:rPr>
        <w:t>l burden estimates provided by six</w:t>
      </w:r>
      <w:r w:rsidRPr="728C4DB3" w:rsidR="00A44408">
        <w:rPr>
          <w:rFonts w:cs="Times New Roman"/>
          <w:sz w:val="24"/>
          <w:szCs w:val="24"/>
        </w:rPr>
        <w:t xml:space="preserve"> </w:t>
      </w:r>
      <w:r w:rsidRPr="728C4DB3" w:rsidR="005C66FF">
        <w:rPr>
          <w:rFonts w:cs="Times New Roman"/>
          <w:sz w:val="24"/>
          <w:szCs w:val="24"/>
        </w:rPr>
        <w:t>FY</w:t>
      </w:r>
      <w:r w:rsidRPr="728C4DB3" w:rsidR="009F3426">
        <w:rPr>
          <w:rFonts w:cs="Times New Roman"/>
          <w:sz w:val="24"/>
          <w:szCs w:val="24"/>
        </w:rPr>
        <w:t xml:space="preserve"> </w:t>
      </w:r>
      <w:r w:rsidRPr="728C4DB3" w:rsidR="005C66FF">
        <w:rPr>
          <w:rFonts w:cs="Times New Roman"/>
          <w:sz w:val="24"/>
          <w:szCs w:val="24"/>
        </w:rPr>
        <w:t xml:space="preserve">2016 </w:t>
      </w:r>
      <w:r w:rsidRPr="728C4DB3" w:rsidR="00D00AE7">
        <w:rPr>
          <w:rFonts w:cs="Times New Roman"/>
          <w:sz w:val="24"/>
          <w:szCs w:val="24"/>
        </w:rPr>
        <w:t>SPF Rx</w:t>
      </w:r>
      <w:r w:rsidRPr="728C4DB3" w:rsidR="00A44408">
        <w:rPr>
          <w:rFonts w:cs="Times New Roman"/>
          <w:sz w:val="24"/>
          <w:szCs w:val="24"/>
        </w:rPr>
        <w:t xml:space="preserve"> grantees (3.5 hours) and the removal of </w:t>
      </w:r>
      <w:r w:rsidRPr="728C4DB3" w:rsidR="005E0CEA">
        <w:rPr>
          <w:rFonts w:cs="Times New Roman"/>
          <w:sz w:val="24"/>
          <w:szCs w:val="24"/>
        </w:rPr>
        <w:t>a</w:t>
      </w:r>
      <w:r w:rsidR="005E0CEA">
        <w:rPr>
          <w:rFonts w:cs="Times New Roman"/>
          <w:sz w:val="24"/>
          <w:szCs w:val="24"/>
        </w:rPr>
        <w:t>bout</w:t>
      </w:r>
      <w:r w:rsidRPr="728C4DB3" w:rsidR="005E0CEA">
        <w:rPr>
          <w:rFonts w:cs="Times New Roman"/>
          <w:sz w:val="24"/>
          <w:szCs w:val="24"/>
        </w:rPr>
        <w:t xml:space="preserve"> </w:t>
      </w:r>
      <w:r w:rsidRPr="728C4DB3" w:rsidR="00A44408">
        <w:rPr>
          <w:rFonts w:cs="Times New Roman"/>
          <w:sz w:val="24"/>
          <w:szCs w:val="24"/>
        </w:rPr>
        <w:t>two</w:t>
      </w:r>
      <w:r w:rsidRPr="728C4DB3" w:rsidR="009A4B97">
        <w:rPr>
          <w:rFonts w:cs="Times New Roman"/>
          <w:sz w:val="24"/>
          <w:szCs w:val="24"/>
        </w:rPr>
        <w:t>-</w:t>
      </w:r>
      <w:r w:rsidRPr="728C4DB3" w:rsidR="00A44408">
        <w:rPr>
          <w:rFonts w:cs="Times New Roman"/>
          <w:sz w:val="24"/>
          <w:szCs w:val="24"/>
        </w:rPr>
        <w:t xml:space="preserve">thirds of the instrument. </w:t>
      </w:r>
      <w:r w:rsidRPr="728C4DB3" w:rsidR="000464ED">
        <w:rPr>
          <w:rFonts w:cs="Times New Roman"/>
          <w:sz w:val="24"/>
          <w:szCs w:val="24"/>
        </w:rPr>
        <w:t xml:space="preserve">Note that the Community-Level </w:t>
      </w:r>
      <w:r w:rsidRPr="728C4DB3" w:rsidR="007E5D8C">
        <w:rPr>
          <w:rFonts w:cs="Times New Roman"/>
          <w:sz w:val="24"/>
          <w:szCs w:val="24"/>
        </w:rPr>
        <w:t xml:space="preserve">PDMP </w:t>
      </w:r>
      <w:r w:rsidRPr="728C4DB3" w:rsidR="000464ED">
        <w:rPr>
          <w:rFonts w:cs="Times New Roman"/>
          <w:sz w:val="24"/>
          <w:szCs w:val="24"/>
        </w:rPr>
        <w:t>Outcomes Module is less burdensome than the Grantee-Level</w:t>
      </w:r>
      <w:r w:rsidRPr="728C4DB3" w:rsidR="007E5D8C">
        <w:rPr>
          <w:rFonts w:cs="Times New Roman"/>
          <w:sz w:val="24"/>
          <w:szCs w:val="24"/>
        </w:rPr>
        <w:t xml:space="preserve"> PDMP</w:t>
      </w:r>
      <w:r w:rsidRPr="728C4DB3" w:rsidR="000464ED">
        <w:rPr>
          <w:rFonts w:cs="Times New Roman"/>
          <w:sz w:val="24"/>
          <w:szCs w:val="24"/>
        </w:rPr>
        <w:t xml:space="preserve"> Outcomes Module because</w:t>
      </w:r>
      <w:r w:rsidRPr="728C4DB3" w:rsidR="00223987">
        <w:rPr>
          <w:rFonts w:cs="Times New Roman"/>
          <w:sz w:val="24"/>
          <w:szCs w:val="24"/>
        </w:rPr>
        <w:t xml:space="preserve"> the compiled information comes from</w:t>
      </w:r>
      <w:r w:rsidRPr="728C4DB3">
        <w:rPr>
          <w:rFonts w:cs="Times New Roman"/>
          <w:sz w:val="24"/>
          <w:szCs w:val="24"/>
        </w:rPr>
        <w:t xml:space="preserve"> data already retrieved by grantees for the Grantee</w:t>
      </w:r>
      <w:r w:rsidR="005E0CEA">
        <w:rPr>
          <w:rFonts w:cs="Times New Roman"/>
          <w:sz w:val="24"/>
          <w:szCs w:val="24"/>
        </w:rPr>
        <w:t>-Level</w:t>
      </w:r>
      <w:r w:rsidRPr="728C4DB3">
        <w:rPr>
          <w:rFonts w:cs="Times New Roman"/>
          <w:sz w:val="24"/>
          <w:szCs w:val="24"/>
        </w:rPr>
        <w:t xml:space="preserve"> </w:t>
      </w:r>
      <w:r w:rsidR="005E0CEA">
        <w:rPr>
          <w:rFonts w:cs="Times New Roman"/>
          <w:sz w:val="24"/>
          <w:szCs w:val="24"/>
        </w:rPr>
        <w:t xml:space="preserve">PDMP Outcomes </w:t>
      </w:r>
      <w:r w:rsidRPr="728C4DB3">
        <w:rPr>
          <w:rFonts w:cs="Times New Roman"/>
          <w:sz w:val="24"/>
          <w:szCs w:val="24"/>
        </w:rPr>
        <w:t>Module</w:t>
      </w:r>
      <w:r w:rsidRPr="728C4DB3" w:rsidR="000464ED">
        <w:rPr>
          <w:rFonts w:cs="Times New Roman"/>
          <w:sz w:val="24"/>
          <w:szCs w:val="24"/>
        </w:rPr>
        <w:t xml:space="preserve">.  </w:t>
      </w:r>
    </w:p>
    <w:p w:rsidR="001F1A1D" w:rsidRPr="000655BF" w:rsidP="00887BF3" w14:paraId="29820400" w14:textId="0B410A2F">
      <w:pPr>
        <w:pStyle w:val="ListBulletLast"/>
        <w:numPr>
          <w:ilvl w:val="0"/>
          <w:numId w:val="0"/>
        </w:numPr>
        <w:rPr>
          <w:rFonts w:cs="Times New Roman"/>
          <w:sz w:val="24"/>
          <w:szCs w:val="24"/>
        </w:rPr>
      </w:pPr>
      <w:r w:rsidRPr="000655BF">
        <w:rPr>
          <w:rFonts w:cs="Times New Roman"/>
          <w:sz w:val="24"/>
          <w:szCs w:val="24"/>
        </w:rPr>
        <w:t xml:space="preserve">Exhibit </w:t>
      </w:r>
      <w:r w:rsidR="00BA4521">
        <w:rPr>
          <w:rFonts w:cs="Times New Roman"/>
          <w:sz w:val="24"/>
          <w:szCs w:val="24"/>
        </w:rPr>
        <w:t>9</w:t>
      </w:r>
      <w:r w:rsidRPr="000655BF" w:rsidR="00BA4521">
        <w:rPr>
          <w:rFonts w:cs="Times New Roman"/>
          <w:b/>
          <w:i/>
          <w:sz w:val="24"/>
          <w:szCs w:val="24"/>
        </w:rPr>
        <w:t xml:space="preserve"> </w:t>
      </w:r>
      <w:r w:rsidRPr="000655BF">
        <w:rPr>
          <w:rFonts w:cs="Times New Roman"/>
          <w:sz w:val="24"/>
          <w:szCs w:val="24"/>
        </w:rPr>
        <w:t xml:space="preserve">presents </w:t>
      </w:r>
      <w:r w:rsidR="00955F60">
        <w:rPr>
          <w:rFonts w:cs="Times New Roman"/>
          <w:sz w:val="24"/>
          <w:szCs w:val="24"/>
        </w:rPr>
        <w:t xml:space="preserve">average annualized </w:t>
      </w:r>
      <w:r w:rsidRPr="000655BF">
        <w:rPr>
          <w:rFonts w:cs="Times New Roman"/>
          <w:sz w:val="24"/>
          <w:szCs w:val="24"/>
        </w:rPr>
        <w:t xml:space="preserve">estimates of the </w:t>
      </w:r>
      <w:r w:rsidRPr="000655BF">
        <w:rPr>
          <w:rFonts w:cs="Times New Roman"/>
          <w:iCs/>
          <w:sz w:val="24"/>
          <w:szCs w:val="24"/>
        </w:rPr>
        <w:t xml:space="preserve">Community-Level </w:t>
      </w:r>
      <w:r w:rsidR="007E5D8C">
        <w:rPr>
          <w:rFonts w:cs="Times New Roman"/>
          <w:iCs/>
          <w:sz w:val="24"/>
          <w:szCs w:val="24"/>
        </w:rPr>
        <w:t xml:space="preserve">PDMP </w:t>
      </w:r>
      <w:r w:rsidRPr="000655BF">
        <w:rPr>
          <w:rFonts w:cs="Times New Roman"/>
          <w:iCs/>
          <w:sz w:val="24"/>
          <w:szCs w:val="24"/>
        </w:rPr>
        <w:t>Outcome</w:t>
      </w:r>
      <w:r w:rsidR="007E5D8C">
        <w:rPr>
          <w:rFonts w:cs="Times New Roman"/>
          <w:iCs/>
          <w:sz w:val="24"/>
          <w:szCs w:val="24"/>
        </w:rPr>
        <w:t>s</w:t>
      </w:r>
      <w:r w:rsidRPr="000655BF">
        <w:rPr>
          <w:rFonts w:cs="Times New Roman"/>
          <w:iCs/>
          <w:sz w:val="24"/>
          <w:szCs w:val="24"/>
        </w:rPr>
        <w:t xml:space="preserve"> </w:t>
      </w:r>
      <w:r w:rsidRPr="002C0099">
        <w:rPr>
          <w:rFonts w:cs="Times New Roman"/>
          <w:sz w:val="24"/>
          <w:szCs w:val="24"/>
        </w:rPr>
        <w:t xml:space="preserve">Module burden </w:t>
      </w:r>
      <w:r w:rsidRPr="002C0099" w:rsidR="009A4B97">
        <w:rPr>
          <w:rFonts w:cs="Times New Roman"/>
          <w:sz w:val="24"/>
          <w:szCs w:val="24"/>
        </w:rPr>
        <w:t>(</w:t>
      </w:r>
      <w:r w:rsidRPr="002C0099" w:rsidR="00CE57F7">
        <w:rPr>
          <w:rFonts w:cs="Times New Roman"/>
          <w:sz w:val="24"/>
          <w:szCs w:val="24"/>
        </w:rPr>
        <w:t>1</w:t>
      </w:r>
      <w:r w:rsidR="00CE57F7">
        <w:rPr>
          <w:rFonts w:cs="Times New Roman"/>
          <w:sz w:val="24"/>
          <w:szCs w:val="24"/>
        </w:rPr>
        <w:t>34</w:t>
      </w:r>
      <w:r w:rsidRPr="002C0099" w:rsidR="00F537D6">
        <w:rPr>
          <w:rFonts w:cs="Times New Roman"/>
          <w:sz w:val="24"/>
          <w:szCs w:val="24"/>
        </w:rPr>
        <w:t>.</w:t>
      </w:r>
      <w:r w:rsidR="00CE57F7">
        <w:rPr>
          <w:rFonts w:cs="Times New Roman"/>
          <w:sz w:val="24"/>
          <w:szCs w:val="24"/>
        </w:rPr>
        <w:t>17</w:t>
      </w:r>
      <w:r w:rsidRPr="002C0099" w:rsidR="00CE57F7">
        <w:rPr>
          <w:rFonts w:cs="Times New Roman"/>
          <w:sz w:val="24"/>
          <w:szCs w:val="24"/>
        </w:rPr>
        <w:t xml:space="preserve"> </w:t>
      </w:r>
      <w:r w:rsidRPr="002C0099">
        <w:rPr>
          <w:rFonts w:cs="Times New Roman"/>
          <w:sz w:val="24"/>
          <w:szCs w:val="24"/>
        </w:rPr>
        <w:t>hours</w:t>
      </w:r>
      <w:r w:rsidRPr="002C0099" w:rsidR="009A4B97">
        <w:rPr>
          <w:rFonts w:cs="Times New Roman"/>
          <w:sz w:val="24"/>
          <w:szCs w:val="24"/>
        </w:rPr>
        <w:t>)</w:t>
      </w:r>
      <w:r w:rsidRPr="002C0099">
        <w:rPr>
          <w:rFonts w:cs="Times New Roman"/>
          <w:sz w:val="24"/>
          <w:szCs w:val="24"/>
        </w:rPr>
        <w:t xml:space="preserve"> and respondent cost </w:t>
      </w:r>
      <w:r w:rsidRPr="002C0099" w:rsidR="002C0099">
        <w:rPr>
          <w:rFonts w:cs="Times New Roman"/>
          <w:sz w:val="24"/>
          <w:szCs w:val="24"/>
        </w:rPr>
        <w:t>($</w:t>
      </w:r>
      <w:r w:rsidRPr="00CE57F7" w:rsidR="00CE57F7">
        <w:rPr>
          <w:rFonts w:cs="Times New Roman"/>
          <w:sz w:val="24"/>
          <w:szCs w:val="24"/>
        </w:rPr>
        <w:t>6,822.38</w:t>
      </w:r>
      <w:r w:rsidRPr="00CE57F7" w:rsidR="00CE57F7">
        <w:rPr>
          <w:rFonts w:cs="Times New Roman"/>
          <w:sz w:val="24"/>
          <w:szCs w:val="24"/>
        </w:rPr>
        <w:t xml:space="preserve"> </w:t>
      </w:r>
      <w:r w:rsidRPr="002C0099">
        <w:rPr>
          <w:rFonts w:cs="Times New Roman"/>
          <w:sz w:val="24"/>
          <w:szCs w:val="24"/>
        </w:rPr>
        <w:t>= total burden hours × the estimated hourly wage for respondents).</w:t>
      </w:r>
      <w:r w:rsidR="00DE501A">
        <w:rPr>
          <w:rFonts w:cs="Times New Roman"/>
          <w:sz w:val="24"/>
          <w:szCs w:val="24"/>
        </w:rPr>
        <w:t xml:space="preserve"> </w:t>
      </w:r>
    </w:p>
    <w:p w:rsidR="001F1A1D" w:rsidRPr="000655BF" w:rsidP="00C37873" w14:paraId="7BE03688" w14:textId="77777777">
      <w:pPr>
        <w:pStyle w:val="Heading4"/>
      </w:pPr>
      <w:r w:rsidRPr="000655BF">
        <w:t>Grantee</w:t>
      </w:r>
      <w:r w:rsidRPr="000655BF" w:rsidR="00004FA5">
        <w:t>-Level</w:t>
      </w:r>
      <w:r w:rsidRPr="000655BF">
        <w:t xml:space="preserve"> Interview</w:t>
      </w:r>
      <w:r w:rsidRPr="000655BF" w:rsidR="005E6F0D">
        <w:t>s</w:t>
      </w:r>
    </w:p>
    <w:p w:rsidR="00063006" w14:paraId="00AA2ECE" w14:textId="73E0E21C">
      <w:pPr>
        <w:pStyle w:val="BodyText"/>
        <w:rPr>
          <w:sz w:val="24"/>
          <w:szCs w:val="24"/>
        </w:rPr>
      </w:pPr>
      <w:r w:rsidRPr="000655BF">
        <w:rPr>
          <w:sz w:val="24"/>
          <w:szCs w:val="24"/>
        </w:rPr>
        <w:t>The</w:t>
      </w:r>
      <w:r w:rsidRPr="000655BF">
        <w:rPr>
          <w:iCs/>
          <w:sz w:val="24"/>
          <w:szCs w:val="24"/>
        </w:rPr>
        <w:t xml:space="preserve"> </w:t>
      </w:r>
      <w:r w:rsidRPr="000655BF" w:rsidR="005E6F0D">
        <w:rPr>
          <w:iCs/>
          <w:sz w:val="24"/>
          <w:szCs w:val="24"/>
        </w:rPr>
        <w:t>G</w:t>
      </w:r>
      <w:r w:rsidRPr="000655BF" w:rsidR="00004FA5">
        <w:rPr>
          <w:iCs/>
          <w:sz w:val="24"/>
          <w:szCs w:val="24"/>
        </w:rPr>
        <w:t>rantee-Level Interview</w:t>
      </w:r>
      <w:r w:rsidRPr="000655BF" w:rsidR="005E6F0D">
        <w:rPr>
          <w:iCs/>
          <w:sz w:val="24"/>
          <w:szCs w:val="24"/>
        </w:rPr>
        <w:t>s</w:t>
      </w:r>
      <w:r w:rsidRPr="000655BF">
        <w:rPr>
          <w:sz w:val="24"/>
          <w:szCs w:val="24"/>
        </w:rPr>
        <w:t xml:space="preserve"> </w:t>
      </w:r>
      <w:r w:rsidRPr="000655BF" w:rsidR="005E6F0D">
        <w:rPr>
          <w:sz w:val="24"/>
          <w:szCs w:val="24"/>
        </w:rPr>
        <w:t>are</w:t>
      </w:r>
      <w:r w:rsidRPr="000655BF">
        <w:rPr>
          <w:sz w:val="24"/>
          <w:szCs w:val="24"/>
        </w:rPr>
        <w:t xml:space="preserve"> required </w:t>
      </w:r>
      <w:r w:rsidR="004741BC">
        <w:rPr>
          <w:sz w:val="24"/>
          <w:szCs w:val="24"/>
        </w:rPr>
        <w:t>annually</w:t>
      </w:r>
      <w:r w:rsidRPr="000655BF">
        <w:rPr>
          <w:sz w:val="24"/>
          <w:szCs w:val="24"/>
        </w:rPr>
        <w:t xml:space="preserve">. </w:t>
      </w:r>
      <w:r>
        <w:rPr>
          <w:sz w:val="24"/>
          <w:szCs w:val="24"/>
        </w:rPr>
        <w:t>Key assumptions related to this burden include</w:t>
      </w:r>
      <w:r w:rsidR="005E0CEA">
        <w:rPr>
          <w:sz w:val="24"/>
          <w:szCs w:val="24"/>
        </w:rPr>
        <w:t xml:space="preserve"> the following</w:t>
      </w:r>
      <w:r>
        <w:rPr>
          <w:sz w:val="24"/>
          <w:szCs w:val="24"/>
        </w:rPr>
        <w:t>:</w:t>
      </w:r>
    </w:p>
    <w:p w:rsidR="002C67B1" w:rsidRPr="006C7E21" w:rsidP="002C67B1" w14:paraId="373B2869" w14:textId="77777777">
      <w:pPr>
        <w:pStyle w:val="ListBulletLast"/>
        <w:numPr>
          <w:ilvl w:val="0"/>
          <w:numId w:val="41"/>
        </w:numPr>
        <w:rPr>
          <w:rFonts w:cs="Times New Roman"/>
          <w:sz w:val="24"/>
          <w:szCs w:val="24"/>
        </w:rPr>
      </w:pPr>
      <w:r>
        <w:rPr>
          <w:rFonts w:cs="Times New Roman"/>
          <w:sz w:val="24"/>
          <w:szCs w:val="24"/>
        </w:rPr>
        <w:t xml:space="preserve">The number of grantees participating in data collection will vary each year as grants expire and are awarded. </w:t>
      </w:r>
    </w:p>
    <w:p w:rsidR="002C67B1" w:rsidRPr="003F5A31" w:rsidP="0062547E" w14:paraId="1359ED7B" w14:textId="38AB8E01">
      <w:pPr>
        <w:pStyle w:val="ListBulletLast"/>
        <w:numPr>
          <w:ilvl w:val="1"/>
          <w:numId w:val="11"/>
        </w:numPr>
        <w:rPr>
          <w:sz w:val="24"/>
          <w:szCs w:val="24"/>
        </w:rPr>
      </w:pPr>
      <w:r w:rsidRPr="723F4029">
        <w:rPr>
          <w:sz w:val="24"/>
          <w:szCs w:val="24"/>
        </w:rPr>
        <w:t xml:space="preserve">In Year </w:t>
      </w:r>
      <w:r w:rsidRPr="723F4029" w:rsidR="00BD3D38">
        <w:rPr>
          <w:sz w:val="24"/>
          <w:szCs w:val="24"/>
        </w:rPr>
        <w:t>1</w:t>
      </w:r>
      <w:r w:rsidRPr="723F4029">
        <w:rPr>
          <w:sz w:val="24"/>
          <w:szCs w:val="24"/>
        </w:rPr>
        <w:t xml:space="preserve">, </w:t>
      </w:r>
      <w:r w:rsidRPr="723F4029" w:rsidR="008A682F">
        <w:rPr>
          <w:sz w:val="24"/>
          <w:szCs w:val="24"/>
        </w:rPr>
        <w:t xml:space="preserve">26 </w:t>
      </w:r>
      <w:r w:rsidRPr="723F4029">
        <w:rPr>
          <w:sz w:val="24"/>
          <w:szCs w:val="24"/>
        </w:rPr>
        <w:t>grantees (20 grantees from the FY 2021 cohort</w:t>
      </w:r>
      <w:r w:rsidRPr="723F4029" w:rsidR="008A682F">
        <w:rPr>
          <w:sz w:val="24"/>
          <w:szCs w:val="24"/>
        </w:rPr>
        <w:t xml:space="preserve"> and</w:t>
      </w:r>
      <w:r w:rsidRPr="723F4029">
        <w:rPr>
          <w:sz w:val="24"/>
          <w:szCs w:val="24"/>
        </w:rPr>
        <w:t xml:space="preserve"> 6 from the FY 2022 cohort) will complete the Grantee-Level </w:t>
      </w:r>
      <w:r w:rsidR="00591985">
        <w:rPr>
          <w:sz w:val="24"/>
          <w:szCs w:val="24"/>
        </w:rPr>
        <w:t>Interviews.</w:t>
      </w:r>
    </w:p>
    <w:p w:rsidR="00591985" w:rsidRPr="00591985" w14:paraId="5586B096" w14:textId="77777777">
      <w:pPr>
        <w:pStyle w:val="ListBulletLast"/>
        <w:numPr>
          <w:ilvl w:val="1"/>
          <w:numId w:val="41"/>
        </w:numPr>
        <w:rPr>
          <w:rFonts w:cs="Times New Roman"/>
          <w:sz w:val="24"/>
          <w:szCs w:val="24"/>
        </w:rPr>
      </w:pPr>
      <w:r w:rsidRPr="00591985">
        <w:rPr>
          <w:sz w:val="24"/>
          <w:szCs w:val="24"/>
        </w:rPr>
        <w:t xml:space="preserve">In Year </w:t>
      </w:r>
      <w:r w:rsidRPr="00591985" w:rsidR="00BD3D38">
        <w:rPr>
          <w:sz w:val="24"/>
          <w:szCs w:val="24"/>
        </w:rPr>
        <w:t>2</w:t>
      </w:r>
      <w:r w:rsidRPr="00591985">
        <w:rPr>
          <w:sz w:val="24"/>
          <w:szCs w:val="24"/>
        </w:rPr>
        <w:t xml:space="preserve">, 6 grantees from the FY 2022 cohort will complete the </w:t>
      </w:r>
      <w:r w:rsidRPr="723F4029">
        <w:rPr>
          <w:sz w:val="24"/>
          <w:szCs w:val="24"/>
        </w:rPr>
        <w:t xml:space="preserve">Grantee-Level </w:t>
      </w:r>
      <w:r>
        <w:rPr>
          <w:sz w:val="24"/>
          <w:szCs w:val="24"/>
        </w:rPr>
        <w:t>Interviews.</w:t>
      </w:r>
    </w:p>
    <w:p w:rsidR="00BA4521" w:rsidRPr="00591985" w14:paraId="52D9EBEF" w14:textId="2F9F07A4">
      <w:pPr>
        <w:pStyle w:val="ListBulletLast"/>
        <w:numPr>
          <w:ilvl w:val="1"/>
          <w:numId w:val="41"/>
        </w:numPr>
        <w:rPr>
          <w:rFonts w:cs="Times New Roman"/>
          <w:sz w:val="24"/>
          <w:szCs w:val="24"/>
        </w:rPr>
      </w:pPr>
      <w:r w:rsidRPr="00591985">
        <w:rPr>
          <w:rFonts w:cs="Times New Roman"/>
          <w:sz w:val="24"/>
          <w:szCs w:val="24"/>
        </w:rPr>
        <w:t xml:space="preserve">In Year 3, 30 grantees (from an anticipated FY2027 cohort) </w:t>
      </w:r>
      <w:r w:rsidRPr="00591985" w:rsidR="006A776E">
        <w:rPr>
          <w:sz w:val="24"/>
          <w:szCs w:val="24"/>
        </w:rPr>
        <w:t xml:space="preserve">will complete the Grantee-Level </w:t>
      </w:r>
      <w:r w:rsidR="00591985">
        <w:rPr>
          <w:sz w:val="24"/>
          <w:szCs w:val="24"/>
        </w:rPr>
        <w:t>Interviews.</w:t>
      </w:r>
    </w:p>
    <w:p w:rsidR="00063006" w:rsidP="00887BF3" w14:paraId="37D4740C" w14:textId="50982705">
      <w:pPr>
        <w:pStyle w:val="BodyText"/>
        <w:numPr>
          <w:ilvl w:val="0"/>
          <w:numId w:val="41"/>
        </w:numPr>
        <w:rPr>
          <w:sz w:val="24"/>
          <w:szCs w:val="24"/>
        </w:rPr>
      </w:pPr>
      <w:r>
        <w:rPr>
          <w:iCs/>
          <w:sz w:val="24"/>
          <w:szCs w:val="24"/>
        </w:rPr>
        <w:t xml:space="preserve">The Grantee-Level Interviews are </w:t>
      </w:r>
      <w:r w:rsidRPr="00063006" w:rsidR="004F0E2A">
        <w:rPr>
          <w:sz w:val="24"/>
          <w:szCs w:val="24"/>
        </w:rPr>
        <w:t>estimated to take 1.5 hours to complete</w:t>
      </w:r>
      <w:r w:rsidRPr="00063006" w:rsidR="005E6F0D">
        <w:rPr>
          <w:sz w:val="24"/>
          <w:szCs w:val="24"/>
        </w:rPr>
        <w:t>,</w:t>
      </w:r>
      <w:r w:rsidRPr="00063006" w:rsidR="004F0E2A">
        <w:rPr>
          <w:sz w:val="24"/>
          <w:szCs w:val="24"/>
        </w:rPr>
        <w:t xml:space="preserve"> per response</w:t>
      </w:r>
      <w:r>
        <w:rPr>
          <w:sz w:val="24"/>
          <w:szCs w:val="24"/>
        </w:rPr>
        <w:t xml:space="preserve">. This includes the time it takes for the grantee to complete the phone interview. </w:t>
      </w:r>
      <w:r w:rsidRPr="00063006" w:rsidR="004F0E2A">
        <w:rPr>
          <w:sz w:val="24"/>
          <w:szCs w:val="24"/>
        </w:rPr>
        <w:t xml:space="preserve"> </w:t>
      </w:r>
    </w:p>
    <w:p w:rsidR="00063006" w:rsidRPr="00063006" w:rsidP="00887BF3" w14:paraId="08E573A9" w14:textId="23BA2970">
      <w:pPr>
        <w:pStyle w:val="BodyText"/>
        <w:numPr>
          <w:ilvl w:val="0"/>
          <w:numId w:val="41"/>
        </w:numPr>
        <w:rPr>
          <w:sz w:val="24"/>
          <w:szCs w:val="24"/>
        </w:rPr>
      </w:pPr>
      <w:r w:rsidRPr="00063006">
        <w:rPr>
          <w:sz w:val="24"/>
          <w:szCs w:val="24"/>
        </w:rPr>
        <w:t>There are no direct costs to respondents other than their time to complete the instrument.</w:t>
      </w:r>
    </w:p>
    <w:p w:rsidR="00745A51" w:rsidRPr="00063006" w14:paraId="0147C1C4" w14:textId="0D688A47">
      <w:pPr>
        <w:pStyle w:val="BodyText"/>
        <w:rPr>
          <w:sz w:val="24"/>
          <w:szCs w:val="24"/>
        </w:rPr>
      </w:pPr>
      <w:r w:rsidRPr="00A63D04">
        <w:rPr>
          <w:sz w:val="24"/>
          <w:szCs w:val="24"/>
        </w:rPr>
        <w:t xml:space="preserve">Exhibits </w:t>
      </w:r>
      <w:r w:rsidR="00E2473B">
        <w:rPr>
          <w:sz w:val="24"/>
          <w:szCs w:val="24"/>
        </w:rPr>
        <w:t>6</w:t>
      </w:r>
      <w:r w:rsidR="005E0CEA">
        <w:rPr>
          <w:sz w:val="24"/>
          <w:szCs w:val="24"/>
        </w:rPr>
        <w:t xml:space="preserve"> </w:t>
      </w:r>
      <w:r w:rsidR="006A776E">
        <w:rPr>
          <w:sz w:val="24"/>
          <w:szCs w:val="24"/>
        </w:rPr>
        <w:t>to 8</w:t>
      </w:r>
      <w:r w:rsidRPr="00A63D04" w:rsidR="00B46D53">
        <w:rPr>
          <w:sz w:val="24"/>
          <w:szCs w:val="24"/>
        </w:rPr>
        <w:t xml:space="preserve"> </w:t>
      </w:r>
      <w:r w:rsidRPr="00A63D04">
        <w:rPr>
          <w:sz w:val="24"/>
          <w:szCs w:val="24"/>
        </w:rPr>
        <w:t xml:space="preserve">provide </w:t>
      </w:r>
      <w:r w:rsidRPr="00A63D04">
        <w:rPr>
          <w:sz w:val="24"/>
          <w:szCs w:val="24"/>
        </w:rPr>
        <w:t>detail</w:t>
      </w:r>
      <w:r w:rsidRPr="00A63D04">
        <w:rPr>
          <w:sz w:val="24"/>
          <w:szCs w:val="24"/>
        </w:rPr>
        <w:t xml:space="preserve"> of the annual burden for the Grantee-Level Interview for Years 1</w:t>
      </w:r>
      <w:r w:rsidR="00F537D6">
        <w:rPr>
          <w:sz w:val="24"/>
          <w:szCs w:val="24"/>
        </w:rPr>
        <w:t xml:space="preserve"> </w:t>
      </w:r>
      <w:r w:rsidR="006A776E">
        <w:rPr>
          <w:sz w:val="24"/>
          <w:szCs w:val="24"/>
        </w:rPr>
        <w:t>to 3</w:t>
      </w:r>
      <w:r w:rsidR="00162176">
        <w:rPr>
          <w:sz w:val="24"/>
          <w:szCs w:val="24"/>
        </w:rPr>
        <w:t xml:space="preserve"> </w:t>
      </w:r>
      <w:r w:rsidRPr="00A63D04">
        <w:rPr>
          <w:sz w:val="24"/>
          <w:szCs w:val="24"/>
        </w:rPr>
        <w:t xml:space="preserve">of the </w:t>
      </w:r>
      <w:r w:rsidR="00BD3D38">
        <w:rPr>
          <w:sz w:val="24"/>
          <w:szCs w:val="24"/>
        </w:rPr>
        <w:t>PEPC</w:t>
      </w:r>
      <w:r w:rsidRPr="00A63D04">
        <w:rPr>
          <w:sz w:val="24"/>
          <w:szCs w:val="24"/>
        </w:rPr>
        <w:t xml:space="preserve"> evaluation. </w:t>
      </w:r>
      <w:r w:rsidRPr="00BD4600" w:rsidR="00BD4600">
        <w:rPr>
          <w:sz w:val="24"/>
          <w:szCs w:val="24"/>
        </w:rPr>
        <w:t>The estimated burden of 1.</w:t>
      </w:r>
      <w:r w:rsidR="00BD4600">
        <w:rPr>
          <w:sz w:val="24"/>
          <w:szCs w:val="24"/>
        </w:rPr>
        <w:t>5</w:t>
      </w:r>
      <w:r w:rsidRPr="00BD4600" w:rsidR="00BD4600">
        <w:rPr>
          <w:sz w:val="24"/>
          <w:szCs w:val="24"/>
        </w:rPr>
        <w:t xml:space="preserve"> hours </w:t>
      </w:r>
      <w:r w:rsidR="00BD4600">
        <w:rPr>
          <w:sz w:val="24"/>
          <w:szCs w:val="24"/>
        </w:rPr>
        <w:t xml:space="preserve">was </w:t>
      </w:r>
      <w:r w:rsidR="00063006">
        <w:rPr>
          <w:sz w:val="24"/>
          <w:szCs w:val="24"/>
        </w:rPr>
        <w:t xml:space="preserve">confirmed through </w:t>
      </w:r>
      <w:r w:rsidRPr="00063006">
        <w:rPr>
          <w:sz w:val="24"/>
          <w:szCs w:val="24"/>
        </w:rPr>
        <w:t xml:space="preserve">interviews </w:t>
      </w:r>
      <w:r w:rsidRPr="00063006">
        <w:rPr>
          <w:sz w:val="24"/>
          <w:szCs w:val="24"/>
        </w:rPr>
        <w:t xml:space="preserve">conducted </w:t>
      </w:r>
      <w:r w:rsidR="00BD4600">
        <w:rPr>
          <w:sz w:val="24"/>
          <w:szCs w:val="24"/>
        </w:rPr>
        <w:t>with a</w:t>
      </w:r>
      <w:r w:rsidR="005E0CEA">
        <w:rPr>
          <w:sz w:val="24"/>
          <w:szCs w:val="24"/>
        </w:rPr>
        <w:t>n</w:t>
      </w:r>
      <w:r w:rsidR="00BD4600">
        <w:rPr>
          <w:sz w:val="24"/>
          <w:szCs w:val="24"/>
        </w:rPr>
        <w:t xml:space="preserve"> instrument</w:t>
      </w:r>
      <w:r w:rsidR="005E0CEA">
        <w:rPr>
          <w:sz w:val="24"/>
          <w:szCs w:val="24"/>
        </w:rPr>
        <w:t xml:space="preserve"> of a similar length</w:t>
      </w:r>
      <w:r w:rsidR="00BD4600">
        <w:rPr>
          <w:sz w:val="24"/>
          <w:szCs w:val="24"/>
        </w:rPr>
        <w:t xml:space="preserve"> for the</w:t>
      </w:r>
      <w:r w:rsidRPr="00BD4600" w:rsidR="00BD4600">
        <w:t xml:space="preserve"> </w:t>
      </w:r>
      <w:r w:rsidRPr="00BD4600" w:rsidR="00BD4600">
        <w:rPr>
          <w:sz w:val="24"/>
          <w:szCs w:val="24"/>
        </w:rPr>
        <w:t>FY</w:t>
      </w:r>
      <w:r w:rsidR="009F3426">
        <w:rPr>
          <w:sz w:val="24"/>
          <w:szCs w:val="24"/>
        </w:rPr>
        <w:t xml:space="preserve"> </w:t>
      </w:r>
      <w:r w:rsidRPr="00BD4600" w:rsidR="00BD4600">
        <w:rPr>
          <w:sz w:val="24"/>
          <w:szCs w:val="24"/>
        </w:rPr>
        <w:t xml:space="preserve">2016 </w:t>
      </w:r>
      <w:r w:rsidR="00D00AE7">
        <w:rPr>
          <w:sz w:val="24"/>
          <w:szCs w:val="24"/>
        </w:rPr>
        <w:t>SPF Rx</w:t>
      </w:r>
      <w:r w:rsidRPr="00BD4600" w:rsidR="00BD4600">
        <w:rPr>
          <w:sz w:val="24"/>
          <w:szCs w:val="24"/>
        </w:rPr>
        <w:t xml:space="preserve"> grantees</w:t>
      </w:r>
      <w:r w:rsidR="00BD4600">
        <w:rPr>
          <w:sz w:val="24"/>
          <w:szCs w:val="24"/>
        </w:rPr>
        <w:t xml:space="preserve"> cohort evaluation</w:t>
      </w:r>
      <w:r w:rsidRPr="00063006" w:rsidR="004F0E2A">
        <w:rPr>
          <w:sz w:val="24"/>
          <w:szCs w:val="24"/>
        </w:rPr>
        <w:t xml:space="preserve">. </w:t>
      </w:r>
    </w:p>
    <w:p w:rsidR="00E2473B" w:rsidP="00535D49" w14:paraId="086DD44C" w14:textId="7E1FCA0F">
      <w:pPr>
        <w:pStyle w:val="BodyText"/>
        <w:rPr>
          <w:b/>
          <w:szCs w:val="24"/>
        </w:rPr>
      </w:pPr>
      <w:r w:rsidRPr="000655BF">
        <w:rPr>
          <w:sz w:val="24"/>
          <w:szCs w:val="24"/>
        </w:rPr>
        <w:t xml:space="preserve">Exhibit </w:t>
      </w:r>
      <w:r w:rsidR="006A776E">
        <w:rPr>
          <w:sz w:val="24"/>
          <w:szCs w:val="24"/>
        </w:rPr>
        <w:t>9</w:t>
      </w:r>
      <w:r w:rsidRPr="000655BF" w:rsidR="006A776E">
        <w:rPr>
          <w:b/>
          <w:i/>
          <w:sz w:val="24"/>
          <w:szCs w:val="24"/>
        </w:rPr>
        <w:t xml:space="preserve"> </w:t>
      </w:r>
      <w:r w:rsidRPr="000655BF">
        <w:rPr>
          <w:sz w:val="24"/>
          <w:szCs w:val="24"/>
        </w:rPr>
        <w:t xml:space="preserve">presents </w:t>
      </w:r>
      <w:r w:rsidR="00955F60">
        <w:rPr>
          <w:sz w:val="24"/>
          <w:szCs w:val="24"/>
        </w:rPr>
        <w:t xml:space="preserve">average annualized </w:t>
      </w:r>
      <w:r w:rsidRPr="000655BF">
        <w:rPr>
          <w:sz w:val="24"/>
          <w:szCs w:val="24"/>
        </w:rPr>
        <w:t xml:space="preserve">estimates </w:t>
      </w:r>
      <w:r w:rsidR="00955F60">
        <w:rPr>
          <w:sz w:val="24"/>
          <w:szCs w:val="24"/>
        </w:rPr>
        <w:t>for</w:t>
      </w:r>
      <w:r w:rsidR="009C4A8C">
        <w:rPr>
          <w:sz w:val="24"/>
          <w:szCs w:val="24"/>
        </w:rPr>
        <w:t xml:space="preserve"> </w:t>
      </w:r>
      <w:r w:rsidRPr="000655BF">
        <w:rPr>
          <w:sz w:val="24"/>
          <w:szCs w:val="24"/>
        </w:rPr>
        <w:t xml:space="preserve">the </w:t>
      </w:r>
      <w:r w:rsidRPr="000655BF">
        <w:rPr>
          <w:iCs/>
          <w:sz w:val="24"/>
          <w:szCs w:val="24"/>
        </w:rPr>
        <w:t>Grantee-Level Interview</w:t>
      </w:r>
      <w:r w:rsidRPr="000655BF">
        <w:rPr>
          <w:sz w:val="24"/>
          <w:szCs w:val="24"/>
        </w:rPr>
        <w:t xml:space="preserve"> burden </w:t>
      </w:r>
      <w:r w:rsidRPr="00CE57F7">
        <w:rPr>
          <w:sz w:val="24"/>
          <w:szCs w:val="24"/>
        </w:rPr>
        <w:t>(</w:t>
      </w:r>
      <w:r w:rsidRPr="0062547E" w:rsidR="00CE57F7">
        <w:rPr>
          <w:sz w:val="24"/>
          <w:szCs w:val="24"/>
        </w:rPr>
        <w:t>31</w:t>
      </w:r>
      <w:r w:rsidRPr="00CE57F7" w:rsidR="00CE57F7">
        <w:rPr>
          <w:sz w:val="24"/>
          <w:szCs w:val="24"/>
        </w:rPr>
        <w:t xml:space="preserve"> </w:t>
      </w:r>
      <w:r w:rsidRPr="00CE57F7">
        <w:rPr>
          <w:sz w:val="24"/>
          <w:szCs w:val="24"/>
        </w:rPr>
        <w:t>hours) and</w:t>
      </w:r>
      <w:r w:rsidRPr="00CE57F7" w:rsidR="000464ED">
        <w:rPr>
          <w:sz w:val="24"/>
          <w:szCs w:val="24"/>
        </w:rPr>
        <w:t xml:space="preserve"> </w:t>
      </w:r>
      <w:r w:rsidRPr="00CE57F7">
        <w:rPr>
          <w:sz w:val="24"/>
          <w:szCs w:val="24"/>
        </w:rPr>
        <w:t>respondent cost (</w:t>
      </w:r>
      <w:r w:rsidRPr="00CE57F7" w:rsidR="00F578CF">
        <w:rPr>
          <w:sz w:val="24"/>
          <w:szCs w:val="24"/>
        </w:rPr>
        <w:t>$</w:t>
      </w:r>
      <w:r w:rsidRPr="00CE57F7" w:rsidR="00CE57F7">
        <w:rPr>
          <w:sz w:val="24"/>
          <w:szCs w:val="24"/>
        </w:rPr>
        <w:t>1,576.35</w:t>
      </w:r>
      <w:r w:rsidRPr="00CE57F7">
        <w:rPr>
          <w:sz w:val="24"/>
          <w:szCs w:val="24"/>
        </w:rPr>
        <w:t>= total burden</w:t>
      </w:r>
      <w:r w:rsidRPr="000464ED">
        <w:rPr>
          <w:sz w:val="24"/>
          <w:szCs w:val="24"/>
        </w:rPr>
        <w:t xml:space="preserve"> hours × the estimated hourly wage for respondents).</w:t>
      </w:r>
      <w:r w:rsidRPr="000464ED" w:rsidR="00A44408">
        <w:rPr>
          <w:sz w:val="24"/>
          <w:szCs w:val="24"/>
        </w:rPr>
        <w:t xml:space="preserve">  </w:t>
      </w:r>
      <w:r>
        <w:rPr>
          <w:b/>
          <w:szCs w:val="24"/>
        </w:rPr>
        <w:br w:type="page"/>
      </w:r>
    </w:p>
    <w:p w:rsidR="00CA512F" w:rsidP="00CA512F" w14:paraId="343BABCC" w14:textId="187F735A">
      <w:pPr>
        <w:suppressAutoHyphens w:val="0"/>
        <w:rPr>
          <w:b/>
          <w:szCs w:val="24"/>
        </w:rPr>
      </w:pPr>
      <w:r w:rsidRPr="000655BF">
        <w:rPr>
          <w:b/>
          <w:szCs w:val="24"/>
        </w:rPr>
        <w:t xml:space="preserve">Exhibit </w:t>
      </w:r>
      <w:r>
        <w:rPr>
          <w:b/>
          <w:szCs w:val="24"/>
        </w:rPr>
        <w:t>6</w:t>
      </w:r>
      <w:r w:rsidRPr="000655BF">
        <w:rPr>
          <w:b/>
          <w:szCs w:val="24"/>
        </w:rPr>
        <w:t xml:space="preserve">. Estimates of Annual Burden for </w:t>
      </w:r>
      <w:r>
        <w:rPr>
          <w:b/>
          <w:szCs w:val="24"/>
        </w:rPr>
        <w:t xml:space="preserve">Year </w:t>
      </w:r>
      <w:r w:rsidR="00535D49">
        <w:rPr>
          <w:b/>
          <w:szCs w:val="24"/>
        </w:rPr>
        <w:t xml:space="preserve">1 </w:t>
      </w:r>
      <w:r>
        <w:rPr>
          <w:b/>
          <w:szCs w:val="24"/>
        </w:rPr>
        <w:t xml:space="preserve">for </w:t>
      </w:r>
      <w:r w:rsidRPr="000655BF">
        <w:rPr>
          <w:b/>
          <w:szCs w:val="24"/>
        </w:rPr>
        <w:t xml:space="preserve">the </w:t>
      </w:r>
      <w:r w:rsidR="00556AE9">
        <w:rPr>
          <w:b/>
          <w:szCs w:val="24"/>
        </w:rPr>
        <w:t>PEPC</w:t>
      </w:r>
      <w:r>
        <w:rPr>
          <w:b/>
          <w:szCs w:val="24"/>
        </w:rPr>
        <w:t xml:space="preserve"> </w:t>
      </w:r>
      <w:r w:rsidRPr="000655BF">
        <w:rPr>
          <w:b/>
          <w:szCs w:val="24"/>
        </w:rPr>
        <w:t>Data Collection</w:t>
      </w:r>
      <w:r w:rsidR="00556AE9">
        <w:rPr>
          <w:b/>
          <w:szCs w:val="24"/>
        </w:rPr>
        <w:t xml:space="preserve"> (FY 2021</w:t>
      </w:r>
      <w:r w:rsidR="00E4305A">
        <w:rPr>
          <w:b/>
          <w:szCs w:val="24"/>
        </w:rPr>
        <w:t xml:space="preserve"> cohort</w:t>
      </w:r>
      <w:r w:rsidR="00A0275C">
        <w:rPr>
          <w:b/>
          <w:szCs w:val="24"/>
        </w:rPr>
        <w:t xml:space="preserve"> and</w:t>
      </w:r>
      <w:r w:rsidR="00556AE9">
        <w:rPr>
          <w:b/>
          <w:szCs w:val="24"/>
        </w:rPr>
        <w:t xml:space="preserve"> FY 2022</w:t>
      </w:r>
      <w:r w:rsidR="00E4305A">
        <w:rPr>
          <w:b/>
          <w:szCs w:val="24"/>
        </w:rPr>
        <w:t xml:space="preserve"> cohort</w:t>
      </w:r>
      <w:r w:rsidR="00556AE9">
        <w:rPr>
          <w:b/>
          <w:szCs w:val="24"/>
        </w:rPr>
        <w:t>)</w:t>
      </w:r>
      <w:r w:rsidRPr="000655BF">
        <w:rPr>
          <w:b/>
          <w:szCs w:val="24"/>
        </w:rPr>
        <w:t xml:space="preserve"> (N</w:t>
      </w:r>
      <w:r w:rsidR="009F3426">
        <w:rPr>
          <w:b/>
          <w:szCs w:val="24"/>
        </w:rPr>
        <w:t> </w:t>
      </w:r>
      <w:r w:rsidRPr="000655BF">
        <w:rPr>
          <w:b/>
          <w:szCs w:val="24"/>
        </w:rPr>
        <w:t>=</w:t>
      </w:r>
      <w:r w:rsidR="009F3426">
        <w:rPr>
          <w:b/>
          <w:szCs w:val="24"/>
        </w:rPr>
        <w:t> </w:t>
      </w:r>
      <w:r w:rsidR="00A0275C">
        <w:rPr>
          <w:b/>
          <w:szCs w:val="24"/>
        </w:rPr>
        <w:t>26</w:t>
      </w:r>
      <w:r w:rsidRPr="000655BF" w:rsidR="00A0275C">
        <w:rPr>
          <w:b/>
          <w:szCs w:val="24"/>
        </w:rPr>
        <w:t xml:space="preserve"> </w:t>
      </w:r>
      <w:r w:rsidRPr="000655BF">
        <w:rPr>
          <w:b/>
          <w:szCs w:val="24"/>
        </w:rPr>
        <w:t>Grantees; N</w:t>
      </w:r>
      <w:r w:rsidR="009F3426">
        <w:rPr>
          <w:b/>
          <w:szCs w:val="24"/>
        </w:rPr>
        <w:t> </w:t>
      </w:r>
      <w:r w:rsidRPr="000655BF">
        <w:rPr>
          <w:b/>
          <w:szCs w:val="24"/>
        </w:rPr>
        <w:t>=</w:t>
      </w:r>
      <w:r w:rsidR="009F3426">
        <w:rPr>
          <w:b/>
          <w:szCs w:val="24"/>
        </w:rPr>
        <w:t> </w:t>
      </w:r>
      <w:r w:rsidR="00A0275C">
        <w:rPr>
          <w:b/>
          <w:szCs w:val="24"/>
        </w:rPr>
        <w:t>135</w:t>
      </w:r>
      <w:r w:rsidRPr="000655BF" w:rsidR="00A0275C">
        <w:rPr>
          <w:b/>
          <w:szCs w:val="24"/>
        </w:rPr>
        <w:t xml:space="preserve"> </w:t>
      </w:r>
      <w:r w:rsidRPr="000655BF">
        <w:rPr>
          <w:b/>
          <w:szCs w:val="24"/>
        </w:rPr>
        <w:t>Subrecipients)</w:t>
      </w:r>
    </w:p>
    <w:tbl>
      <w:tblPr>
        <w:tblStyle w:val="TableGrid"/>
        <w:tblW w:w="9805" w:type="dxa"/>
        <w:tblLayout w:type="fixed"/>
        <w:tblCellMar>
          <w:left w:w="43" w:type="dxa"/>
          <w:right w:w="43" w:type="dxa"/>
        </w:tblCellMar>
        <w:tblLook w:val="04A0"/>
      </w:tblPr>
      <w:tblGrid>
        <w:gridCol w:w="1435"/>
        <w:gridCol w:w="1260"/>
        <w:gridCol w:w="1170"/>
        <w:gridCol w:w="1170"/>
        <w:gridCol w:w="990"/>
        <w:gridCol w:w="900"/>
        <w:gridCol w:w="810"/>
        <w:gridCol w:w="900"/>
        <w:gridCol w:w="1170"/>
      </w:tblGrid>
      <w:tr w14:paraId="315875C7" w14:textId="77777777" w:rsidTr="00F73C3F">
        <w:tblPrEx>
          <w:tblW w:w="9805" w:type="dxa"/>
          <w:tblLayout w:type="fixed"/>
          <w:tblCellMar>
            <w:left w:w="43" w:type="dxa"/>
            <w:right w:w="43" w:type="dxa"/>
          </w:tblCellMar>
          <w:tblLook w:val="04A0"/>
        </w:tblPrEx>
        <w:tc>
          <w:tcPr>
            <w:tcW w:w="1435" w:type="dxa"/>
            <w:shd w:val="clear" w:color="auto" w:fill="8DB3E2" w:themeFill="text2" w:themeFillTint="66"/>
          </w:tcPr>
          <w:p w:rsidR="00D13047" w:rsidRPr="00F64B90" w:rsidP="00DD277C" w14:paraId="16624FB3" w14:textId="77777777">
            <w:pPr>
              <w:keepNext/>
              <w:rPr>
                <w:b/>
                <w:bCs/>
                <w:sz w:val="20"/>
                <w:szCs w:val="20"/>
              </w:rPr>
            </w:pPr>
            <w:r w:rsidRPr="00F64B90">
              <w:rPr>
                <w:b/>
                <w:bCs/>
                <w:sz w:val="20"/>
                <w:szCs w:val="20"/>
              </w:rPr>
              <w:t>Instrument</w:t>
            </w:r>
          </w:p>
        </w:tc>
        <w:tc>
          <w:tcPr>
            <w:tcW w:w="1260" w:type="dxa"/>
            <w:shd w:val="clear" w:color="auto" w:fill="8DB3E2" w:themeFill="text2" w:themeFillTint="66"/>
          </w:tcPr>
          <w:p w:rsidR="00D13047" w:rsidRPr="00F64B90" w:rsidP="00DD277C" w14:paraId="5498469D" w14:textId="77777777">
            <w:pPr>
              <w:keepNext/>
              <w:rPr>
                <w:b/>
                <w:bCs/>
                <w:sz w:val="20"/>
                <w:szCs w:val="20"/>
              </w:rPr>
            </w:pPr>
            <w:r w:rsidRPr="00F64B90">
              <w:rPr>
                <w:b/>
                <w:bCs/>
                <w:sz w:val="20"/>
                <w:szCs w:val="20"/>
              </w:rPr>
              <w:t>Number of Respondents</w:t>
            </w:r>
          </w:p>
        </w:tc>
        <w:tc>
          <w:tcPr>
            <w:tcW w:w="1170" w:type="dxa"/>
            <w:shd w:val="clear" w:color="auto" w:fill="8DB3E2" w:themeFill="text2" w:themeFillTint="66"/>
          </w:tcPr>
          <w:p w:rsidR="00D13047" w:rsidRPr="00F64B90" w:rsidP="00DD277C" w14:paraId="70D9E4E7" w14:textId="77777777">
            <w:pPr>
              <w:keepNext/>
              <w:rPr>
                <w:b/>
                <w:bCs/>
                <w:sz w:val="20"/>
                <w:szCs w:val="20"/>
              </w:rPr>
            </w:pPr>
            <w:r w:rsidRPr="00F64B90">
              <w:rPr>
                <w:b/>
                <w:bCs/>
                <w:sz w:val="20"/>
                <w:szCs w:val="20"/>
              </w:rPr>
              <w:t>Respondent Type</w:t>
            </w:r>
          </w:p>
        </w:tc>
        <w:tc>
          <w:tcPr>
            <w:tcW w:w="1170" w:type="dxa"/>
            <w:shd w:val="clear" w:color="auto" w:fill="8DB3E2" w:themeFill="text2" w:themeFillTint="66"/>
          </w:tcPr>
          <w:p w:rsidR="00D13047" w:rsidRPr="00F64B90" w:rsidP="00DD277C" w14:paraId="722F5306" w14:textId="77777777">
            <w:pPr>
              <w:keepNext/>
              <w:rPr>
                <w:b/>
                <w:bCs/>
                <w:sz w:val="20"/>
                <w:szCs w:val="20"/>
              </w:rPr>
            </w:pPr>
            <w:r w:rsidRPr="00F64B90">
              <w:rPr>
                <w:b/>
                <w:bCs/>
                <w:sz w:val="20"/>
                <w:szCs w:val="20"/>
              </w:rPr>
              <w:t>Responses per Respondent</w:t>
            </w:r>
          </w:p>
        </w:tc>
        <w:tc>
          <w:tcPr>
            <w:tcW w:w="990" w:type="dxa"/>
            <w:shd w:val="clear" w:color="auto" w:fill="8DB3E2" w:themeFill="text2" w:themeFillTint="66"/>
          </w:tcPr>
          <w:p w:rsidR="00D13047" w:rsidRPr="00F64B90" w:rsidP="00DD277C" w14:paraId="1C90F69B" w14:textId="77777777">
            <w:pPr>
              <w:keepNext/>
              <w:rPr>
                <w:b/>
                <w:bCs/>
                <w:sz w:val="20"/>
                <w:szCs w:val="20"/>
              </w:rPr>
            </w:pPr>
            <w:r w:rsidRPr="00F64B90">
              <w:rPr>
                <w:b/>
                <w:bCs/>
                <w:sz w:val="20"/>
                <w:szCs w:val="20"/>
              </w:rPr>
              <w:t>Total Number of Responses</w:t>
            </w:r>
          </w:p>
        </w:tc>
        <w:tc>
          <w:tcPr>
            <w:tcW w:w="900" w:type="dxa"/>
            <w:shd w:val="clear" w:color="auto" w:fill="8DB3E2" w:themeFill="text2" w:themeFillTint="66"/>
          </w:tcPr>
          <w:p w:rsidR="00D13047" w:rsidRPr="00F64B90" w:rsidP="00DD277C" w14:paraId="005161AB" w14:textId="77777777">
            <w:pPr>
              <w:keepNext/>
              <w:rPr>
                <w:b/>
                <w:bCs/>
                <w:sz w:val="20"/>
                <w:szCs w:val="20"/>
              </w:rPr>
            </w:pPr>
            <w:r w:rsidRPr="00F64B90">
              <w:rPr>
                <w:b/>
                <w:bCs/>
                <w:sz w:val="20"/>
                <w:szCs w:val="20"/>
              </w:rPr>
              <w:t>Hours per Response</w:t>
            </w:r>
          </w:p>
        </w:tc>
        <w:tc>
          <w:tcPr>
            <w:tcW w:w="810" w:type="dxa"/>
            <w:shd w:val="clear" w:color="auto" w:fill="8DB3E2" w:themeFill="text2" w:themeFillTint="66"/>
          </w:tcPr>
          <w:p w:rsidR="00D13047" w:rsidRPr="00F64B90" w:rsidP="00DD277C" w14:paraId="4D1C89EE" w14:textId="77777777">
            <w:pPr>
              <w:keepNext/>
              <w:rPr>
                <w:b/>
                <w:bCs/>
                <w:sz w:val="20"/>
                <w:szCs w:val="20"/>
              </w:rPr>
            </w:pPr>
            <w:r w:rsidRPr="00F64B90">
              <w:rPr>
                <w:b/>
                <w:bCs/>
                <w:sz w:val="20"/>
                <w:szCs w:val="20"/>
              </w:rPr>
              <w:t>Total Burden Hours</w:t>
            </w:r>
          </w:p>
        </w:tc>
        <w:tc>
          <w:tcPr>
            <w:tcW w:w="900" w:type="dxa"/>
            <w:shd w:val="clear" w:color="auto" w:fill="8DB3E2" w:themeFill="text2" w:themeFillTint="66"/>
          </w:tcPr>
          <w:p w:rsidR="00D13047" w:rsidRPr="00F64B90" w:rsidP="00DD277C" w14:paraId="5AE43AC4" w14:textId="77777777">
            <w:pPr>
              <w:keepNext/>
              <w:rPr>
                <w:b/>
                <w:bCs/>
                <w:sz w:val="20"/>
                <w:szCs w:val="20"/>
              </w:rPr>
            </w:pPr>
            <w:r w:rsidRPr="00F64B90">
              <w:rPr>
                <w:b/>
                <w:bCs/>
                <w:sz w:val="20"/>
                <w:szCs w:val="20"/>
              </w:rPr>
              <w:t>Average</w:t>
            </w:r>
          </w:p>
          <w:p w:rsidR="00D13047" w:rsidRPr="00F64B90" w:rsidP="00DD277C" w14:paraId="00AF4820" w14:textId="7EC935D7">
            <w:pPr>
              <w:keepNext/>
              <w:rPr>
                <w:b/>
                <w:bCs/>
                <w:sz w:val="20"/>
                <w:szCs w:val="20"/>
                <w:vertAlign w:val="superscript"/>
              </w:rPr>
            </w:pPr>
            <w:r w:rsidRPr="00F64B90">
              <w:rPr>
                <w:b/>
                <w:bCs/>
                <w:sz w:val="20"/>
                <w:szCs w:val="20"/>
              </w:rPr>
              <w:t xml:space="preserve">Hourly </w:t>
            </w:r>
            <w:r w:rsidRPr="00F64B90">
              <w:rPr>
                <w:b/>
                <w:bCs/>
                <w:sz w:val="20"/>
                <w:szCs w:val="20"/>
              </w:rPr>
              <w:t>Wage</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0" w:type="dxa"/>
            <w:shd w:val="clear" w:color="auto" w:fill="8DB3E2" w:themeFill="text2" w:themeFillTint="66"/>
          </w:tcPr>
          <w:p w:rsidR="00D13047" w:rsidRPr="00F64B90" w:rsidP="00DD277C" w14:paraId="5F6E9BB6" w14:textId="5CAA4C5A">
            <w:pPr>
              <w:keepNext/>
              <w:rPr>
                <w:sz w:val="20"/>
                <w:szCs w:val="20"/>
              </w:rPr>
            </w:pPr>
            <w:r w:rsidRPr="00F64B90">
              <w:rPr>
                <w:b/>
                <w:bCs/>
                <w:sz w:val="20"/>
                <w:szCs w:val="20"/>
              </w:rPr>
              <w:t xml:space="preserve">Total </w:t>
            </w:r>
            <w:r w:rsidRPr="00F64B90">
              <w:rPr>
                <w:b/>
                <w:bCs/>
                <w:sz w:val="20"/>
                <w:szCs w:val="20"/>
              </w:rPr>
              <w:t>Cost</w:t>
            </w:r>
            <w:r w:rsidRPr="00F64B90">
              <w:rPr>
                <w:b/>
                <w:bCs/>
                <w:sz w:val="20"/>
                <w:szCs w:val="20"/>
                <w:vertAlign w:val="superscript"/>
              </w:rPr>
              <w:t>d</w:t>
            </w:r>
          </w:p>
        </w:tc>
      </w:tr>
      <w:tr w14:paraId="5F5C9592" w14:textId="77777777" w:rsidTr="00F73C3F">
        <w:tblPrEx>
          <w:tblW w:w="9805" w:type="dxa"/>
          <w:tblLayout w:type="fixed"/>
          <w:tblCellMar>
            <w:left w:w="43" w:type="dxa"/>
            <w:right w:w="43" w:type="dxa"/>
          </w:tblCellMar>
          <w:tblLook w:val="04A0"/>
        </w:tblPrEx>
        <w:tc>
          <w:tcPr>
            <w:tcW w:w="1435" w:type="dxa"/>
            <w:vMerge w:val="restart"/>
          </w:tcPr>
          <w:p w:rsidR="00D13047" w:rsidRPr="00F64B90" w:rsidP="00DD277C" w14:paraId="29AB1E5F" w14:textId="76DC9CF4">
            <w:pPr>
              <w:keepNext/>
              <w:rPr>
                <w:iCs/>
                <w:sz w:val="20"/>
                <w:szCs w:val="20"/>
                <w:vertAlign w:val="superscript"/>
              </w:rPr>
            </w:pPr>
            <w:r>
              <w:rPr>
                <w:iCs/>
                <w:sz w:val="20"/>
                <w:szCs w:val="20"/>
              </w:rPr>
              <w:t>A</w:t>
            </w:r>
            <w:r w:rsidR="00080C5A">
              <w:rPr>
                <w:iCs/>
                <w:sz w:val="20"/>
                <w:szCs w:val="20"/>
              </w:rPr>
              <w:t>RT</w:t>
            </w:r>
            <w:r w:rsidRPr="00F64B90">
              <w:rPr>
                <w:b/>
                <w:iCs/>
                <w:sz w:val="20"/>
                <w:szCs w:val="20"/>
                <w:vertAlign w:val="superscript"/>
              </w:rPr>
              <w:t>a</w:t>
            </w:r>
          </w:p>
          <w:p w:rsidR="00D13047" w:rsidRPr="00F64B90" w:rsidP="00DD277C" w14:paraId="24B8FC81" w14:textId="77777777">
            <w:pPr>
              <w:keepNext/>
              <w:rPr>
                <w:iCs/>
                <w:sz w:val="20"/>
                <w:szCs w:val="20"/>
              </w:rPr>
            </w:pPr>
          </w:p>
        </w:tc>
        <w:tc>
          <w:tcPr>
            <w:tcW w:w="1260" w:type="dxa"/>
          </w:tcPr>
          <w:p w:rsidR="00D13047" w:rsidRPr="00F64B90" w:rsidP="00DD277C" w14:paraId="67BB9A1B" w14:textId="7CA68470">
            <w:pPr>
              <w:keepNext/>
              <w:jc w:val="center"/>
              <w:rPr>
                <w:iCs/>
                <w:sz w:val="20"/>
                <w:szCs w:val="20"/>
              </w:rPr>
            </w:pPr>
            <w:r>
              <w:rPr>
                <w:iCs/>
                <w:sz w:val="20"/>
                <w:szCs w:val="20"/>
              </w:rPr>
              <w:t>135</w:t>
            </w:r>
          </w:p>
        </w:tc>
        <w:tc>
          <w:tcPr>
            <w:tcW w:w="1170" w:type="dxa"/>
          </w:tcPr>
          <w:p w:rsidR="00D13047" w:rsidRPr="00F64B90" w:rsidP="00DD277C" w14:paraId="2313F552" w14:textId="77777777">
            <w:pPr>
              <w:keepNext/>
              <w:rPr>
                <w:iCs/>
                <w:sz w:val="20"/>
                <w:szCs w:val="20"/>
              </w:rPr>
            </w:pPr>
            <w:r w:rsidRPr="00F64B90">
              <w:rPr>
                <w:iCs/>
                <w:sz w:val="20"/>
                <w:szCs w:val="20"/>
              </w:rPr>
              <w:t>Subrecipient Staff</w:t>
            </w:r>
          </w:p>
        </w:tc>
        <w:tc>
          <w:tcPr>
            <w:tcW w:w="1170" w:type="dxa"/>
          </w:tcPr>
          <w:p w:rsidR="00D13047" w:rsidRPr="00F64B90" w:rsidP="00DD277C" w14:paraId="4FB719C3" w14:textId="77777777">
            <w:pPr>
              <w:keepNext/>
              <w:jc w:val="center"/>
              <w:rPr>
                <w:iCs/>
                <w:sz w:val="20"/>
                <w:szCs w:val="20"/>
              </w:rPr>
            </w:pPr>
            <w:r w:rsidRPr="00F64B90">
              <w:rPr>
                <w:iCs/>
                <w:sz w:val="20"/>
                <w:szCs w:val="20"/>
              </w:rPr>
              <w:t>1</w:t>
            </w:r>
          </w:p>
        </w:tc>
        <w:tc>
          <w:tcPr>
            <w:tcW w:w="990" w:type="dxa"/>
          </w:tcPr>
          <w:p w:rsidR="00D13047" w:rsidRPr="00F64B90" w:rsidP="00DD277C" w14:paraId="3E6438EA" w14:textId="1B33B972">
            <w:pPr>
              <w:keepNext/>
              <w:jc w:val="center"/>
              <w:rPr>
                <w:iCs/>
                <w:sz w:val="20"/>
                <w:szCs w:val="20"/>
              </w:rPr>
            </w:pPr>
            <w:r>
              <w:rPr>
                <w:iCs/>
                <w:sz w:val="20"/>
                <w:szCs w:val="20"/>
              </w:rPr>
              <w:t>135</w:t>
            </w:r>
          </w:p>
        </w:tc>
        <w:tc>
          <w:tcPr>
            <w:tcW w:w="900" w:type="dxa"/>
          </w:tcPr>
          <w:p w:rsidR="00D13047" w:rsidRPr="008E6DE9" w:rsidP="00DD277C" w14:paraId="25E83224" w14:textId="4FF8E1E1">
            <w:pPr>
              <w:keepNext/>
              <w:jc w:val="center"/>
              <w:rPr>
                <w:iCs/>
                <w:sz w:val="20"/>
                <w:szCs w:val="20"/>
              </w:rPr>
            </w:pPr>
            <w:r>
              <w:rPr>
                <w:iCs/>
                <w:sz w:val="20"/>
                <w:szCs w:val="20"/>
              </w:rPr>
              <w:t>1.5</w:t>
            </w:r>
          </w:p>
        </w:tc>
        <w:tc>
          <w:tcPr>
            <w:tcW w:w="810" w:type="dxa"/>
          </w:tcPr>
          <w:p w:rsidR="00D13047" w:rsidRPr="008E6DE9" w:rsidP="00DD277C" w14:paraId="57D84D58" w14:textId="2A5E0E87">
            <w:pPr>
              <w:keepNext/>
              <w:jc w:val="center"/>
              <w:rPr>
                <w:iCs/>
                <w:sz w:val="20"/>
                <w:szCs w:val="20"/>
              </w:rPr>
            </w:pPr>
            <w:r>
              <w:rPr>
                <w:iCs/>
                <w:sz w:val="20"/>
                <w:szCs w:val="20"/>
              </w:rPr>
              <w:t>202</w:t>
            </w:r>
            <w:r w:rsidR="008111BC">
              <w:rPr>
                <w:iCs/>
                <w:sz w:val="20"/>
                <w:szCs w:val="20"/>
              </w:rPr>
              <w:t>.5</w:t>
            </w:r>
          </w:p>
        </w:tc>
        <w:tc>
          <w:tcPr>
            <w:tcW w:w="900" w:type="dxa"/>
          </w:tcPr>
          <w:p w:rsidR="00D13047" w:rsidRPr="00853F14" w:rsidP="00DD277C" w14:paraId="201C00A3" w14:textId="623ED446">
            <w:pPr>
              <w:keepNext/>
              <w:jc w:val="center"/>
              <w:rPr>
                <w:iCs/>
                <w:sz w:val="20"/>
                <w:szCs w:val="20"/>
              </w:rPr>
            </w:pPr>
            <w:r w:rsidRPr="00853F14">
              <w:rPr>
                <w:iCs/>
                <w:sz w:val="20"/>
                <w:szCs w:val="20"/>
              </w:rPr>
              <w:t>$</w:t>
            </w:r>
            <w:r w:rsidR="00767E08">
              <w:rPr>
                <w:iCs/>
                <w:sz w:val="20"/>
                <w:szCs w:val="20"/>
              </w:rPr>
              <w:t>30.56</w:t>
            </w:r>
          </w:p>
        </w:tc>
        <w:tc>
          <w:tcPr>
            <w:tcW w:w="1170" w:type="dxa"/>
          </w:tcPr>
          <w:p w:rsidR="00D13047" w:rsidRPr="00F25D9A" w:rsidP="00DD277C" w14:paraId="6D51349E" w14:textId="756008C9">
            <w:pPr>
              <w:keepNext/>
              <w:tabs>
                <w:tab w:val="decimal" w:pos="1007"/>
              </w:tabs>
              <w:ind w:left="-43"/>
              <w:jc w:val="center"/>
              <w:rPr>
                <w:iCs/>
                <w:sz w:val="20"/>
                <w:szCs w:val="20"/>
              </w:rPr>
            </w:pPr>
            <w:r w:rsidRPr="00853F14">
              <w:rPr>
                <w:iCs/>
                <w:sz w:val="20"/>
                <w:szCs w:val="20"/>
              </w:rPr>
              <w:t>$</w:t>
            </w:r>
            <w:r w:rsidR="00A0275C">
              <w:rPr>
                <w:iCs/>
                <w:sz w:val="20"/>
                <w:szCs w:val="20"/>
              </w:rPr>
              <w:t>6,188.40</w:t>
            </w:r>
          </w:p>
        </w:tc>
      </w:tr>
      <w:tr w14:paraId="25CD7DFD" w14:textId="77777777" w:rsidTr="00F73C3F">
        <w:tblPrEx>
          <w:tblW w:w="9805" w:type="dxa"/>
          <w:tblLayout w:type="fixed"/>
          <w:tblCellMar>
            <w:left w:w="43" w:type="dxa"/>
            <w:right w:w="43" w:type="dxa"/>
          </w:tblCellMar>
          <w:tblLook w:val="04A0"/>
        </w:tblPrEx>
        <w:tc>
          <w:tcPr>
            <w:tcW w:w="1435" w:type="dxa"/>
            <w:vMerge/>
          </w:tcPr>
          <w:p w:rsidR="00D13047" w:rsidRPr="00F64B90" w:rsidP="00DD277C" w14:paraId="7DE2EBC2" w14:textId="77777777">
            <w:pPr>
              <w:keepNext/>
              <w:rPr>
                <w:iCs/>
                <w:sz w:val="20"/>
                <w:szCs w:val="20"/>
              </w:rPr>
            </w:pPr>
          </w:p>
        </w:tc>
        <w:tc>
          <w:tcPr>
            <w:tcW w:w="1260" w:type="dxa"/>
          </w:tcPr>
          <w:p w:rsidR="00D13047" w:rsidRPr="00F64B90" w:rsidP="00DD277C" w14:paraId="057B7CFF" w14:textId="003E0C9F">
            <w:pPr>
              <w:keepNext/>
              <w:jc w:val="center"/>
              <w:rPr>
                <w:iCs/>
                <w:sz w:val="20"/>
                <w:szCs w:val="20"/>
              </w:rPr>
            </w:pPr>
            <w:r>
              <w:rPr>
                <w:iCs/>
                <w:sz w:val="20"/>
                <w:szCs w:val="20"/>
              </w:rPr>
              <w:t>26</w:t>
            </w:r>
          </w:p>
        </w:tc>
        <w:tc>
          <w:tcPr>
            <w:tcW w:w="1170" w:type="dxa"/>
          </w:tcPr>
          <w:p w:rsidR="00D13047" w:rsidRPr="00F64B90" w:rsidP="00DD277C" w14:paraId="6D76FE81" w14:textId="77777777">
            <w:pPr>
              <w:keepNext/>
              <w:rPr>
                <w:iCs/>
                <w:sz w:val="20"/>
                <w:szCs w:val="20"/>
              </w:rPr>
            </w:pPr>
            <w:r w:rsidRPr="00F64B90">
              <w:rPr>
                <w:iCs/>
                <w:sz w:val="20"/>
                <w:szCs w:val="20"/>
              </w:rPr>
              <w:t>Grantee PD or Evaluator</w:t>
            </w:r>
          </w:p>
        </w:tc>
        <w:tc>
          <w:tcPr>
            <w:tcW w:w="1170" w:type="dxa"/>
          </w:tcPr>
          <w:p w:rsidR="00D13047" w:rsidRPr="00F64B90" w:rsidP="00DD277C" w14:paraId="090E79BA" w14:textId="77777777">
            <w:pPr>
              <w:keepNext/>
              <w:jc w:val="center"/>
              <w:rPr>
                <w:iCs/>
                <w:sz w:val="20"/>
                <w:szCs w:val="20"/>
              </w:rPr>
            </w:pPr>
            <w:r w:rsidRPr="00F64B90">
              <w:rPr>
                <w:iCs/>
                <w:sz w:val="20"/>
                <w:szCs w:val="20"/>
              </w:rPr>
              <w:t>1</w:t>
            </w:r>
          </w:p>
        </w:tc>
        <w:tc>
          <w:tcPr>
            <w:tcW w:w="990" w:type="dxa"/>
          </w:tcPr>
          <w:p w:rsidR="00D13047" w:rsidRPr="00F64B90" w:rsidP="00DD277C" w14:paraId="0B60868D" w14:textId="6776DE24">
            <w:pPr>
              <w:keepNext/>
              <w:jc w:val="center"/>
              <w:rPr>
                <w:iCs/>
                <w:sz w:val="20"/>
                <w:szCs w:val="20"/>
              </w:rPr>
            </w:pPr>
            <w:r>
              <w:rPr>
                <w:iCs/>
                <w:sz w:val="20"/>
                <w:szCs w:val="20"/>
              </w:rPr>
              <w:t>26</w:t>
            </w:r>
          </w:p>
        </w:tc>
        <w:tc>
          <w:tcPr>
            <w:tcW w:w="900" w:type="dxa"/>
          </w:tcPr>
          <w:p w:rsidR="00D13047" w:rsidRPr="008E6DE9" w:rsidP="00DD277C" w14:paraId="1116889F" w14:textId="6CE44D01">
            <w:pPr>
              <w:keepNext/>
              <w:jc w:val="center"/>
              <w:rPr>
                <w:iCs/>
                <w:sz w:val="20"/>
                <w:szCs w:val="20"/>
              </w:rPr>
            </w:pPr>
            <w:r>
              <w:rPr>
                <w:iCs/>
                <w:sz w:val="20"/>
                <w:szCs w:val="20"/>
              </w:rPr>
              <w:t>1.5</w:t>
            </w:r>
          </w:p>
        </w:tc>
        <w:tc>
          <w:tcPr>
            <w:tcW w:w="810" w:type="dxa"/>
          </w:tcPr>
          <w:p w:rsidR="00D13047" w:rsidRPr="008E6DE9" w:rsidP="00DD277C" w14:paraId="2883F47C" w14:textId="5634F5A0">
            <w:pPr>
              <w:keepNext/>
              <w:jc w:val="center"/>
              <w:rPr>
                <w:iCs/>
                <w:sz w:val="20"/>
                <w:szCs w:val="20"/>
              </w:rPr>
            </w:pPr>
            <w:r>
              <w:rPr>
                <w:iCs/>
                <w:sz w:val="20"/>
                <w:szCs w:val="20"/>
              </w:rPr>
              <w:t>39</w:t>
            </w:r>
          </w:p>
        </w:tc>
        <w:tc>
          <w:tcPr>
            <w:tcW w:w="900" w:type="dxa"/>
          </w:tcPr>
          <w:p w:rsidR="00D13047" w:rsidRPr="00853F14" w:rsidP="00DD277C" w14:paraId="6946FFC7" w14:textId="1C41B571">
            <w:pPr>
              <w:keepNext/>
              <w:jc w:val="center"/>
              <w:rPr>
                <w:iCs/>
                <w:sz w:val="20"/>
                <w:szCs w:val="20"/>
              </w:rPr>
            </w:pPr>
            <w:r w:rsidRPr="00853F14">
              <w:rPr>
                <w:iCs/>
                <w:sz w:val="20"/>
                <w:szCs w:val="20"/>
              </w:rPr>
              <w:t>$</w:t>
            </w:r>
            <w:r w:rsidR="00767E08">
              <w:rPr>
                <w:iCs/>
                <w:sz w:val="20"/>
                <w:szCs w:val="20"/>
              </w:rPr>
              <w:t>50.85</w:t>
            </w:r>
          </w:p>
        </w:tc>
        <w:tc>
          <w:tcPr>
            <w:tcW w:w="1170" w:type="dxa"/>
          </w:tcPr>
          <w:p w:rsidR="00D13047" w:rsidRPr="00853F14" w:rsidP="00DD277C" w14:paraId="63CF611D" w14:textId="1E07946B">
            <w:pPr>
              <w:keepNext/>
              <w:tabs>
                <w:tab w:val="decimal" w:pos="828"/>
              </w:tabs>
              <w:jc w:val="center"/>
              <w:rPr>
                <w:iCs/>
                <w:sz w:val="20"/>
                <w:szCs w:val="20"/>
              </w:rPr>
            </w:pPr>
            <w:r w:rsidRPr="00853F14">
              <w:rPr>
                <w:iCs/>
                <w:sz w:val="20"/>
                <w:szCs w:val="20"/>
              </w:rPr>
              <w:t>$</w:t>
            </w:r>
            <w:r w:rsidR="00A0275C">
              <w:rPr>
                <w:iCs/>
                <w:sz w:val="20"/>
                <w:szCs w:val="20"/>
              </w:rPr>
              <w:t>1,983.15</w:t>
            </w:r>
          </w:p>
        </w:tc>
      </w:tr>
      <w:tr w14:paraId="7BBAE57B" w14:textId="77777777" w:rsidTr="00F73C3F">
        <w:tblPrEx>
          <w:tblW w:w="9805" w:type="dxa"/>
          <w:tblLayout w:type="fixed"/>
          <w:tblCellMar>
            <w:left w:w="43" w:type="dxa"/>
            <w:right w:w="43" w:type="dxa"/>
          </w:tblCellMar>
          <w:tblLook w:val="04A0"/>
        </w:tblPrEx>
        <w:tc>
          <w:tcPr>
            <w:tcW w:w="1435" w:type="dxa"/>
          </w:tcPr>
          <w:p w:rsidR="00D13047" w:rsidRPr="00F64B90" w:rsidP="00DD277C" w14:paraId="57670E54"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60" w:type="dxa"/>
          </w:tcPr>
          <w:p w:rsidR="00D13047" w:rsidRPr="00F64B90" w:rsidP="00DD277C" w14:paraId="279D87EE" w14:textId="23D581C6">
            <w:pPr>
              <w:keepNext/>
              <w:tabs>
                <w:tab w:val="decimal" w:pos="0"/>
              </w:tabs>
              <w:jc w:val="center"/>
              <w:rPr>
                <w:iCs/>
                <w:sz w:val="20"/>
                <w:szCs w:val="20"/>
              </w:rPr>
            </w:pPr>
            <w:r>
              <w:rPr>
                <w:iCs/>
                <w:sz w:val="20"/>
                <w:szCs w:val="20"/>
              </w:rPr>
              <w:t>26</w:t>
            </w:r>
          </w:p>
        </w:tc>
        <w:tc>
          <w:tcPr>
            <w:tcW w:w="1170" w:type="dxa"/>
          </w:tcPr>
          <w:p w:rsidR="00D13047" w:rsidRPr="00F64B90" w:rsidP="00DD277C" w14:paraId="61748003" w14:textId="77777777">
            <w:pPr>
              <w:keepNext/>
              <w:tabs>
                <w:tab w:val="decimal" w:pos="640"/>
              </w:tabs>
              <w:rPr>
                <w:iCs/>
                <w:sz w:val="20"/>
                <w:szCs w:val="20"/>
              </w:rPr>
            </w:pPr>
            <w:r w:rsidRPr="00F64B90">
              <w:rPr>
                <w:iCs/>
                <w:sz w:val="20"/>
                <w:szCs w:val="20"/>
              </w:rPr>
              <w:t>Grantee PD or Evaluator</w:t>
            </w:r>
          </w:p>
        </w:tc>
        <w:tc>
          <w:tcPr>
            <w:tcW w:w="1170" w:type="dxa"/>
          </w:tcPr>
          <w:p w:rsidR="00D13047" w:rsidRPr="00F64B90" w:rsidP="00C40D02" w14:paraId="4D5FE907" w14:textId="77777777">
            <w:pPr>
              <w:keepNext/>
              <w:jc w:val="center"/>
              <w:rPr>
                <w:iCs/>
                <w:sz w:val="20"/>
                <w:szCs w:val="20"/>
              </w:rPr>
            </w:pPr>
            <w:r w:rsidRPr="00F64B90">
              <w:rPr>
                <w:iCs/>
                <w:sz w:val="20"/>
                <w:szCs w:val="20"/>
              </w:rPr>
              <w:t>1</w:t>
            </w:r>
          </w:p>
        </w:tc>
        <w:tc>
          <w:tcPr>
            <w:tcW w:w="990" w:type="dxa"/>
          </w:tcPr>
          <w:p w:rsidR="00D13047" w:rsidRPr="00F64B90" w:rsidP="00DD277C" w14:paraId="737B87A2" w14:textId="50E0458C">
            <w:pPr>
              <w:keepNext/>
              <w:tabs>
                <w:tab w:val="decimal" w:pos="0"/>
              </w:tabs>
              <w:jc w:val="center"/>
              <w:rPr>
                <w:iCs/>
                <w:sz w:val="20"/>
                <w:szCs w:val="20"/>
              </w:rPr>
            </w:pPr>
            <w:r>
              <w:rPr>
                <w:iCs/>
                <w:sz w:val="20"/>
                <w:szCs w:val="20"/>
              </w:rPr>
              <w:t>26</w:t>
            </w:r>
          </w:p>
        </w:tc>
        <w:tc>
          <w:tcPr>
            <w:tcW w:w="900" w:type="dxa"/>
          </w:tcPr>
          <w:p w:rsidR="00D13047" w:rsidRPr="0082030C" w:rsidP="00DD277C" w14:paraId="650F46BD" w14:textId="77777777">
            <w:pPr>
              <w:keepNext/>
              <w:jc w:val="center"/>
              <w:rPr>
                <w:iCs/>
                <w:sz w:val="20"/>
                <w:szCs w:val="20"/>
              </w:rPr>
            </w:pPr>
            <w:r w:rsidRPr="0082030C">
              <w:rPr>
                <w:iCs/>
                <w:sz w:val="20"/>
                <w:szCs w:val="20"/>
              </w:rPr>
              <w:t>2.5</w:t>
            </w:r>
          </w:p>
        </w:tc>
        <w:tc>
          <w:tcPr>
            <w:tcW w:w="810" w:type="dxa"/>
          </w:tcPr>
          <w:p w:rsidR="00D13047" w:rsidRPr="00A63D04" w:rsidP="00DD277C" w14:paraId="1619A84A" w14:textId="46D8E3AD">
            <w:pPr>
              <w:keepNext/>
              <w:jc w:val="center"/>
              <w:rPr>
                <w:iCs/>
                <w:sz w:val="20"/>
                <w:szCs w:val="20"/>
              </w:rPr>
            </w:pPr>
            <w:r>
              <w:rPr>
                <w:iCs/>
                <w:sz w:val="20"/>
                <w:szCs w:val="20"/>
              </w:rPr>
              <w:t>65</w:t>
            </w:r>
          </w:p>
        </w:tc>
        <w:tc>
          <w:tcPr>
            <w:tcW w:w="900" w:type="dxa"/>
          </w:tcPr>
          <w:p w:rsidR="00D13047" w:rsidRPr="00A63D04" w:rsidP="00DD277C" w14:paraId="7159DA60" w14:textId="4A439AA9">
            <w:pPr>
              <w:keepNext/>
              <w:jc w:val="center"/>
              <w:rPr>
                <w:iCs/>
                <w:sz w:val="20"/>
                <w:szCs w:val="20"/>
              </w:rPr>
            </w:pPr>
            <w:r w:rsidRPr="00853F14">
              <w:rPr>
                <w:iCs/>
                <w:sz w:val="20"/>
                <w:szCs w:val="20"/>
              </w:rPr>
              <w:t>$</w:t>
            </w:r>
            <w:r>
              <w:rPr>
                <w:iCs/>
                <w:sz w:val="20"/>
                <w:szCs w:val="20"/>
              </w:rPr>
              <w:t>50.85</w:t>
            </w:r>
          </w:p>
        </w:tc>
        <w:tc>
          <w:tcPr>
            <w:tcW w:w="1170" w:type="dxa"/>
          </w:tcPr>
          <w:p w:rsidR="00D13047" w:rsidRPr="00A63D04" w:rsidP="00DD277C" w14:paraId="1F1B7742" w14:textId="09A33932">
            <w:pPr>
              <w:keepNext/>
              <w:tabs>
                <w:tab w:val="decimal" w:pos="828"/>
              </w:tabs>
              <w:rPr>
                <w:iCs/>
                <w:sz w:val="20"/>
                <w:szCs w:val="20"/>
              </w:rPr>
            </w:pPr>
            <w:r w:rsidRPr="00A63D04">
              <w:rPr>
                <w:iCs/>
                <w:sz w:val="20"/>
                <w:szCs w:val="20"/>
              </w:rPr>
              <w:t>$</w:t>
            </w:r>
            <w:r w:rsidR="00A0275C">
              <w:rPr>
                <w:iCs/>
                <w:sz w:val="20"/>
                <w:szCs w:val="20"/>
              </w:rPr>
              <w:t>3,305.25</w:t>
            </w:r>
          </w:p>
        </w:tc>
      </w:tr>
      <w:tr w14:paraId="296FA1F1" w14:textId="77777777" w:rsidTr="00F73C3F">
        <w:tblPrEx>
          <w:tblW w:w="9805" w:type="dxa"/>
          <w:tblLayout w:type="fixed"/>
          <w:tblCellMar>
            <w:left w:w="43" w:type="dxa"/>
            <w:right w:w="43" w:type="dxa"/>
          </w:tblCellMar>
          <w:tblLook w:val="04A0"/>
        </w:tblPrEx>
        <w:tc>
          <w:tcPr>
            <w:tcW w:w="1435" w:type="dxa"/>
          </w:tcPr>
          <w:p w:rsidR="00D13047" w:rsidRPr="00F64B90" w:rsidP="00DD277C" w14:paraId="4C029CF7"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60" w:type="dxa"/>
          </w:tcPr>
          <w:p w:rsidR="00D13047" w:rsidRPr="00F64B90" w:rsidP="00DD277C" w14:paraId="1B4C7E2F" w14:textId="55D5E25E">
            <w:pPr>
              <w:keepNext/>
              <w:jc w:val="center"/>
              <w:rPr>
                <w:iCs/>
                <w:sz w:val="20"/>
                <w:szCs w:val="20"/>
              </w:rPr>
            </w:pPr>
            <w:r>
              <w:rPr>
                <w:iCs/>
                <w:sz w:val="20"/>
                <w:szCs w:val="20"/>
              </w:rPr>
              <w:t>26</w:t>
            </w:r>
          </w:p>
        </w:tc>
        <w:tc>
          <w:tcPr>
            <w:tcW w:w="1170" w:type="dxa"/>
          </w:tcPr>
          <w:p w:rsidR="00D13047" w:rsidRPr="00F64B90" w:rsidP="00DD277C" w14:paraId="60918B5E" w14:textId="77777777">
            <w:pPr>
              <w:keepNext/>
              <w:rPr>
                <w:iCs/>
                <w:sz w:val="20"/>
                <w:szCs w:val="20"/>
              </w:rPr>
            </w:pPr>
            <w:r w:rsidRPr="00F64B90">
              <w:rPr>
                <w:iCs/>
                <w:sz w:val="20"/>
                <w:szCs w:val="20"/>
              </w:rPr>
              <w:t>Grantee PD or Evaluator</w:t>
            </w:r>
          </w:p>
        </w:tc>
        <w:tc>
          <w:tcPr>
            <w:tcW w:w="1170" w:type="dxa"/>
          </w:tcPr>
          <w:p w:rsidR="00D13047" w:rsidRPr="00F64B90" w:rsidP="00DD277C" w14:paraId="4A9C7B20" w14:textId="77777777">
            <w:pPr>
              <w:keepNext/>
              <w:jc w:val="center"/>
              <w:rPr>
                <w:iCs/>
                <w:sz w:val="20"/>
                <w:szCs w:val="20"/>
              </w:rPr>
            </w:pPr>
            <w:r>
              <w:rPr>
                <w:iCs/>
                <w:sz w:val="20"/>
                <w:szCs w:val="20"/>
              </w:rPr>
              <w:t>5.2</w:t>
            </w:r>
          </w:p>
        </w:tc>
        <w:tc>
          <w:tcPr>
            <w:tcW w:w="990" w:type="dxa"/>
          </w:tcPr>
          <w:p w:rsidR="00D13047" w:rsidRPr="00F64B90" w:rsidP="00DD277C" w14:paraId="702C5CA1" w14:textId="095A1AA0">
            <w:pPr>
              <w:keepNext/>
              <w:jc w:val="center"/>
              <w:rPr>
                <w:iCs/>
                <w:sz w:val="20"/>
                <w:szCs w:val="20"/>
              </w:rPr>
            </w:pPr>
            <w:r>
              <w:rPr>
                <w:iCs/>
                <w:sz w:val="20"/>
                <w:szCs w:val="20"/>
              </w:rPr>
              <w:t>135</w:t>
            </w:r>
          </w:p>
        </w:tc>
        <w:tc>
          <w:tcPr>
            <w:tcW w:w="900" w:type="dxa"/>
          </w:tcPr>
          <w:p w:rsidR="00D13047" w:rsidRPr="0082030C" w:rsidP="00DD277C" w14:paraId="70EA7CCE" w14:textId="77777777">
            <w:pPr>
              <w:keepNext/>
              <w:jc w:val="center"/>
              <w:rPr>
                <w:iCs/>
                <w:sz w:val="20"/>
                <w:szCs w:val="20"/>
              </w:rPr>
            </w:pPr>
            <w:r w:rsidRPr="0082030C">
              <w:rPr>
                <w:iCs/>
                <w:sz w:val="20"/>
                <w:szCs w:val="20"/>
              </w:rPr>
              <w:t>1.25</w:t>
            </w:r>
          </w:p>
        </w:tc>
        <w:tc>
          <w:tcPr>
            <w:tcW w:w="810" w:type="dxa"/>
          </w:tcPr>
          <w:p w:rsidR="00D13047" w:rsidRPr="00A63D04" w:rsidP="00DD277C" w14:paraId="6EC2CF76" w14:textId="60BC23DF">
            <w:pPr>
              <w:keepNext/>
              <w:jc w:val="center"/>
              <w:rPr>
                <w:iCs/>
                <w:sz w:val="20"/>
                <w:szCs w:val="20"/>
              </w:rPr>
            </w:pPr>
            <w:r>
              <w:rPr>
                <w:iCs/>
                <w:sz w:val="20"/>
                <w:szCs w:val="20"/>
              </w:rPr>
              <w:t>168</w:t>
            </w:r>
            <w:r w:rsidR="009765F6">
              <w:rPr>
                <w:iCs/>
                <w:sz w:val="20"/>
                <w:szCs w:val="20"/>
              </w:rPr>
              <w:t>.75</w:t>
            </w:r>
          </w:p>
        </w:tc>
        <w:tc>
          <w:tcPr>
            <w:tcW w:w="900" w:type="dxa"/>
          </w:tcPr>
          <w:p w:rsidR="00D13047" w:rsidRPr="00A63D04" w:rsidP="00DD277C" w14:paraId="429DDFF9" w14:textId="29FF07F1">
            <w:pPr>
              <w:keepNext/>
              <w:jc w:val="center"/>
              <w:rPr>
                <w:iCs/>
                <w:sz w:val="20"/>
                <w:szCs w:val="20"/>
              </w:rPr>
            </w:pPr>
            <w:r w:rsidRPr="00853F14">
              <w:rPr>
                <w:iCs/>
                <w:sz w:val="20"/>
                <w:szCs w:val="20"/>
              </w:rPr>
              <w:t>$</w:t>
            </w:r>
            <w:r>
              <w:rPr>
                <w:iCs/>
                <w:sz w:val="20"/>
                <w:szCs w:val="20"/>
              </w:rPr>
              <w:t>50.85</w:t>
            </w:r>
          </w:p>
        </w:tc>
        <w:tc>
          <w:tcPr>
            <w:tcW w:w="1170" w:type="dxa"/>
          </w:tcPr>
          <w:p w:rsidR="00D13047" w:rsidRPr="00A63D04" w:rsidP="00DD277C" w14:paraId="3DA621E8" w14:textId="2CB9013F">
            <w:pPr>
              <w:keepNext/>
              <w:tabs>
                <w:tab w:val="decimal" w:pos="828"/>
              </w:tabs>
              <w:jc w:val="center"/>
              <w:rPr>
                <w:iCs/>
                <w:sz w:val="20"/>
                <w:szCs w:val="20"/>
              </w:rPr>
            </w:pPr>
            <w:r w:rsidRPr="00A63D04">
              <w:rPr>
                <w:iCs/>
                <w:sz w:val="20"/>
                <w:szCs w:val="20"/>
              </w:rPr>
              <w:t>$</w:t>
            </w:r>
            <w:r w:rsidR="00A0275C">
              <w:rPr>
                <w:iCs/>
                <w:sz w:val="20"/>
                <w:szCs w:val="20"/>
              </w:rPr>
              <w:t>8,580.94</w:t>
            </w:r>
          </w:p>
        </w:tc>
      </w:tr>
      <w:tr w14:paraId="6C976526" w14:textId="77777777" w:rsidTr="00F73C3F">
        <w:tblPrEx>
          <w:tblW w:w="9805" w:type="dxa"/>
          <w:tblLayout w:type="fixed"/>
          <w:tblCellMar>
            <w:left w:w="43" w:type="dxa"/>
            <w:right w:w="43" w:type="dxa"/>
          </w:tblCellMar>
          <w:tblLook w:val="04A0"/>
        </w:tblPrEx>
        <w:tc>
          <w:tcPr>
            <w:tcW w:w="1435" w:type="dxa"/>
          </w:tcPr>
          <w:p w:rsidR="00D13047" w:rsidRPr="00F64B90" w:rsidP="00DD277C" w14:paraId="3AA45A2A" w14:textId="77777777">
            <w:pPr>
              <w:keepNext/>
              <w:rPr>
                <w:iCs/>
                <w:sz w:val="20"/>
                <w:szCs w:val="20"/>
              </w:rPr>
            </w:pPr>
            <w:r w:rsidRPr="00F64B90">
              <w:rPr>
                <w:iCs/>
                <w:sz w:val="20"/>
                <w:szCs w:val="20"/>
              </w:rPr>
              <w:t>Grantee-Level Interview</w:t>
            </w:r>
          </w:p>
        </w:tc>
        <w:tc>
          <w:tcPr>
            <w:tcW w:w="1260" w:type="dxa"/>
          </w:tcPr>
          <w:p w:rsidR="00D13047" w:rsidRPr="00F64B90" w:rsidP="00DD277C" w14:paraId="4E23DF43" w14:textId="5071A28E">
            <w:pPr>
              <w:keepNext/>
              <w:jc w:val="center"/>
              <w:rPr>
                <w:iCs/>
                <w:sz w:val="20"/>
                <w:szCs w:val="20"/>
              </w:rPr>
            </w:pPr>
            <w:r>
              <w:rPr>
                <w:iCs/>
                <w:sz w:val="20"/>
                <w:szCs w:val="20"/>
              </w:rPr>
              <w:t>26</w:t>
            </w:r>
          </w:p>
        </w:tc>
        <w:tc>
          <w:tcPr>
            <w:tcW w:w="1170" w:type="dxa"/>
          </w:tcPr>
          <w:p w:rsidR="00D13047" w:rsidRPr="00F64B90" w:rsidP="00DD277C" w14:paraId="5138FDA8" w14:textId="77777777">
            <w:pPr>
              <w:keepNext/>
              <w:rPr>
                <w:iCs/>
                <w:sz w:val="20"/>
                <w:szCs w:val="20"/>
              </w:rPr>
            </w:pPr>
            <w:r w:rsidRPr="00F64B90">
              <w:rPr>
                <w:iCs/>
                <w:sz w:val="20"/>
                <w:szCs w:val="20"/>
              </w:rPr>
              <w:t>Grantee PD or Evaluator</w:t>
            </w:r>
          </w:p>
        </w:tc>
        <w:tc>
          <w:tcPr>
            <w:tcW w:w="1170" w:type="dxa"/>
          </w:tcPr>
          <w:p w:rsidR="00D13047" w:rsidRPr="00F64B90" w:rsidP="00DD277C" w14:paraId="1267FA97" w14:textId="313B720A">
            <w:pPr>
              <w:keepNext/>
              <w:jc w:val="center"/>
              <w:rPr>
                <w:iCs/>
                <w:sz w:val="20"/>
                <w:szCs w:val="20"/>
              </w:rPr>
            </w:pPr>
            <w:r>
              <w:rPr>
                <w:iCs/>
                <w:sz w:val="20"/>
                <w:szCs w:val="20"/>
              </w:rPr>
              <w:t>1</w:t>
            </w:r>
          </w:p>
        </w:tc>
        <w:tc>
          <w:tcPr>
            <w:tcW w:w="990" w:type="dxa"/>
          </w:tcPr>
          <w:p w:rsidR="00D13047" w:rsidRPr="00F64B90" w:rsidP="00DD277C" w14:paraId="3A051D31" w14:textId="3276052B">
            <w:pPr>
              <w:keepNext/>
              <w:jc w:val="center"/>
              <w:rPr>
                <w:iCs/>
                <w:sz w:val="20"/>
                <w:szCs w:val="20"/>
              </w:rPr>
            </w:pPr>
            <w:r>
              <w:rPr>
                <w:iCs/>
                <w:sz w:val="20"/>
                <w:szCs w:val="20"/>
              </w:rPr>
              <w:t>26</w:t>
            </w:r>
          </w:p>
        </w:tc>
        <w:tc>
          <w:tcPr>
            <w:tcW w:w="900" w:type="dxa"/>
          </w:tcPr>
          <w:p w:rsidR="00D13047" w:rsidRPr="00A63D04" w:rsidP="00DD277C" w14:paraId="713DAC53" w14:textId="77777777">
            <w:pPr>
              <w:keepNext/>
              <w:jc w:val="center"/>
              <w:rPr>
                <w:iCs/>
                <w:sz w:val="20"/>
                <w:szCs w:val="20"/>
              </w:rPr>
            </w:pPr>
            <w:r w:rsidRPr="00750ED7">
              <w:rPr>
                <w:iCs/>
                <w:sz w:val="20"/>
                <w:szCs w:val="20"/>
              </w:rPr>
              <w:t>1.5</w:t>
            </w:r>
          </w:p>
        </w:tc>
        <w:tc>
          <w:tcPr>
            <w:tcW w:w="810" w:type="dxa"/>
          </w:tcPr>
          <w:p w:rsidR="00D13047" w:rsidRPr="00A63D04" w:rsidP="00DD277C" w14:paraId="6608EFF3" w14:textId="74B10574">
            <w:pPr>
              <w:keepNext/>
              <w:jc w:val="center"/>
              <w:rPr>
                <w:iCs/>
                <w:sz w:val="20"/>
                <w:szCs w:val="20"/>
              </w:rPr>
            </w:pPr>
            <w:r>
              <w:rPr>
                <w:iCs/>
                <w:sz w:val="20"/>
                <w:szCs w:val="20"/>
              </w:rPr>
              <w:t>39</w:t>
            </w:r>
          </w:p>
        </w:tc>
        <w:tc>
          <w:tcPr>
            <w:tcW w:w="900" w:type="dxa"/>
          </w:tcPr>
          <w:p w:rsidR="00D13047" w:rsidRPr="00A63D04" w:rsidP="00DD277C" w14:paraId="7FEA2A98" w14:textId="572F3CFA">
            <w:pPr>
              <w:keepNext/>
              <w:jc w:val="center"/>
              <w:rPr>
                <w:iCs/>
                <w:sz w:val="20"/>
                <w:szCs w:val="20"/>
              </w:rPr>
            </w:pPr>
            <w:r w:rsidRPr="00853F14">
              <w:rPr>
                <w:iCs/>
                <w:sz w:val="20"/>
                <w:szCs w:val="20"/>
              </w:rPr>
              <w:t>$</w:t>
            </w:r>
            <w:r>
              <w:rPr>
                <w:iCs/>
                <w:sz w:val="20"/>
                <w:szCs w:val="20"/>
              </w:rPr>
              <w:t>50.85</w:t>
            </w:r>
          </w:p>
        </w:tc>
        <w:tc>
          <w:tcPr>
            <w:tcW w:w="1170" w:type="dxa"/>
          </w:tcPr>
          <w:p w:rsidR="00D13047" w:rsidRPr="00A63D04" w:rsidP="00DD277C" w14:paraId="557109F2" w14:textId="462B343E">
            <w:pPr>
              <w:keepNext/>
              <w:tabs>
                <w:tab w:val="decimal" w:pos="828"/>
              </w:tabs>
              <w:jc w:val="center"/>
              <w:rPr>
                <w:iCs/>
                <w:sz w:val="20"/>
                <w:szCs w:val="20"/>
              </w:rPr>
            </w:pPr>
            <w:r>
              <w:rPr>
                <w:iCs/>
                <w:sz w:val="20"/>
                <w:szCs w:val="20"/>
              </w:rPr>
              <w:t>$</w:t>
            </w:r>
            <w:r w:rsidR="00A0275C">
              <w:rPr>
                <w:iCs/>
                <w:sz w:val="20"/>
                <w:szCs w:val="20"/>
              </w:rPr>
              <w:t>1,983.15</w:t>
            </w:r>
          </w:p>
        </w:tc>
      </w:tr>
      <w:tr w14:paraId="4A34EACA" w14:textId="77777777" w:rsidTr="00F73C3F">
        <w:tblPrEx>
          <w:tblW w:w="9805" w:type="dxa"/>
          <w:tblLayout w:type="fixed"/>
          <w:tblCellMar>
            <w:left w:w="43" w:type="dxa"/>
            <w:right w:w="43" w:type="dxa"/>
          </w:tblCellMar>
          <w:tblLook w:val="04A0"/>
        </w:tblPrEx>
        <w:tc>
          <w:tcPr>
            <w:tcW w:w="1435" w:type="dxa"/>
          </w:tcPr>
          <w:p w:rsidR="00D13047" w:rsidRPr="00F64B90" w:rsidP="00DD277C" w14:paraId="071053A7" w14:textId="43DEE799">
            <w:pPr>
              <w:keepNext/>
              <w:jc w:val="center"/>
              <w:rPr>
                <w:b/>
                <w:iCs/>
                <w:sz w:val="20"/>
                <w:szCs w:val="20"/>
              </w:rPr>
            </w:pPr>
            <w:r w:rsidRPr="00F64B90">
              <w:rPr>
                <w:b/>
                <w:iCs/>
                <w:sz w:val="20"/>
                <w:szCs w:val="20"/>
              </w:rPr>
              <w:t xml:space="preserve">Year </w:t>
            </w:r>
            <w:r w:rsidR="00535D49">
              <w:rPr>
                <w:b/>
                <w:iCs/>
                <w:sz w:val="20"/>
                <w:szCs w:val="20"/>
              </w:rPr>
              <w:t xml:space="preserve">1 </w:t>
            </w:r>
            <w:r w:rsidRPr="00F64B90">
              <w:rPr>
                <w:b/>
                <w:iCs/>
                <w:sz w:val="20"/>
                <w:szCs w:val="20"/>
              </w:rPr>
              <w:t>Total</w:t>
            </w:r>
          </w:p>
        </w:tc>
        <w:tc>
          <w:tcPr>
            <w:tcW w:w="1260" w:type="dxa"/>
          </w:tcPr>
          <w:p w:rsidR="00D13047" w:rsidRPr="00F64B90" w:rsidP="00DD277C" w14:paraId="1865D010" w14:textId="0280072B">
            <w:pPr>
              <w:keepNext/>
              <w:jc w:val="center"/>
              <w:rPr>
                <w:iCs/>
                <w:sz w:val="20"/>
                <w:szCs w:val="20"/>
              </w:rPr>
            </w:pPr>
            <w:r>
              <w:rPr>
                <w:iCs/>
                <w:sz w:val="20"/>
                <w:szCs w:val="20"/>
              </w:rPr>
              <w:t>239</w:t>
            </w:r>
          </w:p>
        </w:tc>
        <w:tc>
          <w:tcPr>
            <w:tcW w:w="1170" w:type="dxa"/>
          </w:tcPr>
          <w:p w:rsidR="00D13047" w:rsidRPr="00F64B90" w:rsidP="00DD277C" w14:paraId="14EBB79A" w14:textId="77777777">
            <w:pPr>
              <w:keepNext/>
              <w:jc w:val="center"/>
              <w:rPr>
                <w:iCs/>
                <w:sz w:val="20"/>
                <w:szCs w:val="20"/>
              </w:rPr>
            </w:pPr>
          </w:p>
        </w:tc>
        <w:tc>
          <w:tcPr>
            <w:tcW w:w="1170" w:type="dxa"/>
          </w:tcPr>
          <w:p w:rsidR="00D13047" w:rsidRPr="00F64B90" w:rsidP="00DD277C" w14:paraId="31EF54DB" w14:textId="77777777">
            <w:pPr>
              <w:keepNext/>
              <w:jc w:val="center"/>
              <w:rPr>
                <w:iCs/>
                <w:sz w:val="20"/>
                <w:szCs w:val="20"/>
              </w:rPr>
            </w:pPr>
          </w:p>
        </w:tc>
        <w:tc>
          <w:tcPr>
            <w:tcW w:w="990" w:type="dxa"/>
          </w:tcPr>
          <w:p w:rsidR="00D13047" w:rsidRPr="00A63D04" w:rsidP="00DD277C" w14:paraId="45971B18" w14:textId="049FAB88">
            <w:pPr>
              <w:keepNext/>
              <w:jc w:val="center"/>
              <w:rPr>
                <w:iCs/>
                <w:sz w:val="20"/>
                <w:szCs w:val="20"/>
              </w:rPr>
            </w:pPr>
            <w:r>
              <w:rPr>
                <w:iCs/>
                <w:sz w:val="20"/>
                <w:szCs w:val="20"/>
              </w:rPr>
              <w:t>348</w:t>
            </w:r>
          </w:p>
        </w:tc>
        <w:tc>
          <w:tcPr>
            <w:tcW w:w="900" w:type="dxa"/>
          </w:tcPr>
          <w:p w:rsidR="00D13047" w:rsidRPr="00A63D04" w:rsidP="00DD277C" w14:paraId="50F730C6" w14:textId="77777777">
            <w:pPr>
              <w:keepNext/>
              <w:jc w:val="center"/>
              <w:rPr>
                <w:iCs/>
                <w:sz w:val="20"/>
                <w:szCs w:val="20"/>
              </w:rPr>
            </w:pPr>
          </w:p>
        </w:tc>
        <w:tc>
          <w:tcPr>
            <w:tcW w:w="810" w:type="dxa"/>
          </w:tcPr>
          <w:p w:rsidR="00D13047" w:rsidRPr="00A63D04" w:rsidP="00DD277C" w14:paraId="3616F997" w14:textId="7C8428A4">
            <w:pPr>
              <w:keepNext/>
              <w:jc w:val="center"/>
              <w:rPr>
                <w:iCs/>
                <w:sz w:val="20"/>
                <w:szCs w:val="20"/>
              </w:rPr>
            </w:pPr>
            <w:r>
              <w:rPr>
                <w:iCs/>
                <w:sz w:val="20"/>
                <w:szCs w:val="20"/>
              </w:rPr>
              <w:t>514</w:t>
            </w:r>
            <w:r w:rsidR="009765F6">
              <w:rPr>
                <w:iCs/>
                <w:sz w:val="20"/>
                <w:szCs w:val="20"/>
              </w:rPr>
              <w:t>.25</w:t>
            </w:r>
          </w:p>
        </w:tc>
        <w:tc>
          <w:tcPr>
            <w:tcW w:w="900" w:type="dxa"/>
          </w:tcPr>
          <w:p w:rsidR="00D13047" w:rsidRPr="00A63D04" w:rsidP="00DD277C" w14:paraId="2A71F1A5" w14:textId="77777777">
            <w:pPr>
              <w:keepNext/>
              <w:jc w:val="center"/>
              <w:rPr>
                <w:iCs/>
                <w:sz w:val="20"/>
                <w:szCs w:val="20"/>
              </w:rPr>
            </w:pPr>
          </w:p>
        </w:tc>
        <w:tc>
          <w:tcPr>
            <w:tcW w:w="1170" w:type="dxa"/>
          </w:tcPr>
          <w:p w:rsidR="00D13047" w:rsidRPr="00A63D04" w:rsidP="00DD277C" w14:paraId="70500DF9" w14:textId="7518212A">
            <w:pPr>
              <w:keepNext/>
              <w:tabs>
                <w:tab w:val="decimal" w:pos="828"/>
              </w:tabs>
              <w:jc w:val="center"/>
              <w:rPr>
                <w:iCs/>
                <w:sz w:val="20"/>
                <w:szCs w:val="20"/>
              </w:rPr>
            </w:pPr>
            <w:r>
              <w:rPr>
                <w:iCs/>
                <w:sz w:val="20"/>
                <w:szCs w:val="20"/>
              </w:rPr>
              <w:t>$</w:t>
            </w:r>
            <w:r w:rsidR="00C2592C">
              <w:rPr>
                <w:iCs/>
                <w:sz w:val="20"/>
                <w:szCs w:val="20"/>
              </w:rPr>
              <w:t>22,040.89</w:t>
            </w:r>
          </w:p>
        </w:tc>
      </w:tr>
    </w:tbl>
    <w:p w:rsidR="00D13047" w:rsidRPr="00BF30A1" w:rsidP="00D13047" w14:paraId="4A625C7B" w14:textId="1B820D62">
      <w:pPr>
        <w:pStyle w:val="ExhibitNote1"/>
        <w:rPr>
          <w:rFonts w:cs="Times New Roman"/>
          <w:b/>
          <w:bCs/>
          <w:i/>
        </w:rPr>
      </w:pPr>
      <w:r w:rsidRPr="00BF30A1">
        <w:rPr>
          <w:rFonts w:cs="Times New Roman"/>
          <w:bCs/>
          <w:i/>
          <w:vertAlign w:val="superscript"/>
        </w:rPr>
        <w:t>a</w:t>
      </w:r>
      <w:r w:rsidRPr="00816C0B">
        <w:rPr>
          <w:rFonts w:cs="Times New Roman"/>
          <w:b/>
          <w:i/>
          <w:vertAlign w:val="superscript"/>
        </w:rPr>
        <w:t xml:space="preserve"> </w:t>
      </w:r>
      <w:r w:rsidRPr="00816C0B">
        <w:rPr>
          <w:rFonts w:cs="Times New Roman"/>
          <w:b/>
          <w:i/>
        </w:rPr>
        <w:t xml:space="preserve">The </w:t>
      </w:r>
      <w:r>
        <w:rPr>
          <w:rFonts w:cs="Times New Roman"/>
          <w:b/>
          <w:i/>
        </w:rPr>
        <w:t>ART</w:t>
      </w:r>
      <w:r w:rsidRPr="00816C0B">
        <w:rPr>
          <w:rFonts w:cs="Times New Roman"/>
          <w:i/>
        </w:rPr>
        <w:t xml:space="preserve"> is used for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D13047" w:rsidRPr="00816C0B" w:rsidP="00D13047" w14:paraId="3A82CA67" w14:textId="4E33ECAF">
      <w:pPr>
        <w:pStyle w:val="ExhibitNote1"/>
        <w:rPr>
          <w:rFonts w:cs="Times New Roman"/>
          <w:i/>
        </w:rPr>
      </w:pPr>
      <w:r w:rsidRPr="00BF30A1">
        <w:rPr>
          <w:rFonts w:cs="Times New Roman"/>
          <w:bCs/>
          <w:i/>
          <w:vertAlign w:val="superscript"/>
        </w:rPr>
        <w:t>b</w:t>
      </w:r>
      <w:r w:rsidRPr="00816C0B">
        <w:rPr>
          <w:rFonts w:cs="Times New Roman"/>
          <w:i/>
          <w:vertAlign w:val="superscript"/>
        </w:rPr>
        <w:t xml:space="preserve"> </w:t>
      </w:r>
      <w:r w:rsidRPr="00E70AC6" w:rsidR="00E70AC6">
        <w:rPr>
          <w:rFonts w:cs="Times New Roman"/>
          <w:i/>
        </w:rPr>
        <w:t xml:space="preserve">The </w:t>
      </w:r>
      <w:r w:rsidRPr="00BF30A1" w:rsidR="00E70AC6">
        <w:rPr>
          <w:rFonts w:cs="Times New Roman"/>
          <w:b/>
          <w:bCs/>
          <w:i/>
        </w:rPr>
        <w:t>grantee PD or evaluator</w:t>
      </w:r>
      <w:r w:rsidRPr="00E70AC6" w:rsidR="00E70AC6">
        <w:rPr>
          <w:rFonts w:cs="Times New Roman"/>
          <w:i/>
        </w:rPr>
        <w:t xml:space="preserve"> </w:t>
      </w:r>
      <w:r w:rsidRPr="00BF30A1" w:rsidR="00E70AC6">
        <w:rPr>
          <w:rFonts w:cs="Times New Roman"/>
          <w:b/>
          <w:bCs/>
          <w:i/>
        </w:rPr>
        <w:t>hourly wage</w:t>
      </w:r>
      <w:r w:rsidRPr="00E70AC6" w:rsidR="00E70AC6">
        <w:rPr>
          <w:rFonts w:cs="Times New Roman"/>
          <w:i/>
        </w:rPr>
        <w:t xml:space="preserve"> is based on the mean hourly wage for state government managers as reported in the 2023 Occupational Employment and Wage Statistics report from the Bureau of Labor Statistics available at https://www.bls.gov/oes/current/naics4_999200.htm#11-00000. </w:t>
      </w:r>
    </w:p>
    <w:p w:rsidR="00D13047" w:rsidRPr="00816C0B" w:rsidP="00D13047" w14:paraId="469BA497" w14:textId="603C41D3">
      <w:pPr>
        <w:pStyle w:val="ExhibitNote1"/>
        <w:rPr>
          <w:rFonts w:cs="Times New Roman"/>
          <w:i/>
        </w:rPr>
      </w:pPr>
      <w:r w:rsidRPr="00BF30A1">
        <w:rPr>
          <w:rFonts w:cs="Times New Roman"/>
          <w:bCs/>
          <w:i/>
          <w:vertAlign w:val="superscript"/>
        </w:rPr>
        <w:t>c</w:t>
      </w:r>
      <w:r w:rsidRPr="00816C0B">
        <w:rPr>
          <w:rFonts w:cs="Times New Roman"/>
          <w:i/>
          <w:vertAlign w:val="superscript"/>
        </w:rPr>
        <w:t xml:space="preserve"> </w:t>
      </w:r>
      <w:r w:rsidRPr="00BF30A1" w:rsidR="00E70AC6">
        <w:rPr>
          <w:rFonts w:cs="Times New Roman"/>
          <w:b/>
          <w:bCs/>
          <w:i/>
        </w:rPr>
        <w:t>Subrecipient staff hourly wage</w:t>
      </w:r>
      <w:r w:rsidRPr="00E70AC6" w:rsidR="00E70AC6">
        <w:rPr>
          <w:rFonts w:cs="Times New Roman"/>
          <w:i/>
        </w:rPr>
        <w:t xml:space="preserve"> is based on the mean hourly wage for local government counselors, social workers, and other community and social service specialists as reported in the same report available at https://www.bls.gov/oes/current/naics4_999300.htm.</w:t>
      </w:r>
    </w:p>
    <w:p w:rsidR="00D13047" w:rsidRPr="00816C0B" w:rsidP="00D13047" w14:paraId="5C060028" w14:textId="77777777">
      <w:pPr>
        <w:pStyle w:val="ExhibitNote1"/>
        <w:rPr>
          <w:rFonts w:cs="Times New Roman"/>
          <w:i/>
        </w:rPr>
      </w:pPr>
      <w:r w:rsidRPr="00BF30A1">
        <w:rPr>
          <w:rFonts w:cs="Times New Roman"/>
          <w:bCs/>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E70AC6" w:rsidRPr="00C37873" w:rsidP="00E70AC6" w14:paraId="16E55A5B" w14:textId="056F0060">
      <w:pPr>
        <w:pStyle w:val="ExhibitNote1"/>
        <w:rPr>
          <w:rFonts w:cs="Times New Roman"/>
          <w:bCs/>
          <w:i/>
        </w:rPr>
      </w:pPr>
      <w:r w:rsidRPr="00BF30A1">
        <w:rPr>
          <w:rFonts w:cs="Times New Roman"/>
          <w:bCs/>
          <w:i/>
        </w:rPr>
        <w:t>PD</w:t>
      </w:r>
      <w:r>
        <w:rPr>
          <w:rFonts w:cs="Times New Roman"/>
          <w:b/>
          <w:i/>
        </w:rPr>
        <w:t xml:space="preserve"> = </w:t>
      </w:r>
      <w:r>
        <w:rPr>
          <w:rFonts w:cs="Times New Roman"/>
          <w:bCs/>
          <w:i/>
        </w:rPr>
        <w:t>project director.</w:t>
      </w:r>
    </w:p>
    <w:p w:rsidR="00CA512F" w:rsidP="00CA512F" w14:paraId="2DE9A084" w14:textId="76BFC5AF">
      <w:pPr>
        <w:suppressAutoHyphens w:val="0"/>
        <w:rPr>
          <w:b/>
          <w:szCs w:val="24"/>
        </w:rPr>
      </w:pPr>
    </w:p>
    <w:p w:rsidR="00E2473B" w:rsidP="00CA512F" w14:paraId="3559FD33" w14:textId="77777777">
      <w:pPr>
        <w:suppressAutoHyphens w:val="0"/>
        <w:rPr>
          <w:b/>
          <w:szCs w:val="24"/>
        </w:rPr>
      </w:pPr>
      <w:bookmarkStart w:id="13" w:name="_Hlk95138780"/>
      <w:r>
        <w:rPr>
          <w:b/>
          <w:szCs w:val="24"/>
        </w:rPr>
        <w:br w:type="page"/>
      </w:r>
    </w:p>
    <w:p w:rsidR="00CA512F" w:rsidRPr="000655BF" w:rsidP="00CA512F" w14:paraId="15F2C566" w14:textId="3064EC87">
      <w:pPr>
        <w:suppressAutoHyphens w:val="0"/>
        <w:rPr>
          <w:b/>
          <w:szCs w:val="24"/>
        </w:rPr>
      </w:pPr>
      <w:r w:rsidRPr="000655BF">
        <w:rPr>
          <w:b/>
          <w:szCs w:val="24"/>
        </w:rPr>
        <w:t xml:space="preserve">Exhibit </w:t>
      </w:r>
      <w:r>
        <w:rPr>
          <w:b/>
          <w:szCs w:val="24"/>
        </w:rPr>
        <w:t>7</w:t>
      </w:r>
      <w:r w:rsidRPr="000655BF">
        <w:rPr>
          <w:b/>
          <w:szCs w:val="24"/>
        </w:rPr>
        <w:t xml:space="preserve">. Estimates of Annual Burden for </w:t>
      </w:r>
      <w:r>
        <w:rPr>
          <w:b/>
          <w:szCs w:val="24"/>
        </w:rPr>
        <w:t xml:space="preserve">Year </w:t>
      </w:r>
      <w:r w:rsidR="00535D49">
        <w:rPr>
          <w:b/>
          <w:szCs w:val="24"/>
        </w:rPr>
        <w:t xml:space="preserve">2 </w:t>
      </w:r>
      <w:r>
        <w:rPr>
          <w:b/>
          <w:szCs w:val="24"/>
        </w:rPr>
        <w:t xml:space="preserve">for </w:t>
      </w:r>
      <w:r w:rsidRPr="000655BF">
        <w:rPr>
          <w:b/>
          <w:szCs w:val="24"/>
        </w:rPr>
        <w:t xml:space="preserve">the </w:t>
      </w:r>
      <w:r w:rsidR="00CD7E54">
        <w:rPr>
          <w:b/>
          <w:szCs w:val="24"/>
        </w:rPr>
        <w:t>PEPC</w:t>
      </w:r>
      <w:r>
        <w:rPr>
          <w:b/>
          <w:szCs w:val="24"/>
        </w:rPr>
        <w:t xml:space="preserve"> </w:t>
      </w:r>
      <w:r w:rsidRPr="000655BF">
        <w:rPr>
          <w:b/>
          <w:szCs w:val="24"/>
        </w:rPr>
        <w:t>Data Collection</w:t>
      </w:r>
      <w:r w:rsidR="00CD7E54">
        <w:rPr>
          <w:b/>
          <w:szCs w:val="24"/>
        </w:rPr>
        <w:t xml:space="preserve"> (FY 2022 Cohort)</w:t>
      </w:r>
      <w:r w:rsidRPr="000655BF">
        <w:rPr>
          <w:b/>
          <w:szCs w:val="24"/>
        </w:rPr>
        <w:t xml:space="preserve"> (N</w:t>
      </w:r>
      <w:r w:rsidR="00FE1DE7">
        <w:rPr>
          <w:b/>
          <w:szCs w:val="24"/>
        </w:rPr>
        <w:t> </w:t>
      </w:r>
      <w:r w:rsidRPr="000655BF">
        <w:rPr>
          <w:b/>
          <w:szCs w:val="24"/>
        </w:rPr>
        <w:t>=</w:t>
      </w:r>
      <w:r w:rsidR="00FE1DE7">
        <w:rPr>
          <w:b/>
          <w:szCs w:val="24"/>
        </w:rPr>
        <w:t> </w:t>
      </w:r>
      <w:r w:rsidR="00BD5CA6">
        <w:rPr>
          <w:b/>
          <w:szCs w:val="24"/>
        </w:rPr>
        <w:t>6</w:t>
      </w:r>
      <w:r w:rsidRPr="000655BF" w:rsidR="00BD5CA6">
        <w:rPr>
          <w:b/>
          <w:szCs w:val="24"/>
        </w:rPr>
        <w:t xml:space="preserve"> </w:t>
      </w:r>
      <w:r w:rsidRPr="000655BF">
        <w:rPr>
          <w:b/>
          <w:szCs w:val="24"/>
        </w:rPr>
        <w:t>Grantees; N</w:t>
      </w:r>
      <w:r w:rsidR="00FE1DE7">
        <w:rPr>
          <w:b/>
          <w:szCs w:val="24"/>
        </w:rPr>
        <w:t> </w:t>
      </w:r>
      <w:r w:rsidRPr="000655BF">
        <w:rPr>
          <w:b/>
          <w:szCs w:val="24"/>
        </w:rPr>
        <w:t>=</w:t>
      </w:r>
      <w:r w:rsidR="00FE1DE7">
        <w:rPr>
          <w:b/>
          <w:szCs w:val="24"/>
        </w:rPr>
        <w:t> </w:t>
      </w:r>
      <w:r w:rsidR="008A682F">
        <w:rPr>
          <w:b/>
          <w:szCs w:val="24"/>
        </w:rPr>
        <w:t>31</w:t>
      </w:r>
      <w:r w:rsidRPr="000655BF" w:rsidR="008A682F">
        <w:rPr>
          <w:b/>
          <w:szCs w:val="24"/>
        </w:rPr>
        <w:t xml:space="preserve"> </w:t>
      </w:r>
      <w:r w:rsidRPr="000655BF">
        <w:rPr>
          <w:b/>
          <w:szCs w:val="24"/>
        </w:rPr>
        <w:t>Subrecipients)</w:t>
      </w:r>
    </w:p>
    <w:tbl>
      <w:tblPr>
        <w:tblStyle w:val="TableGrid"/>
        <w:tblW w:w="9806" w:type="dxa"/>
        <w:tblLayout w:type="fixed"/>
        <w:tblCellMar>
          <w:left w:w="43" w:type="dxa"/>
          <w:right w:w="43" w:type="dxa"/>
        </w:tblCellMar>
        <w:tblLook w:val="04A0"/>
      </w:tblPr>
      <w:tblGrid>
        <w:gridCol w:w="1449"/>
        <w:gridCol w:w="1272"/>
        <w:gridCol w:w="1181"/>
        <w:gridCol w:w="1181"/>
        <w:gridCol w:w="999"/>
        <w:gridCol w:w="908"/>
        <w:gridCol w:w="818"/>
        <w:gridCol w:w="827"/>
        <w:gridCol w:w="1171"/>
      </w:tblGrid>
      <w:tr w14:paraId="7366FC3A" w14:textId="77777777" w:rsidTr="00F73C3F">
        <w:tblPrEx>
          <w:tblW w:w="9806" w:type="dxa"/>
          <w:tblLayout w:type="fixed"/>
          <w:tblCellMar>
            <w:left w:w="43" w:type="dxa"/>
            <w:right w:w="43" w:type="dxa"/>
          </w:tblCellMar>
          <w:tblLook w:val="04A0"/>
        </w:tblPrEx>
        <w:tc>
          <w:tcPr>
            <w:tcW w:w="1449" w:type="dxa"/>
            <w:shd w:val="clear" w:color="auto" w:fill="8DB3E2" w:themeFill="text2" w:themeFillTint="66"/>
          </w:tcPr>
          <w:p w:rsidR="00603046" w:rsidRPr="00F64B90" w:rsidP="00DD277C" w14:paraId="725DF7BF" w14:textId="77777777">
            <w:pPr>
              <w:keepNext/>
              <w:rPr>
                <w:b/>
                <w:bCs/>
                <w:sz w:val="20"/>
                <w:szCs w:val="20"/>
              </w:rPr>
            </w:pPr>
            <w:bookmarkStart w:id="14" w:name="_Hlk95155001"/>
            <w:bookmarkEnd w:id="13"/>
            <w:r w:rsidRPr="00F64B90">
              <w:rPr>
                <w:b/>
                <w:bCs/>
                <w:sz w:val="20"/>
                <w:szCs w:val="20"/>
              </w:rPr>
              <w:t>Instrument</w:t>
            </w:r>
          </w:p>
        </w:tc>
        <w:tc>
          <w:tcPr>
            <w:tcW w:w="1272" w:type="dxa"/>
            <w:shd w:val="clear" w:color="auto" w:fill="8DB3E2" w:themeFill="text2" w:themeFillTint="66"/>
          </w:tcPr>
          <w:p w:rsidR="00603046" w:rsidRPr="00F64B90" w:rsidP="00DD277C" w14:paraId="19F63EF1" w14:textId="77777777">
            <w:pPr>
              <w:keepNext/>
              <w:rPr>
                <w:b/>
                <w:bCs/>
                <w:sz w:val="20"/>
                <w:szCs w:val="20"/>
              </w:rPr>
            </w:pPr>
            <w:r w:rsidRPr="00F64B90">
              <w:rPr>
                <w:b/>
                <w:bCs/>
                <w:sz w:val="20"/>
                <w:szCs w:val="20"/>
              </w:rPr>
              <w:t>Number of Respondents</w:t>
            </w:r>
          </w:p>
        </w:tc>
        <w:tc>
          <w:tcPr>
            <w:tcW w:w="1181" w:type="dxa"/>
            <w:shd w:val="clear" w:color="auto" w:fill="8DB3E2" w:themeFill="text2" w:themeFillTint="66"/>
          </w:tcPr>
          <w:p w:rsidR="00603046" w:rsidRPr="00F64B90" w:rsidP="00DD277C" w14:paraId="16D97467" w14:textId="77777777">
            <w:pPr>
              <w:keepNext/>
              <w:rPr>
                <w:b/>
                <w:bCs/>
                <w:sz w:val="20"/>
                <w:szCs w:val="20"/>
              </w:rPr>
            </w:pPr>
            <w:r w:rsidRPr="00F64B90">
              <w:rPr>
                <w:b/>
                <w:bCs/>
                <w:sz w:val="20"/>
                <w:szCs w:val="20"/>
              </w:rPr>
              <w:t>Respondent Type</w:t>
            </w:r>
          </w:p>
        </w:tc>
        <w:tc>
          <w:tcPr>
            <w:tcW w:w="1181" w:type="dxa"/>
            <w:shd w:val="clear" w:color="auto" w:fill="8DB3E2" w:themeFill="text2" w:themeFillTint="66"/>
          </w:tcPr>
          <w:p w:rsidR="00603046" w:rsidRPr="00F64B90" w:rsidP="00DD277C" w14:paraId="2F534685" w14:textId="77777777">
            <w:pPr>
              <w:keepNext/>
              <w:rPr>
                <w:b/>
                <w:bCs/>
                <w:sz w:val="20"/>
                <w:szCs w:val="20"/>
              </w:rPr>
            </w:pPr>
            <w:r w:rsidRPr="00F64B90">
              <w:rPr>
                <w:b/>
                <w:bCs/>
                <w:sz w:val="20"/>
                <w:szCs w:val="20"/>
              </w:rPr>
              <w:t>Responses per Respondent</w:t>
            </w:r>
          </w:p>
        </w:tc>
        <w:tc>
          <w:tcPr>
            <w:tcW w:w="999" w:type="dxa"/>
            <w:shd w:val="clear" w:color="auto" w:fill="8DB3E2" w:themeFill="text2" w:themeFillTint="66"/>
          </w:tcPr>
          <w:p w:rsidR="00603046" w:rsidRPr="00F64B90" w:rsidP="00DD277C" w14:paraId="28C53183" w14:textId="77777777">
            <w:pPr>
              <w:keepNext/>
              <w:rPr>
                <w:b/>
                <w:bCs/>
                <w:sz w:val="20"/>
                <w:szCs w:val="20"/>
              </w:rPr>
            </w:pPr>
            <w:r w:rsidRPr="00F64B90">
              <w:rPr>
                <w:b/>
                <w:bCs/>
                <w:sz w:val="20"/>
                <w:szCs w:val="20"/>
              </w:rPr>
              <w:t>Total Number of Responses</w:t>
            </w:r>
          </w:p>
        </w:tc>
        <w:tc>
          <w:tcPr>
            <w:tcW w:w="908" w:type="dxa"/>
            <w:shd w:val="clear" w:color="auto" w:fill="8DB3E2" w:themeFill="text2" w:themeFillTint="66"/>
          </w:tcPr>
          <w:p w:rsidR="00603046" w:rsidRPr="00F64B90" w:rsidP="00DD277C" w14:paraId="30093639" w14:textId="77777777">
            <w:pPr>
              <w:keepNext/>
              <w:rPr>
                <w:b/>
                <w:bCs/>
                <w:sz w:val="20"/>
                <w:szCs w:val="20"/>
              </w:rPr>
            </w:pPr>
            <w:r w:rsidRPr="00F64B90">
              <w:rPr>
                <w:b/>
                <w:bCs/>
                <w:sz w:val="20"/>
                <w:szCs w:val="20"/>
              </w:rPr>
              <w:t>Hours per Response</w:t>
            </w:r>
          </w:p>
        </w:tc>
        <w:tc>
          <w:tcPr>
            <w:tcW w:w="818" w:type="dxa"/>
            <w:shd w:val="clear" w:color="auto" w:fill="8DB3E2" w:themeFill="text2" w:themeFillTint="66"/>
          </w:tcPr>
          <w:p w:rsidR="00603046" w:rsidRPr="00F64B90" w:rsidP="00DD277C" w14:paraId="6C71F50E" w14:textId="77777777">
            <w:pPr>
              <w:keepNext/>
              <w:rPr>
                <w:b/>
                <w:bCs/>
                <w:sz w:val="20"/>
                <w:szCs w:val="20"/>
              </w:rPr>
            </w:pPr>
            <w:r w:rsidRPr="00F64B90">
              <w:rPr>
                <w:b/>
                <w:bCs/>
                <w:sz w:val="20"/>
                <w:szCs w:val="20"/>
              </w:rPr>
              <w:t>Total Burden Hours</w:t>
            </w:r>
          </w:p>
        </w:tc>
        <w:tc>
          <w:tcPr>
            <w:tcW w:w="827" w:type="dxa"/>
            <w:shd w:val="clear" w:color="auto" w:fill="8DB3E2" w:themeFill="text2" w:themeFillTint="66"/>
          </w:tcPr>
          <w:p w:rsidR="00603046" w:rsidRPr="00F64B90" w:rsidP="00DD277C" w14:paraId="6AD31DCF" w14:textId="77777777">
            <w:pPr>
              <w:keepNext/>
              <w:rPr>
                <w:b/>
                <w:bCs/>
                <w:sz w:val="20"/>
                <w:szCs w:val="20"/>
              </w:rPr>
            </w:pPr>
            <w:r w:rsidRPr="00F64B90">
              <w:rPr>
                <w:b/>
                <w:bCs/>
                <w:sz w:val="20"/>
                <w:szCs w:val="20"/>
              </w:rPr>
              <w:t>Average</w:t>
            </w:r>
          </w:p>
          <w:p w:rsidR="00603046" w:rsidRPr="00F64B90" w:rsidP="00DD277C" w14:paraId="402B74A0" w14:textId="6B6D61EB">
            <w:pPr>
              <w:keepNext/>
              <w:rPr>
                <w:b/>
                <w:bCs/>
                <w:sz w:val="20"/>
                <w:szCs w:val="20"/>
                <w:vertAlign w:val="superscript"/>
              </w:rPr>
            </w:pPr>
            <w:r w:rsidRPr="00F64B90">
              <w:rPr>
                <w:b/>
                <w:bCs/>
                <w:sz w:val="20"/>
                <w:szCs w:val="20"/>
              </w:rPr>
              <w:t xml:space="preserve">Hourly </w:t>
            </w:r>
            <w:r w:rsidRPr="00F64B90">
              <w:rPr>
                <w:b/>
                <w:bCs/>
                <w:sz w:val="20"/>
                <w:szCs w:val="20"/>
              </w:rPr>
              <w:t>Wage</w:t>
            </w:r>
            <w:r w:rsidRPr="00F64B90">
              <w:rPr>
                <w:b/>
                <w:bCs/>
                <w:sz w:val="20"/>
                <w:szCs w:val="20"/>
                <w:vertAlign w:val="superscript"/>
              </w:rPr>
              <w:t>b</w:t>
            </w:r>
            <w:r w:rsidR="00FE1DE7">
              <w:rPr>
                <w:b/>
                <w:bCs/>
                <w:sz w:val="20"/>
                <w:szCs w:val="20"/>
                <w:vertAlign w:val="superscript"/>
              </w:rPr>
              <w:t>,</w:t>
            </w:r>
            <w:r w:rsidRPr="00F64B90">
              <w:rPr>
                <w:b/>
                <w:bCs/>
                <w:sz w:val="20"/>
                <w:szCs w:val="20"/>
                <w:vertAlign w:val="superscript"/>
              </w:rPr>
              <w:t xml:space="preserve"> c</w:t>
            </w:r>
          </w:p>
        </w:tc>
        <w:tc>
          <w:tcPr>
            <w:tcW w:w="1171" w:type="dxa"/>
            <w:shd w:val="clear" w:color="auto" w:fill="8DB3E2" w:themeFill="text2" w:themeFillTint="66"/>
          </w:tcPr>
          <w:p w:rsidR="00603046" w:rsidRPr="00F64B90" w:rsidP="00DD277C" w14:paraId="5E2603A7" w14:textId="78C4B0D9">
            <w:pPr>
              <w:keepNext/>
              <w:rPr>
                <w:sz w:val="20"/>
                <w:szCs w:val="20"/>
              </w:rPr>
            </w:pPr>
            <w:r w:rsidRPr="00F64B90">
              <w:rPr>
                <w:b/>
                <w:bCs/>
                <w:sz w:val="20"/>
                <w:szCs w:val="20"/>
              </w:rPr>
              <w:t xml:space="preserve">Total </w:t>
            </w:r>
            <w:r w:rsidRPr="00F64B90">
              <w:rPr>
                <w:b/>
                <w:bCs/>
                <w:sz w:val="20"/>
                <w:szCs w:val="20"/>
              </w:rPr>
              <w:t>Cost</w:t>
            </w:r>
            <w:r w:rsidRPr="00F64B90">
              <w:rPr>
                <w:b/>
                <w:bCs/>
                <w:sz w:val="20"/>
                <w:szCs w:val="20"/>
                <w:vertAlign w:val="superscript"/>
              </w:rPr>
              <w:t>d</w:t>
            </w:r>
          </w:p>
        </w:tc>
      </w:tr>
      <w:tr w14:paraId="401E6EC2" w14:textId="77777777" w:rsidTr="00F73C3F">
        <w:tblPrEx>
          <w:tblW w:w="9806" w:type="dxa"/>
          <w:tblLayout w:type="fixed"/>
          <w:tblCellMar>
            <w:left w:w="43" w:type="dxa"/>
            <w:right w:w="43" w:type="dxa"/>
          </w:tblCellMar>
          <w:tblLook w:val="04A0"/>
        </w:tblPrEx>
        <w:tc>
          <w:tcPr>
            <w:tcW w:w="1449" w:type="dxa"/>
            <w:vMerge w:val="restart"/>
          </w:tcPr>
          <w:p w:rsidR="00BD5CA6" w:rsidRPr="00F64B90" w:rsidP="00BD5CA6" w14:paraId="50E71FC0" w14:textId="3D58428C">
            <w:pPr>
              <w:keepNext/>
              <w:rPr>
                <w:iCs/>
                <w:sz w:val="20"/>
                <w:szCs w:val="20"/>
                <w:vertAlign w:val="superscript"/>
              </w:rPr>
            </w:pPr>
            <w:r>
              <w:rPr>
                <w:iCs/>
                <w:sz w:val="20"/>
                <w:szCs w:val="20"/>
              </w:rPr>
              <w:t>ART</w:t>
            </w:r>
            <w:r w:rsidRPr="00F64B90">
              <w:rPr>
                <w:b/>
                <w:iCs/>
                <w:sz w:val="20"/>
                <w:szCs w:val="20"/>
                <w:vertAlign w:val="superscript"/>
              </w:rPr>
              <w:t>a</w:t>
            </w:r>
          </w:p>
          <w:p w:rsidR="00BD5CA6" w:rsidRPr="00F64B90" w:rsidP="00BD5CA6" w14:paraId="4DB9EB21" w14:textId="77777777">
            <w:pPr>
              <w:keepNext/>
              <w:rPr>
                <w:iCs/>
                <w:sz w:val="20"/>
                <w:szCs w:val="20"/>
              </w:rPr>
            </w:pPr>
          </w:p>
        </w:tc>
        <w:tc>
          <w:tcPr>
            <w:tcW w:w="1272" w:type="dxa"/>
          </w:tcPr>
          <w:p w:rsidR="00BD5CA6" w:rsidRPr="00F64B90" w:rsidP="00BD5CA6" w14:paraId="707E3DC8" w14:textId="36F986E7">
            <w:pPr>
              <w:keepNext/>
              <w:jc w:val="center"/>
              <w:rPr>
                <w:iCs/>
                <w:sz w:val="20"/>
                <w:szCs w:val="20"/>
              </w:rPr>
            </w:pPr>
            <w:r>
              <w:rPr>
                <w:iCs/>
                <w:sz w:val="20"/>
                <w:szCs w:val="20"/>
              </w:rPr>
              <w:t>31</w:t>
            </w:r>
          </w:p>
        </w:tc>
        <w:tc>
          <w:tcPr>
            <w:tcW w:w="1181" w:type="dxa"/>
          </w:tcPr>
          <w:p w:rsidR="00BD5CA6" w:rsidRPr="00F64B90" w:rsidP="00BD5CA6" w14:paraId="361517F8" w14:textId="6920361A">
            <w:pPr>
              <w:keepNext/>
              <w:rPr>
                <w:iCs/>
                <w:sz w:val="20"/>
                <w:szCs w:val="20"/>
              </w:rPr>
            </w:pPr>
            <w:r w:rsidRPr="00F64B90">
              <w:rPr>
                <w:iCs/>
                <w:sz w:val="20"/>
                <w:szCs w:val="20"/>
              </w:rPr>
              <w:t>Subrecipient Staff</w:t>
            </w:r>
          </w:p>
        </w:tc>
        <w:tc>
          <w:tcPr>
            <w:tcW w:w="1181" w:type="dxa"/>
          </w:tcPr>
          <w:p w:rsidR="00BD5CA6" w:rsidRPr="00F64B90" w:rsidP="00BD5CA6" w14:paraId="624557BD" w14:textId="20F2FDC2">
            <w:pPr>
              <w:keepNext/>
              <w:jc w:val="center"/>
              <w:rPr>
                <w:iCs/>
                <w:sz w:val="20"/>
                <w:szCs w:val="20"/>
              </w:rPr>
            </w:pPr>
            <w:r w:rsidRPr="00F64B90">
              <w:rPr>
                <w:iCs/>
                <w:sz w:val="20"/>
                <w:szCs w:val="20"/>
              </w:rPr>
              <w:t>1</w:t>
            </w:r>
          </w:p>
        </w:tc>
        <w:tc>
          <w:tcPr>
            <w:tcW w:w="999" w:type="dxa"/>
          </w:tcPr>
          <w:p w:rsidR="00BD5CA6" w:rsidRPr="00F64B90" w:rsidP="00BD5CA6" w14:paraId="1943D4EA" w14:textId="1DB92383">
            <w:pPr>
              <w:keepNext/>
              <w:jc w:val="center"/>
              <w:rPr>
                <w:iCs/>
                <w:sz w:val="20"/>
                <w:szCs w:val="20"/>
              </w:rPr>
            </w:pPr>
            <w:r>
              <w:rPr>
                <w:iCs/>
                <w:sz w:val="20"/>
                <w:szCs w:val="20"/>
              </w:rPr>
              <w:t>31</w:t>
            </w:r>
          </w:p>
        </w:tc>
        <w:tc>
          <w:tcPr>
            <w:tcW w:w="908" w:type="dxa"/>
          </w:tcPr>
          <w:p w:rsidR="00BD5CA6" w:rsidRPr="008E6DE9" w:rsidP="00BD5CA6" w14:paraId="5A4BD405" w14:textId="5216AEDF">
            <w:pPr>
              <w:keepNext/>
              <w:jc w:val="center"/>
              <w:rPr>
                <w:iCs/>
                <w:sz w:val="20"/>
                <w:szCs w:val="20"/>
              </w:rPr>
            </w:pPr>
            <w:r>
              <w:rPr>
                <w:iCs/>
                <w:sz w:val="20"/>
                <w:szCs w:val="20"/>
              </w:rPr>
              <w:t>1.5</w:t>
            </w:r>
          </w:p>
        </w:tc>
        <w:tc>
          <w:tcPr>
            <w:tcW w:w="818" w:type="dxa"/>
          </w:tcPr>
          <w:p w:rsidR="00BD5CA6" w:rsidRPr="008E6DE9" w:rsidP="00BD5CA6" w14:paraId="2A11BACE" w14:textId="62941907">
            <w:pPr>
              <w:keepNext/>
              <w:jc w:val="center"/>
              <w:rPr>
                <w:iCs/>
                <w:sz w:val="20"/>
                <w:szCs w:val="20"/>
              </w:rPr>
            </w:pPr>
            <w:r>
              <w:rPr>
                <w:iCs/>
                <w:sz w:val="20"/>
                <w:szCs w:val="20"/>
              </w:rPr>
              <w:t>46</w:t>
            </w:r>
            <w:r>
              <w:rPr>
                <w:iCs/>
                <w:sz w:val="20"/>
                <w:szCs w:val="20"/>
              </w:rPr>
              <w:t>.5</w:t>
            </w:r>
          </w:p>
        </w:tc>
        <w:tc>
          <w:tcPr>
            <w:tcW w:w="827" w:type="dxa"/>
          </w:tcPr>
          <w:p w:rsidR="00BD5CA6" w:rsidRPr="00853F14" w:rsidP="00BD5CA6" w14:paraId="05383566" w14:textId="1B39AFCC">
            <w:pPr>
              <w:keepNext/>
              <w:jc w:val="center"/>
              <w:rPr>
                <w:iCs/>
                <w:sz w:val="20"/>
                <w:szCs w:val="20"/>
              </w:rPr>
            </w:pPr>
            <w:r w:rsidRPr="00853F14">
              <w:rPr>
                <w:iCs/>
                <w:sz w:val="20"/>
                <w:szCs w:val="20"/>
              </w:rPr>
              <w:t>$</w:t>
            </w:r>
            <w:r>
              <w:rPr>
                <w:iCs/>
                <w:sz w:val="20"/>
                <w:szCs w:val="20"/>
              </w:rPr>
              <w:t>30.56</w:t>
            </w:r>
          </w:p>
        </w:tc>
        <w:tc>
          <w:tcPr>
            <w:tcW w:w="1171" w:type="dxa"/>
          </w:tcPr>
          <w:p w:rsidR="00BD5CA6" w:rsidRPr="00F25D9A" w:rsidP="00BD5CA6" w14:paraId="5865453F" w14:textId="66910379">
            <w:pPr>
              <w:keepNext/>
              <w:tabs>
                <w:tab w:val="decimal" w:pos="1007"/>
              </w:tabs>
              <w:ind w:left="-43"/>
              <w:jc w:val="center"/>
              <w:rPr>
                <w:iCs/>
                <w:sz w:val="20"/>
                <w:szCs w:val="20"/>
              </w:rPr>
            </w:pPr>
            <w:r w:rsidRPr="00853F14">
              <w:rPr>
                <w:iCs/>
                <w:sz w:val="20"/>
                <w:szCs w:val="20"/>
              </w:rPr>
              <w:t>$</w:t>
            </w:r>
            <w:r w:rsidR="008A682F">
              <w:rPr>
                <w:iCs/>
                <w:sz w:val="20"/>
                <w:szCs w:val="20"/>
              </w:rPr>
              <w:t>1,421.04</w:t>
            </w:r>
          </w:p>
        </w:tc>
      </w:tr>
      <w:tr w14:paraId="4ED717F6" w14:textId="77777777" w:rsidTr="00F73C3F">
        <w:tblPrEx>
          <w:tblW w:w="9806" w:type="dxa"/>
          <w:tblLayout w:type="fixed"/>
          <w:tblCellMar>
            <w:left w:w="43" w:type="dxa"/>
            <w:right w:w="43" w:type="dxa"/>
          </w:tblCellMar>
          <w:tblLook w:val="04A0"/>
        </w:tblPrEx>
        <w:tc>
          <w:tcPr>
            <w:tcW w:w="1449" w:type="dxa"/>
            <w:vMerge/>
          </w:tcPr>
          <w:p w:rsidR="00BD5CA6" w:rsidRPr="00F64B90" w:rsidP="00BD5CA6" w14:paraId="6A8BDF64" w14:textId="77777777">
            <w:pPr>
              <w:keepNext/>
              <w:rPr>
                <w:iCs/>
                <w:sz w:val="20"/>
                <w:szCs w:val="20"/>
              </w:rPr>
            </w:pPr>
          </w:p>
        </w:tc>
        <w:tc>
          <w:tcPr>
            <w:tcW w:w="1272" w:type="dxa"/>
          </w:tcPr>
          <w:p w:rsidR="00BD5CA6" w:rsidRPr="00F64B90" w:rsidP="00BD5CA6" w14:paraId="1305F425" w14:textId="643F224E">
            <w:pPr>
              <w:keepNext/>
              <w:jc w:val="center"/>
              <w:rPr>
                <w:iCs/>
                <w:sz w:val="20"/>
                <w:szCs w:val="20"/>
              </w:rPr>
            </w:pPr>
            <w:r>
              <w:rPr>
                <w:iCs/>
                <w:sz w:val="20"/>
                <w:szCs w:val="20"/>
              </w:rPr>
              <w:t>6</w:t>
            </w:r>
          </w:p>
        </w:tc>
        <w:tc>
          <w:tcPr>
            <w:tcW w:w="1181" w:type="dxa"/>
          </w:tcPr>
          <w:p w:rsidR="00BD5CA6" w:rsidRPr="00F64B90" w:rsidP="00BD5CA6" w14:paraId="6673E9BC" w14:textId="6E02E3C5">
            <w:pPr>
              <w:keepNext/>
              <w:rPr>
                <w:iCs/>
                <w:sz w:val="20"/>
                <w:szCs w:val="20"/>
              </w:rPr>
            </w:pPr>
            <w:r w:rsidRPr="00F64B90">
              <w:rPr>
                <w:iCs/>
                <w:sz w:val="20"/>
                <w:szCs w:val="20"/>
              </w:rPr>
              <w:t>Grantee PD or Evaluator</w:t>
            </w:r>
          </w:p>
        </w:tc>
        <w:tc>
          <w:tcPr>
            <w:tcW w:w="1181" w:type="dxa"/>
          </w:tcPr>
          <w:p w:rsidR="00BD5CA6" w:rsidRPr="00F64B90" w:rsidP="00BD5CA6" w14:paraId="07DAB747" w14:textId="160BC97E">
            <w:pPr>
              <w:keepNext/>
              <w:jc w:val="center"/>
              <w:rPr>
                <w:iCs/>
                <w:sz w:val="20"/>
                <w:szCs w:val="20"/>
              </w:rPr>
            </w:pPr>
            <w:r w:rsidRPr="00F64B90">
              <w:rPr>
                <w:iCs/>
                <w:sz w:val="20"/>
                <w:szCs w:val="20"/>
              </w:rPr>
              <w:t>1</w:t>
            </w:r>
          </w:p>
        </w:tc>
        <w:tc>
          <w:tcPr>
            <w:tcW w:w="999" w:type="dxa"/>
          </w:tcPr>
          <w:p w:rsidR="00BD5CA6" w:rsidRPr="00F64B90" w:rsidP="00BD5CA6" w14:paraId="6CB5DA6F" w14:textId="6513F302">
            <w:pPr>
              <w:keepNext/>
              <w:jc w:val="center"/>
              <w:rPr>
                <w:iCs/>
                <w:sz w:val="20"/>
                <w:szCs w:val="20"/>
              </w:rPr>
            </w:pPr>
            <w:r>
              <w:rPr>
                <w:iCs/>
                <w:sz w:val="20"/>
                <w:szCs w:val="20"/>
              </w:rPr>
              <w:t>6</w:t>
            </w:r>
          </w:p>
        </w:tc>
        <w:tc>
          <w:tcPr>
            <w:tcW w:w="908" w:type="dxa"/>
          </w:tcPr>
          <w:p w:rsidR="00BD5CA6" w:rsidRPr="008E6DE9" w:rsidP="00BD5CA6" w14:paraId="1789C4A5" w14:textId="38AA2A8C">
            <w:pPr>
              <w:keepNext/>
              <w:jc w:val="center"/>
              <w:rPr>
                <w:iCs/>
                <w:sz w:val="20"/>
                <w:szCs w:val="20"/>
              </w:rPr>
            </w:pPr>
            <w:r>
              <w:rPr>
                <w:iCs/>
                <w:sz w:val="20"/>
                <w:szCs w:val="20"/>
              </w:rPr>
              <w:t>1.5</w:t>
            </w:r>
          </w:p>
        </w:tc>
        <w:tc>
          <w:tcPr>
            <w:tcW w:w="818" w:type="dxa"/>
          </w:tcPr>
          <w:p w:rsidR="00BD5CA6" w:rsidRPr="008E6DE9" w:rsidP="00BD5CA6" w14:paraId="1B49AC36" w14:textId="495E8A6A">
            <w:pPr>
              <w:keepNext/>
              <w:jc w:val="center"/>
              <w:rPr>
                <w:iCs/>
                <w:sz w:val="20"/>
                <w:szCs w:val="20"/>
              </w:rPr>
            </w:pPr>
            <w:r>
              <w:rPr>
                <w:iCs/>
                <w:sz w:val="20"/>
                <w:szCs w:val="20"/>
              </w:rPr>
              <w:t>9</w:t>
            </w:r>
          </w:p>
        </w:tc>
        <w:tc>
          <w:tcPr>
            <w:tcW w:w="827" w:type="dxa"/>
          </w:tcPr>
          <w:p w:rsidR="00BD5CA6" w:rsidRPr="00853F14" w:rsidP="00BD5CA6" w14:paraId="746044EB" w14:textId="791915B3">
            <w:pPr>
              <w:keepNext/>
              <w:jc w:val="center"/>
              <w:rPr>
                <w:iCs/>
                <w:sz w:val="20"/>
                <w:szCs w:val="20"/>
              </w:rPr>
            </w:pPr>
            <w:r w:rsidRPr="00853F14">
              <w:rPr>
                <w:iCs/>
                <w:sz w:val="20"/>
                <w:szCs w:val="20"/>
              </w:rPr>
              <w:t>$</w:t>
            </w:r>
            <w:r>
              <w:rPr>
                <w:iCs/>
                <w:sz w:val="20"/>
                <w:szCs w:val="20"/>
              </w:rPr>
              <w:t>50.85</w:t>
            </w:r>
          </w:p>
        </w:tc>
        <w:tc>
          <w:tcPr>
            <w:tcW w:w="1171" w:type="dxa"/>
          </w:tcPr>
          <w:p w:rsidR="00BD5CA6" w:rsidRPr="00853F14" w:rsidP="00BD5CA6" w14:paraId="2C40D924" w14:textId="4AF0D38F">
            <w:pPr>
              <w:keepNext/>
              <w:tabs>
                <w:tab w:val="decimal" w:pos="828"/>
              </w:tabs>
              <w:jc w:val="center"/>
              <w:rPr>
                <w:iCs/>
                <w:sz w:val="20"/>
                <w:szCs w:val="20"/>
              </w:rPr>
            </w:pPr>
            <w:r w:rsidRPr="00853F14">
              <w:rPr>
                <w:iCs/>
                <w:sz w:val="20"/>
                <w:szCs w:val="20"/>
              </w:rPr>
              <w:t>$</w:t>
            </w:r>
            <w:r w:rsidR="008A682F">
              <w:rPr>
                <w:iCs/>
                <w:sz w:val="20"/>
                <w:szCs w:val="20"/>
              </w:rPr>
              <w:t>457.65</w:t>
            </w:r>
          </w:p>
        </w:tc>
      </w:tr>
      <w:tr w14:paraId="701F4D8E" w14:textId="77777777" w:rsidTr="00F73C3F">
        <w:tblPrEx>
          <w:tblW w:w="9806" w:type="dxa"/>
          <w:tblLayout w:type="fixed"/>
          <w:tblCellMar>
            <w:left w:w="43" w:type="dxa"/>
            <w:right w:w="43" w:type="dxa"/>
          </w:tblCellMar>
          <w:tblLook w:val="04A0"/>
        </w:tblPrEx>
        <w:tc>
          <w:tcPr>
            <w:tcW w:w="1449" w:type="dxa"/>
          </w:tcPr>
          <w:p w:rsidR="00BD5CA6" w:rsidRPr="00F64B90" w:rsidP="00BD5CA6" w14:paraId="2CBF2910"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72" w:type="dxa"/>
          </w:tcPr>
          <w:p w:rsidR="00BD5CA6" w:rsidRPr="00F64B90" w:rsidP="00BD5CA6" w14:paraId="3C97057B" w14:textId="13F0E0A1">
            <w:pPr>
              <w:keepNext/>
              <w:tabs>
                <w:tab w:val="decimal" w:pos="0"/>
              </w:tabs>
              <w:jc w:val="center"/>
              <w:rPr>
                <w:iCs/>
                <w:sz w:val="20"/>
                <w:szCs w:val="20"/>
              </w:rPr>
            </w:pPr>
            <w:r>
              <w:rPr>
                <w:iCs/>
                <w:sz w:val="20"/>
                <w:szCs w:val="20"/>
              </w:rPr>
              <w:t>6</w:t>
            </w:r>
          </w:p>
        </w:tc>
        <w:tc>
          <w:tcPr>
            <w:tcW w:w="1181" w:type="dxa"/>
          </w:tcPr>
          <w:p w:rsidR="00BD5CA6" w:rsidRPr="00F64B90" w:rsidP="00BD5CA6" w14:paraId="08BA2225" w14:textId="17BD097B">
            <w:pPr>
              <w:keepNext/>
              <w:tabs>
                <w:tab w:val="decimal" w:pos="640"/>
              </w:tabs>
              <w:rPr>
                <w:iCs/>
                <w:sz w:val="20"/>
                <w:szCs w:val="20"/>
              </w:rPr>
            </w:pPr>
            <w:r w:rsidRPr="00F64B90">
              <w:rPr>
                <w:iCs/>
                <w:sz w:val="20"/>
                <w:szCs w:val="20"/>
              </w:rPr>
              <w:t>Grantee PD or Evaluator</w:t>
            </w:r>
          </w:p>
        </w:tc>
        <w:tc>
          <w:tcPr>
            <w:tcW w:w="1181" w:type="dxa"/>
          </w:tcPr>
          <w:p w:rsidR="00BD5CA6" w:rsidRPr="00F64B90" w:rsidP="00BD5CA6" w14:paraId="67BC8C7A" w14:textId="5AC822E8">
            <w:pPr>
              <w:keepNext/>
              <w:tabs>
                <w:tab w:val="decimal" w:pos="640"/>
              </w:tabs>
              <w:rPr>
                <w:iCs/>
                <w:sz w:val="20"/>
                <w:szCs w:val="20"/>
              </w:rPr>
            </w:pPr>
            <w:r w:rsidRPr="00F64B90">
              <w:rPr>
                <w:iCs/>
                <w:sz w:val="20"/>
                <w:szCs w:val="20"/>
              </w:rPr>
              <w:t>1</w:t>
            </w:r>
          </w:p>
        </w:tc>
        <w:tc>
          <w:tcPr>
            <w:tcW w:w="999" w:type="dxa"/>
          </w:tcPr>
          <w:p w:rsidR="00BD5CA6" w:rsidRPr="00F64B90" w:rsidP="00BD5CA6" w14:paraId="47661683" w14:textId="1AE64580">
            <w:pPr>
              <w:keepNext/>
              <w:tabs>
                <w:tab w:val="decimal" w:pos="0"/>
              </w:tabs>
              <w:jc w:val="center"/>
              <w:rPr>
                <w:iCs/>
                <w:sz w:val="20"/>
                <w:szCs w:val="20"/>
              </w:rPr>
            </w:pPr>
            <w:r>
              <w:rPr>
                <w:iCs/>
                <w:sz w:val="20"/>
                <w:szCs w:val="20"/>
              </w:rPr>
              <w:t>6</w:t>
            </w:r>
          </w:p>
        </w:tc>
        <w:tc>
          <w:tcPr>
            <w:tcW w:w="908" w:type="dxa"/>
          </w:tcPr>
          <w:p w:rsidR="00BD5CA6" w:rsidRPr="0082030C" w:rsidP="00BD5CA6" w14:paraId="327A7289" w14:textId="56E04D29">
            <w:pPr>
              <w:keepNext/>
              <w:jc w:val="center"/>
              <w:rPr>
                <w:iCs/>
                <w:sz w:val="20"/>
                <w:szCs w:val="20"/>
              </w:rPr>
            </w:pPr>
            <w:r w:rsidRPr="0082030C">
              <w:rPr>
                <w:iCs/>
                <w:sz w:val="20"/>
                <w:szCs w:val="20"/>
              </w:rPr>
              <w:t>2.5</w:t>
            </w:r>
          </w:p>
        </w:tc>
        <w:tc>
          <w:tcPr>
            <w:tcW w:w="818" w:type="dxa"/>
          </w:tcPr>
          <w:p w:rsidR="00BD5CA6" w:rsidRPr="00A63D04" w:rsidP="00BD5CA6" w14:paraId="1E88CE88" w14:textId="0F04FE25">
            <w:pPr>
              <w:keepNext/>
              <w:jc w:val="center"/>
              <w:rPr>
                <w:iCs/>
                <w:sz w:val="20"/>
                <w:szCs w:val="20"/>
              </w:rPr>
            </w:pPr>
            <w:r>
              <w:rPr>
                <w:iCs/>
                <w:sz w:val="20"/>
                <w:szCs w:val="20"/>
              </w:rPr>
              <w:t>15</w:t>
            </w:r>
          </w:p>
        </w:tc>
        <w:tc>
          <w:tcPr>
            <w:tcW w:w="827" w:type="dxa"/>
          </w:tcPr>
          <w:p w:rsidR="00BD5CA6" w:rsidRPr="00A63D04" w:rsidP="00BD5CA6" w14:paraId="01680C4E" w14:textId="487A528E">
            <w:pPr>
              <w:keepNext/>
              <w:jc w:val="center"/>
              <w:rPr>
                <w:iCs/>
                <w:sz w:val="20"/>
                <w:szCs w:val="20"/>
              </w:rPr>
            </w:pPr>
            <w:r w:rsidRPr="00A63D04">
              <w:rPr>
                <w:iCs/>
                <w:sz w:val="20"/>
                <w:szCs w:val="20"/>
              </w:rPr>
              <w:t>$</w:t>
            </w:r>
            <w:r>
              <w:rPr>
                <w:iCs/>
                <w:sz w:val="20"/>
                <w:szCs w:val="20"/>
              </w:rPr>
              <w:t>50.85</w:t>
            </w:r>
          </w:p>
        </w:tc>
        <w:tc>
          <w:tcPr>
            <w:tcW w:w="1171" w:type="dxa"/>
          </w:tcPr>
          <w:p w:rsidR="00BD5CA6" w:rsidRPr="00A63D04" w:rsidP="00BD5CA6" w14:paraId="0FACB819" w14:textId="4D967F39">
            <w:pPr>
              <w:keepNext/>
              <w:tabs>
                <w:tab w:val="decimal" w:pos="828"/>
              </w:tabs>
              <w:rPr>
                <w:iCs/>
                <w:sz w:val="20"/>
                <w:szCs w:val="20"/>
              </w:rPr>
            </w:pPr>
            <w:r w:rsidRPr="00A63D04">
              <w:rPr>
                <w:iCs/>
                <w:sz w:val="20"/>
                <w:szCs w:val="20"/>
              </w:rPr>
              <w:t>$</w:t>
            </w:r>
            <w:r w:rsidR="008A682F">
              <w:rPr>
                <w:iCs/>
                <w:sz w:val="20"/>
                <w:szCs w:val="20"/>
              </w:rPr>
              <w:t>762.75</w:t>
            </w:r>
          </w:p>
        </w:tc>
      </w:tr>
      <w:tr w14:paraId="42B5BF88" w14:textId="77777777" w:rsidTr="00F73C3F">
        <w:tblPrEx>
          <w:tblW w:w="9806" w:type="dxa"/>
          <w:tblLayout w:type="fixed"/>
          <w:tblCellMar>
            <w:left w:w="43" w:type="dxa"/>
            <w:right w:w="43" w:type="dxa"/>
          </w:tblCellMar>
          <w:tblLook w:val="04A0"/>
        </w:tblPrEx>
        <w:tc>
          <w:tcPr>
            <w:tcW w:w="1449" w:type="dxa"/>
          </w:tcPr>
          <w:p w:rsidR="00BD5CA6" w:rsidRPr="00F64B90" w:rsidP="00BD5CA6" w14:paraId="7BEF27F2"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72" w:type="dxa"/>
          </w:tcPr>
          <w:p w:rsidR="00BD5CA6" w:rsidRPr="00F64B90" w:rsidP="00BD5CA6" w14:paraId="20DC71F7" w14:textId="219B86E0">
            <w:pPr>
              <w:keepNext/>
              <w:jc w:val="center"/>
              <w:rPr>
                <w:iCs/>
                <w:sz w:val="20"/>
                <w:szCs w:val="20"/>
              </w:rPr>
            </w:pPr>
            <w:r>
              <w:rPr>
                <w:iCs/>
                <w:sz w:val="20"/>
                <w:szCs w:val="20"/>
              </w:rPr>
              <w:t>6</w:t>
            </w:r>
          </w:p>
        </w:tc>
        <w:tc>
          <w:tcPr>
            <w:tcW w:w="1181" w:type="dxa"/>
          </w:tcPr>
          <w:p w:rsidR="00BD5CA6" w:rsidRPr="00F64B90" w:rsidP="00BD5CA6" w14:paraId="440CDEBB" w14:textId="03962A55">
            <w:pPr>
              <w:keepNext/>
              <w:rPr>
                <w:iCs/>
                <w:sz w:val="20"/>
                <w:szCs w:val="20"/>
              </w:rPr>
            </w:pPr>
            <w:r w:rsidRPr="00F64B90">
              <w:rPr>
                <w:iCs/>
                <w:sz w:val="20"/>
                <w:szCs w:val="20"/>
              </w:rPr>
              <w:t>Grantee PD or Evaluator</w:t>
            </w:r>
          </w:p>
        </w:tc>
        <w:tc>
          <w:tcPr>
            <w:tcW w:w="1181" w:type="dxa"/>
          </w:tcPr>
          <w:p w:rsidR="00BD5CA6" w:rsidRPr="00F64B90" w:rsidP="00BD5CA6" w14:paraId="3CC98925" w14:textId="593A2338">
            <w:pPr>
              <w:keepNext/>
              <w:jc w:val="center"/>
              <w:rPr>
                <w:iCs/>
                <w:sz w:val="20"/>
                <w:szCs w:val="20"/>
              </w:rPr>
            </w:pPr>
            <w:r>
              <w:rPr>
                <w:iCs/>
                <w:sz w:val="20"/>
                <w:szCs w:val="20"/>
              </w:rPr>
              <w:t>5.2</w:t>
            </w:r>
          </w:p>
        </w:tc>
        <w:tc>
          <w:tcPr>
            <w:tcW w:w="999" w:type="dxa"/>
          </w:tcPr>
          <w:p w:rsidR="00BD5CA6" w:rsidRPr="00F64B90" w:rsidP="00BD5CA6" w14:paraId="1A9F28C9" w14:textId="6691F8B1">
            <w:pPr>
              <w:keepNext/>
              <w:jc w:val="center"/>
              <w:rPr>
                <w:iCs/>
                <w:sz w:val="20"/>
                <w:szCs w:val="20"/>
              </w:rPr>
            </w:pPr>
            <w:r>
              <w:rPr>
                <w:iCs/>
                <w:sz w:val="20"/>
                <w:szCs w:val="20"/>
              </w:rPr>
              <w:t>31</w:t>
            </w:r>
          </w:p>
        </w:tc>
        <w:tc>
          <w:tcPr>
            <w:tcW w:w="908" w:type="dxa"/>
          </w:tcPr>
          <w:p w:rsidR="00BD5CA6" w:rsidRPr="0082030C" w:rsidP="00BD5CA6" w14:paraId="66EC606A" w14:textId="413A1F3A">
            <w:pPr>
              <w:keepNext/>
              <w:jc w:val="center"/>
              <w:rPr>
                <w:iCs/>
                <w:sz w:val="20"/>
                <w:szCs w:val="20"/>
              </w:rPr>
            </w:pPr>
            <w:r w:rsidRPr="0082030C">
              <w:rPr>
                <w:iCs/>
                <w:sz w:val="20"/>
                <w:szCs w:val="20"/>
              </w:rPr>
              <w:t>1.25</w:t>
            </w:r>
          </w:p>
        </w:tc>
        <w:tc>
          <w:tcPr>
            <w:tcW w:w="818" w:type="dxa"/>
          </w:tcPr>
          <w:p w:rsidR="00BD5CA6" w:rsidRPr="00A63D04" w:rsidP="00BD5CA6" w14:paraId="153BA198" w14:textId="2AD16F83">
            <w:pPr>
              <w:keepNext/>
              <w:jc w:val="center"/>
              <w:rPr>
                <w:iCs/>
                <w:sz w:val="20"/>
                <w:szCs w:val="20"/>
              </w:rPr>
            </w:pPr>
            <w:r>
              <w:rPr>
                <w:iCs/>
                <w:sz w:val="20"/>
                <w:szCs w:val="20"/>
              </w:rPr>
              <w:t>38</w:t>
            </w:r>
            <w:r>
              <w:rPr>
                <w:iCs/>
                <w:sz w:val="20"/>
                <w:szCs w:val="20"/>
              </w:rPr>
              <w:t>.75</w:t>
            </w:r>
          </w:p>
        </w:tc>
        <w:tc>
          <w:tcPr>
            <w:tcW w:w="827" w:type="dxa"/>
          </w:tcPr>
          <w:p w:rsidR="00BD5CA6" w:rsidRPr="00A63D04" w:rsidP="00BD5CA6" w14:paraId="2BB30AF4" w14:textId="39B81946">
            <w:pPr>
              <w:keepNext/>
              <w:jc w:val="center"/>
              <w:rPr>
                <w:iCs/>
                <w:sz w:val="20"/>
                <w:szCs w:val="20"/>
              </w:rPr>
            </w:pPr>
            <w:r w:rsidRPr="00A63D04">
              <w:rPr>
                <w:iCs/>
                <w:sz w:val="20"/>
                <w:szCs w:val="20"/>
              </w:rPr>
              <w:t>$</w:t>
            </w:r>
            <w:r>
              <w:rPr>
                <w:iCs/>
                <w:sz w:val="20"/>
                <w:szCs w:val="20"/>
              </w:rPr>
              <w:t>50.85</w:t>
            </w:r>
          </w:p>
        </w:tc>
        <w:tc>
          <w:tcPr>
            <w:tcW w:w="1171" w:type="dxa"/>
          </w:tcPr>
          <w:p w:rsidR="00BD5CA6" w:rsidRPr="00A63D04" w:rsidP="00BD5CA6" w14:paraId="0EB7F81A" w14:textId="3FAFB9AD">
            <w:pPr>
              <w:keepNext/>
              <w:tabs>
                <w:tab w:val="decimal" w:pos="828"/>
              </w:tabs>
              <w:jc w:val="center"/>
              <w:rPr>
                <w:iCs/>
                <w:sz w:val="20"/>
                <w:szCs w:val="20"/>
              </w:rPr>
            </w:pPr>
            <w:r>
              <w:rPr>
                <w:iCs/>
                <w:sz w:val="20"/>
                <w:szCs w:val="20"/>
              </w:rPr>
              <w:t>$</w:t>
            </w:r>
            <w:r w:rsidR="008A682F">
              <w:rPr>
                <w:iCs/>
                <w:sz w:val="20"/>
                <w:szCs w:val="20"/>
              </w:rPr>
              <w:t>1,970.44</w:t>
            </w:r>
          </w:p>
        </w:tc>
      </w:tr>
      <w:tr w14:paraId="72FE5A0A" w14:textId="77777777" w:rsidTr="00F73C3F">
        <w:tblPrEx>
          <w:tblW w:w="9806" w:type="dxa"/>
          <w:tblLayout w:type="fixed"/>
          <w:tblCellMar>
            <w:left w:w="43" w:type="dxa"/>
            <w:right w:w="43" w:type="dxa"/>
          </w:tblCellMar>
          <w:tblLook w:val="04A0"/>
        </w:tblPrEx>
        <w:tc>
          <w:tcPr>
            <w:tcW w:w="1449" w:type="dxa"/>
          </w:tcPr>
          <w:p w:rsidR="00BD5CA6" w:rsidRPr="00F64B90" w:rsidP="00BD5CA6" w14:paraId="5181A630" w14:textId="77777777">
            <w:pPr>
              <w:keepNext/>
              <w:rPr>
                <w:iCs/>
                <w:sz w:val="20"/>
                <w:szCs w:val="20"/>
              </w:rPr>
            </w:pPr>
            <w:r w:rsidRPr="00F64B90">
              <w:rPr>
                <w:iCs/>
                <w:sz w:val="20"/>
                <w:szCs w:val="20"/>
              </w:rPr>
              <w:t>Grantee-Level Interview</w:t>
            </w:r>
          </w:p>
        </w:tc>
        <w:tc>
          <w:tcPr>
            <w:tcW w:w="1272" w:type="dxa"/>
          </w:tcPr>
          <w:p w:rsidR="00BD5CA6" w:rsidRPr="00F64B90" w:rsidP="00BD5CA6" w14:paraId="75D15AD9" w14:textId="5372E775">
            <w:pPr>
              <w:keepNext/>
              <w:jc w:val="center"/>
              <w:rPr>
                <w:iCs/>
                <w:sz w:val="20"/>
                <w:szCs w:val="20"/>
              </w:rPr>
            </w:pPr>
            <w:r>
              <w:rPr>
                <w:iCs/>
                <w:sz w:val="20"/>
                <w:szCs w:val="20"/>
              </w:rPr>
              <w:t>6</w:t>
            </w:r>
          </w:p>
        </w:tc>
        <w:tc>
          <w:tcPr>
            <w:tcW w:w="1181" w:type="dxa"/>
          </w:tcPr>
          <w:p w:rsidR="00BD5CA6" w:rsidRPr="00F64B90" w:rsidP="00BD5CA6" w14:paraId="7B9727BF" w14:textId="5C51E81F">
            <w:pPr>
              <w:keepNext/>
              <w:rPr>
                <w:iCs/>
                <w:sz w:val="20"/>
                <w:szCs w:val="20"/>
              </w:rPr>
            </w:pPr>
            <w:r w:rsidRPr="00F64B90">
              <w:rPr>
                <w:iCs/>
                <w:sz w:val="20"/>
                <w:szCs w:val="20"/>
              </w:rPr>
              <w:t>Grantee PD or Evaluator</w:t>
            </w:r>
          </w:p>
        </w:tc>
        <w:tc>
          <w:tcPr>
            <w:tcW w:w="1181" w:type="dxa"/>
          </w:tcPr>
          <w:p w:rsidR="00BD5CA6" w:rsidRPr="00F64B90" w:rsidP="00BD5CA6" w14:paraId="70DCC065" w14:textId="74ACDFB3">
            <w:pPr>
              <w:keepNext/>
              <w:jc w:val="center"/>
              <w:rPr>
                <w:iCs/>
                <w:sz w:val="20"/>
                <w:szCs w:val="20"/>
              </w:rPr>
            </w:pPr>
            <w:r w:rsidRPr="00F64B90">
              <w:rPr>
                <w:iCs/>
                <w:sz w:val="20"/>
                <w:szCs w:val="20"/>
              </w:rPr>
              <w:t>1</w:t>
            </w:r>
          </w:p>
        </w:tc>
        <w:tc>
          <w:tcPr>
            <w:tcW w:w="999" w:type="dxa"/>
          </w:tcPr>
          <w:p w:rsidR="00BD5CA6" w:rsidRPr="00F64B90" w:rsidP="00BD5CA6" w14:paraId="5FCDE630" w14:textId="7A264386">
            <w:pPr>
              <w:keepNext/>
              <w:jc w:val="center"/>
              <w:rPr>
                <w:iCs/>
                <w:sz w:val="20"/>
                <w:szCs w:val="20"/>
              </w:rPr>
            </w:pPr>
            <w:r>
              <w:rPr>
                <w:iCs/>
                <w:sz w:val="20"/>
                <w:szCs w:val="20"/>
              </w:rPr>
              <w:t>6</w:t>
            </w:r>
          </w:p>
        </w:tc>
        <w:tc>
          <w:tcPr>
            <w:tcW w:w="908" w:type="dxa"/>
          </w:tcPr>
          <w:p w:rsidR="00BD5CA6" w:rsidRPr="00A63D04" w:rsidP="00BD5CA6" w14:paraId="7904B73F" w14:textId="35C8B64E">
            <w:pPr>
              <w:keepNext/>
              <w:jc w:val="center"/>
              <w:rPr>
                <w:iCs/>
                <w:sz w:val="20"/>
                <w:szCs w:val="20"/>
              </w:rPr>
            </w:pPr>
            <w:r w:rsidRPr="00750ED7">
              <w:rPr>
                <w:iCs/>
                <w:sz w:val="20"/>
                <w:szCs w:val="20"/>
              </w:rPr>
              <w:t>1.5</w:t>
            </w:r>
          </w:p>
        </w:tc>
        <w:tc>
          <w:tcPr>
            <w:tcW w:w="818" w:type="dxa"/>
          </w:tcPr>
          <w:p w:rsidR="00BD5CA6" w:rsidRPr="00A63D04" w:rsidP="00BD5CA6" w14:paraId="44F6D6BC" w14:textId="28F96B96">
            <w:pPr>
              <w:keepNext/>
              <w:jc w:val="center"/>
              <w:rPr>
                <w:iCs/>
                <w:sz w:val="20"/>
                <w:szCs w:val="20"/>
              </w:rPr>
            </w:pPr>
            <w:r>
              <w:rPr>
                <w:iCs/>
                <w:sz w:val="20"/>
                <w:szCs w:val="20"/>
              </w:rPr>
              <w:t>9</w:t>
            </w:r>
          </w:p>
        </w:tc>
        <w:tc>
          <w:tcPr>
            <w:tcW w:w="827" w:type="dxa"/>
          </w:tcPr>
          <w:p w:rsidR="00BD5CA6" w:rsidRPr="00A63D04" w:rsidP="00BD5CA6" w14:paraId="4C98C509" w14:textId="713D6D26">
            <w:pPr>
              <w:keepNext/>
              <w:jc w:val="center"/>
              <w:rPr>
                <w:iCs/>
                <w:sz w:val="20"/>
                <w:szCs w:val="20"/>
              </w:rPr>
            </w:pPr>
            <w:r w:rsidRPr="00A63D04">
              <w:rPr>
                <w:iCs/>
                <w:sz w:val="20"/>
                <w:szCs w:val="20"/>
              </w:rPr>
              <w:t>$</w:t>
            </w:r>
            <w:r>
              <w:rPr>
                <w:iCs/>
                <w:sz w:val="20"/>
                <w:szCs w:val="20"/>
              </w:rPr>
              <w:t>50.85</w:t>
            </w:r>
          </w:p>
        </w:tc>
        <w:tc>
          <w:tcPr>
            <w:tcW w:w="1171" w:type="dxa"/>
          </w:tcPr>
          <w:p w:rsidR="00BD5CA6" w:rsidRPr="00A63D04" w:rsidP="00BD5CA6" w14:paraId="1BCBC2D6" w14:textId="03A10F5F">
            <w:pPr>
              <w:keepNext/>
              <w:tabs>
                <w:tab w:val="decimal" w:pos="828"/>
              </w:tabs>
              <w:jc w:val="center"/>
              <w:rPr>
                <w:iCs/>
                <w:sz w:val="20"/>
                <w:szCs w:val="20"/>
              </w:rPr>
            </w:pPr>
            <w:r>
              <w:rPr>
                <w:iCs/>
                <w:sz w:val="20"/>
                <w:szCs w:val="20"/>
              </w:rPr>
              <w:t>$</w:t>
            </w:r>
            <w:r w:rsidR="008A682F">
              <w:rPr>
                <w:iCs/>
                <w:sz w:val="20"/>
                <w:szCs w:val="20"/>
              </w:rPr>
              <w:t>457.65</w:t>
            </w:r>
          </w:p>
        </w:tc>
      </w:tr>
      <w:tr w14:paraId="43482935" w14:textId="77777777" w:rsidTr="00F73C3F">
        <w:tblPrEx>
          <w:tblW w:w="9806" w:type="dxa"/>
          <w:tblLayout w:type="fixed"/>
          <w:tblCellMar>
            <w:left w:w="43" w:type="dxa"/>
            <w:right w:w="43" w:type="dxa"/>
          </w:tblCellMar>
          <w:tblLook w:val="04A0"/>
        </w:tblPrEx>
        <w:tc>
          <w:tcPr>
            <w:tcW w:w="1449" w:type="dxa"/>
          </w:tcPr>
          <w:p w:rsidR="00BD5CA6" w:rsidRPr="00F64B90" w:rsidP="00BD5CA6" w14:paraId="22D12AB8" w14:textId="6B70ADE7">
            <w:pPr>
              <w:keepNext/>
              <w:jc w:val="center"/>
              <w:rPr>
                <w:b/>
                <w:iCs/>
                <w:sz w:val="20"/>
                <w:szCs w:val="20"/>
              </w:rPr>
            </w:pPr>
            <w:r w:rsidRPr="00F64B90">
              <w:rPr>
                <w:b/>
                <w:iCs/>
                <w:sz w:val="20"/>
                <w:szCs w:val="20"/>
              </w:rPr>
              <w:t xml:space="preserve">Year </w:t>
            </w:r>
            <w:r w:rsidR="001A5D18">
              <w:rPr>
                <w:b/>
                <w:iCs/>
                <w:sz w:val="20"/>
                <w:szCs w:val="20"/>
              </w:rPr>
              <w:t xml:space="preserve">2 </w:t>
            </w:r>
            <w:r w:rsidRPr="00F64B90">
              <w:rPr>
                <w:b/>
                <w:iCs/>
                <w:sz w:val="20"/>
                <w:szCs w:val="20"/>
              </w:rPr>
              <w:t>Total</w:t>
            </w:r>
          </w:p>
        </w:tc>
        <w:tc>
          <w:tcPr>
            <w:tcW w:w="1272" w:type="dxa"/>
          </w:tcPr>
          <w:p w:rsidR="00BD5CA6" w:rsidRPr="00F64B90" w:rsidP="00BD5CA6" w14:paraId="4D609CB3" w14:textId="54D753A0">
            <w:pPr>
              <w:keepNext/>
              <w:jc w:val="center"/>
              <w:rPr>
                <w:iCs/>
                <w:sz w:val="20"/>
                <w:szCs w:val="20"/>
              </w:rPr>
            </w:pPr>
            <w:r>
              <w:rPr>
                <w:iCs/>
                <w:sz w:val="20"/>
                <w:szCs w:val="20"/>
              </w:rPr>
              <w:t>55</w:t>
            </w:r>
          </w:p>
        </w:tc>
        <w:tc>
          <w:tcPr>
            <w:tcW w:w="1181" w:type="dxa"/>
          </w:tcPr>
          <w:p w:rsidR="00BD5CA6" w:rsidRPr="00F64B90" w:rsidP="00BD5CA6" w14:paraId="0E68604A" w14:textId="77777777">
            <w:pPr>
              <w:keepNext/>
              <w:jc w:val="center"/>
              <w:rPr>
                <w:iCs/>
                <w:sz w:val="20"/>
                <w:szCs w:val="20"/>
              </w:rPr>
            </w:pPr>
          </w:p>
        </w:tc>
        <w:tc>
          <w:tcPr>
            <w:tcW w:w="1181" w:type="dxa"/>
          </w:tcPr>
          <w:p w:rsidR="00BD5CA6" w:rsidRPr="00F64B90" w:rsidP="00BD5CA6" w14:paraId="5542A184" w14:textId="77777777">
            <w:pPr>
              <w:keepNext/>
              <w:jc w:val="center"/>
              <w:rPr>
                <w:iCs/>
                <w:sz w:val="20"/>
                <w:szCs w:val="20"/>
              </w:rPr>
            </w:pPr>
          </w:p>
        </w:tc>
        <w:tc>
          <w:tcPr>
            <w:tcW w:w="999" w:type="dxa"/>
          </w:tcPr>
          <w:p w:rsidR="00BD5CA6" w:rsidRPr="00A63D04" w:rsidP="00BD5CA6" w14:paraId="783B2C5A" w14:textId="746642EE">
            <w:pPr>
              <w:keepNext/>
              <w:jc w:val="center"/>
              <w:rPr>
                <w:iCs/>
                <w:sz w:val="20"/>
                <w:szCs w:val="20"/>
              </w:rPr>
            </w:pPr>
            <w:r>
              <w:rPr>
                <w:iCs/>
                <w:sz w:val="20"/>
                <w:szCs w:val="20"/>
              </w:rPr>
              <w:t>80</w:t>
            </w:r>
          </w:p>
        </w:tc>
        <w:tc>
          <w:tcPr>
            <w:tcW w:w="908" w:type="dxa"/>
          </w:tcPr>
          <w:p w:rsidR="00BD5CA6" w:rsidRPr="00A63D04" w:rsidP="00BD5CA6" w14:paraId="11216C03" w14:textId="77777777">
            <w:pPr>
              <w:keepNext/>
              <w:jc w:val="center"/>
              <w:rPr>
                <w:iCs/>
                <w:sz w:val="20"/>
                <w:szCs w:val="20"/>
              </w:rPr>
            </w:pPr>
          </w:p>
        </w:tc>
        <w:tc>
          <w:tcPr>
            <w:tcW w:w="818" w:type="dxa"/>
          </w:tcPr>
          <w:p w:rsidR="00BD5CA6" w:rsidRPr="00A63D04" w:rsidP="00BD5CA6" w14:paraId="4A39778C" w14:textId="122298FA">
            <w:pPr>
              <w:keepNext/>
              <w:jc w:val="center"/>
              <w:rPr>
                <w:iCs/>
                <w:sz w:val="20"/>
                <w:szCs w:val="20"/>
              </w:rPr>
            </w:pPr>
            <w:r>
              <w:rPr>
                <w:iCs/>
                <w:sz w:val="20"/>
                <w:szCs w:val="20"/>
              </w:rPr>
              <w:t>118</w:t>
            </w:r>
            <w:r>
              <w:rPr>
                <w:iCs/>
                <w:sz w:val="20"/>
                <w:szCs w:val="20"/>
              </w:rPr>
              <w:t>.25</w:t>
            </w:r>
          </w:p>
        </w:tc>
        <w:tc>
          <w:tcPr>
            <w:tcW w:w="827" w:type="dxa"/>
          </w:tcPr>
          <w:p w:rsidR="00BD5CA6" w:rsidRPr="00A63D04" w:rsidP="00BD5CA6" w14:paraId="19AC0224" w14:textId="77777777">
            <w:pPr>
              <w:keepNext/>
              <w:jc w:val="center"/>
              <w:rPr>
                <w:iCs/>
                <w:sz w:val="20"/>
                <w:szCs w:val="20"/>
              </w:rPr>
            </w:pPr>
          </w:p>
        </w:tc>
        <w:tc>
          <w:tcPr>
            <w:tcW w:w="1171" w:type="dxa"/>
          </w:tcPr>
          <w:p w:rsidR="00BD5CA6" w:rsidRPr="00A63D04" w:rsidP="00BD5CA6" w14:paraId="76DACF1B" w14:textId="545373AE">
            <w:pPr>
              <w:keepNext/>
              <w:tabs>
                <w:tab w:val="decimal" w:pos="828"/>
              </w:tabs>
              <w:jc w:val="center"/>
              <w:rPr>
                <w:iCs/>
                <w:sz w:val="20"/>
                <w:szCs w:val="20"/>
              </w:rPr>
            </w:pPr>
            <w:r>
              <w:rPr>
                <w:iCs/>
                <w:sz w:val="20"/>
                <w:szCs w:val="20"/>
              </w:rPr>
              <w:t>$</w:t>
            </w:r>
            <w:r w:rsidR="00716FF3">
              <w:rPr>
                <w:iCs/>
                <w:sz w:val="20"/>
                <w:szCs w:val="20"/>
              </w:rPr>
              <w:t>5,069.53</w:t>
            </w:r>
          </w:p>
        </w:tc>
      </w:tr>
    </w:tbl>
    <w:p w:rsidR="00BF30A1" w:rsidRPr="00BF30A1" w:rsidP="00BF30A1" w14:paraId="6D4588AB" w14:textId="77777777">
      <w:pPr>
        <w:pStyle w:val="ExhibitNote1"/>
        <w:rPr>
          <w:rFonts w:cs="Times New Roman"/>
          <w:b/>
          <w:bCs/>
          <w:i/>
        </w:rPr>
      </w:pPr>
      <w:r w:rsidRPr="00BF30A1">
        <w:rPr>
          <w:rFonts w:cs="Times New Roman"/>
          <w:bCs/>
          <w:i/>
          <w:vertAlign w:val="superscript"/>
        </w:rPr>
        <w:t>a</w:t>
      </w:r>
      <w:r w:rsidRPr="00816C0B">
        <w:rPr>
          <w:rFonts w:cs="Times New Roman"/>
          <w:b/>
          <w:i/>
          <w:vertAlign w:val="superscript"/>
        </w:rPr>
        <w:t xml:space="preserve"> </w:t>
      </w:r>
      <w:r w:rsidRPr="00816C0B">
        <w:rPr>
          <w:rFonts w:cs="Times New Roman"/>
          <w:b/>
          <w:i/>
        </w:rPr>
        <w:t xml:space="preserve">The </w:t>
      </w:r>
      <w:r>
        <w:rPr>
          <w:rFonts w:cs="Times New Roman"/>
          <w:b/>
          <w:i/>
        </w:rPr>
        <w:t>ART</w:t>
      </w:r>
      <w:r w:rsidRPr="00816C0B">
        <w:rPr>
          <w:rFonts w:cs="Times New Roman"/>
          <w:i/>
        </w:rPr>
        <w:t xml:space="preserve"> is used for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BF30A1" w:rsidRPr="00816C0B" w:rsidP="00BF30A1" w14:paraId="1F98F43F" w14:textId="77777777">
      <w:pPr>
        <w:pStyle w:val="ExhibitNote1"/>
        <w:rPr>
          <w:rFonts w:cs="Times New Roman"/>
          <w:i/>
        </w:rPr>
      </w:pPr>
      <w:r w:rsidRPr="00BF30A1">
        <w:rPr>
          <w:rFonts w:cs="Times New Roman"/>
          <w:bCs/>
          <w:i/>
          <w:vertAlign w:val="superscript"/>
        </w:rPr>
        <w:t>b</w:t>
      </w:r>
      <w:r w:rsidRPr="00816C0B">
        <w:rPr>
          <w:rFonts w:cs="Times New Roman"/>
          <w:i/>
          <w:vertAlign w:val="superscript"/>
        </w:rPr>
        <w:t xml:space="preserve"> </w:t>
      </w:r>
      <w:r w:rsidRPr="00E70AC6">
        <w:rPr>
          <w:rFonts w:cs="Times New Roman"/>
          <w:i/>
        </w:rPr>
        <w:t xml:space="preserve">The </w:t>
      </w:r>
      <w:r w:rsidRPr="00BF30A1">
        <w:rPr>
          <w:rFonts w:cs="Times New Roman"/>
          <w:b/>
          <w:bCs/>
          <w:i/>
        </w:rPr>
        <w:t>grantee PD or evaluator</w:t>
      </w:r>
      <w:r w:rsidRPr="00E70AC6">
        <w:rPr>
          <w:rFonts w:cs="Times New Roman"/>
          <w:i/>
        </w:rPr>
        <w:t xml:space="preserve"> </w:t>
      </w:r>
      <w:r w:rsidRPr="00BF30A1">
        <w:rPr>
          <w:rFonts w:cs="Times New Roman"/>
          <w:b/>
          <w:bCs/>
          <w:i/>
        </w:rPr>
        <w:t>hourly wage</w:t>
      </w:r>
      <w:r w:rsidRPr="00E70AC6">
        <w:rPr>
          <w:rFonts w:cs="Times New Roman"/>
          <w:i/>
        </w:rPr>
        <w:t xml:space="preserve"> is based on the mean hourly wage for state government managers as reported in the 2023 Occupational Employment and Wage Statistics report from the Bureau of Labor Statistics available at https://www.bls.gov/oes/current/naics4_999200.htm#11-00000. </w:t>
      </w:r>
    </w:p>
    <w:p w:rsidR="00BF30A1" w:rsidRPr="00816C0B" w:rsidP="00BF30A1" w14:paraId="49DEDAF2" w14:textId="77777777">
      <w:pPr>
        <w:pStyle w:val="ExhibitNote1"/>
        <w:rPr>
          <w:rFonts w:cs="Times New Roman"/>
          <w:i/>
        </w:rPr>
      </w:pPr>
      <w:r w:rsidRPr="00BF30A1">
        <w:rPr>
          <w:rFonts w:cs="Times New Roman"/>
          <w:bCs/>
          <w:i/>
          <w:vertAlign w:val="superscript"/>
        </w:rPr>
        <w:t>c</w:t>
      </w:r>
      <w:r w:rsidRPr="00816C0B">
        <w:rPr>
          <w:rFonts w:cs="Times New Roman"/>
          <w:i/>
          <w:vertAlign w:val="superscript"/>
        </w:rPr>
        <w:t xml:space="preserve"> </w:t>
      </w:r>
      <w:r w:rsidRPr="00BF30A1">
        <w:rPr>
          <w:rFonts w:cs="Times New Roman"/>
          <w:b/>
          <w:bCs/>
          <w:i/>
        </w:rPr>
        <w:t>Subrecipient staff hourly wage</w:t>
      </w:r>
      <w:r w:rsidRPr="00E70AC6">
        <w:rPr>
          <w:rFonts w:cs="Times New Roman"/>
          <w:i/>
        </w:rPr>
        <w:t xml:space="preserve"> is based on the mean hourly wage for local government counselors, social workers, and other community and social service specialists as reported in the same report available at https://www.bls.gov/oes/current/naics4_999300.htm.</w:t>
      </w:r>
    </w:p>
    <w:p w:rsidR="00BF30A1" w:rsidRPr="00816C0B" w:rsidP="00BF30A1" w14:paraId="05824963" w14:textId="77777777">
      <w:pPr>
        <w:pStyle w:val="ExhibitNote1"/>
        <w:rPr>
          <w:rFonts w:cs="Times New Roman"/>
          <w:i/>
        </w:rPr>
      </w:pPr>
      <w:r w:rsidRPr="00BF30A1">
        <w:rPr>
          <w:rFonts w:cs="Times New Roman"/>
          <w:bCs/>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BF30A1" w:rsidRPr="00C37873" w:rsidP="00BF30A1" w14:paraId="72461BC6" w14:textId="77777777">
      <w:pPr>
        <w:pStyle w:val="ExhibitNote1"/>
        <w:rPr>
          <w:rFonts w:cs="Times New Roman"/>
          <w:bCs/>
          <w:i/>
        </w:rPr>
      </w:pPr>
      <w:r w:rsidRPr="00BF30A1">
        <w:rPr>
          <w:rFonts w:cs="Times New Roman"/>
          <w:bCs/>
          <w:i/>
        </w:rPr>
        <w:t>PD</w:t>
      </w:r>
      <w:r>
        <w:rPr>
          <w:rFonts w:cs="Times New Roman"/>
          <w:b/>
          <w:i/>
        </w:rPr>
        <w:t xml:space="preserve"> = </w:t>
      </w:r>
      <w:r>
        <w:rPr>
          <w:rFonts w:cs="Times New Roman"/>
          <w:bCs/>
          <w:i/>
        </w:rPr>
        <w:t>project director.</w:t>
      </w:r>
    </w:p>
    <w:bookmarkEnd w:id="14"/>
    <w:p w:rsidR="00603046" w:rsidRPr="000655BF" w:rsidP="00603046" w14:paraId="290C3298" w14:textId="77777777">
      <w:pPr>
        <w:pStyle w:val="ExhibitNote1"/>
        <w:rPr>
          <w:rFonts w:cs="Times New Roman"/>
          <w:sz w:val="24"/>
          <w:szCs w:val="24"/>
        </w:rPr>
      </w:pPr>
    </w:p>
    <w:p w:rsidR="00CA512F" w:rsidRPr="000655BF" w:rsidP="00CA512F" w14:paraId="360FD3B2" w14:textId="77777777">
      <w:pPr>
        <w:suppressAutoHyphens w:val="0"/>
        <w:rPr>
          <w:b/>
          <w:szCs w:val="24"/>
        </w:rPr>
      </w:pPr>
    </w:p>
    <w:p w:rsidR="00CA512F" w14:paraId="4AD1313A" w14:textId="77777777">
      <w:pPr>
        <w:pStyle w:val="BodyText"/>
        <w:rPr>
          <w:b/>
          <w:sz w:val="24"/>
          <w:szCs w:val="24"/>
        </w:rPr>
      </w:pPr>
    </w:p>
    <w:p w:rsidR="00E2473B" w:rsidP="00F73C3F" w14:paraId="3565C54F" w14:textId="77777777">
      <w:pPr>
        <w:suppressAutoHyphens w:val="0"/>
        <w:rPr>
          <w:b/>
          <w:szCs w:val="24"/>
        </w:rPr>
      </w:pPr>
      <w:r>
        <w:rPr>
          <w:b/>
          <w:szCs w:val="24"/>
        </w:rPr>
        <w:br w:type="page"/>
      </w:r>
    </w:p>
    <w:p w:rsidR="006A776E" w:rsidRPr="000655BF" w:rsidP="006A776E" w14:paraId="5D8FBDB5" w14:textId="14F23386">
      <w:pPr>
        <w:suppressAutoHyphens w:val="0"/>
        <w:rPr>
          <w:b/>
          <w:szCs w:val="24"/>
        </w:rPr>
      </w:pPr>
      <w:r w:rsidRPr="000655BF">
        <w:rPr>
          <w:b/>
          <w:szCs w:val="24"/>
        </w:rPr>
        <w:t xml:space="preserve">Exhibit </w:t>
      </w:r>
      <w:r>
        <w:rPr>
          <w:b/>
          <w:szCs w:val="24"/>
        </w:rPr>
        <w:t>8</w:t>
      </w:r>
      <w:r w:rsidRPr="000655BF">
        <w:rPr>
          <w:b/>
          <w:szCs w:val="24"/>
        </w:rPr>
        <w:t xml:space="preserve">. Estimates of Annual Burden for </w:t>
      </w:r>
      <w:r>
        <w:rPr>
          <w:b/>
          <w:szCs w:val="24"/>
        </w:rPr>
        <w:t xml:space="preserve">Year 3 for </w:t>
      </w:r>
      <w:r w:rsidRPr="000655BF">
        <w:rPr>
          <w:b/>
          <w:szCs w:val="24"/>
        </w:rPr>
        <w:t xml:space="preserve">the </w:t>
      </w:r>
      <w:r>
        <w:rPr>
          <w:b/>
          <w:szCs w:val="24"/>
        </w:rPr>
        <w:t xml:space="preserve">PEPC </w:t>
      </w:r>
      <w:r w:rsidRPr="000655BF">
        <w:rPr>
          <w:b/>
          <w:szCs w:val="24"/>
        </w:rPr>
        <w:t>Data Collection</w:t>
      </w:r>
      <w:r>
        <w:rPr>
          <w:b/>
          <w:szCs w:val="24"/>
        </w:rPr>
        <w:t xml:space="preserve"> (Anticipated FY 2027 Cohort)</w:t>
      </w:r>
      <w:r w:rsidRPr="000655BF">
        <w:rPr>
          <w:b/>
          <w:szCs w:val="24"/>
        </w:rPr>
        <w:t xml:space="preserve"> (N</w:t>
      </w:r>
      <w:r>
        <w:rPr>
          <w:b/>
          <w:szCs w:val="24"/>
        </w:rPr>
        <w:t> </w:t>
      </w:r>
      <w:r w:rsidRPr="000655BF">
        <w:rPr>
          <w:b/>
          <w:szCs w:val="24"/>
        </w:rPr>
        <w:t>=</w:t>
      </w:r>
      <w:r>
        <w:rPr>
          <w:b/>
          <w:szCs w:val="24"/>
        </w:rPr>
        <w:t> 30</w:t>
      </w:r>
      <w:r w:rsidRPr="000655BF">
        <w:rPr>
          <w:b/>
          <w:szCs w:val="24"/>
        </w:rPr>
        <w:t xml:space="preserve"> Grantees; N</w:t>
      </w:r>
      <w:r>
        <w:rPr>
          <w:b/>
          <w:szCs w:val="24"/>
        </w:rPr>
        <w:t> </w:t>
      </w:r>
      <w:r w:rsidRPr="000655BF">
        <w:rPr>
          <w:b/>
          <w:szCs w:val="24"/>
        </w:rPr>
        <w:t>=</w:t>
      </w:r>
      <w:r>
        <w:rPr>
          <w:b/>
          <w:szCs w:val="24"/>
        </w:rPr>
        <w:t> 156</w:t>
      </w:r>
      <w:r w:rsidRPr="000655BF">
        <w:rPr>
          <w:b/>
          <w:szCs w:val="24"/>
        </w:rPr>
        <w:t xml:space="preserve"> Subrecipients)</w:t>
      </w:r>
    </w:p>
    <w:tbl>
      <w:tblPr>
        <w:tblStyle w:val="TableGrid"/>
        <w:tblW w:w="9806" w:type="dxa"/>
        <w:tblLayout w:type="fixed"/>
        <w:tblCellMar>
          <w:left w:w="43" w:type="dxa"/>
          <w:right w:w="43" w:type="dxa"/>
        </w:tblCellMar>
        <w:tblLook w:val="04A0"/>
      </w:tblPr>
      <w:tblGrid>
        <w:gridCol w:w="1449"/>
        <w:gridCol w:w="1272"/>
        <w:gridCol w:w="1181"/>
        <w:gridCol w:w="1181"/>
        <w:gridCol w:w="999"/>
        <w:gridCol w:w="908"/>
        <w:gridCol w:w="818"/>
        <w:gridCol w:w="827"/>
        <w:gridCol w:w="1171"/>
      </w:tblGrid>
      <w:tr w14:paraId="53428F3A" w14:textId="77777777">
        <w:tblPrEx>
          <w:tblW w:w="9806" w:type="dxa"/>
          <w:tblLayout w:type="fixed"/>
          <w:tblCellMar>
            <w:left w:w="43" w:type="dxa"/>
            <w:right w:w="43" w:type="dxa"/>
          </w:tblCellMar>
          <w:tblLook w:val="04A0"/>
        </w:tblPrEx>
        <w:tc>
          <w:tcPr>
            <w:tcW w:w="1449" w:type="dxa"/>
            <w:shd w:val="clear" w:color="auto" w:fill="8DB3E2" w:themeFill="text2" w:themeFillTint="66"/>
          </w:tcPr>
          <w:p w:rsidR="006A776E" w:rsidRPr="00F64B90" w14:paraId="6E6DC07D" w14:textId="77777777">
            <w:pPr>
              <w:keepNext/>
              <w:rPr>
                <w:b/>
                <w:bCs/>
                <w:sz w:val="20"/>
                <w:szCs w:val="20"/>
              </w:rPr>
            </w:pPr>
            <w:r w:rsidRPr="00F64B90">
              <w:rPr>
                <w:b/>
                <w:bCs/>
                <w:sz w:val="20"/>
                <w:szCs w:val="20"/>
              </w:rPr>
              <w:t>Instrument</w:t>
            </w:r>
          </w:p>
        </w:tc>
        <w:tc>
          <w:tcPr>
            <w:tcW w:w="1272" w:type="dxa"/>
            <w:shd w:val="clear" w:color="auto" w:fill="8DB3E2" w:themeFill="text2" w:themeFillTint="66"/>
          </w:tcPr>
          <w:p w:rsidR="006A776E" w:rsidRPr="00F64B90" w14:paraId="037E5F4B" w14:textId="77777777">
            <w:pPr>
              <w:keepNext/>
              <w:rPr>
                <w:b/>
                <w:bCs/>
                <w:sz w:val="20"/>
                <w:szCs w:val="20"/>
              </w:rPr>
            </w:pPr>
            <w:r w:rsidRPr="00F64B90">
              <w:rPr>
                <w:b/>
                <w:bCs/>
                <w:sz w:val="20"/>
                <w:szCs w:val="20"/>
              </w:rPr>
              <w:t>Number of Respondents</w:t>
            </w:r>
          </w:p>
        </w:tc>
        <w:tc>
          <w:tcPr>
            <w:tcW w:w="1181" w:type="dxa"/>
            <w:shd w:val="clear" w:color="auto" w:fill="8DB3E2" w:themeFill="text2" w:themeFillTint="66"/>
          </w:tcPr>
          <w:p w:rsidR="006A776E" w:rsidRPr="00F64B90" w14:paraId="221A78AB" w14:textId="77777777">
            <w:pPr>
              <w:keepNext/>
              <w:rPr>
                <w:b/>
                <w:bCs/>
                <w:sz w:val="20"/>
                <w:szCs w:val="20"/>
              </w:rPr>
            </w:pPr>
            <w:r w:rsidRPr="00F64B90">
              <w:rPr>
                <w:b/>
                <w:bCs/>
                <w:sz w:val="20"/>
                <w:szCs w:val="20"/>
              </w:rPr>
              <w:t>Respondent Type</w:t>
            </w:r>
          </w:p>
        </w:tc>
        <w:tc>
          <w:tcPr>
            <w:tcW w:w="1181" w:type="dxa"/>
            <w:shd w:val="clear" w:color="auto" w:fill="8DB3E2" w:themeFill="text2" w:themeFillTint="66"/>
          </w:tcPr>
          <w:p w:rsidR="006A776E" w:rsidRPr="00F64B90" w14:paraId="6C940957" w14:textId="77777777">
            <w:pPr>
              <w:keepNext/>
              <w:rPr>
                <w:b/>
                <w:bCs/>
                <w:sz w:val="20"/>
                <w:szCs w:val="20"/>
              </w:rPr>
            </w:pPr>
            <w:r w:rsidRPr="00F64B90">
              <w:rPr>
                <w:b/>
                <w:bCs/>
                <w:sz w:val="20"/>
                <w:szCs w:val="20"/>
              </w:rPr>
              <w:t>Responses per Respondent</w:t>
            </w:r>
          </w:p>
        </w:tc>
        <w:tc>
          <w:tcPr>
            <w:tcW w:w="999" w:type="dxa"/>
            <w:shd w:val="clear" w:color="auto" w:fill="8DB3E2" w:themeFill="text2" w:themeFillTint="66"/>
          </w:tcPr>
          <w:p w:rsidR="006A776E" w:rsidRPr="00F64B90" w14:paraId="06374AEA" w14:textId="77777777">
            <w:pPr>
              <w:keepNext/>
              <w:rPr>
                <w:b/>
                <w:bCs/>
                <w:sz w:val="20"/>
                <w:szCs w:val="20"/>
              </w:rPr>
            </w:pPr>
            <w:r w:rsidRPr="00F64B90">
              <w:rPr>
                <w:b/>
                <w:bCs/>
                <w:sz w:val="20"/>
                <w:szCs w:val="20"/>
              </w:rPr>
              <w:t>Total Number of Responses</w:t>
            </w:r>
          </w:p>
        </w:tc>
        <w:tc>
          <w:tcPr>
            <w:tcW w:w="908" w:type="dxa"/>
            <w:shd w:val="clear" w:color="auto" w:fill="8DB3E2" w:themeFill="text2" w:themeFillTint="66"/>
          </w:tcPr>
          <w:p w:rsidR="006A776E" w:rsidRPr="00F64B90" w14:paraId="1241B3AD" w14:textId="77777777">
            <w:pPr>
              <w:keepNext/>
              <w:rPr>
                <w:b/>
                <w:bCs/>
                <w:sz w:val="20"/>
                <w:szCs w:val="20"/>
              </w:rPr>
            </w:pPr>
            <w:r w:rsidRPr="00F64B90">
              <w:rPr>
                <w:b/>
                <w:bCs/>
                <w:sz w:val="20"/>
                <w:szCs w:val="20"/>
              </w:rPr>
              <w:t>Hours per Response</w:t>
            </w:r>
          </w:p>
        </w:tc>
        <w:tc>
          <w:tcPr>
            <w:tcW w:w="818" w:type="dxa"/>
            <w:shd w:val="clear" w:color="auto" w:fill="8DB3E2" w:themeFill="text2" w:themeFillTint="66"/>
          </w:tcPr>
          <w:p w:rsidR="006A776E" w:rsidRPr="00F64B90" w14:paraId="7D969DF4" w14:textId="77777777">
            <w:pPr>
              <w:keepNext/>
              <w:rPr>
                <w:b/>
                <w:bCs/>
                <w:sz w:val="20"/>
                <w:szCs w:val="20"/>
              </w:rPr>
            </w:pPr>
            <w:r w:rsidRPr="00F64B90">
              <w:rPr>
                <w:b/>
                <w:bCs/>
                <w:sz w:val="20"/>
                <w:szCs w:val="20"/>
              </w:rPr>
              <w:t>Total Burden Hours</w:t>
            </w:r>
          </w:p>
        </w:tc>
        <w:tc>
          <w:tcPr>
            <w:tcW w:w="827" w:type="dxa"/>
            <w:shd w:val="clear" w:color="auto" w:fill="8DB3E2" w:themeFill="text2" w:themeFillTint="66"/>
          </w:tcPr>
          <w:p w:rsidR="006A776E" w:rsidRPr="00F64B90" w14:paraId="16369CFE" w14:textId="77777777">
            <w:pPr>
              <w:keepNext/>
              <w:rPr>
                <w:b/>
                <w:bCs/>
                <w:sz w:val="20"/>
                <w:szCs w:val="20"/>
              </w:rPr>
            </w:pPr>
            <w:r w:rsidRPr="00F64B90">
              <w:rPr>
                <w:b/>
                <w:bCs/>
                <w:sz w:val="20"/>
                <w:szCs w:val="20"/>
              </w:rPr>
              <w:t>Average</w:t>
            </w:r>
          </w:p>
          <w:p w:rsidR="006A776E" w:rsidRPr="00F64B90" w14:paraId="48317FC9" w14:textId="77777777">
            <w:pPr>
              <w:keepNext/>
              <w:rPr>
                <w:b/>
                <w:bCs/>
                <w:sz w:val="20"/>
                <w:szCs w:val="20"/>
                <w:vertAlign w:val="superscript"/>
              </w:rPr>
            </w:pPr>
            <w:r w:rsidRPr="00F64B90">
              <w:rPr>
                <w:b/>
                <w:bCs/>
                <w:sz w:val="20"/>
                <w:szCs w:val="20"/>
              </w:rPr>
              <w:t xml:space="preserve">Hourly </w:t>
            </w:r>
            <w:r w:rsidRPr="00F64B90">
              <w:rPr>
                <w:b/>
                <w:bCs/>
                <w:sz w:val="20"/>
                <w:szCs w:val="20"/>
              </w:rPr>
              <w:t>Wage</w:t>
            </w:r>
            <w:r w:rsidRPr="00F64B90">
              <w:rPr>
                <w:b/>
                <w:bCs/>
                <w:sz w:val="20"/>
                <w:szCs w:val="20"/>
                <w:vertAlign w:val="superscript"/>
              </w:rPr>
              <w:t>b</w:t>
            </w:r>
            <w:r>
              <w:rPr>
                <w:b/>
                <w:bCs/>
                <w:sz w:val="20"/>
                <w:szCs w:val="20"/>
                <w:vertAlign w:val="superscript"/>
              </w:rPr>
              <w:t>,</w:t>
            </w:r>
            <w:r w:rsidRPr="00F64B90">
              <w:rPr>
                <w:b/>
                <w:bCs/>
                <w:sz w:val="20"/>
                <w:szCs w:val="20"/>
                <w:vertAlign w:val="superscript"/>
              </w:rPr>
              <w:t xml:space="preserve"> c</w:t>
            </w:r>
          </w:p>
        </w:tc>
        <w:tc>
          <w:tcPr>
            <w:tcW w:w="1171" w:type="dxa"/>
            <w:shd w:val="clear" w:color="auto" w:fill="8DB3E2" w:themeFill="text2" w:themeFillTint="66"/>
          </w:tcPr>
          <w:p w:rsidR="006A776E" w:rsidRPr="00F64B90" w14:paraId="2E000EBF" w14:textId="77777777">
            <w:pPr>
              <w:keepNext/>
              <w:rPr>
                <w:sz w:val="20"/>
                <w:szCs w:val="20"/>
              </w:rPr>
            </w:pPr>
            <w:r w:rsidRPr="00F64B90">
              <w:rPr>
                <w:b/>
                <w:bCs/>
                <w:sz w:val="20"/>
                <w:szCs w:val="20"/>
              </w:rPr>
              <w:t xml:space="preserve">Total </w:t>
            </w:r>
            <w:r w:rsidRPr="00F64B90">
              <w:rPr>
                <w:b/>
                <w:bCs/>
                <w:sz w:val="20"/>
                <w:szCs w:val="20"/>
              </w:rPr>
              <w:t>Cost</w:t>
            </w:r>
            <w:r w:rsidRPr="00F64B90">
              <w:rPr>
                <w:b/>
                <w:bCs/>
                <w:sz w:val="20"/>
                <w:szCs w:val="20"/>
                <w:vertAlign w:val="superscript"/>
              </w:rPr>
              <w:t>d</w:t>
            </w:r>
          </w:p>
        </w:tc>
      </w:tr>
      <w:tr w14:paraId="408C312B" w14:textId="77777777">
        <w:tblPrEx>
          <w:tblW w:w="9806" w:type="dxa"/>
          <w:tblLayout w:type="fixed"/>
          <w:tblCellMar>
            <w:left w:w="43" w:type="dxa"/>
            <w:right w:w="43" w:type="dxa"/>
          </w:tblCellMar>
          <w:tblLook w:val="04A0"/>
        </w:tblPrEx>
        <w:tc>
          <w:tcPr>
            <w:tcW w:w="1449" w:type="dxa"/>
            <w:vMerge w:val="restart"/>
          </w:tcPr>
          <w:p w:rsidR="006A776E" w:rsidRPr="00F64B90" w14:paraId="3B7D75BE" w14:textId="77777777">
            <w:pPr>
              <w:keepNext/>
              <w:rPr>
                <w:iCs/>
                <w:sz w:val="20"/>
                <w:szCs w:val="20"/>
                <w:vertAlign w:val="superscript"/>
              </w:rPr>
            </w:pPr>
            <w:r>
              <w:rPr>
                <w:iCs/>
                <w:sz w:val="20"/>
                <w:szCs w:val="20"/>
              </w:rPr>
              <w:t>ART</w:t>
            </w:r>
            <w:r w:rsidRPr="00F64B90">
              <w:rPr>
                <w:b/>
                <w:iCs/>
                <w:sz w:val="20"/>
                <w:szCs w:val="20"/>
                <w:vertAlign w:val="superscript"/>
              </w:rPr>
              <w:t>a</w:t>
            </w:r>
          </w:p>
          <w:p w:rsidR="006A776E" w:rsidRPr="00F64B90" w14:paraId="571AD369" w14:textId="77777777">
            <w:pPr>
              <w:keepNext/>
              <w:rPr>
                <w:iCs/>
                <w:sz w:val="20"/>
                <w:szCs w:val="20"/>
              </w:rPr>
            </w:pPr>
          </w:p>
        </w:tc>
        <w:tc>
          <w:tcPr>
            <w:tcW w:w="1272" w:type="dxa"/>
          </w:tcPr>
          <w:p w:rsidR="006A776E" w:rsidRPr="00F64B90" w14:paraId="3B2D57BC" w14:textId="3CB6BB69">
            <w:pPr>
              <w:keepNext/>
              <w:jc w:val="center"/>
              <w:rPr>
                <w:iCs/>
                <w:sz w:val="20"/>
                <w:szCs w:val="20"/>
              </w:rPr>
            </w:pPr>
            <w:r>
              <w:rPr>
                <w:iCs/>
                <w:sz w:val="20"/>
                <w:szCs w:val="20"/>
              </w:rPr>
              <w:t>156</w:t>
            </w:r>
          </w:p>
        </w:tc>
        <w:tc>
          <w:tcPr>
            <w:tcW w:w="1181" w:type="dxa"/>
          </w:tcPr>
          <w:p w:rsidR="006A776E" w:rsidRPr="00F64B90" w14:paraId="558B930C" w14:textId="77777777">
            <w:pPr>
              <w:keepNext/>
              <w:rPr>
                <w:iCs/>
                <w:sz w:val="20"/>
                <w:szCs w:val="20"/>
              </w:rPr>
            </w:pPr>
            <w:r w:rsidRPr="00F64B90">
              <w:rPr>
                <w:iCs/>
                <w:sz w:val="20"/>
                <w:szCs w:val="20"/>
              </w:rPr>
              <w:t>Subrecipient Staff</w:t>
            </w:r>
          </w:p>
        </w:tc>
        <w:tc>
          <w:tcPr>
            <w:tcW w:w="1181" w:type="dxa"/>
          </w:tcPr>
          <w:p w:rsidR="006A776E" w:rsidRPr="00F64B90" w14:paraId="669525B3" w14:textId="77777777">
            <w:pPr>
              <w:keepNext/>
              <w:jc w:val="center"/>
              <w:rPr>
                <w:iCs/>
                <w:sz w:val="20"/>
                <w:szCs w:val="20"/>
              </w:rPr>
            </w:pPr>
            <w:r w:rsidRPr="00F64B90">
              <w:rPr>
                <w:iCs/>
                <w:sz w:val="20"/>
                <w:szCs w:val="20"/>
              </w:rPr>
              <w:t>1</w:t>
            </w:r>
          </w:p>
        </w:tc>
        <w:tc>
          <w:tcPr>
            <w:tcW w:w="999" w:type="dxa"/>
          </w:tcPr>
          <w:p w:rsidR="006A776E" w:rsidRPr="00F64B90" w14:paraId="02D424EA" w14:textId="27A298B7">
            <w:pPr>
              <w:keepNext/>
              <w:jc w:val="center"/>
              <w:rPr>
                <w:iCs/>
                <w:sz w:val="20"/>
                <w:szCs w:val="20"/>
              </w:rPr>
            </w:pPr>
            <w:r>
              <w:rPr>
                <w:iCs/>
                <w:sz w:val="20"/>
                <w:szCs w:val="20"/>
              </w:rPr>
              <w:t>156</w:t>
            </w:r>
          </w:p>
        </w:tc>
        <w:tc>
          <w:tcPr>
            <w:tcW w:w="908" w:type="dxa"/>
          </w:tcPr>
          <w:p w:rsidR="006A776E" w:rsidRPr="008E6DE9" w14:paraId="1F98D32A" w14:textId="77777777">
            <w:pPr>
              <w:keepNext/>
              <w:jc w:val="center"/>
              <w:rPr>
                <w:iCs/>
                <w:sz w:val="20"/>
                <w:szCs w:val="20"/>
              </w:rPr>
            </w:pPr>
            <w:r>
              <w:rPr>
                <w:iCs/>
                <w:sz w:val="20"/>
                <w:szCs w:val="20"/>
              </w:rPr>
              <w:t>1.5</w:t>
            </w:r>
          </w:p>
        </w:tc>
        <w:tc>
          <w:tcPr>
            <w:tcW w:w="818" w:type="dxa"/>
          </w:tcPr>
          <w:p w:rsidR="006A776E" w:rsidRPr="008E6DE9" w14:paraId="44E9C7E7" w14:textId="4B13611A">
            <w:pPr>
              <w:keepNext/>
              <w:jc w:val="center"/>
              <w:rPr>
                <w:iCs/>
                <w:sz w:val="20"/>
                <w:szCs w:val="20"/>
              </w:rPr>
            </w:pPr>
            <w:r>
              <w:rPr>
                <w:iCs/>
                <w:sz w:val="20"/>
                <w:szCs w:val="20"/>
              </w:rPr>
              <w:t>234</w:t>
            </w:r>
          </w:p>
        </w:tc>
        <w:tc>
          <w:tcPr>
            <w:tcW w:w="827" w:type="dxa"/>
          </w:tcPr>
          <w:p w:rsidR="006A776E" w:rsidRPr="00853F14" w14:paraId="57A6CAFF" w14:textId="77777777">
            <w:pPr>
              <w:keepNext/>
              <w:jc w:val="center"/>
              <w:rPr>
                <w:iCs/>
                <w:sz w:val="20"/>
                <w:szCs w:val="20"/>
              </w:rPr>
            </w:pPr>
            <w:r w:rsidRPr="00853F14">
              <w:rPr>
                <w:iCs/>
                <w:sz w:val="20"/>
                <w:szCs w:val="20"/>
              </w:rPr>
              <w:t>$</w:t>
            </w:r>
            <w:r>
              <w:rPr>
                <w:iCs/>
                <w:sz w:val="20"/>
                <w:szCs w:val="20"/>
              </w:rPr>
              <w:t>30.56</w:t>
            </w:r>
          </w:p>
        </w:tc>
        <w:tc>
          <w:tcPr>
            <w:tcW w:w="1171" w:type="dxa"/>
          </w:tcPr>
          <w:p w:rsidR="006A776E" w:rsidRPr="00F25D9A" w14:paraId="34C68FEC" w14:textId="277E3AE0">
            <w:pPr>
              <w:keepNext/>
              <w:tabs>
                <w:tab w:val="decimal" w:pos="1007"/>
              </w:tabs>
              <w:ind w:left="-43"/>
              <w:jc w:val="center"/>
              <w:rPr>
                <w:iCs/>
                <w:sz w:val="20"/>
                <w:szCs w:val="20"/>
              </w:rPr>
            </w:pPr>
            <w:r w:rsidRPr="00853F14">
              <w:rPr>
                <w:iCs/>
                <w:sz w:val="20"/>
                <w:szCs w:val="20"/>
              </w:rPr>
              <w:t>$</w:t>
            </w:r>
            <w:r>
              <w:rPr>
                <w:iCs/>
                <w:sz w:val="20"/>
                <w:szCs w:val="20"/>
              </w:rPr>
              <w:t>7,151.04</w:t>
            </w:r>
          </w:p>
        </w:tc>
      </w:tr>
      <w:tr w14:paraId="3878E2AC" w14:textId="77777777">
        <w:tblPrEx>
          <w:tblW w:w="9806" w:type="dxa"/>
          <w:tblLayout w:type="fixed"/>
          <w:tblCellMar>
            <w:left w:w="43" w:type="dxa"/>
            <w:right w:w="43" w:type="dxa"/>
          </w:tblCellMar>
          <w:tblLook w:val="04A0"/>
        </w:tblPrEx>
        <w:tc>
          <w:tcPr>
            <w:tcW w:w="1449" w:type="dxa"/>
            <w:vMerge/>
          </w:tcPr>
          <w:p w:rsidR="006A776E" w:rsidRPr="00F64B90" w14:paraId="5D470FB1" w14:textId="77777777">
            <w:pPr>
              <w:keepNext/>
              <w:rPr>
                <w:iCs/>
                <w:sz w:val="20"/>
                <w:szCs w:val="20"/>
              </w:rPr>
            </w:pPr>
          </w:p>
        </w:tc>
        <w:tc>
          <w:tcPr>
            <w:tcW w:w="1272" w:type="dxa"/>
          </w:tcPr>
          <w:p w:rsidR="006A776E" w:rsidRPr="00F64B90" w14:paraId="0A31E7AC" w14:textId="11B45A6C">
            <w:pPr>
              <w:keepNext/>
              <w:jc w:val="center"/>
              <w:rPr>
                <w:iCs/>
                <w:sz w:val="20"/>
                <w:szCs w:val="20"/>
              </w:rPr>
            </w:pPr>
            <w:r>
              <w:rPr>
                <w:iCs/>
                <w:sz w:val="20"/>
                <w:szCs w:val="20"/>
              </w:rPr>
              <w:t>30</w:t>
            </w:r>
          </w:p>
        </w:tc>
        <w:tc>
          <w:tcPr>
            <w:tcW w:w="1181" w:type="dxa"/>
          </w:tcPr>
          <w:p w:rsidR="006A776E" w:rsidRPr="00F64B90" w14:paraId="37917A51" w14:textId="77777777">
            <w:pPr>
              <w:keepNext/>
              <w:rPr>
                <w:iCs/>
                <w:sz w:val="20"/>
                <w:szCs w:val="20"/>
              </w:rPr>
            </w:pPr>
            <w:r w:rsidRPr="00F64B90">
              <w:rPr>
                <w:iCs/>
                <w:sz w:val="20"/>
                <w:szCs w:val="20"/>
              </w:rPr>
              <w:t>Grantee PD or Evaluator</w:t>
            </w:r>
          </w:p>
        </w:tc>
        <w:tc>
          <w:tcPr>
            <w:tcW w:w="1181" w:type="dxa"/>
          </w:tcPr>
          <w:p w:rsidR="006A776E" w:rsidRPr="00F64B90" w14:paraId="630E3E2E" w14:textId="77777777">
            <w:pPr>
              <w:keepNext/>
              <w:jc w:val="center"/>
              <w:rPr>
                <w:iCs/>
                <w:sz w:val="20"/>
                <w:szCs w:val="20"/>
              </w:rPr>
            </w:pPr>
            <w:r w:rsidRPr="00F64B90">
              <w:rPr>
                <w:iCs/>
                <w:sz w:val="20"/>
                <w:szCs w:val="20"/>
              </w:rPr>
              <w:t>1</w:t>
            </w:r>
          </w:p>
        </w:tc>
        <w:tc>
          <w:tcPr>
            <w:tcW w:w="999" w:type="dxa"/>
          </w:tcPr>
          <w:p w:rsidR="006A776E" w:rsidRPr="00F64B90" w14:paraId="347452DD" w14:textId="572D42E5">
            <w:pPr>
              <w:keepNext/>
              <w:jc w:val="center"/>
              <w:rPr>
                <w:iCs/>
                <w:sz w:val="20"/>
                <w:szCs w:val="20"/>
              </w:rPr>
            </w:pPr>
            <w:r>
              <w:rPr>
                <w:iCs/>
                <w:sz w:val="20"/>
                <w:szCs w:val="20"/>
              </w:rPr>
              <w:t>30</w:t>
            </w:r>
          </w:p>
        </w:tc>
        <w:tc>
          <w:tcPr>
            <w:tcW w:w="908" w:type="dxa"/>
          </w:tcPr>
          <w:p w:rsidR="006A776E" w:rsidRPr="008E6DE9" w14:paraId="6D9BAE31" w14:textId="77777777">
            <w:pPr>
              <w:keepNext/>
              <w:jc w:val="center"/>
              <w:rPr>
                <w:iCs/>
                <w:sz w:val="20"/>
                <w:szCs w:val="20"/>
              </w:rPr>
            </w:pPr>
            <w:r>
              <w:rPr>
                <w:iCs/>
                <w:sz w:val="20"/>
                <w:szCs w:val="20"/>
              </w:rPr>
              <w:t>1.5</w:t>
            </w:r>
          </w:p>
        </w:tc>
        <w:tc>
          <w:tcPr>
            <w:tcW w:w="818" w:type="dxa"/>
          </w:tcPr>
          <w:p w:rsidR="006A776E" w:rsidRPr="008E6DE9" w14:paraId="087679B4" w14:textId="4376559A">
            <w:pPr>
              <w:keepNext/>
              <w:jc w:val="center"/>
              <w:rPr>
                <w:iCs/>
                <w:sz w:val="20"/>
                <w:szCs w:val="20"/>
              </w:rPr>
            </w:pPr>
            <w:r>
              <w:rPr>
                <w:iCs/>
                <w:sz w:val="20"/>
                <w:szCs w:val="20"/>
              </w:rPr>
              <w:t>45</w:t>
            </w:r>
          </w:p>
        </w:tc>
        <w:tc>
          <w:tcPr>
            <w:tcW w:w="827" w:type="dxa"/>
          </w:tcPr>
          <w:p w:rsidR="006A776E" w:rsidRPr="00853F14" w14:paraId="44279115" w14:textId="77777777">
            <w:pPr>
              <w:keepNext/>
              <w:jc w:val="center"/>
              <w:rPr>
                <w:iCs/>
                <w:sz w:val="20"/>
                <w:szCs w:val="20"/>
              </w:rPr>
            </w:pPr>
            <w:r w:rsidRPr="00853F14">
              <w:rPr>
                <w:iCs/>
                <w:sz w:val="20"/>
                <w:szCs w:val="20"/>
              </w:rPr>
              <w:t>$</w:t>
            </w:r>
            <w:r>
              <w:rPr>
                <w:iCs/>
                <w:sz w:val="20"/>
                <w:szCs w:val="20"/>
              </w:rPr>
              <w:t>50.85</w:t>
            </w:r>
          </w:p>
        </w:tc>
        <w:tc>
          <w:tcPr>
            <w:tcW w:w="1171" w:type="dxa"/>
          </w:tcPr>
          <w:p w:rsidR="006A776E" w:rsidRPr="00853F14" w14:paraId="3CF5B04A" w14:textId="7CB57F54">
            <w:pPr>
              <w:keepNext/>
              <w:tabs>
                <w:tab w:val="decimal" w:pos="828"/>
              </w:tabs>
              <w:jc w:val="center"/>
              <w:rPr>
                <w:iCs/>
                <w:sz w:val="20"/>
                <w:szCs w:val="20"/>
              </w:rPr>
            </w:pPr>
            <w:r w:rsidRPr="00853F14">
              <w:rPr>
                <w:iCs/>
                <w:sz w:val="20"/>
                <w:szCs w:val="20"/>
              </w:rPr>
              <w:t>$</w:t>
            </w:r>
            <w:r>
              <w:rPr>
                <w:iCs/>
                <w:sz w:val="20"/>
                <w:szCs w:val="20"/>
              </w:rPr>
              <w:t>2,288.25</w:t>
            </w:r>
          </w:p>
        </w:tc>
      </w:tr>
      <w:tr w14:paraId="6EE26C26" w14:textId="77777777">
        <w:tblPrEx>
          <w:tblW w:w="9806" w:type="dxa"/>
          <w:tblLayout w:type="fixed"/>
          <w:tblCellMar>
            <w:left w:w="43" w:type="dxa"/>
            <w:right w:w="43" w:type="dxa"/>
          </w:tblCellMar>
          <w:tblLook w:val="04A0"/>
        </w:tblPrEx>
        <w:tc>
          <w:tcPr>
            <w:tcW w:w="1449" w:type="dxa"/>
          </w:tcPr>
          <w:p w:rsidR="006A776E" w:rsidRPr="00F64B90" w14:paraId="109CA785" w14:textId="77777777">
            <w:pPr>
              <w:keepNext/>
              <w:tabs>
                <w:tab w:val="decimal" w:pos="640"/>
              </w:tabs>
              <w:rPr>
                <w:iCs/>
                <w:sz w:val="20"/>
                <w:szCs w:val="20"/>
              </w:rPr>
            </w:pPr>
            <w:r w:rsidRPr="00F64B90">
              <w:rPr>
                <w:iCs/>
                <w:sz w:val="20"/>
                <w:szCs w:val="20"/>
              </w:rPr>
              <w:t>Grantee-Level</w:t>
            </w:r>
            <w:r>
              <w:rPr>
                <w:iCs/>
                <w:sz w:val="20"/>
                <w:szCs w:val="20"/>
              </w:rPr>
              <w:t xml:space="preserve"> PDMP</w:t>
            </w:r>
            <w:r w:rsidRPr="00F64B90">
              <w:rPr>
                <w:iCs/>
                <w:sz w:val="20"/>
                <w:szCs w:val="20"/>
              </w:rPr>
              <w:t xml:space="preserve"> Outcomes Module</w:t>
            </w:r>
          </w:p>
        </w:tc>
        <w:tc>
          <w:tcPr>
            <w:tcW w:w="1272" w:type="dxa"/>
          </w:tcPr>
          <w:p w:rsidR="006A776E" w:rsidRPr="00F64B90" w14:paraId="64D35448" w14:textId="096748E4">
            <w:pPr>
              <w:keepNext/>
              <w:tabs>
                <w:tab w:val="decimal" w:pos="0"/>
              </w:tabs>
              <w:jc w:val="center"/>
              <w:rPr>
                <w:iCs/>
                <w:sz w:val="20"/>
                <w:szCs w:val="20"/>
              </w:rPr>
            </w:pPr>
            <w:r>
              <w:rPr>
                <w:iCs/>
                <w:sz w:val="20"/>
                <w:szCs w:val="20"/>
              </w:rPr>
              <w:t>30</w:t>
            </w:r>
          </w:p>
        </w:tc>
        <w:tc>
          <w:tcPr>
            <w:tcW w:w="1181" w:type="dxa"/>
          </w:tcPr>
          <w:p w:rsidR="006A776E" w:rsidRPr="00F64B90" w14:paraId="1A554C7D" w14:textId="77777777">
            <w:pPr>
              <w:keepNext/>
              <w:tabs>
                <w:tab w:val="decimal" w:pos="640"/>
              </w:tabs>
              <w:rPr>
                <w:iCs/>
                <w:sz w:val="20"/>
                <w:szCs w:val="20"/>
              </w:rPr>
            </w:pPr>
            <w:r w:rsidRPr="00F64B90">
              <w:rPr>
                <w:iCs/>
                <w:sz w:val="20"/>
                <w:szCs w:val="20"/>
              </w:rPr>
              <w:t>Grantee PD or Evaluator</w:t>
            </w:r>
          </w:p>
        </w:tc>
        <w:tc>
          <w:tcPr>
            <w:tcW w:w="1181" w:type="dxa"/>
          </w:tcPr>
          <w:p w:rsidR="006A776E" w:rsidRPr="00F64B90" w14:paraId="55641453" w14:textId="77777777">
            <w:pPr>
              <w:keepNext/>
              <w:tabs>
                <w:tab w:val="decimal" w:pos="640"/>
              </w:tabs>
              <w:rPr>
                <w:iCs/>
                <w:sz w:val="20"/>
                <w:szCs w:val="20"/>
              </w:rPr>
            </w:pPr>
            <w:r w:rsidRPr="00F64B90">
              <w:rPr>
                <w:iCs/>
                <w:sz w:val="20"/>
                <w:szCs w:val="20"/>
              </w:rPr>
              <w:t>1</w:t>
            </w:r>
          </w:p>
        </w:tc>
        <w:tc>
          <w:tcPr>
            <w:tcW w:w="999" w:type="dxa"/>
          </w:tcPr>
          <w:p w:rsidR="006A776E" w:rsidRPr="00F64B90" w14:paraId="7B6CA7D7" w14:textId="2C11E23B">
            <w:pPr>
              <w:keepNext/>
              <w:tabs>
                <w:tab w:val="decimal" w:pos="0"/>
              </w:tabs>
              <w:jc w:val="center"/>
              <w:rPr>
                <w:iCs/>
                <w:sz w:val="20"/>
                <w:szCs w:val="20"/>
              </w:rPr>
            </w:pPr>
            <w:r>
              <w:rPr>
                <w:iCs/>
                <w:sz w:val="20"/>
                <w:szCs w:val="20"/>
              </w:rPr>
              <w:t>30</w:t>
            </w:r>
          </w:p>
        </w:tc>
        <w:tc>
          <w:tcPr>
            <w:tcW w:w="908" w:type="dxa"/>
          </w:tcPr>
          <w:p w:rsidR="006A776E" w:rsidRPr="0082030C" w14:paraId="126FCE55" w14:textId="77777777">
            <w:pPr>
              <w:keepNext/>
              <w:jc w:val="center"/>
              <w:rPr>
                <w:iCs/>
                <w:sz w:val="20"/>
                <w:szCs w:val="20"/>
              </w:rPr>
            </w:pPr>
            <w:r w:rsidRPr="0082030C">
              <w:rPr>
                <w:iCs/>
                <w:sz w:val="20"/>
                <w:szCs w:val="20"/>
              </w:rPr>
              <w:t>2.5</w:t>
            </w:r>
          </w:p>
        </w:tc>
        <w:tc>
          <w:tcPr>
            <w:tcW w:w="818" w:type="dxa"/>
          </w:tcPr>
          <w:p w:rsidR="006A776E" w:rsidRPr="00A63D04" w14:paraId="664B43A8" w14:textId="277493E7">
            <w:pPr>
              <w:keepNext/>
              <w:jc w:val="center"/>
              <w:rPr>
                <w:iCs/>
                <w:sz w:val="20"/>
                <w:szCs w:val="20"/>
              </w:rPr>
            </w:pPr>
            <w:r>
              <w:rPr>
                <w:iCs/>
                <w:sz w:val="20"/>
                <w:szCs w:val="20"/>
              </w:rPr>
              <w:t>75</w:t>
            </w:r>
          </w:p>
        </w:tc>
        <w:tc>
          <w:tcPr>
            <w:tcW w:w="827" w:type="dxa"/>
          </w:tcPr>
          <w:p w:rsidR="006A776E" w:rsidRPr="00A63D04" w14:paraId="706F6762" w14:textId="77777777">
            <w:pPr>
              <w:keepNext/>
              <w:jc w:val="center"/>
              <w:rPr>
                <w:iCs/>
                <w:sz w:val="20"/>
                <w:szCs w:val="20"/>
              </w:rPr>
            </w:pPr>
            <w:r w:rsidRPr="00A63D04">
              <w:rPr>
                <w:iCs/>
                <w:sz w:val="20"/>
                <w:szCs w:val="20"/>
              </w:rPr>
              <w:t>$</w:t>
            </w:r>
            <w:r>
              <w:rPr>
                <w:iCs/>
                <w:sz w:val="20"/>
                <w:szCs w:val="20"/>
              </w:rPr>
              <w:t>50.85</w:t>
            </w:r>
          </w:p>
        </w:tc>
        <w:tc>
          <w:tcPr>
            <w:tcW w:w="1171" w:type="dxa"/>
          </w:tcPr>
          <w:p w:rsidR="006A776E" w:rsidRPr="00A63D04" w14:paraId="7CDE1541" w14:textId="4B857C3B">
            <w:pPr>
              <w:keepNext/>
              <w:tabs>
                <w:tab w:val="decimal" w:pos="828"/>
              </w:tabs>
              <w:rPr>
                <w:iCs/>
                <w:sz w:val="20"/>
                <w:szCs w:val="20"/>
              </w:rPr>
            </w:pPr>
            <w:r w:rsidRPr="00A63D04">
              <w:rPr>
                <w:iCs/>
                <w:sz w:val="20"/>
                <w:szCs w:val="20"/>
              </w:rPr>
              <w:t>$</w:t>
            </w:r>
            <w:r>
              <w:rPr>
                <w:iCs/>
                <w:sz w:val="20"/>
                <w:szCs w:val="20"/>
              </w:rPr>
              <w:t>3,813.75</w:t>
            </w:r>
          </w:p>
        </w:tc>
      </w:tr>
      <w:tr w14:paraId="3390D3ED" w14:textId="77777777">
        <w:tblPrEx>
          <w:tblW w:w="9806" w:type="dxa"/>
          <w:tblLayout w:type="fixed"/>
          <w:tblCellMar>
            <w:left w:w="43" w:type="dxa"/>
            <w:right w:w="43" w:type="dxa"/>
          </w:tblCellMar>
          <w:tblLook w:val="04A0"/>
        </w:tblPrEx>
        <w:tc>
          <w:tcPr>
            <w:tcW w:w="1449" w:type="dxa"/>
          </w:tcPr>
          <w:p w:rsidR="006A776E" w:rsidRPr="00F64B90" w14:paraId="7F5BF2A6" w14:textId="77777777">
            <w:pPr>
              <w:keepNext/>
              <w:rPr>
                <w:iCs/>
                <w:sz w:val="20"/>
                <w:szCs w:val="20"/>
              </w:rPr>
            </w:pPr>
            <w:r w:rsidRPr="00F64B90">
              <w:rPr>
                <w:iCs/>
                <w:sz w:val="20"/>
                <w:szCs w:val="20"/>
              </w:rPr>
              <w:t xml:space="preserve">Community-Level </w:t>
            </w:r>
            <w:r>
              <w:rPr>
                <w:iCs/>
                <w:sz w:val="20"/>
                <w:szCs w:val="20"/>
              </w:rPr>
              <w:t xml:space="preserve">PDMP </w:t>
            </w:r>
            <w:r w:rsidRPr="00F64B90">
              <w:rPr>
                <w:iCs/>
                <w:sz w:val="20"/>
                <w:szCs w:val="20"/>
              </w:rPr>
              <w:t>Outcomes Module</w:t>
            </w:r>
          </w:p>
        </w:tc>
        <w:tc>
          <w:tcPr>
            <w:tcW w:w="1272" w:type="dxa"/>
          </w:tcPr>
          <w:p w:rsidR="006A776E" w:rsidRPr="00F64B90" w14:paraId="0578CC76" w14:textId="3046A722">
            <w:pPr>
              <w:keepNext/>
              <w:jc w:val="center"/>
              <w:rPr>
                <w:iCs/>
                <w:sz w:val="20"/>
                <w:szCs w:val="20"/>
              </w:rPr>
            </w:pPr>
            <w:r>
              <w:rPr>
                <w:iCs/>
                <w:sz w:val="20"/>
                <w:szCs w:val="20"/>
              </w:rPr>
              <w:t>30</w:t>
            </w:r>
          </w:p>
        </w:tc>
        <w:tc>
          <w:tcPr>
            <w:tcW w:w="1181" w:type="dxa"/>
          </w:tcPr>
          <w:p w:rsidR="006A776E" w:rsidRPr="00F64B90" w14:paraId="06486B9D" w14:textId="77777777">
            <w:pPr>
              <w:keepNext/>
              <w:rPr>
                <w:iCs/>
                <w:sz w:val="20"/>
                <w:szCs w:val="20"/>
              </w:rPr>
            </w:pPr>
            <w:r w:rsidRPr="00F64B90">
              <w:rPr>
                <w:iCs/>
                <w:sz w:val="20"/>
                <w:szCs w:val="20"/>
              </w:rPr>
              <w:t>Grantee PD or Evaluator</w:t>
            </w:r>
          </w:p>
        </w:tc>
        <w:tc>
          <w:tcPr>
            <w:tcW w:w="1181" w:type="dxa"/>
          </w:tcPr>
          <w:p w:rsidR="006A776E" w:rsidRPr="00F64B90" w14:paraId="235527F9" w14:textId="77777777">
            <w:pPr>
              <w:keepNext/>
              <w:jc w:val="center"/>
              <w:rPr>
                <w:iCs/>
                <w:sz w:val="20"/>
                <w:szCs w:val="20"/>
              </w:rPr>
            </w:pPr>
            <w:r>
              <w:rPr>
                <w:iCs/>
                <w:sz w:val="20"/>
                <w:szCs w:val="20"/>
              </w:rPr>
              <w:t>5.2</w:t>
            </w:r>
          </w:p>
        </w:tc>
        <w:tc>
          <w:tcPr>
            <w:tcW w:w="999" w:type="dxa"/>
          </w:tcPr>
          <w:p w:rsidR="006A776E" w:rsidRPr="00F64B90" w14:paraId="14EB4F4E" w14:textId="0625E4AD">
            <w:pPr>
              <w:keepNext/>
              <w:jc w:val="center"/>
              <w:rPr>
                <w:iCs/>
                <w:sz w:val="20"/>
                <w:szCs w:val="20"/>
              </w:rPr>
            </w:pPr>
            <w:r>
              <w:rPr>
                <w:iCs/>
                <w:sz w:val="20"/>
                <w:szCs w:val="20"/>
              </w:rPr>
              <w:t>156</w:t>
            </w:r>
          </w:p>
        </w:tc>
        <w:tc>
          <w:tcPr>
            <w:tcW w:w="908" w:type="dxa"/>
          </w:tcPr>
          <w:p w:rsidR="006A776E" w:rsidRPr="0082030C" w14:paraId="224E20A1" w14:textId="77777777">
            <w:pPr>
              <w:keepNext/>
              <w:jc w:val="center"/>
              <w:rPr>
                <w:iCs/>
                <w:sz w:val="20"/>
                <w:szCs w:val="20"/>
              </w:rPr>
            </w:pPr>
            <w:r w:rsidRPr="0082030C">
              <w:rPr>
                <w:iCs/>
                <w:sz w:val="20"/>
                <w:szCs w:val="20"/>
              </w:rPr>
              <w:t>1.25</w:t>
            </w:r>
          </w:p>
        </w:tc>
        <w:tc>
          <w:tcPr>
            <w:tcW w:w="818" w:type="dxa"/>
          </w:tcPr>
          <w:p w:rsidR="006A776E" w:rsidRPr="00A63D04" w14:paraId="2A468A4B" w14:textId="4948112C">
            <w:pPr>
              <w:keepNext/>
              <w:jc w:val="center"/>
              <w:rPr>
                <w:iCs/>
                <w:sz w:val="20"/>
                <w:szCs w:val="20"/>
              </w:rPr>
            </w:pPr>
            <w:r>
              <w:rPr>
                <w:iCs/>
                <w:sz w:val="20"/>
                <w:szCs w:val="20"/>
              </w:rPr>
              <w:t>195</w:t>
            </w:r>
          </w:p>
        </w:tc>
        <w:tc>
          <w:tcPr>
            <w:tcW w:w="827" w:type="dxa"/>
          </w:tcPr>
          <w:p w:rsidR="006A776E" w:rsidRPr="00A63D04" w14:paraId="6F3435DC" w14:textId="77777777">
            <w:pPr>
              <w:keepNext/>
              <w:jc w:val="center"/>
              <w:rPr>
                <w:iCs/>
                <w:sz w:val="20"/>
                <w:szCs w:val="20"/>
              </w:rPr>
            </w:pPr>
            <w:r w:rsidRPr="00A63D04">
              <w:rPr>
                <w:iCs/>
                <w:sz w:val="20"/>
                <w:szCs w:val="20"/>
              </w:rPr>
              <w:t>$</w:t>
            </w:r>
            <w:r>
              <w:rPr>
                <w:iCs/>
                <w:sz w:val="20"/>
                <w:szCs w:val="20"/>
              </w:rPr>
              <w:t>50.85</w:t>
            </w:r>
          </w:p>
        </w:tc>
        <w:tc>
          <w:tcPr>
            <w:tcW w:w="1171" w:type="dxa"/>
          </w:tcPr>
          <w:p w:rsidR="006A776E" w:rsidRPr="00A63D04" w14:paraId="4103383A" w14:textId="12DAE1D6">
            <w:pPr>
              <w:keepNext/>
              <w:tabs>
                <w:tab w:val="decimal" w:pos="828"/>
              </w:tabs>
              <w:jc w:val="center"/>
              <w:rPr>
                <w:iCs/>
                <w:sz w:val="20"/>
                <w:szCs w:val="20"/>
              </w:rPr>
            </w:pPr>
            <w:r>
              <w:rPr>
                <w:iCs/>
                <w:sz w:val="20"/>
                <w:szCs w:val="20"/>
              </w:rPr>
              <w:t>$9,915.75</w:t>
            </w:r>
          </w:p>
        </w:tc>
      </w:tr>
      <w:tr w14:paraId="2C49ED33" w14:textId="77777777">
        <w:tblPrEx>
          <w:tblW w:w="9806" w:type="dxa"/>
          <w:tblLayout w:type="fixed"/>
          <w:tblCellMar>
            <w:left w:w="43" w:type="dxa"/>
            <w:right w:w="43" w:type="dxa"/>
          </w:tblCellMar>
          <w:tblLook w:val="04A0"/>
        </w:tblPrEx>
        <w:tc>
          <w:tcPr>
            <w:tcW w:w="1449" w:type="dxa"/>
          </w:tcPr>
          <w:p w:rsidR="006A776E" w:rsidRPr="00F64B90" w14:paraId="561EF02E" w14:textId="77777777">
            <w:pPr>
              <w:keepNext/>
              <w:rPr>
                <w:iCs/>
                <w:sz w:val="20"/>
                <w:szCs w:val="20"/>
              </w:rPr>
            </w:pPr>
            <w:r w:rsidRPr="00F64B90">
              <w:rPr>
                <w:iCs/>
                <w:sz w:val="20"/>
                <w:szCs w:val="20"/>
              </w:rPr>
              <w:t>Grantee-Level Interview</w:t>
            </w:r>
          </w:p>
        </w:tc>
        <w:tc>
          <w:tcPr>
            <w:tcW w:w="1272" w:type="dxa"/>
          </w:tcPr>
          <w:p w:rsidR="006A776E" w:rsidRPr="00F64B90" w14:paraId="7BF100AE" w14:textId="272EF4E1">
            <w:pPr>
              <w:keepNext/>
              <w:jc w:val="center"/>
              <w:rPr>
                <w:iCs/>
                <w:sz w:val="20"/>
                <w:szCs w:val="20"/>
              </w:rPr>
            </w:pPr>
            <w:r>
              <w:rPr>
                <w:iCs/>
                <w:sz w:val="20"/>
                <w:szCs w:val="20"/>
              </w:rPr>
              <w:t>30</w:t>
            </w:r>
          </w:p>
        </w:tc>
        <w:tc>
          <w:tcPr>
            <w:tcW w:w="1181" w:type="dxa"/>
          </w:tcPr>
          <w:p w:rsidR="006A776E" w:rsidRPr="00F64B90" w14:paraId="67B40998" w14:textId="77777777">
            <w:pPr>
              <w:keepNext/>
              <w:rPr>
                <w:iCs/>
                <w:sz w:val="20"/>
                <w:szCs w:val="20"/>
              </w:rPr>
            </w:pPr>
            <w:r w:rsidRPr="00F64B90">
              <w:rPr>
                <w:iCs/>
                <w:sz w:val="20"/>
                <w:szCs w:val="20"/>
              </w:rPr>
              <w:t>Grantee PD or Evaluator</w:t>
            </w:r>
          </w:p>
        </w:tc>
        <w:tc>
          <w:tcPr>
            <w:tcW w:w="1181" w:type="dxa"/>
          </w:tcPr>
          <w:p w:rsidR="006A776E" w:rsidRPr="00F64B90" w14:paraId="00E10C20" w14:textId="77777777">
            <w:pPr>
              <w:keepNext/>
              <w:jc w:val="center"/>
              <w:rPr>
                <w:iCs/>
                <w:sz w:val="20"/>
                <w:szCs w:val="20"/>
              </w:rPr>
            </w:pPr>
            <w:r w:rsidRPr="00F64B90">
              <w:rPr>
                <w:iCs/>
                <w:sz w:val="20"/>
                <w:szCs w:val="20"/>
              </w:rPr>
              <w:t>1</w:t>
            </w:r>
          </w:p>
        </w:tc>
        <w:tc>
          <w:tcPr>
            <w:tcW w:w="999" w:type="dxa"/>
          </w:tcPr>
          <w:p w:rsidR="006A776E" w:rsidRPr="00F64B90" w14:paraId="549ADD6C" w14:textId="15D56BA4">
            <w:pPr>
              <w:keepNext/>
              <w:jc w:val="center"/>
              <w:rPr>
                <w:iCs/>
                <w:sz w:val="20"/>
                <w:szCs w:val="20"/>
              </w:rPr>
            </w:pPr>
            <w:r>
              <w:rPr>
                <w:iCs/>
                <w:sz w:val="20"/>
                <w:szCs w:val="20"/>
              </w:rPr>
              <w:t>30</w:t>
            </w:r>
          </w:p>
        </w:tc>
        <w:tc>
          <w:tcPr>
            <w:tcW w:w="908" w:type="dxa"/>
          </w:tcPr>
          <w:p w:rsidR="006A776E" w:rsidRPr="00A63D04" w14:paraId="542D621C" w14:textId="77777777">
            <w:pPr>
              <w:keepNext/>
              <w:jc w:val="center"/>
              <w:rPr>
                <w:iCs/>
                <w:sz w:val="20"/>
                <w:szCs w:val="20"/>
              </w:rPr>
            </w:pPr>
            <w:r w:rsidRPr="00750ED7">
              <w:rPr>
                <w:iCs/>
                <w:sz w:val="20"/>
                <w:szCs w:val="20"/>
              </w:rPr>
              <w:t>1.5</w:t>
            </w:r>
          </w:p>
        </w:tc>
        <w:tc>
          <w:tcPr>
            <w:tcW w:w="818" w:type="dxa"/>
          </w:tcPr>
          <w:p w:rsidR="006A776E" w:rsidRPr="00A63D04" w14:paraId="6C19A45C" w14:textId="4D13C385">
            <w:pPr>
              <w:keepNext/>
              <w:jc w:val="center"/>
              <w:rPr>
                <w:iCs/>
                <w:sz w:val="20"/>
                <w:szCs w:val="20"/>
              </w:rPr>
            </w:pPr>
            <w:r>
              <w:rPr>
                <w:iCs/>
                <w:sz w:val="20"/>
                <w:szCs w:val="20"/>
              </w:rPr>
              <w:t>45</w:t>
            </w:r>
          </w:p>
        </w:tc>
        <w:tc>
          <w:tcPr>
            <w:tcW w:w="827" w:type="dxa"/>
          </w:tcPr>
          <w:p w:rsidR="006A776E" w:rsidRPr="00A63D04" w14:paraId="2EC3559C" w14:textId="77777777">
            <w:pPr>
              <w:keepNext/>
              <w:jc w:val="center"/>
              <w:rPr>
                <w:iCs/>
                <w:sz w:val="20"/>
                <w:szCs w:val="20"/>
              </w:rPr>
            </w:pPr>
            <w:r w:rsidRPr="00A63D04">
              <w:rPr>
                <w:iCs/>
                <w:sz w:val="20"/>
                <w:szCs w:val="20"/>
              </w:rPr>
              <w:t>$</w:t>
            </w:r>
            <w:r>
              <w:rPr>
                <w:iCs/>
                <w:sz w:val="20"/>
                <w:szCs w:val="20"/>
              </w:rPr>
              <w:t>50.85</w:t>
            </w:r>
          </w:p>
        </w:tc>
        <w:tc>
          <w:tcPr>
            <w:tcW w:w="1171" w:type="dxa"/>
          </w:tcPr>
          <w:p w:rsidR="006A776E" w:rsidRPr="00A63D04" w14:paraId="16B802A3" w14:textId="4E84C045">
            <w:pPr>
              <w:keepNext/>
              <w:tabs>
                <w:tab w:val="decimal" w:pos="828"/>
              </w:tabs>
              <w:jc w:val="center"/>
              <w:rPr>
                <w:iCs/>
                <w:sz w:val="20"/>
                <w:szCs w:val="20"/>
              </w:rPr>
            </w:pPr>
            <w:r>
              <w:rPr>
                <w:iCs/>
                <w:sz w:val="20"/>
                <w:szCs w:val="20"/>
              </w:rPr>
              <w:t>$2,288.25</w:t>
            </w:r>
          </w:p>
        </w:tc>
      </w:tr>
      <w:tr w14:paraId="426D4AD8" w14:textId="77777777">
        <w:tblPrEx>
          <w:tblW w:w="9806" w:type="dxa"/>
          <w:tblLayout w:type="fixed"/>
          <w:tblCellMar>
            <w:left w:w="43" w:type="dxa"/>
            <w:right w:w="43" w:type="dxa"/>
          </w:tblCellMar>
          <w:tblLook w:val="04A0"/>
        </w:tblPrEx>
        <w:tc>
          <w:tcPr>
            <w:tcW w:w="1449" w:type="dxa"/>
          </w:tcPr>
          <w:p w:rsidR="006A776E" w:rsidRPr="00F64B90" w14:paraId="2B1D8A08" w14:textId="5EE55475">
            <w:pPr>
              <w:keepNext/>
              <w:jc w:val="center"/>
              <w:rPr>
                <w:b/>
                <w:iCs/>
                <w:sz w:val="20"/>
                <w:szCs w:val="20"/>
              </w:rPr>
            </w:pPr>
            <w:r w:rsidRPr="00F64B90">
              <w:rPr>
                <w:b/>
                <w:iCs/>
                <w:sz w:val="20"/>
                <w:szCs w:val="20"/>
              </w:rPr>
              <w:t xml:space="preserve">Year </w:t>
            </w:r>
            <w:r>
              <w:rPr>
                <w:b/>
                <w:iCs/>
                <w:sz w:val="20"/>
                <w:szCs w:val="20"/>
              </w:rPr>
              <w:t xml:space="preserve">3 </w:t>
            </w:r>
            <w:r w:rsidRPr="00F64B90">
              <w:rPr>
                <w:b/>
                <w:iCs/>
                <w:sz w:val="20"/>
                <w:szCs w:val="20"/>
              </w:rPr>
              <w:t>Total</w:t>
            </w:r>
          </w:p>
        </w:tc>
        <w:tc>
          <w:tcPr>
            <w:tcW w:w="1272" w:type="dxa"/>
          </w:tcPr>
          <w:p w:rsidR="006A776E" w:rsidRPr="00F64B90" w14:paraId="274519D8" w14:textId="6C4F386D">
            <w:pPr>
              <w:keepNext/>
              <w:jc w:val="center"/>
              <w:rPr>
                <w:iCs/>
                <w:sz w:val="20"/>
                <w:szCs w:val="20"/>
              </w:rPr>
            </w:pPr>
            <w:r>
              <w:rPr>
                <w:iCs/>
                <w:sz w:val="20"/>
                <w:szCs w:val="20"/>
              </w:rPr>
              <w:t>186</w:t>
            </w:r>
          </w:p>
        </w:tc>
        <w:tc>
          <w:tcPr>
            <w:tcW w:w="1181" w:type="dxa"/>
          </w:tcPr>
          <w:p w:rsidR="006A776E" w:rsidRPr="00F64B90" w14:paraId="20FD2B25" w14:textId="77777777">
            <w:pPr>
              <w:keepNext/>
              <w:jc w:val="center"/>
              <w:rPr>
                <w:iCs/>
                <w:sz w:val="20"/>
                <w:szCs w:val="20"/>
              </w:rPr>
            </w:pPr>
          </w:p>
        </w:tc>
        <w:tc>
          <w:tcPr>
            <w:tcW w:w="1181" w:type="dxa"/>
          </w:tcPr>
          <w:p w:rsidR="006A776E" w:rsidRPr="00F64B90" w14:paraId="2B6CDC58" w14:textId="77777777">
            <w:pPr>
              <w:keepNext/>
              <w:jc w:val="center"/>
              <w:rPr>
                <w:iCs/>
                <w:sz w:val="20"/>
                <w:szCs w:val="20"/>
              </w:rPr>
            </w:pPr>
          </w:p>
        </w:tc>
        <w:tc>
          <w:tcPr>
            <w:tcW w:w="999" w:type="dxa"/>
          </w:tcPr>
          <w:p w:rsidR="006A776E" w:rsidRPr="00A63D04" w14:paraId="0A4DF4C3" w14:textId="47B9634C">
            <w:pPr>
              <w:keepNext/>
              <w:jc w:val="center"/>
              <w:rPr>
                <w:iCs/>
                <w:sz w:val="20"/>
                <w:szCs w:val="20"/>
              </w:rPr>
            </w:pPr>
            <w:r>
              <w:rPr>
                <w:iCs/>
                <w:sz w:val="20"/>
                <w:szCs w:val="20"/>
              </w:rPr>
              <w:t>402</w:t>
            </w:r>
          </w:p>
        </w:tc>
        <w:tc>
          <w:tcPr>
            <w:tcW w:w="908" w:type="dxa"/>
          </w:tcPr>
          <w:p w:rsidR="006A776E" w:rsidRPr="00A63D04" w14:paraId="6BB399AE" w14:textId="77777777">
            <w:pPr>
              <w:keepNext/>
              <w:jc w:val="center"/>
              <w:rPr>
                <w:iCs/>
                <w:sz w:val="20"/>
                <w:szCs w:val="20"/>
              </w:rPr>
            </w:pPr>
          </w:p>
        </w:tc>
        <w:tc>
          <w:tcPr>
            <w:tcW w:w="818" w:type="dxa"/>
          </w:tcPr>
          <w:p w:rsidR="006A776E" w:rsidRPr="00A63D04" w14:paraId="641B94EE" w14:textId="282EFB67">
            <w:pPr>
              <w:keepNext/>
              <w:jc w:val="center"/>
              <w:rPr>
                <w:iCs/>
                <w:sz w:val="20"/>
                <w:szCs w:val="20"/>
              </w:rPr>
            </w:pPr>
            <w:r>
              <w:rPr>
                <w:iCs/>
                <w:sz w:val="20"/>
                <w:szCs w:val="20"/>
              </w:rPr>
              <w:t>594</w:t>
            </w:r>
          </w:p>
        </w:tc>
        <w:tc>
          <w:tcPr>
            <w:tcW w:w="827" w:type="dxa"/>
          </w:tcPr>
          <w:p w:rsidR="006A776E" w:rsidRPr="00A63D04" w14:paraId="112D5DE2" w14:textId="77777777">
            <w:pPr>
              <w:keepNext/>
              <w:jc w:val="center"/>
              <w:rPr>
                <w:iCs/>
                <w:sz w:val="20"/>
                <w:szCs w:val="20"/>
              </w:rPr>
            </w:pPr>
          </w:p>
        </w:tc>
        <w:tc>
          <w:tcPr>
            <w:tcW w:w="1171" w:type="dxa"/>
          </w:tcPr>
          <w:p w:rsidR="006A776E" w:rsidRPr="00A63D04" w14:paraId="14775E67" w14:textId="6BEC192A">
            <w:pPr>
              <w:keepNext/>
              <w:tabs>
                <w:tab w:val="decimal" w:pos="828"/>
              </w:tabs>
              <w:jc w:val="center"/>
              <w:rPr>
                <w:iCs/>
                <w:sz w:val="20"/>
                <w:szCs w:val="20"/>
              </w:rPr>
            </w:pPr>
            <w:r>
              <w:rPr>
                <w:iCs/>
                <w:sz w:val="20"/>
                <w:szCs w:val="20"/>
              </w:rPr>
              <w:t>$25,457.04</w:t>
            </w:r>
          </w:p>
        </w:tc>
      </w:tr>
    </w:tbl>
    <w:p w:rsidR="006A776E" w:rsidRPr="00BF30A1" w:rsidP="006A776E" w14:paraId="75DD077F" w14:textId="77777777">
      <w:pPr>
        <w:pStyle w:val="ExhibitNote1"/>
        <w:rPr>
          <w:rFonts w:cs="Times New Roman"/>
          <w:b/>
          <w:bCs/>
          <w:i/>
        </w:rPr>
      </w:pPr>
      <w:r w:rsidRPr="00BF30A1">
        <w:rPr>
          <w:rFonts w:cs="Times New Roman"/>
          <w:bCs/>
          <w:i/>
          <w:vertAlign w:val="superscript"/>
        </w:rPr>
        <w:t>a</w:t>
      </w:r>
      <w:r w:rsidRPr="00816C0B">
        <w:rPr>
          <w:rFonts w:cs="Times New Roman"/>
          <w:b/>
          <w:i/>
          <w:vertAlign w:val="superscript"/>
        </w:rPr>
        <w:t xml:space="preserve"> </w:t>
      </w:r>
      <w:r w:rsidRPr="00816C0B">
        <w:rPr>
          <w:rFonts w:cs="Times New Roman"/>
          <w:b/>
          <w:i/>
        </w:rPr>
        <w:t xml:space="preserve">The </w:t>
      </w:r>
      <w:r>
        <w:rPr>
          <w:rFonts w:cs="Times New Roman"/>
          <w:b/>
          <w:i/>
        </w:rPr>
        <w:t>ART</w:t>
      </w:r>
      <w:r w:rsidRPr="00816C0B">
        <w:rPr>
          <w:rFonts w:cs="Times New Roman"/>
          <w:i/>
        </w:rPr>
        <w:t xml:space="preserve"> is used for subrecipient and grantee-level reporting. Grantees report </w:t>
      </w:r>
      <w:r>
        <w:rPr>
          <w:rFonts w:cs="Times New Roman"/>
          <w:i/>
        </w:rPr>
        <w:t>ART</w:t>
      </w:r>
      <w:r w:rsidRPr="00816C0B">
        <w:rPr>
          <w:rFonts w:cs="Times New Roman"/>
          <w:i/>
        </w:rPr>
        <w:t xml:space="preserve"> data at the state or tribal grante</w:t>
      </w:r>
      <w:r>
        <w:rPr>
          <w:rFonts w:cs="Times New Roman"/>
          <w:i/>
        </w:rPr>
        <w:t xml:space="preserve">e </w:t>
      </w:r>
      <w:r w:rsidRPr="00816C0B">
        <w:rPr>
          <w:rFonts w:cs="Times New Roman"/>
          <w:i/>
        </w:rPr>
        <w:t xml:space="preserve">level, and subrecipients report the </w:t>
      </w:r>
      <w:r>
        <w:rPr>
          <w:rFonts w:cs="Times New Roman"/>
          <w:i/>
        </w:rPr>
        <w:t>ART</w:t>
      </w:r>
      <w:r w:rsidRPr="00816C0B">
        <w:rPr>
          <w:rFonts w:cs="Times New Roman"/>
          <w:i/>
        </w:rPr>
        <w:t xml:space="preserve"> at the community</w:t>
      </w:r>
      <w:r>
        <w:rPr>
          <w:rFonts w:cs="Times New Roman"/>
          <w:i/>
        </w:rPr>
        <w:t xml:space="preserve"> </w:t>
      </w:r>
      <w:r w:rsidRPr="00816C0B">
        <w:rPr>
          <w:rFonts w:cs="Times New Roman"/>
          <w:i/>
        </w:rPr>
        <w:t xml:space="preserve">level. </w:t>
      </w:r>
      <w:r>
        <w:rPr>
          <w:rFonts w:cs="Times New Roman"/>
          <w:i/>
        </w:rPr>
        <w:t>Grantees complete a</w:t>
      </w:r>
      <w:r w:rsidRPr="00816C0B">
        <w:rPr>
          <w:rFonts w:cs="Times New Roman"/>
          <w:i/>
        </w:rPr>
        <w:t>ll other instruments.</w:t>
      </w:r>
    </w:p>
    <w:p w:rsidR="006A776E" w:rsidRPr="00816C0B" w:rsidP="006A776E" w14:paraId="3B759AD5" w14:textId="77777777">
      <w:pPr>
        <w:pStyle w:val="ExhibitNote1"/>
        <w:rPr>
          <w:rFonts w:cs="Times New Roman"/>
          <w:i/>
        </w:rPr>
      </w:pPr>
      <w:r w:rsidRPr="00BF30A1">
        <w:rPr>
          <w:rFonts w:cs="Times New Roman"/>
          <w:bCs/>
          <w:i/>
          <w:vertAlign w:val="superscript"/>
        </w:rPr>
        <w:t>b</w:t>
      </w:r>
      <w:r w:rsidRPr="00816C0B">
        <w:rPr>
          <w:rFonts w:cs="Times New Roman"/>
          <w:i/>
          <w:vertAlign w:val="superscript"/>
        </w:rPr>
        <w:t xml:space="preserve"> </w:t>
      </w:r>
      <w:r w:rsidRPr="00E70AC6">
        <w:rPr>
          <w:rFonts w:cs="Times New Roman"/>
          <w:i/>
        </w:rPr>
        <w:t xml:space="preserve">The </w:t>
      </w:r>
      <w:r w:rsidRPr="00BF30A1">
        <w:rPr>
          <w:rFonts w:cs="Times New Roman"/>
          <w:b/>
          <w:bCs/>
          <w:i/>
        </w:rPr>
        <w:t>grantee PD or evaluator</w:t>
      </w:r>
      <w:r w:rsidRPr="00E70AC6">
        <w:rPr>
          <w:rFonts w:cs="Times New Roman"/>
          <w:i/>
        </w:rPr>
        <w:t xml:space="preserve"> </w:t>
      </w:r>
      <w:r w:rsidRPr="00BF30A1">
        <w:rPr>
          <w:rFonts w:cs="Times New Roman"/>
          <w:b/>
          <w:bCs/>
          <w:i/>
        </w:rPr>
        <w:t>hourly wage</w:t>
      </w:r>
      <w:r w:rsidRPr="00E70AC6">
        <w:rPr>
          <w:rFonts w:cs="Times New Roman"/>
          <w:i/>
        </w:rPr>
        <w:t xml:space="preserve"> is based on the mean hourly wage for state government managers as reported in the 2023 Occupational Employment and Wage Statistics report from the Bureau of Labor Statistics available at https://www.bls.gov/oes/current/naics4_999200.htm#11-00000. </w:t>
      </w:r>
    </w:p>
    <w:p w:rsidR="006A776E" w:rsidRPr="00816C0B" w:rsidP="006A776E" w14:paraId="29C1B56C" w14:textId="77777777">
      <w:pPr>
        <w:pStyle w:val="ExhibitNote1"/>
        <w:rPr>
          <w:rFonts w:cs="Times New Roman"/>
          <w:i/>
        </w:rPr>
      </w:pPr>
      <w:r w:rsidRPr="00BF30A1">
        <w:rPr>
          <w:rFonts w:cs="Times New Roman"/>
          <w:bCs/>
          <w:i/>
          <w:vertAlign w:val="superscript"/>
        </w:rPr>
        <w:t>c</w:t>
      </w:r>
      <w:r w:rsidRPr="00816C0B">
        <w:rPr>
          <w:rFonts w:cs="Times New Roman"/>
          <w:i/>
          <w:vertAlign w:val="superscript"/>
        </w:rPr>
        <w:t xml:space="preserve"> </w:t>
      </w:r>
      <w:r w:rsidRPr="00BF30A1">
        <w:rPr>
          <w:rFonts w:cs="Times New Roman"/>
          <w:b/>
          <w:bCs/>
          <w:i/>
        </w:rPr>
        <w:t>Subrecipient staff hourly wage</w:t>
      </w:r>
      <w:r w:rsidRPr="00E70AC6">
        <w:rPr>
          <w:rFonts w:cs="Times New Roman"/>
          <w:i/>
        </w:rPr>
        <w:t xml:space="preserve"> is based on the mean hourly wage for local government counselors, social workers, and other community and social service specialists as reported in the same report available at https://www.bls.gov/oes/current/naics4_999300.htm.</w:t>
      </w:r>
    </w:p>
    <w:p w:rsidR="006A776E" w:rsidRPr="00816C0B" w:rsidP="006A776E" w14:paraId="0759B420" w14:textId="77777777">
      <w:pPr>
        <w:pStyle w:val="ExhibitNote1"/>
        <w:rPr>
          <w:rFonts w:cs="Times New Roman"/>
          <w:i/>
        </w:rPr>
      </w:pPr>
      <w:r w:rsidRPr="00BF30A1">
        <w:rPr>
          <w:rFonts w:cs="Times New Roman"/>
          <w:bCs/>
          <w:i/>
          <w:vertAlign w:val="superscript"/>
        </w:rPr>
        <w:t>d</w:t>
      </w:r>
      <w:r w:rsidRPr="00816C0B">
        <w:rPr>
          <w:rFonts w:cs="Times New Roman"/>
          <w:i/>
        </w:rPr>
        <w:t xml:space="preserve"> </w:t>
      </w:r>
      <w:r w:rsidRPr="00816C0B">
        <w:rPr>
          <w:rFonts w:cs="Times New Roman"/>
          <w:b/>
          <w:bCs/>
          <w:i/>
        </w:rPr>
        <w:t>Total respondent cost</w:t>
      </w:r>
      <w:r w:rsidRPr="00816C0B">
        <w:rPr>
          <w:rFonts w:cs="Times New Roman"/>
          <w:i/>
        </w:rPr>
        <w:t xml:space="preserve"> is calculated as total burden hours × average hourly wage.</w:t>
      </w:r>
    </w:p>
    <w:p w:rsidR="006A776E" w:rsidRPr="00C37873" w:rsidP="006A776E" w14:paraId="175FD278" w14:textId="77777777">
      <w:pPr>
        <w:pStyle w:val="ExhibitNote1"/>
        <w:rPr>
          <w:rFonts w:cs="Times New Roman"/>
          <w:bCs/>
          <w:i/>
        </w:rPr>
      </w:pPr>
      <w:r w:rsidRPr="00BF30A1">
        <w:rPr>
          <w:rFonts w:cs="Times New Roman"/>
          <w:bCs/>
          <w:i/>
        </w:rPr>
        <w:t>PD</w:t>
      </w:r>
      <w:r>
        <w:rPr>
          <w:rFonts w:cs="Times New Roman"/>
          <w:b/>
          <w:i/>
        </w:rPr>
        <w:t xml:space="preserve"> = </w:t>
      </w:r>
      <w:r>
        <w:rPr>
          <w:rFonts w:cs="Times New Roman"/>
          <w:bCs/>
          <w:i/>
        </w:rPr>
        <w:t>project director.</w:t>
      </w:r>
    </w:p>
    <w:p w:rsidR="006A776E" w14:paraId="5CD45981" w14:textId="77777777">
      <w:pPr>
        <w:suppressAutoHyphens w:val="0"/>
        <w:rPr>
          <w:b/>
          <w:szCs w:val="24"/>
        </w:rPr>
      </w:pPr>
      <w:r>
        <w:rPr>
          <w:b/>
          <w:szCs w:val="24"/>
        </w:rPr>
        <w:br w:type="page"/>
      </w:r>
    </w:p>
    <w:p w:rsidR="00A10C9D" w:rsidRPr="000655BF" w:rsidP="00F73C3F" w14:paraId="2D5E4018" w14:textId="2497984A">
      <w:pPr>
        <w:suppressAutoHyphens w:val="0"/>
        <w:rPr>
          <w:b/>
          <w:szCs w:val="24"/>
        </w:rPr>
      </w:pPr>
      <w:bookmarkStart w:id="15" w:name="_Hlk205983795"/>
      <w:r w:rsidRPr="000655BF">
        <w:rPr>
          <w:b/>
          <w:szCs w:val="24"/>
        </w:rPr>
        <w:t xml:space="preserve">Exhibit </w:t>
      </w:r>
      <w:r w:rsidR="006A776E">
        <w:rPr>
          <w:b/>
          <w:szCs w:val="24"/>
        </w:rPr>
        <w:t>9</w:t>
      </w:r>
      <w:r w:rsidRPr="000655BF" w:rsidR="00CB3A67">
        <w:rPr>
          <w:b/>
          <w:szCs w:val="24"/>
        </w:rPr>
        <w:t>.</w:t>
      </w:r>
      <w:r w:rsidRPr="000655BF" w:rsidR="009340DD">
        <w:rPr>
          <w:b/>
          <w:szCs w:val="24"/>
        </w:rPr>
        <w:t xml:space="preserve"> </w:t>
      </w:r>
      <w:r w:rsidR="009F5D4C">
        <w:rPr>
          <w:b/>
          <w:szCs w:val="24"/>
        </w:rPr>
        <w:t>Average Annualized</w:t>
      </w:r>
      <w:r w:rsidRPr="000655BF" w:rsidR="009F5D4C">
        <w:rPr>
          <w:b/>
          <w:szCs w:val="24"/>
        </w:rPr>
        <w:t xml:space="preserve"> </w:t>
      </w:r>
      <w:r w:rsidRPr="000655BF" w:rsidR="009340DD">
        <w:rPr>
          <w:b/>
          <w:szCs w:val="24"/>
        </w:rPr>
        <w:t xml:space="preserve">Burden for </w:t>
      </w:r>
      <w:r w:rsidR="00E41A13">
        <w:rPr>
          <w:b/>
          <w:szCs w:val="24"/>
        </w:rPr>
        <w:t>PEPC</w:t>
      </w:r>
      <w:r w:rsidRPr="00CA512F" w:rsidR="00CA512F">
        <w:rPr>
          <w:b/>
          <w:szCs w:val="24"/>
        </w:rPr>
        <w:t xml:space="preserve"> </w:t>
      </w:r>
      <w:r w:rsidR="00B311FE">
        <w:rPr>
          <w:b/>
          <w:szCs w:val="24"/>
        </w:rPr>
        <w:t xml:space="preserve">Data </w:t>
      </w:r>
      <w:r w:rsidR="00B311FE">
        <w:rPr>
          <w:b/>
          <w:szCs w:val="24"/>
        </w:rPr>
        <w:t>Collection</w:t>
      </w:r>
      <w:r w:rsidRPr="00F73C3F" w:rsidR="00B311FE">
        <w:rPr>
          <w:b/>
          <w:szCs w:val="24"/>
          <w:vertAlign w:val="superscript"/>
        </w:rPr>
        <w:t>a</w:t>
      </w:r>
    </w:p>
    <w:tbl>
      <w:tblPr>
        <w:tblStyle w:val="TableGrid"/>
        <w:tblW w:w="9806" w:type="dxa"/>
        <w:tblLayout w:type="fixed"/>
        <w:tblCellMar>
          <w:left w:w="43" w:type="dxa"/>
          <w:right w:w="43" w:type="dxa"/>
        </w:tblCellMar>
        <w:tblLook w:val="04A0"/>
      </w:tblPr>
      <w:tblGrid>
        <w:gridCol w:w="1165"/>
        <w:gridCol w:w="1260"/>
        <w:gridCol w:w="1170"/>
        <w:gridCol w:w="1170"/>
        <w:gridCol w:w="990"/>
        <w:gridCol w:w="900"/>
        <w:gridCol w:w="990"/>
        <w:gridCol w:w="990"/>
        <w:gridCol w:w="1171"/>
      </w:tblGrid>
      <w:tr w14:paraId="36838A4C" w14:textId="301BFB56" w:rsidTr="00F73C3F">
        <w:tblPrEx>
          <w:tblW w:w="9806" w:type="dxa"/>
          <w:tblLayout w:type="fixed"/>
          <w:tblCellMar>
            <w:left w:w="43" w:type="dxa"/>
            <w:right w:w="43" w:type="dxa"/>
          </w:tblCellMar>
          <w:tblLook w:val="04A0"/>
        </w:tblPrEx>
        <w:trPr>
          <w:trHeight w:val="619"/>
        </w:trPr>
        <w:tc>
          <w:tcPr>
            <w:tcW w:w="1165" w:type="dxa"/>
            <w:shd w:val="clear" w:color="auto" w:fill="8DB3E2" w:themeFill="text2" w:themeFillTint="66"/>
          </w:tcPr>
          <w:p w:rsidR="00734BF4" w:rsidRPr="00F27C16" w:rsidP="003D558B" w14:paraId="13CDB2A3" w14:textId="77777777">
            <w:pPr>
              <w:keepNext/>
              <w:rPr>
                <w:b/>
                <w:bCs/>
                <w:sz w:val="20"/>
                <w:szCs w:val="20"/>
              </w:rPr>
            </w:pPr>
            <w:r w:rsidRPr="00F27C16">
              <w:rPr>
                <w:b/>
                <w:bCs/>
                <w:sz w:val="20"/>
                <w:szCs w:val="20"/>
              </w:rPr>
              <w:t>Instrument</w:t>
            </w:r>
          </w:p>
        </w:tc>
        <w:tc>
          <w:tcPr>
            <w:tcW w:w="1260" w:type="dxa"/>
            <w:shd w:val="clear" w:color="auto" w:fill="8DB3E2" w:themeFill="text2" w:themeFillTint="66"/>
          </w:tcPr>
          <w:p w:rsidR="00734BF4" w:rsidRPr="00F27C16" w:rsidP="003D558B" w14:paraId="3480B448" w14:textId="0265C334">
            <w:pPr>
              <w:keepNext/>
              <w:rPr>
                <w:b/>
                <w:bCs/>
                <w:sz w:val="20"/>
                <w:szCs w:val="20"/>
              </w:rPr>
            </w:pPr>
            <w:r>
              <w:rPr>
                <w:b/>
                <w:bCs/>
                <w:sz w:val="20"/>
                <w:szCs w:val="20"/>
              </w:rPr>
              <w:t xml:space="preserve">Average </w:t>
            </w:r>
            <w:r w:rsidR="00FE1DE7">
              <w:rPr>
                <w:b/>
                <w:bCs/>
                <w:sz w:val="20"/>
                <w:szCs w:val="20"/>
              </w:rPr>
              <w:t>N</w:t>
            </w:r>
            <w:r w:rsidRPr="00F27C16">
              <w:rPr>
                <w:b/>
                <w:bCs/>
                <w:sz w:val="20"/>
                <w:szCs w:val="20"/>
              </w:rPr>
              <w:t xml:space="preserve">umber of </w:t>
            </w:r>
          </w:p>
          <w:p w:rsidR="00734BF4" w:rsidRPr="00F27C16" w:rsidP="003D558B" w14:paraId="3FCFD3F5" w14:textId="4890F184">
            <w:pPr>
              <w:keepNext/>
              <w:rPr>
                <w:b/>
                <w:bCs/>
                <w:sz w:val="20"/>
                <w:szCs w:val="20"/>
              </w:rPr>
            </w:pPr>
            <w:r w:rsidRPr="00F27C16">
              <w:rPr>
                <w:b/>
                <w:bCs/>
                <w:sz w:val="20"/>
                <w:szCs w:val="20"/>
              </w:rPr>
              <w:t>Respondents</w:t>
            </w:r>
          </w:p>
        </w:tc>
        <w:tc>
          <w:tcPr>
            <w:tcW w:w="1170" w:type="dxa"/>
            <w:shd w:val="clear" w:color="auto" w:fill="8DB3E2" w:themeFill="text2" w:themeFillTint="66"/>
          </w:tcPr>
          <w:p w:rsidR="00734BF4" w:rsidRPr="00F27C16" w:rsidP="003D558B" w14:paraId="6F0FB6FE" w14:textId="60678414">
            <w:pPr>
              <w:keepNext/>
              <w:rPr>
                <w:b/>
                <w:bCs/>
                <w:sz w:val="20"/>
                <w:szCs w:val="20"/>
              </w:rPr>
            </w:pPr>
            <w:r w:rsidRPr="00F27C16">
              <w:rPr>
                <w:b/>
                <w:bCs/>
                <w:sz w:val="20"/>
                <w:szCs w:val="20"/>
              </w:rPr>
              <w:t>Respondent Type</w:t>
            </w:r>
          </w:p>
        </w:tc>
        <w:tc>
          <w:tcPr>
            <w:tcW w:w="1170" w:type="dxa"/>
            <w:shd w:val="clear" w:color="auto" w:fill="8DB3E2" w:themeFill="text2" w:themeFillTint="66"/>
          </w:tcPr>
          <w:p w:rsidR="00734BF4" w:rsidRPr="00F27C16" w:rsidP="00953695" w14:paraId="63924B57" w14:textId="7A859B2F">
            <w:pPr>
              <w:keepNext/>
              <w:rPr>
                <w:b/>
                <w:bCs/>
                <w:sz w:val="20"/>
                <w:szCs w:val="20"/>
              </w:rPr>
            </w:pPr>
            <w:r>
              <w:rPr>
                <w:b/>
                <w:bCs/>
                <w:sz w:val="20"/>
                <w:szCs w:val="20"/>
              </w:rPr>
              <w:t xml:space="preserve">Average </w:t>
            </w:r>
            <w:r w:rsidR="00FE1DE7">
              <w:rPr>
                <w:b/>
                <w:bCs/>
                <w:sz w:val="20"/>
                <w:szCs w:val="20"/>
              </w:rPr>
              <w:t>N</w:t>
            </w:r>
            <w:r>
              <w:rPr>
                <w:b/>
                <w:bCs/>
                <w:sz w:val="20"/>
                <w:szCs w:val="20"/>
              </w:rPr>
              <w:t xml:space="preserve">umber of </w:t>
            </w:r>
            <w:r w:rsidR="00FE1DE7">
              <w:rPr>
                <w:b/>
                <w:bCs/>
                <w:sz w:val="20"/>
                <w:szCs w:val="20"/>
              </w:rPr>
              <w:t>R</w:t>
            </w:r>
            <w:r>
              <w:rPr>
                <w:b/>
                <w:bCs/>
                <w:sz w:val="20"/>
                <w:szCs w:val="20"/>
              </w:rPr>
              <w:t>esponses per Respondent</w:t>
            </w:r>
          </w:p>
        </w:tc>
        <w:tc>
          <w:tcPr>
            <w:tcW w:w="990" w:type="dxa"/>
            <w:shd w:val="clear" w:color="auto" w:fill="8DB3E2" w:themeFill="text2" w:themeFillTint="66"/>
          </w:tcPr>
          <w:p w:rsidR="00734BF4" w:rsidRPr="00F27C16" w:rsidP="003D558B" w14:paraId="3CFA6254" w14:textId="1E0A5008">
            <w:pPr>
              <w:keepNext/>
              <w:rPr>
                <w:b/>
                <w:bCs/>
                <w:sz w:val="20"/>
                <w:szCs w:val="20"/>
              </w:rPr>
            </w:pPr>
            <w:r>
              <w:rPr>
                <w:b/>
                <w:bCs/>
                <w:sz w:val="20"/>
                <w:szCs w:val="20"/>
              </w:rPr>
              <w:t>Average</w:t>
            </w:r>
            <w:r w:rsidRPr="00F27C16">
              <w:rPr>
                <w:b/>
                <w:bCs/>
                <w:sz w:val="20"/>
                <w:szCs w:val="20"/>
              </w:rPr>
              <w:t xml:space="preserve"> Number of Responses</w:t>
            </w:r>
          </w:p>
        </w:tc>
        <w:tc>
          <w:tcPr>
            <w:tcW w:w="900" w:type="dxa"/>
            <w:shd w:val="clear" w:color="auto" w:fill="8DB3E2" w:themeFill="text2" w:themeFillTint="66"/>
          </w:tcPr>
          <w:p w:rsidR="00734BF4" w:rsidRPr="00F27C16" w:rsidP="003D558B" w14:paraId="23DFB1F7" w14:textId="02FD8538">
            <w:pPr>
              <w:keepNext/>
              <w:rPr>
                <w:b/>
                <w:bCs/>
                <w:sz w:val="20"/>
                <w:szCs w:val="20"/>
              </w:rPr>
            </w:pPr>
            <w:r w:rsidRPr="00D369A1">
              <w:rPr>
                <w:b/>
                <w:bCs/>
                <w:sz w:val="20"/>
                <w:szCs w:val="20"/>
              </w:rPr>
              <w:t>Hours per Response</w:t>
            </w:r>
          </w:p>
        </w:tc>
        <w:tc>
          <w:tcPr>
            <w:tcW w:w="990" w:type="dxa"/>
            <w:shd w:val="clear" w:color="auto" w:fill="8DB3E2" w:themeFill="text2" w:themeFillTint="66"/>
          </w:tcPr>
          <w:p w:rsidR="00734BF4" w:rsidRPr="00F27C16" w:rsidP="003D558B" w14:paraId="4FDAC098" w14:textId="6E181547">
            <w:pPr>
              <w:keepNext/>
              <w:rPr>
                <w:b/>
                <w:bCs/>
                <w:sz w:val="20"/>
                <w:szCs w:val="20"/>
              </w:rPr>
            </w:pPr>
            <w:r>
              <w:rPr>
                <w:b/>
                <w:bCs/>
                <w:sz w:val="20"/>
                <w:szCs w:val="20"/>
              </w:rPr>
              <w:t>Average</w:t>
            </w:r>
            <w:r w:rsidRPr="00F27C16">
              <w:rPr>
                <w:b/>
                <w:bCs/>
                <w:sz w:val="20"/>
                <w:szCs w:val="20"/>
              </w:rPr>
              <w:t xml:space="preserve"> Burden Hours</w:t>
            </w:r>
          </w:p>
        </w:tc>
        <w:tc>
          <w:tcPr>
            <w:tcW w:w="990" w:type="dxa"/>
            <w:shd w:val="clear" w:color="auto" w:fill="8DB3E2" w:themeFill="text2" w:themeFillTint="66"/>
          </w:tcPr>
          <w:p w:rsidR="00734BF4" w:rsidRPr="00F27C16" w14:paraId="4F5E22A2" w14:textId="4224D48E">
            <w:pPr>
              <w:keepNext/>
              <w:rPr>
                <w:b/>
                <w:bCs/>
                <w:sz w:val="20"/>
                <w:szCs w:val="20"/>
              </w:rPr>
            </w:pPr>
            <w:r>
              <w:rPr>
                <w:b/>
                <w:bCs/>
                <w:sz w:val="20"/>
                <w:szCs w:val="20"/>
              </w:rPr>
              <w:t xml:space="preserve">Hourly </w:t>
            </w:r>
            <w:r>
              <w:rPr>
                <w:b/>
                <w:bCs/>
                <w:sz w:val="20"/>
                <w:szCs w:val="20"/>
              </w:rPr>
              <w:t>Wage</w:t>
            </w:r>
            <w:r w:rsidRPr="00734BF4">
              <w:rPr>
                <w:b/>
                <w:bCs/>
                <w:sz w:val="20"/>
                <w:szCs w:val="20"/>
                <w:vertAlign w:val="superscript"/>
              </w:rPr>
              <w:t>c</w:t>
            </w:r>
            <w:r w:rsidRPr="00734BF4">
              <w:rPr>
                <w:b/>
                <w:bCs/>
                <w:sz w:val="20"/>
                <w:szCs w:val="20"/>
                <w:vertAlign w:val="superscript"/>
              </w:rPr>
              <w:t>,</w:t>
            </w:r>
            <w:r w:rsidR="00FE1DE7">
              <w:rPr>
                <w:b/>
                <w:bCs/>
                <w:sz w:val="20"/>
                <w:szCs w:val="20"/>
                <w:vertAlign w:val="superscript"/>
              </w:rPr>
              <w:t xml:space="preserve"> </w:t>
            </w:r>
            <w:r w:rsidRPr="00734BF4">
              <w:rPr>
                <w:b/>
                <w:bCs/>
                <w:sz w:val="20"/>
                <w:szCs w:val="20"/>
                <w:vertAlign w:val="superscript"/>
              </w:rPr>
              <w:t>d</w:t>
            </w:r>
          </w:p>
        </w:tc>
        <w:tc>
          <w:tcPr>
            <w:tcW w:w="1171" w:type="dxa"/>
            <w:shd w:val="clear" w:color="auto" w:fill="8DB3E2" w:themeFill="text2" w:themeFillTint="66"/>
          </w:tcPr>
          <w:p w:rsidR="00734BF4" w:rsidRPr="008A5A13" w14:paraId="3C85D813" w14:textId="54DE24FE">
            <w:pPr>
              <w:keepNext/>
              <w:rPr>
                <w:b/>
                <w:bCs/>
                <w:sz w:val="20"/>
                <w:szCs w:val="20"/>
              </w:rPr>
            </w:pPr>
            <w:r w:rsidRPr="008A5A13">
              <w:rPr>
                <w:b/>
                <w:bCs/>
                <w:sz w:val="20"/>
                <w:szCs w:val="20"/>
              </w:rPr>
              <w:t>Annualized Data Collection Burden</w:t>
            </w:r>
          </w:p>
        </w:tc>
      </w:tr>
      <w:tr w14:paraId="5316AE51" w14:textId="75BF35D4" w:rsidTr="00F73C3F">
        <w:tblPrEx>
          <w:tblW w:w="9806" w:type="dxa"/>
          <w:tblLayout w:type="fixed"/>
          <w:tblCellMar>
            <w:left w:w="43" w:type="dxa"/>
            <w:right w:w="43" w:type="dxa"/>
          </w:tblCellMar>
          <w:tblLook w:val="04A0"/>
        </w:tblPrEx>
        <w:trPr>
          <w:trHeight w:val="398"/>
        </w:trPr>
        <w:tc>
          <w:tcPr>
            <w:tcW w:w="1165" w:type="dxa"/>
            <w:vMerge w:val="restart"/>
          </w:tcPr>
          <w:p w:rsidR="00CE1468" w:rsidRPr="00F27C16" w:rsidP="00CE1468" w14:paraId="6F5D685D" w14:textId="0C1B3CE2">
            <w:pPr>
              <w:keepNext/>
              <w:rPr>
                <w:iCs/>
                <w:sz w:val="20"/>
                <w:szCs w:val="20"/>
                <w:vertAlign w:val="superscript"/>
              </w:rPr>
            </w:pPr>
            <w:r>
              <w:rPr>
                <w:iCs/>
                <w:sz w:val="20"/>
                <w:szCs w:val="20"/>
              </w:rPr>
              <w:t>ART</w:t>
            </w:r>
            <w:r>
              <w:rPr>
                <w:b/>
                <w:iCs/>
                <w:sz w:val="20"/>
                <w:szCs w:val="20"/>
                <w:vertAlign w:val="superscript"/>
              </w:rPr>
              <w:t>b</w:t>
            </w:r>
          </w:p>
          <w:p w:rsidR="00CE1468" w:rsidRPr="00F27C16" w:rsidP="00CE1468" w14:paraId="6D79A10F" w14:textId="77777777">
            <w:pPr>
              <w:keepNext/>
              <w:rPr>
                <w:iCs/>
                <w:sz w:val="20"/>
                <w:szCs w:val="20"/>
              </w:rPr>
            </w:pPr>
          </w:p>
        </w:tc>
        <w:tc>
          <w:tcPr>
            <w:tcW w:w="1260" w:type="dxa"/>
          </w:tcPr>
          <w:p w:rsidR="00CE1468" w:rsidRPr="00F27C16" w:rsidP="00CE1468" w14:paraId="4BE43DC3" w14:textId="66BA05A7">
            <w:pPr>
              <w:keepNext/>
              <w:jc w:val="center"/>
              <w:rPr>
                <w:iCs/>
                <w:sz w:val="20"/>
                <w:szCs w:val="20"/>
              </w:rPr>
            </w:pPr>
            <w:r>
              <w:rPr>
                <w:iCs/>
                <w:sz w:val="20"/>
                <w:szCs w:val="20"/>
              </w:rPr>
              <w:t>107</w:t>
            </w:r>
          </w:p>
        </w:tc>
        <w:tc>
          <w:tcPr>
            <w:tcW w:w="1170" w:type="dxa"/>
          </w:tcPr>
          <w:p w:rsidR="00CE1468" w:rsidRPr="00F27C16" w:rsidP="00CE1468" w14:paraId="22EBC7AE" w14:textId="7E42E634">
            <w:pPr>
              <w:keepNext/>
              <w:rPr>
                <w:iCs/>
                <w:sz w:val="20"/>
                <w:szCs w:val="20"/>
              </w:rPr>
            </w:pPr>
            <w:r w:rsidRPr="00F27C16">
              <w:rPr>
                <w:iCs/>
                <w:sz w:val="20"/>
                <w:szCs w:val="20"/>
              </w:rPr>
              <w:t>Subrecipient Staff</w:t>
            </w:r>
          </w:p>
        </w:tc>
        <w:tc>
          <w:tcPr>
            <w:tcW w:w="1170" w:type="dxa"/>
          </w:tcPr>
          <w:p w:rsidR="00CE1468" w:rsidRPr="00F27C16" w:rsidP="00CE1468" w14:paraId="74E8423B" w14:textId="6AF56798">
            <w:pPr>
              <w:keepNext/>
              <w:jc w:val="center"/>
              <w:rPr>
                <w:iCs/>
                <w:sz w:val="20"/>
                <w:szCs w:val="20"/>
              </w:rPr>
            </w:pPr>
            <w:r>
              <w:rPr>
                <w:iCs/>
                <w:sz w:val="20"/>
                <w:szCs w:val="20"/>
              </w:rPr>
              <w:t>1</w:t>
            </w:r>
          </w:p>
        </w:tc>
        <w:tc>
          <w:tcPr>
            <w:tcW w:w="990" w:type="dxa"/>
          </w:tcPr>
          <w:p w:rsidR="00CE1468" w:rsidRPr="00F27C16" w:rsidP="00CE1468" w14:paraId="1070B32F" w14:textId="2D547B48">
            <w:pPr>
              <w:keepNext/>
              <w:jc w:val="center"/>
              <w:rPr>
                <w:iCs/>
                <w:sz w:val="20"/>
                <w:szCs w:val="20"/>
              </w:rPr>
            </w:pPr>
            <w:r>
              <w:rPr>
                <w:iCs/>
                <w:sz w:val="20"/>
                <w:szCs w:val="20"/>
              </w:rPr>
              <w:t>107</w:t>
            </w:r>
          </w:p>
        </w:tc>
        <w:tc>
          <w:tcPr>
            <w:tcW w:w="900" w:type="dxa"/>
          </w:tcPr>
          <w:p w:rsidR="00CE1468" w:rsidRPr="00F27C16" w:rsidP="00CE1468" w14:paraId="3DC8297A" w14:textId="0A7468E9">
            <w:pPr>
              <w:keepNext/>
              <w:jc w:val="center"/>
              <w:rPr>
                <w:iCs/>
                <w:sz w:val="20"/>
                <w:szCs w:val="20"/>
              </w:rPr>
            </w:pPr>
            <w:r>
              <w:rPr>
                <w:iCs/>
                <w:sz w:val="20"/>
                <w:szCs w:val="20"/>
              </w:rPr>
              <w:t>1.5</w:t>
            </w:r>
          </w:p>
        </w:tc>
        <w:tc>
          <w:tcPr>
            <w:tcW w:w="990" w:type="dxa"/>
          </w:tcPr>
          <w:p w:rsidR="00CE1468" w:rsidRPr="00F27C16" w:rsidP="00CE1468" w14:paraId="0FE3E756" w14:textId="35D86B1A">
            <w:pPr>
              <w:keepNext/>
              <w:jc w:val="center"/>
              <w:rPr>
                <w:iCs/>
                <w:sz w:val="20"/>
                <w:szCs w:val="20"/>
              </w:rPr>
            </w:pPr>
            <w:r>
              <w:rPr>
                <w:iCs/>
                <w:sz w:val="20"/>
                <w:szCs w:val="20"/>
              </w:rPr>
              <w:t>161</w:t>
            </w:r>
          </w:p>
        </w:tc>
        <w:tc>
          <w:tcPr>
            <w:tcW w:w="990" w:type="dxa"/>
          </w:tcPr>
          <w:p w:rsidR="00CE1468" w:rsidRPr="00F27C16" w:rsidP="00CE1468" w14:paraId="2B6067B4" w14:textId="08E944DC">
            <w:pPr>
              <w:keepNext/>
              <w:tabs>
                <w:tab w:val="decimal" w:pos="828"/>
              </w:tabs>
              <w:jc w:val="right"/>
              <w:rPr>
                <w:iCs/>
                <w:sz w:val="20"/>
                <w:szCs w:val="20"/>
              </w:rPr>
            </w:pPr>
            <w:r w:rsidRPr="00853F14">
              <w:rPr>
                <w:iCs/>
                <w:sz w:val="20"/>
                <w:szCs w:val="20"/>
              </w:rPr>
              <w:t>$</w:t>
            </w:r>
            <w:r>
              <w:rPr>
                <w:iCs/>
                <w:sz w:val="20"/>
                <w:szCs w:val="20"/>
              </w:rPr>
              <w:t>30.56</w:t>
            </w:r>
          </w:p>
        </w:tc>
        <w:tc>
          <w:tcPr>
            <w:tcW w:w="1171" w:type="dxa"/>
          </w:tcPr>
          <w:p w:rsidR="00CE1468" w:rsidRPr="00F27C16" w:rsidP="00CE1468" w14:paraId="4380F98E" w14:textId="496B693F">
            <w:pPr>
              <w:keepNext/>
              <w:tabs>
                <w:tab w:val="decimal" w:pos="828"/>
              </w:tabs>
              <w:jc w:val="right"/>
              <w:rPr>
                <w:iCs/>
                <w:sz w:val="20"/>
                <w:szCs w:val="20"/>
              </w:rPr>
            </w:pPr>
            <w:r w:rsidRPr="00853F14">
              <w:rPr>
                <w:iCs/>
                <w:sz w:val="20"/>
                <w:szCs w:val="20"/>
              </w:rPr>
              <w:t>$</w:t>
            </w:r>
            <w:r w:rsidR="00290BDA">
              <w:rPr>
                <w:iCs/>
                <w:sz w:val="20"/>
                <w:szCs w:val="20"/>
              </w:rPr>
              <w:t>4,920.16</w:t>
            </w:r>
          </w:p>
        </w:tc>
      </w:tr>
      <w:tr w14:paraId="5DB8BA1C" w14:textId="45F29A05" w:rsidTr="00F73C3F">
        <w:tblPrEx>
          <w:tblW w:w="9806" w:type="dxa"/>
          <w:tblLayout w:type="fixed"/>
          <w:tblCellMar>
            <w:left w:w="43" w:type="dxa"/>
            <w:right w:w="43" w:type="dxa"/>
          </w:tblCellMar>
          <w:tblLook w:val="04A0"/>
        </w:tblPrEx>
        <w:trPr>
          <w:trHeight w:val="428"/>
        </w:trPr>
        <w:tc>
          <w:tcPr>
            <w:tcW w:w="1165" w:type="dxa"/>
            <w:vMerge/>
          </w:tcPr>
          <w:p w:rsidR="00CE1468" w:rsidRPr="00F27C16" w:rsidP="00CE1468" w14:paraId="282A4B2B" w14:textId="77777777">
            <w:pPr>
              <w:keepNext/>
              <w:rPr>
                <w:iCs/>
                <w:sz w:val="20"/>
                <w:szCs w:val="20"/>
              </w:rPr>
            </w:pPr>
          </w:p>
        </w:tc>
        <w:tc>
          <w:tcPr>
            <w:tcW w:w="1260" w:type="dxa"/>
          </w:tcPr>
          <w:p w:rsidR="00CE1468" w:rsidRPr="00F27C16" w:rsidP="00CE1468" w14:paraId="54F8F59F" w14:textId="38B17AD1">
            <w:pPr>
              <w:keepNext/>
              <w:jc w:val="center"/>
              <w:rPr>
                <w:iCs/>
                <w:sz w:val="20"/>
                <w:szCs w:val="20"/>
              </w:rPr>
            </w:pPr>
            <w:r>
              <w:rPr>
                <w:iCs/>
                <w:sz w:val="20"/>
                <w:szCs w:val="20"/>
              </w:rPr>
              <w:t>21</w:t>
            </w:r>
          </w:p>
        </w:tc>
        <w:tc>
          <w:tcPr>
            <w:tcW w:w="1170" w:type="dxa"/>
          </w:tcPr>
          <w:p w:rsidR="00CE1468" w:rsidRPr="00F27C16" w:rsidP="00CE1468" w14:paraId="31BF26AF" w14:textId="67864B27">
            <w:pPr>
              <w:keepNext/>
              <w:rPr>
                <w:iCs/>
                <w:sz w:val="20"/>
                <w:szCs w:val="20"/>
              </w:rPr>
            </w:pPr>
            <w:r w:rsidRPr="00F27C16">
              <w:rPr>
                <w:iCs/>
                <w:sz w:val="20"/>
                <w:szCs w:val="20"/>
              </w:rPr>
              <w:t xml:space="preserve">Grantee PDs or Evaluators </w:t>
            </w:r>
          </w:p>
        </w:tc>
        <w:tc>
          <w:tcPr>
            <w:tcW w:w="1170" w:type="dxa"/>
          </w:tcPr>
          <w:p w:rsidR="00CE1468" w:rsidRPr="00F27C16" w:rsidP="00CE1468" w14:paraId="2FD23A73" w14:textId="639427A1">
            <w:pPr>
              <w:keepNext/>
              <w:jc w:val="center"/>
              <w:rPr>
                <w:iCs/>
                <w:sz w:val="20"/>
                <w:szCs w:val="20"/>
              </w:rPr>
            </w:pPr>
            <w:r>
              <w:rPr>
                <w:iCs/>
                <w:sz w:val="20"/>
                <w:szCs w:val="20"/>
              </w:rPr>
              <w:t>1</w:t>
            </w:r>
          </w:p>
        </w:tc>
        <w:tc>
          <w:tcPr>
            <w:tcW w:w="990" w:type="dxa"/>
          </w:tcPr>
          <w:p w:rsidR="00CE1468" w:rsidRPr="00F27C16" w:rsidP="00CE1468" w14:paraId="0CBD5A84" w14:textId="0BC1711B">
            <w:pPr>
              <w:keepNext/>
              <w:jc w:val="center"/>
              <w:rPr>
                <w:iCs/>
                <w:sz w:val="20"/>
                <w:szCs w:val="20"/>
              </w:rPr>
            </w:pPr>
            <w:r>
              <w:rPr>
                <w:iCs/>
                <w:sz w:val="20"/>
                <w:szCs w:val="20"/>
              </w:rPr>
              <w:t>21</w:t>
            </w:r>
          </w:p>
        </w:tc>
        <w:tc>
          <w:tcPr>
            <w:tcW w:w="900" w:type="dxa"/>
          </w:tcPr>
          <w:p w:rsidR="00CE1468" w:rsidRPr="00F27C16" w:rsidP="00CE1468" w14:paraId="72CD4DB8" w14:textId="783CEF98">
            <w:pPr>
              <w:keepNext/>
              <w:jc w:val="center"/>
              <w:rPr>
                <w:iCs/>
                <w:sz w:val="20"/>
                <w:szCs w:val="20"/>
              </w:rPr>
            </w:pPr>
            <w:r>
              <w:rPr>
                <w:iCs/>
                <w:sz w:val="20"/>
                <w:szCs w:val="20"/>
              </w:rPr>
              <w:t>1.5</w:t>
            </w:r>
          </w:p>
        </w:tc>
        <w:tc>
          <w:tcPr>
            <w:tcW w:w="990" w:type="dxa"/>
          </w:tcPr>
          <w:p w:rsidR="00CE1468" w:rsidRPr="00F27C16" w:rsidP="00CE1468" w14:paraId="24314C9D" w14:textId="171CCFBC">
            <w:pPr>
              <w:keepNext/>
              <w:jc w:val="center"/>
              <w:rPr>
                <w:iCs/>
                <w:sz w:val="20"/>
                <w:szCs w:val="20"/>
              </w:rPr>
            </w:pPr>
            <w:r>
              <w:rPr>
                <w:iCs/>
                <w:sz w:val="20"/>
                <w:szCs w:val="20"/>
              </w:rPr>
              <w:t>31</w:t>
            </w:r>
          </w:p>
        </w:tc>
        <w:tc>
          <w:tcPr>
            <w:tcW w:w="990" w:type="dxa"/>
          </w:tcPr>
          <w:p w:rsidR="00CE1468" w:rsidRPr="00F27C16" w:rsidP="00CE1468" w14:paraId="72DAEECA" w14:textId="71105FD0">
            <w:pPr>
              <w:keepNext/>
              <w:tabs>
                <w:tab w:val="decimal" w:pos="828"/>
              </w:tabs>
              <w:jc w:val="right"/>
              <w:rPr>
                <w:iCs/>
                <w:sz w:val="20"/>
                <w:szCs w:val="20"/>
              </w:rPr>
            </w:pPr>
            <w:r w:rsidRPr="00853F14">
              <w:rPr>
                <w:iCs/>
                <w:sz w:val="20"/>
                <w:szCs w:val="20"/>
              </w:rPr>
              <w:t>$</w:t>
            </w:r>
            <w:r>
              <w:rPr>
                <w:iCs/>
                <w:sz w:val="20"/>
                <w:szCs w:val="20"/>
              </w:rPr>
              <w:t>50.85</w:t>
            </w:r>
          </w:p>
        </w:tc>
        <w:tc>
          <w:tcPr>
            <w:tcW w:w="1171" w:type="dxa"/>
          </w:tcPr>
          <w:p w:rsidR="00CE1468" w:rsidRPr="00F27C16" w:rsidP="00CE1468" w14:paraId="070B9F11" w14:textId="475A183E">
            <w:pPr>
              <w:keepNext/>
              <w:tabs>
                <w:tab w:val="decimal" w:pos="828"/>
              </w:tabs>
              <w:jc w:val="right"/>
              <w:rPr>
                <w:iCs/>
                <w:sz w:val="20"/>
                <w:szCs w:val="20"/>
              </w:rPr>
            </w:pPr>
            <w:r w:rsidRPr="00853F14">
              <w:rPr>
                <w:iCs/>
                <w:sz w:val="20"/>
                <w:szCs w:val="20"/>
              </w:rPr>
              <w:t>$</w:t>
            </w:r>
            <w:r w:rsidR="00C52BEE">
              <w:rPr>
                <w:iCs/>
                <w:sz w:val="20"/>
                <w:szCs w:val="20"/>
              </w:rPr>
              <w:t>1,</w:t>
            </w:r>
            <w:r w:rsidR="00290BDA">
              <w:rPr>
                <w:iCs/>
                <w:sz w:val="20"/>
                <w:szCs w:val="20"/>
              </w:rPr>
              <w:t>576.35</w:t>
            </w:r>
          </w:p>
        </w:tc>
      </w:tr>
      <w:tr w14:paraId="418E1C63" w14:textId="63E1FC35" w:rsidTr="00F73C3F">
        <w:tblPrEx>
          <w:tblW w:w="9806" w:type="dxa"/>
          <w:tblLayout w:type="fixed"/>
          <w:tblCellMar>
            <w:left w:w="43" w:type="dxa"/>
            <w:right w:w="43" w:type="dxa"/>
          </w:tblCellMar>
          <w:tblLook w:val="04A0"/>
        </w:tblPrEx>
        <w:trPr>
          <w:trHeight w:val="412"/>
        </w:trPr>
        <w:tc>
          <w:tcPr>
            <w:tcW w:w="1165" w:type="dxa"/>
            <w:shd w:val="clear" w:color="auto" w:fill="D9D9D9" w:themeFill="background1" w:themeFillShade="D9"/>
          </w:tcPr>
          <w:p w:rsidR="00734BF4" w:rsidRPr="00F27C16" w:rsidP="00E5311C" w14:paraId="12C8BB29" w14:textId="65B1AEA5">
            <w:pPr>
              <w:keepNext/>
              <w:tabs>
                <w:tab w:val="decimal" w:pos="0"/>
              </w:tabs>
              <w:rPr>
                <w:i/>
                <w:iCs/>
                <w:sz w:val="20"/>
                <w:szCs w:val="20"/>
              </w:rPr>
            </w:pPr>
            <w:bookmarkStart w:id="16" w:name="_Hlk95156147"/>
            <w:r w:rsidRPr="00F27C16">
              <w:rPr>
                <w:i/>
                <w:iCs/>
                <w:sz w:val="20"/>
                <w:szCs w:val="20"/>
              </w:rPr>
              <w:t xml:space="preserve">Total Burden for </w:t>
            </w:r>
            <w:r w:rsidR="003F1D06">
              <w:rPr>
                <w:i/>
                <w:iCs/>
                <w:sz w:val="20"/>
                <w:szCs w:val="20"/>
              </w:rPr>
              <w:t>ART</w:t>
            </w:r>
          </w:p>
        </w:tc>
        <w:tc>
          <w:tcPr>
            <w:tcW w:w="1260" w:type="dxa"/>
            <w:shd w:val="clear" w:color="auto" w:fill="D9D9D9" w:themeFill="background1" w:themeFillShade="D9"/>
          </w:tcPr>
          <w:p w:rsidR="00734BF4" w:rsidRPr="00F27C16" w:rsidP="00887BF3" w14:paraId="37A3A572" w14:textId="6660DE29">
            <w:pPr>
              <w:keepNext/>
              <w:tabs>
                <w:tab w:val="decimal" w:pos="0"/>
              </w:tabs>
              <w:jc w:val="center"/>
              <w:rPr>
                <w:i/>
                <w:iCs/>
                <w:sz w:val="20"/>
                <w:szCs w:val="20"/>
              </w:rPr>
            </w:pPr>
            <w:r>
              <w:rPr>
                <w:i/>
                <w:iCs/>
                <w:sz w:val="20"/>
                <w:szCs w:val="20"/>
              </w:rPr>
              <w:t>128</w:t>
            </w:r>
          </w:p>
        </w:tc>
        <w:tc>
          <w:tcPr>
            <w:tcW w:w="1170" w:type="dxa"/>
            <w:shd w:val="clear" w:color="auto" w:fill="D9D9D9" w:themeFill="background1" w:themeFillShade="D9"/>
          </w:tcPr>
          <w:p w:rsidR="00734BF4" w:rsidRPr="00F27C16" w:rsidP="00E5311C" w14:paraId="4DED098D" w14:textId="77777777">
            <w:pPr>
              <w:keepNext/>
              <w:tabs>
                <w:tab w:val="decimal" w:pos="640"/>
              </w:tabs>
              <w:rPr>
                <w:i/>
                <w:iCs/>
                <w:sz w:val="20"/>
                <w:szCs w:val="20"/>
              </w:rPr>
            </w:pPr>
          </w:p>
        </w:tc>
        <w:tc>
          <w:tcPr>
            <w:tcW w:w="1170" w:type="dxa"/>
            <w:shd w:val="clear" w:color="auto" w:fill="D9D9D9" w:themeFill="background1" w:themeFillShade="D9"/>
          </w:tcPr>
          <w:p w:rsidR="00734BF4" w:rsidRPr="00F27C16" w:rsidP="00E5311C" w14:paraId="6E79FEF6" w14:textId="77777777">
            <w:pPr>
              <w:keepNext/>
              <w:jc w:val="center"/>
              <w:rPr>
                <w:i/>
                <w:iCs/>
                <w:sz w:val="20"/>
                <w:szCs w:val="20"/>
              </w:rPr>
            </w:pPr>
          </w:p>
        </w:tc>
        <w:tc>
          <w:tcPr>
            <w:tcW w:w="990" w:type="dxa"/>
            <w:shd w:val="clear" w:color="auto" w:fill="D9D9D9" w:themeFill="background1" w:themeFillShade="D9"/>
          </w:tcPr>
          <w:p w:rsidR="00734BF4" w:rsidRPr="00F27C16" w:rsidP="00E5311C" w14:paraId="3810803D" w14:textId="2D37AA5B">
            <w:pPr>
              <w:keepNext/>
              <w:jc w:val="center"/>
              <w:rPr>
                <w:i/>
                <w:iCs/>
                <w:sz w:val="20"/>
                <w:szCs w:val="20"/>
              </w:rPr>
            </w:pPr>
            <w:r>
              <w:rPr>
                <w:i/>
                <w:iCs/>
                <w:sz w:val="20"/>
                <w:szCs w:val="20"/>
              </w:rPr>
              <w:t>128</w:t>
            </w:r>
          </w:p>
        </w:tc>
        <w:tc>
          <w:tcPr>
            <w:tcW w:w="900" w:type="dxa"/>
            <w:shd w:val="clear" w:color="auto" w:fill="D9D9D9" w:themeFill="background1" w:themeFillShade="D9"/>
          </w:tcPr>
          <w:p w:rsidR="00734BF4" w:rsidRPr="00F27C16" w:rsidP="00E5311C" w14:paraId="2726F46B" w14:textId="7F3FE599">
            <w:pPr>
              <w:keepNext/>
              <w:jc w:val="center"/>
              <w:rPr>
                <w:i/>
                <w:iCs/>
                <w:sz w:val="20"/>
                <w:szCs w:val="20"/>
              </w:rPr>
            </w:pPr>
          </w:p>
        </w:tc>
        <w:tc>
          <w:tcPr>
            <w:tcW w:w="990" w:type="dxa"/>
            <w:shd w:val="clear" w:color="auto" w:fill="D9D9D9" w:themeFill="background1" w:themeFillShade="D9"/>
          </w:tcPr>
          <w:p w:rsidR="00734BF4" w:rsidRPr="00F27C16" w:rsidP="00E5311C" w14:paraId="52F98889" w14:textId="4B8F2845">
            <w:pPr>
              <w:keepNext/>
              <w:jc w:val="center"/>
              <w:rPr>
                <w:i/>
                <w:iCs/>
                <w:sz w:val="20"/>
                <w:szCs w:val="20"/>
              </w:rPr>
            </w:pPr>
            <w:r>
              <w:rPr>
                <w:i/>
                <w:iCs/>
                <w:sz w:val="20"/>
                <w:szCs w:val="20"/>
              </w:rPr>
              <w:t>192</w:t>
            </w:r>
          </w:p>
        </w:tc>
        <w:tc>
          <w:tcPr>
            <w:tcW w:w="990" w:type="dxa"/>
            <w:shd w:val="clear" w:color="auto" w:fill="D9D9D9" w:themeFill="background1" w:themeFillShade="D9"/>
          </w:tcPr>
          <w:p w:rsidR="00734BF4" w:rsidRPr="00F27C16" w:rsidP="00E5311C" w14:paraId="43B7C913" w14:textId="6D34A686">
            <w:pPr>
              <w:keepNext/>
              <w:tabs>
                <w:tab w:val="decimal" w:pos="828"/>
              </w:tabs>
              <w:jc w:val="right"/>
              <w:rPr>
                <w:i/>
                <w:iCs/>
                <w:sz w:val="20"/>
                <w:szCs w:val="20"/>
              </w:rPr>
            </w:pPr>
          </w:p>
        </w:tc>
        <w:tc>
          <w:tcPr>
            <w:tcW w:w="1171" w:type="dxa"/>
            <w:shd w:val="clear" w:color="auto" w:fill="D9D9D9" w:themeFill="background1" w:themeFillShade="D9"/>
          </w:tcPr>
          <w:p w:rsidR="00734BF4" w:rsidRPr="00F27C16" w:rsidP="00E5311C" w14:paraId="6F955D76" w14:textId="4E08B648">
            <w:pPr>
              <w:keepNext/>
              <w:tabs>
                <w:tab w:val="decimal" w:pos="828"/>
              </w:tabs>
              <w:jc w:val="right"/>
              <w:rPr>
                <w:i/>
                <w:iCs/>
                <w:sz w:val="20"/>
                <w:szCs w:val="20"/>
              </w:rPr>
            </w:pPr>
            <w:r>
              <w:rPr>
                <w:i/>
                <w:iCs/>
                <w:sz w:val="20"/>
                <w:szCs w:val="20"/>
              </w:rPr>
              <w:t>$</w:t>
            </w:r>
            <w:r w:rsidR="00290BDA">
              <w:rPr>
                <w:i/>
                <w:iCs/>
                <w:sz w:val="20"/>
                <w:szCs w:val="20"/>
              </w:rPr>
              <w:t>6,496.51</w:t>
            </w:r>
          </w:p>
        </w:tc>
      </w:tr>
      <w:bookmarkEnd w:id="16"/>
      <w:tr w14:paraId="4A16ED29" w14:textId="502F5A66" w:rsidTr="00F73C3F">
        <w:tblPrEx>
          <w:tblW w:w="9806" w:type="dxa"/>
          <w:tblLayout w:type="fixed"/>
          <w:tblCellMar>
            <w:left w:w="43" w:type="dxa"/>
            <w:right w:w="43" w:type="dxa"/>
          </w:tblCellMar>
          <w:tblLook w:val="04A0"/>
        </w:tblPrEx>
        <w:trPr>
          <w:trHeight w:val="619"/>
        </w:trPr>
        <w:tc>
          <w:tcPr>
            <w:tcW w:w="1165" w:type="dxa"/>
          </w:tcPr>
          <w:p w:rsidR="00CE1468" w:rsidRPr="00F27C16" w:rsidP="00CE1468" w14:paraId="03E3E2A0" w14:textId="5FD92179">
            <w:pPr>
              <w:keepNext/>
              <w:tabs>
                <w:tab w:val="decimal" w:pos="640"/>
              </w:tabs>
              <w:rPr>
                <w:iCs/>
                <w:sz w:val="20"/>
                <w:szCs w:val="20"/>
              </w:rPr>
            </w:pPr>
            <w:r w:rsidRPr="00F27C16">
              <w:rPr>
                <w:iCs/>
                <w:sz w:val="20"/>
                <w:szCs w:val="20"/>
              </w:rPr>
              <w:t>Grantee-Level</w:t>
            </w:r>
            <w:r>
              <w:rPr>
                <w:iCs/>
                <w:sz w:val="20"/>
                <w:szCs w:val="20"/>
              </w:rPr>
              <w:t xml:space="preserve"> PDMP</w:t>
            </w:r>
            <w:r w:rsidRPr="00F27C16">
              <w:rPr>
                <w:iCs/>
                <w:sz w:val="20"/>
                <w:szCs w:val="20"/>
              </w:rPr>
              <w:t xml:space="preserve"> Outcomes Module</w:t>
            </w:r>
          </w:p>
        </w:tc>
        <w:tc>
          <w:tcPr>
            <w:tcW w:w="1260" w:type="dxa"/>
          </w:tcPr>
          <w:p w:rsidR="00CE1468" w:rsidRPr="00F27C16" w:rsidP="00CE1468" w14:paraId="02A3E4F1" w14:textId="3F45D27B">
            <w:pPr>
              <w:keepNext/>
              <w:jc w:val="center"/>
              <w:rPr>
                <w:iCs/>
                <w:sz w:val="20"/>
                <w:szCs w:val="20"/>
              </w:rPr>
            </w:pPr>
            <w:r>
              <w:rPr>
                <w:iCs/>
                <w:sz w:val="20"/>
                <w:szCs w:val="20"/>
              </w:rPr>
              <w:t>21</w:t>
            </w:r>
          </w:p>
        </w:tc>
        <w:tc>
          <w:tcPr>
            <w:tcW w:w="1170" w:type="dxa"/>
          </w:tcPr>
          <w:p w:rsidR="00CE1468" w:rsidRPr="00F27C16" w:rsidP="00CE1468" w14:paraId="6567EEA2" w14:textId="25FE1786">
            <w:pPr>
              <w:keepNext/>
              <w:tabs>
                <w:tab w:val="decimal" w:pos="640"/>
              </w:tabs>
              <w:rPr>
                <w:iCs/>
                <w:sz w:val="20"/>
                <w:szCs w:val="20"/>
              </w:rPr>
            </w:pPr>
            <w:r w:rsidRPr="00F27C16">
              <w:rPr>
                <w:iCs/>
                <w:sz w:val="20"/>
                <w:szCs w:val="20"/>
              </w:rPr>
              <w:t>Grantee PDs or Evaluators</w:t>
            </w:r>
          </w:p>
        </w:tc>
        <w:tc>
          <w:tcPr>
            <w:tcW w:w="1170" w:type="dxa"/>
          </w:tcPr>
          <w:p w:rsidR="00CE1468" w:rsidRPr="00F27C16" w:rsidP="00CE1468" w14:paraId="32EC4EC1" w14:textId="21652F4A">
            <w:pPr>
              <w:keepNext/>
              <w:jc w:val="center"/>
              <w:rPr>
                <w:iCs/>
                <w:sz w:val="20"/>
                <w:szCs w:val="20"/>
              </w:rPr>
            </w:pPr>
            <w:r>
              <w:rPr>
                <w:iCs/>
                <w:sz w:val="20"/>
                <w:szCs w:val="20"/>
              </w:rPr>
              <w:t>1</w:t>
            </w:r>
          </w:p>
        </w:tc>
        <w:tc>
          <w:tcPr>
            <w:tcW w:w="990" w:type="dxa"/>
          </w:tcPr>
          <w:p w:rsidR="00CE1468" w:rsidRPr="00F27C16" w:rsidP="00CE1468" w14:paraId="6AAE0699" w14:textId="74A888DB">
            <w:pPr>
              <w:keepNext/>
              <w:jc w:val="center"/>
              <w:rPr>
                <w:iCs/>
                <w:sz w:val="20"/>
                <w:szCs w:val="20"/>
              </w:rPr>
            </w:pPr>
            <w:r>
              <w:rPr>
                <w:iCs/>
                <w:sz w:val="20"/>
                <w:szCs w:val="20"/>
              </w:rPr>
              <w:t>21</w:t>
            </w:r>
          </w:p>
        </w:tc>
        <w:tc>
          <w:tcPr>
            <w:tcW w:w="900" w:type="dxa"/>
          </w:tcPr>
          <w:p w:rsidR="00CE1468" w:rsidRPr="00F27C16" w:rsidP="00CE1468" w14:paraId="46B88AA6" w14:textId="52E4D20E">
            <w:pPr>
              <w:keepNext/>
              <w:jc w:val="center"/>
              <w:rPr>
                <w:iCs/>
                <w:sz w:val="20"/>
                <w:szCs w:val="20"/>
              </w:rPr>
            </w:pPr>
            <w:r w:rsidRPr="0082030C">
              <w:rPr>
                <w:iCs/>
                <w:sz w:val="20"/>
                <w:szCs w:val="20"/>
              </w:rPr>
              <w:t>2.5</w:t>
            </w:r>
          </w:p>
        </w:tc>
        <w:tc>
          <w:tcPr>
            <w:tcW w:w="990" w:type="dxa"/>
          </w:tcPr>
          <w:p w:rsidR="00CE1468" w:rsidRPr="00F27C16" w:rsidP="00CE1468" w14:paraId="6C43F913" w14:textId="0097210A">
            <w:pPr>
              <w:keepNext/>
              <w:jc w:val="center"/>
              <w:rPr>
                <w:iCs/>
                <w:sz w:val="20"/>
                <w:szCs w:val="20"/>
              </w:rPr>
            </w:pPr>
            <w:r>
              <w:rPr>
                <w:iCs/>
                <w:sz w:val="20"/>
                <w:szCs w:val="20"/>
              </w:rPr>
              <w:t>52</w:t>
            </w:r>
          </w:p>
        </w:tc>
        <w:tc>
          <w:tcPr>
            <w:tcW w:w="990" w:type="dxa"/>
          </w:tcPr>
          <w:p w:rsidR="00CE1468" w:rsidRPr="00F27C16" w:rsidP="00CE1468" w14:paraId="16AFDD8D" w14:textId="2FDF39A7">
            <w:pPr>
              <w:keepNext/>
              <w:tabs>
                <w:tab w:val="decimal" w:pos="828"/>
              </w:tabs>
              <w:jc w:val="right"/>
              <w:rPr>
                <w:iCs/>
                <w:sz w:val="20"/>
                <w:szCs w:val="20"/>
              </w:rPr>
            </w:pPr>
            <w:r w:rsidRPr="00A63D04">
              <w:rPr>
                <w:iCs/>
                <w:sz w:val="20"/>
                <w:szCs w:val="20"/>
              </w:rPr>
              <w:t>$</w:t>
            </w:r>
            <w:r>
              <w:rPr>
                <w:iCs/>
                <w:sz w:val="20"/>
                <w:szCs w:val="20"/>
              </w:rPr>
              <w:t>50.85</w:t>
            </w:r>
          </w:p>
        </w:tc>
        <w:tc>
          <w:tcPr>
            <w:tcW w:w="1171" w:type="dxa"/>
          </w:tcPr>
          <w:p w:rsidR="00CE1468" w:rsidRPr="00F27C16" w:rsidP="00CE1468" w14:paraId="43ABCF80" w14:textId="5835841F">
            <w:pPr>
              <w:keepNext/>
              <w:tabs>
                <w:tab w:val="decimal" w:pos="828"/>
              </w:tabs>
              <w:jc w:val="right"/>
              <w:rPr>
                <w:iCs/>
                <w:sz w:val="20"/>
                <w:szCs w:val="20"/>
              </w:rPr>
            </w:pPr>
            <w:r w:rsidRPr="00A63D04">
              <w:rPr>
                <w:iCs/>
                <w:sz w:val="20"/>
                <w:szCs w:val="20"/>
              </w:rPr>
              <w:t>$</w:t>
            </w:r>
            <w:r w:rsidR="00C52BEE">
              <w:rPr>
                <w:iCs/>
                <w:sz w:val="20"/>
                <w:szCs w:val="20"/>
              </w:rPr>
              <w:t>2</w:t>
            </w:r>
            <w:r w:rsidR="00290BDA">
              <w:rPr>
                <w:iCs/>
                <w:sz w:val="20"/>
                <w:szCs w:val="20"/>
              </w:rPr>
              <w:t>,627.25</w:t>
            </w:r>
          </w:p>
        </w:tc>
      </w:tr>
      <w:tr w14:paraId="3F50A708" w14:textId="3144302D" w:rsidTr="00F73C3F">
        <w:tblPrEx>
          <w:tblW w:w="9806" w:type="dxa"/>
          <w:tblLayout w:type="fixed"/>
          <w:tblCellMar>
            <w:left w:w="43" w:type="dxa"/>
            <w:right w:w="43" w:type="dxa"/>
          </w:tblCellMar>
          <w:tblLook w:val="04A0"/>
        </w:tblPrEx>
        <w:trPr>
          <w:trHeight w:val="605"/>
        </w:trPr>
        <w:tc>
          <w:tcPr>
            <w:tcW w:w="1165" w:type="dxa"/>
          </w:tcPr>
          <w:p w:rsidR="00603046" w:rsidRPr="009220DD" w:rsidP="00603046" w14:paraId="6C951316" w14:textId="0E6865D1">
            <w:pPr>
              <w:keepNext/>
              <w:rPr>
                <w:iCs/>
                <w:sz w:val="20"/>
                <w:szCs w:val="20"/>
              </w:rPr>
            </w:pPr>
            <w:r w:rsidRPr="009220DD">
              <w:rPr>
                <w:iCs/>
                <w:sz w:val="20"/>
                <w:szCs w:val="20"/>
              </w:rPr>
              <w:t xml:space="preserve">Community-Level </w:t>
            </w:r>
            <w:r>
              <w:rPr>
                <w:iCs/>
                <w:sz w:val="20"/>
                <w:szCs w:val="20"/>
              </w:rPr>
              <w:t xml:space="preserve">PDMP </w:t>
            </w:r>
            <w:r w:rsidRPr="009220DD">
              <w:rPr>
                <w:iCs/>
                <w:sz w:val="20"/>
                <w:szCs w:val="20"/>
              </w:rPr>
              <w:t>Outcomes Module</w:t>
            </w:r>
          </w:p>
        </w:tc>
        <w:tc>
          <w:tcPr>
            <w:tcW w:w="1260" w:type="dxa"/>
          </w:tcPr>
          <w:p w:rsidR="00603046" w:rsidRPr="00B311FE" w:rsidP="00603046" w14:paraId="6B167517" w14:textId="181A7B1F">
            <w:pPr>
              <w:keepNext/>
              <w:jc w:val="center"/>
              <w:rPr>
                <w:iCs/>
                <w:sz w:val="20"/>
                <w:szCs w:val="20"/>
              </w:rPr>
            </w:pPr>
            <w:r>
              <w:rPr>
                <w:iCs/>
                <w:sz w:val="20"/>
                <w:szCs w:val="20"/>
              </w:rPr>
              <w:t>21</w:t>
            </w:r>
          </w:p>
        </w:tc>
        <w:tc>
          <w:tcPr>
            <w:tcW w:w="1170" w:type="dxa"/>
          </w:tcPr>
          <w:p w:rsidR="00603046" w:rsidRPr="00B311FE" w:rsidP="00603046" w14:paraId="66F2E79E" w14:textId="1FD928ED">
            <w:pPr>
              <w:keepNext/>
              <w:rPr>
                <w:iCs/>
                <w:sz w:val="20"/>
                <w:szCs w:val="20"/>
              </w:rPr>
            </w:pPr>
            <w:r w:rsidRPr="00B311FE">
              <w:rPr>
                <w:iCs/>
                <w:sz w:val="20"/>
                <w:szCs w:val="20"/>
              </w:rPr>
              <w:t>Grantee PDs or Evaluators</w:t>
            </w:r>
          </w:p>
        </w:tc>
        <w:tc>
          <w:tcPr>
            <w:tcW w:w="1170" w:type="dxa"/>
          </w:tcPr>
          <w:p w:rsidR="00603046" w:rsidRPr="009220DD" w:rsidP="00603046" w14:paraId="50C0C58B" w14:textId="6EAC1543">
            <w:pPr>
              <w:keepNext/>
              <w:jc w:val="center"/>
              <w:rPr>
                <w:iCs/>
                <w:sz w:val="20"/>
                <w:szCs w:val="20"/>
              </w:rPr>
            </w:pPr>
            <w:r>
              <w:rPr>
                <w:iCs/>
                <w:sz w:val="20"/>
                <w:szCs w:val="20"/>
              </w:rPr>
              <w:t>5.2</w:t>
            </w:r>
          </w:p>
        </w:tc>
        <w:tc>
          <w:tcPr>
            <w:tcW w:w="990" w:type="dxa"/>
          </w:tcPr>
          <w:p w:rsidR="00603046" w:rsidRPr="009220DD" w:rsidP="00603046" w14:paraId="0262CC1C" w14:textId="4AF21047">
            <w:pPr>
              <w:keepNext/>
              <w:jc w:val="center"/>
              <w:rPr>
                <w:iCs/>
                <w:sz w:val="20"/>
                <w:szCs w:val="20"/>
              </w:rPr>
            </w:pPr>
            <w:r>
              <w:rPr>
                <w:iCs/>
                <w:sz w:val="20"/>
                <w:szCs w:val="20"/>
              </w:rPr>
              <w:t>107</w:t>
            </w:r>
          </w:p>
        </w:tc>
        <w:tc>
          <w:tcPr>
            <w:tcW w:w="900" w:type="dxa"/>
          </w:tcPr>
          <w:p w:rsidR="00603046" w:rsidRPr="00B311FE" w:rsidP="00603046" w14:paraId="49E1C35E" w14:textId="229F72EE">
            <w:pPr>
              <w:keepNext/>
              <w:jc w:val="center"/>
              <w:rPr>
                <w:iCs/>
                <w:sz w:val="20"/>
                <w:szCs w:val="20"/>
              </w:rPr>
            </w:pPr>
            <w:r w:rsidRPr="0082030C">
              <w:rPr>
                <w:iCs/>
                <w:sz w:val="20"/>
                <w:szCs w:val="20"/>
              </w:rPr>
              <w:t>1.25</w:t>
            </w:r>
          </w:p>
        </w:tc>
        <w:tc>
          <w:tcPr>
            <w:tcW w:w="990" w:type="dxa"/>
          </w:tcPr>
          <w:p w:rsidR="00603046" w:rsidRPr="009220DD" w:rsidP="00603046" w14:paraId="031A25B4" w14:textId="43676097">
            <w:pPr>
              <w:keepNext/>
              <w:jc w:val="center"/>
              <w:rPr>
                <w:iCs/>
                <w:sz w:val="20"/>
                <w:szCs w:val="20"/>
              </w:rPr>
            </w:pPr>
            <w:r>
              <w:rPr>
                <w:iCs/>
                <w:sz w:val="20"/>
                <w:szCs w:val="20"/>
              </w:rPr>
              <w:t>134.17</w:t>
            </w:r>
          </w:p>
        </w:tc>
        <w:tc>
          <w:tcPr>
            <w:tcW w:w="990" w:type="dxa"/>
          </w:tcPr>
          <w:p w:rsidR="00603046" w:rsidRPr="00B311FE" w:rsidP="00603046" w14:paraId="066EDEF6" w14:textId="4EAD2BE2">
            <w:pPr>
              <w:keepNext/>
              <w:tabs>
                <w:tab w:val="decimal" w:pos="828"/>
              </w:tabs>
              <w:jc w:val="right"/>
              <w:rPr>
                <w:iCs/>
                <w:sz w:val="20"/>
                <w:szCs w:val="20"/>
              </w:rPr>
            </w:pPr>
            <w:r w:rsidRPr="00A63D04">
              <w:rPr>
                <w:iCs/>
                <w:sz w:val="20"/>
                <w:szCs w:val="20"/>
              </w:rPr>
              <w:t>$</w:t>
            </w:r>
            <w:r w:rsidR="00CE1468">
              <w:rPr>
                <w:iCs/>
                <w:sz w:val="20"/>
                <w:szCs w:val="20"/>
              </w:rPr>
              <w:t>50.85</w:t>
            </w:r>
          </w:p>
        </w:tc>
        <w:tc>
          <w:tcPr>
            <w:tcW w:w="1171" w:type="dxa"/>
          </w:tcPr>
          <w:p w:rsidR="00603046" w:rsidRPr="009220DD" w:rsidP="00603046" w14:paraId="1FF8FD8D" w14:textId="6FF150CD">
            <w:pPr>
              <w:keepNext/>
              <w:tabs>
                <w:tab w:val="decimal" w:pos="828"/>
              </w:tabs>
              <w:jc w:val="right"/>
              <w:rPr>
                <w:iCs/>
                <w:sz w:val="20"/>
                <w:szCs w:val="20"/>
              </w:rPr>
            </w:pPr>
            <w:r w:rsidRPr="00A63D04">
              <w:rPr>
                <w:iCs/>
                <w:sz w:val="20"/>
                <w:szCs w:val="20"/>
              </w:rPr>
              <w:t>$</w:t>
            </w:r>
            <w:r w:rsidR="00290BDA">
              <w:rPr>
                <w:iCs/>
                <w:sz w:val="20"/>
                <w:szCs w:val="20"/>
              </w:rPr>
              <w:t>6,822.38</w:t>
            </w:r>
          </w:p>
        </w:tc>
      </w:tr>
      <w:tr w14:paraId="3DE34EE6" w14:textId="2E23BD7A" w:rsidTr="00F73C3F">
        <w:tblPrEx>
          <w:tblW w:w="9806" w:type="dxa"/>
          <w:tblLayout w:type="fixed"/>
          <w:tblCellMar>
            <w:left w:w="43" w:type="dxa"/>
            <w:right w:w="43" w:type="dxa"/>
          </w:tblCellMar>
          <w:tblLook w:val="04A0"/>
        </w:tblPrEx>
        <w:trPr>
          <w:trHeight w:val="412"/>
        </w:trPr>
        <w:tc>
          <w:tcPr>
            <w:tcW w:w="1165" w:type="dxa"/>
          </w:tcPr>
          <w:p w:rsidR="00CE1468" w:rsidRPr="00F27C16" w:rsidP="00CE1468" w14:paraId="1424BAE5" w14:textId="77777777">
            <w:pPr>
              <w:keepNext/>
              <w:rPr>
                <w:iCs/>
                <w:sz w:val="20"/>
                <w:szCs w:val="20"/>
              </w:rPr>
            </w:pPr>
            <w:r w:rsidRPr="00F27C16">
              <w:rPr>
                <w:iCs/>
                <w:sz w:val="20"/>
                <w:szCs w:val="20"/>
              </w:rPr>
              <w:t>Grantee-Level Interview</w:t>
            </w:r>
          </w:p>
        </w:tc>
        <w:tc>
          <w:tcPr>
            <w:tcW w:w="1260" w:type="dxa"/>
          </w:tcPr>
          <w:p w:rsidR="00CE1468" w:rsidRPr="00F27C16" w:rsidP="00CE1468" w14:paraId="5466AE24" w14:textId="2624B336">
            <w:pPr>
              <w:keepNext/>
              <w:jc w:val="center"/>
              <w:rPr>
                <w:iCs/>
                <w:sz w:val="20"/>
                <w:szCs w:val="20"/>
              </w:rPr>
            </w:pPr>
            <w:r>
              <w:rPr>
                <w:iCs/>
                <w:sz w:val="20"/>
                <w:szCs w:val="20"/>
              </w:rPr>
              <w:t>21</w:t>
            </w:r>
          </w:p>
        </w:tc>
        <w:tc>
          <w:tcPr>
            <w:tcW w:w="1170" w:type="dxa"/>
          </w:tcPr>
          <w:p w:rsidR="00CE1468" w:rsidRPr="00F27C16" w:rsidP="00CE1468" w14:paraId="66063B90" w14:textId="6903DD3E">
            <w:pPr>
              <w:keepNext/>
              <w:rPr>
                <w:iCs/>
                <w:sz w:val="20"/>
                <w:szCs w:val="20"/>
              </w:rPr>
            </w:pPr>
            <w:r w:rsidRPr="00F27C16">
              <w:rPr>
                <w:iCs/>
                <w:sz w:val="20"/>
                <w:szCs w:val="20"/>
              </w:rPr>
              <w:t>Grantee PDs or Evaluators</w:t>
            </w:r>
          </w:p>
        </w:tc>
        <w:tc>
          <w:tcPr>
            <w:tcW w:w="1170" w:type="dxa"/>
          </w:tcPr>
          <w:p w:rsidR="00CE1468" w:rsidRPr="00F27C16" w:rsidP="00CE1468" w14:paraId="2B2EE9D2" w14:textId="45C13D9B">
            <w:pPr>
              <w:keepNext/>
              <w:jc w:val="center"/>
              <w:rPr>
                <w:iCs/>
                <w:sz w:val="20"/>
                <w:szCs w:val="20"/>
              </w:rPr>
            </w:pPr>
            <w:r>
              <w:rPr>
                <w:iCs/>
                <w:sz w:val="20"/>
                <w:szCs w:val="20"/>
              </w:rPr>
              <w:t>1</w:t>
            </w:r>
          </w:p>
        </w:tc>
        <w:tc>
          <w:tcPr>
            <w:tcW w:w="990" w:type="dxa"/>
          </w:tcPr>
          <w:p w:rsidR="00CE1468" w:rsidRPr="00F27C16" w:rsidP="00CE1468" w14:paraId="782FBB0F" w14:textId="13B9FAD3">
            <w:pPr>
              <w:keepNext/>
              <w:jc w:val="center"/>
              <w:rPr>
                <w:iCs/>
                <w:sz w:val="20"/>
                <w:szCs w:val="20"/>
              </w:rPr>
            </w:pPr>
            <w:r>
              <w:rPr>
                <w:iCs/>
                <w:sz w:val="20"/>
                <w:szCs w:val="20"/>
              </w:rPr>
              <w:t>21</w:t>
            </w:r>
          </w:p>
        </w:tc>
        <w:tc>
          <w:tcPr>
            <w:tcW w:w="900" w:type="dxa"/>
          </w:tcPr>
          <w:p w:rsidR="00CE1468" w:rsidRPr="00F27C16" w:rsidP="00CE1468" w14:paraId="1E80D72A" w14:textId="521866F1">
            <w:pPr>
              <w:keepNext/>
              <w:jc w:val="center"/>
              <w:rPr>
                <w:iCs/>
                <w:sz w:val="20"/>
                <w:szCs w:val="20"/>
              </w:rPr>
            </w:pPr>
            <w:r>
              <w:rPr>
                <w:iCs/>
                <w:sz w:val="20"/>
                <w:szCs w:val="20"/>
              </w:rPr>
              <w:t>1.5</w:t>
            </w:r>
          </w:p>
        </w:tc>
        <w:tc>
          <w:tcPr>
            <w:tcW w:w="990" w:type="dxa"/>
          </w:tcPr>
          <w:p w:rsidR="00CE1468" w:rsidRPr="00F27C16" w:rsidP="00CE1468" w14:paraId="5B6432D8" w14:textId="60D81BE2">
            <w:pPr>
              <w:keepNext/>
              <w:jc w:val="center"/>
              <w:rPr>
                <w:iCs/>
                <w:sz w:val="20"/>
                <w:szCs w:val="20"/>
              </w:rPr>
            </w:pPr>
            <w:r>
              <w:rPr>
                <w:iCs/>
                <w:sz w:val="20"/>
                <w:szCs w:val="20"/>
              </w:rPr>
              <w:t>31</w:t>
            </w:r>
          </w:p>
        </w:tc>
        <w:tc>
          <w:tcPr>
            <w:tcW w:w="990" w:type="dxa"/>
          </w:tcPr>
          <w:p w:rsidR="00CE1468" w:rsidRPr="00F27C16" w:rsidP="00CE1468" w14:paraId="5F055F36" w14:textId="0834B97D">
            <w:pPr>
              <w:keepNext/>
              <w:tabs>
                <w:tab w:val="left" w:pos="391"/>
                <w:tab w:val="decimal" w:pos="828"/>
              </w:tabs>
              <w:jc w:val="right"/>
              <w:rPr>
                <w:iCs/>
                <w:sz w:val="20"/>
                <w:szCs w:val="20"/>
              </w:rPr>
            </w:pPr>
            <w:r w:rsidRPr="00A63D04">
              <w:rPr>
                <w:iCs/>
                <w:sz w:val="20"/>
                <w:szCs w:val="20"/>
              </w:rPr>
              <w:t>$</w:t>
            </w:r>
            <w:r>
              <w:rPr>
                <w:iCs/>
                <w:sz w:val="20"/>
                <w:szCs w:val="20"/>
              </w:rPr>
              <w:t>50.85</w:t>
            </w:r>
          </w:p>
        </w:tc>
        <w:tc>
          <w:tcPr>
            <w:tcW w:w="1171" w:type="dxa"/>
          </w:tcPr>
          <w:p w:rsidR="00CE1468" w:rsidRPr="00F27C16" w:rsidP="00CE1468" w14:paraId="2C28AE17" w14:textId="17865037">
            <w:pPr>
              <w:keepNext/>
              <w:tabs>
                <w:tab w:val="left" w:pos="391"/>
                <w:tab w:val="decimal" w:pos="828"/>
              </w:tabs>
              <w:jc w:val="right"/>
              <w:rPr>
                <w:iCs/>
                <w:sz w:val="20"/>
                <w:szCs w:val="20"/>
              </w:rPr>
            </w:pPr>
            <w:r w:rsidRPr="00853F14">
              <w:rPr>
                <w:iCs/>
                <w:sz w:val="20"/>
                <w:szCs w:val="20"/>
              </w:rPr>
              <w:t>$</w:t>
            </w:r>
            <w:r w:rsidR="00C52BEE">
              <w:rPr>
                <w:iCs/>
                <w:sz w:val="20"/>
                <w:szCs w:val="20"/>
              </w:rPr>
              <w:t>1,</w:t>
            </w:r>
            <w:r w:rsidR="00290BDA">
              <w:rPr>
                <w:iCs/>
                <w:sz w:val="20"/>
                <w:szCs w:val="20"/>
              </w:rPr>
              <w:t>576.35</w:t>
            </w:r>
          </w:p>
        </w:tc>
      </w:tr>
      <w:tr w14:paraId="7018765B" w14:textId="2FAB67BF" w:rsidTr="00F73C3F">
        <w:tblPrEx>
          <w:tblW w:w="9806" w:type="dxa"/>
          <w:tblLayout w:type="fixed"/>
          <w:tblCellMar>
            <w:left w:w="43" w:type="dxa"/>
            <w:right w:w="43" w:type="dxa"/>
          </w:tblCellMar>
          <w:tblLook w:val="04A0"/>
        </w:tblPrEx>
        <w:trPr>
          <w:trHeight w:val="412"/>
        </w:trPr>
        <w:tc>
          <w:tcPr>
            <w:tcW w:w="1165" w:type="dxa"/>
          </w:tcPr>
          <w:p w:rsidR="00734BF4" w:rsidRPr="00F27C16" w:rsidP="00E5311C" w14:paraId="5456B062" w14:textId="11A59519">
            <w:pPr>
              <w:keepNext/>
              <w:rPr>
                <w:b/>
                <w:iCs/>
                <w:sz w:val="20"/>
                <w:szCs w:val="20"/>
              </w:rPr>
            </w:pPr>
            <w:r w:rsidRPr="00F27C16">
              <w:rPr>
                <w:b/>
                <w:iCs/>
                <w:sz w:val="20"/>
                <w:szCs w:val="20"/>
              </w:rPr>
              <w:t xml:space="preserve">Total </w:t>
            </w:r>
            <w:r w:rsidR="000D11DB">
              <w:rPr>
                <w:b/>
                <w:iCs/>
                <w:sz w:val="20"/>
                <w:szCs w:val="20"/>
              </w:rPr>
              <w:t xml:space="preserve">Annualized </w:t>
            </w:r>
            <w:r w:rsidRPr="00F27C16">
              <w:rPr>
                <w:b/>
                <w:iCs/>
                <w:sz w:val="20"/>
                <w:szCs w:val="20"/>
              </w:rPr>
              <w:t xml:space="preserve">Burden </w:t>
            </w:r>
          </w:p>
        </w:tc>
        <w:tc>
          <w:tcPr>
            <w:tcW w:w="1260" w:type="dxa"/>
          </w:tcPr>
          <w:p w:rsidR="00734BF4" w:rsidRPr="00887BF3" w:rsidP="007D2A2F" w14:paraId="0DD3AD9F" w14:textId="2507810A">
            <w:pPr>
              <w:keepNext/>
              <w:jc w:val="center"/>
              <w:rPr>
                <w:b/>
                <w:iCs/>
                <w:sz w:val="20"/>
                <w:szCs w:val="20"/>
              </w:rPr>
            </w:pPr>
            <w:r>
              <w:rPr>
                <w:b/>
                <w:iCs/>
                <w:sz w:val="20"/>
                <w:szCs w:val="20"/>
              </w:rPr>
              <w:t>1</w:t>
            </w:r>
            <w:r w:rsidR="00E13F76">
              <w:rPr>
                <w:b/>
                <w:iCs/>
                <w:sz w:val="20"/>
                <w:szCs w:val="20"/>
              </w:rPr>
              <w:t>91</w:t>
            </w:r>
          </w:p>
        </w:tc>
        <w:tc>
          <w:tcPr>
            <w:tcW w:w="1170" w:type="dxa"/>
          </w:tcPr>
          <w:p w:rsidR="00734BF4" w:rsidRPr="00F27C16" w:rsidP="00E5311C" w14:paraId="4EE8757B" w14:textId="77777777">
            <w:pPr>
              <w:keepNext/>
              <w:jc w:val="center"/>
              <w:rPr>
                <w:iCs/>
                <w:sz w:val="20"/>
                <w:szCs w:val="20"/>
              </w:rPr>
            </w:pPr>
          </w:p>
        </w:tc>
        <w:tc>
          <w:tcPr>
            <w:tcW w:w="1170" w:type="dxa"/>
          </w:tcPr>
          <w:p w:rsidR="00734BF4" w:rsidRPr="00F27C16" w:rsidP="00E5311C" w14:paraId="6B0CCE61" w14:textId="77777777">
            <w:pPr>
              <w:keepNext/>
              <w:jc w:val="center"/>
              <w:rPr>
                <w:b/>
                <w:iCs/>
                <w:sz w:val="20"/>
                <w:szCs w:val="20"/>
              </w:rPr>
            </w:pPr>
          </w:p>
        </w:tc>
        <w:tc>
          <w:tcPr>
            <w:tcW w:w="990" w:type="dxa"/>
          </w:tcPr>
          <w:p w:rsidR="00734BF4" w:rsidRPr="00F27C16" w:rsidP="00E5311C" w14:paraId="52D4AB84" w14:textId="6F0DB6E7">
            <w:pPr>
              <w:keepNext/>
              <w:jc w:val="center"/>
              <w:rPr>
                <w:iCs/>
                <w:sz w:val="20"/>
                <w:szCs w:val="20"/>
              </w:rPr>
            </w:pPr>
            <w:r>
              <w:rPr>
                <w:b/>
                <w:iCs/>
                <w:sz w:val="20"/>
                <w:szCs w:val="20"/>
              </w:rPr>
              <w:t>2</w:t>
            </w:r>
            <w:r w:rsidR="000E443D">
              <w:rPr>
                <w:b/>
                <w:iCs/>
                <w:sz w:val="20"/>
                <w:szCs w:val="20"/>
              </w:rPr>
              <w:t>77</w:t>
            </w:r>
          </w:p>
        </w:tc>
        <w:tc>
          <w:tcPr>
            <w:tcW w:w="900" w:type="dxa"/>
          </w:tcPr>
          <w:p w:rsidR="00734BF4" w:rsidRPr="00F27C16" w:rsidP="00E5311C" w14:paraId="3F33C11F" w14:textId="77777777">
            <w:pPr>
              <w:keepNext/>
              <w:jc w:val="center"/>
              <w:rPr>
                <w:b/>
                <w:iCs/>
                <w:sz w:val="20"/>
                <w:szCs w:val="20"/>
              </w:rPr>
            </w:pPr>
          </w:p>
        </w:tc>
        <w:tc>
          <w:tcPr>
            <w:tcW w:w="990" w:type="dxa"/>
          </w:tcPr>
          <w:p w:rsidR="00734BF4" w:rsidRPr="00F27C16" w:rsidP="009220DD" w14:paraId="6EAA00E7" w14:textId="2E2D2073">
            <w:pPr>
              <w:keepNext/>
              <w:jc w:val="center"/>
              <w:rPr>
                <w:b/>
                <w:iCs/>
                <w:sz w:val="20"/>
                <w:szCs w:val="20"/>
              </w:rPr>
            </w:pPr>
            <w:r>
              <w:rPr>
                <w:b/>
                <w:iCs/>
                <w:sz w:val="20"/>
                <w:szCs w:val="20"/>
              </w:rPr>
              <w:t>409.17</w:t>
            </w:r>
          </w:p>
        </w:tc>
        <w:tc>
          <w:tcPr>
            <w:tcW w:w="990" w:type="dxa"/>
          </w:tcPr>
          <w:p w:rsidR="00734BF4" w:rsidRPr="00F27C16" w:rsidP="00E5311C" w14:paraId="01D1B30F" w14:textId="77777777">
            <w:pPr>
              <w:keepNext/>
              <w:tabs>
                <w:tab w:val="decimal" w:pos="828"/>
              </w:tabs>
              <w:jc w:val="right"/>
              <w:rPr>
                <w:b/>
                <w:iCs/>
                <w:sz w:val="20"/>
                <w:szCs w:val="20"/>
              </w:rPr>
            </w:pPr>
          </w:p>
        </w:tc>
        <w:tc>
          <w:tcPr>
            <w:tcW w:w="1171" w:type="dxa"/>
          </w:tcPr>
          <w:p w:rsidR="00734BF4" w:rsidRPr="00F27C16" w:rsidP="009220DD" w14:paraId="5DB7D77D" w14:textId="69C53868">
            <w:pPr>
              <w:keepNext/>
              <w:tabs>
                <w:tab w:val="decimal" w:pos="828"/>
              </w:tabs>
              <w:jc w:val="right"/>
              <w:rPr>
                <w:b/>
                <w:iCs/>
                <w:sz w:val="20"/>
                <w:szCs w:val="20"/>
              </w:rPr>
            </w:pPr>
            <w:r>
              <w:rPr>
                <w:b/>
                <w:iCs/>
                <w:sz w:val="20"/>
                <w:szCs w:val="20"/>
              </w:rPr>
              <w:t>$</w:t>
            </w:r>
            <w:r w:rsidR="00C52BEE">
              <w:rPr>
                <w:b/>
                <w:iCs/>
                <w:sz w:val="20"/>
                <w:szCs w:val="20"/>
              </w:rPr>
              <w:t>1</w:t>
            </w:r>
            <w:r w:rsidR="00DC0F52">
              <w:rPr>
                <w:b/>
                <w:iCs/>
                <w:sz w:val="20"/>
                <w:szCs w:val="20"/>
              </w:rPr>
              <w:t>7,522.49</w:t>
            </w:r>
          </w:p>
        </w:tc>
      </w:tr>
    </w:tbl>
    <w:p w:rsidR="00C37873" w:rsidRPr="00C37873" w:rsidP="00C37873" w14:paraId="6A991BB5" w14:textId="77777777">
      <w:pPr>
        <w:pStyle w:val="ExhibitNote1"/>
        <w:rPr>
          <w:rFonts w:cs="Times New Roman"/>
          <w:bCs/>
          <w:i/>
        </w:rPr>
      </w:pPr>
      <w:r>
        <w:rPr>
          <w:rFonts w:cs="Times New Roman"/>
          <w:b/>
          <w:i/>
        </w:rPr>
        <w:t xml:space="preserve">PD = </w:t>
      </w:r>
      <w:r>
        <w:rPr>
          <w:rFonts w:cs="Times New Roman"/>
          <w:bCs/>
          <w:i/>
        </w:rPr>
        <w:t>Project Director</w:t>
      </w:r>
    </w:p>
    <w:p w:rsidR="00B33BB8" w:rsidRPr="00816C0B" w:rsidP="00B33BB8" w14:paraId="715F0321" w14:textId="18BFC66A">
      <w:pPr>
        <w:pStyle w:val="ExhibitNote1"/>
        <w:rPr>
          <w:i/>
        </w:rPr>
      </w:pPr>
      <w:r w:rsidRPr="00816C0B">
        <w:rPr>
          <w:rFonts w:cs="Times New Roman"/>
          <w:i/>
          <w:vertAlign w:val="superscript"/>
        </w:rPr>
        <w:t>a</w:t>
      </w:r>
      <w:r w:rsidRPr="00816C0B">
        <w:rPr>
          <w:rFonts w:cs="Times New Roman"/>
          <w:i/>
        </w:rPr>
        <w:t xml:space="preserve"> </w:t>
      </w:r>
      <w:r w:rsidRPr="00816C0B">
        <w:rPr>
          <w:b/>
          <w:bCs/>
          <w:i/>
        </w:rPr>
        <w:t>Annualized Data Collection Burden</w:t>
      </w:r>
      <w:r w:rsidRPr="00816C0B">
        <w:rPr>
          <w:i/>
        </w:rPr>
        <w:t xml:space="preserve"> captures the average number of respondents and responses, burden hours, and respondent cost over the </w:t>
      </w:r>
      <w:r w:rsidR="00596506">
        <w:rPr>
          <w:i/>
        </w:rPr>
        <w:t xml:space="preserve">3 </w:t>
      </w:r>
      <w:r w:rsidRPr="00816C0B">
        <w:rPr>
          <w:i/>
        </w:rPr>
        <w:t>years (FY</w:t>
      </w:r>
      <w:r w:rsidR="00FE1DE7">
        <w:rPr>
          <w:i/>
        </w:rPr>
        <w:t xml:space="preserve"> </w:t>
      </w:r>
      <w:r w:rsidRPr="00816C0B" w:rsidR="00E41A13">
        <w:rPr>
          <w:i/>
        </w:rPr>
        <w:t>202</w:t>
      </w:r>
      <w:r w:rsidR="003F5A31">
        <w:rPr>
          <w:i/>
        </w:rPr>
        <w:t>6</w:t>
      </w:r>
      <w:r w:rsidRPr="00816C0B">
        <w:rPr>
          <w:i/>
        </w:rPr>
        <w:t>–FY</w:t>
      </w:r>
      <w:r w:rsidR="00FE1DE7">
        <w:rPr>
          <w:i/>
        </w:rPr>
        <w:t xml:space="preserve"> </w:t>
      </w:r>
      <w:r w:rsidRPr="00816C0B" w:rsidR="00596506">
        <w:rPr>
          <w:i/>
        </w:rPr>
        <w:t>202</w:t>
      </w:r>
      <w:r w:rsidR="00596506">
        <w:rPr>
          <w:i/>
        </w:rPr>
        <w:t>8</w:t>
      </w:r>
      <w:r w:rsidRPr="00816C0B">
        <w:rPr>
          <w:i/>
        </w:rPr>
        <w:t>).</w:t>
      </w:r>
    </w:p>
    <w:p w:rsidR="009340DD" w:rsidRPr="00816C0B" w:rsidP="00973697" w14:paraId="75816383" w14:textId="0F62B22D">
      <w:pPr>
        <w:pStyle w:val="ExhibitNote1"/>
        <w:rPr>
          <w:rFonts w:cs="Times New Roman"/>
          <w:i/>
        </w:rPr>
      </w:pPr>
      <w:r w:rsidRPr="00816C0B">
        <w:rPr>
          <w:rFonts w:cs="Times New Roman"/>
          <w:b/>
          <w:i/>
          <w:vertAlign w:val="superscript"/>
        </w:rPr>
        <w:t>b</w:t>
      </w:r>
      <w:r w:rsidRPr="00816C0B" w:rsidR="00170F0F">
        <w:rPr>
          <w:rFonts w:cs="Times New Roman"/>
          <w:b/>
          <w:i/>
          <w:vertAlign w:val="superscript"/>
        </w:rPr>
        <w:t xml:space="preserve"> </w:t>
      </w:r>
      <w:r w:rsidRPr="00816C0B" w:rsidR="00170F0F">
        <w:rPr>
          <w:rFonts w:cs="Times New Roman"/>
          <w:b/>
          <w:i/>
        </w:rPr>
        <w:t xml:space="preserve">The </w:t>
      </w:r>
      <w:r w:rsidR="003F1D06">
        <w:rPr>
          <w:rFonts w:cs="Times New Roman"/>
          <w:b/>
          <w:i/>
        </w:rPr>
        <w:t>ART</w:t>
      </w:r>
      <w:r w:rsidRPr="00816C0B" w:rsidR="00170F0F">
        <w:rPr>
          <w:rFonts w:cs="Times New Roman"/>
          <w:i/>
        </w:rPr>
        <w:t xml:space="preserve"> is used for both subrecipient and grantee-level reporting. Grantees report </w:t>
      </w:r>
      <w:r w:rsidR="003F1D06">
        <w:rPr>
          <w:rFonts w:cs="Times New Roman"/>
          <w:i/>
        </w:rPr>
        <w:t>ART</w:t>
      </w:r>
      <w:r w:rsidRPr="00816C0B" w:rsidR="00170F0F">
        <w:rPr>
          <w:rFonts w:cs="Times New Roman"/>
          <w:i/>
        </w:rPr>
        <w:t xml:space="preserve"> data at the state or tribal grantee-level, and subrecipients report the </w:t>
      </w:r>
      <w:r w:rsidR="003F1D06">
        <w:rPr>
          <w:rFonts w:cs="Times New Roman"/>
          <w:i/>
        </w:rPr>
        <w:t>ART</w:t>
      </w:r>
      <w:r w:rsidRPr="00816C0B" w:rsidR="00170F0F">
        <w:rPr>
          <w:rFonts w:cs="Times New Roman"/>
          <w:i/>
        </w:rPr>
        <w:t xml:space="preserve"> at the community-level.</w:t>
      </w:r>
    </w:p>
    <w:p w:rsidR="00E5311C" w:rsidRPr="00816C0B" w:rsidP="00E5311C" w14:paraId="597F2494" w14:textId="5F11D19C">
      <w:pPr>
        <w:pStyle w:val="ExhibitNote1"/>
        <w:rPr>
          <w:rFonts w:cs="Times New Roman"/>
          <w:i/>
        </w:rPr>
      </w:pPr>
      <w:r w:rsidRPr="00816C0B">
        <w:rPr>
          <w:rFonts w:cs="Times New Roman"/>
          <w:b/>
          <w:i/>
          <w:vertAlign w:val="superscript"/>
        </w:rPr>
        <w:t>c</w:t>
      </w:r>
      <w:r w:rsidRPr="00816C0B">
        <w:rPr>
          <w:rFonts w:cs="Times New Roman"/>
          <w:b/>
          <w:i/>
          <w:vertAlign w:val="superscript"/>
        </w:rPr>
        <w:t xml:space="preserve"> </w:t>
      </w:r>
      <w:r w:rsidRPr="00816C0B">
        <w:rPr>
          <w:rFonts w:cs="Times New Roman"/>
          <w:b/>
          <w:i/>
        </w:rPr>
        <w:t>Grantee PD or Evaluator hourly wage</w:t>
      </w:r>
      <w:r w:rsidRPr="00816C0B">
        <w:rPr>
          <w:rFonts w:cs="Times New Roman"/>
          <w:i/>
        </w:rPr>
        <w:t xml:space="preserve"> is based on the mean hourly wage for state government managers, as reported in the </w:t>
      </w:r>
      <w:r w:rsidRPr="00816C0B" w:rsidR="00CE1468">
        <w:rPr>
          <w:rFonts w:cs="Times New Roman"/>
          <w:i/>
        </w:rPr>
        <w:t>20</w:t>
      </w:r>
      <w:r w:rsidR="00CE1468">
        <w:rPr>
          <w:rFonts w:cs="Times New Roman"/>
          <w:i/>
        </w:rPr>
        <w:t>23</w:t>
      </w:r>
      <w:r w:rsidRPr="00816C0B" w:rsidR="00CE1468">
        <w:rPr>
          <w:rFonts w:cs="Times New Roman"/>
          <w:i/>
        </w:rPr>
        <w:t xml:space="preserve"> </w:t>
      </w:r>
      <w:r w:rsidRPr="00816C0B">
        <w:rPr>
          <w:rFonts w:cs="Times New Roman"/>
          <w:i/>
        </w:rPr>
        <w:t xml:space="preserve">Occupational Employment (OES) by the Bureau of Labor Statistics (BLS) found at </w:t>
      </w:r>
      <w:hyperlink r:id="rId12" w:anchor="11-00000" w:history="1">
        <w:r w:rsidRPr="00816C0B">
          <w:rPr>
            <w:rStyle w:val="Hyperlink"/>
            <w:rFonts w:cs="Times New Roman"/>
            <w:i/>
          </w:rPr>
          <w:t>https://www.bls.gov/oes/current/naics4_999200.htm#11-00000</w:t>
        </w:r>
      </w:hyperlink>
      <w:r w:rsidRPr="00816C0B">
        <w:rPr>
          <w:rFonts w:cs="Times New Roman"/>
          <w:i/>
        </w:rPr>
        <w:t>.</w:t>
      </w:r>
    </w:p>
    <w:p w:rsidR="00E5311C" w:rsidRPr="00816C0B" w:rsidP="00E5311C" w14:paraId="7DAB2ABD" w14:textId="4723359A">
      <w:pPr>
        <w:pStyle w:val="ExhibitNote1"/>
        <w:rPr>
          <w:rFonts w:cs="Times New Roman"/>
          <w:i/>
        </w:rPr>
      </w:pPr>
      <w:r w:rsidRPr="00816C0B">
        <w:rPr>
          <w:rFonts w:cs="Times New Roman"/>
          <w:b/>
          <w:i/>
          <w:vertAlign w:val="superscript"/>
        </w:rPr>
        <w:t>d</w:t>
      </w:r>
      <w:r w:rsidRPr="00816C0B">
        <w:rPr>
          <w:rFonts w:cs="Times New Roman"/>
          <w:i/>
          <w:vertAlign w:val="superscript"/>
        </w:rPr>
        <w:t xml:space="preserve"> </w:t>
      </w:r>
      <w:r w:rsidRPr="00816C0B">
        <w:rPr>
          <w:rFonts w:cs="Times New Roman"/>
          <w:b/>
          <w:i/>
        </w:rPr>
        <w:t>Subrecipient Staff hourly wage</w:t>
      </w:r>
      <w:r w:rsidRPr="00816C0B">
        <w:rPr>
          <w:rFonts w:cs="Times New Roman"/>
          <w:i/>
        </w:rPr>
        <w:t xml:space="preserve"> is based on the mean hourly wage for local government counselors, social workers, and other community and social service specialists, as reported in the </w:t>
      </w:r>
      <w:r w:rsidRPr="00816C0B" w:rsidR="00CE1468">
        <w:rPr>
          <w:rFonts w:cs="Times New Roman"/>
          <w:i/>
        </w:rPr>
        <w:t>20</w:t>
      </w:r>
      <w:r w:rsidR="00CE1468">
        <w:rPr>
          <w:rFonts w:cs="Times New Roman"/>
          <w:i/>
        </w:rPr>
        <w:t>23</w:t>
      </w:r>
      <w:r w:rsidRPr="00816C0B" w:rsidR="00CE1468">
        <w:rPr>
          <w:rFonts w:cs="Times New Roman"/>
          <w:i/>
        </w:rPr>
        <w:t xml:space="preserve"> </w:t>
      </w:r>
      <w:r w:rsidRPr="00816C0B">
        <w:rPr>
          <w:rFonts w:cs="Times New Roman"/>
          <w:i/>
        </w:rPr>
        <w:t xml:space="preserve">OES by the BLS found at </w:t>
      </w:r>
      <w:hyperlink r:id="rId13" w:history="1">
        <w:r w:rsidRPr="00816C0B">
          <w:rPr>
            <w:rStyle w:val="Hyperlink"/>
            <w:rFonts w:cs="Times New Roman"/>
            <w:i/>
          </w:rPr>
          <w:t>https://www.bls.gov/oes/current/naics4_999300.htm</w:t>
        </w:r>
      </w:hyperlink>
      <w:r w:rsidRPr="00816C0B">
        <w:rPr>
          <w:rFonts w:cs="Times New Roman"/>
          <w:i/>
        </w:rPr>
        <w:t>.</w:t>
      </w:r>
    </w:p>
    <w:bookmarkEnd w:id="15"/>
    <w:p w:rsidR="008A5A13" w:rsidRPr="000655BF" w:rsidP="00E5311C" w14:paraId="1E7DBD01" w14:textId="7CCFBD40">
      <w:pPr>
        <w:pStyle w:val="ExhibitNote1"/>
        <w:rPr>
          <w:rFonts w:cs="Times New Roman"/>
          <w:sz w:val="24"/>
          <w:szCs w:val="24"/>
        </w:rPr>
      </w:pPr>
    </w:p>
    <w:p w:rsidR="001F1A1D" w:rsidRPr="000655BF" w:rsidP="002A1583" w14:paraId="7FD38C80" w14:textId="77777777">
      <w:pPr>
        <w:pStyle w:val="Heading2"/>
      </w:pPr>
      <w:r w:rsidRPr="000655BF">
        <w:t>A.13</w:t>
      </w:r>
      <w:r w:rsidRPr="000655BF" w:rsidR="00C6777E">
        <w:t>.</w:t>
      </w:r>
      <w:r w:rsidRPr="000655BF">
        <w:tab/>
        <w:t>Estimates of Annualized Cost Burden to Respondents</w:t>
      </w:r>
    </w:p>
    <w:p w:rsidR="001F1A1D" w:rsidRPr="000655BF" w14:paraId="71C20AB3" w14:textId="533DBFDC">
      <w:pPr>
        <w:pStyle w:val="BodyText"/>
        <w:rPr>
          <w:sz w:val="24"/>
          <w:szCs w:val="24"/>
        </w:rPr>
      </w:pPr>
      <w:r w:rsidRPr="000655BF">
        <w:rPr>
          <w:sz w:val="24"/>
          <w:szCs w:val="24"/>
        </w:rPr>
        <w:t>There are no respondent costs for capital</w:t>
      </w:r>
      <w:r w:rsidR="0029072B">
        <w:rPr>
          <w:sz w:val="24"/>
          <w:szCs w:val="24"/>
        </w:rPr>
        <w:t>,</w:t>
      </w:r>
      <w:r w:rsidRPr="000655BF">
        <w:rPr>
          <w:sz w:val="24"/>
          <w:szCs w:val="24"/>
        </w:rPr>
        <w:t xml:space="preserve"> startup</w:t>
      </w:r>
      <w:r w:rsidR="0029072B">
        <w:rPr>
          <w:sz w:val="24"/>
          <w:szCs w:val="24"/>
        </w:rPr>
        <w:t>,</w:t>
      </w:r>
      <w:r w:rsidRPr="000655BF">
        <w:rPr>
          <w:sz w:val="24"/>
          <w:szCs w:val="24"/>
        </w:rPr>
        <w:t xml:space="preserve"> operation</w:t>
      </w:r>
      <w:r w:rsidR="0029072B">
        <w:rPr>
          <w:sz w:val="24"/>
          <w:szCs w:val="24"/>
        </w:rPr>
        <w:t>,</w:t>
      </w:r>
      <w:r w:rsidRPr="000655BF">
        <w:rPr>
          <w:sz w:val="24"/>
          <w:szCs w:val="24"/>
        </w:rPr>
        <w:t xml:space="preserve"> or maintenance.</w:t>
      </w:r>
    </w:p>
    <w:p w:rsidR="001F1A1D" w:rsidRPr="000655BF" w:rsidP="002A1583" w14:paraId="3C216D23" w14:textId="77777777">
      <w:pPr>
        <w:pStyle w:val="Heading2"/>
      </w:pPr>
      <w:r w:rsidRPr="000655BF">
        <w:t>A.14</w:t>
      </w:r>
      <w:r w:rsidRPr="000655BF" w:rsidR="00C6777E">
        <w:t>.</w:t>
      </w:r>
      <w:r w:rsidRPr="000655BF">
        <w:tab/>
        <w:t>Estimates of Annualized Cost to the Government</w:t>
      </w:r>
    </w:p>
    <w:p w:rsidR="001F1A1D" w:rsidRPr="000655BF" w14:paraId="6964B825" w14:textId="579FA8B4">
      <w:pPr>
        <w:pStyle w:val="BodyText"/>
        <w:rPr>
          <w:sz w:val="24"/>
          <w:szCs w:val="24"/>
        </w:rPr>
      </w:pPr>
      <w:r w:rsidRPr="7BE1E5EB">
        <w:rPr>
          <w:sz w:val="24"/>
          <w:szCs w:val="24"/>
        </w:rPr>
        <w:t>SAMHSA plan</w:t>
      </w:r>
      <w:r w:rsidRPr="7BE1E5EB" w:rsidR="004E155F">
        <w:rPr>
          <w:sz w:val="24"/>
          <w:szCs w:val="24"/>
        </w:rPr>
        <w:t>s to</w:t>
      </w:r>
      <w:r w:rsidRPr="7BE1E5EB">
        <w:rPr>
          <w:sz w:val="24"/>
          <w:szCs w:val="24"/>
        </w:rPr>
        <w:t xml:space="preserve"> allocate resources for the management, processing, and use of the collected information in a manner that will enhance its utility to agencies. The contract award</w:t>
      </w:r>
      <w:r>
        <w:rPr>
          <w:rStyle w:val="FootnoteReference"/>
          <w:sz w:val="24"/>
          <w:szCs w:val="24"/>
        </w:rPr>
        <w:footnoteReference w:id="7"/>
      </w:r>
      <w:r w:rsidRPr="7BE1E5EB">
        <w:rPr>
          <w:sz w:val="24"/>
          <w:szCs w:val="24"/>
        </w:rPr>
        <w:t xml:space="preserve"> to cover this evaluation is $</w:t>
      </w:r>
      <w:r w:rsidR="00D2793C">
        <w:rPr>
          <w:sz w:val="24"/>
          <w:szCs w:val="24"/>
        </w:rPr>
        <w:t>2,734,383</w:t>
      </w:r>
      <w:r w:rsidRPr="7BE1E5EB">
        <w:rPr>
          <w:sz w:val="24"/>
          <w:szCs w:val="24"/>
        </w:rPr>
        <w:t xml:space="preserve"> over a </w:t>
      </w:r>
      <w:r w:rsidR="00D2793C">
        <w:rPr>
          <w:sz w:val="24"/>
          <w:szCs w:val="24"/>
        </w:rPr>
        <w:t>three</w:t>
      </w:r>
      <w:r w:rsidRPr="7BE1E5EB" w:rsidR="0029072B">
        <w:rPr>
          <w:sz w:val="24"/>
          <w:szCs w:val="24"/>
        </w:rPr>
        <w:t>-</w:t>
      </w:r>
      <w:r w:rsidRPr="7BE1E5EB" w:rsidR="00E6664D">
        <w:rPr>
          <w:sz w:val="24"/>
          <w:szCs w:val="24"/>
        </w:rPr>
        <w:t xml:space="preserve">year </w:t>
      </w:r>
      <w:r w:rsidRPr="7BE1E5EB">
        <w:rPr>
          <w:sz w:val="24"/>
          <w:szCs w:val="24"/>
        </w:rPr>
        <w:t>period. Thus, the annualized contract cost is $</w:t>
      </w:r>
      <w:r w:rsidR="00D2793C">
        <w:rPr>
          <w:sz w:val="24"/>
          <w:szCs w:val="24"/>
        </w:rPr>
        <w:t>911,461</w:t>
      </w:r>
      <w:r w:rsidRPr="7BE1E5EB">
        <w:rPr>
          <w:sz w:val="24"/>
          <w:szCs w:val="24"/>
        </w:rPr>
        <w:t xml:space="preserve">. It is estimated that </w:t>
      </w:r>
      <w:r w:rsidRPr="7BE1E5EB" w:rsidR="00900ED6">
        <w:rPr>
          <w:sz w:val="24"/>
          <w:szCs w:val="24"/>
        </w:rPr>
        <w:t xml:space="preserve">two </w:t>
      </w:r>
      <w:r w:rsidRPr="7BE1E5EB">
        <w:rPr>
          <w:sz w:val="24"/>
          <w:szCs w:val="24"/>
        </w:rPr>
        <w:t>SAMHSA employees will</w:t>
      </w:r>
      <w:r w:rsidRPr="7BE1E5EB" w:rsidR="0057369B">
        <w:rPr>
          <w:sz w:val="24"/>
          <w:szCs w:val="24"/>
        </w:rPr>
        <w:t xml:space="preserve"> each</w:t>
      </w:r>
      <w:r w:rsidRPr="7BE1E5EB">
        <w:rPr>
          <w:sz w:val="24"/>
          <w:szCs w:val="24"/>
        </w:rPr>
        <w:t xml:space="preserve"> be involved for 15</w:t>
      </w:r>
      <w:r w:rsidRPr="7BE1E5EB" w:rsidR="0029072B">
        <w:rPr>
          <w:sz w:val="24"/>
          <w:szCs w:val="24"/>
        </w:rPr>
        <w:t>%</w:t>
      </w:r>
      <w:r w:rsidRPr="7BE1E5EB">
        <w:rPr>
          <w:sz w:val="24"/>
          <w:szCs w:val="24"/>
        </w:rPr>
        <w:t xml:space="preserve"> of their </w:t>
      </w:r>
      <w:r w:rsidRPr="7BE1E5EB">
        <w:rPr>
          <w:sz w:val="24"/>
          <w:szCs w:val="24"/>
        </w:rPr>
        <w:t>time at an estimated annualized cost of $</w:t>
      </w:r>
      <w:r w:rsidR="001F107F">
        <w:rPr>
          <w:sz w:val="24"/>
          <w:szCs w:val="24"/>
        </w:rPr>
        <w:t>49,231</w:t>
      </w:r>
      <w:r w:rsidRPr="7BE1E5EB">
        <w:rPr>
          <w:sz w:val="24"/>
          <w:szCs w:val="24"/>
        </w:rPr>
        <w:t xml:space="preserve"> to the government. </w:t>
      </w:r>
      <w:r w:rsidRPr="7BE1E5EB" w:rsidR="007E6509">
        <w:rPr>
          <w:sz w:val="24"/>
          <w:szCs w:val="24"/>
        </w:rPr>
        <w:t xml:space="preserve">The total estimated average cost to the government per year is </w:t>
      </w:r>
      <w:r w:rsidRPr="00780836" w:rsidR="007E6509">
        <w:rPr>
          <w:sz w:val="24"/>
          <w:szCs w:val="24"/>
        </w:rPr>
        <w:t>$</w:t>
      </w:r>
      <w:r w:rsidR="00D2793C">
        <w:rPr>
          <w:sz w:val="24"/>
          <w:szCs w:val="24"/>
        </w:rPr>
        <w:t>960,692</w:t>
      </w:r>
      <w:r w:rsidRPr="7BE1E5EB" w:rsidR="007E6509">
        <w:rPr>
          <w:sz w:val="24"/>
          <w:szCs w:val="24"/>
        </w:rPr>
        <w:t>.</w:t>
      </w:r>
    </w:p>
    <w:p w:rsidR="001F1A1D" w:rsidRPr="000655BF" w:rsidP="002A1583" w14:paraId="57F95AE0" w14:textId="6ED3E6D5">
      <w:pPr>
        <w:pStyle w:val="Heading2"/>
      </w:pPr>
      <w:r w:rsidRPr="000655BF">
        <w:t>A.15</w:t>
      </w:r>
      <w:r w:rsidRPr="000655BF" w:rsidR="00C6777E">
        <w:t>.</w:t>
      </w:r>
      <w:r w:rsidRPr="000655BF">
        <w:tab/>
      </w:r>
      <w:r w:rsidR="00752360">
        <w:t>Reasons for Program Changes or Adjustments</w:t>
      </w:r>
    </w:p>
    <w:p w:rsidR="00654F5A" w:rsidRPr="0077220D" w:rsidP="00E6664D" w14:paraId="7CD3CCB4" w14:textId="589A3B07">
      <w:pPr>
        <w:pStyle w:val="BodyText"/>
        <w:rPr>
          <w:sz w:val="24"/>
          <w:szCs w:val="24"/>
        </w:rPr>
      </w:pPr>
      <w:r>
        <w:rPr>
          <w:sz w:val="24"/>
          <w:szCs w:val="24"/>
        </w:rPr>
        <w:t xml:space="preserve">Changes to the instruments have been made to align with the research questions for the PEPC evaluation, which differ from the previous SPF Rx evaluation to focus on current priority </w:t>
      </w:r>
      <w:r w:rsidR="00416142">
        <w:rPr>
          <w:sz w:val="24"/>
          <w:szCs w:val="24"/>
        </w:rPr>
        <w:t>of</w:t>
      </w:r>
      <w:r>
        <w:rPr>
          <w:sz w:val="24"/>
          <w:szCs w:val="24"/>
        </w:rPr>
        <w:t xml:space="preserve"> SAMHSA. </w:t>
      </w:r>
      <w:r w:rsidR="005613EE">
        <w:rPr>
          <w:sz w:val="24"/>
          <w:szCs w:val="24"/>
        </w:rPr>
        <w:t>In addition</w:t>
      </w:r>
      <w:r>
        <w:rPr>
          <w:sz w:val="24"/>
          <w:szCs w:val="24"/>
        </w:rPr>
        <w:t xml:space="preserve">, changes were made to reduce burden on individual respondents by eliminating </w:t>
      </w:r>
      <w:r>
        <w:rPr>
          <w:sz w:val="24"/>
          <w:szCs w:val="24"/>
        </w:rPr>
        <w:t>overlap</w:t>
      </w:r>
      <w:r>
        <w:rPr>
          <w:sz w:val="24"/>
          <w:szCs w:val="24"/>
        </w:rPr>
        <w:t xml:space="preserve"> with other data collections </w:t>
      </w:r>
      <w:r w:rsidR="005613EE">
        <w:rPr>
          <w:sz w:val="24"/>
          <w:szCs w:val="24"/>
        </w:rPr>
        <w:t>and</w:t>
      </w:r>
      <w:r>
        <w:rPr>
          <w:sz w:val="24"/>
          <w:szCs w:val="24"/>
        </w:rPr>
        <w:t xml:space="preserve"> to enhance data quality and allow for more in-depth analyses.</w:t>
      </w:r>
    </w:p>
    <w:p w:rsidR="001F1A1D" w:rsidRPr="000655BF" w:rsidP="002A1583" w14:paraId="64610149" w14:textId="225A5ADB">
      <w:pPr>
        <w:pStyle w:val="Heading2"/>
      </w:pPr>
      <w:r>
        <w:t xml:space="preserve">A.16. </w:t>
      </w:r>
      <w:r w:rsidR="00752360">
        <w:t>Plans for Tabulation and Publication of Results</w:t>
      </w:r>
    </w:p>
    <w:p w:rsidR="001F1A1D" w:rsidRPr="000655BF" w14:paraId="787B4879" w14:textId="77777777">
      <w:pPr>
        <w:pStyle w:val="Heading3"/>
        <w:rPr>
          <w:szCs w:val="24"/>
        </w:rPr>
      </w:pPr>
      <w:r w:rsidRPr="000655BF">
        <w:rPr>
          <w:szCs w:val="24"/>
        </w:rPr>
        <w:t xml:space="preserve">Time Schedule </w:t>
      </w:r>
    </w:p>
    <w:p w:rsidR="001F1A1D" w:rsidRPr="000655BF" w14:paraId="2C984CEF" w14:textId="4FB54694">
      <w:pPr>
        <w:pStyle w:val="BodyText"/>
        <w:rPr>
          <w:sz w:val="24"/>
          <w:szCs w:val="24"/>
        </w:rPr>
      </w:pPr>
      <w:r w:rsidRPr="000655BF">
        <w:rPr>
          <w:bCs/>
          <w:sz w:val="24"/>
          <w:szCs w:val="24"/>
        </w:rPr>
        <w:t xml:space="preserve">Exhibit </w:t>
      </w:r>
      <w:r w:rsidR="00DC0F52">
        <w:rPr>
          <w:bCs/>
          <w:sz w:val="24"/>
          <w:szCs w:val="24"/>
        </w:rPr>
        <w:t>10</w:t>
      </w:r>
      <w:r w:rsidRPr="000655BF" w:rsidR="00F537D6">
        <w:rPr>
          <w:b/>
          <w:bCs/>
          <w:sz w:val="24"/>
          <w:szCs w:val="24"/>
        </w:rPr>
        <w:t xml:space="preserve"> </w:t>
      </w:r>
      <w:r w:rsidRPr="000655BF" w:rsidR="0057369B">
        <w:rPr>
          <w:bCs/>
          <w:sz w:val="24"/>
          <w:szCs w:val="24"/>
        </w:rPr>
        <w:t xml:space="preserve">represents a timeline </w:t>
      </w:r>
      <w:r w:rsidRPr="000655BF">
        <w:rPr>
          <w:sz w:val="24"/>
          <w:szCs w:val="24"/>
        </w:rPr>
        <w:t>for data collection</w:t>
      </w:r>
      <w:r w:rsidRPr="000655BF" w:rsidR="0057369B">
        <w:rPr>
          <w:sz w:val="24"/>
          <w:szCs w:val="24"/>
        </w:rPr>
        <w:t xml:space="preserve"> </w:t>
      </w:r>
      <w:r w:rsidRPr="000655BF" w:rsidR="004C7234">
        <w:rPr>
          <w:sz w:val="24"/>
          <w:szCs w:val="24"/>
        </w:rPr>
        <w:t xml:space="preserve">and reporting </w:t>
      </w:r>
      <w:r w:rsidRPr="000655BF" w:rsidR="0057369B">
        <w:rPr>
          <w:sz w:val="24"/>
          <w:szCs w:val="24"/>
        </w:rPr>
        <w:t>benchmarks</w:t>
      </w:r>
      <w:r w:rsidRPr="000655BF" w:rsidR="005C1AA5">
        <w:rPr>
          <w:sz w:val="24"/>
          <w:szCs w:val="24"/>
        </w:rPr>
        <w:t xml:space="preserve"> for </w:t>
      </w:r>
      <w:r w:rsidRPr="000655BF" w:rsidR="00886693">
        <w:rPr>
          <w:sz w:val="24"/>
          <w:szCs w:val="24"/>
        </w:rPr>
        <w:t xml:space="preserve">the </w:t>
      </w:r>
      <w:r w:rsidR="00F54724">
        <w:rPr>
          <w:sz w:val="24"/>
          <w:szCs w:val="24"/>
        </w:rPr>
        <w:t xml:space="preserve">PEPC </w:t>
      </w:r>
      <w:r w:rsidRPr="000655BF" w:rsidR="005C1AA5">
        <w:rPr>
          <w:sz w:val="24"/>
          <w:szCs w:val="24"/>
        </w:rPr>
        <w:t>Evaluation</w:t>
      </w:r>
      <w:r w:rsidRPr="000655BF">
        <w:rPr>
          <w:sz w:val="24"/>
          <w:szCs w:val="24"/>
        </w:rPr>
        <w:t>.</w:t>
      </w:r>
    </w:p>
    <w:p w:rsidR="005C1AA5" w:rsidRPr="000655BF" w:rsidP="005F6DDC" w14:paraId="69CC33C7" w14:textId="0300DF9B">
      <w:pPr>
        <w:suppressAutoHyphens w:val="0"/>
        <w:rPr>
          <w:b/>
          <w:szCs w:val="24"/>
        </w:rPr>
      </w:pPr>
      <w:r w:rsidRPr="000655BF">
        <w:rPr>
          <w:b/>
          <w:szCs w:val="24"/>
        </w:rPr>
        <w:t xml:space="preserve">Exhibit </w:t>
      </w:r>
      <w:r w:rsidR="00DC0F52">
        <w:rPr>
          <w:b/>
          <w:szCs w:val="24"/>
        </w:rPr>
        <w:t>10</w:t>
      </w:r>
      <w:r w:rsidRPr="000655BF" w:rsidR="00CB3A67">
        <w:rPr>
          <w:b/>
          <w:szCs w:val="24"/>
        </w:rPr>
        <w:t>.</w:t>
      </w:r>
      <w:r w:rsidRPr="000655BF">
        <w:rPr>
          <w:b/>
          <w:szCs w:val="24"/>
        </w:rPr>
        <w:t xml:space="preserve"> Time Schedule for </w:t>
      </w:r>
      <w:r w:rsidR="00D00AE7">
        <w:rPr>
          <w:b/>
          <w:szCs w:val="24"/>
        </w:rPr>
        <w:t>SPF Rx</w:t>
      </w:r>
      <w:r w:rsidRPr="000655BF">
        <w:rPr>
          <w:b/>
          <w:szCs w:val="24"/>
        </w:rPr>
        <w:t xml:space="preserve"> Evaluation Data Collection</w:t>
      </w:r>
    </w:p>
    <w:p w:rsidR="005F6DDC" w:rsidRPr="000655BF" w:rsidP="005F6DDC" w14:paraId="59EB5A05" w14:textId="77777777">
      <w:pPr>
        <w:suppressAutoHyphens w:val="0"/>
        <w:rPr>
          <w:b/>
          <w:szCs w:val="24"/>
        </w:rPr>
      </w:pPr>
    </w:p>
    <w:tbl>
      <w:tblPr>
        <w:tblW w:w="8818" w:type="dxa"/>
        <w:tblInd w:w="86" w:type="dxa"/>
        <w:tblLayout w:type="fixed"/>
        <w:tblCellMar>
          <w:left w:w="10" w:type="dxa"/>
          <w:right w:w="10" w:type="dxa"/>
        </w:tblCellMar>
        <w:tblLook w:val="04A0"/>
      </w:tblPr>
      <w:tblGrid>
        <w:gridCol w:w="5579"/>
        <w:gridCol w:w="3239"/>
      </w:tblGrid>
      <w:tr w14:paraId="44746480"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86" w:type="dxa"/>
              <w:bottom w:w="0" w:type="dxa"/>
              <w:right w:w="86" w:type="dxa"/>
            </w:tcMar>
            <w:vAlign w:val="bottom"/>
          </w:tcPr>
          <w:p w:rsidR="005C1AA5" w:rsidRPr="000655BF" w:rsidP="008E1A25" w14:paraId="34E94DE7" w14:textId="77777777">
            <w:pPr>
              <w:rPr>
                <w:b/>
                <w:bCs/>
                <w:szCs w:val="24"/>
              </w:rPr>
            </w:pPr>
            <w:r w:rsidRPr="000655BF">
              <w:rPr>
                <w:b/>
                <w:bCs/>
                <w:szCs w:val="24"/>
              </w:rPr>
              <w:t>Activity</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0" w:type="dxa"/>
              <w:left w:w="86" w:type="dxa"/>
              <w:bottom w:w="0" w:type="dxa"/>
              <w:right w:w="86" w:type="dxa"/>
            </w:tcMar>
            <w:vAlign w:val="bottom"/>
          </w:tcPr>
          <w:p w:rsidR="005C1AA5" w:rsidRPr="000655BF" w:rsidP="008E1A25" w14:paraId="755E79D2" w14:textId="77777777">
            <w:pPr>
              <w:rPr>
                <w:b/>
                <w:bCs/>
                <w:szCs w:val="24"/>
              </w:rPr>
            </w:pPr>
            <w:r w:rsidRPr="000655BF">
              <w:rPr>
                <w:b/>
                <w:bCs/>
                <w:szCs w:val="24"/>
              </w:rPr>
              <w:t>Time Schedule</w:t>
            </w:r>
          </w:p>
        </w:tc>
      </w:tr>
      <w:tr w14:paraId="3FC8CF43"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2141C" w:rsidRPr="000655BF" w:rsidP="008E1A25" w14:paraId="0F6CA80B" w14:textId="4C5FF689">
            <w:pPr>
              <w:rPr>
                <w:szCs w:val="24"/>
              </w:rPr>
            </w:pPr>
            <w:r>
              <w:rPr>
                <w:szCs w:val="24"/>
              </w:rPr>
              <w:t xml:space="preserve">Option </w:t>
            </w:r>
            <w:r>
              <w:rPr>
                <w:szCs w:val="24"/>
              </w:rPr>
              <w:t xml:space="preserve">Year 1 ART, Grantee- </w:t>
            </w:r>
            <w:r w:rsidRPr="000655BF">
              <w:rPr>
                <w:szCs w:val="24"/>
              </w:rPr>
              <w:t xml:space="preserve">and Community-Level </w:t>
            </w:r>
            <w:r w:rsidR="00531DD1">
              <w:rPr>
                <w:szCs w:val="24"/>
              </w:rPr>
              <w:t xml:space="preserve">PDMP </w:t>
            </w:r>
            <w:r w:rsidRPr="000655BF">
              <w:rPr>
                <w:szCs w:val="24"/>
              </w:rPr>
              <w:t>Outcomes Data Collection</w:t>
            </w:r>
            <w:r w:rsidR="00531DD1">
              <w:rPr>
                <w:szCs w:val="24"/>
              </w:rPr>
              <w:t>, and Grantee</w:t>
            </w:r>
            <w:r w:rsidR="00080C5A">
              <w:rPr>
                <w:szCs w:val="24"/>
              </w:rPr>
              <w:t>-</w:t>
            </w:r>
            <w:r w:rsidR="00531DD1">
              <w:rPr>
                <w:szCs w:val="24"/>
              </w:rPr>
              <w:t>Level Interview</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2141C" w:rsidRPr="000655BF" w:rsidP="008E1A25" w14:paraId="567774CD" w14:textId="0BDB9238">
            <w:pPr>
              <w:rPr>
                <w:szCs w:val="24"/>
              </w:rPr>
            </w:pPr>
            <w:r>
              <w:rPr>
                <w:szCs w:val="24"/>
              </w:rPr>
              <w:t xml:space="preserve">November </w:t>
            </w:r>
            <w:r w:rsidR="00F6219C">
              <w:rPr>
                <w:szCs w:val="24"/>
              </w:rPr>
              <w:t>2025</w:t>
            </w:r>
            <w:r w:rsidR="0029072B">
              <w:rPr>
                <w:szCs w:val="24"/>
              </w:rPr>
              <w:t>–</w:t>
            </w:r>
            <w:r>
              <w:rPr>
                <w:szCs w:val="24"/>
              </w:rPr>
              <w:t xml:space="preserve">January </w:t>
            </w:r>
            <w:r w:rsidR="00F6219C">
              <w:rPr>
                <w:szCs w:val="24"/>
              </w:rPr>
              <w:t>2026</w:t>
            </w:r>
          </w:p>
        </w:tc>
      </w:tr>
      <w:tr w14:paraId="2AC3BA7E"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31DD1" w:rsidP="00531DD1" w14:paraId="55893C46" w14:textId="1859FEC1">
            <w:pPr>
              <w:rPr>
                <w:szCs w:val="24"/>
              </w:rPr>
            </w:pPr>
            <w:r w:rsidRPr="000655BF">
              <w:rPr>
                <w:szCs w:val="24"/>
              </w:rPr>
              <w:t xml:space="preserve">Disseminate Findings: </w:t>
            </w:r>
            <w:r w:rsidR="00B064FF">
              <w:rPr>
                <w:szCs w:val="24"/>
              </w:rPr>
              <w:t xml:space="preserve">Option </w:t>
            </w:r>
            <w:r w:rsidRPr="000655BF">
              <w:rPr>
                <w:szCs w:val="24"/>
              </w:rPr>
              <w:t xml:space="preserve">Year </w:t>
            </w:r>
            <w:r>
              <w:rPr>
                <w:szCs w:val="24"/>
              </w:rPr>
              <w:t>1</w:t>
            </w:r>
            <w:r w:rsidRPr="000655BF">
              <w:rPr>
                <w:szCs w:val="24"/>
              </w:rPr>
              <w:t xml:space="preserve"> 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31DD1" w:rsidP="00531DD1" w14:paraId="0CDA38DA" w14:textId="1EAA99E3">
            <w:pPr>
              <w:rPr>
                <w:szCs w:val="24"/>
              </w:rPr>
            </w:pPr>
            <w:r w:rsidRPr="000655BF">
              <w:rPr>
                <w:szCs w:val="24"/>
              </w:rPr>
              <w:t xml:space="preserve">July </w:t>
            </w:r>
            <w:r w:rsidRPr="000655BF" w:rsidR="00F6219C">
              <w:rPr>
                <w:szCs w:val="24"/>
              </w:rPr>
              <w:t>202</w:t>
            </w:r>
            <w:r w:rsidR="001B088B">
              <w:rPr>
                <w:szCs w:val="24"/>
              </w:rPr>
              <w:t>6</w:t>
            </w:r>
          </w:p>
        </w:tc>
      </w:tr>
      <w:tr w14:paraId="0C1BC97F"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31DD1" w:rsidRPr="000655BF" w:rsidP="00531DD1" w14:paraId="05C37BE4" w14:textId="29D1FBCD">
            <w:pPr>
              <w:rPr>
                <w:szCs w:val="24"/>
              </w:rPr>
            </w:pPr>
            <w:r>
              <w:rPr>
                <w:szCs w:val="24"/>
              </w:rPr>
              <w:t xml:space="preserve">Option </w:t>
            </w:r>
            <w:r>
              <w:rPr>
                <w:szCs w:val="24"/>
              </w:rPr>
              <w:t xml:space="preserve">Year 2 ART, Grantee- </w:t>
            </w:r>
            <w:r w:rsidRPr="000655BF">
              <w:rPr>
                <w:szCs w:val="24"/>
              </w:rPr>
              <w:t xml:space="preserve">and Community-Level </w:t>
            </w:r>
            <w:r>
              <w:rPr>
                <w:szCs w:val="24"/>
              </w:rPr>
              <w:t xml:space="preserve">PDMP </w:t>
            </w:r>
            <w:r w:rsidRPr="000655BF">
              <w:rPr>
                <w:szCs w:val="24"/>
              </w:rPr>
              <w:t>Outcomes Data Collection</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31DD1" w:rsidRPr="000655BF" w:rsidP="00531DD1" w14:paraId="377484EA" w14:textId="668E8520">
            <w:pPr>
              <w:rPr>
                <w:szCs w:val="24"/>
              </w:rPr>
            </w:pPr>
            <w:r>
              <w:rPr>
                <w:szCs w:val="24"/>
              </w:rPr>
              <w:t xml:space="preserve">November </w:t>
            </w:r>
            <w:r w:rsidR="00F6219C">
              <w:rPr>
                <w:szCs w:val="24"/>
              </w:rPr>
              <w:t>2026</w:t>
            </w:r>
            <w:r w:rsidR="0029072B">
              <w:rPr>
                <w:szCs w:val="24"/>
              </w:rPr>
              <w:t>–</w:t>
            </w:r>
            <w:r>
              <w:rPr>
                <w:szCs w:val="24"/>
              </w:rPr>
              <w:t xml:space="preserve">January </w:t>
            </w:r>
            <w:r w:rsidR="00F6219C">
              <w:rPr>
                <w:szCs w:val="24"/>
              </w:rPr>
              <w:t>2027</w:t>
            </w:r>
          </w:p>
        </w:tc>
      </w:tr>
      <w:tr w14:paraId="5BAE9D2E"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31DD1" w:rsidP="00531DD1" w14:paraId="3C04B432" w14:textId="2E6B8896">
            <w:pPr>
              <w:rPr>
                <w:szCs w:val="24"/>
              </w:rPr>
            </w:pPr>
            <w:r w:rsidRPr="000655BF">
              <w:rPr>
                <w:szCs w:val="24"/>
              </w:rPr>
              <w:t xml:space="preserve">Disseminate Findings: </w:t>
            </w:r>
            <w:r w:rsidR="00B064FF">
              <w:rPr>
                <w:szCs w:val="24"/>
              </w:rPr>
              <w:t xml:space="preserve">Option </w:t>
            </w:r>
            <w:r w:rsidRPr="000655BF">
              <w:rPr>
                <w:szCs w:val="24"/>
              </w:rPr>
              <w:t xml:space="preserve">Year </w:t>
            </w:r>
            <w:r w:rsidR="00ED1BB1">
              <w:rPr>
                <w:szCs w:val="24"/>
              </w:rPr>
              <w:t>2</w:t>
            </w:r>
            <w:r w:rsidRPr="000655BF">
              <w:rPr>
                <w:szCs w:val="24"/>
              </w:rPr>
              <w:t xml:space="preserve"> 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531DD1" w:rsidP="00531DD1" w14:paraId="1B81BFFA" w14:textId="7D8386A9">
            <w:pPr>
              <w:rPr>
                <w:szCs w:val="24"/>
              </w:rPr>
            </w:pPr>
            <w:r w:rsidRPr="000655BF">
              <w:rPr>
                <w:szCs w:val="24"/>
              </w:rPr>
              <w:t xml:space="preserve">July </w:t>
            </w:r>
            <w:r w:rsidRPr="000655BF" w:rsidR="00F6219C">
              <w:rPr>
                <w:szCs w:val="24"/>
              </w:rPr>
              <w:t>202</w:t>
            </w:r>
            <w:r w:rsidR="001B088B">
              <w:rPr>
                <w:szCs w:val="24"/>
              </w:rPr>
              <w:t>7</w:t>
            </w:r>
          </w:p>
        </w:tc>
      </w:tr>
      <w:tr w14:paraId="0A5529C6"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DC0F52" w:rsidRPr="000655BF" w:rsidP="00DC0F52" w14:paraId="13671E6E" w14:textId="6B5C072D">
            <w:pPr>
              <w:rPr>
                <w:szCs w:val="24"/>
              </w:rPr>
            </w:pPr>
            <w:r>
              <w:rPr>
                <w:szCs w:val="24"/>
              </w:rPr>
              <w:t xml:space="preserve">Option Year 3 ART, Grantee- </w:t>
            </w:r>
            <w:r w:rsidRPr="000655BF">
              <w:rPr>
                <w:szCs w:val="24"/>
              </w:rPr>
              <w:t xml:space="preserve">and Community-Level </w:t>
            </w:r>
            <w:r>
              <w:rPr>
                <w:szCs w:val="24"/>
              </w:rPr>
              <w:t xml:space="preserve">PDMP </w:t>
            </w:r>
            <w:r w:rsidRPr="000655BF">
              <w:rPr>
                <w:szCs w:val="24"/>
              </w:rPr>
              <w:t>Outcomes Data Collection</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DC0F52" w:rsidRPr="000655BF" w:rsidP="00DC0F52" w14:paraId="76071FA0" w14:textId="4702A975">
            <w:pPr>
              <w:rPr>
                <w:szCs w:val="24"/>
              </w:rPr>
            </w:pPr>
            <w:r>
              <w:rPr>
                <w:szCs w:val="24"/>
              </w:rPr>
              <w:t>November 2027-January 2028</w:t>
            </w:r>
          </w:p>
        </w:tc>
      </w:tr>
      <w:tr w14:paraId="75918D1A" w14:textId="77777777" w:rsidTr="7BE1E5EB">
        <w:tblPrEx>
          <w:tblW w:w="8818" w:type="dxa"/>
          <w:tblInd w:w="86" w:type="dxa"/>
          <w:tblLayout w:type="fixed"/>
          <w:tblCellMar>
            <w:left w:w="10" w:type="dxa"/>
            <w:right w:w="10" w:type="dxa"/>
          </w:tblCellMar>
          <w:tblLook w:val="04A0"/>
        </w:tblPrEx>
        <w:trPr>
          <w:cantSplit/>
        </w:trPr>
        <w:tc>
          <w:tcPr>
            <w:tcW w:w="5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DC0F52" w:rsidRPr="000655BF" w:rsidP="00DC0F52" w14:paraId="1FB41A96" w14:textId="050EA924">
            <w:pPr>
              <w:rPr>
                <w:szCs w:val="24"/>
              </w:rPr>
            </w:pPr>
            <w:r w:rsidRPr="000655BF">
              <w:rPr>
                <w:szCs w:val="24"/>
              </w:rPr>
              <w:t xml:space="preserve">Disseminate Findings: </w:t>
            </w:r>
            <w:r>
              <w:rPr>
                <w:szCs w:val="24"/>
              </w:rPr>
              <w:t xml:space="preserve">Option </w:t>
            </w:r>
            <w:r w:rsidRPr="000655BF">
              <w:rPr>
                <w:szCs w:val="24"/>
              </w:rPr>
              <w:t xml:space="preserve">Year </w:t>
            </w:r>
            <w:r>
              <w:rPr>
                <w:szCs w:val="24"/>
              </w:rPr>
              <w:t xml:space="preserve">3 </w:t>
            </w:r>
            <w:r w:rsidRPr="000655BF">
              <w:rPr>
                <w:szCs w:val="24"/>
              </w:rPr>
              <w:t xml:space="preserve">Annual Report </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86" w:type="dxa"/>
              <w:bottom w:w="0" w:type="dxa"/>
              <w:right w:w="86" w:type="dxa"/>
            </w:tcMar>
          </w:tcPr>
          <w:p w:rsidR="00DC0F52" w:rsidRPr="000655BF" w:rsidP="00DC0F52" w14:paraId="5B6CBCBD" w14:textId="14E9EA85">
            <w:pPr>
              <w:rPr>
                <w:szCs w:val="24"/>
              </w:rPr>
            </w:pPr>
            <w:r>
              <w:rPr>
                <w:szCs w:val="24"/>
              </w:rPr>
              <w:t>July 2028</w:t>
            </w:r>
          </w:p>
        </w:tc>
      </w:tr>
    </w:tbl>
    <w:p w:rsidR="001F1A1D" w:rsidRPr="000655BF" w14:paraId="0F54362B" w14:textId="77777777">
      <w:pPr>
        <w:pStyle w:val="Heading3"/>
        <w:rPr>
          <w:szCs w:val="24"/>
        </w:rPr>
      </w:pPr>
      <w:r w:rsidRPr="000655BF">
        <w:rPr>
          <w:szCs w:val="24"/>
        </w:rPr>
        <w:t>Publications</w:t>
      </w:r>
    </w:p>
    <w:p w:rsidR="001F1A1D" w:rsidRPr="000655BF" w14:paraId="2CAEC6C5" w14:textId="5CE1361C">
      <w:pPr>
        <w:pStyle w:val="BodyText"/>
        <w:rPr>
          <w:sz w:val="24"/>
          <w:szCs w:val="24"/>
        </w:rPr>
      </w:pPr>
      <w:r w:rsidRPr="000655BF">
        <w:rPr>
          <w:sz w:val="24"/>
          <w:szCs w:val="24"/>
        </w:rPr>
        <w:t xml:space="preserve">The </w:t>
      </w:r>
      <w:r w:rsidR="00D00AE7">
        <w:rPr>
          <w:sz w:val="24"/>
          <w:szCs w:val="24"/>
        </w:rPr>
        <w:t>PEPC</w:t>
      </w:r>
      <w:r w:rsidRPr="000655BF">
        <w:rPr>
          <w:sz w:val="24"/>
          <w:szCs w:val="24"/>
        </w:rPr>
        <w:t xml:space="preserve"> evaluation team will use the data collected through the </w:t>
      </w:r>
      <w:r w:rsidR="00D00AE7">
        <w:rPr>
          <w:sz w:val="24"/>
          <w:szCs w:val="24"/>
        </w:rPr>
        <w:t>SPF Rx</w:t>
      </w:r>
      <w:r w:rsidRPr="000655BF">
        <w:rPr>
          <w:sz w:val="24"/>
          <w:szCs w:val="24"/>
        </w:rPr>
        <w:t xml:space="preserve"> </w:t>
      </w:r>
      <w:r w:rsidRPr="000655BF" w:rsidR="004C7234">
        <w:rPr>
          <w:sz w:val="24"/>
          <w:szCs w:val="24"/>
        </w:rPr>
        <w:t xml:space="preserve">evaluation </w:t>
      </w:r>
      <w:r w:rsidRPr="000655BF">
        <w:rPr>
          <w:sz w:val="24"/>
          <w:szCs w:val="24"/>
        </w:rPr>
        <w:t xml:space="preserve">to help SAMHSA reach its stakeholders. The objective </w:t>
      </w:r>
      <w:r w:rsidRPr="000655BF">
        <w:rPr>
          <w:sz w:val="24"/>
          <w:szCs w:val="24"/>
        </w:rPr>
        <w:t>for</w:t>
      </w:r>
      <w:r w:rsidRPr="000655BF">
        <w:rPr>
          <w:sz w:val="24"/>
          <w:szCs w:val="24"/>
        </w:rPr>
        <w:t xml:space="preserve"> all reports and dissemination products is to provide user-friendly documents and presentations that help SAMHSA successfully explain the findings</w:t>
      </w:r>
      <w:r w:rsidR="00162176">
        <w:rPr>
          <w:sz w:val="24"/>
          <w:szCs w:val="24"/>
        </w:rPr>
        <w:t xml:space="preserve"> and make decisions</w:t>
      </w:r>
      <w:r w:rsidRPr="000655BF">
        <w:rPr>
          <w:sz w:val="24"/>
          <w:szCs w:val="24"/>
        </w:rPr>
        <w:t>. The dissemination plan includes products in a variety of formats for a variety of target audiences, such as</w:t>
      </w:r>
      <w:r w:rsidR="005613EE">
        <w:rPr>
          <w:sz w:val="24"/>
          <w:szCs w:val="24"/>
        </w:rPr>
        <w:t xml:space="preserve"> the following</w:t>
      </w:r>
      <w:r w:rsidRPr="000655BF">
        <w:rPr>
          <w:sz w:val="24"/>
          <w:szCs w:val="24"/>
        </w:rPr>
        <w:t xml:space="preserve">: </w:t>
      </w:r>
    </w:p>
    <w:p w:rsidR="00CB168E" w:rsidRPr="000655BF" w:rsidP="00CB168E" w14:paraId="480C416B" w14:textId="19CC2635">
      <w:pPr>
        <w:pStyle w:val="NormalSS"/>
        <w:numPr>
          <w:ilvl w:val="0"/>
          <w:numId w:val="29"/>
        </w:numPr>
        <w:rPr>
          <w:rFonts w:ascii="Times New Roman" w:hAnsi="Times New Roman"/>
          <w:sz w:val="24"/>
          <w:szCs w:val="24"/>
        </w:rPr>
      </w:pPr>
      <w:r w:rsidRPr="000655BF">
        <w:rPr>
          <w:rFonts w:ascii="Times New Roman" w:eastAsia="Times New Roman" w:hAnsi="Times New Roman"/>
          <w:sz w:val="24"/>
          <w:szCs w:val="24"/>
        </w:rPr>
        <w:t>A</w:t>
      </w:r>
      <w:r w:rsidRPr="000655BF" w:rsidR="00F726AA">
        <w:rPr>
          <w:rFonts w:ascii="Times New Roman" w:eastAsia="Times New Roman" w:hAnsi="Times New Roman"/>
          <w:sz w:val="24"/>
          <w:szCs w:val="24"/>
        </w:rPr>
        <w:t>nnual</w:t>
      </w:r>
      <w:r w:rsidRPr="000655BF" w:rsidR="004F0E2A">
        <w:rPr>
          <w:rFonts w:ascii="Times New Roman" w:eastAsia="Times New Roman" w:hAnsi="Times New Roman"/>
          <w:sz w:val="24"/>
          <w:szCs w:val="24"/>
        </w:rPr>
        <w:t xml:space="preserve"> report</w:t>
      </w:r>
      <w:r w:rsidRPr="000655BF">
        <w:rPr>
          <w:rFonts w:ascii="Times New Roman" w:eastAsia="Times New Roman" w:hAnsi="Times New Roman"/>
          <w:sz w:val="24"/>
          <w:szCs w:val="24"/>
        </w:rPr>
        <w:t>s</w:t>
      </w:r>
      <w:r w:rsidRPr="000655BF" w:rsidR="004F0E2A">
        <w:rPr>
          <w:rFonts w:ascii="Times New Roman" w:eastAsia="Times New Roman" w:hAnsi="Times New Roman"/>
          <w:sz w:val="24"/>
          <w:szCs w:val="24"/>
        </w:rPr>
        <w:t xml:space="preserve"> that summarize findings</w:t>
      </w:r>
      <w:r w:rsidR="0029072B">
        <w:rPr>
          <w:rFonts w:ascii="Times New Roman" w:eastAsia="Times New Roman" w:hAnsi="Times New Roman"/>
          <w:sz w:val="24"/>
          <w:szCs w:val="24"/>
        </w:rPr>
        <w:t>:</w:t>
      </w:r>
      <w:r w:rsidRPr="000655BF" w:rsidR="004F0E2A">
        <w:rPr>
          <w:rFonts w:ascii="Times New Roman" w:eastAsia="Times New Roman" w:hAnsi="Times New Roman"/>
          <w:sz w:val="24"/>
          <w:szCs w:val="24"/>
        </w:rPr>
        <w:t xml:space="preserve"> </w:t>
      </w:r>
      <w:r w:rsidR="000619FB">
        <w:rPr>
          <w:rFonts w:ascii="Times New Roman" w:eastAsia="Times New Roman" w:hAnsi="Times New Roman"/>
          <w:sz w:val="24"/>
          <w:szCs w:val="24"/>
        </w:rPr>
        <w:t xml:space="preserve">Reports will present combinations of </w:t>
      </w:r>
      <w:r w:rsidR="00A11908">
        <w:rPr>
          <w:rFonts w:ascii="Times New Roman" w:eastAsia="Times New Roman" w:hAnsi="Times New Roman"/>
          <w:sz w:val="24"/>
          <w:szCs w:val="24"/>
        </w:rPr>
        <w:t>narratives, tables, charts, and other graphics to communicate information in a way that is easy for readers to understand and apply.</w:t>
      </w:r>
    </w:p>
    <w:p w:rsidR="001F1A1D" w:rsidRPr="000655BF" w:rsidP="00495017" w14:paraId="5938ED06" w14:textId="387089ED">
      <w:pPr>
        <w:pStyle w:val="BulletLastSS"/>
        <w:numPr>
          <w:ilvl w:val="0"/>
          <w:numId w:val="15"/>
        </w:numPr>
        <w:rPr>
          <w:szCs w:val="24"/>
        </w:rPr>
      </w:pPr>
      <w:r w:rsidRPr="000655BF">
        <w:rPr>
          <w:szCs w:val="24"/>
        </w:rPr>
        <w:t>Aggregate information</w:t>
      </w:r>
      <w:r w:rsidR="0029072B">
        <w:rPr>
          <w:szCs w:val="24"/>
        </w:rPr>
        <w:t>: This</w:t>
      </w:r>
      <w:r w:rsidRPr="000655BF">
        <w:rPr>
          <w:szCs w:val="24"/>
        </w:rPr>
        <w:t xml:space="preserve"> may also be used in scholarly presentations, </w:t>
      </w:r>
      <w:r w:rsidRPr="000655BF" w:rsidR="00B323AD">
        <w:rPr>
          <w:szCs w:val="24"/>
        </w:rPr>
        <w:t xml:space="preserve">budget justifications, </w:t>
      </w:r>
      <w:r w:rsidRPr="000655BF">
        <w:rPr>
          <w:szCs w:val="24"/>
        </w:rPr>
        <w:t xml:space="preserve">and </w:t>
      </w:r>
      <w:r w:rsidRPr="000655BF" w:rsidR="00B323AD">
        <w:rPr>
          <w:szCs w:val="24"/>
        </w:rPr>
        <w:t xml:space="preserve">other </w:t>
      </w:r>
      <w:r w:rsidRPr="000655BF">
        <w:rPr>
          <w:szCs w:val="24"/>
        </w:rPr>
        <w:t xml:space="preserve">testimony related to the outcomes of the </w:t>
      </w:r>
      <w:r w:rsidR="00D00AE7">
        <w:rPr>
          <w:szCs w:val="24"/>
        </w:rPr>
        <w:t>SPF Rx</w:t>
      </w:r>
      <w:r w:rsidRPr="000655BF">
        <w:rPr>
          <w:szCs w:val="24"/>
        </w:rPr>
        <w:t xml:space="preserve"> program. </w:t>
      </w:r>
    </w:p>
    <w:p w:rsidR="001F1A1D" w:rsidRPr="000655BF" w14:paraId="77E9DE30" w14:textId="77777777">
      <w:pPr>
        <w:pStyle w:val="Heading3"/>
        <w:rPr>
          <w:szCs w:val="24"/>
        </w:rPr>
      </w:pPr>
      <w:r w:rsidRPr="000655BF">
        <w:rPr>
          <w:szCs w:val="24"/>
        </w:rPr>
        <w:t>Analysis</w:t>
      </w:r>
    </w:p>
    <w:p w:rsidR="00F16DB6" w14:paraId="5E1AD02A" w14:textId="4B92F660">
      <w:pPr>
        <w:pStyle w:val="BodyText"/>
        <w:rPr>
          <w:iCs/>
          <w:sz w:val="24"/>
          <w:szCs w:val="24"/>
        </w:rPr>
      </w:pPr>
      <w:r w:rsidRPr="000655BF">
        <w:rPr>
          <w:sz w:val="24"/>
          <w:szCs w:val="24"/>
        </w:rPr>
        <w:t xml:space="preserve">The </w:t>
      </w:r>
      <w:r w:rsidR="00D00AE7">
        <w:rPr>
          <w:sz w:val="24"/>
          <w:szCs w:val="24"/>
        </w:rPr>
        <w:t>PEPC</w:t>
      </w:r>
      <w:r w:rsidRPr="000655BF">
        <w:rPr>
          <w:sz w:val="24"/>
          <w:szCs w:val="24"/>
        </w:rPr>
        <w:t xml:space="preserve"> evaluation uses a series of interdependent analys</w:t>
      </w:r>
      <w:r w:rsidRPr="000655BF" w:rsidR="00DC6FF3">
        <w:rPr>
          <w:sz w:val="24"/>
          <w:szCs w:val="24"/>
        </w:rPr>
        <w:t>e</w:t>
      </w:r>
      <w:r w:rsidRPr="000655BF">
        <w:rPr>
          <w:sz w:val="24"/>
          <w:szCs w:val="24"/>
        </w:rPr>
        <w:t xml:space="preserve">s </w:t>
      </w:r>
      <w:r w:rsidRPr="000655BF" w:rsidR="00DC6FF3">
        <w:rPr>
          <w:sz w:val="24"/>
          <w:szCs w:val="24"/>
        </w:rPr>
        <w:t>to answer the</w:t>
      </w:r>
      <w:r w:rsidRPr="000655BF">
        <w:rPr>
          <w:sz w:val="24"/>
          <w:szCs w:val="24"/>
        </w:rPr>
        <w:t xml:space="preserve"> key </w:t>
      </w:r>
      <w:r w:rsidR="00EE5097">
        <w:rPr>
          <w:sz w:val="24"/>
          <w:szCs w:val="24"/>
        </w:rPr>
        <w:t>evaluation</w:t>
      </w:r>
      <w:r w:rsidR="00F34613">
        <w:rPr>
          <w:sz w:val="24"/>
          <w:szCs w:val="24"/>
        </w:rPr>
        <w:t xml:space="preserve"> question</w:t>
      </w:r>
      <w:r w:rsidRPr="000655BF">
        <w:rPr>
          <w:sz w:val="24"/>
          <w:szCs w:val="24"/>
        </w:rPr>
        <w:t xml:space="preserve">s </w:t>
      </w:r>
      <w:r w:rsidRPr="000655BF" w:rsidR="00DC6FF3">
        <w:rPr>
          <w:sz w:val="24"/>
          <w:szCs w:val="24"/>
        </w:rPr>
        <w:t>developed to</w:t>
      </w:r>
      <w:r w:rsidRPr="000655BF">
        <w:rPr>
          <w:sz w:val="24"/>
          <w:szCs w:val="24"/>
        </w:rPr>
        <w:t xml:space="preserve"> assess the </w:t>
      </w:r>
      <w:r w:rsidRPr="000655BF" w:rsidR="00DC6FF3">
        <w:rPr>
          <w:sz w:val="24"/>
          <w:szCs w:val="24"/>
        </w:rPr>
        <w:t>impact</w:t>
      </w:r>
      <w:r w:rsidRPr="000655BF">
        <w:rPr>
          <w:sz w:val="24"/>
          <w:szCs w:val="24"/>
        </w:rPr>
        <w:t xml:space="preserve"> of </w:t>
      </w:r>
      <w:r w:rsidRPr="000655BF" w:rsidR="00DC6FF3">
        <w:rPr>
          <w:sz w:val="24"/>
          <w:szCs w:val="24"/>
        </w:rPr>
        <w:t xml:space="preserve">the </w:t>
      </w:r>
      <w:r w:rsidR="00D00AE7">
        <w:rPr>
          <w:sz w:val="24"/>
          <w:szCs w:val="24"/>
        </w:rPr>
        <w:t>SPF Rx</w:t>
      </w:r>
      <w:r w:rsidRPr="000655BF">
        <w:rPr>
          <w:sz w:val="24"/>
          <w:szCs w:val="24"/>
        </w:rPr>
        <w:t xml:space="preserve"> </w:t>
      </w:r>
      <w:r w:rsidRPr="000655BF" w:rsidR="00DC6FF3">
        <w:rPr>
          <w:sz w:val="24"/>
          <w:szCs w:val="24"/>
        </w:rPr>
        <w:t>program on</w:t>
      </w:r>
      <w:r w:rsidRPr="000655BF">
        <w:rPr>
          <w:sz w:val="24"/>
          <w:szCs w:val="24"/>
        </w:rPr>
        <w:t xml:space="preserve"> prescription drug misuse</w:t>
      </w:r>
      <w:r>
        <w:rPr>
          <w:sz w:val="24"/>
          <w:szCs w:val="24"/>
        </w:rPr>
        <w:t xml:space="preserve"> </w:t>
      </w:r>
      <w:r w:rsidRPr="000655BF" w:rsidR="00DC6FF3">
        <w:rPr>
          <w:sz w:val="24"/>
          <w:szCs w:val="24"/>
        </w:rPr>
        <w:t>and related outcomes</w:t>
      </w:r>
      <w:r w:rsidRPr="000655BF">
        <w:rPr>
          <w:sz w:val="24"/>
          <w:szCs w:val="24"/>
        </w:rPr>
        <w:t xml:space="preserve">. The evaluation will fully incorporate all data from the </w:t>
      </w:r>
      <w:r w:rsidRPr="000655BF">
        <w:rPr>
          <w:iCs/>
          <w:sz w:val="24"/>
          <w:szCs w:val="24"/>
        </w:rPr>
        <w:t>cross-site evaluation instruments</w:t>
      </w:r>
      <w:r w:rsidRPr="000655BF" w:rsidR="004603F3">
        <w:rPr>
          <w:iCs/>
          <w:sz w:val="24"/>
          <w:szCs w:val="24"/>
        </w:rPr>
        <w:t>,</w:t>
      </w:r>
      <w:r w:rsidRPr="000655BF">
        <w:rPr>
          <w:iCs/>
          <w:sz w:val="24"/>
          <w:szCs w:val="24"/>
        </w:rPr>
        <w:t xml:space="preserve"> </w:t>
      </w:r>
      <w:r w:rsidR="00EE5097">
        <w:rPr>
          <w:iCs/>
          <w:sz w:val="24"/>
          <w:szCs w:val="24"/>
        </w:rPr>
        <w:t xml:space="preserve">data that the grantees submit to SPARS, and </w:t>
      </w:r>
      <w:r w:rsidRPr="000655BF">
        <w:rPr>
          <w:iCs/>
          <w:sz w:val="24"/>
          <w:szCs w:val="24"/>
        </w:rPr>
        <w:t xml:space="preserve">secondary </w:t>
      </w:r>
      <w:r w:rsidR="00430F7A">
        <w:rPr>
          <w:iCs/>
          <w:sz w:val="24"/>
          <w:szCs w:val="24"/>
        </w:rPr>
        <w:t xml:space="preserve">administrative and surveillance </w:t>
      </w:r>
      <w:r w:rsidRPr="000655BF">
        <w:rPr>
          <w:iCs/>
          <w:sz w:val="24"/>
          <w:szCs w:val="24"/>
        </w:rPr>
        <w:t>data</w:t>
      </w:r>
      <w:r w:rsidR="00430F7A">
        <w:rPr>
          <w:iCs/>
          <w:sz w:val="24"/>
          <w:szCs w:val="24"/>
        </w:rPr>
        <w:t xml:space="preserve"> to enhance the evaluation’s ability to address evaluation questions. </w:t>
      </w:r>
      <w:r w:rsidRPr="00EE5097" w:rsidR="00EE5097">
        <w:rPr>
          <w:iCs/>
          <w:sz w:val="24"/>
          <w:szCs w:val="24"/>
        </w:rPr>
        <w:t xml:space="preserve">SPARS will provide information on performance measures and </w:t>
      </w:r>
      <w:r w:rsidR="00EE5097">
        <w:rPr>
          <w:iCs/>
          <w:sz w:val="24"/>
          <w:szCs w:val="24"/>
        </w:rPr>
        <w:t xml:space="preserve">grantee </w:t>
      </w:r>
      <w:r w:rsidRPr="00EE5097" w:rsidR="00EE5097">
        <w:rPr>
          <w:iCs/>
          <w:sz w:val="24"/>
          <w:szCs w:val="24"/>
        </w:rPr>
        <w:t>progression through steps outlined in the SPF.</w:t>
      </w:r>
      <w:r w:rsidRPr="00EE5097" w:rsidR="00EE5097">
        <w:t xml:space="preserve"> </w:t>
      </w:r>
      <w:r w:rsidRPr="728C4DB3">
        <w:rPr>
          <w:sz w:val="24"/>
          <w:szCs w:val="24"/>
        </w:rPr>
        <w:t xml:space="preserve">Secondary outcome data sources for the SPF Rx evaluation will </w:t>
      </w:r>
      <w:r w:rsidR="00261AB1">
        <w:rPr>
          <w:sz w:val="24"/>
          <w:szCs w:val="24"/>
        </w:rPr>
        <w:t xml:space="preserve">potentially </w:t>
      </w:r>
      <w:r w:rsidR="006A2772">
        <w:rPr>
          <w:sz w:val="24"/>
          <w:szCs w:val="24"/>
        </w:rPr>
        <w:t xml:space="preserve">include </w:t>
      </w:r>
      <w:r w:rsidR="005613EE">
        <w:rPr>
          <w:sz w:val="24"/>
          <w:szCs w:val="24"/>
        </w:rPr>
        <w:t>w</w:t>
      </w:r>
      <w:r w:rsidR="006A2772">
        <w:rPr>
          <w:sz w:val="24"/>
          <w:szCs w:val="24"/>
        </w:rPr>
        <w:t xml:space="preserve">astewater </w:t>
      </w:r>
      <w:r w:rsidR="005613EE">
        <w:rPr>
          <w:sz w:val="24"/>
          <w:szCs w:val="24"/>
        </w:rPr>
        <w:t>m</w:t>
      </w:r>
      <w:r w:rsidR="006A2772">
        <w:rPr>
          <w:sz w:val="24"/>
          <w:szCs w:val="24"/>
        </w:rPr>
        <w:t xml:space="preserve">onitoring </w:t>
      </w:r>
      <w:r w:rsidR="005613EE">
        <w:rPr>
          <w:sz w:val="24"/>
          <w:szCs w:val="24"/>
        </w:rPr>
        <w:t>d</w:t>
      </w:r>
      <w:r w:rsidR="006A2772">
        <w:rPr>
          <w:sz w:val="24"/>
          <w:szCs w:val="24"/>
        </w:rPr>
        <w:t xml:space="preserve">ata, </w:t>
      </w:r>
      <w:r w:rsidRPr="00A51480">
        <w:rPr>
          <w:sz w:val="24"/>
          <w:szCs w:val="24"/>
        </w:rPr>
        <w:t>C</w:t>
      </w:r>
      <w:r w:rsidR="0033059F">
        <w:rPr>
          <w:sz w:val="24"/>
          <w:szCs w:val="24"/>
        </w:rPr>
        <w:t xml:space="preserve">enters for </w:t>
      </w:r>
      <w:r w:rsidRPr="00A51480">
        <w:rPr>
          <w:sz w:val="24"/>
          <w:szCs w:val="24"/>
        </w:rPr>
        <w:t>D</w:t>
      </w:r>
      <w:r w:rsidR="0033059F">
        <w:rPr>
          <w:sz w:val="24"/>
          <w:szCs w:val="24"/>
        </w:rPr>
        <w:t xml:space="preserve">isease </w:t>
      </w:r>
      <w:r w:rsidRPr="00A51480">
        <w:rPr>
          <w:sz w:val="24"/>
          <w:szCs w:val="24"/>
        </w:rPr>
        <w:t>C</w:t>
      </w:r>
      <w:r w:rsidR="0033059F">
        <w:rPr>
          <w:sz w:val="24"/>
          <w:szCs w:val="24"/>
        </w:rPr>
        <w:t>ontrol and Prevention’s</w:t>
      </w:r>
      <w:r w:rsidRPr="00A51480">
        <w:rPr>
          <w:sz w:val="24"/>
          <w:szCs w:val="24"/>
        </w:rPr>
        <w:t xml:space="preserve"> </w:t>
      </w:r>
      <w:r w:rsidR="005613EE">
        <w:rPr>
          <w:sz w:val="24"/>
          <w:szCs w:val="24"/>
        </w:rPr>
        <w:t>o</w:t>
      </w:r>
      <w:r w:rsidRPr="00A51480">
        <w:rPr>
          <w:sz w:val="24"/>
          <w:szCs w:val="24"/>
        </w:rPr>
        <w:t xml:space="preserve">pioid </w:t>
      </w:r>
      <w:r w:rsidR="005613EE">
        <w:rPr>
          <w:sz w:val="24"/>
          <w:szCs w:val="24"/>
        </w:rPr>
        <w:t>d</w:t>
      </w:r>
      <w:r w:rsidRPr="00A51480">
        <w:rPr>
          <w:sz w:val="24"/>
          <w:szCs w:val="24"/>
        </w:rPr>
        <w:t xml:space="preserve">ispensing </w:t>
      </w:r>
      <w:r w:rsidR="005613EE">
        <w:rPr>
          <w:sz w:val="24"/>
          <w:szCs w:val="24"/>
        </w:rPr>
        <w:t>r</w:t>
      </w:r>
      <w:r w:rsidRPr="00A51480">
        <w:rPr>
          <w:sz w:val="24"/>
          <w:szCs w:val="24"/>
        </w:rPr>
        <w:t>ate</w:t>
      </w:r>
      <w:r>
        <w:rPr>
          <w:sz w:val="24"/>
          <w:szCs w:val="24"/>
        </w:rPr>
        <w:t>s</w:t>
      </w:r>
      <w:r w:rsidRPr="00A51480">
        <w:rPr>
          <w:sz w:val="24"/>
          <w:szCs w:val="24"/>
        </w:rPr>
        <w:t xml:space="preserve">, </w:t>
      </w:r>
      <w:r w:rsidR="0033059F">
        <w:rPr>
          <w:sz w:val="24"/>
          <w:szCs w:val="24"/>
        </w:rPr>
        <w:t xml:space="preserve">the </w:t>
      </w:r>
      <w:r w:rsidRPr="00A51480">
        <w:rPr>
          <w:sz w:val="24"/>
          <w:szCs w:val="24"/>
        </w:rPr>
        <w:t xml:space="preserve">National Survey on Drug Use and Health, and </w:t>
      </w:r>
      <w:r w:rsidR="0033059F">
        <w:rPr>
          <w:sz w:val="24"/>
          <w:szCs w:val="24"/>
        </w:rPr>
        <w:t xml:space="preserve">the </w:t>
      </w:r>
      <w:r w:rsidRPr="00A51480">
        <w:rPr>
          <w:sz w:val="24"/>
          <w:szCs w:val="24"/>
        </w:rPr>
        <w:t>Youth Risk Behavior Surveillance System</w:t>
      </w:r>
      <w:r>
        <w:rPr>
          <w:sz w:val="24"/>
          <w:szCs w:val="24"/>
        </w:rPr>
        <w:t xml:space="preserve">. </w:t>
      </w:r>
    </w:p>
    <w:p w:rsidR="001F1A1D" w14:paraId="5DFDDE8F" w14:textId="744EDE7E">
      <w:pPr>
        <w:pStyle w:val="BodyText"/>
        <w:rPr>
          <w:sz w:val="24"/>
          <w:szCs w:val="24"/>
        </w:rPr>
      </w:pPr>
      <w:r w:rsidRPr="00EF7787">
        <w:rPr>
          <w:sz w:val="24"/>
          <w:szCs w:val="24"/>
        </w:rPr>
        <w:t>The analysis plan includes a range</w:t>
      </w:r>
      <w:r w:rsidRPr="00EF7787" w:rsidR="00F02DD4">
        <w:rPr>
          <w:sz w:val="24"/>
          <w:szCs w:val="24"/>
        </w:rPr>
        <w:t xml:space="preserve"> of approaches</w:t>
      </w:r>
      <w:r w:rsidR="0029072B">
        <w:rPr>
          <w:sz w:val="24"/>
          <w:szCs w:val="24"/>
        </w:rPr>
        <w:t>,</w:t>
      </w:r>
      <w:r w:rsidRPr="00EF7787" w:rsidR="00F02DD4">
        <w:rPr>
          <w:sz w:val="24"/>
          <w:szCs w:val="24"/>
        </w:rPr>
        <w:t xml:space="preserve"> </w:t>
      </w:r>
      <w:r w:rsidRPr="00EF7787">
        <w:rPr>
          <w:sz w:val="24"/>
          <w:szCs w:val="24"/>
        </w:rPr>
        <w:t xml:space="preserve">from basic descriptive analyses of GPRA measures, grantee performance measures, and </w:t>
      </w:r>
      <w:r w:rsidR="00225942">
        <w:rPr>
          <w:sz w:val="24"/>
          <w:szCs w:val="24"/>
        </w:rPr>
        <w:t xml:space="preserve">descriptive statistics </w:t>
      </w:r>
      <w:r w:rsidR="00080C5A">
        <w:rPr>
          <w:sz w:val="24"/>
          <w:szCs w:val="24"/>
        </w:rPr>
        <w:t>(</w:t>
      </w:r>
      <w:r w:rsidR="0033059F">
        <w:rPr>
          <w:sz w:val="24"/>
          <w:szCs w:val="24"/>
        </w:rPr>
        <w:t>for example</w:t>
      </w:r>
      <w:r w:rsidRPr="00EF7787">
        <w:rPr>
          <w:sz w:val="24"/>
          <w:szCs w:val="24"/>
        </w:rPr>
        <w:t>, means, frequencies, percentages</w:t>
      </w:r>
      <w:r w:rsidRPr="00EF7787" w:rsidR="00BA70F6">
        <w:rPr>
          <w:sz w:val="24"/>
          <w:szCs w:val="24"/>
        </w:rPr>
        <w:t>, trend analysis</w:t>
      </w:r>
      <w:r w:rsidRPr="00EF7787">
        <w:rPr>
          <w:sz w:val="24"/>
          <w:szCs w:val="24"/>
        </w:rPr>
        <w:t>) to sophisticated qualitative analysis</w:t>
      </w:r>
      <w:r w:rsidR="0029072B">
        <w:rPr>
          <w:sz w:val="24"/>
          <w:szCs w:val="24"/>
        </w:rPr>
        <w:t xml:space="preserve">, </w:t>
      </w:r>
      <w:r w:rsidRPr="00EF7787">
        <w:rPr>
          <w:sz w:val="24"/>
          <w:szCs w:val="24"/>
        </w:rPr>
        <w:t>multiple quantitative analytic frameworks</w:t>
      </w:r>
      <w:r w:rsidR="0029072B">
        <w:rPr>
          <w:sz w:val="24"/>
          <w:szCs w:val="24"/>
        </w:rPr>
        <w:t>,</w:t>
      </w:r>
      <w:r w:rsidRPr="00EF7787">
        <w:rPr>
          <w:sz w:val="24"/>
          <w:szCs w:val="24"/>
        </w:rPr>
        <w:t xml:space="preserve"> and models that reflect </w:t>
      </w:r>
      <w:r w:rsidR="0029072B">
        <w:rPr>
          <w:sz w:val="24"/>
          <w:szCs w:val="24"/>
        </w:rPr>
        <w:t xml:space="preserve">the </w:t>
      </w:r>
      <w:r w:rsidRPr="00EF7787">
        <w:rPr>
          <w:sz w:val="24"/>
          <w:szCs w:val="24"/>
        </w:rPr>
        <w:t xml:space="preserve">anticipated </w:t>
      </w:r>
      <w:r w:rsidRPr="00EF7787" w:rsidR="0029072B">
        <w:rPr>
          <w:sz w:val="24"/>
          <w:szCs w:val="24"/>
        </w:rPr>
        <w:t xml:space="preserve">complexities </w:t>
      </w:r>
      <w:r w:rsidR="0029072B">
        <w:rPr>
          <w:sz w:val="24"/>
          <w:szCs w:val="24"/>
        </w:rPr>
        <w:t>of</w:t>
      </w:r>
      <w:r w:rsidRPr="00EF7787">
        <w:rPr>
          <w:sz w:val="24"/>
          <w:szCs w:val="24"/>
        </w:rPr>
        <w:t xml:space="preserve"> data collected by the </w:t>
      </w:r>
      <w:r w:rsidR="00D00AE7">
        <w:rPr>
          <w:sz w:val="24"/>
          <w:szCs w:val="24"/>
        </w:rPr>
        <w:t>PEPC</w:t>
      </w:r>
      <w:r w:rsidRPr="00EF7787" w:rsidR="004603F3">
        <w:rPr>
          <w:sz w:val="24"/>
          <w:szCs w:val="24"/>
        </w:rPr>
        <w:t xml:space="preserve"> team</w:t>
      </w:r>
      <w:r w:rsidRPr="00EF7787">
        <w:rPr>
          <w:sz w:val="24"/>
          <w:szCs w:val="24"/>
        </w:rPr>
        <w:t>.</w:t>
      </w:r>
    </w:p>
    <w:p w:rsidR="0029072B" w:rsidP="00495017" w14:paraId="16E4053A" w14:textId="77777777">
      <w:pPr>
        <w:pStyle w:val="NoSpacing"/>
        <w:rPr>
          <w:szCs w:val="24"/>
        </w:rPr>
      </w:pPr>
      <w:r w:rsidRPr="000655BF">
        <w:rPr>
          <w:b/>
          <w:szCs w:val="24"/>
        </w:rPr>
        <w:t>Matched Comparison Groups</w:t>
      </w:r>
      <w:r w:rsidRPr="00BF30A1" w:rsidR="00F90DE0">
        <w:rPr>
          <w:iCs/>
          <w:szCs w:val="24"/>
        </w:rPr>
        <w:t>:</w:t>
      </w:r>
      <w:r w:rsidRPr="000655BF" w:rsidR="00F90DE0">
        <w:rPr>
          <w:szCs w:val="24"/>
        </w:rPr>
        <w:t xml:space="preserve"> </w:t>
      </w:r>
    </w:p>
    <w:p w:rsidR="001F1A1D" w:rsidRPr="000655BF" w:rsidP="00495017" w14:paraId="6F4FF521" w14:textId="1B17E92D">
      <w:pPr>
        <w:pStyle w:val="NoSpacing"/>
        <w:rPr>
          <w:szCs w:val="24"/>
        </w:rPr>
      </w:pPr>
      <w:r w:rsidRPr="000655BF">
        <w:rPr>
          <w:szCs w:val="24"/>
        </w:rPr>
        <w:t xml:space="preserve">The </w:t>
      </w:r>
      <w:r w:rsidR="00E72BF6">
        <w:rPr>
          <w:szCs w:val="24"/>
        </w:rPr>
        <w:t>PEPC</w:t>
      </w:r>
      <w:r w:rsidRPr="000655BF">
        <w:rPr>
          <w:szCs w:val="24"/>
        </w:rPr>
        <w:t xml:space="preserve"> evaluation will use matched comparison groups when relevant and feasible. The </w:t>
      </w:r>
      <w:r w:rsidR="00D00AE7">
        <w:rPr>
          <w:szCs w:val="24"/>
        </w:rPr>
        <w:t>PEPC</w:t>
      </w:r>
      <w:r w:rsidRPr="000655BF">
        <w:rPr>
          <w:szCs w:val="24"/>
        </w:rPr>
        <w:t xml:space="preserve"> team plans to obtain key county-level characteristics from </w:t>
      </w:r>
      <w:r w:rsidR="00261AB1">
        <w:rPr>
          <w:szCs w:val="24"/>
        </w:rPr>
        <w:t>secondary outcome</w:t>
      </w:r>
      <w:r w:rsidRPr="000655BF">
        <w:rPr>
          <w:szCs w:val="24"/>
        </w:rPr>
        <w:t xml:space="preserve"> data sources </w:t>
      </w:r>
      <w:r w:rsidRPr="000655BF" w:rsidR="00686A49">
        <w:rPr>
          <w:szCs w:val="24"/>
        </w:rPr>
        <w:t>and use that information to</w:t>
      </w:r>
      <w:r w:rsidRPr="000655BF">
        <w:rPr>
          <w:szCs w:val="24"/>
        </w:rPr>
        <w:t xml:space="preserve"> select comparison counties (or communities). For </w:t>
      </w:r>
      <w:r w:rsidRPr="000655BF" w:rsidR="00E72293">
        <w:rPr>
          <w:szCs w:val="24"/>
        </w:rPr>
        <w:t xml:space="preserve">all </w:t>
      </w:r>
      <w:r w:rsidRPr="000655BF">
        <w:rPr>
          <w:szCs w:val="24"/>
        </w:rPr>
        <w:t xml:space="preserve">grantees, the required estimates will be available through standard public reporting. </w:t>
      </w:r>
      <w:r w:rsidRPr="000655BF" w:rsidR="004603F3">
        <w:rPr>
          <w:szCs w:val="24"/>
        </w:rPr>
        <w:t xml:space="preserve">Under </w:t>
      </w:r>
      <w:r w:rsidRPr="000655BF">
        <w:rPr>
          <w:szCs w:val="24"/>
        </w:rPr>
        <w:t xml:space="preserve">no </w:t>
      </w:r>
      <w:r w:rsidRPr="000655BF" w:rsidR="004603F3">
        <w:rPr>
          <w:szCs w:val="24"/>
        </w:rPr>
        <w:t>circumstances</w:t>
      </w:r>
      <w:r w:rsidRPr="000655BF">
        <w:rPr>
          <w:szCs w:val="24"/>
        </w:rPr>
        <w:t xml:space="preserve"> will new data collection be required for the matching process. Follow-up outcomes data for the matched comparison groups will come from the same data sources used for the matching process.</w:t>
      </w:r>
    </w:p>
    <w:p w:rsidR="00425917" w:rsidRPr="000655BF" w:rsidP="00495017" w14:paraId="697BE361" w14:textId="77777777">
      <w:pPr>
        <w:pStyle w:val="NoSpacing"/>
        <w:rPr>
          <w:szCs w:val="24"/>
        </w:rPr>
      </w:pPr>
    </w:p>
    <w:p w:rsidR="0029072B" w:rsidP="00495017" w14:paraId="2D7D4ABE" w14:textId="2ED611B9">
      <w:pPr>
        <w:pStyle w:val="NoSpacing"/>
        <w:rPr>
          <w:szCs w:val="24"/>
        </w:rPr>
      </w:pPr>
      <w:r w:rsidRPr="000655BF">
        <w:rPr>
          <w:b/>
          <w:szCs w:val="24"/>
        </w:rPr>
        <w:t>Quantitative Analyses</w:t>
      </w:r>
      <w:r w:rsidR="001B26AE">
        <w:rPr>
          <w:b/>
          <w:szCs w:val="24"/>
        </w:rPr>
        <w:t xml:space="preserve"> and</w:t>
      </w:r>
      <w:r w:rsidRPr="001B26AE" w:rsidR="001B26AE">
        <w:rPr>
          <w:b/>
          <w:szCs w:val="24"/>
        </w:rPr>
        <w:t xml:space="preserve"> </w:t>
      </w:r>
      <w:r w:rsidRPr="000655BF" w:rsidR="001B26AE">
        <w:rPr>
          <w:b/>
          <w:szCs w:val="24"/>
        </w:rPr>
        <w:t>Outcome Evaluation Models</w:t>
      </w:r>
      <w:r w:rsidRPr="000655BF" w:rsidR="00F90DE0">
        <w:rPr>
          <w:b/>
          <w:szCs w:val="24"/>
        </w:rPr>
        <w:t>:</w:t>
      </w:r>
      <w:r w:rsidRPr="000655BF" w:rsidR="00F90DE0">
        <w:rPr>
          <w:szCs w:val="24"/>
        </w:rPr>
        <w:t xml:space="preserve"> </w:t>
      </w:r>
    </w:p>
    <w:p w:rsidR="0057369B" w:rsidRPr="000655BF" w:rsidP="003F5A31" w14:paraId="20E03771" w14:textId="30E85580">
      <w:pPr>
        <w:pStyle w:val="NoSpacing"/>
        <w:rPr>
          <w:szCs w:val="24"/>
        </w:rPr>
      </w:pPr>
      <w:r>
        <w:t xml:space="preserve">Several features of the evaluation design and </w:t>
      </w:r>
      <w:r w:rsidR="003E292C">
        <w:t>evaluation questions</w:t>
      </w:r>
      <w:r>
        <w:t xml:space="preserve"> guided the selection of the analysis frameworks for the </w:t>
      </w:r>
      <w:r w:rsidR="00D00AE7">
        <w:t>SPF Rx</w:t>
      </w:r>
      <w:r>
        <w:t xml:space="preserve"> evaluation</w:t>
      </w:r>
      <w:r w:rsidR="00516F06">
        <w:t xml:space="preserve">, including </w:t>
      </w:r>
      <w:r w:rsidRPr="000655BF" w:rsidR="004603F3">
        <w:t>r</w:t>
      </w:r>
      <w:r w:rsidRPr="000655BF">
        <w:t>epeated outcomes;</w:t>
      </w:r>
      <w:r w:rsidR="00516F06">
        <w:t xml:space="preserve"> </w:t>
      </w:r>
      <w:r w:rsidRPr="000655BF" w:rsidR="004603F3">
        <w:rPr>
          <w:szCs w:val="24"/>
        </w:rPr>
        <w:t>d</w:t>
      </w:r>
      <w:r w:rsidRPr="000655BF">
        <w:rPr>
          <w:szCs w:val="24"/>
        </w:rPr>
        <w:t>ata from state</w:t>
      </w:r>
      <w:r w:rsidR="00225942">
        <w:rPr>
          <w:szCs w:val="24"/>
        </w:rPr>
        <w:t xml:space="preserve">, </w:t>
      </w:r>
      <w:r w:rsidRPr="000655BF">
        <w:rPr>
          <w:szCs w:val="24"/>
        </w:rPr>
        <w:t>tribal</w:t>
      </w:r>
      <w:r w:rsidR="00225942">
        <w:rPr>
          <w:szCs w:val="24"/>
        </w:rPr>
        <w:t xml:space="preserve">, and territory </w:t>
      </w:r>
      <w:r w:rsidRPr="000655BF">
        <w:rPr>
          <w:szCs w:val="24"/>
        </w:rPr>
        <w:t>grantees;</w:t>
      </w:r>
      <w:r w:rsidR="00516F06">
        <w:rPr>
          <w:szCs w:val="24"/>
        </w:rPr>
        <w:t xml:space="preserve"> </w:t>
      </w:r>
      <w:r w:rsidRPr="000655BF" w:rsidR="004603F3">
        <w:rPr>
          <w:szCs w:val="24"/>
        </w:rPr>
        <w:t>d</w:t>
      </w:r>
      <w:r w:rsidRPr="000655BF">
        <w:rPr>
          <w:szCs w:val="24"/>
        </w:rPr>
        <w:t>ata from communities nested within grantees;</w:t>
      </w:r>
      <w:r w:rsidR="00516F06">
        <w:rPr>
          <w:szCs w:val="24"/>
        </w:rPr>
        <w:t xml:space="preserve"> </w:t>
      </w:r>
      <w:r w:rsidRPr="000655BF" w:rsidR="004603F3">
        <w:rPr>
          <w:szCs w:val="24"/>
        </w:rPr>
        <w:t>n</w:t>
      </w:r>
      <w:r w:rsidRPr="000655BF">
        <w:rPr>
          <w:szCs w:val="24"/>
        </w:rPr>
        <w:t>onrandomized comparison of communities within grantee states; and</w:t>
      </w:r>
      <w:r w:rsidR="00516F06">
        <w:rPr>
          <w:szCs w:val="24"/>
        </w:rPr>
        <w:t xml:space="preserve"> </w:t>
      </w:r>
      <w:r w:rsidRPr="000655BF" w:rsidR="004603F3">
        <w:rPr>
          <w:szCs w:val="24"/>
        </w:rPr>
        <w:t>n</w:t>
      </w:r>
      <w:r w:rsidRPr="000655BF">
        <w:rPr>
          <w:szCs w:val="24"/>
        </w:rPr>
        <w:t>onrandom selection of intervention types that often occur in combination.</w:t>
      </w:r>
    </w:p>
    <w:p w:rsidR="003E292C" w:rsidP="003E292C" w14:paraId="4F4283E9" w14:textId="5470A0C8">
      <w:pPr>
        <w:pStyle w:val="NoSpacing"/>
        <w:rPr>
          <w:b/>
          <w:szCs w:val="24"/>
        </w:rPr>
      </w:pPr>
    </w:p>
    <w:p w:rsidR="003E292C" w:rsidP="003E292C" w14:paraId="0833346D" w14:textId="04A6693D">
      <w:pPr>
        <w:pStyle w:val="NoSpacing"/>
        <w:rPr>
          <w:bCs/>
          <w:szCs w:val="24"/>
        </w:rPr>
      </w:pPr>
      <w:r>
        <w:rPr>
          <w:bCs/>
          <w:szCs w:val="24"/>
        </w:rPr>
        <w:t>To address the above features</w:t>
      </w:r>
      <w:r w:rsidR="003F6500">
        <w:rPr>
          <w:bCs/>
          <w:szCs w:val="24"/>
        </w:rPr>
        <w:t>,</w:t>
      </w:r>
      <w:r>
        <w:rPr>
          <w:bCs/>
          <w:szCs w:val="24"/>
        </w:rPr>
        <w:t xml:space="preserve"> analyses will use the following models:</w:t>
      </w:r>
    </w:p>
    <w:p w:rsidR="003E292C" w:rsidP="003E292C" w14:paraId="50A04002" w14:textId="77777777">
      <w:pPr>
        <w:pStyle w:val="NoSpacing"/>
        <w:rPr>
          <w:bCs/>
          <w:szCs w:val="24"/>
        </w:rPr>
      </w:pPr>
    </w:p>
    <w:p w:rsidR="00225942" w:rsidRPr="003E292C" w:rsidP="003F5A31" w14:paraId="01607B6A" w14:textId="2566EFFF">
      <w:pPr>
        <w:pStyle w:val="NoSpacing"/>
        <w:numPr>
          <w:ilvl w:val="0"/>
          <w:numId w:val="29"/>
        </w:numPr>
        <w:spacing w:after="120"/>
        <w:rPr>
          <w:szCs w:val="24"/>
        </w:rPr>
      </w:pPr>
      <w:r w:rsidRPr="0081576E">
        <w:rPr>
          <w:b/>
          <w:bCs/>
          <w:szCs w:val="24"/>
        </w:rPr>
        <w:t xml:space="preserve">Longitudinal </w:t>
      </w:r>
      <w:r>
        <w:rPr>
          <w:b/>
          <w:bCs/>
          <w:szCs w:val="24"/>
        </w:rPr>
        <w:t>m</w:t>
      </w:r>
      <w:r>
        <w:rPr>
          <w:b/>
          <w:bCs/>
          <w:szCs w:val="24"/>
        </w:rPr>
        <w:t>ultilevel regression</w:t>
      </w:r>
      <w:r w:rsidRPr="00BF30A1">
        <w:rPr>
          <w:b/>
          <w:bCs/>
          <w:szCs w:val="24"/>
        </w:rPr>
        <w:t>:</w:t>
      </w:r>
      <w:r>
        <w:rPr>
          <w:szCs w:val="24"/>
        </w:rPr>
        <w:t xml:space="preserve"> </w:t>
      </w:r>
      <w:r w:rsidRPr="00225942">
        <w:rPr>
          <w:szCs w:val="24"/>
        </w:rPr>
        <w:t>We will conduct multilevel regression models to estimate</w:t>
      </w:r>
      <w:r>
        <w:rPr>
          <w:szCs w:val="24"/>
        </w:rPr>
        <w:t xml:space="preserve"> whether and how outcomes change over time</w:t>
      </w:r>
      <w:r w:rsidR="00EF45DE">
        <w:rPr>
          <w:szCs w:val="24"/>
        </w:rPr>
        <w:t xml:space="preserve"> </w:t>
      </w:r>
      <w:r>
        <w:rPr>
          <w:szCs w:val="24"/>
        </w:rPr>
        <w:t xml:space="preserve">and </w:t>
      </w:r>
      <w:r w:rsidR="006A2772">
        <w:rPr>
          <w:szCs w:val="24"/>
        </w:rPr>
        <w:t xml:space="preserve">the </w:t>
      </w:r>
      <w:r>
        <w:rPr>
          <w:szCs w:val="24"/>
        </w:rPr>
        <w:t>influence of predictors</w:t>
      </w:r>
      <w:r w:rsidRPr="00225942">
        <w:rPr>
          <w:szCs w:val="24"/>
        </w:rPr>
        <w:t xml:space="preserve"> </w:t>
      </w:r>
      <w:r w:rsidR="00EF45DE">
        <w:rPr>
          <w:szCs w:val="24"/>
        </w:rPr>
        <w:t>in</w:t>
      </w:r>
      <w:r w:rsidRPr="00225942">
        <w:rPr>
          <w:szCs w:val="24"/>
        </w:rPr>
        <w:t xml:space="preserve"> outcome changes.</w:t>
      </w:r>
      <w:r>
        <w:rPr>
          <w:szCs w:val="24"/>
        </w:rPr>
        <w:t xml:space="preserve"> We will model summary data (</w:t>
      </w:r>
      <w:r w:rsidR="0033059F">
        <w:rPr>
          <w:szCs w:val="24"/>
        </w:rPr>
        <w:t>that is</w:t>
      </w:r>
      <w:r w:rsidR="006A2772">
        <w:rPr>
          <w:szCs w:val="24"/>
        </w:rPr>
        <w:t>, prevalence rates</w:t>
      </w:r>
      <w:r>
        <w:rPr>
          <w:szCs w:val="24"/>
        </w:rPr>
        <w:t>) across outcomes of interest</w:t>
      </w:r>
      <w:r w:rsidR="006A2772">
        <w:rPr>
          <w:szCs w:val="24"/>
        </w:rPr>
        <w:t xml:space="preserve"> for each grantee, representing the outcome average for that community or service area at a given time. We will then average that information across grantees to provide an overall assessment of that outcome for a given collection of grantees</w:t>
      </w:r>
      <w:r>
        <w:rPr>
          <w:szCs w:val="24"/>
        </w:rPr>
        <w:t>. We will model changes over time within and across grantees</w:t>
      </w:r>
      <w:r w:rsidR="006A2772">
        <w:rPr>
          <w:szCs w:val="24"/>
        </w:rPr>
        <w:t>. W</w:t>
      </w:r>
      <w:r w:rsidRPr="00E96A37" w:rsidR="006A2772">
        <w:t xml:space="preserve">e will estimate and report the amount that each outcome changes from one period to the next, and we will include an inferential test to document whether the change was significantly different from zero. </w:t>
      </w:r>
      <w:r w:rsidR="006A2772">
        <w:t xml:space="preserve">We </w:t>
      </w:r>
      <w:r w:rsidR="006A2772">
        <w:rPr>
          <w:szCs w:val="24"/>
        </w:rPr>
        <w:t xml:space="preserve">will compare the magnitude of changes in effect size (standard deviation) </w:t>
      </w:r>
      <w:r w:rsidR="006A2772">
        <w:rPr>
          <w:szCs w:val="24"/>
        </w:rPr>
        <w:t xml:space="preserve">units to determine whether some outcomes change more or less than others. </w:t>
      </w:r>
      <w:r>
        <w:rPr>
          <w:szCs w:val="24"/>
        </w:rPr>
        <w:t xml:space="preserve">We will add explanatory variables and interaction terms to the models to estimate their impact on intervention effects and to assess differences across cohorts. </w:t>
      </w:r>
    </w:p>
    <w:p w:rsidR="0057369B" w:rsidRPr="000655BF" w:rsidP="002A1583" w14:paraId="45B1C6A4" w14:textId="77777777">
      <w:pPr>
        <w:pStyle w:val="Heading2"/>
      </w:pPr>
      <w:r w:rsidRPr="000655BF">
        <w:t>A.17</w:t>
      </w:r>
      <w:r w:rsidRPr="000655BF" w:rsidR="00C6777E">
        <w:t>.</w:t>
      </w:r>
      <w:r w:rsidRPr="000655BF">
        <w:tab/>
        <w:t>Display of Expiration Date</w:t>
      </w:r>
    </w:p>
    <w:p w:rsidR="0057369B" w:rsidRPr="000655BF" w:rsidP="0057369B" w14:paraId="501E4ADB" w14:textId="77777777">
      <w:pPr>
        <w:pStyle w:val="BodyText"/>
        <w:rPr>
          <w:sz w:val="24"/>
          <w:szCs w:val="24"/>
        </w:rPr>
      </w:pPr>
      <w:r w:rsidRPr="000655BF">
        <w:rPr>
          <w:sz w:val="24"/>
          <w:szCs w:val="24"/>
        </w:rPr>
        <w:t>OMB approval expiration dates will be displayed.</w:t>
      </w:r>
    </w:p>
    <w:p w:rsidR="0057369B" w:rsidRPr="000655BF" w:rsidP="002A1583" w14:paraId="352AA620" w14:textId="7951F796">
      <w:pPr>
        <w:pStyle w:val="Heading2"/>
      </w:pPr>
      <w:r w:rsidRPr="000655BF">
        <w:t>A.18</w:t>
      </w:r>
      <w:r w:rsidRPr="000655BF" w:rsidR="00C6777E">
        <w:t>.</w:t>
      </w:r>
      <w:r w:rsidRPr="000655BF">
        <w:tab/>
        <w:t>Ex</w:t>
      </w:r>
      <w:r w:rsidR="00752360">
        <w:t>planation of Ex</w:t>
      </w:r>
      <w:r w:rsidRPr="000655BF">
        <w:t>ceptions</w:t>
      </w:r>
    </w:p>
    <w:p w:rsidR="003043C8" w:rsidRPr="000655BF" w:rsidP="00147553" w14:paraId="22805FE1" w14:textId="683D5701">
      <w:pPr>
        <w:pStyle w:val="BodyText"/>
        <w:rPr>
          <w:b/>
          <w:bCs/>
          <w:caps/>
          <w:kern w:val="3"/>
          <w:szCs w:val="24"/>
        </w:rPr>
      </w:pPr>
      <w:r w:rsidRPr="000655BF">
        <w:rPr>
          <w:sz w:val="24"/>
          <w:szCs w:val="24"/>
        </w:rPr>
        <w:t>There are no exceptions to the certification statement. The certifications are included in this submission.</w:t>
      </w:r>
    </w:p>
    <w:sectPr w:rsidSect="005736E9">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9C0" w14:paraId="3725CD12" w14:textId="5D3B248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9C0" w14:paraId="6767C235" w14:textId="1CD555A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151D" w14:paraId="420601FB" w14:textId="77777777">
      <w:r>
        <w:rPr>
          <w:color w:val="000000"/>
        </w:rPr>
        <w:separator/>
      </w:r>
    </w:p>
  </w:footnote>
  <w:footnote w:type="continuationSeparator" w:id="1">
    <w:p w:rsidR="0087151D" w14:paraId="7BF43935" w14:textId="77777777">
      <w:r>
        <w:continuationSeparator/>
      </w:r>
    </w:p>
  </w:footnote>
  <w:footnote w:type="continuationNotice" w:id="2">
    <w:p w:rsidR="0087151D" w14:paraId="31BDD1A3" w14:textId="77777777"/>
  </w:footnote>
  <w:footnote w:id="3">
    <w:p w:rsidR="00D55479" w:rsidRPr="00242214" w14:paraId="42B7D037" w14:textId="316D3F04">
      <w:pPr>
        <w:pStyle w:val="FootnoteText"/>
      </w:pPr>
      <w:r>
        <w:rPr>
          <w:rStyle w:val="FootnoteReference"/>
        </w:rPr>
        <w:footnoteRef/>
      </w:r>
      <w:r>
        <w:t xml:space="preserve"> </w:t>
      </w:r>
      <w:r w:rsidRPr="00242214">
        <w:t>Substance Abuse and Mental Health Services Administration</w:t>
      </w:r>
      <w:r w:rsidRPr="00242214" w:rsidR="00704455">
        <w:t>.</w:t>
      </w:r>
      <w:r w:rsidRPr="00242214">
        <w:t xml:space="preserve"> (2024). Key substance </w:t>
      </w:r>
      <w:r w:rsidRPr="00242214">
        <w:t>use</w:t>
      </w:r>
      <w:r w:rsidRPr="00242214">
        <w:t xml:space="preserve"> and mental health indicators in the United States: Results from the 2023 National Survey on Drug Use and Health (HHS Publication No. PEP24-07-021, NSDUH Series H-59). Center for Behavioral Health Statistics and Quality, Substance Abuse and Mental Health Services Administration. </w:t>
      </w:r>
      <w:r w:rsidRPr="00242214" w:rsidR="00990FCF">
        <w:t xml:space="preserve">Retrieved from </w:t>
      </w:r>
      <w:hyperlink r:id="rId1" w:history="1">
        <w:r w:rsidRPr="00242214" w:rsidR="00EC0561">
          <w:rPr>
            <w:rStyle w:val="Hyperlink"/>
          </w:rPr>
          <w:t>https://www.samhsa.gov/data/</w:t>
        </w:r>
      </w:hyperlink>
      <w:r w:rsidRPr="00242214" w:rsidR="00EC0561">
        <w:t xml:space="preserve"> </w:t>
      </w:r>
    </w:p>
  </w:footnote>
  <w:footnote w:id="4">
    <w:p w:rsidR="00577B43" w:rsidRPr="00242214" w14:paraId="4BBF92E3" w14:textId="391756C7">
      <w:pPr>
        <w:pStyle w:val="FootnoteText"/>
      </w:pPr>
      <w:r w:rsidRPr="00242214">
        <w:rPr>
          <w:rStyle w:val="FootnoteReference"/>
        </w:rPr>
        <w:footnoteRef/>
      </w:r>
      <w:r w:rsidRPr="00242214">
        <w:t xml:space="preserve"> </w:t>
      </w:r>
      <w:r w:rsidRPr="00242214" w:rsidR="00990FCF">
        <w:t xml:space="preserve">Substance Abuse and Mental Health Services Administration. (2021). Key substance </w:t>
      </w:r>
      <w:r w:rsidRPr="00242214" w:rsidR="00990FCF">
        <w:t>use</w:t>
      </w:r>
      <w:r w:rsidRPr="00242214" w:rsidR="00990FCF">
        <w:t xml:space="preserve"> and mental health indicators in the United States: Results from the 2020 National Survey on Drug Use and Health (HHS Publication No. PEP21-07-01-003, NSDUH Series H-56). Rockville, MD: Center for Behavioral Health Statistics and Quality, Substance Abuse and Mental Health Services Administration. Retrieved from </w:t>
      </w:r>
      <w:hyperlink r:id="rId1" w:history="1">
        <w:r w:rsidRPr="00242214" w:rsidR="00EC0561">
          <w:rPr>
            <w:rStyle w:val="Hyperlink"/>
          </w:rPr>
          <w:t>https://www.samhsa.gov/data/</w:t>
        </w:r>
      </w:hyperlink>
      <w:r w:rsidRPr="00242214" w:rsidR="00EC0561">
        <w:t xml:space="preserve"> </w:t>
      </w:r>
    </w:p>
  </w:footnote>
  <w:footnote w:id="5">
    <w:p w:rsidR="00F4274F" w14:paraId="3CCB4A27" w14:textId="55558E69">
      <w:pPr>
        <w:pStyle w:val="FootnoteText"/>
      </w:pPr>
      <w:r w:rsidRPr="00242214">
        <w:rPr>
          <w:rStyle w:val="FootnoteReference"/>
        </w:rPr>
        <w:footnoteRef/>
      </w:r>
      <w:r w:rsidRPr="00242214">
        <w:t xml:space="preserve"> O’Donnell J, Tanz LJ, Miller KD, et al. Drug Overdose Deaths with Evidence of Counterfeit Pill Use — United States, July 2019–December 2021. </w:t>
      </w:r>
      <w:r w:rsidRPr="00242214" w:rsidR="00C47F78">
        <w:t>Morbidity and Mortality Weekly Report</w:t>
      </w:r>
      <w:r w:rsidRPr="00242214">
        <w:t xml:space="preserve"> </w:t>
      </w:r>
      <w:r w:rsidRPr="00242214">
        <w:t>2023;72:949</w:t>
      </w:r>
      <w:r w:rsidRPr="00242214">
        <w:t>–956. DOI: </w:t>
      </w:r>
      <w:hyperlink r:id="rId2" w:history="1">
        <w:r w:rsidRPr="00242214">
          <w:rPr>
            <w:rStyle w:val="Hyperlink"/>
          </w:rPr>
          <w:t>http://dx.doi.org/10.15585/mmwr.mm7235a3</w:t>
        </w:r>
      </w:hyperlink>
    </w:p>
  </w:footnote>
  <w:footnote w:id="6">
    <w:p w:rsidR="00E211D9" w14:paraId="1E36393B" w14:textId="2A15E4C5">
      <w:pPr>
        <w:pStyle w:val="FootnoteText"/>
      </w:pPr>
      <w:r>
        <w:rPr>
          <w:rStyle w:val="FootnoteReference"/>
        </w:rPr>
        <w:footnoteRef/>
      </w:r>
      <w:r>
        <w:t xml:space="preserve"> The five steps include </w:t>
      </w:r>
      <w:r w:rsidRPr="00E211D9">
        <w:t>(1) conducting a needs assessment, (2) understanding and increasing local capacity to address prevention, (3) planning which strategies to implement and how, (4) implementing evidence-based programs, practices, and policies, and (5) evaluating the implementation process and subsequent outcomes</w:t>
      </w:r>
      <w:r>
        <w:t>.</w:t>
      </w:r>
    </w:p>
  </w:footnote>
  <w:footnote w:id="7">
    <w:p w:rsidR="00D2793C" w14:paraId="4F56C9FF" w14:textId="5BF3AA34">
      <w:pPr>
        <w:pStyle w:val="FootnoteText"/>
      </w:pPr>
      <w:r>
        <w:rPr>
          <w:rStyle w:val="FootnoteReference"/>
        </w:rPr>
        <w:footnoteRef/>
      </w:r>
      <w:r>
        <w:t xml:space="preserve"> The total contract award includes two optional tasks which have not yet been exercised.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86314"/>
    <w:multiLevelType w:val="multilevel"/>
    <w:tmpl w:val="A8C40F2A"/>
    <w:styleLink w:val="LFO6"/>
    <w:lvl w:ilvl="0">
      <w:start w:val="0"/>
      <w:numFmt w:val="bullet"/>
      <w:pStyle w:val="textbox-bullet"/>
      <w:lvlText w:val="•"/>
      <w:lvlJc w:val="left"/>
      <w:pPr>
        <w:ind w:left="720" w:hanging="360"/>
      </w:pPr>
      <w:rPr>
        <w:rFonts w:ascii="Arial" w:hAnsi="Aria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
    <w:nsid w:val="06ED5150"/>
    <w:multiLevelType w:val="multilevel"/>
    <w:tmpl w:val="658C13A2"/>
    <w:lvl w:ilvl="0">
      <w:start w:val="1"/>
      <w:numFmt w:val="bullet"/>
      <w:lvlText w:val=""/>
      <w:lvlJc w:val="left"/>
      <w:pPr>
        <w:ind w:left="720" w:hanging="360"/>
      </w:pPr>
      <w:rPr>
        <w:rFonts w:ascii="Symbol" w:hAnsi="Symbol" w:hint="default"/>
        <w:color w:val="auto"/>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
    <w:nsid w:val="0910531B"/>
    <w:multiLevelType w:val="multilevel"/>
    <w:tmpl w:val="029A2498"/>
    <w:styleLink w:val="LFO3"/>
    <w:lvl w:ilvl="0">
      <w:start w:val="1"/>
      <w:numFmt w:val="decimal"/>
      <w:pStyle w:val="table-bullet2nd"/>
      <w:lvlText w:val="%1)"/>
      <w:lvlJc w:val="left"/>
      <w:pPr>
        <w:ind w:left="360" w:hanging="360"/>
      </w:pPr>
    </w:lvl>
    <w:lvl w:ilvl="1">
      <w:start w:val="0"/>
      <w:numFmt w:val="bullet"/>
      <w:lvlText w:val=""/>
      <w:lvlJc w:val="left"/>
      <w:pPr>
        <w:ind w:left="576" w:hanging="288"/>
      </w:pPr>
      <w:rPr>
        <w:rFonts w:ascii="Symbol" w:hAnsi="Symbo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C64304"/>
    <w:multiLevelType w:val="multilevel"/>
    <w:tmpl w:val="52C8489E"/>
    <w:styleLink w:val="LFO7"/>
    <w:lvl w:ilvl="0">
      <w:start w:val="0"/>
      <w:numFmt w:val="bullet"/>
      <w:pStyle w:val="table-bulletLM"/>
      <w:lvlText w:val="•"/>
      <w:lvlJc w:val="left"/>
      <w:pPr>
        <w:ind w:left="720" w:hanging="360"/>
      </w:pPr>
      <w:rPr>
        <w:rFonts w:ascii="Arial" w:hAnsi="Aria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
    <w:nsid w:val="0FDF02ED"/>
    <w:multiLevelType w:val="multilevel"/>
    <w:tmpl w:val="DDEA02AE"/>
    <w:styleLink w:val="LFO13"/>
    <w:lvl w:ilvl="0">
      <w:start w:val="0"/>
      <w:numFmt w:val="bullet"/>
      <w:pStyle w:val="Table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5">
    <w:nsid w:val="106471F2"/>
    <w:multiLevelType w:val="hybridMultilevel"/>
    <w:tmpl w:val="1A4E6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092810"/>
    <w:multiLevelType w:val="multilevel"/>
    <w:tmpl w:val="E2741F64"/>
    <w:styleLink w:val="LFO11"/>
    <w:lvl w:ilvl="0">
      <w:start w:val="1"/>
      <w:numFmt w:val="bullet"/>
      <w:pStyle w:val="ListBulletLast"/>
      <w:lvlText w:val=""/>
      <w:lvlJc w:val="left"/>
      <w:pPr>
        <w:ind w:left="720" w:hanging="360"/>
      </w:pPr>
      <w:rPr>
        <w:rFonts w:ascii="Symbol" w:hAnsi="Symbol" w:hint="default"/>
        <w:color w:val="auto"/>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12190A2C"/>
    <w:multiLevelType w:val="multilevel"/>
    <w:tmpl w:val="B86C9ABC"/>
    <w:styleLink w:val="LFO21"/>
    <w:lvl w:ilvl="0">
      <w:start w:val="0"/>
      <w:numFmt w:val="bullet"/>
      <w:pStyle w:val="Bullets0"/>
      <w:lvlText w:val=""/>
      <w:lvlJc w:val="left"/>
      <w:pPr>
        <w:ind w:left="360" w:hanging="360"/>
      </w:pPr>
      <w:rPr>
        <w:rFonts w:ascii="Symbol" w:hAnsi="Symbol"/>
        <w:color w:val="DA291C"/>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21D2658"/>
    <w:multiLevelType w:val="multilevel"/>
    <w:tmpl w:val="73AE6604"/>
    <w:numStyleLink w:val="LFO25"/>
  </w:abstractNum>
  <w:abstractNum w:abstractNumId="9">
    <w:nsid w:val="12A33481"/>
    <w:multiLevelType w:val="hybridMultilevel"/>
    <w:tmpl w:val="4F72380C"/>
    <w:lvl w:ilvl="0">
      <w:start w:val="1"/>
      <w:numFmt w:val="bulle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882A39"/>
    <w:multiLevelType w:val="multilevel"/>
    <w:tmpl w:val="865C0A0C"/>
    <w:styleLink w:val="LFO26"/>
    <w:lvl w:ilvl="0">
      <w:start w:val="1"/>
      <w:numFmt w:val="bullet"/>
      <w:lvlText w:val=""/>
      <w:lvlJc w:val="left"/>
      <w:pPr>
        <w:ind w:left="720" w:hanging="360"/>
      </w:pPr>
      <w:rPr>
        <w:rFonts w:ascii="Symbol" w:hAnsi="Symbol"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2465725A"/>
    <w:multiLevelType w:val="hybridMultilevel"/>
    <w:tmpl w:val="753ACE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664FA2"/>
    <w:multiLevelType w:val="multilevel"/>
    <w:tmpl w:val="6672A266"/>
    <w:styleLink w:val="LFO8"/>
    <w:lvl w:ilvl="0">
      <w:start w:val="0"/>
      <w:numFmt w:val="bullet"/>
      <w:pStyle w:val="table-bulletind"/>
      <w:lvlText w:val="•"/>
      <w:lvlJc w:val="left"/>
      <w:pPr>
        <w:ind w:left="1008" w:hanging="360"/>
      </w:pPr>
      <w:rPr>
        <w:rFonts w:ascii="Arial" w:hAnsi="Aria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3">
    <w:nsid w:val="28F902F0"/>
    <w:multiLevelType w:val="hybridMultilevel"/>
    <w:tmpl w:val="D8BEA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DE5B97"/>
    <w:multiLevelType w:val="hybridMultilevel"/>
    <w:tmpl w:val="F9084B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A9B44C8"/>
    <w:multiLevelType w:val="multilevel"/>
    <w:tmpl w:val="CEDE8F08"/>
    <w:styleLink w:val="OMBBlue"/>
    <w:lvl w:ilvl="0">
      <w:start w:val="1"/>
      <w:numFmt w:val="upperLetter"/>
      <w:lvlText w:val="%1."/>
      <w:lvlJc w:val="left"/>
      <w:pPr>
        <w:ind w:left="360" w:hanging="360"/>
      </w:pPr>
      <w:rPr>
        <w:color w:val="44546A"/>
      </w:rPr>
    </w:lvl>
    <w:lvl w:ilvl="1">
      <w:start w:val="1"/>
      <w:numFmt w:val="decimal"/>
      <w:lvlText w:val="%1.%2."/>
      <w:lvlJc w:val="left"/>
      <w:pPr>
        <w:ind w:left="720" w:hanging="720"/>
      </w:pPr>
      <w:rPr>
        <w:color w:val="5B9BD5"/>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600D2D"/>
    <w:multiLevelType w:val="hybridMultilevel"/>
    <w:tmpl w:val="E564C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876CA4"/>
    <w:multiLevelType w:val="hybridMultilevel"/>
    <w:tmpl w:val="2382A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013F6E"/>
    <w:multiLevelType w:val="hybridMultilevel"/>
    <w:tmpl w:val="3C1A0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AB0011"/>
    <w:multiLevelType w:val="hybridMultilevel"/>
    <w:tmpl w:val="4FF03E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F324BD3"/>
    <w:multiLevelType w:val="multilevel"/>
    <w:tmpl w:val="4A6442FE"/>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1">
    <w:nsid w:val="33BF6E9D"/>
    <w:multiLevelType w:val="multilevel"/>
    <w:tmpl w:val="A4EC6DE2"/>
    <w:styleLink w:val="LFO4"/>
    <w:lvl w:ilvl="0">
      <w:start w:val="0"/>
      <w:numFmt w:val="bullet"/>
      <w:pStyle w:val="bullets"/>
      <w:lvlText w:val="•"/>
      <w:lvlJc w:val="left"/>
      <w:pPr>
        <w:ind w:left="720" w:hanging="360"/>
      </w:pPr>
      <w:rPr>
        <w:rFonts w:ascii="Arial" w:hAnsi="Aria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22">
    <w:nsid w:val="3D3F64B7"/>
    <w:multiLevelType w:val="hybridMultilevel"/>
    <w:tmpl w:val="63C4B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8316B6"/>
    <w:multiLevelType w:val="hybridMultilevel"/>
    <w:tmpl w:val="12FE0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DD6A95"/>
    <w:multiLevelType w:val="hybridMultilevel"/>
    <w:tmpl w:val="59EE90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DE4D34"/>
    <w:multiLevelType w:val="hybridMultilevel"/>
    <w:tmpl w:val="323EF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CC697C"/>
    <w:multiLevelType w:val="multilevel"/>
    <w:tmpl w:val="F7DC4942"/>
    <w:styleLink w:val="LFO1"/>
    <w:lvl w:ilvl="0">
      <w:start w:val="0"/>
      <w:numFmt w:val="bullet"/>
      <w:pStyle w:val="bullets2nd-level"/>
      <w:lvlText w:val="–"/>
      <w:lvlJc w:val="left"/>
      <w:pPr>
        <w:ind w:left="1080" w:hanging="360"/>
      </w:pPr>
      <w:rPr>
        <w:rFonts w:ascii="Times New Roman"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7">
    <w:nsid w:val="4D852FE9"/>
    <w:multiLevelType w:val="multilevel"/>
    <w:tmpl w:val="73AE6604"/>
    <w:styleLink w:val="LFO25"/>
    <w:lvl w:ilvl="0">
      <w:start w:val="0"/>
      <w:numFmt w:val="bullet"/>
      <w:pStyle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8">
    <w:nsid w:val="4FF709CD"/>
    <w:multiLevelType w:val="multilevel"/>
    <w:tmpl w:val="3E8AA868"/>
    <w:styleLink w:val="LFO9"/>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502B3D5C"/>
    <w:multiLevelType w:val="hybridMultilevel"/>
    <w:tmpl w:val="697E7D7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50441737"/>
    <w:multiLevelType w:val="multilevel"/>
    <w:tmpl w:val="C0FC2DA0"/>
    <w:lvl w:ilvl="0">
      <w:start w:val="1"/>
      <w:numFmt w:val="bullet"/>
      <w:lvlText w:val=""/>
      <w:lvlJc w:val="left"/>
      <w:pPr>
        <w:ind w:left="720" w:hanging="360"/>
      </w:pPr>
      <w:rPr>
        <w:rFonts w:ascii="Wingdings" w:hAnsi="Wingdings"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1">
    <w:nsid w:val="522767BC"/>
    <w:multiLevelType w:val="hybridMultilevel"/>
    <w:tmpl w:val="E7CC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2EF5D02"/>
    <w:multiLevelType w:val="hybridMultilevel"/>
    <w:tmpl w:val="B2F038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6042EAC"/>
    <w:multiLevelType w:val="hybridMultilevel"/>
    <w:tmpl w:val="53CA0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7B74E97"/>
    <w:multiLevelType w:val="hybridMultilevel"/>
    <w:tmpl w:val="562AED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3D729D"/>
    <w:multiLevelType w:val="multilevel"/>
    <w:tmpl w:val="908272E6"/>
    <w:styleLink w:val="Format2Number"/>
    <w:lvl w:ilvl="0">
      <w:start w:val="1"/>
      <w:numFmt w:val="decimal"/>
      <w:lvlText w:val="Section %1."/>
      <w:lvlJc w:val="left"/>
      <w:pPr>
        <w:ind w:left="432" w:hanging="432"/>
      </w:pPr>
      <w:rPr>
        <w:rFonts w:ascii="Times New Roman" w:hAnsi="Times New Roman"/>
        <w:b/>
        <w:i w:val="0"/>
        <w:sz w:val="24"/>
      </w:rPr>
    </w:lvl>
    <w:lvl w:ilvl="1">
      <w:start w:val="1"/>
      <w:numFmt w:val="decimal"/>
      <w:lvlText w:val="%1.%2"/>
      <w:lvlJc w:val="left"/>
      <w:pPr>
        <w:ind w:left="720" w:hanging="720"/>
      </w:pPr>
      <w:rPr>
        <w:rFonts w:ascii="Times New Roman" w:hAnsi="Times New Roman" w:cs="Times New Roman"/>
        <w:b/>
        <w:i w:val="0"/>
        <w:sz w:val="24"/>
      </w:rPr>
    </w:lvl>
    <w:lvl w:ilvl="2">
      <w:start w:val="1"/>
      <w:numFmt w:val="decimal"/>
      <w:lvlText w:val="%1.%2.%3"/>
      <w:lvlJc w:val="left"/>
      <w:pPr>
        <w:ind w:left="864" w:hanging="864"/>
      </w:pPr>
      <w:rPr>
        <w:rFonts w:ascii="Times New Roman" w:hAnsi="Times New Roman" w:cs="Times New Roman"/>
        <w:b/>
        <w:i/>
        <w:sz w:val="24"/>
      </w:rPr>
    </w:lvl>
    <w:lvl w:ilvl="3">
      <w:start w:val="1"/>
      <w:numFmt w:val="decimal"/>
      <w:lvlText w:val="%1.%2.%3.%4"/>
      <w:lvlJc w:val="left"/>
      <w:pPr>
        <w:ind w:left="864" w:hanging="864"/>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24548ED"/>
    <w:multiLevelType w:val="multilevel"/>
    <w:tmpl w:val="C99889CC"/>
    <w:lvl w:ilvl="0">
      <w:start w:val="1"/>
      <w:numFmt w:val="bullet"/>
      <w:lvlText w:val=""/>
      <w:lvlJc w:val="left"/>
      <w:pPr>
        <w:ind w:left="1080" w:hanging="360"/>
      </w:pPr>
      <w:rPr>
        <w:rFonts w:ascii="Symbol" w:hAnsi="Symbol"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7">
    <w:nsid w:val="696A5EF1"/>
    <w:multiLevelType w:val="multilevel"/>
    <w:tmpl w:val="2842F9D4"/>
    <w:styleLink w:val="LFO29"/>
    <w:lvl w:ilvl="0">
      <w:start w:val="0"/>
      <w:numFmt w:val="bullet"/>
      <w:pStyle w:val="N1-1stBullet"/>
      <w:lvlText w:val=""/>
      <w:lvlJc w:val="left"/>
      <w:pPr>
        <w:ind w:left="1152" w:hanging="576"/>
      </w:pPr>
      <w:rPr>
        <w:rFonts w:ascii="Wingdings" w:hAnsi="Wingdings"/>
        <w:sz w:val="18"/>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8">
    <w:nsid w:val="6A1163D8"/>
    <w:multiLevelType w:val="hybridMultilevel"/>
    <w:tmpl w:val="6598E5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6D691729"/>
    <w:multiLevelType w:val="hybridMultilevel"/>
    <w:tmpl w:val="5D888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nsid w:val="73C93F98"/>
    <w:multiLevelType w:val="hybridMultilevel"/>
    <w:tmpl w:val="C3D43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1D3A63"/>
    <w:multiLevelType w:val="multilevel"/>
    <w:tmpl w:val="43A0E40A"/>
    <w:styleLink w:val="LFO2"/>
    <w:lvl w:ilvl="0">
      <w:start w:val="0"/>
      <w:numFmt w:val="bullet"/>
      <w:pStyle w:val="bullets3rd-level"/>
      <w:lvlText w:val="■"/>
      <w:lvlJc w:val="left"/>
      <w:pPr>
        <w:ind w:left="1440" w:hanging="360"/>
      </w:pPr>
      <w:rPr>
        <w:rFonts w:ascii="Arial" w:hAnsi="Arial"/>
        <w:sz w:val="20"/>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3">
    <w:nsid w:val="770F5B87"/>
    <w:multiLevelType w:val="hybridMultilevel"/>
    <w:tmpl w:val="ACD014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C01FD3"/>
    <w:multiLevelType w:val="hybridMultilevel"/>
    <w:tmpl w:val="252693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D63DA6"/>
    <w:multiLevelType w:val="singleLevel"/>
    <w:tmpl w:val="A852D5D2"/>
    <w:lvl w:ilvl="0">
      <w:start w:val="1"/>
      <w:numFmt w:val="bullet"/>
      <w:lvlText w:val=""/>
      <w:lvlJc w:val="left"/>
      <w:pPr>
        <w:ind w:left="360" w:hanging="360"/>
      </w:pPr>
      <w:rPr>
        <w:rFonts w:ascii="Symbol" w:hAnsi="Symbol" w:hint="default"/>
        <w:color w:val="DA291C"/>
        <w:sz w:val="22"/>
      </w:rPr>
    </w:lvl>
  </w:abstractNum>
  <w:abstractNum w:abstractNumId="46">
    <w:nsid w:val="7B3D2482"/>
    <w:multiLevelType w:val="hybridMultilevel"/>
    <w:tmpl w:val="146240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051531"/>
    <w:multiLevelType w:val="multilevel"/>
    <w:tmpl w:val="6C2C4332"/>
    <w:lvl w:ilvl="0">
      <w:start w:val="0"/>
      <w:numFmt w:val="bullet"/>
      <w:lvlText w:val=""/>
      <w:lvlJc w:val="left"/>
      <w:pPr>
        <w:ind w:left="576" w:hanging="576"/>
      </w:pPr>
      <w:rPr>
        <w:rFonts w:ascii="Symbol" w:hAnsi="Symbol"/>
        <w:sz w:val="18"/>
      </w:rPr>
    </w:lvl>
    <w:lvl w:ilvl="1">
      <w:start w:val="0"/>
      <w:numFmt w:val="bullet"/>
      <w:lvlText w:val="o"/>
      <w:lvlJc w:val="left"/>
      <w:pPr>
        <w:ind w:left="864" w:hanging="360"/>
      </w:pPr>
      <w:rPr>
        <w:rFonts w:ascii="Courier New" w:hAnsi="Courier New" w:cs="Courier New"/>
      </w:rPr>
    </w:lvl>
    <w:lvl w:ilvl="2">
      <w:start w:val="0"/>
      <w:numFmt w:val="bullet"/>
      <w:lvlText w:val=""/>
      <w:lvlJc w:val="left"/>
      <w:pPr>
        <w:ind w:left="1584" w:hanging="360"/>
      </w:pPr>
      <w:rPr>
        <w:rFonts w:ascii="Wingdings" w:hAnsi="Wingdings"/>
      </w:rPr>
    </w:lvl>
    <w:lvl w:ilvl="3">
      <w:start w:val="0"/>
      <w:numFmt w:val="bullet"/>
      <w:lvlText w:val=""/>
      <w:lvlJc w:val="left"/>
      <w:pPr>
        <w:ind w:left="2304" w:hanging="360"/>
      </w:pPr>
      <w:rPr>
        <w:rFonts w:ascii="Symbol" w:hAnsi="Symbol"/>
      </w:rPr>
    </w:lvl>
    <w:lvl w:ilvl="4">
      <w:start w:val="0"/>
      <w:numFmt w:val="bullet"/>
      <w:lvlText w:val="o"/>
      <w:lvlJc w:val="left"/>
      <w:pPr>
        <w:ind w:left="3024" w:hanging="360"/>
      </w:pPr>
      <w:rPr>
        <w:rFonts w:ascii="Courier New" w:hAnsi="Courier New" w:cs="Courier New"/>
      </w:rPr>
    </w:lvl>
    <w:lvl w:ilvl="5">
      <w:start w:val="0"/>
      <w:numFmt w:val="bullet"/>
      <w:lvlText w:val=""/>
      <w:lvlJc w:val="left"/>
      <w:pPr>
        <w:ind w:left="3744" w:hanging="360"/>
      </w:pPr>
      <w:rPr>
        <w:rFonts w:ascii="Wingdings" w:hAnsi="Wingdings"/>
      </w:rPr>
    </w:lvl>
    <w:lvl w:ilvl="6">
      <w:start w:val="0"/>
      <w:numFmt w:val="bullet"/>
      <w:lvlText w:val=""/>
      <w:lvlJc w:val="left"/>
      <w:pPr>
        <w:ind w:left="4464" w:hanging="360"/>
      </w:pPr>
      <w:rPr>
        <w:rFonts w:ascii="Symbol" w:hAnsi="Symbol"/>
      </w:rPr>
    </w:lvl>
    <w:lvl w:ilvl="7">
      <w:start w:val="0"/>
      <w:numFmt w:val="bullet"/>
      <w:lvlText w:val="o"/>
      <w:lvlJc w:val="left"/>
      <w:pPr>
        <w:ind w:left="5184" w:hanging="360"/>
      </w:pPr>
      <w:rPr>
        <w:rFonts w:ascii="Courier New" w:hAnsi="Courier New" w:cs="Courier New"/>
      </w:rPr>
    </w:lvl>
    <w:lvl w:ilvl="8">
      <w:start w:val="0"/>
      <w:numFmt w:val="bullet"/>
      <w:lvlText w:val=""/>
      <w:lvlJc w:val="left"/>
      <w:pPr>
        <w:ind w:left="5904" w:hanging="360"/>
      </w:pPr>
      <w:rPr>
        <w:rFonts w:ascii="Wingdings" w:hAnsi="Wingdings"/>
      </w:rPr>
    </w:lvl>
  </w:abstractNum>
  <w:abstractNum w:abstractNumId="48">
    <w:nsid w:val="7E607D13"/>
    <w:multiLevelType w:val="hybridMultilevel"/>
    <w:tmpl w:val="96B05E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0832426">
    <w:abstractNumId w:val="35"/>
  </w:num>
  <w:num w:numId="2" w16cid:durableId="1399788610">
    <w:abstractNumId w:val="15"/>
  </w:num>
  <w:num w:numId="3" w16cid:durableId="529495078">
    <w:abstractNumId w:val="26"/>
  </w:num>
  <w:num w:numId="4" w16cid:durableId="347027743">
    <w:abstractNumId w:val="42"/>
  </w:num>
  <w:num w:numId="5" w16cid:durableId="1063986738">
    <w:abstractNumId w:val="2"/>
  </w:num>
  <w:num w:numId="6" w16cid:durableId="874733020">
    <w:abstractNumId w:val="21"/>
  </w:num>
  <w:num w:numId="7" w16cid:durableId="559944006">
    <w:abstractNumId w:val="0"/>
  </w:num>
  <w:num w:numId="8" w16cid:durableId="465049158">
    <w:abstractNumId w:val="3"/>
  </w:num>
  <w:num w:numId="9" w16cid:durableId="1943414926">
    <w:abstractNumId w:val="12"/>
  </w:num>
  <w:num w:numId="10" w16cid:durableId="957102011">
    <w:abstractNumId w:val="28"/>
  </w:num>
  <w:num w:numId="11" w16cid:durableId="284048072">
    <w:abstractNumId w:val="6"/>
  </w:num>
  <w:num w:numId="12" w16cid:durableId="1058675714">
    <w:abstractNumId w:val="4"/>
  </w:num>
  <w:num w:numId="13" w16cid:durableId="629630444">
    <w:abstractNumId w:val="7"/>
  </w:num>
  <w:num w:numId="14" w16cid:durableId="1802113937">
    <w:abstractNumId w:val="27"/>
  </w:num>
  <w:num w:numId="15" w16cid:durableId="1968076889">
    <w:abstractNumId w:val="10"/>
  </w:num>
  <w:num w:numId="16" w16cid:durableId="1309552775">
    <w:abstractNumId w:val="37"/>
  </w:num>
  <w:num w:numId="17" w16cid:durableId="358357547">
    <w:abstractNumId w:val="20"/>
  </w:num>
  <w:num w:numId="18" w16cid:durableId="1207254152">
    <w:abstractNumId w:val="47"/>
  </w:num>
  <w:num w:numId="19" w16cid:durableId="1392654229">
    <w:abstractNumId w:val="4"/>
  </w:num>
  <w:num w:numId="20" w16cid:durableId="482620482">
    <w:abstractNumId w:val="8"/>
  </w:num>
  <w:num w:numId="21" w16cid:durableId="406607959">
    <w:abstractNumId w:val="34"/>
  </w:num>
  <w:num w:numId="22" w16cid:durableId="867792782">
    <w:abstractNumId w:val="33"/>
  </w:num>
  <w:num w:numId="23" w16cid:durableId="1933007919">
    <w:abstractNumId w:val="16"/>
  </w:num>
  <w:num w:numId="24" w16cid:durableId="748503289">
    <w:abstractNumId w:val="41"/>
  </w:num>
  <w:num w:numId="25" w16cid:durableId="2101902625">
    <w:abstractNumId w:val="30"/>
  </w:num>
  <w:num w:numId="26" w16cid:durableId="1114252237">
    <w:abstractNumId w:val="11"/>
  </w:num>
  <w:num w:numId="27" w16cid:durableId="942151398">
    <w:abstractNumId w:val="24"/>
  </w:num>
  <w:num w:numId="28" w16cid:durableId="111827113">
    <w:abstractNumId w:val="18"/>
  </w:num>
  <w:num w:numId="29" w16cid:durableId="1037657253">
    <w:abstractNumId w:val="39"/>
  </w:num>
  <w:num w:numId="30" w16cid:durableId="1444764688">
    <w:abstractNumId w:val="31"/>
  </w:num>
  <w:num w:numId="31" w16cid:durableId="564335960">
    <w:abstractNumId w:val="17"/>
  </w:num>
  <w:num w:numId="32" w16cid:durableId="1044911870">
    <w:abstractNumId w:val="19"/>
  </w:num>
  <w:num w:numId="33" w16cid:durableId="1366098188">
    <w:abstractNumId w:val="32"/>
  </w:num>
  <w:num w:numId="34" w16cid:durableId="1835491849">
    <w:abstractNumId w:val="38"/>
  </w:num>
  <w:num w:numId="35" w16cid:durableId="1087580147">
    <w:abstractNumId w:val="25"/>
  </w:num>
  <w:num w:numId="36" w16cid:durableId="42103612">
    <w:abstractNumId w:val="23"/>
  </w:num>
  <w:num w:numId="37" w16cid:durableId="618218209">
    <w:abstractNumId w:val="13"/>
  </w:num>
  <w:num w:numId="38" w16cid:durableId="1555316650">
    <w:abstractNumId w:val="36"/>
  </w:num>
  <w:num w:numId="39" w16cid:durableId="1902904282">
    <w:abstractNumId w:val="1"/>
  </w:num>
  <w:num w:numId="40" w16cid:durableId="1052195477">
    <w:abstractNumId w:val="14"/>
  </w:num>
  <w:num w:numId="41" w16cid:durableId="1633440362">
    <w:abstractNumId w:val="22"/>
  </w:num>
  <w:num w:numId="42" w16cid:durableId="315837524">
    <w:abstractNumId w:val="44"/>
  </w:num>
  <w:num w:numId="43" w16cid:durableId="951132551">
    <w:abstractNumId w:val="48"/>
  </w:num>
  <w:num w:numId="44" w16cid:durableId="432894329">
    <w:abstractNumId w:val="45"/>
  </w:num>
  <w:num w:numId="45" w16cid:durableId="857933206">
    <w:abstractNumId w:val="40"/>
  </w:num>
  <w:num w:numId="46" w16cid:durableId="1292784141">
    <w:abstractNumId w:val="9"/>
  </w:num>
  <w:num w:numId="47" w16cid:durableId="1874926273">
    <w:abstractNumId w:val="43"/>
  </w:num>
  <w:num w:numId="48" w16cid:durableId="1798066944">
    <w:abstractNumId w:val="29"/>
  </w:num>
  <w:num w:numId="49" w16cid:durableId="1727485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67659">
    <w:abstractNumId w:val="4"/>
  </w:num>
  <w:num w:numId="51" w16cid:durableId="1810631656">
    <w:abstractNumId w:val="5"/>
  </w:num>
  <w:num w:numId="52" w16cid:durableId="203641356">
    <w:abstractNumId w:val="46"/>
  </w:num>
  <w:num w:numId="53" w16cid:durableId="16050859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1D"/>
    <w:rsid w:val="00004B41"/>
    <w:rsid w:val="00004C4A"/>
    <w:rsid w:val="00004ED2"/>
    <w:rsid w:val="00004FA5"/>
    <w:rsid w:val="000059A0"/>
    <w:rsid w:val="0000695E"/>
    <w:rsid w:val="00010D12"/>
    <w:rsid w:val="000117A7"/>
    <w:rsid w:val="000126EF"/>
    <w:rsid w:val="00012EEA"/>
    <w:rsid w:val="00015F00"/>
    <w:rsid w:val="00016946"/>
    <w:rsid w:val="00017DF3"/>
    <w:rsid w:val="00021D10"/>
    <w:rsid w:val="000223A2"/>
    <w:rsid w:val="00024091"/>
    <w:rsid w:val="000249CA"/>
    <w:rsid w:val="000318ED"/>
    <w:rsid w:val="00036DA2"/>
    <w:rsid w:val="00037C07"/>
    <w:rsid w:val="00040BDC"/>
    <w:rsid w:val="000464ED"/>
    <w:rsid w:val="00046DD9"/>
    <w:rsid w:val="000478B8"/>
    <w:rsid w:val="000479C0"/>
    <w:rsid w:val="0005038A"/>
    <w:rsid w:val="0005042D"/>
    <w:rsid w:val="0005281B"/>
    <w:rsid w:val="00055223"/>
    <w:rsid w:val="000559E1"/>
    <w:rsid w:val="00056BA3"/>
    <w:rsid w:val="00060650"/>
    <w:rsid w:val="000616A7"/>
    <w:rsid w:val="000619FB"/>
    <w:rsid w:val="00063006"/>
    <w:rsid w:val="0006415F"/>
    <w:rsid w:val="000655BF"/>
    <w:rsid w:val="0006560A"/>
    <w:rsid w:val="00066F5C"/>
    <w:rsid w:val="00071BF9"/>
    <w:rsid w:val="0007297F"/>
    <w:rsid w:val="00073926"/>
    <w:rsid w:val="000749C6"/>
    <w:rsid w:val="00074EAC"/>
    <w:rsid w:val="00080C5A"/>
    <w:rsid w:val="0008192C"/>
    <w:rsid w:val="00081B01"/>
    <w:rsid w:val="00081B20"/>
    <w:rsid w:val="00083AA0"/>
    <w:rsid w:val="00085501"/>
    <w:rsid w:val="0009150D"/>
    <w:rsid w:val="00091822"/>
    <w:rsid w:val="0009184F"/>
    <w:rsid w:val="00091D49"/>
    <w:rsid w:val="00092702"/>
    <w:rsid w:val="000928AB"/>
    <w:rsid w:val="00097836"/>
    <w:rsid w:val="000A0A29"/>
    <w:rsid w:val="000A1974"/>
    <w:rsid w:val="000A703E"/>
    <w:rsid w:val="000B3A24"/>
    <w:rsid w:val="000B3C26"/>
    <w:rsid w:val="000B4BF6"/>
    <w:rsid w:val="000B4F23"/>
    <w:rsid w:val="000C0F1C"/>
    <w:rsid w:val="000C1374"/>
    <w:rsid w:val="000C171E"/>
    <w:rsid w:val="000C7E1D"/>
    <w:rsid w:val="000D0ACA"/>
    <w:rsid w:val="000D11DB"/>
    <w:rsid w:val="000D18E0"/>
    <w:rsid w:val="000D1BDD"/>
    <w:rsid w:val="000D20B0"/>
    <w:rsid w:val="000D36C0"/>
    <w:rsid w:val="000D3915"/>
    <w:rsid w:val="000D65C4"/>
    <w:rsid w:val="000D7018"/>
    <w:rsid w:val="000D7660"/>
    <w:rsid w:val="000E1561"/>
    <w:rsid w:val="000E1898"/>
    <w:rsid w:val="000E258B"/>
    <w:rsid w:val="000E2BF9"/>
    <w:rsid w:val="000E3077"/>
    <w:rsid w:val="000E3098"/>
    <w:rsid w:val="000E36B4"/>
    <w:rsid w:val="000E443D"/>
    <w:rsid w:val="000E4FF2"/>
    <w:rsid w:val="000E51E4"/>
    <w:rsid w:val="000E5213"/>
    <w:rsid w:val="000E5C38"/>
    <w:rsid w:val="000E6F2B"/>
    <w:rsid w:val="000F1B38"/>
    <w:rsid w:val="000F554D"/>
    <w:rsid w:val="000F5A15"/>
    <w:rsid w:val="000F5E5B"/>
    <w:rsid w:val="000F71AB"/>
    <w:rsid w:val="00102374"/>
    <w:rsid w:val="001033DE"/>
    <w:rsid w:val="00105393"/>
    <w:rsid w:val="00105C58"/>
    <w:rsid w:val="00106719"/>
    <w:rsid w:val="00106AB3"/>
    <w:rsid w:val="00110FFE"/>
    <w:rsid w:val="001134BF"/>
    <w:rsid w:val="00114D9E"/>
    <w:rsid w:val="001179E7"/>
    <w:rsid w:val="001200BD"/>
    <w:rsid w:val="0012057F"/>
    <w:rsid w:val="00121FF9"/>
    <w:rsid w:val="00122269"/>
    <w:rsid w:val="001222FC"/>
    <w:rsid w:val="00124BC5"/>
    <w:rsid w:val="00127436"/>
    <w:rsid w:val="00130518"/>
    <w:rsid w:val="0013117A"/>
    <w:rsid w:val="00131189"/>
    <w:rsid w:val="001312EC"/>
    <w:rsid w:val="00131B62"/>
    <w:rsid w:val="00136991"/>
    <w:rsid w:val="00137BDF"/>
    <w:rsid w:val="00140456"/>
    <w:rsid w:val="00141466"/>
    <w:rsid w:val="001463CE"/>
    <w:rsid w:val="00147553"/>
    <w:rsid w:val="0014774A"/>
    <w:rsid w:val="00147A29"/>
    <w:rsid w:val="00147F2D"/>
    <w:rsid w:val="001503C5"/>
    <w:rsid w:val="0015466F"/>
    <w:rsid w:val="0015787D"/>
    <w:rsid w:val="00162176"/>
    <w:rsid w:val="00162350"/>
    <w:rsid w:val="00164CF2"/>
    <w:rsid w:val="0016588E"/>
    <w:rsid w:val="001668AE"/>
    <w:rsid w:val="00166B3D"/>
    <w:rsid w:val="0016761F"/>
    <w:rsid w:val="00170F0F"/>
    <w:rsid w:val="00171D1C"/>
    <w:rsid w:val="00172632"/>
    <w:rsid w:val="00173F84"/>
    <w:rsid w:val="00174EC8"/>
    <w:rsid w:val="001775A7"/>
    <w:rsid w:val="001775D2"/>
    <w:rsid w:val="0017799E"/>
    <w:rsid w:val="0018012A"/>
    <w:rsid w:val="00180FE5"/>
    <w:rsid w:val="00182611"/>
    <w:rsid w:val="001839B3"/>
    <w:rsid w:val="00184504"/>
    <w:rsid w:val="001854CE"/>
    <w:rsid w:val="00193E63"/>
    <w:rsid w:val="00193F6F"/>
    <w:rsid w:val="00195CA4"/>
    <w:rsid w:val="001A0F23"/>
    <w:rsid w:val="001A14DB"/>
    <w:rsid w:val="001A1D03"/>
    <w:rsid w:val="001A4051"/>
    <w:rsid w:val="001A5089"/>
    <w:rsid w:val="001A5D18"/>
    <w:rsid w:val="001B088B"/>
    <w:rsid w:val="001B26AE"/>
    <w:rsid w:val="001B2759"/>
    <w:rsid w:val="001B2BAF"/>
    <w:rsid w:val="001B34D2"/>
    <w:rsid w:val="001B5073"/>
    <w:rsid w:val="001C13FE"/>
    <w:rsid w:val="001C3029"/>
    <w:rsid w:val="001C34FB"/>
    <w:rsid w:val="001C3AEF"/>
    <w:rsid w:val="001C48D2"/>
    <w:rsid w:val="001C54C9"/>
    <w:rsid w:val="001C6416"/>
    <w:rsid w:val="001D2081"/>
    <w:rsid w:val="001D319E"/>
    <w:rsid w:val="001D3F4D"/>
    <w:rsid w:val="001D4092"/>
    <w:rsid w:val="001D54A9"/>
    <w:rsid w:val="001E2744"/>
    <w:rsid w:val="001E28A0"/>
    <w:rsid w:val="001E2A28"/>
    <w:rsid w:val="001E34B1"/>
    <w:rsid w:val="001E39C0"/>
    <w:rsid w:val="001E4006"/>
    <w:rsid w:val="001E41DC"/>
    <w:rsid w:val="001E4693"/>
    <w:rsid w:val="001E4BC5"/>
    <w:rsid w:val="001E5FDD"/>
    <w:rsid w:val="001E67C6"/>
    <w:rsid w:val="001E6BAF"/>
    <w:rsid w:val="001E72CD"/>
    <w:rsid w:val="001F07D6"/>
    <w:rsid w:val="001F09CD"/>
    <w:rsid w:val="001F107F"/>
    <w:rsid w:val="001F1A1D"/>
    <w:rsid w:val="001F20BC"/>
    <w:rsid w:val="001F308B"/>
    <w:rsid w:val="001F42EB"/>
    <w:rsid w:val="001F5A41"/>
    <w:rsid w:val="001F62C6"/>
    <w:rsid w:val="001F65E2"/>
    <w:rsid w:val="001F7D9E"/>
    <w:rsid w:val="0020096E"/>
    <w:rsid w:val="002020FB"/>
    <w:rsid w:val="00202F9F"/>
    <w:rsid w:val="00203DA4"/>
    <w:rsid w:val="0020487C"/>
    <w:rsid w:val="00204EF4"/>
    <w:rsid w:val="0020769C"/>
    <w:rsid w:val="0021227A"/>
    <w:rsid w:val="002126D8"/>
    <w:rsid w:val="00212CF0"/>
    <w:rsid w:val="00213AD5"/>
    <w:rsid w:val="00214FAF"/>
    <w:rsid w:val="0022055B"/>
    <w:rsid w:val="00220816"/>
    <w:rsid w:val="0022362C"/>
    <w:rsid w:val="00223987"/>
    <w:rsid w:val="00223992"/>
    <w:rsid w:val="00223DE9"/>
    <w:rsid w:val="00225685"/>
    <w:rsid w:val="00225942"/>
    <w:rsid w:val="00226C31"/>
    <w:rsid w:val="00227CDD"/>
    <w:rsid w:val="00230107"/>
    <w:rsid w:val="00234B9B"/>
    <w:rsid w:val="00237601"/>
    <w:rsid w:val="00242214"/>
    <w:rsid w:val="00242F1F"/>
    <w:rsid w:val="0024300D"/>
    <w:rsid w:val="002473B5"/>
    <w:rsid w:val="0024775B"/>
    <w:rsid w:val="00247E25"/>
    <w:rsid w:val="00250C15"/>
    <w:rsid w:val="00254B45"/>
    <w:rsid w:val="0025762B"/>
    <w:rsid w:val="002576FF"/>
    <w:rsid w:val="00257D9F"/>
    <w:rsid w:val="00261428"/>
    <w:rsid w:val="00261AB1"/>
    <w:rsid w:val="002622F7"/>
    <w:rsid w:val="00263E1C"/>
    <w:rsid w:val="00264D91"/>
    <w:rsid w:val="0026705D"/>
    <w:rsid w:val="00271F44"/>
    <w:rsid w:val="002722A8"/>
    <w:rsid w:val="00272B17"/>
    <w:rsid w:val="00272E50"/>
    <w:rsid w:val="00274FE1"/>
    <w:rsid w:val="00275D4C"/>
    <w:rsid w:val="00277CE1"/>
    <w:rsid w:val="002803D4"/>
    <w:rsid w:val="00285155"/>
    <w:rsid w:val="002854C8"/>
    <w:rsid w:val="002858E7"/>
    <w:rsid w:val="00287058"/>
    <w:rsid w:val="00287E22"/>
    <w:rsid w:val="0029072B"/>
    <w:rsid w:val="00290773"/>
    <w:rsid w:val="00290BDA"/>
    <w:rsid w:val="00290E09"/>
    <w:rsid w:val="00291696"/>
    <w:rsid w:val="0029304F"/>
    <w:rsid w:val="002945A3"/>
    <w:rsid w:val="00294DA7"/>
    <w:rsid w:val="00295FC5"/>
    <w:rsid w:val="0029715A"/>
    <w:rsid w:val="002971D1"/>
    <w:rsid w:val="00297E1A"/>
    <w:rsid w:val="002A0098"/>
    <w:rsid w:val="002A0237"/>
    <w:rsid w:val="002A1583"/>
    <w:rsid w:val="002A1B41"/>
    <w:rsid w:val="002A5F43"/>
    <w:rsid w:val="002A66FD"/>
    <w:rsid w:val="002B091E"/>
    <w:rsid w:val="002B27E7"/>
    <w:rsid w:val="002B3686"/>
    <w:rsid w:val="002C0099"/>
    <w:rsid w:val="002C0B6D"/>
    <w:rsid w:val="002C0BE8"/>
    <w:rsid w:val="002C5718"/>
    <w:rsid w:val="002C67B1"/>
    <w:rsid w:val="002C6E5B"/>
    <w:rsid w:val="002D0CE4"/>
    <w:rsid w:val="002D0D9B"/>
    <w:rsid w:val="002D1549"/>
    <w:rsid w:val="002D2332"/>
    <w:rsid w:val="002D2335"/>
    <w:rsid w:val="002D2D5B"/>
    <w:rsid w:val="002D3056"/>
    <w:rsid w:val="002D4AE4"/>
    <w:rsid w:val="002D4EB8"/>
    <w:rsid w:val="002D68B3"/>
    <w:rsid w:val="002D7FA2"/>
    <w:rsid w:val="002E23BD"/>
    <w:rsid w:val="002E59F2"/>
    <w:rsid w:val="002E6B19"/>
    <w:rsid w:val="002E768D"/>
    <w:rsid w:val="002E7862"/>
    <w:rsid w:val="002F2924"/>
    <w:rsid w:val="002F375F"/>
    <w:rsid w:val="002F5275"/>
    <w:rsid w:val="002F5DCF"/>
    <w:rsid w:val="002F63D3"/>
    <w:rsid w:val="002F6AD9"/>
    <w:rsid w:val="002F7184"/>
    <w:rsid w:val="00300B53"/>
    <w:rsid w:val="00302DFD"/>
    <w:rsid w:val="003043C8"/>
    <w:rsid w:val="003054A8"/>
    <w:rsid w:val="00305E9F"/>
    <w:rsid w:val="00306B77"/>
    <w:rsid w:val="00307376"/>
    <w:rsid w:val="00314D05"/>
    <w:rsid w:val="00315462"/>
    <w:rsid w:val="00315651"/>
    <w:rsid w:val="00316B17"/>
    <w:rsid w:val="00316D49"/>
    <w:rsid w:val="00317796"/>
    <w:rsid w:val="00322BB0"/>
    <w:rsid w:val="00323F6F"/>
    <w:rsid w:val="00324488"/>
    <w:rsid w:val="00325431"/>
    <w:rsid w:val="003256C5"/>
    <w:rsid w:val="00327500"/>
    <w:rsid w:val="0033036B"/>
    <w:rsid w:val="0033059F"/>
    <w:rsid w:val="00330894"/>
    <w:rsid w:val="00331BB9"/>
    <w:rsid w:val="003327F1"/>
    <w:rsid w:val="00333BD8"/>
    <w:rsid w:val="00335705"/>
    <w:rsid w:val="00337F5B"/>
    <w:rsid w:val="003416E8"/>
    <w:rsid w:val="00341771"/>
    <w:rsid w:val="00343FE6"/>
    <w:rsid w:val="00344F69"/>
    <w:rsid w:val="00351ACC"/>
    <w:rsid w:val="00353E2B"/>
    <w:rsid w:val="0036522B"/>
    <w:rsid w:val="003709AA"/>
    <w:rsid w:val="00371F86"/>
    <w:rsid w:val="003724D9"/>
    <w:rsid w:val="00372CF5"/>
    <w:rsid w:val="00372FAF"/>
    <w:rsid w:val="00373701"/>
    <w:rsid w:val="00373CC4"/>
    <w:rsid w:val="003746FD"/>
    <w:rsid w:val="00374DD2"/>
    <w:rsid w:val="00376414"/>
    <w:rsid w:val="00385620"/>
    <w:rsid w:val="003859E3"/>
    <w:rsid w:val="00385DCE"/>
    <w:rsid w:val="003869BA"/>
    <w:rsid w:val="0039012F"/>
    <w:rsid w:val="00390543"/>
    <w:rsid w:val="003A2EA9"/>
    <w:rsid w:val="003A4771"/>
    <w:rsid w:val="003A6B82"/>
    <w:rsid w:val="003A7298"/>
    <w:rsid w:val="003A755D"/>
    <w:rsid w:val="003B0EB4"/>
    <w:rsid w:val="003B606E"/>
    <w:rsid w:val="003B78B5"/>
    <w:rsid w:val="003C2597"/>
    <w:rsid w:val="003C2D5A"/>
    <w:rsid w:val="003C324D"/>
    <w:rsid w:val="003C5159"/>
    <w:rsid w:val="003C5677"/>
    <w:rsid w:val="003C79EE"/>
    <w:rsid w:val="003D0A0E"/>
    <w:rsid w:val="003D558B"/>
    <w:rsid w:val="003D61DA"/>
    <w:rsid w:val="003E0E96"/>
    <w:rsid w:val="003E134A"/>
    <w:rsid w:val="003E195D"/>
    <w:rsid w:val="003E292C"/>
    <w:rsid w:val="003E320A"/>
    <w:rsid w:val="003E5319"/>
    <w:rsid w:val="003E587A"/>
    <w:rsid w:val="003F1D06"/>
    <w:rsid w:val="003F430B"/>
    <w:rsid w:val="003F5A31"/>
    <w:rsid w:val="003F6500"/>
    <w:rsid w:val="003F776A"/>
    <w:rsid w:val="003F7CA8"/>
    <w:rsid w:val="00400192"/>
    <w:rsid w:val="004006D8"/>
    <w:rsid w:val="00400D6C"/>
    <w:rsid w:val="0040276D"/>
    <w:rsid w:val="00403AC1"/>
    <w:rsid w:val="004052C1"/>
    <w:rsid w:val="00407C05"/>
    <w:rsid w:val="004101A0"/>
    <w:rsid w:val="00410CAA"/>
    <w:rsid w:val="00412142"/>
    <w:rsid w:val="00412573"/>
    <w:rsid w:val="00416142"/>
    <w:rsid w:val="00416B41"/>
    <w:rsid w:val="00417320"/>
    <w:rsid w:val="00417799"/>
    <w:rsid w:val="00417AE4"/>
    <w:rsid w:val="004257FD"/>
    <w:rsid w:val="00425917"/>
    <w:rsid w:val="00426FF7"/>
    <w:rsid w:val="00427B87"/>
    <w:rsid w:val="00430016"/>
    <w:rsid w:val="00430F7A"/>
    <w:rsid w:val="00431067"/>
    <w:rsid w:val="00431422"/>
    <w:rsid w:val="00431AC2"/>
    <w:rsid w:val="00432809"/>
    <w:rsid w:val="004337ED"/>
    <w:rsid w:val="00437010"/>
    <w:rsid w:val="00437878"/>
    <w:rsid w:val="00441074"/>
    <w:rsid w:val="00441363"/>
    <w:rsid w:val="00442B85"/>
    <w:rsid w:val="00444ED4"/>
    <w:rsid w:val="00445BB6"/>
    <w:rsid w:val="00451079"/>
    <w:rsid w:val="00451FCB"/>
    <w:rsid w:val="0045261D"/>
    <w:rsid w:val="004545EB"/>
    <w:rsid w:val="00455162"/>
    <w:rsid w:val="0045673D"/>
    <w:rsid w:val="004569B0"/>
    <w:rsid w:val="004603F3"/>
    <w:rsid w:val="00463E2B"/>
    <w:rsid w:val="004642E6"/>
    <w:rsid w:val="00464DDF"/>
    <w:rsid w:val="004651C0"/>
    <w:rsid w:val="00467E44"/>
    <w:rsid w:val="00467F16"/>
    <w:rsid w:val="004708B7"/>
    <w:rsid w:val="00470F30"/>
    <w:rsid w:val="004741BC"/>
    <w:rsid w:val="004808B7"/>
    <w:rsid w:val="00481512"/>
    <w:rsid w:val="004815E6"/>
    <w:rsid w:val="00481E84"/>
    <w:rsid w:val="0048327F"/>
    <w:rsid w:val="00483429"/>
    <w:rsid w:val="00483791"/>
    <w:rsid w:val="00486757"/>
    <w:rsid w:val="00487211"/>
    <w:rsid w:val="00487321"/>
    <w:rsid w:val="004902CA"/>
    <w:rsid w:val="004939A0"/>
    <w:rsid w:val="00495017"/>
    <w:rsid w:val="00495182"/>
    <w:rsid w:val="00497BF2"/>
    <w:rsid w:val="004A1D85"/>
    <w:rsid w:val="004A590E"/>
    <w:rsid w:val="004A5A30"/>
    <w:rsid w:val="004A70DB"/>
    <w:rsid w:val="004A774D"/>
    <w:rsid w:val="004B047C"/>
    <w:rsid w:val="004B0CDC"/>
    <w:rsid w:val="004B3FB0"/>
    <w:rsid w:val="004B5629"/>
    <w:rsid w:val="004C01AD"/>
    <w:rsid w:val="004C3A63"/>
    <w:rsid w:val="004C3C46"/>
    <w:rsid w:val="004C4C1E"/>
    <w:rsid w:val="004C7234"/>
    <w:rsid w:val="004C75E0"/>
    <w:rsid w:val="004C78D8"/>
    <w:rsid w:val="004D0A5E"/>
    <w:rsid w:val="004D0F25"/>
    <w:rsid w:val="004D1ABF"/>
    <w:rsid w:val="004D3882"/>
    <w:rsid w:val="004D3F8B"/>
    <w:rsid w:val="004D525A"/>
    <w:rsid w:val="004D5C7D"/>
    <w:rsid w:val="004D744C"/>
    <w:rsid w:val="004E155F"/>
    <w:rsid w:val="004E1BF0"/>
    <w:rsid w:val="004E2CEF"/>
    <w:rsid w:val="004E3DA8"/>
    <w:rsid w:val="004E44A2"/>
    <w:rsid w:val="004E5217"/>
    <w:rsid w:val="004E5A07"/>
    <w:rsid w:val="004E5E44"/>
    <w:rsid w:val="004E69E1"/>
    <w:rsid w:val="004E6FB0"/>
    <w:rsid w:val="004E7BF3"/>
    <w:rsid w:val="004F032F"/>
    <w:rsid w:val="004F0E2A"/>
    <w:rsid w:val="004F1E28"/>
    <w:rsid w:val="004F2630"/>
    <w:rsid w:val="004F4269"/>
    <w:rsid w:val="004F5456"/>
    <w:rsid w:val="004F5936"/>
    <w:rsid w:val="004F68D2"/>
    <w:rsid w:val="004F6AF0"/>
    <w:rsid w:val="004F7010"/>
    <w:rsid w:val="00503EDF"/>
    <w:rsid w:val="0051045E"/>
    <w:rsid w:val="00510EC8"/>
    <w:rsid w:val="0051257A"/>
    <w:rsid w:val="00513963"/>
    <w:rsid w:val="005145B4"/>
    <w:rsid w:val="00515673"/>
    <w:rsid w:val="0051644E"/>
    <w:rsid w:val="00516E52"/>
    <w:rsid w:val="00516F06"/>
    <w:rsid w:val="0052127F"/>
    <w:rsid w:val="0052141C"/>
    <w:rsid w:val="00522EDB"/>
    <w:rsid w:val="0052318A"/>
    <w:rsid w:val="00523405"/>
    <w:rsid w:val="005235DA"/>
    <w:rsid w:val="00524EB1"/>
    <w:rsid w:val="00525F4E"/>
    <w:rsid w:val="00525FDE"/>
    <w:rsid w:val="00527056"/>
    <w:rsid w:val="00530ED1"/>
    <w:rsid w:val="0053179B"/>
    <w:rsid w:val="00531DD1"/>
    <w:rsid w:val="005327BC"/>
    <w:rsid w:val="005342D6"/>
    <w:rsid w:val="005346D3"/>
    <w:rsid w:val="00535D49"/>
    <w:rsid w:val="00536C84"/>
    <w:rsid w:val="0053734B"/>
    <w:rsid w:val="00540427"/>
    <w:rsid w:val="00541754"/>
    <w:rsid w:val="00543127"/>
    <w:rsid w:val="0054544C"/>
    <w:rsid w:val="0055061C"/>
    <w:rsid w:val="00553834"/>
    <w:rsid w:val="00556AE9"/>
    <w:rsid w:val="005577EC"/>
    <w:rsid w:val="00560621"/>
    <w:rsid w:val="005613EE"/>
    <w:rsid w:val="00563251"/>
    <w:rsid w:val="00563673"/>
    <w:rsid w:val="00563C82"/>
    <w:rsid w:val="005648F7"/>
    <w:rsid w:val="00566FEC"/>
    <w:rsid w:val="005725C4"/>
    <w:rsid w:val="0057369B"/>
    <w:rsid w:val="005736E9"/>
    <w:rsid w:val="00577B43"/>
    <w:rsid w:val="0058280C"/>
    <w:rsid w:val="00583526"/>
    <w:rsid w:val="00583C89"/>
    <w:rsid w:val="0058550E"/>
    <w:rsid w:val="00585FC9"/>
    <w:rsid w:val="005873BE"/>
    <w:rsid w:val="00587DF3"/>
    <w:rsid w:val="00590F0C"/>
    <w:rsid w:val="00591985"/>
    <w:rsid w:val="00593044"/>
    <w:rsid w:val="00594958"/>
    <w:rsid w:val="00594B4C"/>
    <w:rsid w:val="00594E64"/>
    <w:rsid w:val="00596506"/>
    <w:rsid w:val="005A0373"/>
    <w:rsid w:val="005A21B0"/>
    <w:rsid w:val="005A427D"/>
    <w:rsid w:val="005A43D6"/>
    <w:rsid w:val="005A468C"/>
    <w:rsid w:val="005A4D40"/>
    <w:rsid w:val="005A6A22"/>
    <w:rsid w:val="005B03A8"/>
    <w:rsid w:val="005B2181"/>
    <w:rsid w:val="005B271C"/>
    <w:rsid w:val="005B30C4"/>
    <w:rsid w:val="005B5E60"/>
    <w:rsid w:val="005B78CA"/>
    <w:rsid w:val="005C1AA5"/>
    <w:rsid w:val="005C3A9B"/>
    <w:rsid w:val="005C482B"/>
    <w:rsid w:val="005C66FF"/>
    <w:rsid w:val="005C69C9"/>
    <w:rsid w:val="005C6CE7"/>
    <w:rsid w:val="005C7136"/>
    <w:rsid w:val="005C791D"/>
    <w:rsid w:val="005D18B8"/>
    <w:rsid w:val="005D26B3"/>
    <w:rsid w:val="005D3E38"/>
    <w:rsid w:val="005D5F69"/>
    <w:rsid w:val="005D6116"/>
    <w:rsid w:val="005D65EE"/>
    <w:rsid w:val="005D70AB"/>
    <w:rsid w:val="005D7A42"/>
    <w:rsid w:val="005E03FA"/>
    <w:rsid w:val="005E0CEA"/>
    <w:rsid w:val="005E1E2A"/>
    <w:rsid w:val="005E2875"/>
    <w:rsid w:val="005E2DF2"/>
    <w:rsid w:val="005E4143"/>
    <w:rsid w:val="005E487E"/>
    <w:rsid w:val="005E52E1"/>
    <w:rsid w:val="005E58BE"/>
    <w:rsid w:val="005E6F0D"/>
    <w:rsid w:val="005E6F7E"/>
    <w:rsid w:val="005F0050"/>
    <w:rsid w:val="005F19DB"/>
    <w:rsid w:val="005F1F1D"/>
    <w:rsid w:val="005F4491"/>
    <w:rsid w:val="005F6548"/>
    <w:rsid w:val="005F6585"/>
    <w:rsid w:val="005F6DDC"/>
    <w:rsid w:val="00601518"/>
    <w:rsid w:val="00602346"/>
    <w:rsid w:val="00602890"/>
    <w:rsid w:val="00603046"/>
    <w:rsid w:val="006038AA"/>
    <w:rsid w:val="00603D40"/>
    <w:rsid w:val="00604B50"/>
    <w:rsid w:val="00612F7D"/>
    <w:rsid w:val="00614A3A"/>
    <w:rsid w:val="00616E10"/>
    <w:rsid w:val="00621ABA"/>
    <w:rsid w:val="00621C4C"/>
    <w:rsid w:val="00623627"/>
    <w:rsid w:val="00623929"/>
    <w:rsid w:val="006248FA"/>
    <w:rsid w:val="00624B61"/>
    <w:rsid w:val="0062547E"/>
    <w:rsid w:val="00625B1C"/>
    <w:rsid w:val="00626BD8"/>
    <w:rsid w:val="00627A6F"/>
    <w:rsid w:val="006325AC"/>
    <w:rsid w:val="00633C4A"/>
    <w:rsid w:val="0063520F"/>
    <w:rsid w:val="00635610"/>
    <w:rsid w:val="0063579D"/>
    <w:rsid w:val="006359BE"/>
    <w:rsid w:val="00636FBD"/>
    <w:rsid w:val="00637D32"/>
    <w:rsid w:val="00641C4C"/>
    <w:rsid w:val="00641F73"/>
    <w:rsid w:val="00642788"/>
    <w:rsid w:val="006428D8"/>
    <w:rsid w:val="006428F6"/>
    <w:rsid w:val="006438AD"/>
    <w:rsid w:val="00643C58"/>
    <w:rsid w:val="00643FB6"/>
    <w:rsid w:val="00645BD5"/>
    <w:rsid w:val="0065199C"/>
    <w:rsid w:val="006525E3"/>
    <w:rsid w:val="00653199"/>
    <w:rsid w:val="00654F5A"/>
    <w:rsid w:val="00655C9E"/>
    <w:rsid w:val="00656F85"/>
    <w:rsid w:val="0066215C"/>
    <w:rsid w:val="00662396"/>
    <w:rsid w:val="006629D4"/>
    <w:rsid w:val="006665D5"/>
    <w:rsid w:val="006700BF"/>
    <w:rsid w:val="00670AC6"/>
    <w:rsid w:val="0067132D"/>
    <w:rsid w:val="0067201C"/>
    <w:rsid w:val="006720EB"/>
    <w:rsid w:val="006722FA"/>
    <w:rsid w:val="00672EC4"/>
    <w:rsid w:val="00673B62"/>
    <w:rsid w:val="00674269"/>
    <w:rsid w:val="006767D4"/>
    <w:rsid w:val="00676EA6"/>
    <w:rsid w:val="00680F09"/>
    <w:rsid w:val="00681EBA"/>
    <w:rsid w:val="00683945"/>
    <w:rsid w:val="00686424"/>
    <w:rsid w:val="00686A49"/>
    <w:rsid w:val="00686DBF"/>
    <w:rsid w:val="00687314"/>
    <w:rsid w:val="006910A4"/>
    <w:rsid w:val="006920F9"/>
    <w:rsid w:val="00692D74"/>
    <w:rsid w:val="006946A9"/>
    <w:rsid w:val="00695949"/>
    <w:rsid w:val="00696341"/>
    <w:rsid w:val="0069697E"/>
    <w:rsid w:val="0069776B"/>
    <w:rsid w:val="006A2772"/>
    <w:rsid w:val="006A4BDB"/>
    <w:rsid w:val="006A666D"/>
    <w:rsid w:val="006A75EF"/>
    <w:rsid w:val="006A776E"/>
    <w:rsid w:val="006B09CB"/>
    <w:rsid w:val="006B0A66"/>
    <w:rsid w:val="006B13E0"/>
    <w:rsid w:val="006B5DD5"/>
    <w:rsid w:val="006B68E3"/>
    <w:rsid w:val="006B6BE2"/>
    <w:rsid w:val="006C0BD8"/>
    <w:rsid w:val="006C0C5E"/>
    <w:rsid w:val="006C1CEE"/>
    <w:rsid w:val="006C73DF"/>
    <w:rsid w:val="006C7E21"/>
    <w:rsid w:val="006D04F9"/>
    <w:rsid w:val="006D12AD"/>
    <w:rsid w:val="006D2EFB"/>
    <w:rsid w:val="006D46B3"/>
    <w:rsid w:val="006D59B8"/>
    <w:rsid w:val="006D69CB"/>
    <w:rsid w:val="006E2CD5"/>
    <w:rsid w:val="006E35B8"/>
    <w:rsid w:val="006E52E6"/>
    <w:rsid w:val="006E6444"/>
    <w:rsid w:val="006E791F"/>
    <w:rsid w:val="006F0E9A"/>
    <w:rsid w:val="006F1B35"/>
    <w:rsid w:val="006F1DDD"/>
    <w:rsid w:val="006F5236"/>
    <w:rsid w:val="006F5BE8"/>
    <w:rsid w:val="006F5D9A"/>
    <w:rsid w:val="006F651F"/>
    <w:rsid w:val="006F68CA"/>
    <w:rsid w:val="006F71AD"/>
    <w:rsid w:val="006F763A"/>
    <w:rsid w:val="00701712"/>
    <w:rsid w:val="00702EC1"/>
    <w:rsid w:val="00703F5D"/>
    <w:rsid w:val="00704455"/>
    <w:rsid w:val="0070523F"/>
    <w:rsid w:val="007064B0"/>
    <w:rsid w:val="00706EEC"/>
    <w:rsid w:val="0071058F"/>
    <w:rsid w:val="007108ED"/>
    <w:rsid w:val="0071292C"/>
    <w:rsid w:val="00715E62"/>
    <w:rsid w:val="00715EAF"/>
    <w:rsid w:val="007164A5"/>
    <w:rsid w:val="00716FF3"/>
    <w:rsid w:val="007179F6"/>
    <w:rsid w:val="00722887"/>
    <w:rsid w:val="00723B9F"/>
    <w:rsid w:val="00724494"/>
    <w:rsid w:val="00724A62"/>
    <w:rsid w:val="00724DC1"/>
    <w:rsid w:val="00724FD8"/>
    <w:rsid w:val="007268B6"/>
    <w:rsid w:val="00726D5C"/>
    <w:rsid w:val="007342C2"/>
    <w:rsid w:val="00734BF4"/>
    <w:rsid w:val="00734E32"/>
    <w:rsid w:val="00735B29"/>
    <w:rsid w:val="00741166"/>
    <w:rsid w:val="00741C9D"/>
    <w:rsid w:val="0074335B"/>
    <w:rsid w:val="00744736"/>
    <w:rsid w:val="00745A51"/>
    <w:rsid w:val="00746588"/>
    <w:rsid w:val="0074793F"/>
    <w:rsid w:val="00750ED7"/>
    <w:rsid w:val="00751E16"/>
    <w:rsid w:val="00752360"/>
    <w:rsid w:val="007527F2"/>
    <w:rsid w:val="00752DB0"/>
    <w:rsid w:val="00754F0B"/>
    <w:rsid w:val="0075777D"/>
    <w:rsid w:val="007603EA"/>
    <w:rsid w:val="00760831"/>
    <w:rsid w:val="007609ED"/>
    <w:rsid w:val="00760FE3"/>
    <w:rsid w:val="00761FC8"/>
    <w:rsid w:val="00763A6A"/>
    <w:rsid w:val="007654DC"/>
    <w:rsid w:val="00766334"/>
    <w:rsid w:val="00767635"/>
    <w:rsid w:val="00767A9D"/>
    <w:rsid w:val="00767E08"/>
    <w:rsid w:val="0077220D"/>
    <w:rsid w:val="0077239B"/>
    <w:rsid w:val="00773CB6"/>
    <w:rsid w:val="007742D5"/>
    <w:rsid w:val="00774EAF"/>
    <w:rsid w:val="00775787"/>
    <w:rsid w:val="007767E8"/>
    <w:rsid w:val="00780836"/>
    <w:rsid w:val="0078190B"/>
    <w:rsid w:val="007829C0"/>
    <w:rsid w:val="0078323D"/>
    <w:rsid w:val="0078402D"/>
    <w:rsid w:val="0078545D"/>
    <w:rsid w:val="007859A5"/>
    <w:rsid w:val="0078654B"/>
    <w:rsid w:val="00786FF5"/>
    <w:rsid w:val="00790E77"/>
    <w:rsid w:val="00793202"/>
    <w:rsid w:val="00794E34"/>
    <w:rsid w:val="00794FD9"/>
    <w:rsid w:val="00796277"/>
    <w:rsid w:val="0079661D"/>
    <w:rsid w:val="00797FDC"/>
    <w:rsid w:val="007A0A80"/>
    <w:rsid w:val="007A1477"/>
    <w:rsid w:val="007A15E1"/>
    <w:rsid w:val="007A1F40"/>
    <w:rsid w:val="007A22C8"/>
    <w:rsid w:val="007A6FCF"/>
    <w:rsid w:val="007B0327"/>
    <w:rsid w:val="007B0B28"/>
    <w:rsid w:val="007B18D7"/>
    <w:rsid w:val="007B1D81"/>
    <w:rsid w:val="007B70F5"/>
    <w:rsid w:val="007B7787"/>
    <w:rsid w:val="007C1ACB"/>
    <w:rsid w:val="007C4811"/>
    <w:rsid w:val="007C4B69"/>
    <w:rsid w:val="007C51DF"/>
    <w:rsid w:val="007D0590"/>
    <w:rsid w:val="007D0AA7"/>
    <w:rsid w:val="007D19EF"/>
    <w:rsid w:val="007D2A2F"/>
    <w:rsid w:val="007D33AA"/>
    <w:rsid w:val="007D3B87"/>
    <w:rsid w:val="007D3CF3"/>
    <w:rsid w:val="007D484C"/>
    <w:rsid w:val="007D6542"/>
    <w:rsid w:val="007D6F5C"/>
    <w:rsid w:val="007D7FA4"/>
    <w:rsid w:val="007E0FC5"/>
    <w:rsid w:val="007E109E"/>
    <w:rsid w:val="007E221B"/>
    <w:rsid w:val="007E458F"/>
    <w:rsid w:val="007E4D1F"/>
    <w:rsid w:val="007E5D8C"/>
    <w:rsid w:val="007E6509"/>
    <w:rsid w:val="007F0540"/>
    <w:rsid w:val="007F0A2E"/>
    <w:rsid w:val="007F11C7"/>
    <w:rsid w:val="007F1F30"/>
    <w:rsid w:val="007F2A7F"/>
    <w:rsid w:val="007F2B11"/>
    <w:rsid w:val="007F5E5F"/>
    <w:rsid w:val="007F5EB7"/>
    <w:rsid w:val="007F6B02"/>
    <w:rsid w:val="007F6BCB"/>
    <w:rsid w:val="007F7C38"/>
    <w:rsid w:val="00801C15"/>
    <w:rsid w:val="00803497"/>
    <w:rsid w:val="00803790"/>
    <w:rsid w:val="008042B2"/>
    <w:rsid w:val="00806B9B"/>
    <w:rsid w:val="00810C03"/>
    <w:rsid w:val="008111BC"/>
    <w:rsid w:val="00814012"/>
    <w:rsid w:val="0081576E"/>
    <w:rsid w:val="008160EA"/>
    <w:rsid w:val="0081680F"/>
    <w:rsid w:val="00816C0B"/>
    <w:rsid w:val="0082030C"/>
    <w:rsid w:val="008220A9"/>
    <w:rsid w:val="0082237F"/>
    <w:rsid w:val="0082287F"/>
    <w:rsid w:val="0082346B"/>
    <w:rsid w:val="00826431"/>
    <w:rsid w:val="00834200"/>
    <w:rsid w:val="00834D01"/>
    <w:rsid w:val="0083566B"/>
    <w:rsid w:val="008405BB"/>
    <w:rsid w:val="00840E41"/>
    <w:rsid w:val="00841A8C"/>
    <w:rsid w:val="00841BC5"/>
    <w:rsid w:val="008429F6"/>
    <w:rsid w:val="00843E13"/>
    <w:rsid w:val="008459C2"/>
    <w:rsid w:val="00850D07"/>
    <w:rsid w:val="00851AAA"/>
    <w:rsid w:val="008527D0"/>
    <w:rsid w:val="00853474"/>
    <w:rsid w:val="0085350A"/>
    <w:rsid w:val="00853C06"/>
    <w:rsid w:val="00853F14"/>
    <w:rsid w:val="00856066"/>
    <w:rsid w:val="00856723"/>
    <w:rsid w:val="00856BC3"/>
    <w:rsid w:val="0085797B"/>
    <w:rsid w:val="00857ADB"/>
    <w:rsid w:val="00861337"/>
    <w:rsid w:val="00862D5C"/>
    <w:rsid w:val="008648E9"/>
    <w:rsid w:val="008653F6"/>
    <w:rsid w:val="00865A9D"/>
    <w:rsid w:val="008678A4"/>
    <w:rsid w:val="0087151D"/>
    <w:rsid w:val="00871A15"/>
    <w:rsid w:val="00872055"/>
    <w:rsid w:val="008722EA"/>
    <w:rsid w:val="0087400B"/>
    <w:rsid w:val="00874F59"/>
    <w:rsid w:val="0087687F"/>
    <w:rsid w:val="00877AE7"/>
    <w:rsid w:val="00881446"/>
    <w:rsid w:val="00882411"/>
    <w:rsid w:val="00883053"/>
    <w:rsid w:val="0088542A"/>
    <w:rsid w:val="00885452"/>
    <w:rsid w:val="00886693"/>
    <w:rsid w:val="00887299"/>
    <w:rsid w:val="00887859"/>
    <w:rsid w:val="00887BF3"/>
    <w:rsid w:val="00891575"/>
    <w:rsid w:val="00893FA3"/>
    <w:rsid w:val="00894516"/>
    <w:rsid w:val="008948FC"/>
    <w:rsid w:val="00894982"/>
    <w:rsid w:val="00895A9E"/>
    <w:rsid w:val="00895B71"/>
    <w:rsid w:val="008A00B5"/>
    <w:rsid w:val="008A33A9"/>
    <w:rsid w:val="008A591C"/>
    <w:rsid w:val="008A5A13"/>
    <w:rsid w:val="008A5A5B"/>
    <w:rsid w:val="008A5C92"/>
    <w:rsid w:val="008A682F"/>
    <w:rsid w:val="008B234A"/>
    <w:rsid w:val="008B24C0"/>
    <w:rsid w:val="008B3505"/>
    <w:rsid w:val="008B5620"/>
    <w:rsid w:val="008B56FC"/>
    <w:rsid w:val="008B66F9"/>
    <w:rsid w:val="008B7059"/>
    <w:rsid w:val="008C0AE5"/>
    <w:rsid w:val="008C2436"/>
    <w:rsid w:val="008C348A"/>
    <w:rsid w:val="008C42AF"/>
    <w:rsid w:val="008C468D"/>
    <w:rsid w:val="008C517B"/>
    <w:rsid w:val="008C6C76"/>
    <w:rsid w:val="008D1007"/>
    <w:rsid w:val="008D2076"/>
    <w:rsid w:val="008D45E5"/>
    <w:rsid w:val="008D5CFC"/>
    <w:rsid w:val="008D6EDB"/>
    <w:rsid w:val="008D75B2"/>
    <w:rsid w:val="008D7F80"/>
    <w:rsid w:val="008E18C0"/>
    <w:rsid w:val="008E1A25"/>
    <w:rsid w:val="008E288C"/>
    <w:rsid w:val="008E2EAB"/>
    <w:rsid w:val="008E3C2D"/>
    <w:rsid w:val="008E4A0D"/>
    <w:rsid w:val="008E4EE4"/>
    <w:rsid w:val="008E5464"/>
    <w:rsid w:val="008E6DE9"/>
    <w:rsid w:val="008E7BBE"/>
    <w:rsid w:val="008F009D"/>
    <w:rsid w:val="008F141C"/>
    <w:rsid w:val="008F4A7A"/>
    <w:rsid w:val="008F4DF6"/>
    <w:rsid w:val="008F54D1"/>
    <w:rsid w:val="008F605E"/>
    <w:rsid w:val="00900ED6"/>
    <w:rsid w:val="00902377"/>
    <w:rsid w:val="009032A4"/>
    <w:rsid w:val="009047D3"/>
    <w:rsid w:val="00906228"/>
    <w:rsid w:val="00906981"/>
    <w:rsid w:val="00910314"/>
    <w:rsid w:val="00915562"/>
    <w:rsid w:val="00915A6C"/>
    <w:rsid w:val="0091660C"/>
    <w:rsid w:val="00917731"/>
    <w:rsid w:val="00917B14"/>
    <w:rsid w:val="00920152"/>
    <w:rsid w:val="009213DE"/>
    <w:rsid w:val="00921F63"/>
    <w:rsid w:val="009220DD"/>
    <w:rsid w:val="00923FEA"/>
    <w:rsid w:val="00925B81"/>
    <w:rsid w:val="00930626"/>
    <w:rsid w:val="00930FEF"/>
    <w:rsid w:val="009317BC"/>
    <w:rsid w:val="0093216A"/>
    <w:rsid w:val="00932AED"/>
    <w:rsid w:val="00933F8C"/>
    <w:rsid w:val="009340DD"/>
    <w:rsid w:val="0093483D"/>
    <w:rsid w:val="00934D3C"/>
    <w:rsid w:val="00935A96"/>
    <w:rsid w:val="00936B2E"/>
    <w:rsid w:val="009400F5"/>
    <w:rsid w:val="00940BF7"/>
    <w:rsid w:val="00942C90"/>
    <w:rsid w:val="0094375F"/>
    <w:rsid w:val="009439D1"/>
    <w:rsid w:val="00945157"/>
    <w:rsid w:val="009455E0"/>
    <w:rsid w:val="009476FD"/>
    <w:rsid w:val="00950013"/>
    <w:rsid w:val="009512B8"/>
    <w:rsid w:val="0095229B"/>
    <w:rsid w:val="00952A4E"/>
    <w:rsid w:val="00953695"/>
    <w:rsid w:val="00953CB7"/>
    <w:rsid w:val="00955F60"/>
    <w:rsid w:val="0095735D"/>
    <w:rsid w:val="00961BE7"/>
    <w:rsid w:val="00962F45"/>
    <w:rsid w:val="0096773C"/>
    <w:rsid w:val="00970383"/>
    <w:rsid w:val="00970389"/>
    <w:rsid w:val="009709C6"/>
    <w:rsid w:val="009709FA"/>
    <w:rsid w:val="00970F4A"/>
    <w:rsid w:val="00972726"/>
    <w:rsid w:val="00973697"/>
    <w:rsid w:val="009749A7"/>
    <w:rsid w:val="009754CB"/>
    <w:rsid w:val="009765F6"/>
    <w:rsid w:val="00982CA4"/>
    <w:rsid w:val="00982F2A"/>
    <w:rsid w:val="009846D7"/>
    <w:rsid w:val="0098537F"/>
    <w:rsid w:val="009867F4"/>
    <w:rsid w:val="009870B0"/>
    <w:rsid w:val="00990FCF"/>
    <w:rsid w:val="00993C3E"/>
    <w:rsid w:val="00993C4F"/>
    <w:rsid w:val="009960D3"/>
    <w:rsid w:val="00996A0C"/>
    <w:rsid w:val="00996CDF"/>
    <w:rsid w:val="00996DE9"/>
    <w:rsid w:val="009A0C6A"/>
    <w:rsid w:val="009A0F32"/>
    <w:rsid w:val="009A1D6B"/>
    <w:rsid w:val="009A2CC2"/>
    <w:rsid w:val="009A3203"/>
    <w:rsid w:val="009A4AD3"/>
    <w:rsid w:val="009A4B97"/>
    <w:rsid w:val="009A5DE2"/>
    <w:rsid w:val="009A6624"/>
    <w:rsid w:val="009A7EC7"/>
    <w:rsid w:val="009B03C5"/>
    <w:rsid w:val="009B0D30"/>
    <w:rsid w:val="009B18FB"/>
    <w:rsid w:val="009B3629"/>
    <w:rsid w:val="009B4B61"/>
    <w:rsid w:val="009B6FA6"/>
    <w:rsid w:val="009C03FE"/>
    <w:rsid w:val="009C2AB2"/>
    <w:rsid w:val="009C4A8C"/>
    <w:rsid w:val="009D5C3F"/>
    <w:rsid w:val="009D5EBF"/>
    <w:rsid w:val="009D6933"/>
    <w:rsid w:val="009D7D47"/>
    <w:rsid w:val="009E6124"/>
    <w:rsid w:val="009F3426"/>
    <w:rsid w:val="009F3985"/>
    <w:rsid w:val="009F50DF"/>
    <w:rsid w:val="009F5D4C"/>
    <w:rsid w:val="00A0275C"/>
    <w:rsid w:val="00A02DA1"/>
    <w:rsid w:val="00A03CB5"/>
    <w:rsid w:val="00A064C6"/>
    <w:rsid w:val="00A065EF"/>
    <w:rsid w:val="00A066E9"/>
    <w:rsid w:val="00A10AAF"/>
    <w:rsid w:val="00A10C9D"/>
    <w:rsid w:val="00A10E67"/>
    <w:rsid w:val="00A11908"/>
    <w:rsid w:val="00A12F5A"/>
    <w:rsid w:val="00A13211"/>
    <w:rsid w:val="00A13631"/>
    <w:rsid w:val="00A13B72"/>
    <w:rsid w:val="00A13DD5"/>
    <w:rsid w:val="00A14E7B"/>
    <w:rsid w:val="00A20089"/>
    <w:rsid w:val="00A2141B"/>
    <w:rsid w:val="00A23CAC"/>
    <w:rsid w:val="00A248E5"/>
    <w:rsid w:val="00A24911"/>
    <w:rsid w:val="00A2542F"/>
    <w:rsid w:val="00A259FC"/>
    <w:rsid w:val="00A31EAA"/>
    <w:rsid w:val="00A32206"/>
    <w:rsid w:val="00A3247D"/>
    <w:rsid w:val="00A32F64"/>
    <w:rsid w:val="00A332B5"/>
    <w:rsid w:val="00A35018"/>
    <w:rsid w:val="00A35D85"/>
    <w:rsid w:val="00A36FAC"/>
    <w:rsid w:val="00A40571"/>
    <w:rsid w:val="00A4122B"/>
    <w:rsid w:val="00A41A8D"/>
    <w:rsid w:val="00A42655"/>
    <w:rsid w:val="00A43611"/>
    <w:rsid w:val="00A44408"/>
    <w:rsid w:val="00A44AE5"/>
    <w:rsid w:val="00A4680F"/>
    <w:rsid w:val="00A50F73"/>
    <w:rsid w:val="00A51480"/>
    <w:rsid w:val="00A51BD5"/>
    <w:rsid w:val="00A530F8"/>
    <w:rsid w:val="00A537F7"/>
    <w:rsid w:val="00A550E6"/>
    <w:rsid w:val="00A555D2"/>
    <w:rsid w:val="00A57400"/>
    <w:rsid w:val="00A57950"/>
    <w:rsid w:val="00A60993"/>
    <w:rsid w:val="00A612F3"/>
    <w:rsid w:val="00A63837"/>
    <w:rsid w:val="00A63AA5"/>
    <w:rsid w:val="00A63AB1"/>
    <w:rsid w:val="00A63D04"/>
    <w:rsid w:val="00A6423C"/>
    <w:rsid w:val="00A64AD8"/>
    <w:rsid w:val="00A652D9"/>
    <w:rsid w:val="00A663D1"/>
    <w:rsid w:val="00A7014E"/>
    <w:rsid w:val="00A72C4B"/>
    <w:rsid w:val="00A75C43"/>
    <w:rsid w:val="00A76ED9"/>
    <w:rsid w:val="00A81999"/>
    <w:rsid w:val="00A82A95"/>
    <w:rsid w:val="00A83037"/>
    <w:rsid w:val="00A84760"/>
    <w:rsid w:val="00A86DA2"/>
    <w:rsid w:val="00A87C9B"/>
    <w:rsid w:val="00A911DD"/>
    <w:rsid w:val="00A91696"/>
    <w:rsid w:val="00A9181A"/>
    <w:rsid w:val="00A91B75"/>
    <w:rsid w:val="00A9273C"/>
    <w:rsid w:val="00A93A4E"/>
    <w:rsid w:val="00A9579D"/>
    <w:rsid w:val="00A96FE8"/>
    <w:rsid w:val="00A9767A"/>
    <w:rsid w:val="00AA142D"/>
    <w:rsid w:val="00AA3D02"/>
    <w:rsid w:val="00AA53A1"/>
    <w:rsid w:val="00AA692B"/>
    <w:rsid w:val="00AB450C"/>
    <w:rsid w:val="00AC1090"/>
    <w:rsid w:val="00AC14EC"/>
    <w:rsid w:val="00AC2824"/>
    <w:rsid w:val="00AC47E1"/>
    <w:rsid w:val="00AC4F69"/>
    <w:rsid w:val="00AC6943"/>
    <w:rsid w:val="00AC6B26"/>
    <w:rsid w:val="00AC7B7F"/>
    <w:rsid w:val="00AD0247"/>
    <w:rsid w:val="00AD12D7"/>
    <w:rsid w:val="00AD1CD2"/>
    <w:rsid w:val="00AD2FD8"/>
    <w:rsid w:val="00AD3078"/>
    <w:rsid w:val="00AD359E"/>
    <w:rsid w:val="00AD5C9B"/>
    <w:rsid w:val="00AD6BFD"/>
    <w:rsid w:val="00AE0DD6"/>
    <w:rsid w:val="00AE0E0B"/>
    <w:rsid w:val="00AE129F"/>
    <w:rsid w:val="00AE13C4"/>
    <w:rsid w:val="00AE2139"/>
    <w:rsid w:val="00AE2E0D"/>
    <w:rsid w:val="00AE4419"/>
    <w:rsid w:val="00AE5F96"/>
    <w:rsid w:val="00AF186A"/>
    <w:rsid w:val="00AF1E5C"/>
    <w:rsid w:val="00AF30A6"/>
    <w:rsid w:val="00AF40C4"/>
    <w:rsid w:val="00AF45EF"/>
    <w:rsid w:val="00AF47D7"/>
    <w:rsid w:val="00B007BE"/>
    <w:rsid w:val="00B00E04"/>
    <w:rsid w:val="00B0133A"/>
    <w:rsid w:val="00B01A04"/>
    <w:rsid w:val="00B01D65"/>
    <w:rsid w:val="00B04061"/>
    <w:rsid w:val="00B050D2"/>
    <w:rsid w:val="00B064FF"/>
    <w:rsid w:val="00B07401"/>
    <w:rsid w:val="00B07BEF"/>
    <w:rsid w:val="00B10014"/>
    <w:rsid w:val="00B12008"/>
    <w:rsid w:val="00B130B6"/>
    <w:rsid w:val="00B13815"/>
    <w:rsid w:val="00B156E9"/>
    <w:rsid w:val="00B1595C"/>
    <w:rsid w:val="00B177F2"/>
    <w:rsid w:val="00B2137C"/>
    <w:rsid w:val="00B22957"/>
    <w:rsid w:val="00B24114"/>
    <w:rsid w:val="00B3117B"/>
    <w:rsid w:val="00B311FE"/>
    <w:rsid w:val="00B323AD"/>
    <w:rsid w:val="00B33BB8"/>
    <w:rsid w:val="00B37252"/>
    <w:rsid w:val="00B373CF"/>
    <w:rsid w:val="00B40416"/>
    <w:rsid w:val="00B4268B"/>
    <w:rsid w:val="00B429E2"/>
    <w:rsid w:val="00B42A45"/>
    <w:rsid w:val="00B43142"/>
    <w:rsid w:val="00B437D0"/>
    <w:rsid w:val="00B46827"/>
    <w:rsid w:val="00B46D53"/>
    <w:rsid w:val="00B4797A"/>
    <w:rsid w:val="00B5033B"/>
    <w:rsid w:val="00B51090"/>
    <w:rsid w:val="00B53F43"/>
    <w:rsid w:val="00B56A39"/>
    <w:rsid w:val="00B574E9"/>
    <w:rsid w:val="00B578F4"/>
    <w:rsid w:val="00B60098"/>
    <w:rsid w:val="00B607BA"/>
    <w:rsid w:val="00B60A9D"/>
    <w:rsid w:val="00B614CF"/>
    <w:rsid w:val="00B63D22"/>
    <w:rsid w:val="00B63F2C"/>
    <w:rsid w:val="00B65215"/>
    <w:rsid w:val="00B661D5"/>
    <w:rsid w:val="00B73EE1"/>
    <w:rsid w:val="00B74841"/>
    <w:rsid w:val="00B75FC0"/>
    <w:rsid w:val="00B76756"/>
    <w:rsid w:val="00B768CF"/>
    <w:rsid w:val="00B81BE1"/>
    <w:rsid w:val="00B82EF3"/>
    <w:rsid w:val="00B8348A"/>
    <w:rsid w:val="00B83AFC"/>
    <w:rsid w:val="00B8605B"/>
    <w:rsid w:val="00B90159"/>
    <w:rsid w:val="00B927F4"/>
    <w:rsid w:val="00B92EEE"/>
    <w:rsid w:val="00B9520C"/>
    <w:rsid w:val="00B9684B"/>
    <w:rsid w:val="00B97B9E"/>
    <w:rsid w:val="00BA3808"/>
    <w:rsid w:val="00BA3A04"/>
    <w:rsid w:val="00BA4521"/>
    <w:rsid w:val="00BA64B9"/>
    <w:rsid w:val="00BA70F6"/>
    <w:rsid w:val="00BB0DFA"/>
    <w:rsid w:val="00BB2D46"/>
    <w:rsid w:val="00BB2FBC"/>
    <w:rsid w:val="00BB368F"/>
    <w:rsid w:val="00BB3D3D"/>
    <w:rsid w:val="00BB6168"/>
    <w:rsid w:val="00BB772F"/>
    <w:rsid w:val="00BC1E54"/>
    <w:rsid w:val="00BC2F0E"/>
    <w:rsid w:val="00BC39FA"/>
    <w:rsid w:val="00BC3EEC"/>
    <w:rsid w:val="00BC47EB"/>
    <w:rsid w:val="00BC619D"/>
    <w:rsid w:val="00BD2AB0"/>
    <w:rsid w:val="00BD3D38"/>
    <w:rsid w:val="00BD4600"/>
    <w:rsid w:val="00BD4673"/>
    <w:rsid w:val="00BD5CA6"/>
    <w:rsid w:val="00BD60D3"/>
    <w:rsid w:val="00BD7C78"/>
    <w:rsid w:val="00BD7C85"/>
    <w:rsid w:val="00BE0E14"/>
    <w:rsid w:val="00BE11FF"/>
    <w:rsid w:val="00BE356C"/>
    <w:rsid w:val="00BE419A"/>
    <w:rsid w:val="00BE431B"/>
    <w:rsid w:val="00BE7F7F"/>
    <w:rsid w:val="00BF30A1"/>
    <w:rsid w:val="00BF31F1"/>
    <w:rsid w:val="00BF4A01"/>
    <w:rsid w:val="00BF6BC7"/>
    <w:rsid w:val="00BF6C4F"/>
    <w:rsid w:val="00C006F8"/>
    <w:rsid w:val="00C00E8F"/>
    <w:rsid w:val="00C01DA5"/>
    <w:rsid w:val="00C07B06"/>
    <w:rsid w:val="00C11A14"/>
    <w:rsid w:val="00C137B3"/>
    <w:rsid w:val="00C151D9"/>
    <w:rsid w:val="00C15723"/>
    <w:rsid w:val="00C22712"/>
    <w:rsid w:val="00C22E02"/>
    <w:rsid w:val="00C24B81"/>
    <w:rsid w:val="00C25438"/>
    <w:rsid w:val="00C25838"/>
    <w:rsid w:val="00C2592C"/>
    <w:rsid w:val="00C26758"/>
    <w:rsid w:val="00C26A50"/>
    <w:rsid w:val="00C31631"/>
    <w:rsid w:val="00C31D5E"/>
    <w:rsid w:val="00C337CA"/>
    <w:rsid w:val="00C34AAC"/>
    <w:rsid w:val="00C35E43"/>
    <w:rsid w:val="00C3719F"/>
    <w:rsid w:val="00C37873"/>
    <w:rsid w:val="00C37901"/>
    <w:rsid w:val="00C40D02"/>
    <w:rsid w:val="00C41894"/>
    <w:rsid w:val="00C41C28"/>
    <w:rsid w:val="00C41DEC"/>
    <w:rsid w:val="00C41F88"/>
    <w:rsid w:val="00C45E64"/>
    <w:rsid w:val="00C46AA0"/>
    <w:rsid w:val="00C47F78"/>
    <w:rsid w:val="00C50303"/>
    <w:rsid w:val="00C5030B"/>
    <w:rsid w:val="00C5057F"/>
    <w:rsid w:val="00C51FAB"/>
    <w:rsid w:val="00C52BEE"/>
    <w:rsid w:val="00C52E4B"/>
    <w:rsid w:val="00C53DB2"/>
    <w:rsid w:val="00C54FC7"/>
    <w:rsid w:val="00C570C3"/>
    <w:rsid w:val="00C5754F"/>
    <w:rsid w:val="00C57CB4"/>
    <w:rsid w:val="00C60DDF"/>
    <w:rsid w:val="00C62084"/>
    <w:rsid w:val="00C62DA5"/>
    <w:rsid w:val="00C62EB1"/>
    <w:rsid w:val="00C64709"/>
    <w:rsid w:val="00C6772C"/>
    <w:rsid w:val="00C6777E"/>
    <w:rsid w:val="00C678D0"/>
    <w:rsid w:val="00C71D39"/>
    <w:rsid w:val="00C72C0A"/>
    <w:rsid w:val="00C7369E"/>
    <w:rsid w:val="00C74797"/>
    <w:rsid w:val="00C74BDF"/>
    <w:rsid w:val="00C74CA5"/>
    <w:rsid w:val="00C75921"/>
    <w:rsid w:val="00C767F4"/>
    <w:rsid w:val="00C77A3D"/>
    <w:rsid w:val="00C81637"/>
    <w:rsid w:val="00C823D6"/>
    <w:rsid w:val="00C82A84"/>
    <w:rsid w:val="00C82D6B"/>
    <w:rsid w:val="00C84091"/>
    <w:rsid w:val="00C846D8"/>
    <w:rsid w:val="00C8627E"/>
    <w:rsid w:val="00C86BAB"/>
    <w:rsid w:val="00C87312"/>
    <w:rsid w:val="00C87410"/>
    <w:rsid w:val="00C906D8"/>
    <w:rsid w:val="00C90C33"/>
    <w:rsid w:val="00C9123E"/>
    <w:rsid w:val="00C91847"/>
    <w:rsid w:val="00C92AA4"/>
    <w:rsid w:val="00C93125"/>
    <w:rsid w:val="00C94CC1"/>
    <w:rsid w:val="00C95620"/>
    <w:rsid w:val="00CA2297"/>
    <w:rsid w:val="00CA3229"/>
    <w:rsid w:val="00CA394D"/>
    <w:rsid w:val="00CA4411"/>
    <w:rsid w:val="00CA512F"/>
    <w:rsid w:val="00CA690F"/>
    <w:rsid w:val="00CA6B93"/>
    <w:rsid w:val="00CB151B"/>
    <w:rsid w:val="00CB168E"/>
    <w:rsid w:val="00CB3A67"/>
    <w:rsid w:val="00CB4250"/>
    <w:rsid w:val="00CB4C88"/>
    <w:rsid w:val="00CB7824"/>
    <w:rsid w:val="00CC17A6"/>
    <w:rsid w:val="00CC3EA9"/>
    <w:rsid w:val="00CC544F"/>
    <w:rsid w:val="00CC6015"/>
    <w:rsid w:val="00CC61C8"/>
    <w:rsid w:val="00CC6889"/>
    <w:rsid w:val="00CD201A"/>
    <w:rsid w:val="00CD26F1"/>
    <w:rsid w:val="00CD33E3"/>
    <w:rsid w:val="00CD3F34"/>
    <w:rsid w:val="00CD424E"/>
    <w:rsid w:val="00CD5747"/>
    <w:rsid w:val="00CD7E54"/>
    <w:rsid w:val="00CE0B16"/>
    <w:rsid w:val="00CE1468"/>
    <w:rsid w:val="00CE3B78"/>
    <w:rsid w:val="00CE3ED5"/>
    <w:rsid w:val="00CE4B95"/>
    <w:rsid w:val="00CE50A3"/>
    <w:rsid w:val="00CE57F7"/>
    <w:rsid w:val="00CE621D"/>
    <w:rsid w:val="00CE7400"/>
    <w:rsid w:val="00CF1DB3"/>
    <w:rsid w:val="00CF2311"/>
    <w:rsid w:val="00CF3035"/>
    <w:rsid w:val="00CF32D8"/>
    <w:rsid w:val="00CF4704"/>
    <w:rsid w:val="00CF7223"/>
    <w:rsid w:val="00D00AE7"/>
    <w:rsid w:val="00D012B9"/>
    <w:rsid w:val="00D0263C"/>
    <w:rsid w:val="00D0344B"/>
    <w:rsid w:val="00D04C2D"/>
    <w:rsid w:val="00D11924"/>
    <w:rsid w:val="00D122A4"/>
    <w:rsid w:val="00D13047"/>
    <w:rsid w:val="00D1385B"/>
    <w:rsid w:val="00D147AD"/>
    <w:rsid w:val="00D157B9"/>
    <w:rsid w:val="00D15FD7"/>
    <w:rsid w:val="00D17D81"/>
    <w:rsid w:val="00D23651"/>
    <w:rsid w:val="00D23888"/>
    <w:rsid w:val="00D247F9"/>
    <w:rsid w:val="00D272BB"/>
    <w:rsid w:val="00D2793C"/>
    <w:rsid w:val="00D314EB"/>
    <w:rsid w:val="00D33196"/>
    <w:rsid w:val="00D33A66"/>
    <w:rsid w:val="00D33ED8"/>
    <w:rsid w:val="00D346F3"/>
    <w:rsid w:val="00D35A6E"/>
    <w:rsid w:val="00D35F5C"/>
    <w:rsid w:val="00D369A1"/>
    <w:rsid w:val="00D36E38"/>
    <w:rsid w:val="00D36E84"/>
    <w:rsid w:val="00D42462"/>
    <w:rsid w:val="00D428D3"/>
    <w:rsid w:val="00D4294E"/>
    <w:rsid w:val="00D44E8B"/>
    <w:rsid w:val="00D4638D"/>
    <w:rsid w:val="00D469C6"/>
    <w:rsid w:val="00D4723C"/>
    <w:rsid w:val="00D502EE"/>
    <w:rsid w:val="00D50381"/>
    <w:rsid w:val="00D50A30"/>
    <w:rsid w:val="00D51BAA"/>
    <w:rsid w:val="00D525C5"/>
    <w:rsid w:val="00D52B12"/>
    <w:rsid w:val="00D52FAA"/>
    <w:rsid w:val="00D54211"/>
    <w:rsid w:val="00D54812"/>
    <w:rsid w:val="00D54A71"/>
    <w:rsid w:val="00D55479"/>
    <w:rsid w:val="00D557A2"/>
    <w:rsid w:val="00D55BFC"/>
    <w:rsid w:val="00D56449"/>
    <w:rsid w:val="00D6023A"/>
    <w:rsid w:val="00D6369F"/>
    <w:rsid w:val="00D638D8"/>
    <w:rsid w:val="00D653B4"/>
    <w:rsid w:val="00D66C95"/>
    <w:rsid w:val="00D708CC"/>
    <w:rsid w:val="00D709B8"/>
    <w:rsid w:val="00D70F2C"/>
    <w:rsid w:val="00D70F7A"/>
    <w:rsid w:val="00D72AD2"/>
    <w:rsid w:val="00D742C0"/>
    <w:rsid w:val="00D74E89"/>
    <w:rsid w:val="00D76EBC"/>
    <w:rsid w:val="00D77B8E"/>
    <w:rsid w:val="00D80680"/>
    <w:rsid w:val="00D8224C"/>
    <w:rsid w:val="00D82453"/>
    <w:rsid w:val="00D82F01"/>
    <w:rsid w:val="00D8376C"/>
    <w:rsid w:val="00D8405C"/>
    <w:rsid w:val="00D84083"/>
    <w:rsid w:val="00D84F0C"/>
    <w:rsid w:val="00D87E8C"/>
    <w:rsid w:val="00D900E4"/>
    <w:rsid w:val="00D92028"/>
    <w:rsid w:val="00D9333F"/>
    <w:rsid w:val="00D93E0E"/>
    <w:rsid w:val="00D9443B"/>
    <w:rsid w:val="00D944B5"/>
    <w:rsid w:val="00D951C0"/>
    <w:rsid w:val="00D95E2E"/>
    <w:rsid w:val="00D95F6D"/>
    <w:rsid w:val="00DA3F4F"/>
    <w:rsid w:val="00DA5559"/>
    <w:rsid w:val="00DA6368"/>
    <w:rsid w:val="00DB0B8A"/>
    <w:rsid w:val="00DB14E1"/>
    <w:rsid w:val="00DB1F29"/>
    <w:rsid w:val="00DB1FE9"/>
    <w:rsid w:val="00DB374A"/>
    <w:rsid w:val="00DB6297"/>
    <w:rsid w:val="00DC0747"/>
    <w:rsid w:val="00DC0C26"/>
    <w:rsid w:val="00DC0F52"/>
    <w:rsid w:val="00DC148C"/>
    <w:rsid w:val="00DC4066"/>
    <w:rsid w:val="00DC4AB8"/>
    <w:rsid w:val="00DC6232"/>
    <w:rsid w:val="00DC626F"/>
    <w:rsid w:val="00DC649F"/>
    <w:rsid w:val="00DC6FF3"/>
    <w:rsid w:val="00DC7047"/>
    <w:rsid w:val="00DC76C3"/>
    <w:rsid w:val="00DC7E6B"/>
    <w:rsid w:val="00DD0445"/>
    <w:rsid w:val="00DD064E"/>
    <w:rsid w:val="00DD0C12"/>
    <w:rsid w:val="00DD277C"/>
    <w:rsid w:val="00DD5EAC"/>
    <w:rsid w:val="00DD6A2A"/>
    <w:rsid w:val="00DE0400"/>
    <w:rsid w:val="00DE1B88"/>
    <w:rsid w:val="00DE20CC"/>
    <w:rsid w:val="00DE2F30"/>
    <w:rsid w:val="00DE4A56"/>
    <w:rsid w:val="00DE501A"/>
    <w:rsid w:val="00DE5B0F"/>
    <w:rsid w:val="00DE5B6A"/>
    <w:rsid w:val="00DE67DE"/>
    <w:rsid w:val="00DE743D"/>
    <w:rsid w:val="00DE7D19"/>
    <w:rsid w:val="00DF0F78"/>
    <w:rsid w:val="00DF24D3"/>
    <w:rsid w:val="00DF3799"/>
    <w:rsid w:val="00DF392B"/>
    <w:rsid w:val="00DF556C"/>
    <w:rsid w:val="00DF5966"/>
    <w:rsid w:val="00DF61DA"/>
    <w:rsid w:val="00DF73DE"/>
    <w:rsid w:val="00DF7606"/>
    <w:rsid w:val="00DF777C"/>
    <w:rsid w:val="00DF79D6"/>
    <w:rsid w:val="00E00882"/>
    <w:rsid w:val="00E02B26"/>
    <w:rsid w:val="00E036EB"/>
    <w:rsid w:val="00E038D6"/>
    <w:rsid w:val="00E03FF2"/>
    <w:rsid w:val="00E04617"/>
    <w:rsid w:val="00E0521D"/>
    <w:rsid w:val="00E06E5B"/>
    <w:rsid w:val="00E10DB5"/>
    <w:rsid w:val="00E1224B"/>
    <w:rsid w:val="00E13F76"/>
    <w:rsid w:val="00E13FE7"/>
    <w:rsid w:val="00E14A51"/>
    <w:rsid w:val="00E17724"/>
    <w:rsid w:val="00E20244"/>
    <w:rsid w:val="00E2074E"/>
    <w:rsid w:val="00E210EF"/>
    <w:rsid w:val="00E211D9"/>
    <w:rsid w:val="00E216E1"/>
    <w:rsid w:val="00E2473B"/>
    <w:rsid w:val="00E24FAC"/>
    <w:rsid w:val="00E2613B"/>
    <w:rsid w:val="00E26F25"/>
    <w:rsid w:val="00E32793"/>
    <w:rsid w:val="00E33734"/>
    <w:rsid w:val="00E37154"/>
    <w:rsid w:val="00E37705"/>
    <w:rsid w:val="00E419AE"/>
    <w:rsid w:val="00E41A13"/>
    <w:rsid w:val="00E4305A"/>
    <w:rsid w:val="00E432CA"/>
    <w:rsid w:val="00E44259"/>
    <w:rsid w:val="00E447B2"/>
    <w:rsid w:val="00E44849"/>
    <w:rsid w:val="00E450A4"/>
    <w:rsid w:val="00E450C1"/>
    <w:rsid w:val="00E45874"/>
    <w:rsid w:val="00E4703E"/>
    <w:rsid w:val="00E51322"/>
    <w:rsid w:val="00E51398"/>
    <w:rsid w:val="00E5139B"/>
    <w:rsid w:val="00E5311C"/>
    <w:rsid w:val="00E54FE3"/>
    <w:rsid w:val="00E5626E"/>
    <w:rsid w:val="00E56643"/>
    <w:rsid w:val="00E56BAF"/>
    <w:rsid w:val="00E57B6D"/>
    <w:rsid w:val="00E6032A"/>
    <w:rsid w:val="00E60356"/>
    <w:rsid w:val="00E60BAA"/>
    <w:rsid w:val="00E60CD8"/>
    <w:rsid w:val="00E61B5C"/>
    <w:rsid w:val="00E64CE4"/>
    <w:rsid w:val="00E6664D"/>
    <w:rsid w:val="00E66A91"/>
    <w:rsid w:val="00E70AC6"/>
    <w:rsid w:val="00E72293"/>
    <w:rsid w:val="00E722D7"/>
    <w:rsid w:val="00E72BF6"/>
    <w:rsid w:val="00E74CBC"/>
    <w:rsid w:val="00E7584B"/>
    <w:rsid w:val="00E758D7"/>
    <w:rsid w:val="00E763C3"/>
    <w:rsid w:val="00E774F2"/>
    <w:rsid w:val="00E81569"/>
    <w:rsid w:val="00E8349D"/>
    <w:rsid w:val="00E86DDC"/>
    <w:rsid w:val="00E91166"/>
    <w:rsid w:val="00E9387E"/>
    <w:rsid w:val="00E95652"/>
    <w:rsid w:val="00E961B1"/>
    <w:rsid w:val="00E96A37"/>
    <w:rsid w:val="00EA132E"/>
    <w:rsid w:val="00EA3733"/>
    <w:rsid w:val="00EA5A39"/>
    <w:rsid w:val="00EA614C"/>
    <w:rsid w:val="00EA6418"/>
    <w:rsid w:val="00EB0630"/>
    <w:rsid w:val="00EB2A28"/>
    <w:rsid w:val="00EB311F"/>
    <w:rsid w:val="00EB4270"/>
    <w:rsid w:val="00EB5141"/>
    <w:rsid w:val="00EB648A"/>
    <w:rsid w:val="00EB74EF"/>
    <w:rsid w:val="00EB7879"/>
    <w:rsid w:val="00EC0561"/>
    <w:rsid w:val="00EC118D"/>
    <w:rsid w:val="00EC23A1"/>
    <w:rsid w:val="00EC5D13"/>
    <w:rsid w:val="00EC708E"/>
    <w:rsid w:val="00EC73BD"/>
    <w:rsid w:val="00EC7AF1"/>
    <w:rsid w:val="00EC7C59"/>
    <w:rsid w:val="00ED00BA"/>
    <w:rsid w:val="00ED1787"/>
    <w:rsid w:val="00ED1BB1"/>
    <w:rsid w:val="00ED2E7A"/>
    <w:rsid w:val="00ED3D2B"/>
    <w:rsid w:val="00ED4054"/>
    <w:rsid w:val="00ED64C8"/>
    <w:rsid w:val="00EE075E"/>
    <w:rsid w:val="00EE2666"/>
    <w:rsid w:val="00EE3109"/>
    <w:rsid w:val="00EE4BDB"/>
    <w:rsid w:val="00EE5097"/>
    <w:rsid w:val="00EE55FF"/>
    <w:rsid w:val="00EE7027"/>
    <w:rsid w:val="00EE715F"/>
    <w:rsid w:val="00EF027E"/>
    <w:rsid w:val="00EF1A8B"/>
    <w:rsid w:val="00EF1D92"/>
    <w:rsid w:val="00EF229A"/>
    <w:rsid w:val="00EF2AF5"/>
    <w:rsid w:val="00EF45DE"/>
    <w:rsid w:val="00EF479A"/>
    <w:rsid w:val="00EF7787"/>
    <w:rsid w:val="00EF78F9"/>
    <w:rsid w:val="00F01ECF"/>
    <w:rsid w:val="00F02DD4"/>
    <w:rsid w:val="00F03A84"/>
    <w:rsid w:val="00F04CD8"/>
    <w:rsid w:val="00F05297"/>
    <w:rsid w:val="00F06E6D"/>
    <w:rsid w:val="00F114D9"/>
    <w:rsid w:val="00F116A0"/>
    <w:rsid w:val="00F123F2"/>
    <w:rsid w:val="00F12D2A"/>
    <w:rsid w:val="00F1360C"/>
    <w:rsid w:val="00F14E4F"/>
    <w:rsid w:val="00F16DB6"/>
    <w:rsid w:val="00F17D7D"/>
    <w:rsid w:val="00F20BAA"/>
    <w:rsid w:val="00F23836"/>
    <w:rsid w:val="00F25D9A"/>
    <w:rsid w:val="00F25EB3"/>
    <w:rsid w:val="00F2662F"/>
    <w:rsid w:val="00F27C16"/>
    <w:rsid w:val="00F317FC"/>
    <w:rsid w:val="00F31CFC"/>
    <w:rsid w:val="00F32104"/>
    <w:rsid w:val="00F34613"/>
    <w:rsid w:val="00F40F1D"/>
    <w:rsid w:val="00F4274F"/>
    <w:rsid w:val="00F444D4"/>
    <w:rsid w:val="00F457D3"/>
    <w:rsid w:val="00F45880"/>
    <w:rsid w:val="00F46721"/>
    <w:rsid w:val="00F467B4"/>
    <w:rsid w:val="00F4681D"/>
    <w:rsid w:val="00F472E9"/>
    <w:rsid w:val="00F50448"/>
    <w:rsid w:val="00F51BCE"/>
    <w:rsid w:val="00F51C45"/>
    <w:rsid w:val="00F529BE"/>
    <w:rsid w:val="00F535A4"/>
    <w:rsid w:val="00F537D6"/>
    <w:rsid w:val="00F539C8"/>
    <w:rsid w:val="00F53AB3"/>
    <w:rsid w:val="00F53F22"/>
    <w:rsid w:val="00F54724"/>
    <w:rsid w:val="00F55F5D"/>
    <w:rsid w:val="00F56924"/>
    <w:rsid w:val="00F56AFB"/>
    <w:rsid w:val="00F57404"/>
    <w:rsid w:val="00F578CF"/>
    <w:rsid w:val="00F60844"/>
    <w:rsid w:val="00F6219C"/>
    <w:rsid w:val="00F64B90"/>
    <w:rsid w:val="00F65352"/>
    <w:rsid w:val="00F676D6"/>
    <w:rsid w:val="00F726AA"/>
    <w:rsid w:val="00F72C8B"/>
    <w:rsid w:val="00F72D99"/>
    <w:rsid w:val="00F730B4"/>
    <w:rsid w:val="00F73C3F"/>
    <w:rsid w:val="00F7566D"/>
    <w:rsid w:val="00F763E2"/>
    <w:rsid w:val="00F770BA"/>
    <w:rsid w:val="00F8136E"/>
    <w:rsid w:val="00F814FC"/>
    <w:rsid w:val="00F828CA"/>
    <w:rsid w:val="00F8353A"/>
    <w:rsid w:val="00F840CF"/>
    <w:rsid w:val="00F84B10"/>
    <w:rsid w:val="00F90DE0"/>
    <w:rsid w:val="00F9334C"/>
    <w:rsid w:val="00FA10C1"/>
    <w:rsid w:val="00FA2F00"/>
    <w:rsid w:val="00FB0971"/>
    <w:rsid w:val="00FB1FAF"/>
    <w:rsid w:val="00FB2D2D"/>
    <w:rsid w:val="00FB3434"/>
    <w:rsid w:val="00FB3BB3"/>
    <w:rsid w:val="00FB4178"/>
    <w:rsid w:val="00FB66E8"/>
    <w:rsid w:val="00FC2839"/>
    <w:rsid w:val="00FC2ADF"/>
    <w:rsid w:val="00FC2FDB"/>
    <w:rsid w:val="00FC388D"/>
    <w:rsid w:val="00FC3F41"/>
    <w:rsid w:val="00FC400D"/>
    <w:rsid w:val="00FC5B51"/>
    <w:rsid w:val="00FC72A5"/>
    <w:rsid w:val="00FD0E71"/>
    <w:rsid w:val="00FD159E"/>
    <w:rsid w:val="00FD1B78"/>
    <w:rsid w:val="00FD317E"/>
    <w:rsid w:val="00FD37AC"/>
    <w:rsid w:val="00FD48C4"/>
    <w:rsid w:val="00FD4A93"/>
    <w:rsid w:val="00FD4C93"/>
    <w:rsid w:val="00FD61DD"/>
    <w:rsid w:val="00FE0047"/>
    <w:rsid w:val="00FE0A40"/>
    <w:rsid w:val="00FE0AA8"/>
    <w:rsid w:val="00FE0DC2"/>
    <w:rsid w:val="00FE1B87"/>
    <w:rsid w:val="00FE1DE7"/>
    <w:rsid w:val="00FF0258"/>
    <w:rsid w:val="00FF15AF"/>
    <w:rsid w:val="00FF1718"/>
    <w:rsid w:val="00FF3B7A"/>
    <w:rsid w:val="00FF5D36"/>
    <w:rsid w:val="00FF682D"/>
    <w:rsid w:val="00FF7873"/>
    <w:rsid w:val="017EAA9E"/>
    <w:rsid w:val="038E1A01"/>
    <w:rsid w:val="0665CB72"/>
    <w:rsid w:val="06E67A38"/>
    <w:rsid w:val="0B393C95"/>
    <w:rsid w:val="0F1BB2F8"/>
    <w:rsid w:val="0F80C79C"/>
    <w:rsid w:val="1061D6FD"/>
    <w:rsid w:val="111C97FD"/>
    <w:rsid w:val="1144B928"/>
    <w:rsid w:val="127B2B29"/>
    <w:rsid w:val="1B7A0001"/>
    <w:rsid w:val="1DE1F2A8"/>
    <w:rsid w:val="1E6DD8C4"/>
    <w:rsid w:val="1EA5154A"/>
    <w:rsid w:val="2250AB6C"/>
    <w:rsid w:val="25914321"/>
    <w:rsid w:val="272D1382"/>
    <w:rsid w:val="2D9C5506"/>
    <w:rsid w:val="2ECFB213"/>
    <w:rsid w:val="2FC3F584"/>
    <w:rsid w:val="313CB8D3"/>
    <w:rsid w:val="356C278E"/>
    <w:rsid w:val="37ADCBEF"/>
    <w:rsid w:val="3DBA6656"/>
    <w:rsid w:val="40F20718"/>
    <w:rsid w:val="451A7089"/>
    <w:rsid w:val="461B38F8"/>
    <w:rsid w:val="4653D31A"/>
    <w:rsid w:val="49238ABA"/>
    <w:rsid w:val="4989C930"/>
    <w:rsid w:val="49C5ABED"/>
    <w:rsid w:val="4ABF5B1B"/>
    <w:rsid w:val="4B91EC89"/>
    <w:rsid w:val="5163676B"/>
    <w:rsid w:val="52AD967A"/>
    <w:rsid w:val="5832BD24"/>
    <w:rsid w:val="585206FC"/>
    <w:rsid w:val="5D29F061"/>
    <w:rsid w:val="5FB50B73"/>
    <w:rsid w:val="61EAF170"/>
    <w:rsid w:val="6521061C"/>
    <w:rsid w:val="6651A801"/>
    <w:rsid w:val="68F6795A"/>
    <w:rsid w:val="6A1EAAB9"/>
    <w:rsid w:val="70C0D1DE"/>
    <w:rsid w:val="723F4029"/>
    <w:rsid w:val="728C4DB3"/>
    <w:rsid w:val="76214864"/>
    <w:rsid w:val="77E38A82"/>
    <w:rsid w:val="7912EC49"/>
    <w:rsid w:val="7BE1E5EB"/>
    <w:rsid w:val="7F878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CC5CA"/>
  <w15:docId w15:val="{8675B7F9-4592-4A04-8609-23802CF9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3DB2"/>
    <w:pPr>
      <w:suppressAutoHyphens/>
    </w:pPr>
    <w:rPr>
      <w:rFonts w:ascii="Times New Roman" w:hAnsi="Times New Roman"/>
      <w:sz w:val="24"/>
      <w:szCs w:val="22"/>
      <w:lang w:eastAsia="zh-CN"/>
    </w:rPr>
  </w:style>
  <w:style w:type="paragraph" w:styleId="Heading1">
    <w:name w:val="heading 1"/>
    <w:basedOn w:val="Baseheading"/>
    <w:next w:val="Normal"/>
    <w:rsid w:val="002A1583"/>
    <w:pPr>
      <w:keepLines/>
      <w:spacing w:before="120" w:after="120"/>
      <w:ind w:left="720" w:hanging="720"/>
      <w:outlineLvl w:val="0"/>
    </w:pPr>
    <w:rPr>
      <w:bCs/>
      <w:caps/>
      <w:szCs w:val="24"/>
    </w:rPr>
  </w:style>
  <w:style w:type="paragraph" w:styleId="Heading2">
    <w:name w:val="heading 2"/>
    <w:basedOn w:val="Baseheading"/>
    <w:next w:val="Normal"/>
    <w:rsid w:val="002A1583"/>
    <w:pPr>
      <w:keepLines/>
      <w:ind w:left="720" w:hanging="720"/>
      <w:outlineLvl w:val="1"/>
    </w:pPr>
    <w:rPr>
      <w:rFonts w:eastAsia="MS Mincho"/>
      <w:szCs w:val="24"/>
      <w:lang w:eastAsia="en-US"/>
    </w:rPr>
  </w:style>
  <w:style w:type="paragraph" w:styleId="Heading3">
    <w:name w:val="heading 3"/>
    <w:basedOn w:val="Baseheading"/>
    <w:next w:val="Normal"/>
    <w:rsid w:val="002B3686"/>
    <w:pPr>
      <w:keepLines/>
      <w:ind w:left="720" w:hanging="720"/>
      <w:outlineLvl w:val="2"/>
    </w:pPr>
    <w:rPr>
      <w:rFonts w:eastAsia="MS Mincho"/>
      <w:szCs w:val="20"/>
      <w:u w:val="single"/>
      <w:lang w:eastAsia="en-US"/>
    </w:rPr>
  </w:style>
  <w:style w:type="paragraph" w:styleId="Heading4">
    <w:name w:val="heading 4"/>
    <w:basedOn w:val="Baseheading"/>
    <w:next w:val="Normal"/>
    <w:pPr>
      <w:keepLines/>
      <w:ind w:left="720" w:hanging="720"/>
      <w:outlineLvl w:val="3"/>
    </w:pPr>
    <w:rPr>
      <w:b w:val="0"/>
      <w:bCs/>
      <w:i/>
      <w:iCs/>
    </w:rPr>
  </w:style>
  <w:style w:type="paragraph" w:styleId="Heading5">
    <w:name w:val="heading 5"/>
    <w:basedOn w:val="Baseheading"/>
    <w:next w:val="Normal"/>
    <w:pPr>
      <w:keepLines/>
      <w:spacing w:after="60"/>
      <w:outlineLvl w:val="4"/>
    </w:pPr>
    <w:rPr>
      <w:i/>
      <w:sz w:val="20"/>
    </w:rPr>
  </w:style>
  <w:style w:type="paragraph" w:styleId="Heading6">
    <w:name w:val="heading 6"/>
    <w:basedOn w:val="Baseheading"/>
    <w:next w:val="BodyText"/>
    <w:pPr>
      <w:spacing w:after="60"/>
      <w:outlineLvl w:val="5"/>
    </w:pPr>
    <w:rPr>
      <w:bCs/>
      <w:sz w:val="20"/>
    </w:rPr>
  </w:style>
  <w:style w:type="paragraph" w:styleId="Heading7">
    <w:name w:val="heading 7"/>
    <w:basedOn w:val="Baseheading"/>
    <w:next w:val="Normal"/>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
    <w:unhideWhenUsed/>
    <w:qFormat/>
    <w:rsid w:val="00E14A5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pPr>
      <w:keepNext/>
      <w:spacing w:before="240" w:after="120" w:line="240" w:lineRule="exact"/>
      <w:jc w:val="center"/>
      <w:outlineLvl w:val="0"/>
    </w:pPr>
    <w:rPr>
      <w:rFonts w:ascii="Myriad Pro" w:eastAsia="Times New Roman" w:hAnsi="Myriad Pro" w:cs="Arial"/>
      <w:b/>
      <w:color w:val="7F7F7F"/>
      <w:kern w:val="3"/>
      <w:szCs w:val="28"/>
    </w:rPr>
  </w:style>
  <w:style w:type="paragraph" w:customStyle="1" w:styleId="Baseheading">
    <w:name w:val="Base_heading"/>
    <w:pPr>
      <w:keepNext/>
      <w:suppressAutoHyphens/>
      <w:spacing w:before="240" w:after="240"/>
      <w:outlineLvl w:val="0"/>
    </w:pPr>
    <w:rPr>
      <w:rFonts w:ascii="Times New Roman" w:hAnsi="Times New Roman"/>
      <w:b/>
      <w:kern w:val="3"/>
      <w:sz w:val="24"/>
      <w:szCs w:val="22"/>
      <w:lang w:eastAsia="zh-CN"/>
    </w:rPr>
  </w:style>
  <w:style w:type="paragraph" w:customStyle="1" w:styleId="app-heading1">
    <w:name w:val="app-heading_1"/>
    <w:basedOn w:val="Baseheading"/>
    <w:pPr>
      <w:spacing w:before="120" w:after="120"/>
    </w:pPr>
    <w:rPr>
      <w:rFonts w:ascii="Times New Roman Bold" w:hAnsi="Times New Roman Bold"/>
      <w:caps/>
    </w:rPr>
  </w:style>
  <w:style w:type="paragraph" w:customStyle="1" w:styleId="app-heading2">
    <w:name w:val="app-heading_2"/>
    <w:basedOn w:val="Baseheading"/>
    <w:pPr>
      <w:ind w:left="720" w:hanging="720"/>
      <w:outlineLvl w:val="1"/>
    </w:pPr>
  </w:style>
  <w:style w:type="paragraph" w:customStyle="1" w:styleId="app-heading3">
    <w:name w:val="app-heading_3"/>
    <w:basedOn w:val="Baseheading"/>
    <w:pPr>
      <w:ind w:left="720" w:hanging="720"/>
      <w:outlineLvl w:val="2"/>
    </w:pPr>
    <w:rPr>
      <w:i/>
    </w:rPr>
  </w:style>
  <w:style w:type="paragraph" w:customStyle="1" w:styleId="Basetext">
    <w:name w:val="Base_text"/>
    <w:pPr>
      <w:suppressAutoHyphens/>
    </w:pPr>
    <w:rPr>
      <w:rFonts w:ascii="Times New Roman" w:hAnsi="Times New Roman"/>
      <w:sz w:val="24"/>
      <w:szCs w:val="22"/>
      <w:lang w:eastAsia="zh-CN"/>
    </w:rPr>
  </w:style>
  <w:style w:type="paragraph" w:customStyle="1" w:styleId="table-continued">
    <w:name w:val="table-continued"/>
    <w:basedOn w:val="Basetext"/>
    <w:pPr>
      <w:spacing w:before="40"/>
      <w:ind w:right="-86"/>
      <w:jc w:val="right"/>
    </w:pPr>
    <w:rPr>
      <w:sz w:val="20"/>
    </w:rPr>
  </w:style>
  <w:style w:type="paragraph" w:styleId="BodyText">
    <w:name w:val="Body Text"/>
    <w:basedOn w:val="Basetext"/>
    <w:pPr>
      <w:spacing w:after="240"/>
    </w:pPr>
    <w:rPr>
      <w:sz w:val="22"/>
    </w:rPr>
  </w:style>
  <w:style w:type="character" w:customStyle="1" w:styleId="BodyTextChar">
    <w:name w:val="Body Text Char"/>
    <w:rPr>
      <w:rFonts w:ascii="Times New Roman" w:hAnsi="Times New Roman"/>
      <w:sz w:val="22"/>
      <w:szCs w:val="22"/>
      <w:lang w:eastAsia="zh-CN"/>
    </w:rPr>
  </w:style>
  <w:style w:type="paragraph" w:customStyle="1" w:styleId="bullets">
    <w:name w:val="bullets"/>
    <w:aliases w:val="bu"/>
    <w:basedOn w:val="Basetext"/>
    <w:link w:val="bulletsChar"/>
    <w:pPr>
      <w:numPr>
        <w:numId w:val="6"/>
      </w:numPr>
      <w:spacing w:after="120"/>
    </w:pPr>
  </w:style>
  <w:style w:type="paragraph" w:customStyle="1" w:styleId="bullets2nd-level">
    <w:name w:val="bullets_2nd-level"/>
    <w:basedOn w:val="Basetext"/>
    <w:pPr>
      <w:numPr>
        <w:numId w:val="3"/>
      </w:numPr>
      <w:spacing w:after="120"/>
    </w:pPr>
  </w:style>
  <w:style w:type="paragraph" w:customStyle="1" w:styleId="bullets3rd-level">
    <w:name w:val="bullets_3rd-level"/>
    <w:basedOn w:val="Basetext"/>
    <w:pPr>
      <w:numPr>
        <w:numId w:val="4"/>
      </w:numPr>
      <w:spacing w:after="120"/>
    </w:pPr>
  </w:style>
  <w:style w:type="paragraph" w:customStyle="1" w:styleId="figure-inline">
    <w:name w:val="figure-inline"/>
    <w:basedOn w:val="Basetext"/>
    <w:pPr>
      <w:keepNext/>
      <w:spacing w:before="240"/>
      <w:jc w:val="center"/>
    </w:pPr>
  </w:style>
  <w:style w:type="paragraph" w:customStyle="1" w:styleId="cover-author">
    <w:name w:val="cover-author"/>
    <w:basedOn w:val="Basetext"/>
    <w:pPr>
      <w:jc w:val="right"/>
    </w:pPr>
    <w:rPr>
      <w:rFonts w:ascii="Arial Black" w:hAnsi="Arial Black"/>
    </w:rPr>
  </w:style>
  <w:style w:type="paragraph" w:customStyle="1" w:styleId="cover-text">
    <w:name w:val="cover-text"/>
    <w:basedOn w:val="Basetext"/>
    <w:pPr>
      <w:spacing w:before="600" w:after="240"/>
      <w:jc w:val="right"/>
    </w:pPr>
    <w:rPr>
      <w:rFonts w:ascii="Arial" w:hAnsi="Arial"/>
    </w:rPr>
  </w:style>
  <w:style w:type="paragraph" w:customStyle="1" w:styleId="cover-title">
    <w:name w:val="cover-title"/>
    <w:basedOn w:val="Baseheading"/>
    <w:pPr>
      <w:keepNext w:val="0"/>
      <w:spacing w:before="600" w:after="720"/>
      <w:jc w:val="right"/>
    </w:pPr>
    <w:rPr>
      <w:rFonts w:ascii="Arial Black" w:hAnsi="Arial Black"/>
      <w:b w:val="0"/>
      <w:sz w:val="48"/>
    </w:rPr>
  </w:style>
  <w:style w:type="paragraph" w:customStyle="1" w:styleId="cover-subtitle">
    <w:name w:val="cover-subtitle"/>
    <w:basedOn w:val="Baseheading"/>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pPr>
      <w:spacing w:after="120" w:line="360" w:lineRule="auto"/>
    </w:pPr>
  </w:style>
  <w:style w:type="paragraph" w:customStyle="1" w:styleId="figure-notealt-1">
    <w:name w:val="figure-note_alt-1"/>
    <w:basedOn w:val="Basetext"/>
    <w:pPr>
      <w:keepLines/>
      <w:spacing w:before="60"/>
      <w:ind w:left="187" w:hanging="187"/>
    </w:pPr>
    <w:rPr>
      <w:sz w:val="20"/>
    </w:rPr>
  </w:style>
  <w:style w:type="paragraph" w:customStyle="1" w:styleId="disclaimer-text">
    <w:name w:val="disclaimer-text"/>
    <w:basedOn w:val="Basetext"/>
    <w:pPr>
      <w:spacing w:line="240" w:lineRule="exact"/>
      <w:jc w:val="right"/>
    </w:pPr>
    <w:rPr>
      <w:rFonts w:ascii="Arial" w:hAnsi="Arial"/>
      <w:sz w:val="16"/>
    </w:rPr>
  </w:style>
  <w:style w:type="character" w:styleId="EndnoteReference">
    <w:name w:val="endnote reference"/>
    <w:rPr>
      <w:position w:val="0"/>
      <w:vertAlign w:val="superscript"/>
    </w:rPr>
  </w:style>
  <w:style w:type="paragraph" w:styleId="EndnoteText">
    <w:name w:val="endnote text"/>
    <w:basedOn w:val="Basetext"/>
    <w:pPr>
      <w:keepLines/>
      <w:spacing w:after="240"/>
      <w:ind w:left="720" w:hanging="720"/>
    </w:pPr>
    <w:rPr>
      <w:szCs w:val="20"/>
    </w:rPr>
  </w:style>
  <w:style w:type="character" w:customStyle="1" w:styleId="EndnoteTextChar">
    <w:name w:val="Endnote Text Char"/>
    <w:rPr>
      <w:rFonts w:ascii="Times New Roman" w:hAnsi="Times New Roman"/>
      <w:sz w:val="24"/>
      <w:lang w:eastAsia="zh-CN"/>
    </w:rPr>
  </w:style>
  <w:style w:type="paragraph" w:customStyle="1" w:styleId="equation">
    <w:name w:val="equation"/>
    <w:basedOn w:val="Basetext"/>
    <w:pPr>
      <w:tabs>
        <w:tab w:val="center" w:pos="4680"/>
        <w:tab w:val="right" w:pos="9360"/>
      </w:tabs>
      <w:spacing w:after="240" w:line="480" w:lineRule="atLeast"/>
    </w:pPr>
  </w:style>
  <w:style w:type="paragraph" w:customStyle="1" w:styleId="es-heading1">
    <w:name w:val="es-heading_1"/>
    <w:basedOn w:val="Baseheading"/>
    <w:pPr>
      <w:spacing w:before="120" w:after="120"/>
      <w:ind w:left="720" w:hanging="720"/>
    </w:pPr>
    <w:rPr>
      <w:rFonts w:ascii="Times New Roman Bold" w:hAnsi="Times New Roman Bold"/>
      <w:caps/>
    </w:rPr>
  </w:style>
  <w:style w:type="paragraph" w:customStyle="1" w:styleId="es-heading2">
    <w:name w:val="es-heading_2"/>
    <w:basedOn w:val="Baseheading"/>
    <w:pPr>
      <w:ind w:left="720" w:hanging="720"/>
      <w:outlineLvl w:val="1"/>
    </w:pPr>
  </w:style>
  <w:style w:type="paragraph" w:customStyle="1" w:styleId="es-heading3">
    <w:name w:val="es-heading_3"/>
    <w:basedOn w:val="Baseheading"/>
    <w:pPr>
      <w:ind w:left="720" w:hanging="720"/>
      <w:outlineLvl w:val="2"/>
    </w:pPr>
    <w:rPr>
      <w:i/>
    </w:rPr>
  </w:style>
  <w:style w:type="paragraph" w:customStyle="1" w:styleId="es-heading4">
    <w:name w:val="es-heading_4"/>
    <w:basedOn w:val="Baseheading"/>
    <w:pPr>
      <w:ind w:left="720" w:hanging="720"/>
      <w:outlineLvl w:val="3"/>
    </w:pPr>
    <w:rPr>
      <w:b w:val="0"/>
      <w:i/>
    </w:rPr>
  </w:style>
  <w:style w:type="paragraph" w:customStyle="1" w:styleId="figure-inlinew-box">
    <w:name w:val="figure-inline_w-box"/>
    <w:basedOn w:val="Basetext"/>
    <w:pPr>
      <w:keepNext/>
      <w:pBdr>
        <w:top w:val="single" w:sz="12" w:space="9" w:color="000000"/>
        <w:left w:val="single" w:sz="12" w:space="6" w:color="000000"/>
        <w:bottom w:val="single" w:sz="12" w:space="9" w:color="000000"/>
        <w:right w:val="single" w:sz="12" w:space="4" w:color="000000"/>
      </w:pBdr>
      <w:spacing w:before="240" w:after="120"/>
      <w:ind w:left="187" w:right="187"/>
      <w:jc w:val="center"/>
    </w:pPr>
  </w:style>
  <w:style w:type="paragraph" w:customStyle="1" w:styleId="textbox-bullet">
    <w:name w:val="textbox-bullet"/>
    <w:basedOn w:val="Basetext"/>
    <w:pPr>
      <w:numPr>
        <w:numId w:val="7"/>
      </w:numPr>
      <w:spacing w:before="60" w:after="60"/>
    </w:pPr>
    <w:rPr>
      <w:sz w:val="20"/>
      <w:szCs w:val="24"/>
    </w:rPr>
  </w:style>
  <w:style w:type="paragraph" w:customStyle="1" w:styleId="figure-title">
    <w:name w:val="figure-title"/>
    <w:basedOn w:val="Basetext"/>
    <w:pPr>
      <w:keepNext/>
      <w:keepLines/>
      <w:tabs>
        <w:tab w:val="left" w:pos="1260"/>
      </w:tabs>
      <w:spacing w:before="240"/>
    </w:pPr>
    <w:rPr>
      <w:b/>
    </w:rPr>
  </w:style>
  <w:style w:type="paragraph" w:styleId="Footer">
    <w:name w:val="footer"/>
    <w:basedOn w:val="Basetext"/>
    <w:pPr>
      <w:tabs>
        <w:tab w:val="center" w:pos="4680"/>
        <w:tab w:val="right" w:pos="9360"/>
      </w:tabs>
      <w:jc w:val="center"/>
    </w:pPr>
  </w:style>
  <w:style w:type="character" w:customStyle="1" w:styleId="FooterChar">
    <w:name w:val="Footer Char"/>
    <w:rPr>
      <w:rFonts w:ascii="Times New Roman" w:hAnsi="Times New Roman"/>
      <w:sz w:val="24"/>
      <w:szCs w:val="22"/>
      <w:lang w:eastAsia="zh-CN"/>
    </w:rPr>
  </w:style>
  <w:style w:type="character" w:styleId="FootnoteReference">
    <w:name w:val="footnote reference"/>
    <w:rPr>
      <w:position w:val="0"/>
      <w:vertAlign w:val="superscript"/>
    </w:rPr>
  </w:style>
  <w:style w:type="paragraph" w:styleId="FootnoteText">
    <w:name w:val="footnote text"/>
    <w:basedOn w:val="Basetext"/>
    <w:pPr>
      <w:ind w:left="274" w:hanging="274"/>
    </w:pPr>
    <w:rPr>
      <w:sz w:val="20"/>
      <w:szCs w:val="20"/>
    </w:rPr>
  </w:style>
  <w:style w:type="character" w:customStyle="1" w:styleId="FootnoteTextChar">
    <w:name w:val="Footnote Text Char"/>
    <w:rPr>
      <w:rFonts w:ascii="Times New Roman" w:hAnsi="Times New Roman"/>
      <w:lang w:eastAsia="zh-CN"/>
    </w:rPr>
  </w:style>
  <w:style w:type="paragraph" w:styleId="CommentSubject">
    <w:name w:val="annotation subject"/>
    <w:basedOn w:val="CommentText"/>
    <w:next w:val="CommentText"/>
    <w:rPr>
      <w:b/>
      <w:bCs/>
      <w:sz w:val="20"/>
    </w:rPr>
  </w:style>
  <w:style w:type="paragraph" w:styleId="Header">
    <w:name w:val="header"/>
    <w:basedOn w:val="Basetext"/>
    <w:rPr>
      <w:sz w:val="20"/>
    </w:rPr>
  </w:style>
  <w:style w:type="character" w:customStyle="1" w:styleId="HeaderChar">
    <w:name w:val="Header Char"/>
    <w:rPr>
      <w:rFonts w:ascii="Times New Roman" w:hAnsi="Times New Roman"/>
      <w:szCs w:val="22"/>
      <w:lang w:eastAsia="zh-CN"/>
    </w:rPr>
  </w:style>
  <w:style w:type="character" w:customStyle="1" w:styleId="Heading1Char">
    <w:name w:val="Heading 1 Char"/>
    <w:rPr>
      <w:rFonts w:ascii="Calibri" w:hAnsi="Calibri"/>
      <w:b/>
      <w:bCs/>
      <w:caps/>
      <w:kern w:val="3"/>
      <w:sz w:val="24"/>
      <w:szCs w:val="28"/>
      <w:lang w:eastAsia="zh-CN"/>
    </w:rPr>
  </w:style>
  <w:style w:type="character" w:customStyle="1" w:styleId="Heading2Char">
    <w:name w:val="Heading 2 Char"/>
    <w:rPr>
      <w:rFonts w:ascii="Calibri" w:eastAsia="MS Mincho" w:hAnsi="Calibri"/>
      <w:b/>
      <w:kern w:val="3"/>
      <w:sz w:val="24"/>
      <w:szCs w:val="24"/>
    </w:rPr>
  </w:style>
  <w:style w:type="character" w:customStyle="1" w:styleId="Heading3Char">
    <w:name w:val="Heading 3 Char"/>
    <w:rPr>
      <w:rFonts w:ascii="Times New Roman" w:eastAsia="MS Mincho" w:hAnsi="Times New Roman"/>
      <w:b/>
      <w:kern w:val="3"/>
      <w:sz w:val="22"/>
      <w:u w:val="single"/>
    </w:rPr>
  </w:style>
  <w:style w:type="character" w:customStyle="1" w:styleId="Heading4Char">
    <w:name w:val="Heading 4 Char"/>
    <w:rPr>
      <w:rFonts w:ascii="Times New Roman" w:hAnsi="Times New Roman"/>
      <w:bCs/>
      <w:i/>
      <w:iCs/>
      <w:kern w:val="3"/>
      <w:sz w:val="24"/>
      <w:szCs w:val="22"/>
      <w:lang w:eastAsia="zh-CN"/>
    </w:rPr>
  </w:style>
  <w:style w:type="character" w:customStyle="1" w:styleId="Heading5Char">
    <w:name w:val="Heading 5 Char"/>
    <w:rPr>
      <w:rFonts w:ascii="Times New Roman" w:hAnsi="Times New Roman"/>
      <w:b/>
      <w:i/>
      <w:kern w:val="3"/>
      <w:szCs w:val="22"/>
      <w:lang w:eastAsia="zh-CN"/>
    </w:rPr>
  </w:style>
  <w:style w:type="character" w:styleId="Hyperlink">
    <w:name w:val="Hyperlink"/>
    <w:rPr>
      <w:color w:val="3333FF"/>
      <w:u w:val="none"/>
      <w:lang w:val="en-US"/>
    </w:rPr>
  </w:style>
  <w:style w:type="paragraph" w:styleId="ListContinue">
    <w:name w:val="List Continue"/>
    <w:basedOn w:val="Basetext"/>
    <w:pPr>
      <w:spacing w:after="120"/>
      <w:ind w:left="720"/>
    </w:pPr>
  </w:style>
  <w:style w:type="paragraph" w:styleId="ListContinue2">
    <w:name w:val="List Continue 2"/>
    <w:basedOn w:val="Basetext"/>
    <w:pPr>
      <w:spacing w:after="120"/>
      <w:ind w:left="1080"/>
    </w:pPr>
  </w:style>
  <w:style w:type="paragraph" w:styleId="ListParagraph">
    <w:name w:val="List Paragraph"/>
    <w:aliases w:val="Primary Bullet List"/>
    <w:basedOn w:val="Basetext"/>
    <w:uiPriority w:val="34"/>
    <w:qFormat/>
    <w:pPr>
      <w:ind w:left="720"/>
    </w:pPr>
  </w:style>
  <w:style w:type="character" w:styleId="PageNumber">
    <w:name w:val="page number"/>
    <w:rPr>
      <w:rFonts w:ascii="Times New Roman" w:hAnsi="Times New Roman"/>
      <w:b w:val="0"/>
      <w:sz w:val="24"/>
    </w:rPr>
  </w:style>
  <w:style w:type="paragraph" w:styleId="Quote">
    <w:name w:val="Quote"/>
    <w:basedOn w:val="Basetext"/>
    <w:pPr>
      <w:spacing w:after="160" w:line="280" w:lineRule="atLeast"/>
      <w:ind w:left="720" w:right="720"/>
    </w:pPr>
    <w:rPr>
      <w:iCs/>
    </w:rPr>
  </w:style>
  <w:style w:type="character" w:customStyle="1" w:styleId="QuoteChar">
    <w:name w:val="Quote Char"/>
    <w:rPr>
      <w:rFonts w:ascii="Verdana" w:hAnsi="Verdana"/>
      <w:iCs/>
      <w:szCs w:val="22"/>
      <w:lang w:eastAsia="zh-CN"/>
    </w:rPr>
  </w:style>
  <w:style w:type="paragraph" w:styleId="Subtitle">
    <w:name w:val="Subtitle"/>
    <w:basedOn w:val="Normal"/>
    <w:next w:val="Normal"/>
    <w:pPr>
      <w:spacing w:after="2400"/>
      <w:jc w:val="right"/>
      <w:outlineLvl w:val="1"/>
    </w:pPr>
    <w:rPr>
      <w:b/>
      <w:iCs/>
      <w:spacing w:val="15"/>
      <w:sz w:val="36"/>
      <w:szCs w:val="24"/>
    </w:rPr>
  </w:style>
  <w:style w:type="character" w:customStyle="1" w:styleId="SubtitleChar">
    <w:name w:val="Subtitle Char"/>
    <w:rPr>
      <w:rFonts w:ascii="Times New Roman" w:hAnsi="Times New Roman"/>
      <w:b/>
      <w:iCs/>
      <w:spacing w:val="15"/>
      <w:sz w:val="36"/>
      <w:szCs w:val="24"/>
    </w:rPr>
  </w:style>
  <w:style w:type="paragraph" w:customStyle="1" w:styleId="figure-notealt-2">
    <w:name w:val="figure-note_alt-2"/>
    <w:basedOn w:val="Basetext"/>
    <w:pPr>
      <w:keepLines/>
      <w:spacing w:before="60" w:after="240"/>
      <w:ind w:left="187" w:hanging="187"/>
    </w:pPr>
    <w:rPr>
      <w:sz w:val="20"/>
    </w:rPr>
  </w:style>
  <w:style w:type="paragraph" w:customStyle="1" w:styleId="figure-notestd">
    <w:name w:val="figure-note_std"/>
    <w:basedOn w:val="Basetext"/>
    <w:pPr>
      <w:keepLines/>
      <w:spacing w:before="120"/>
      <w:ind w:left="187" w:hanging="187"/>
    </w:pPr>
    <w:rPr>
      <w:sz w:val="20"/>
    </w:rPr>
  </w:style>
  <w:style w:type="paragraph" w:customStyle="1" w:styleId="figure-sourcealt-1">
    <w:name w:val="figure-source_alt-1"/>
    <w:basedOn w:val="Basetext"/>
    <w:pPr>
      <w:keepLines/>
      <w:spacing w:before="120"/>
      <w:ind w:left="720" w:hanging="720"/>
    </w:pPr>
    <w:rPr>
      <w:sz w:val="20"/>
    </w:rPr>
  </w:style>
  <w:style w:type="paragraph" w:customStyle="1" w:styleId="table-bullet2nd">
    <w:name w:val="table-bullet_2nd"/>
    <w:basedOn w:val="Basetext"/>
    <w:pPr>
      <w:numPr>
        <w:numId w:val="5"/>
      </w:numPr>
      <w:spacing w:before="80" w:after="80"/>
    </w:pPr>
    <w:rPr>
      <w:sz w:val="22"/>
    </w:rPr>
  </w:style>
  <w:style w:type="paragraph" w:customStyle="1" w:styleId="table-bulletind">
    <w:name w:val="table-bullet_ind"/>
    <w:basedOn w:val="Basetext"/>
    <w:pPr>
      <w:numPr>
        <w:numId w:val="9"/>
      </w:numPr>
      <w:spacing w:before="80" w:after="80"/>
    </w:pPr>
    <w:rPr>
      <w:rFonts w:eastAsia="MS Mincho"/>
      <w:sz w:val="22"/>
      <w:szCs w:val="18"/>
      <w:lang w:eastAsia="en-US"/>
    </w:rPr>
  </w:style>
  <w:style w:type="paragraph" w:customStyle="1" w:styleId="table-bulletLM">
    <w:name w:val="table-bullet_LM"/>
    <w:basedOn w:val="Basetext"/>
    <w:pPr>
      <w:numPr>
        <w:numId w:val="8"/>
      </w:numPr>
      <w:spacing w:before="80" w:after="80"/>
    </w:pPr>
    <w:rPr>
      <w:sz w:val="22"/>
    </w:rPr>
  </w:style>
  <w:style w:type="paragraph" w:customStyle="1" w:styleId="table-headers">
    <w:name w:val="table-headers"/>
    <w:basedOn w:val="Basetext"/>
    <w:pPr>
      <w:keepNext/>
      <w:spacing w:before="80" w:after="80"/>
      <w:jc w:val="center"/>
    </w:pPr>
    <w:rPr>
      <w:b/>
      <w:sz w:val="22"/>
    </w:rPr>
  </w:style>
  <w:style w:type="paragraph" w:styleId="TableofFigures">
    <w:name w:val="table of figures"/>
    <w:basedOn w:val="Basetext"/>
    <w:next w:val="Normal"/>
    <w:pPr>
      <w:tabs>
        <w:tab w:val="right" w:leader="dot" w:pos="9360"/>
      </w:tabs>
      <w:spacing w:before="40" w:after="40"/>
      <w:ind w:left="1080" w:right="720" w:hanging="1080"/>
    </w:pPr>
  </w:style>
  <w:style w:type="paragraph" w:customStyle="1" w:styleId="table-text">
    <w:name w:val="table-text"/>
    <w:basedOn w:val="Basetext"/>
    <w:pPr>
      <w:spacing w:before="80" w:after="80"/>
    </w:pPr>
    <w:rPr>
      <w:sz w:val="22"/>
    </w:rPr>
  </w:style>
  <w:style w:type="paragraph" w:customStyle="1" w:styleId="table-textindent">
    <w:name w:val="table-text_indent"/>
    <w:basedOn w:val="Basetext"/>
    <w:pPr>
      <w:spacing w:before="80" w:after="80"/>
      <w:ind w:left="245"/>
    </w:pPr>
    <w:rPr>
      <w:sz w:val="22"/>
    </w:rPr>
  </w:style>
  <w:style w:type="paragraph" w:customStyle="1" w:styleId="table-title">
    <w:name w:val="table-title"/>
    <w:basedOn w:val="Basetext"/>
    <w:pPr>
      <w:keepNext/>
      <w:keepLines/>
      <w:spacing w:before="240" w:after="240"/>
    </w:pPr>
    <w:rPr>
      <w:b/>
    </w:rPr>
  </w:style>
  <w:style w:type="paragraph" w:customStyle="1" w:styleId="table-titlecontinued">
    <w:name w:val="table-title_continued"/>
    <w:basedOn w:val="Basetext"/>
    <w:pPr>
      <w:keepNext/>
      <w:keepLines/>
      <w:spacing w:before="240" w:after="240"/>
    </w:pPr>
    <w:rPr>
      <w:b/>
    </w:rPr>
  </w:style>
  <w:style w:type="paragraph" w:customStyle="1" w:styleId="TOCsubheading">
    <w:name w:val="TOC_subheading"/>
    <w:basedOn w:val="Baseheading"/>
    <w:pPr>
      <w:tabs>
        <w:tab w:val="right" w:pos="9360"/>
      </w:tabs>
      <w:spacing w:before="120"/>
    </w:pPr>
  </w:style>
  <w:style w:type="paragraph" w:styleId="TOC1">
    <w:name w:val="toc 1"/>
    <w:basedOn w:val="Basetext"/>
    <w:next w:val="Normal"/>
    <w:pPr>
      <w:tabs>
        <w:tab w:val="left" w:pos="720"/>
        <w:tab w:val="right" w:pos="9360"/>
      </w:tabs>
      <w:spacing w:before="240" w:after="120"/>
      <w:ind w:left="720" w:right="720" w:hanging="360"/>
    </w:pPr>
  </w:style>
  <w:style w:type="paragraph" w:styleId="TOC2">
    <w:name w:val="toc 2"/>
    <w:basedOn w:val="Basetext"/>
    <w:next w:val="Normal"/>
    <w:pPr>
      <w:tabs>
        <w:tab w:val="left" w:pos="1350"/>
        <w:tab w:val="right" w:leader="dot" w:pos="9360"/>
      </w:tabs>
      <w:spacing w:before="120" w:after="120"/>
      <w:ind w:left="1354" w:right="720" w:hanging="634"/>
    </w:pPr>
  </w:style>
  <w:style w:type="paragraph" w:styleId="TOC3">
    <w:name w:val="toc 3"/>
    <w:basedOn w:val="Basetext"/>
    <w:next w:val="Normal"/>
    <w:pPr>
      <w:tabs>
        <w:tab w:val="left" w:pos="2160"/>
        <w:tab w:val="right" w:leader="dot" w:pos="9360"/>
      </w:tabs>
      <w:spacing w:before="60" w:after="60"/>
      <w:ind w:left="2160" w:right="720" w:hanging="720"/>
    </w:pPr>
  </w:style>
  <w:style w:type="paragraph" w:styleId="TOC4">
    <w:name w:val="toc 4"/>
    <w:basedOn w:val="Basetext"/>
    <w:next w:val="Normal"/>
    <w:pPr>
      <w:tabs>
        <w:tab w:val="left" w:pos="2880"/>
        <w:tab w:val="right" w:leader="dot" w:pos="9360"/>
      </w:tabs>
      <w:spacing w:after="100"/>
      <w:ind w:left="2880" w:hanging="720"/>
    </w:pPr>
  </w:style>
  <w:style w:type="paragraph" w:styleId="TOCHeading">
    <w:name w:val="TOC Heading"/>
    <w:basedOn w:val="Baseheading"/>
    <w:next w:val="Normal"/>
    <w:pPr>
      <w:spacing w:before="0"/>
      <w:jc w:val="center"/>
    </w:pPr>
    <w:rPr>
      <w:caps/>
      <w:kern w:val="0"/>
      <w:sz w:val="28"/>
    </w:rPr>
  </w:style>
  <w:style w:type="character" w:customStyle="1" w:styleId="CommentSubjectChar">
    <w:name w:val="Comment Subject Char"/>
    <w:rPr>
      <w:rFonts w:ascii="Times New Roman" w:hAnsi="Times New Roman"/>
      <w:b/>
      <w:bCs/>
      <w:lang w:eastAsia="zh-CN"/>
    </w:rPr>
  </w:style>
  <w:style w:type="paragraph" w:customStyle="1" w:styleId="numbers">
    <w:name w:val="numbers"/>
    <w:basedOn w:val="Basetext"/>
    <w:pPr>
      <w:spacing w:after="120"/>
      <w:ind w:left="1080" w:hanging="360"/>
    </w:pPr>
  </w:style>
  <w:style w:type="paragraph" w:customStyle="1" w:styleId="numbers2nd-level">
    <w:name w:val="numbers_2nd-level"/>
    <w:basedOn w:val="Basetext"/>
    <w:pPr>
      <w:spacing w:after="120"/>
      <w:ind w:left="1440" w:hanging="360"/>
    </w:pPr>
  </w:style>
  <w:style w:type="paragraph" w:customStyle="1" w:styleId="cover-address">
    <w:name w:val="cover-address"/>
    <w:basedOn w:val="Basetext"/>
    <w:pPr>
      <w:jc w:val="right"/>
    </w:pPr>
    <w:rPr>
      <w:rFonts w:ascii="Arial" w:hAnsi="Arial"/>
    </w:rPr>
  </w:style>
  <w:style w:type="paragraph" w:customStyle="1" w:styleId="cover-textbold">
    <w:name w:val="cover-text_bold"/>
    <w:basedOn w:val="Basetext"/>
    <w:pPr>
      <w:spacing w:before="240" w:after="600"/>
      <w:jc w:val="right"/>
    </w:pPr>
    <w:rPr>
      <w:rFonts w:ascii="Arial" w:hAnsi="Arial"/>
      <w:b/>
    </w:rPr>
  </w:style>
  <w:style w:type="paragraph" w:customStyle="1" w:styleId="figure-sourcestd">
    <w:name w:val="figure-source_std"/>
    <w:basedOn w:val="Basetext"/>
    <w:pPr>
      <w:keepLines/>
      <w:spacing w:before="120" w:after="240"/>
      <w:ind w:left="720" w:hanging="720"/>
    </w:pPr>
    <w:rPr>
      <w:sz w:val="20"/>
    </w:rPr>
  </w:style>
  <w:style w:type="character" w:customStyle="1" w:styleId="cover-textChar">
    <w:name w:val="cover-text Char"/>
    <w:rPr>
      <w:rFonts w:ascii="Arial" w:hAnsi="Arial"/>
      <w:sz w:val="24"/>
      <w:szCs w:val="22"/>
      <w:lang w:eastAsia="zh-CN"/>
    </w:rPr>
  </w:style>
  <w:style w:type="paragraph" w:customStyle="1" w:styleId="biblio-entry">
    <w:name w:val="biblio-entry"/>
    <w:basedOn w:val="Basetext"/>
    <w:pPr>
      <w:keepLines/>
      <w:spacing w:after="240"/>
      <w:ind w:left="720" w:hanging="720"/>
    </w:pPr>
  </w:style>
  <w:style w:type="paragraph" w:customStyle="1" w:styleId="textbox-heading">
    <w:name w:val="textbox-heading"/>
    <w:basedOn w:val="Baseheading"/>
    <w:pPr>
      <w:spacing w:before="60" w:after="60"/>
      <w:jc w:val="center"/>
    </w:pPr>
    <w:rPr>
      <w:sz w:val="20"/>
    </w:rPr>
  </w:style>
  <w:style w:type="paragraph" w:customStyle="1" w:styleId="textbox-text">
    <w:name w:val="textbox-text"/>
    <w:basedOn w:val="Basetext"/>
    <w:pPr>
      <w:spacing w:before="60" w:after="60"/>
    </w:pPr>
    <w:rPr>
      <w:sz w:val="20"/>
    </w:rPr>
  </w:style>
  <w:style w:type="paragraph" w:customStyle="1" w:styleId="summary-header">
    <w:name w:val="summary-header"/>
    <w:basedOn w:val="Baseheading"/>
    <w:pPr>
      <w:spacing w:before="120" w:after="120"/>
      <w:ind w:left="720" w:hanging="720"/>
    </w:pPr>
    <w:rPr>
      <w:rFonts w:ascii="Times New Roman Bold" w:hAnsi="Times New Roman Bold"/>
      <w:caps/>
    </w:rPr>
  </w:style>
  <w:style w:type="paragraph" w:customStyle="1" w:styleId="summary-text">
    <w:name w:val="summary-text"/>
    <w:basedOn w:val="Basetext"/>
    <w:pPr>
      <w:spacing w:after="160" w:line="320" w:lineRule="exact"/>
    </w:pPr>
  </w:style>
  <w:style w:type="paragraph" w:customStyle="1" w:styleId="author-affil-header">
    <w:name w:val="author-affil-header"/>
    <w:basedOn w:val="Baseheading"/>
    <w:pPr>
      <w:spacing w:before="120" w:after="120"/>
      <w:ind w:left="720" w:hanging="720"/>
    </w:pPr>
    <w:rPr>
      <w:rFonts w:ascii="Times New Roman Bold" w:hAnsi="Times New Roman Bold"/>
      <w:caps/>
    </w:rPr>
  </w:style>
  <w:style w:type="paragraph" w:customStyle="1" w:styleId="author-affil-text">
    <w:name w:val="author-affil-text"/>
    <w:basedOn w:val="Basetext"/>
    <w:pPr>
      <w:spacing w:after="120" w:line="360" w:lineRule="auto"/>
      <w:ind w:firstLine="720"/>
    </w:pPr>
  </w:style>
  <w:style w:type="paragraph" w:customStyle="1" w:styleId="author-bio-info">
    <w:name w:val="author-bio-info"/>
    <w:basedOn w:val="Basetext"/>
    <w:pPr>
      <w:spacing w:after="160" w:line="320" w:lineRule="exact"/>
    </w:pPr>
  </w:style>
  <w:style w:type="paragraph" w:customStyle="1" w:styleId="author-list-header">
    <w:name w:val="author-list-header"/>
    <w:basedOn w:val="Baseheading"/>
    <w:pPr>
      <w:spacing w:before="120" w:after="120"/>
      <w:ind w:left="720" w:hanging="720"/>
    </w:pPr>
    <w:rPr>
      <w:rFonts w:ascii="Times New Roman Bold" w:hAnsi="Times New Roman Bold"/>
      <w:caps/>
    </w:rPr>
  </w:style>
  <w:style w:type="paragraph" w:customStyle="1" w:styleId="author-list-name">
    <w:name w:val="author-list-name"/>
    <w:basedOn w:val="Basetext"/>
    <w:pPr>
      <w:spacing w:after="720"/>
      <w:jc w:val="center"/>
    </w:pPr>
  </w:style>
  <w:style w:type="paragraph" w:customStyle="1" w:styleId="copyright-permissions">
    <w:name w:val="copyright-permissions"/>
    <w:basedOn w:val="Basetext"/>
    <w:pPr>
      <w:spacing w:after="160" w:line="320" w:lineRule="exact"/>
    </w:pPr>
  </w:style>
  <w:style w:type="paragraph" w:customStyle="1" w:styleId="keywords-list">
    <w:name w:val="keywords-list"/>
    <w:basedOn w:val="Basetext"/>
    <w:pPr>
      <w:spacing w:after="160" w:line="320" w:lineRule="exact"/>
    </w:pPr>
  </w:style>
  <w:style w:type="paragraph" w:customStyle="1" w:styleId="pub-series-info">
    <w:name w:val="pub-series-info"/>
    <w:basedOn w:val="Basetext"/>
    <w:pPr>
      <w:spacing w:after="160" w:line="320" w:lineRule="exact"/>
    </w:pPr>
  </w:style>
  <w:style w:type="paragraph" w:customStyle="1" w:styleId="suggested-cite-header">
    <w:name w:val="suggested-cite-header"/>
    <w:basedOn w:val="Baseheading"/>
    <w:pPr>
      <w:spacing w:before="120" w:after="120"/>
      <w:ind w:left="720" w:hanging="720"/>
    </w:pPr>
    <w:rPr>
      <w:rFonts w:ascii="Times New Roman Bold" w:hAnsi="Times New Roman Bold"/>
      <w:caps/>
    </w:rPr>
  </w:style>
  <w:style w:type="paragraph" w:customStyle="1" w:styleId="suggested-cite-text">
    <w:name w:val="suggested-cite-text"/>
    <w:basedOn w:val="Basetext"/>
    <w:pPr>
      <w:spacing w:after="160" w:line="320" w:lineRule="exact"/>
    </w:pPr>
  </w:style>
  <w:style w:type="character" w:customStyle="1" w:styleId="Heading6Char">
    <w:name w:val="Heading 6 Char"/>
    <w:rPr>
      <w:rFonts w:ascii="Times New Roman" w:hAnsi="Times New Roman"/>
      <w:b/>
      <w:bCs/>
      <w:kern w:val="3"/>
      <w:szCs w:val="22"/>
      <w:lang w:eastAsia="zh-CN"/>
    </w:rPr>
  </w:style>
  <w:style w:type="paragraph" w:customStyle="1" w:styleId="ack-header">
    <w:name w:val="ack-header"/>
    <w:basedOn w:val="Baseheading"/>
    <w:pPr>
      <w:spacing w:before="120" w:after="120"/>
      <w:ind w:left="720" w:hanging="720"/>
    </w:pPr>
    <w:rPr>
      <w:rFonts w:ascii="Times New Roman Bold" w:hAnsi="Times New Roman Bold"/>
      <w:caps/>
    </w:rPr>
  </w:style>
  <w:style w:type="paragraph" w:customStyle="1" w:styleId="ack-text">
    <w:name w:val="ack-text"/>
    <w:basedOn w:val="Basetext"/>
    <w:pPr>
      <w:spacing w:after="120" w:line="360" w:lineRule="auto"/>
      <w:ind w:firstLine="720"/>
    </w:pPr>
  </w:style>
  <w:style w:type="paragraph" w:customStyle="1" w:styleId="biblio-header">
    <w:name w:val="biblio-header"/>
    <w:basedOn w:val="Baseheading"/>
    <w:pPr>
      <w:spacing w:before="120" w:after="120"/>
      <w:ind w:left="720" w:hanging="720"/>
    </w:pPr>
    <w:rPr>
      <w:rFonts w:ascii="Times New Roman Bold" w:hAnsi="Times New Roman Bold"/>
      <w:caps/>
    </w:rPr>
  </w:style>
  <w:style w:type="paragraph" w:customStyle="1" w:styleId="endnote-header">
    <w:name w:val="endnote-header"/>
    <w:basedOn w:val="Baseheading"/>
    <w:pPr>
      <w:spacing w:before="120" w:after="120"/>
      <w:ind w:left="720" w:hanging="720"/>
    </w:pPr>
    <w:rPr>
      <w:rFonts w:ascii="Times New Roman Bold" w:hAnsi="Times New Roman Bold"/>
      <w:caps/>
    </w:rPr>
  </w:style>
  <w:style w:type="character" w:customStyle="1" w:styleId="Heading7Char">
    <w:name w:val="Heading 7 Char"/>
    <w:rPr>
      <w:rFonts w:ascii="Times New Roman" w:eastAsia="MS Mincho" w:hAnsi="Times New Roman"/>
      <w:b/>
      <w:i/>
      <w:kern w:val="3"/>
    </w:rPr>
  </w:style>
  <w:style w:type="paragraph" w:customStyle="1" w:styleId="cover-date">
    <w:name w:val="cover-date"/>
    <w:basedOn w:val="Basetext"/>
    <w:pPr>
      <w:spacing w:before="240" w:after="720"/>
      <w:jc w:val="right"/>
    </w:pPr>
    <w:rPr>
      <w:rFonts w:ascii="Arial" w:hAnsi="Arial"/>
      <w:b/>
      <w:sz w:val="28"/>
    </w:rPr>
  </w:style>
  <w:style w:type="paragraph" w:customStyle="1" w:styleId="table-notealt-1">
    <w:name w:val="table-note_alt-1"/>
    <w:basedOn w:val="Basetext"/>
    <w:pPr>
      <w:keepLines/>
      <w:spacing w:before="60"/>
      <w:ind w:left="187" w:hanging="187"/>
    </w:pPr>
    <w:rPr>
      <w:sz w:val="20"/>
    </w:rPr>
  </w:style>
  <w:style w:type="paragraph" w:customStyle="1" w:styleId="table-notealt-2">
    <w:name w:val="table-note_alt-2"/>
    <w:basedOn w:val="Basetext"/>
    <w:pPr>
      <w:keepLines/>
      <w:spacing w:before="60" w:after="240"/>
      <w:ind w:left="187" w:hanging="187"/>
    </w:pPr>
    <w:rPr>
      <w:sz w:val="20"/>
    </w:rPr>
  </w:style>
  <w:style w:type="paragraph" w:customStyle="1" w:styleId="table-notestd">
    <w:name w:val="table-note_std"/>
    <w:basedOn w:val="Basetext"/>
    <w:pPr>
      <w:keepLines/>
      <w:spacing w:before="120"/>
      <w:ind w:left="187" w:hanging="187"/>
    </w:pPr>
    <w:rPr>
      <w:sz w:val="20"/>
    </w:rPr>
  </w:style>
  <w:style w:type="paragraph" w:customStyle="1" w:styleId="table-sourcealt-1">
    <w:name w:val="table-source_alt-1"/>
    <w:basedOn w:val="Basetext"/>
    <w:pPr>
      <w:keepLines/>
      <w:spacing w:before="60"/>
      <w:ind w:left="187" w:hanging="187"/>
    </w:pPr>
    <w:rPr>
      <w:sz w:val="20"/>
    </w:rPr>
  </w:style>
  <w:style w:type="paragraph" w:customStyle="1" w:styleId="table-sourcestd">
    <w:name w:val="table-source_std"/>
    <w:basedOn w:val="Basetext"/>
    <w:pPr>
      <w:keepLines/>
      <w:spacing w:before="120" w:after="400"/>
      <w:ind w:left="187" w:hanging="187"/>
    </w:pPr>
    <w:rPr>
      <w:sz w:val="20"/>
    </w:rPr>
  </w:style>
  <w:style w:type="paragraph" w:customStyle="1" w:styleId="cover-project-no">
    <w:name w:val="cover-project-no"/>
    <w:basedOn w:val="Basetext"/>
    <w:pPr>
      <w:autoSpaceDE w:val="0"/>
      <w:spacing w:before="600" w:after="240"/>
      <w:jc w:val="right"/>
    </w:pPr>
    <w:rPr>
      <w:rFonts w:ascii="Arial" w:eastAsia="Times New Roman" w:hAnsi="Arial"/>
      <w:szCs w:val="24"/>
    </w:rPr>
  </w:style>
  <w:style w:type="paragraph" w:customStyle="1" w:styleId="Disclaimer">
    <w:name w:val="Disclaimer"/>
    <w:basedOn w:val="Normal"/>
    <w:pPr>
      <w:spacing w:line="240" w:lineRule="exact"/>
      <w:jc w:val="right"/>
    </w:pPr>
    <w:rPr>
      <w:rFonts w:ascii="Arial" w:eastAsia="MS Mincho" w:hAnsi="Arial"/>
      <w:bCs/>
      <w:sz w:val="16"/>
      <w:szCs w:val="16"/>
      <w:lang w:eastAsia="en-US"/>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lang w:eastAsia="zh-CN"/>
    </w:rPr>
  </w:style>
  <w:style w:type="character" w:styleId="CommentReference">
    <w:name w:val="annotation reference"/>
    <w:uiPriority w:val="99"/>
    <w:rPr>
      <w:sz w:val="16"/>
      <w:szCs w:val="16"/>
    </w:rPr>
  </w:style>
  <w:style w:type="paragraph" w:styleId="CommentText">
    <w:name w:val="annotation text"/>
    <w:basedOn w:val="Normal"/>
    <w:uiPriority w:val="99"/>
    <w:rPr>
      <w:szCs w:val="20"/>
    </w:rPr>
  </w:style>
  <w:style w:type="character" w:customStyle="1" w:styleId="CommentTextChar">
    <w:name w:val="Comment Text Char"/>
    <w:uiPriority w:val="99"/>
    <w:rPr>
      <w:rFonts w:ascii="Verdana" w:hAnsi="Verdana"/>
      <w:lang w:eastAsia="zh-CN"/>
    </w:rPr>
  </w:style>
  <w:style w:type="character" w:styleId="FollowedHyperlink">
    <w:name w:val="FollowedHyperlink"/>
    <w:rPr>
      <w:color w:val="6F57B5"/>
      <w:u w:val="none"/>
    </w:rPr>
  </w:style>
  <w:style w:type="paragraph" w:customStyle="1" w:styleId="titlepage-title">
    <w:name w:val="titlepage-title"/>
    <w:basedOn w:val="Basetext"/>
    <w:next w:val="Title"/>
    <w:pPr>
      <w:spacing w:before="3120" w:after="480"/>
      <w:jc w:val="center"/>
    </w:pPr>
    <w:rPr>
      <w:rFonts w:ascii="Times New Roman Bold" w:hAnsi="Times New Roman Bold"/>
      <w:b/>
      <w:sz w:val="28"/>
      <w:szCs w:val="24"/>
    </w:rPr>
  </w:style>
  <w:style w:type="paragraph" w:customStyle="1" w:styleId="titlepage-text">
    <w:name w:val="titlepage-text"/>
    <w:basedOn w:val="Basetext"/>
    <w:pPr>
      <w:spacing w:before="720"/>
      <w:jc w:val="center"/>
    </w:pPr>
  </w:style>
  <w:style w:type="paragraph" w:customStyle="1" w:styleId="rtitext">
    <w:name w:val="rti_text"/>
    <w:basedOn w:val="Normal"/>
    <w:pPr>
      <w:spacing w:before="2880"/>
      <w:jc w:val="center"/>
    </w:pPr>
    <w:rPr>
      <w:rFonts w:eastAsia="Times New Roman"/>
      <w:szCs w:val="20"/>
      <w:lang w:eastAsia="en-US"/>
    </w:rPr>
  </w:style>
  <w:style w:type="paragraph" w:styleId="Title">
    <w:name w:val="Title"/>
    <w:basedOn w:val="Normal"/>
    <w:next w:val="Normal"/>
    <w:pPr>
      <w:spacing w:before="240" w:after="60"/>
      <w:jc w:val="center"/>
      <w:outlineLvl w:val="0"/>
    </w:pPr>
    <w:rPr>
      <w:rFonts w:ascii="Times New Roman Bold" w:eastAsia="Times New Roman" w:hAnsi="Times New Roman Bold"/>
      <w:b/>
      <w:bCs/>
      <w:kern w:val="3"/>
      <w:sz w:val="32"/>
      <w:szCs w:val="32"/>
    </w:rPr>
  </w:style>
  <w:style w:type="character" w:customStyle="1" w:styleId="TitleChar">
    <w:name w:val="Title Char"/>
    <w:rPr>
      <w:rFonts w:ascii="Times New Roman Bold" w:eastAsia="Times New Roman" w:hAnsi="Times New Roman Bold"/>
      <w:b/>
      <w:bCs/>
      <w:kern w:val="3"/>
      <w:sz w:val="32"/>
      <w:szCs w:val="32"/>
      <w:lang w:eastAsia="zh-CN"/>
    </w:rPr>
  </w:style>
  <w:style w:type="paragraph" w:styleId="ListNumber">
    <w:name w:val="List Number"/>
    <w:basedOn w:val="Normal"/>
    <w:pPr>
      <w:numPr>
        <w:numId w:val="10"/>
      </w:numPr>
      <w:spacing w:after="240"/>
    </w:pPr>
    <w:rPr>
      <w:sz w:val="22"/>
    </w:rPr>
  </w:style>
  <w:style w:type="paragraph" w:styleId="Revision">
    <w:name w:val="Revision"/>
    <w:pPr>
      <w:suppressAutoHyphens/>
    </w:pPr>
    <w:rPr>
      <w:rFonts w:eastAsia="Calibri" w:cs="Arial"/>
      <w:sz w:val="22"/>
      <w:szCs w:val="22"/>
    </w:rPr>
  </w:style>
  <w:style w:type="paragraph" w:styleId="ListBullet2">
    <w:name w:val="List Bullet 2"/>
    <w:basedOn w:val="Normal"/>
    <w:pPr>
      <w:spacing w:after="240"/>
      <w:ind w:left="1080" w:hanging="360"/>
    </w:pPr>
    <w:rPr>
      <w:rFonts w:eastAsia="Calibri" w:cs="Arial"/>
      <w:sz w:val="22"/>
      <w:lang w:eastAsia="en-US"/>
    </w:rPr>
  </w:style>
  <w:style w:type="paragraph" w:styleId="ListBullet">
    <w:name w:val="List Bullet"/>
    <w:basedOn w:val="ListParagraph"/>
    <w:pPr>
      <w:spacing w:after="240"/>
    </w:pPr>
    <w:rPr>
      <w:rFonts w:eastAsia="Calibri" w:cs="Arial"/>
      <w:sz w:val="22"/>
      <w:lang w:eastAsia="en-US"/>
    </w:rPr>
  </w:style>
  <w:style w:type="paragraph" w:customStyle="1" w:styleId="ListBulletLast">
    <w:name w:val="List Bullet Last"/>
    <w:basedOn w:val="ListBullet"/>
    <w:pPr>
      <w:numPr>
        <w:numId w:val="11"/>
      </w:numPr>
    </w:pPr>
  </w:style>
  <w:style w:type="character" w:customStyle="1" w:styleId="ssens">
    <w:name w:val="ssens"/>
    <w:basedOn w:val="DefaultParagraphFont"/>
  </w:style>
  <w:style w:type="paragraph" w:styleId="Caption">
    <w:name w:val="caption"/>
    <w:basedOn w:val="Normal"/>
    <w:next w:val="Normal"/>
    <w:pPr>
      <w:keepNext/>
      <w:spacing w:after="240"/>
    </w:pPr>
    <w:rPr>
      <w:rFonts w:eastAsia="Calibri" w:cs="Arial"/>
      <w:b/>
      <w:bCs/>
      <w:sz w:val="22"/>
      <w:lang w:eastAsia="en-US"/>
    </w:rPr>
  </w:style>
  <w:style w:type="paragraph" w:customStyle="1" w:styleId="ExhibitTitle">
    <w:name w:val="Exhibit Title"/>
    <w:basedOn w:val="Caption"/>
  </w:style>
  <w:style w:type="paragraph" w:customStyle="1" w:styleId="TableHeader">
    <w:name w:val="Table Header"/>
    <w:basedOn w:val="Normal"/>
    <w:pPr>
      <w:keepNext/>
      <w:jc w:val="center"/>
    </w:pPr>
    <w:rPr>
      <w:rFonts w:eastAsia="Calibri" w:cs="Arial"/>
      <w:b/>
      <w:sz w:val="22"/>
      <w:lang w:eastAsia="en-US"/>
    </w:rPr>
  </w:style>
  <w:style w:type="paragraph" w:customStyle="1" w:styleId="ExhibitNote1">
    <w:name w:val="Exhibit Note1"/>
    <w:basedOn w:val="Normal"/>
    <w:qFormat/>
    <w:rPr>
      <w:rFonts w:eastAsia="Calibri" w:cs="Arial"/>
      <w:sz w:val="20"/>
      <w:szCs w:val="20"/>
      <w:lang w:eastAsia="en-US"/>
    </w:rPr>
  </w:style>
  <w:style w:type="paragraph" w:customStyle="1" w:styleId="ExhibitNote2">
    <w:name w:val="Exhibit Note2"/>
    <w:basedOn w:val="Normal"/>
    <w:qFormat/>
    <w:pPr>
      <w:spacing w:after="240"/>
    </w:pPr>
    <w:rPr>
      <w:rFonts w:eastAsia="Calibri" w:cs="Arial"/>
      <w:sz w:val="20"/>
      <w:szCs w:val="20"/>
      <w:lang w:eastAsia="en-US"/>
    </w:rPr>
  </w:style>
  <w:style w:type="paragraph" w:customStyle="1" w:styleId="TableText1">
    <w:name w:val="Table Text1"/>
    <w:basedOn w:val="Normal"/>
    <w:pPr>
      <w:keepNext/>
      <w:spacing w:before="60" w:after="60"/>
    </w:pPr>
    <w:rPr>
      <w:rFonts w:eastAsia="Calibri" w:cs="Arial"/>
      <w:sz w:val="20"/>
      <w:lang w:eastAsia="en-US"/>
    </w:rPr>
  </w:style>
  <w:style w:type="paragraph" w:styleId="Index1">
    <w:name w:val="index 1"/>
    <w:basedOn w:val="Normal"/>
    <w:next w:val="Normal"/>
    <w:autoRedefine/>
    <w:pPr>
      <w:ind w:left="220" w:hanging="220"/>
    </w:pPr>
    <w:rPr>
      <w:rFonts w:eastAsia="Calibri" w:cs="Arial"/>
      <w:sz w:val="22"/>
      <w:lang w:eastAsia="en-US"/>
    </w:rPr>
  </w:style>
  <w:style w:type="paragraph" w:styleId="Bibliography">
    <w:name w:val="Bibliography"/>
    <w:basedOn w:val="Normal"/>
    <w:next w:val="Normal"/>
    <w:pPr>
      <w:spacing w:after="240"/>
    </w:pPr>
    <w:rPr>
      <w:rFonts w:eastAsia="Calibri" w:cs="Arial"/>
      <w:sz w:val="22"/>
      <w:lang w:eastAsia="en-US"/>
    </w:rPr>
  </w:style>
  <w:style w:type="character" w:customStyle="1" w:styleId="apple-converted-space">
    <w:name w:val="apple-converted-space"/>
    <w:basedOn w:val="DefaultParagraphFont"/>
  </w:style>
  <w:style w:type="paragraph" w:styleId="BodyText2">
    <w:name w:val="Body Text 2"/>
    <w:basedOn w:val="Normal"/>
    <w:pPr>
      <w:spacing w:after="120" w:line="480" w:lineRule="auto"/>
    </w:pPr>
    <w:rPr>
      <w:rFonts w:eastAsia="Calibri" w:cs="Arial"/>
      <w:sz w:val="22"/>
      <w:lang w:eastAsia="en-US"/>
    </w:rPr>
  </w:style>
  <w:style w:type="character" w:customStyle="1" w:styleId="BodyText2Char">
    <w:name w:val="Body Text 2 Char"/>
    <w:basedOn w:val="DefaultParagraphFont"/>
    <w:rPr>
      <w:rFonts w:ascii="Times New Roman" w:eastAsia="Calibri" w:hAnsi="Times New Roman" w:cs="Arial"/>
      <w:sz w:val="22"/>
      <w:szCs w:val="22"/>
    </w:rPr>
  </w:style>
  <w:style w:type="paragraph" w:customStyle="1" w:styleId="Tablebullet">
    <w:name w:val="Table_bullet"/>
    <w:basedOn w:val="ListParagraph"/>
    <w:pPr>
      <w:keepNext/>
      <w:keepLines/>
      <w:numPr>
        <w:numId w:val="12"/>
      </w:numPr>
      <w:spacing w:line="200" w:lineRule="exact"/>
    </w:pPr>
    <w:rPr>
      <w:rFonts w:ascii="Arial" w:eastAsia="Times New Roman" w:hAnsi="Arial" w:cs="Arial"/>
      <w:sz w:val="18"/>
      <w:szCs w:val="18"/>
      <w:lang w:eastAsia="en-US"/>
    </w:rPr>
  </w:style>
  <w:style w:type="paragraph" w:customStyle="1" w:styleId="Body">
    <w:name w:val="Body"/>
    <w:basedOn w:val="Normal"/>
    <w:pPr>
      <w:spacing w:before="240" w:after="120" w:line="360" w:lineRule="auto"/>
      <w:ind w:left="720"/>
    </w:pPr>
    <w:rPr>
      <w:rFonts w:ascii="Cambria" w:eastAsia="Calibri" w:hAnsi="Cambria" w:cs="Arial"/>
      <w:lang w:eastAsia="en-US"/>
    </w:rPr>
  </w:style>
  <w:style w:type="paragraph" w:customStyle="1" w:styleId="Default">
    <w:name w:val="Default"/>
    <w:pPr>
      <w:suppressAutoHyphens/>
      <w:autoSpaceDE w:val="0"/>
    </w:pPr>
    <w:rPr>
      <w:rFonts w:ascii="Arial" w:eastAsia="Calibri" w:hAnsi="Arial" w:cs="Arial"/>
      <w:color w:val="000000"/>
      <w:sz w:val="24"/>
      <w:szCs w:val="24"/>
    </w:rPr>
  </w:style>
  <w:style w:type="paragraph" w:customStyle="1" w:styleId="bulletsblank">
    <w:name w:val="bullets_blank"/>
    <w:basedOn w:val="Normal"/>
    <w:pPr>
      <w:keepLines/>
      <w:shd w:val="clear" w:color="auto" w:fill="FFFFFF"/>
      <w:spacing w:after="240"/>
      <w:ind w:left="1080" w:hanging="360"/>
    </w:pPr>
  </w:style>
  <w:style w:type="character" w:customStyle="1" w:styleId="ListParagraphChar">
    <w:name w:val="List Paragraph Char"/>
    <w:aliases w:val="Primary Bullet List Char"/>
    <w:uiPriority w:val="34"/>
    <w:rPr>
      <w:rFonts w:ascii="Times New Roman" w:hAnsi="Times New Roman"/>
      <w:sz w:val="24"/>
      <w:szCs w:val="22"/>
      <w:lang w:eastAsia="zh-CN"/>
    </w:rPr>
  </w:style>
  <w:style w:type="paragraph" w:customStyle="1" w:styleId="Bullets0">
    <w:name w:val="Bullets"/>
    <w:basedOn w:val="BodyText"/>
    <w:pPr>
      <w:numPr>
        <w:numId w:val="13"/>
      </w:numPr>
      <w:tabs>
        <w:tab w:val="left" w:pos="-1080"/>
      </w:tabs>
      <w:spacing w:after="120"/>
    </w:pPr>
    <w:rPr>
      <w:rFonts w:eastAsia="Times New Roman"/>
      <w:szCs w:val="20"/>
      <w:lang w:val="en" w:eastAsia="en-US"/>
    </w:rPr>
  </w:style>
  <w:style w:type="paragraph" w:customStyle="1" w:styleId="L1-FlLSp12">
    <w:name w:val="L1-FlL Sp&amp;1/2"/>
    <w:basedOn w:val="Normal"/>
    <w:pPr>
      <w:tabs>
        <w:tab w:val="left" w:pos="1152"/>
      </w:tabs>
      <w:spacing w:line="360" w:lineRule="atLeast"/>
    </w:pPr>
    <w:rPr>
      <w:rFonts w:ascii="Garamond" w:eastAsia="Times New Roman" w:hAnsi="Garamond"/>
      <w:szCs w:val="20"/>
      <w:lang w:eastAsia="en-US"/>
    </w:rPr>
  </w:style>
  <w:style w:type="character" w:customStyle="1" w:styleId="L1-FlLSp12Char">
    <w:name w:val="L1-FlL Sp&amp;1/2 Char"/>
    <w:rPr>
      <w:rFonts w:ascii="Garamond" w:eastAsia="Times New Roman" w:hAnsi="Garamond"/>
      <w:sz w:val="24"/>
    </w:rPr>
  </w:style>
  <w:style w:type="character" w:customStyle="1" w:styleId="NormalSSChar">
    <w:name w:val="NormalSS Char"/>
    <w:basedOn w:val="DefaultParagraphFont"/>
  </w:style>
  <w:style w:type="paragraph" w:customStyle="1" w:styleId="NormalSS">
    <w:name w:val="NormalSS"/>
    <w:basedOn w:val="Normal"/>
    <w:pPr>
      <w:spacing w:after="240"/>
      <w:ind w:firstLine="432"/>
    </w:pPr>
    <w:rPr>
      <w:rFonts w:ascii="Calibri" w:hAnsi="Calibri"/>
      <w:sz w:val="20"/>
      <w:szCs w:val="20"/>
      <w:lang w:eastAsia="en-US"/>
    </w:rPr>
  </w:style>
  <w:style w:type="paragraph" w:customStyle="1" w:styleId="Bullet">
    <w:name w:val="Bullet"/>
    <w:basedOn w:val="Normal"/>
    <w:pPr>
      <w:numPr>
        <w:numId w:val="20"/>
      </w:numPr>
      <w:tabs>
        <w:tab w:val="left" w:pos="-1728"/>
      </w:tabs>
      <w:spacing w:after="120"/>
    </w:pPr>
    <w:rPr>
      <w:rFonts w:eastAsia="Times New Roman"/>
      <w:szCs w:val="20"/>
      <w:lang w:eastAsia="en-US"/>
    </w:rPr>
  </w:style>
  <w:style w:type="paragraph" w:customStyle="1" w:styleId="BulletLastSS">
    <w:name w:val="Bullet (Last SS)"/>
    <w:basedOn w:val="Bullet"/>
    <w:next w:val="NormalSS"/>
    <w:pPr>
      <w:numPr>
        <w:numId w:val="0"/>
      </w:numPr>
      <w:spacing w:after="240"/>
    </w:pPr>
  </w:style>
  <w:style w:type="paragraph" w:customStyle="1" w:styleId="N0-FlLftBullet">
    <w:name w:val="N0-Fl Lft Bullet"/>
    <w:basedOn w:val="Normal"/>
    <w:pPr>
      <w:tabs>
        <w:tab w:val="left" w:pos="576"/>
      </w:tabs>
      <w:spacing w:after="240" w:line="240" w:lineRule="atLeast"/>
      <w:ind w:left="576" w:hanging="576"/>
    </w:pPr>
    <w:rPr>
      <w:rFonts w:ascii="Garamond" w:eastAsia="Times New Roman" w:hAnsi="Garamond"/>
      <w:szCs w:val="20"/>
      <w:lang w:eastAsia="en-US"/>
    </w:rPr>
  </w:style>
  <w:style w:type="paragraph" w:customStyle="1" w:styleId="N1-1stBullet">
    <w:name w:val="N1-1st Bullet"/>
    <w:basedOn w:val="Normal"/>
    <w:pPr>
      <w:numPr>
        <w:numId w:val="16"/>
      </w:numPr>
      <w:spacing w:after="240" w:line="240" w:lineRule="atLeast"/>
    </w:pPr>
    <w:rPr>
      <w:rFonts w:ascii="Garamond" w:eastAsia="Times New Roman" w:hAnsi="Garamond"/>
      <w:szCs w:val="20"/>
      <w:lang w:eastAsia="en-US"/>
    </w:rPr>
  </w:style>
  <w:style w:type="numbering" w:customStyle="1" w:styleId="Format2Number">
    <w:name w:val="Format2_Number"/>
    <w:basedOn w:val="NoList"/>
    <w:pPr>
      <w:numPr>
        <w:numId w:val="1"/>
      </w:numPr>
    </w:pPr>
  </w:style>
  <w:style w:type="numbering" w:customStyle="1" w:styleId="OMBBlue">
    <w:name w:val="OMB_Blue"/>
    <w:basedOn w:val="NoList"/>
    <w:pPr>
      <w:numPr>
        <w:numId w:val="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7">
    <w:name w:val="LFO7"/>
    <w:basedOn w:val="NoList"/>
    <w:pPr>
      <w:numPr>
        <w:numId w:val="8"/>
      </w:numPr>
    </w:pPr>
  </w:style>
  <w:style w:type="numbering" w:customStyle="1" w:styleId="LFO8">
    <w:name w:val="LFO8"/>
    <w:basedOn w:val="NoList"/>
    <w:pPr>
      <w:numPr>
        <w:numId w:val="9"/>
      </w:numPr>
    </w:pPr>
  </w:style>
  <w:style w:type="numbering" w:customStyle="1" w:styleId="LFO9">
    <w:name w:val="LFO9"/>
    <w:basedOn w:val="NoList"/>
    <w:pPr>
      <w:numPr>
        <w:numId w:val="10"/>
      </w:numPr>
    </w:pPr>
  </w:style>
  <w:style w:type="numbering" w:customStyle="1" w:styleId="LFO11">
    <w:name w:val="LFO11"/>
    <w:basedOn w:val="NoList"/>
    <w:pPr>
      <w:numPr>
        <w:numId w:val="11"/>
      </w:numPr>
    </w:pPr>
  </w:style>
  <w:style w:type="numbering" w:customStyle="1" w:styleId="LFO13">
    <w:name w:val="LFO13"/>
    <w:basedOn w:val="NoList"/>
    <w:pPr>
      <w:numPr>
        <w:numId w:val="12"/>
      </w:numPr>
    </w:pPr>
  </w:style>
  <w:style w:type="numbering" w:customStyle="1" w:styleId="LFO21">
    <w:name w:val="LFO21"/>
    <w:basedOn w:val="NoList"/>
    <w:pPr>
      <w:numPr>
        <w:numId w:val="13"/>
      </w:numPr>
    </w:pPr>
  </w:style>
  <w:style w:type="numbering" w:customStyle="1" w:styleId="LFO25">
    <w:name w:val="LFO25"/>
    <w:basedOn w:val="NoList"/>
    <w:pPr>
      <w:numPr>
        <w:numId w:val="14"/>
      </w:numPr>
    </w:pPr>
  </w:style>
  <w:style w:type="numbering" w:customStyle="1" w:styleId="LFO26">
    <w:name w:val="LFO26"/>
    <w:basedOn w:val="NoList"/>
    <w:pPr>
      <w:numPr>
        <w:numId w:val="15"/>
      </w:numPr>
    </w:pPr>
  </w:style>
  <w:style w:type="numbering" w:customStyle="1" w:styleId="LFO29">
    <w:name w:val="LFO29"/>
    <w:basedOn w:val="NoList"/>
    <w:pPr>
      <w:numPr>
        <w:numId w:val="16"/>
      </w:numPr>
    </w:pPr>
  </w:style>
  <w:style w:type="table" w:styleId="TableGrid">
    <w:name w:val="Table Grid"/>
    <w:basedOn w:val="TableNormal"/>
    <w:uiPriority w:val="59"/>
    <w:rsid w:val="00E6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TableHeading">
    <w:name w:val="TH-Table Heading"/>
    <w:rsid w:val="00344F69"/>
    <w:pPr>
      <w:keepNext/>
      <w:autoSpaceDN/>
      <w:spacing w:line="240" w:lineRule="atLeast"/>
      <w:jc w:val="center"/>
      <w:textAlignment w:val="auto"/>
    </w:pPr>
    <w:rPr>
      <w:rFonts w:ascii="Franklin Gothic Medium" w:eastAsia="Times New Roman" w:hAnsi="Franklin Gothic Medium"/>
      <w:b/>
    </w:rPr>
  </w:style>
  <w:style w:type="paragraph" w:styleId="HTMLPreformatted">
    <w:name w:val="HTML Preformatted"/>
    <w:basedOn w:val="Normal"/>
    <w:link w:val="HTMLPreformattedChar"/>
    <w:rsid w:val="0034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344F69"/>
    <w:rPr>
      <w:rFonts w:ascii="Courier New" w:eastAsia="Courier New" w:hAnsi="Courier New" w:cs="Courier New"/>
    </w:rPr>
  </w:style>
  <w:style w:type="paragraph" w:styleId="NoSpacing">
    <w:name w:val="No Spacing"/>
    <w:uiPriority w:val="1"/>
    <w:qFormat/>
    <w:rsid w:val="002C0B6D"/>
    <w:pPr>
      <w:suppressAutoHyphens/>
    </w:pPr>
    <w:rPr>
      <w:rFonts w:ascii="Times New Roman" w:hAnsi="Times New Roman"/>
      <w:sz w:val="24"/>
      <w:szCs w:val="22"/>
      <w:lang w:eastAsia="zh-CN"/>
    </w:rPr>
  </w:style>
  <w:style w:type="character" w:styleId="SubtleEmphasis">
    <w:name w:val="Subtle Emphasis"/>
    <w:basedOn w:val="DefaultParagraphFont"/>
    <w:uiPriority w:val="19"/>
    <w:qFormat/>
    <w:rsid w:val="002C0B6D"/>
    <w:rPr>
      <w:i/>
      <w:iCs/>
      <w:color w:val="404040" w:themeColor="text1" w:themeTint="BF"/>
    </w:rPr>
  </w:style>
  <w:style w:type="character" w:styleId="Strong">
    <w:name w:val="Strong"/>
    <w:basedOn w:val="DefaultParagraphFont"/>
    <w:uiPriority w:val="22"/>
    <w:qFormat/>
    <w:rsid w:val="00E14A51"/>
    <w:rPr>
      <w:b/>
      <w:bCs/>
    </w:rPr>
  </w:style>
  <w:style w:type="character" w:customStyle="1" w:styleId="Heading8Char">
    <w:name w:val="Heading 8 Char"/>
    <w:basedOn w:val="DefaultParagraphFont"/>
    <w:link w:val="Heading8"/>
    <w:uiPriority w:val="9"/>
    <w:rsid w:val="00E14A51"/>
    <w:rPr>
      <w:rFonts w:asciiTheme="majorHAnsi" w:eastAsiaTheme="majorEastAsia" w:hAnsiTheme="majorHAnsi" w:cstheme="majorBidi"/>
      <w:color w:val="272727" w:themeColor="text1" w:themeTint="D8"/>
      <w:sz w:val="21"/>
      <w:szCs w:val="21"/>
      <w:lang w:eastAsia="zh-CN"/>
    </w:rPr>
  </w:style>
  <w:style w:type="table" w:customStyle="1" w:styleId="Abt">
    <w:name w:val="Abt"/>
    <w:basedOn w:val="TableNormal"/>
    <w:uiPriority w:val="99"/>
    <w:rsid w:val="00603D40"/>
    <w:pPr>
      <w:autoSpaceDN/>
      <w:textAlignment w:val="auto"/>
    </w:pPr>
    <w:rPr>
      <w:rFonts w:ascii="Arial Narrow" w:eastAsia="Times New Roman"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hnschrift" w:hAnsi="Bahnschrift"/>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8064A2"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C0504D" w:themeFill="accent2"/>
      </w:tcPr>
    </w:tblStylePr>
    <w:tblStylePr w:type="band1Horz">
      <w:rPr>
        <w:rFonts w:ascii="Bahnschrift" w:hAnsi="Bahnschrif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2DBDB" w:themeFill="accent2" w:themeFillTint="33"/>
      </w:tcPr>
    </w:tblStylePr>
    <w:tblStylePr w:type="band2Horz">
      <w:rPr>
        <w:rFonts w:ascii="Bahnschrift" w:hAnsi="Bahnschrif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RefNumbers">
    <w:name w:val="Ref Numbers"/>
    <w:basedOn w:val="BodyText"/>
    <w:rsid w:val="00102374"/>
    <w:pPr>
      <w:numPr>
        <w:numId w:val="45"/>
      </w:numPr>
      <w:suppressAutoHyphens w:val="0"/>
      <w:autoSpaceDN/>
      <w:spacing w:after="180"/>
      <w:textAlignment w:val="auto"/>
    </w:pPr>
    <w:rPr>
      <w:rFonts w:eastAsia="Times New Roman"/>
      <w:szCs w:val="20"/>
      <w:lang w:val="en" w:eastAsia="en-US"/>
    </w:rPr>
  </w:style>
  <w:style w:type="table" w:styleId="LightListAccent1">
    <w:name w:val="Light List Accent 1"/>
    <w:basedOn w:val="TableNormal"/>
    <w:uiPriority w:val="61"/>
    <w:rsid w:val="00673B62"/>
    <w:pPr>
      <w:autoSpaceDN/>
      <w:textAlignment w:val="auto"/>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ulletsChar">
    <w:name w:val="bullets Char"/>
    <w:aliases w:val="bu Char,bu Char Char"/>
    <w:link w:val="bullets"/>
    <w:rsid w:val="00297E1A"/>
    <w:rPr>
      <w:rFonts w:ascii="Times New Roman" w:hAnsi="Times New Roman"/>
      <w:sz w:val="24"/>
      <w:szCs w:val="22"/>
      <w:lang w:eastAsia="zh-CN"/>
    </w:rPr>
  </w:style>
  <w:style w:type="character" w:styleId="UnresolvedMention">
    <w:name w:val="Unresolved Mention"/>
    <w:basedOn w:val="DefaultParagraphFont"/>
    <w:uiPriority w:val="99"/>
    <w:semiHidden/>
    <w:unhideWhenUsed/>
    <w:rsid w:val="006767D4"/>
    <w:rPr>
      <w:color w:val="605E5C"/>
      <w:shd w:val="clear" w:color="auto" w:fill="E1DFDD"/>
    </w:rPr>
  </w:style>
  <w:style w:type="character" w:styleId="PlaceholderText">
    <w:name w:val="Placeholder Text"/>
    <w:basedOn w:val="DefaultParagraphFont"/>
    <w:uiPriority w:val="99"/>
    <w:semiHidden/>
    <w:rsid w:val="009F3426"/>
    <w:rPr>
      <w:color w:val="808080"/>
    </w:rPr>
  </w:style>
  <w:style w:type="paragraph" w:customStyle="1" w:styleId="BulletListHead">
    <w:name w:val="Bullet List Head"/>
    <w:basedOn w:val="BodyText"/>
    <w:rsid w:val="002B3686"/>
    <w:rPr>
      <w:b/>
      <w:sz w:val="24"/>
      <w:szCs w:val="24"/>
    </w:rPr>
  </w:style>
  <w:style w:type="paragraph" w:styleId="NormalWeb">
    <w:name w:val="Normal (Web)"/>
    <w:basedOn w:val="Normal"/>
    <w:uiPriority w:val="99"/>
    <w:semiHidden/>
    <w:unhideWhenUsed/>
    <w:rsid w:val="002622F7"/>
    <w:rPr>
      <w:szCs w:val="24"/>
    </w:rPr>
  </w:style>
  <w:style w:type="character" w:styleId="Mention">
    <w:name w:val="Mention"/>
    <w:basedOn w:val="DefaultParagraphFont"/>
    <w:uiPriority w:val="99"/>
    <w:unhideWhenUsed/>
    <w:rsid w:val="009A1D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image" Target="media/image1.png" /><Relationship Id="rId12" Type="http://schemas.openxmlformats.org/officeDocument/2006/relationships/hyperlink" Target="https://www.bls.gov/oes/current/naics4_999200.htm" TargetMode="External" /><Relationship Id="rId13" Type="http://schemas.openxmlformats.org/officeDocument/2006/relationships/hyperlink" Target="https://www.bls.gov/oes/current/naics4_999300.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 TargetMode="External" /><Relationship Id="rId2" Type="http://schemas.openxmlformats.org/officeDocument/2006/relationships/hyperlink" Target="http://dx.doi.org/10.15585/mmwr.mm7235a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91F27ECC7E2C45B7B502B3F2E587C3" ma:contentTypeVersion="8" ma:contentTypeDescription="Create a new document." ma:contentTypeScope="" ma:versionID="09c9c32d9cb44ca010cafa427cda384f">
  <xsd:schema xmlns:xsd="http://www.w3.org/2001/XMLSchema" xmlns:xs="http://www.w3.org/2001/XMLSchema" xmlns:p="http://schemas.microsoft.com/office/2006/metadata/properties" xmlns:ns2="5a93a5af-baf9-4efa-887f-a20166b5a046" targetNamespace="http://schemas.microsoft.com/office/2006/metadata/properties" ma:root="true" ma:fieldsID="22c32ab14e700565bb8f88afcd3dd067" ns2:_="">
    <xsd:import namespace="5a93a5af-baf9-4efa-887f-a20166b5a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a5af-baf9-4efa-887f-a20166b5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5AC81-0258-4098-AB61-A579B692A795}">
  <ds:schemaRef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9b43229e-0f8a-41b0-bc93-c3433dbc447d"/>
    <ds:schemaRef ds:uri="c59d913b-204b-4b77-ab88-3b833614874a"/>
    <ds:schemaRef ds:uri="http://schemas.microsoft.com/office/2006/metadata/properties"/>
  </ds:schemaRefs>
</ds:datastoreItem>
</file>

<file path=customXml/itemProps2.xml><?xml version="1.0" encoding="utf-8"?>
<ds:datastoreItem xmlns:ds="http://schemas.openxmlformats.org/officeDocument/2006/customXml" ds:itemID="{A18F9FDC-A5E6-4E28-8663-1687CED5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a5af-baf9-4efa-887f-a20166b5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B8B4E-9B70-4F2E-B5C0-24408B89610B}">
  <ds:schemaRefs>
    <ds:schemaRef ds:uri="http://schemas.openxmlformats.org/officeDocument/2006/bibliography"/>
  </ds:schemaRefs>
</ds:datastoreItem>
</file>

<file path=customXml/itemProps4.xml><?xml version="1.0" encoding="utf-8"?>
<ds:datastoreItem xmlns:ds="http://schemas.openxmlformats.org/officeDocument/2006/customXml" ds:itemID="{267BDCE2-9AED-4E23-A144-18CF03084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8190</Words>
  <Characters>46685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Graham, Carlos (SAMHSA/CBHSQ)</cp:lastModifiedBy>
  <cp:revision>3</cp:revision>
  <cp:lastPrinted>2020-01-17T00:05:00Z</cp:lastPrinted>
  <dcterms:created xsi:type="dcterms:W3CDTF">2025-08-22T12:47:00Z</dcterms:created>
  <dcterms:modified xsi:type="dcterms:W3CDTF">2026-02-12T16:48:00Z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0x010100A891F27ECC7E2C45B7B502B3F2E587C3</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