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34E3" w:rsidRPr="003D54E5" w:rsidP="003D54E5" w14:paraId="6AD59F37" w14:textId="793828E1">
      <w:pPr>
        <w:pStyle w:val="Title"/>
      </w:pPr>
      <w:r w:rsidRPr="003D54E5">
        <w:t>Emergency Preparedness Requirements for Medicare and Medicaid Participating Providers and Suppliers (OMB No. 0938-1325</w:t>
      </w:r>
      <w:r w:rsidRPr="003D54E5" w:rsidR="000D0519">
        <w:t>/CMS-10578</w:t>
      </w:r>
      <w:r w:rsidRPr="003D54E5">
        <w:t>)</w:t>
      </w:r>
    </w:p>
    <w:p w:rsidR="00870D59" w:rsidRPr="003D54E5" w:rsidP="003D54E5" w14:paraId="4ABC0F77" w14:textId="161B5794">
      <w:pPr>
        <w:pStyle w:val="Heading1"/>
      </w:pPr>
      <w:r w:rsidRPr="003D54E5">
        <w:t>Supporting Statement – Part A</w:t>
      </w:r>
    </w:p>
    <w:p w:rsidR="00732A65" w:rsidRPr="004E4C33" w:rsidP="004E4C33" w14:paraId="2380D04C" w14:textId="48028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4A7605" w:rsidRPr="003D54E5" w:rsidP="003D54E5" w14:paraId="7687B53D" w14:textId="3AF716C5">
      <w:pPr>
        <w:pStyle w:val="Heading2"/>
      </w:pPr>
      <w:r w:rsidRPr="003D54E5">
        <w:t>BACKGROUND</w:t>
      </w:r>
    </w:p>
    <w:p w:rsidR="006019FE" w:rsidRPr="007D59DD" w:rsidP="00D3285D" w14:paraId="608F3B44" w14:textId="77777777">
      <w:pPr>
        <w:pStyle w:val="Heading3"/>
        <w:rPr>
          <w:b/>
          <w:bCs/>
        </w:rPr>
      </w:pPr>
      <w:r w:rsidRPr="007D59DD">
        <w:rPr>
          <w:b/>
          <w:bCs/>
        </w:rPr>
        <w:t>I</w:t>
      </w:r>
      <w:r w:rsidRPr="007D59DD" w:rsidR="004A7605">
        <w:rPr>
          <w:b/>
          <w:bCs/>
        </w:rPr>
        <w:t>ntroduction</w:t>
      </w:r>
    </w:p>
    <w:p w:rsidR="00890AE0" w:rsidP="00E87ED7" w14:paraId="5313A835" w14:textId="0CCDEBBC">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46"/>
      </w:pPr>
      <w:r w:rsidRPr="00607404">
        <w:rPr>
          <w:color w:val="000000"/>
        </w:rPr>
        <w:t xml:space="preserve">This is a </w:t>
      </w:r>
      <w:r w:rsidRPr="00D83052">
        <w:rPr>
          <w:color w:val="000000"/>
        </w:rPr>
        <w:t>reinstatement of the information collection request</w:t>
      </w:r>
      <w:r w:rsidR="00777E31">
        <w:rPr>
          <w:b/>
          <w:bCs/>
          <w:color w:val="000000"/>
        </w:rPr>
        <w:t xml:space="preserve"> </w:t>
      </w:r>
      <w:r w:rsidRPr="00D3285D" w:rsidR="00777E31">
        <w:rPr>
          <w:color w:val="000000"/>
        </w:rPr>
        <w:t>(</w:t>
      </w:r>
      <w:r w:rsidRPr="00D3285D" w:rsidR="006019FE">
        <w:rPr>
          <w:color w:val="000000"/>
        </w:rPr>
        <w:t>“</w:t>
      </w:r>
      <w:r w:rsidRPr="00D3285D" w:rsidR="00777E31">
        <w:rPr>
          <w:color w:val="000000"/>
        </w:rPr>
        <w:t>IC</w:t>
      </w:r>
      <w:r w:rsidRPr="00D3285D" w:rsidR="006019FE">
        <w:rPr>
          <w:color w:val="000000"/>
        </w:rPr>
        <w:t>R”</w:t>
      </w:r>
      <w:r w:rsidRPr="00D3285D" w:rsidR="00777E31">
        <w:rPr>
          <w:color w:val="000000"/>
        </w:rPr>
        <w:t>)</w:t>
      </w:r>
      <w:r w:rsidRPr="00F67AA4">
        <w:rPr>
          <w:b/>
          <w:bCs/>
          <w:color w:val="000000"/>
        </w:rPr>
        <w:t xml:space="preserve"> </w:t>
      </w:r>
      <w:r>
        <w:rPr>
          <w:color w:val="000000"/>
        </w:rPr>
        <w:t>that</w:t>
      </w:r>
      <w:r w:rsidRPr="00607404">
        <w:rPr>
          <w:color w:val="000000"/>
        </w:rPr>
        <w:t xml:space="preserve"> expired on </w:t>
      </w:r>
      <w:r>
        <w:rPr>
          <w:color w:val="000000"/>
        </w:rPr>
        <w:t>January 31, 2023</w:t>
      </w:r>
      <w:r w:rsidRPr="00607404">
        <w:rPr>
          <w:color w:val="000000"/>
        </w:rPr>
        <w:t>. The previous iteration of this OMB No. 0938-</w:t>
      </w:r>
      <w:r>
        <w:rPr>
          <w:color w:val="000000"/>
        </w:rPr>
        <w:t>1325</w:t>
      </w:r>
      <w:r w:rsidRPr="00607404">
        <w:rPr>
          <w:color w:val="000000"/>
        </w:rPr>
        <w:t xml:space="preserve"> (</w:t>
      </w:r>
      <w:r>
        <w:rPr>
          <w:color w:val="000000"/>
        </w:rPr>
        <w:t xml:space="preserve">ICR Reference No. </w:t>
      </w:r>
      <w:r w:rsidRPr="00AD0E39">
        <w:rPr>
          <w:color w:val="000000"/>
        </w:rPr>
        <w:t>202001-0938-006</w:t>
      </w:r>
      <w:r>
        <w:rPr>
          <w:color w:val="000000"/>
        </w:rPr>
        <w:t xml:space="preserve">, </w:t>
      </w:r>
      <w:r w:rsidRPr="00607404">
        <w:rPr>
          <w:color w:val="000000"/>
        </w:rPr>
        <w:t xml:space="preserve">approved </w:t>
      </w:r>
      <w:r>
        <w:rPr>
          <w:color w:val="000000"/>
        </w:rPr>
        <w:t>January 27, 2020)</w:t>
      </w:r>
      <w:r w:rsidRPr="00607404">
        <w:rPr>
          <w:color w:val="000000"/>
        </w:rPr>
        <w:t xml:space="preserve"> had a burden of </w:t>
      </w:r>
      <w:r>
        <w:rPr>
          <w:color w:val="000000"/>
        </w:rPr>
        <w:t>1,260,474</w:t>
      </w:r>
      <w:r w:rsidRPr="00607404">
        <w:rPr>
          <w:color w:val="000000"/>
        </w:rPr>
        <w:t xml:space="preserve"> annual hours</w:t>
      </w:r>
      <w:r>
        <w:rPr>
          <w:color w:val="000000"/>
        </w:rPr>
        <w:t>.</w:t>
      </w:r>
      <w:r w:rsidRPr="00607404">
        <w:rPr>
          <w:color w:val="000000"/>
        </w:rPr>
        <w:t xml:space="preserve"> </w:t>
      </w:r>
      <w:r w:rsidRPr="00263536">
        <w:rPr>
          <w:color w:val="000000"/>
        </w:rPr>
        <w:t xml:space="preserve">For this requested reinstatement, with changes, the </w:t>
      </w:r>
      <w:r>
        <w:rPr>
          <w:color w:val="000000"/>
        </w:rPr>
        <w:t>total</w:t>
      </w:r>
      <w:r w:rsidRPr="00263536">
        <w:rPr>
          <w:color w:val="000000"/>
        </w:rPr>
        <w:t xml:space="preserve"> annual burden </w:t>
      </w:r>
      <w:r>
        <w:rPr>
          <w:color w:val="000000"/>
        </w:rPr>
        <w:t xml:space="preserve">hours </w:t>
      </w:r>
      <w:r w:rsidRPr="00263536">
        <w:rPr>
          <w:color w:val="000000"/>
        </w:rPr>
        <w:t xml:space="preserve">for industry is </w:t>
      </w:r>
      <w:r w:rsidRPr="00890AE0" w:rsidR="00E46573">
        <w:rPr>
          <w:color w:val="000000"/>
        </w:rPr>
        <w:t>1,2</w:t>
      </w:r>
      <w:r w:rsidR="00D57426">
        <w:rPr>
          <w:color w:val="000000"/>
        </w:rPr>
        <w:t>51,</w:t>
      </w:r>
      <w:r w:rsidR="00E87ED7">
        <w:rPr>
          <w:color w:val="000000"/>
        </w:rPr>
        <w:t>158</w:t>
      </w:r>
      <w:r w:rsidRPr="00E46573">
        <w:rPr>
          <w:b/>
          <w:bCs/>
          <w:color w:val="000000"/>
          <w:szCs w:val="24"/>
        </w:rPr>
        <w:t xml:space="preserve"> </w:t>
      </w:r>
      <w:r w:rsidRPr="00263536">
        <w:rPr>
          <w:color w:val="000000"/>
        </w:rPr>
        <w:t xml:space="preserve">hours </w:t>
      </w:r>
      <w:r>
        <w:rPr>
          <w:color w:val="000000"/>
        </w:rPr>
        <w:t xml:space="preserve">and the </w:t>
      </w:r>
      <w:r w:rsidRPr="00263536">
        <w:rPr>
          <w:color w:val="000000"/>
        </w:rPr>
        <w:t xml:space="preserve">annual </w:t>
      </w:r>
      <w:r>
        <w:rPr>
          <w:color w:val="000000"/>
        </w:rPr>
        <w:t xml:space="preserve">burden </w:t>
      </w:r>
      <w:r w:rsidRPr="00263536">
        <w:rPr>
          <w:color w:val="000000"/>
        </w:rPr>
        <w:t>cost</w:t>
      </w:r>
      <w:r>
        <w:rPr>
          <w:color w:val="000000"/>
        </w:rPr>
        <w:t>s</w:t>
      </w:r>
      <w:r w:rsidRPr="00263536">
        <w:rPr>
          <w:color w:val="000000"/>
        </w:rPr>
        <w:t xml:space="preserve"> </w:t>
      </w:r>
      <w:r w:rsidRPr="00890AE0">
        <w:rPr>
          <w:color w:val="000000"/>
        </w:rPr>
        <w:t>are $</w:t>
      </w:r>
      <w:r w:rsidRPr="00890AE0" w:rsidR="00AB6699">
        <w:rPr>
          <w:color w:val="000000"/>
        </w:rPr>
        <w:t>4</w:t>
      </w:r>
      <w:r w:rsidR="00D57426">
        <w:rPr>
          <w:color w:val="000000"/>
        </w:rPr>
        <w:t>01</w:t>
      </w:r>
      <w:r w:rsidRPr="00890AE0" w:rsidR="00E46573">
        <w:rPr>
          <w:color w:val="000000"/>
        </w:rPr>
        <w:t>,</w:t>
      </w:r>
      <w:r w:rsidR="00E87ED7">
        <w:rPr>
          <w:color w:val="000000"/>
        </w:rPr>
        <w:t>106</w:t>
      </w:r>
      <w:r w:rsidR="00D57426">
        <w:rPr>
          <w:color w:val="000000"/>
        </w:rPr>
        <w:t>,</w:t>
      </w:r>
      <w:r w:rsidR="00E87ED7">
        <w:rPr>
          <w:color w:val="000000"/>
        </w:rPr>
        <w:t>506</w:t>
      </w:r>
      <w:r w:rsidRPr="00890AE0" w:rsidR="00E46573">
        <w:rPr>
          <w:color w:val="000000"/>
        </w:rPr>
        <w:t>.</w:t>
      </w:r>
      <w:r w:rsidR="00CA1EF5">
        <w:rPr>
          <w:color w:val="000000"/>
        </w:rPr>
        <w:t xml:space="preserve"> </w:t>
      </w:r>
      <w:r w:rsidRPr="00F652ED">
        <w:rPr>
          <w:bCs/>
        </w:rPr>
        <w:t xml:space="preserve">The reasons for the </w:t>
      </w:r>
      <w:r>
        <w:rPr>
          <w:bCs/>
        </w:rPr>
        <w:t xml:space="preserve">decrease is </w:t>
      </w:r>
      <w:r w:rsidRPr="00F652ED">
        <w:rPr>
          <w:bCs/>
        </w:rPr>
        <w:t>discussed</w:t>
      </w:r>
      <w:r>
        <w:t xml:space="preserve"> in section 15, Changes to Burden.</w:t>
      </w:r>
    </w:p>
    <w:p w:rsidR="00E87ED7" w:rsidP="00890AE0" w14:paraId="474037A4"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890AE0" w:rsidRPr="000A6644" w:rsidP="00354B39" w14:paraId="21EA61C7" w14:textId="3459F19D">
      <w:pPr>
        <w:widowControl/>
        <w:tabs>
          <w:tab w:val="left" w:pos="-2160"/>
          <w:tab w:val="left" w:pos="-1440"/>
          <w:tab w:val="left" w:pos="-720"/>
        </w:tabs>
        <w:ind w:left="450"/>
        <w:rPr>
          <w:b/>
          <w:bCs/>
          <w:sz w:val="24"/>
        </w:rPr>
      </w:pPr>
      <w:r>
        <w:rPr>
          <w:sz w:val="24"/>
        </w:rPr>
        <w:t>Emergency Preparedness information collections were established as a result of omnibus final rule</w:t>
      </w:r>
      <w:r w:rsidR="00B3529D">
        <w:rPr>
          <w:sz w:val="24"/>
        </w:rPr>
        <w:t xml:space="preserve"> </w:t>
      </w:r>
      <w:r w:rsidRPr="000C5361">
        <w:rPr>
          <w:sz w:val="24"/>
        </w:rPr>
        <w:t>“</w:t>
      </w:r>
      <w:hyperlink r:id="rId10" w:history="1">
        <w:r w:rsidRPr="000A6644">
          <w:rPr>
            <w:rStyle w:val="Hyperlink"/>
            <w:sz w:val="24"/>
          </w:rPr>
          <w:t>Medicare and Medicaid Programs; Emergency Preparedness Requirements for Medicare and Medicaid Participating Providers and Suppliers</w:t>
        </w:r>
      </w:hyperlink>
      <w:r>
        <w:rPr>
          <w:sz w:val="24"/>
        </w:rPr>
        <w:t>,</w:t>
      </w:r>
      <w:r w:rsidRPr="000C5361">
        <w:rPr>
          <w:sz w:val="24"/>
        </w:rPr>
        <w:t>”</w:t>
      </w:r>
      <w:r>
        <w:rPr>
          <w:sz w:val="24"/>
        </w:rPr>
        <w:t xml:space="preserve"> </w:t>
      </w:r>
      <w:r w:rsidRPr="000A6644">
        <w:rPr>
          <w:sz w:val="24"/>
        </w:rPr>
        <w:t>81 FR 63860</w:t>
      </w:r>
      <w:r w:rsidR="00B3529D">
        <w:rPr>
          <w:sz w:val="24"/>
        </w:rPr>
        <w:t xml:space="preserve"> (September 16, 2016</w:t>
      </w:r>
      <w:r>
        <w:rPr>
          <w:sz w:val="24"/>
        </w:rPr>
        <w:t>)</w:t>
      </w:r>
      <w:r w:rsidR="00B3529D">
        <w:rPr>
          <w:sz w:val="24"/>
        </w:rPr>
        <w:t>(hereinafter “</w:t>
      </w:r>
      <w:hyperlink r:id="rId10" w:history="1">
        <w:r w:rsidRPr="00B3529D" w:rsidR="00B3529D">
          <w:rPr>
            <w:rStyle w:val="Hyperlink"/>
            <w:sz w:val="24"/>
          </w:rPr>
          <w:t>2016 Final Rule</w:t>
        </w:r>
      </w:hyperlink>
      <w:r w:rsidR="00B3529D">
        <w:rPr>
          <w:sz w:val="24"/>
        </w:rPr>
        <w:t>”)</w:t>
      </w:r>
      <w:r>
        <w:rPr>
          <w:sz w:val="24"/>
        </w:rPr>
        <w:t>.</w:t>
      </w:r>
      <w:r>
        <w:rPr>
          <w:b/>
          <w:bCs/>
          <w:sz w:val="24"/>
        </w:rPr>
        <w:t xml:space="preserve"> </w:t>
      </w:r>
      <w:r>
        <w:rPr>
          <w:sz w:val="24"/>
        </w:rPr>
        <w:t>This information collection request captures the burden necessary for existing providers and suppliers to maintain their emergency preparedness collection of information requirements. This request also captures the burden to develop and implement the emergency preparedness requirements for newly approved Medicare and Medicaid providers and suppliers</w:t>
      </w:r>
      <w:r w:rsidR="00325E87">
        <w:rPr>
          <w:sz w:val="24"/>
        </w:rPr>
        <w:t>, also referred to as facilities</w:t>
      </w:r>
      <w:r>
        <w:rPr>
          <w:sz w:val="24"/>
        </w:rPr>
        <w:t xml:space="preserve">. </w:t>
      </w:r>
    </w:p>
    <w:p w:rsidR="00890AE0" w:rsidP="00890AE0" w14:paraId="37B5D8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rsidR="00325E87" w:rsidP="005A7996" w14:paraId="335EAB02" w14:textId="7D273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r w:rsidRPr="005A7996">
        <w:rPr>
          <w:bCs/>
          <w:sz w:val="24"/>
        </w:rPr>
        <w:t xml:space="preserve">This information collection </w:t>
      </w:r>
      <w:r w:rsidR="006019FE">
        <w:rPr>
          <w:bCs/>
          <w:sz w:val="24"/>
        </w:rPr>
        <w:t xml:space="preserve">(“IC”) </w:t>
      </w:r>
      <w:r w:rsidRPr="005A7996">
        <w:rPr>
          <w:bCs/>
          <w:sz w:val="24"/>
        </w:rPr>
        <w:t xml:space="preserve">is an “Omnibus” request. The emergency preparedness </w:t>
      </w:r>
    </w:p>
    <w:p w:rsidR="005A7996" w:rsidRPr="005A7996" w:rsidP="005A7996" w14:paraId="237884DA" w14:textId="74432B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r>
        <w:rPr>
          <w:bCs/>
          <w:sz w:val="24"/>
        </w:rPr>
        <w:t>Conditions of Participation (CoPs)</w:t>
      </w:r>
      <w:r w:rsidRPr="005A7996">
        <w:rPr>
          <w:bCs/>
          <w:sz w:val="24"/>
        </w:rPr>
        <w:t xml:space="preserve"> apply to</w:t>
      </w:r>
      <w:r>
        <w:rPr>
          <w:bCs/>
          <w:sz w:val="24"/>
        </w:rPr>
        <w:t xml:space="preserve"> the</w:t>
      </w:r>
      <w:r w:rsidRPr="005A7996">
        <w:rPr>
          <w:bCs/>
          <w:sz w:val="24"/>
        </w:rPr>
        <w:t xml:space="preserve"> 19 Medicare and Medicaid providers that are listed in the next section. However, for reasons discussed </w:t>
      </w:r>
      <w:r w:rsidR="006019FE">
        <w:rPr>
          <w:bCs/>
          <w:sz w:val="24"/>
        </w:rPr>
        <w:t>in the Background section below,</w:t>
      </w:r>
      <w:r w:rsidRPr="005A7996">
        <w:rPr>
          <w:bCs/>
          <w:sz w:val="24"/>
        </w:rPr>
        <w:t xml:space="preserve"> </w:t>
      </w:r>
      <w:r>
        <w:rPr>
          <w:bCs/>
          <w:sz w:val="24"/>
        </w:rPr>
        <w:t xml:space="preserve">this </w:t>
      </w:r>
      <w:r w:rsidRPr="005A7996">
        <w:rPr>
          <w:bCs/>
          <w:sz w:val="24"/>
        </w:rPr>
        <w:t xml:space="preserve">information collection </w:t>
      </w:r>
      <w:r>
        <w:rPr>
          <w:bCs/>
          <w:sz w:val="24"/>
        </w:rPr>
        <w:t>request captures the burden for</w:t>
      </w:r>
      <w:r w:rsidRPr="005A7996">
        <w:rPr>
          <w:bCs/>
          <w:sz w:val="24"/>
        </w:rPr>
        <w:t xml:space="preserve"> </w:t>
      </w:r>
      <w:r>
        <w:rPr>
          <w:bCs/>
          <w:sz w:val="24"/>
        </w:rPr>
        <w:t xml:space="preserve">17 </w:t>
      </w:r>
      <w:r w:rsidRPr="005A7996">
        <w:rPr>
          <w:bCs/>
          <w:sz w:val="24"/>
        </w:rPr>
        <w:t>of the affected Medicare and Medicaid providers and suppliers.</w:t>
      </w:r>
    </w:p>
    <w:p w:rsidR="00890AE0" w:rsidP="00890AE0" w14:paraId="36A1B2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rsidR="00890AE0" w:rsidP="00890AE0" w14:paraId="744E6CA7" w14:textId="1B8BC1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r>
        <w:rPr>
          <w:bCs/>
          <w:sz w:val="24"/>
        </w:rPr>
        <w:t xml:space="preserve">This is a departure, as we normally submit information collection requests </w:t>
      </w:r>
      <w:r w:rsidR="006019FE">
        <w:rPr>
          <w:bCs/>
          <w:sz w:val="24"/>
        </w:rPr>
        <w:t xml:space="preserve">(“ICRs”) </w:t>
      </w:r>
      <w:r>
        <w:rPr>
          <w:bCs/>
          <w:sz w:val="24"/>
        </w:rPr>
        <w:t xml:space="preserve">by provider and supplier type. </w:t>
      </w:r>
      <w:r w:rsidRPr="00E35E4D">
        <w:rPr>
          <w:bCs/>
          <w:sz w:val="24"/>
        </w:rPr>
        <w:t>For example, the collection of information</w:t>
      </w:r>
      <w:r>
        <w:rPr>
          <w:bCs/>
          <w:sz w:val="24"/>
        </w:rPr>
        <w:t>(s) stemming from the Conditions of Participation for the “</w:t>
      </w:r>
      <w:r w:rsidRPr="00E35E4D">
        <w:rPr>
          <w:bCs/>
          <w:sz w:val="24"/>
        </w:rPr>
        <w:t>Hospital</w:t>
      </w:r>
      <w:r>
        <w:rPr>
          <w:bCs/>
          <w:sz w:val="24"/>
        </w:rPr>
        <w:t>”</w:t>
      </w:r>
      <w:r w:rsidRPr="00E35E4D">
        <w:rPr>
          <w:bCs/>
          <w:sz w:val="24"/>
        </w:rPr>
        <w:t xml:space="preserve"> provider type </w:t>
      </w:r>
      <w:r>
        <w:rPr>
          <w:bCs/>
          <w:sz w:val="24"/>
        </w:rPr>
        <w:t>are</w:t>
      </w:r>
      <w:r w:rsidRPr="00E35E4D">
        <w:rPr>
          <w:bCs/>
          <w:sz w:val="24"/>
        </w:rPr>
        <w:t xml:space="preserve"> under </w:t>
      </w:r>
      <w:r w:rsidR="006019FE">
        <w:rPr>
          <w:bCs/>
          <w:sz w:val="24"/>
        </w:rPr>
        <w:t xml:space="preserve">OMB </w:t>
      </w:r>
      <w:r>
        <w:rPr>
          <w:bCs/>
          <w:sz w:val="24"/>
        </w:rPr>
        <w:t xml:space="preserve">No. </w:t>
      </w:r>
      <w:r w:rsidRPr="00E35E4D">
        <w:rPr>
          <w:bCs/>
          <w:sz w:val="24"/>
        </w:rPr>
        <w:t>0938-</w:t>
      </w:r>
      <w:r w:rsidR="006019FE">
        <w:rPr>
          <w:bCs/>
          <w:sz w:val="24"/>
        </w:rPr>
        <w:t>0328</w:t>
      </w:r>
      <w:r>
        <w:rPr>
          <w:bCs/>
          <w:sz w:val="24"/>
        </w:rPr>
        <w:t xml:space="preserve"> (</w:t>
      </w:r>
      <w:r w:rsidRPr="00E35E4D">
        <w:rPr>
          <w:bCs/>
          <w:sz w:val="24"/>
        </w:rPr>
        <w:t>CMS-</w:t>
      </w:r>
      <w:r w:rsidR="006019FE">
        <w:rPr>
          <w:bCs/>
          <w:sz w:val="24"/>
        </w:rPr>
        <w:t>R-48</w:t>
      </w:r>
      <w:r>
        <w:rPr>
          <w:bCs/>
          <w:sz w:val="24"/>
        </w:rPr>
        <w:t>). T</w:t>
      </w:r>
      <w:r w:rsidRPr="00E35E4D">
        <w:rPr>
          <w:bCs/>
          <w:sz w:val="24"/>
        </w:rPr>
        <w:t>he collection of information</w:t>
      </w:r>
      <w:r>
        <w:rPr>
          <w:bCs/>
          <w:sz w:val="24"/>
        </w:rPr>
        <w:t>(</w:t>
      </w:r>
      <w:r w:rsidRPr="00E35E4D">
        <w:rPr>
          <w:bCs/>
          <w:sz w:val="24"/>
        </w:rPr>
        <w:t>s</w:t>
      </w:r>
      <w:r>
        <w:rPr>
          <w:bCs/>
          <w:sz w:val="24"/>
        </w:rPr>
        <w:t>)</w:t>
      </w:r>
      <w:r w:rsidRPr="00E35E4D">
        <w:rPr>
          <w:bCs/>
          <w:sz w:val="24"/>
        </w:rPr>
        <w:t xml:space="preserve"> </w:t>
      </w:r>
      <w:r>
        <w:rPr>
          <w:bCs/>
          <w:sz w:val="24"/>
        </w:rPr>
        <w:t>stemming from the Conditions of Participations for</w:t>
      </w:r>
      <w:r w:rsidRPr="00E35E4D">
        <w:rPr>
          <w:bCs/>
          <w:sz w:val="24"/>
        </w:rPr>
        <w:t xml:space="preserve"> </w:t>
      </w:r>
      <w:r>
        <w:rPr>
          <w:bCs/>
          <w:sz w:val="24"/>
        </w:rPr>
        <w:t>the “Hospice”</w:t>
      </w:r>
      <w:r w:rsidRPr="00E35E4D">
        <w:rPr>
          <w:bCs/>
          <w:sz w:val="24"/>
        </w:rPr>
        <w:t xml:space="preserve"> provider type </w:t>
      </w:r>
      <w:r>
        <w:rPr>
          <w:bCs/>
          <w:sz w:val="24"/>
        </w:rPr>
        <w:t>are</w:t>
      </w:r>
      <w:r w:rsidRPr="00E35E4D">
        <w:rPr>
          <w:bCs/>
          <w:sz w:val="24"/>
        </w:rPr>
        <w:t xml:space="preserve"> under </w:t>
      </w:r>
      <w:r w:rsidR="006019FE">
        <w:rPr>
          <w:bCs/>
          <w:sz w:val="24"/>
        </w:rPr>
        <w:t>OMB</w:t>
      </w:r>
      <w:r w:rsidRPr="00E35E4D">
        <w:rPr>
          <w:bCs/>
          <w:sz w:val="24"/>
        </w:rPr>
        <w:t xml:space="preserve"> </w:t>
      </w:r>
      <w:r>
        <w:rPr>
          <w:bCs/>
          <w:sz w:val="24"/>
        </w:rPr>
        <w:t xml:space="preserve">No. </w:t>
      </w:r>
      <w:r w:rsidRPr="00E35E4D">
        <w:rPr>
          <w:bCs/>
          <w:sz w:val="24"/>
        </w:rPr>
        <w:t>0938-</w:t>
      </w:r>
      <w:r>
        <w:rPr>
          <w:bCs/>
          <w:sz w:val="24"/>
        </w:rPr>
        <w:t>1067 (</w:t>
      </w:r>
      <w:r w:rsidRPr="00E35E4D">
        <w:rPr>
          <w:bCs/>
          <w:sz w:val="24"/>
        </w:rPr>
        <w:t>CMS-</w:t>
      </w:r>
      <w:r>
        <w:rPr>
          <w:bCs/>
          <w:sz w:val="24"/>
        </w:rPr>
        <w:t xml:space="preserve">10277), etc. </w:t>
      </w:r>
      <w:r w:rsidRPr="00BE57A6">
        <w:rPr>
          <w:bCs/>
          <w:sz w:val="24"/>
        </w:rPr>
        <w:t xml:space="preserve">We make this exception for continuity and simplicity. We continue to cross reference this emergency preparedness </w:t>
      </w:r>
      <w:r w:rsidR="000938A3">
        <w:rPr>
          <w:bCs/>
          <w:sz w:val="24"/>
        </w:rPr>
        <w:t>IC</w:t>
      </w:r>
      <w:r w:rsidRPr="00BE57A6">
        <w:rPr>
          <w:bCs/>
          <w:sz w:val="24"/>
        </w:rPr>
        <w:t xml:space="preserve"> in each provider type’s</w:t>
      </w:r>
      <w:r>
        <w:rPr>
          <w:bCs/>
          <w:sz w:val="24"/>
        </w:rPr>
        <w:t xml:space="preserve"> individual</w:t>
      </w:r>
      <w:r w:rsidRPr="00BE57A6">
        <w:rPr>
          <w:bCs/>
          <w:sz w:val="24"/>
        </w:rPr>
        <w:t xml:space="preserve"> information collection request.</w:t>
      </w:r>
    </w:p>
    <w:p w:rsidR="004E4C33" w:rsidP="004A7605" w14:paraId="2A3966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p w:rsidR="008F1EB4" w:rsidRPr="007D59DD" w:rsidP="00D3285D" w14:paraId="4819AC39" w14:textId="3F6F41BB">
      <w:pPr>
        <w:pStyle w:val="Heading3"/>
        <w:rPr>
          <w:b/>
          <w:bCs/>
        </w:rPr>
      </w:pPr>
      <w:r w:rsidRPr="007D59DD">
        <w:rPr>
          <w:b/>
          <w:bCs/>
        </w:rPr>
        <w:t>Background</w:t>
      </w:r>
    </w:p>
    <w:p w:rsidR="008C01FA" w:rsidP="006019FE" w14:paraId="010BC1BF" w14:textId="0EE735E6">
      <w:pPr>
        <w:widowControl/>
        <w:tabs>
          <w:tab w:val="left" w:pos="-2160"/>
          <w:tab w:val="left" w:pos="-1440"/>
          <w:tab w:val="left" w:pos="-720"/>
        </w:tabs>
        <w:ind w:left="360"/>
        <w:rPr>
          <w:sz w:val="24"/>
        </w:rPr>
      </w:pPr>
      <w:r w:rsidRPr="003F49FB">
        <w:rPr>
          <w:sz w:val="24"/>
        </w:rPr>
        <w:t xml:space="preserve">In response to past terrorist attacks, natural disasters, and the subsequent national need to refine the nation’s strategy to handle emergency situations, there continues to be a coordinated effort across Federal agencies to establish a foundation for development and expansion of emergency preparedness systems. </w:t>
      </w:r>
    </w:p>
    <w:p w:rsidR="00BE5237" w:rsidP="008C01FA" w14:paraId="469B45B8" w14:textId="33DA0680">
      <w:pPr>
        <w:widowControl/>
        <w:tabs>
          <w:tab w:val="left" w:pos="-2160"/>
          <w:tab w:val="left" w:pos="-1440"/>
          <w:tab w:val="left" w:pos="-720"/>
        </w:tabs>
        <w:ind w:left="450"/>
        <w:rPr>
          <w:sz w:val="24"/>
        </w:rPr>
      </w:pPr>
    </w:p>
    <w:p w:rsidR="00BE5237" w:rsidP="006019FE" w14:paraId="62A5F4E9" w14:textId="48D1AFDB">
      <w:pPr>
        <w:widowControl/>
        <w:tabs>
          <w:tab w:val="left" w:pos="-2160"/>
          <w:tab w:val="left" w:pos="-1440"/>
          <w:tab w:val="left" w:pos="-720"/>
        </w:tabs>
        <w:ind w:left="360"/>
        <w:rPr>
          <w:sz w:val="24"/>
        </w:rPr>
      </w:pPr>
      <w:r>
        <w:rPr>
          <w:sz w:val="24"/>
        </w:rPr>
        <w:t>The</w:t>
      </w:r>
      <w:r w:rsidR="002073FA">
        <w:rPr>
          <w:sz w:val="24"/>
        </w:rPr>
        <w:t xml:space="preserve"> </w:t>
      </w:r>
      <w:r>
        <w:rPr>
          <w:sz w:val="24"/>
        </w:rPr>
        <w:t xml:space="preserve">Emergency Preparedness CoPs affect the following </w:t>
      </w:r>
      <w:r w:rsidR="003C1535">
        <w:rPr>
          <w:sz w:val="24"/>
        </w:rPr>
        <w:t>1</w:t>
      </w:r>
      <w:r>
        <w:rPr>
          <w:sz w:val="24"/>
        </w:rPr>
        <w:t>9</w:t>
      </w:r>
      <w:r w:rsidR="003C1535">
        <w:rPr>
          <w:sz w:val="24"/>
        </w:rPr>
        <w:t xml:space="preserve"> </w:t>
      </w:r>
      <w:r w:rsidR="002073FA">
        <w:rPr>
          <w:sz w:val="24"/>
        </w:rPr>
        <w:t>Medicare and Medicaid providers</w:t>
      </w:r>
      <w:r>
        <w:rPr>
          <w:sz w:val="24"/>
        </w:rPr>
        <w:t>:</w:t>
      </w:r>
      <w:r w:rsidR="006D0064">
        <w:rPr>
          <w:sz w:val="24"/>
        </w:rPr>
        <w:t xml:space="preserve"> </w:t>
      </w:r>
    </w:p>
    <w:p w:rsidR="00AA5936" w:rsidP="00AA5936" w14:paraId="12CA07F2" w14:textId="75558A32">
      <w:pPr>
        <w:widowControl/>
        <w:numPr>
          <w:ilvl w:val="0"/>
          <w:numId w:val="1"/>
        </w:numPr>
        <w:tabs>
          <w:tab w:val="left" w:pos="-2160"/>
          <w:tab w:val="left" w:pos="-1440"/>
          <w:tab w:val="left" w:pos="-720"/>
        </w:tabs>
        <w:rPr>
          <w:sz w:val="24"/>
        </w:rPr>
      </w:pPr>
      <w:r w:rsidRPr="00AA5936">
        <w:rPr>
          <w:sz w:val="24"/>
        </w:rPr>
        <w:t>Religious Nonmedical Health Care Institutions (RNHCIs)</w:t>
      </w:r>
      <w:r w:rsidR="00FE0A9B">
        <w:rPr>
          <w:sz w:val="24"/>
        </w:rPr>
        <w:t xml:space="preserve"> – § 403.748</w:t>
      </w:r>
    </w:p>
    <w:p w:rsidR="00AA5936" w:rsidP="00AA5936" w14:paraId="6B9F962B" w14:textId="6EFA453F">
      <w:pPr>
        <w:widowControl/>
        <w:numPr>
          <w:ilvl w:val="0"/>
          <w:numId w:val="1"/>
        </w:numPr>
        <w:tabs>
          <w:tab w:val="left" w:pos="-2160"/>
          <w:tab w:val="left" w:pos="-1440"/>
          <w:tab w:val="left" w:pos="-720"/>
        </w:tabs>
        <w:rPr>
          <w:sz w:val="24"/>
        </w:rPr>
      </w:pPr>
      <w:r w:rsidRPr="00AA5936">
        <w:rPr>
          <w:sz w:val="24"/>
        </w:rPr>
        <w:t>Ambulatory Surgical Centers (ASCs</w:t>
      </w:r>
      <w:r>
        <w:rPr>
          <w:sz w:val="24"/>
        </w:rPr>
        <w:t>)</w:t>
      </w:r>
      <w:r w:rsidR="00FE0A9B">
        <w:rPr>
          <w:sz w:val="24"/>
        </w:rPr>
        <w:t xml:space="preserve"> – § 416.54</w:t>
      </w:r>
    </w:p>
    <w:p w:rsidR="00AA5936" w:rsidP="00AA5936" w14:paraId="6450E5DB" w14:textId="66B09646">
      <w:pPr>
        <w:widowControl/>
        <w:numPr>
          <w:ilvl w:val="0"/>
          <w:numId w:val="1"/>
        </w:numPr>
        <w:tabs>
          <w:tab w:val="left" w:pos="-2160"/>
          <w:tab w:val="left" w:pos="-1440"/>
          <w:tab w:val="left" w:pos="-720"/>
        </w:tabs>
        <w:rPr>
          <w:sz w:val="24"/>
        </w:rPr>
      </w:pPr>
      <w:r w:rsidRPr="00AA5936">
        <w:rPr>
          <w:sz w:val="24"/>
        </w:rPr>
        <w:t>Hospices</w:t>
      </w:r>
      <w:r w:rsidR="00FE0A9B">
        <w:rPr>
          <w:sz w:val="24"/>
        </w:rPr>
        <w:t xml:space="preserve"> – § 418.113</w:t>
      </w:r>
    </w:p>
    <w:p w:rsidR="00AA5936" w:rsidRPr="00BD34E3" w:rsidP="00BD34E3" w14:paraId="0E8EF4AD" w14:textId="59E4BB70">
      <w:pPr>
        <w:widowControl/>
        <w:numPr>
          <w:ilvl w:val="0"/>
          <w:numId w:val="1"/>
        </w:numPr>
        <w:tabs>
          <w:tab w:val="left" w:pos="-2160"/>
          <w:tab w:val="left" w:pos="-1440"/>
          <w:tab w:val="left" w:pos="-720"/>
        </w:tabs>
        <w:rPr>
          <w:sz w:val="24"/>
        </w:rPr>
      </w:pPr>
      <w:r w:rsidRPr="00BD34E3">
        <w:rPr>
          <w:sz w:val="24"/>
        </w:rPr>
        <w:t>Inpatient Psychiatric Services for Individuals Under Age 21 in Psychiatric Facilities or Programs (PRTFs)</w:t>
      </w:r>
      <w:r w:rsidR="00FE0A9B">
        <w:rPr>
          <w:sz w:val="24"/>
        </w:rPr>
        <w:t xml:space="preserve"> – § 441.184</w:t>
      </w:r>
    </w:p>
    <w:p w:rsidR="00AA5936" w:rsidP="00AA5936" w14:paraId="1D4D5CD4" w14:textId="774A6DD8">
      <w:pPr>
        <w:widowControl/>
        <w:numPr>
          <w:ilvl w:val="0"/>
          <w:numId w:val="1"/>
        </w:numPr>
        <w:tabs>
          <w:tab w:val="left" w:pos="-2160"/>
          <w:tab w:val="left" w:pos="-1440"/>
          <w:tab w:val="left" w:pos="-720"/>
        </w:tabs>
        <w:rPr>
          <w:sz w:val="24"/>
        </w:rPr>
      </w:pPr>
      <w:r w:rsidRPr="00CA75D9">
        <w:rPr>
          <w:sz w:val="24"/>
        </w:rPr>
        <w:t>Programs of All-Inclusive Care for the Elderly (PACE)</w:t>
      </w:r>
      <w:r w:rsidR="00FE0A9B">
        <w:rPr>
          <w:sz w:val="24"/>
        </w:rPr>
        <w:t xml:space="preserve"> – § 460.84</w:t>
      </w:r>
    </w:p>
    <w:p w:rsidR="00AA5936" w:rsidP="00AA5936" w14:paraId="3BEEEB89" w14:textId="3D788EE0">
      <w:pPr>
        <w:widowControl/>
        <w:numPr>
          <w:ilvl w:val="0"/>
          <w:numId w:val="1"/>
        </w:numPr>
        <w:tabs>
          <w:tab w:val="left" w:pos="-2160"/>
          <w:tab w:val="left" w:pos="-1440"/>
          <w:tab w:val="left" w:pos="-720"/>
        </w:tabs>
        <w:rPr>
          <w:sz w:val="24"/>
        </w:rPr>
      </w:pPr>
      <w:r w:rsidRPr="00CA75D9">
        <w:rPr>
          <w:sz w:val="24"/>
        </w:rPr>
        <w:t>Hospitals</w:t>
      </w:r>
      <w:r w:rsidR="00FE0A9B">
        <w:rPr>
          <w:sz w:val="24"/>
        </w:rPr>
        <w:t xml:space="preserve"> – § 482.15</w:t>
      </w:r>
    </w:p>
    <w:p w:rsidR="00221065" w:rsidP="00AA5936" w14:paraId="57CEBB4A" w14:textId="2F5433E9">
      <w:pPr>
        <w:widowControl/>
        <w:numPr>
          <w:ilvl w:val="0"/>
          <w:numId w:val="1"/>
        </w:numPr>
        <w:tabs>
          <w:tab w:val="left" w:pos="-2160"/>
          <w:tab w:val="left" w:pos="-1440"/>
          <w:tab w:val="left" w:pos="-720"/>
        </w:tabs>
        <w:rPr>
          <w:sz w:val="24"/>
        </w:rPr>
      </w:pPr>
      <w:r w:rsidRPr="00CA75D9">
        <w:rPr>
          <w:sz w:val="24"/>
        </w:rPr>
        <w:t xml:space="preserve">Transplant </w:t>
      </w:r>
      <w:r w:rsidR="00BD34E3">
        <w:rPr>
          <w:sz w:val="24"/>
        </w:rPr>
        <w:t>Programs</w:t>
      </w:r>
      <w:r w:rsidR="00FE0A9B">
        <w:rPr>
          <w:sz w:val="24"/>
        </w:rPr>
        <w:t xml:space="preserve"> – § 482.78</w:t>
      </w:r>
    </w:p>
    <w:p w:rsidR="00AA5936" w:rsidP="00AA5936" w14:paraId="16399520" w14:textId="43162704">
      <w:pPr>
        <w:widowControl/>
        <w:numPr>
          <w:ilvl w:val="0"/>
          <w:numId w:val="1"/>
        </w:numPr>
        <w:tabs>
          <w:tab w:val="left" w:pos="-2160"/>
          <w:tab w:val="left" w:pos="-1440"/>
          <w:tab w:val="left" w:pos="-720"/>
        </w:tabs>
        <w:rPr>
          <w:sz w:val="24"/>
        </w:rPr>
      </w:pPr>
      <w:r w:rsidRPr="00CA75D9">
        <w:rPr>
          <w:sz w:val="24"/>
        </w:rPr>
        <w:t>Intermediate Care Facilities for Individuals with Intellectual Disabilities (ICF/IID)</w:t>
      </w:r>
      <w:r w:rsidR="00FE0A9B">
        <w:rPr>
          <w:sz w:val="24"/>
        </w:rPr>
        <w:t xml:space="preserve"> – § 483.475</w:t>
      </w:r>
    </w:p>
    <w:p w:rsidR="00AA5936" w:rsidP="00AA5936" w14:paraId="3A1AA040" w14:textId="61C73401">
      <w:pPr>
        <w:widowControl/>
        <w:numPr>
          <w:ilvl w:val="0"/>
          <w:numId w:val="1"/>
        </w:numPr>
        <w:tabs>
          <w:tab w:val="left" w:pos="-2160"/>
          <w:tab w:val="left" w:pos="-1440"/>
          <w:tab w:val="left" w:pos="-720"/>
        </w:tabs>
        <w:rPr>
          <w:sz w:val="24"/>
        </w:rPr>
      </w:pPr>
      <w:r w:rsidRPr="00CA75D9">
        <w:rPr>
          <w:sz w:val="24"/>
        </w:rPr>
        <w:t>Home Health Agencies (HHAs)</w:t>
      </w:r>
      <w:r w:rsidR="00FE0A9B">
        <w:rPr>
          <w:sz w:val="24"/>
        </w:rPr>
        <w:t xml:space="preserve"> – § </w:t>
      </w:r>
      <w:r w:rsidR="00344616">
        <w:rPr>
          <w:sz w:val="24"/>
        </w:rPr>
        <w:t>484.102</w:t>
      </w:r>
    </w:p>
    <w:p w:rsidR="00AA5936" w:rsidP="00AA5936" w14:paraId="2A8296DC" w14:textId="61A7005B">
      <w:pPr>
        <w:widowControl/>
        <w:numPr>
          <w:ilvl w:val="0"/>
          <w:numId w:val="1"/>
        </w:numPr>
        <w:tabs>
          <w:tab w:val="left" w:pos="-2160"/>
          <w:tab w:val="left" w:pos="-1440"/>
          <w:tab w:val="left" w:pos="-720"/>
        </w:tabs>
        <w:rPr>
          <w:sz w:val="24"/>
        </w:rPr>
      </w:pPr>
      <w:r w:rsidRPr="00CA75D9">
        <w:rPr>
          <w:sz w:val="24"/>
        </w:rPr>
        <w:t>Comprehensive Outpatient Rehabilitation Facilities (CORFs)</w:t>
      </w:r>
      <w:r w:rsidR="00344616">
        <w:rPr>
          <w:sz w:val="24"/>
        </w:rPr>
        <w:t xml:space="preserve"> – § 485.68</w:t>
      </w:r>
    </w:p>
    <w:p w:rsidR="00BD34E3" w:rsidP="00BD34E3" w14:paraId="1FC0EF77" w14:textId="3DD63680">
      <w:pPr>
        <w:widowControl/>
        <w:numPr>
          <w:ilvl w:val="0"/>
          <w:numId w:val="1"/>
        </w:numPr>
        <w:tabs>
          <w:tab w:val="left" w:pos="-2160"/>
          <w:tab w:val="left" w:pos="-1440"/>
          <w:tab w:val="left" w:pos="-720"/>
        </w:tabs>
        <w:rPr>
          <w:sz w:val="24"/>
        </w:rPr>
      </w:pPr>
      <w:r w:rsidRPr="00CA75D9">
        <w:rPr>
          <w:sz w:val="24"/>
        </w:rPr>
        <w:t>Critical Access Hospitals (CAHs)</w:t>
      </w:r>
      <w:r w:rsidR="00344616">
        <w:rPr>
          <w:sz w:val="24"/>
        </w:rPr>
        <w:t xml:space="preserve"> – § 485.625</w:t>
      </w:r>
    </w:p>
    <w:p w:rsidR="00AA5936" w:rsidRPr="00BD34E3" w:rsidP="00BD34E3" w14:paraId="79CD4C83" w14:textId="128167B6">
      <w:pPr>
        <w:widowControl/>
        <w:numPr>
          <w:ilvl w:val="0"/>
          <w:numId w:val="1"/>
        </w:numPr>
        <w:tabs>
          <w:tab w:val="left" w:pos="-2160"/>
          <w:tab w:val="left" w:pos="-1440"/>
          <w:tab w:val="left" w:pos="-720"/>
        </w:tabs>
        <w:rPr>
          <w:sz w:val="24"/>
        </w:rPr>
      </w:pPr>
      <w:r w:rsidRPr="00BD34E3">
        <w:rPr>
          <w:sz w:val="24"/>
        </w:rPr>
        <w:t>Clinics, Rehabilitation Agencies, and Public Health Agencies as Providers of Outpatient Physical Therapy and Speech-Language Pathology Services</w:t>
      </w:r>
      <w:r w:rsidR="00BD34E3">
        <w:rPr>
          <w:sz w:val="24"/>
        </w:rPr>
        <w:t xml:space="preserve"> </w:t>
      </w:r>
      <w:r w:rsidRPr="00BD34E3" w:rsidR="00BD34E3">
        <w:rPr>
          <w:sz w:val="24"/>
        </w:rPr>
        <w:t>(</w:t>
      </w:r>
      <w:r w:rsidR="00893000">
        <w:rPr>
          <w:sz w:val="24"/>
        </w:rPr>
        <w:t>“Organizations”</w:t>
      </w:r>
      <w:r w:rsidRPr="00BD34E3" w:rsidR="00BD34E3">
        <w:rPr>
          <w:sz w:val="24"/>
        </w:rPr>
        <w:t>)</w:t>
      </w:r>
      <w:r w:rsidR="00344616">
        <w:rPr>
          <w:sz w:val="24"/>
        </w:rPr>
        <w:t xml:space="preserve"> –  § 485.727</w:t>
      </w:r>
    </w:p>
    <w:p w:rsidR="00AA5936" w:rsidP="00AA5936" w14:paraId="53FD28D0" w14:textId="6A06A0AC">
      <w:pPr>
        <w:widowControl/>
        <w:numPr>
          <w:ilvl w:val="0"/>
          <w:numId w:val="1"/>
        </w:numPr>
        <w:tabs>
          <w:tab w:val="left" w:pos="-2160"/>
          <w:tab w:val="left" w:pos="-1440"/>
          <w:tab w:val="left" w:pos="-720"/>
        </w:tabs>
        <w:rPr>
          <w:sz w:val="24"/>
        </w:rPr>
      </w:pPr>
      <w:r w:rsidRPr="0039061C">
        <w:rPr>
          <w:sz w:val="24"/>
        </w:rPr>
        <w:t>Community</w:t>
      </w:r>
      <w:r>
        <w:rPr>
          <w:sz w:val="24"/>
        </w:rPr>
        <w:t xml:space="preserve"> Mental Health Centers (CMHCs)</w:t>
      </w:r>
      <w:r w:rsidR="00344616">
        <w:rPr>
          <w:sz w:val="24"/>
        </w:rPr>
        <w:t xml:space="preserve"> – § 485.920</w:t>
      </w:r>
    </w:p>
    <w:p w:rsidR="00AA5936" w:rsidP="00AA5936" w14:paraId="32138AB5" w14:textId="52D76EEB">
      <w:pPr>
        <w:widowControl/>
        <w:numPr>
          <w:ilvl w:val="0"/>
          <w:numId w:val="1"/>
        </w:numPr>
        <w:tabs>
          <w:tab w:val="left" w:pos="-2160"/>
          <w:tab w:val="left" w:pos="-1440"/>
          <w:tab w:val="left" w:pos="-720"/>
        </w:tabs>
        <w:rPr>
          <w:sz w:val="24"/>
        </w:rPr>
      </w:pPr>
      <w:r w:rsidRPr="00CA75D9">
        <w:rPr>
          <w:sz w:val="24"/>
        </w:rPr>
        <w:t>Organ Procurement Organizations (OPOs)</w:t>
      </w:r>
      <w:r w:rsidR="00344616">
        <w:rPr>
          <w:sz w:val="24"/>
        </w:rPr>
        <w:t xml:space="preserve"> – § 486.360</w:t>
      </w:r>
    </w:p>
    <w:p w:rsidR="00AA5936" w:rsidP="00AA5936" w14:paraId="32BCFEBF" w14:textId="509E5222">
      <w:pPr>
        <w:widowControl/>
        <w:numPr>
          <w:ilvl w:val="0"/>
          <w:numId w:val="1"/>
        </w:numPr>
        <w:tabs>
          <w:tab w:val="left" w:pos="-2160"/>
          <w:tab w:val="left" w:pos="-1440"/>
          <w:tab w:val="left" w:pos="-720"/>
        </w:tabs>
        <w:rPr>
          <w:sz w:val="24"/>
        </w:rPr>
      </w:pPr>
      <w:r w:rsidRPr="00CA75D9">
        <w:rPr>
          <w:sz w:val="24"/>
        </w:rPr>
        <w:t>Rural Health Clinics (RHCs)</w:t>
      </w:r>
      <w:r w:rsidR="00344616">
        <w:rPr>
          <w:sz w:val="24"/>
        </w:rPr>
        <w:t xml:space="preserve"> – § 491.12</w:t>
      </w:r>
    </w:p>
    <w:p w:rsidR="00AA5936" w:rsidP="00AA5936" w14:paraId="1785B9AF" w14:textId="766EC934">
      <w:pPr>
        <w:widowControl/>
        <w:numPr>
          <w:ilvl w:val="0"/>
          <w:numId w:val="1"/>
        </w:numPr>
        <w:tabs>
          <w:tab w:val="left" w:pos="-2160"/>
          <w:tab w:val="left" w:pos="-1440"/>
          <w:tab w:val="left" w:pos="-720"/>
        </w:tabs>
        <w:rPr>
          <w:sz w:val="24"/>
        </w:rPr>
      </w:pPr>
      <w:r w:rsidRPr="00CA75D9">
        <w:rPr>
          <w:sz w:val="24"/>
        </w:rPr>
        <w:t>Federally Qualified Health Centers (FQHCs)</w:t>
      </w:r>
      <w:r w:rsidR="00344616">
        <w:rPr>
          <w:sz w:val="24"/>
        </w:rPr>
        <w:t xml:space="preserve"> – § 491.12</w:t>
      </w:r>
    </w:p>
    <w:p w:rsidR="006D0064" w:rsidP="00AA5936" w14:paraId="00312F51" w14:textId="6EA2F044">
      <w:pPr>
        <w:widowControl/>
        <w:numPr>
          <w:ilvl w:val="0"/>
          <w:numId w:val="1"/>
        </w:numPr>
        <w:tabs>
          <w:tab w:val="left" w:pos="-2160"/>
          <w:tab w:val="left" w:pos="-1440"/>
          <w:tab w:val="left" w:pos="-720"/>
        </w:tabs>
        <w:rPr>
          <w:sz w:val="24"/>
        </w:rPr>
      </w:pPr>
      <w:r w:rsidRPr="00CA75D9">
        <w:rPr>
          <w:sz w:val="24"/>
        </w:rPr>
        <w:t>End-Stage Renal Disease (ESRD) Facilities</w:t>
      </w:r>
      <w:r w:rsidR="00344616">
        <w:rPr>
          <w:sz w:val="24"/>
        </w:rPr>
        <w:t xml:space="preserve"> – § 494.62</w:t>
      </w:r>
    </w:p>
    <w:p w:rsidR="008876AF" w:rsidP="00325E87" w14:paraId="1412DB2C" w14:textId="77777777">
      <w:pPr>
        <w:widowControl/>
        <w:numPr>
          <w:ilvl w:val="0"/>
          <w:numId w:val="1"/>
        </w:numPr>
        <w:tabs>
          <w:tab w:val="left" w:pos="-2160"/>
          <w:tab w:val="left" w:pos="-1440"/>
          <w:tab w:val="left" w:pos="-720"/>
        </w:tabs>
        <w:rPr>
          <w:sz w:val="24"/>
        </w:rPr>
      </w:pPr>
      <w:r w:rsidRPr="00325E87">
        <w:rPr>
          <w:sz w:val="24"/>
        </w:rPr>
        <w:t>Rural Emergency Hospitals (REHs)</w:t>
      </w:r>
      <w:r w:rsidRPr="00325E87" w:rsidR="00344616">
        <w:rPr>
          <w:sz w:val="24"/>
        </w:rPr>
        <w:t xml:space="preserve"> – § 485.542</w:t>
      </w:r>
    </w:p>
    <w:p w:rsidR="00325E87" w:rsidRPr="00325E87" w:rsidP="00325E87" w14:paraId="0A980F90" w14:textId="6CB26D2A">
      <w:pPr>
        <w:widowControl/>
        <w:numPr>
          <w:ilvl w:val="0"/>
          <w:numId w:val="1"/>
        </w:numPr>
        <w:tabs>
          <w:tab w:val="left" w:pos="-2160"/>
          <w:tab w:val="left" w:pos="-1440"/>
          <w:tab w:val="left" w:pos="-720"/>
        </w:tabs>
        <w:rPr>
          <w:sz w:val="24"/>
        </w:rPr>
      </w:pPr>
      <w:r w:rsidRPr="00325E87">
        <w:rPr>
          <w:sz w:val="24"/>
        </w:rPr>
        <w:t>Skilled Nursing Facilities (SNFs) and Nursing Facilities (NFs) (</w:t>
      </w:r>
      <w:r w:rsidRPr="00325E87" w:rsidR="00D45D9E">
        <w:rPr>
          <w:sz w:val="24"/>
        </w:rPr>
        <w:t>also</w:t>
      </w:r>
      <w:r w:rsidRPr="00325E87">
        <w:rPr>
          <w:sz w:val="24"/>
        </w:rPr>
        <w:t xml:space="preserve"> referred to as</w:t>
      </w:r>
      <w:r w:rsidRPr="00325E87">
        <w:rPr>
          <w:sz w:val="24"/>
        </w:rPr>
        <w:t xml:space="preserve"> Long Term Care (LTC) Facilities) - § 483.73</w:t>
      </w:r>
    </w:p>
    <w:p w:rsidR="00325E87" w:rsidRPr="00325E87" w:rsidP="00325E87" w14:paraId="0B54583C" w14:textId="77777777">
      <w:pPr>
        <w:widowControl/>
        <w:tabs>
          <w:tab w:val="left" w:pos="-2160"/>
          <w:tab w:val="left" w:pos="-1440"/>
          <w:tab w:val="left" w:pos="-720"/>
        </w:tabs>
        <w:ind w:left="1170"/>
        <w:rPr>
          <w:sz w:val="24"/>
        </w:rPr>
      </w:pPr>
    </w:p>
    <w:p w:rsidR="00BE5237" w:rsidRPr="00325E87" w:rsidP="00325E87" w14:paraId="0295760F" w14:textId="18D22B87">
      <w:pPr>
        <w:widowControl/>
        <w:tabs>
          <w:tab w:val="left" w:pos="-2160"/>
          <w:tab w:val="left" w:pos="-1440"/>
          <w:tab w:val="left" w:pos="-720"/>
        </w:tabs>
        <w:ind w:left="450"/>
        <w:rPr>
          <w:sz w:val="24"/>
        </w:rPr>
      </w:pPr>
      <w:r w:rsidRPr="00325E87">
        <w:rPr>
          <w:sz w:val="24"/>
        </w:rPr>
        <w:t xml:space="preserve">This reinstatement includes a new facility type, Rural Emergency Hospitals (REHs), which was </w:t>
      </w:r>
      <w:r w:rsidR="00A34F65">
        <w:rPr>
          <w:sz w:val="24"/>
        </w:rPr>
        <w:t xml:space="preserve">created in 2021, </w:t>
      </w:r>
      <w:r w:rsidRPr="00325E87">
        <w:rPr>
          <w:sz w:val="24"/>
        </w:rPr>
        <w:t>after th</w:t>
      </w:r>
      <w:r w:rsidR="00A34F65">
        <w:rPr>
          <w:sz w:val="24"/>
        </w:rPr>
        <w:t>e prior reinstatement</w:t>
      </w:r>
      <w:r w:rsidR="009E6C11">
        <w:rPr>
          <w:sz w:val="24"/>
        </w:rPr>
        <w:t xml:space="preserve"> </w:t>
      </w:r>
      <w:r w:rsidR="00A34F65">
        <w:rPr>
          <w:sz w:val="24"/>
        </w:rPr>
        <w:t>for this package had been approved in 2020</w:t>
      </w:r>
      <w:r w:rsidRPr="00325E87">
        <w:rPr>
          <w:sz w:val="24"/>
        </w:rPr>
        <w:t>. Congress introduced the designation Rural Emergency Hospitals (REHs) as part of the Consolidated Appropriations Act of 2021 (Public Law 116-260), which is codified at 42 United States Code § 1395x(</w:t>
      </w:r>
      <w:r w:rsidRPr="00325E87">
        <w:rPr>
          <w:sz w:val="24"/>
        </w:rPr>
        <w:t>kkk</w:t>
      </w:r>
      <w:r w:rsidRPr="00325E87">
        <w:rPr>
          <w:sz w:val="24"/>
        </w:rPr>
        <w:t>)(1) or Section 1861(</w:t>
      </w:r>
      <w:r w:rsidRPr="00325E87">
        <w:rPr>
          <w:sz w:val="24"/>
        </w:rPr>
        <w:t>kkk</w:t>
      </w:r>
      <w:r w:rsidRPr="00325E87">
        <w:rPr>
          <w:sz w:val="24"/>
        </w:rPr>
        <w:t>)(1) of the Social Security Act. REHs are subject to the Emergency Preparedness CoPs per 42 CFR § 485.542 and are similar to the Critical Access Hospital (CAH’s) Emergency Preparedness CoPs.</w:t>
      </w:r>
      <w:r>
        <w:rPr>
          <w:rStyle w:val="StyleFootnoteReference12ptSuperscript"/>
        </w:rPr>
        <w:footnoteReference w:id="2"/>
      </w:r>
      <w:r w:rsidRPr="00325E87">
        <w:rPr>
          <w:sz w:val="24"/>
        </w:rPr>
        <w:t xml:space="preserve">  </w:t>
      </w:r>
    </w:p>
    <w:p w:rsidR="00BE5237" w:rsidP="00BE5237" w14:paraId="502A4692" w14:textId="77777777">
      <w:pPr>
        <w:ind w:left="446"/>
      </w:pPr>
    </w:p>
    <w:p w:rsidR="00BD34E3" w:rsidP="00BD34E3" w14:paraId="3DD7D35C" w14:textId="7D0C51EA">
      <w:pPr>
        <w:ind w:left="446"/>
        <w:rPr>
          <w:sz w:val="24"/>
        </w:rPr>
      </w:pPr>
      <w:r>
        <w:rPr>
          <w:sz w:val="24"/>
        </w:rPr>
        <w:t>As stated in</w:t>
      </w:r>
      <w:r w:rsidR="00777997">
        <w:rPr>
          <w:sz w:val="24"/>
        </w:rPr>
        <w:t xml:space="preserve"> the</w:t>
      </w:r>
      <w:r w:rsidR="00B3529D">
        <w:rPr>
          <w:sz w:val="24"/>
        </w:rPr>
        <w:t xml:space="preserve"> </w:t>
      </w:r>
      <w:hyperlink r:id="rId10" w:history="1">
        <w:r w:rsidRPr="00B3529D" w:rsidR="00B3529D">
          <w:rPr>
            <w:rStyle w:val="Hyperlink"/>
            <w:sz w:val="24"/>
          </w:rPr>
          <w:t>2016 Final Rule</w:t>
        </w:r>
      </w:hyperlink>
      <w:r w:rsidR="00B3529D">
        <w:rPr>
          <w:sz w:val="24"/>
        </w:rPr>
        <w:t>,</w:t>
      </w:r>
      <w:r>
        <w:rPr>
          <w:sz w:val="24"/>
        </w:rPr>
        <w:t xml:space="preserve"> w</w:t>
      </w:r>
      <w:r w:rsidRPr="003F49FB" w:rsidR="003F49FB">
        <w:rPr>
          <w:sz w:val="24"/>
        </w:rPr>
        <w:t>e identified four core elements central to an effective and comprehensive framework of emergency preparedness requirements for the various Medicare and Medicaid participating providers and suppliers. The four elements are as follows:</w:t>
      </w:r>
    </w:p>
    <w:p w:rsidR="00BD34E3" w:rsidP="00BD34E3" w14:paraId="45B871FF" w14:textId="130845FF">
      <w:pPr>
        <w:pStyle w:val="ListParagraph"/>
        <w:numPr>
          <w:ilvl w:val="0"/>
          <w:numId w:val="2"/>
        </w:numPr>
        <w:spacing w:before="120" w:after="120" w:line="240" w:lineRule="auto"/>
        <w:ind w:left="1166"/>
        <w:contextualSpacing w:val="0"/>
      </w:pPr>
      <w:r w:rsidRPr="00BD34E3">
        <w:rPr>
          <w:b/>
          <w:bCs/>
        </w:rPr>
        <w:t>Risk</w:t>
      </w:r>
      <w:r w:rsidRPr="00BD34E3" w:rsidR="003F49FB">
        <w:rPr>
          <w:b/>
          <w:bCs/>
        </w:rPr>
        <w:t xml:space="preserve"> assessment and </w:t>
      </w:r>
      <w:r w:rsidRPr="00BD34E3" w:rsidR="00B31863">
        <w:rPr>
          <w:b/>
          <w:bCs/>
        </w:rPr>
        <w:t>Emergency Plan</w:t>
      </w:r>
      <w:r w:rsidRPr="00BD34E3" w:rsidR="003F49FB">
        <w:rPr>
          <w:b/>
          <w:bCs/>
        </w:rPr>
        <w:t>:</w:t>
      </w:r>
      <w:r w:rsidRPr="00BD34E3" w:rsidR="003F49FB">
        <w:t xml:space="preserve"> </w:t>
      </w:r>
      <w:r w:rsidRPr="00BD34E3" w:rsidR="00B31863">
        <w:t>A</w:t>
      </w:r>
      <w:r w:rsidRPr="00BD34E3" w:rsidR="007577C4">
        <w:t xml:space="preserve">n </w:t>
      </w:r>
      <w:r w:rsidRPr="00BD34E3" w:rsidR="00B31863">
        <w:t xml:space="preserve">emergency preparedness plan </w:t>
      </w:r>
      <w:r w:rsidRPr="00BD34E3" w:rsidR="007577C4">
        <w:t>must be developed, maintained, and reviewed</w:t>
      </w:r>
      <w:r w:rsidR="00C00C32">
        <w:t xml:space="preserve"> and </w:t>
      </w:r>
      <w:r w:rsidRPr="00BD34E3" w:rsidR="00B31863">
        <w:t>updated at least</w:t>
      </w:r>
      <w:r w:rsidR="00C00C32">
        <w:t xml:space="preserve"> </w:t>
      </w:r>
      <w:r w:rsidR="0016537C">
        <w:t>every two years</w:t>
      </w:r>
      <w:r w:rsidRPr="00BD34E3" w:rsidR="007577C4">
        <w:t xml:space="preserve">. </w:t>
      </w:r>
      <w:r w:rsidRPr="00BD34E3">
        <w:t>Prior</w:t>
      </w:r>
      <w:r w:rsidRPr="00BD34E3" w:rsidR="003F49FB">
        <w:t xml:space="preserve"> to establishing an emergency plan, a risk assessment </w:t>
      </w:r>
      <w:r w:rsidRPr="00BD34E3" w:rsidR="00C912F3">
        <w:t>must be</w:t>
      </w:r>
      <w:r w:rsidRPr="00BD34E3" w:rsidR="003F49FB">
        <w:t xml:space="preserve"> performed based on utilizing an “all hazards” approach. An all-hazards approach is an integrated </w:t>
      </w:r>
      <w:r w:rsidRPr="00BD34E3" w:rsidR="003F49FB">
        <w:t>approach to emergency preparedness planning that focuses on capacities and capabilities that are critical to preparedness for a full spectrum of emergencies or disasters.</w:t>
      </w:r>
    </w:p>
    <w:p w:rsidR="00BD34E3" w:rsidP="00BD34E3" w14:paraId="2F5D4DE7" w14:textId="3F721364">
      <w:pPr>
        <w:pStyle w:val="ListParagraph"/>
        <w:numPr>
          <w:ilvl w:val="0"/>
          <w:numId w:val="2"/>
        </w:numPr>
        <w:spacing w:after="120" w:line="240" w:lineRule="auto"/>
        <w:ind w:left="1166"/>
        <w:contextualSpacing w:val="0"/>
      </w:pPr>
      <w:r w:rsidRPr="00BD34E3">
        <w:rPr>
          <w:b/>
          <w:bCs/>
        </w:rPr>
        <w:t>Policies</w:t>
      </w:r>
      <w:r w:rsidRPr="00BD34E3" w:rsidR="003F49FB">
        <w:rPr>
          <w:b/>
          <w:bCs/>
        </w:rPr>
        <w:t xml:space="preserve"> and procedures:</w:t>
      </w:r>
      <w:r w:rsidRPr="00BD34E3" w:rsidR="003F49FB">
        <w:t xml:space="preserve"> </w:t>
      </w:r>
      <w:r w:rsidRPr="00BD34E3">
        <w:t>P</w:t>
      </w:r>
      <w:r w:rsidRPr="00BD34E3" w:rsidR="003F49FB">
        <w:t>olicies and procedures based on the emergency plan and risk assessment</w:t>
      </w:r>
      <w:r w:rsidRPr="00BD34E3">
        <w:t xml:space="preserve"> must be developed</w:t>
      </w:r>
      <w:r w:rsidR="00B765B2">
        <w:t>,</w:t>
      </w:r>
      <w:r w:rsidRPr="00BD34E3">
        <w:t xml:space="preserve"> implemented</w:t>
      </w:r>
      <w:r w:rsidR="00B765B2">
        <w:t xml:space="preserve">, and reviewed and </w:t>
      </w:r>
      <w:r w:rsidR="0051245D">
        <w:t xml:space="preserve">updated at least </w:t>
      </w:r>
      <w:r w:rsidR="0016537C">
        <w:t>every two years</w:t>
      </w:r>
      <w:r w:rsidRPr="00BD34E3" w:rsidR="003F49FB">
        <w:t>.</w:t>
      </w:r>
    </w:p>
    <w:p w:rsidR="003F49FB" w:rsidP="00BD34E3" w14:paraId="5533B47C" w14:textId="21124CDD">
      <w:pPr>
        <w:pStyle w:val="ListParagraph"/>
        <w:numPr>
          <w:ilvl w:val="0"/>
          <w:numId w:val="2"/>
        </w:numPr>
        <w:spacing w:after="120" w:line="240" w:lineRule="auto"/>
        <w:ind w:left="1166"/>
        <w:contextualSpacing w:val="0"/>
      </w:pPr>
      <w:r w:rsidRPr="00BD34E3">
        <w:rPr>
          <w:b/>
          <w:bCs/>
        </w:rPr>
        <w:t>Communication</w:t>
      </w:r>
      <w:r w:rsidRPr="00BD34E3">
        <w:rPr>
          <w:b/>
          <w:bCs/>
        </w:rPr>
        <w:t xml:space="preserve"> plan:</w:t>
      </w:r>
      <w:r w:rsidRPr="00BD34E3">
        <w:t xml:space="preserve"> </w:t>
      </w:r>
      <w:r w:rsidRPr="00BD34E3">
        <w:t>A</w:t>
      </w:r>
      <w:r w:rsidRPr="00BD34E3">
        <w:t>n emergency preparedness communication plan that complies with both Federal and State law</w:t>
      </w:r>
      <w:r w:rsidRPr="00BD34E3">
        <w:t xml:space="preserve"> must be </w:t>
      </w:r>
      <w:r w:rsidRPr="00BD34E3" w:rsidR="00C00C32">
        <w:t>developed</w:t>
      </w:r>
      <w:r w:rsidR="00C00C32">
        <w:t>,</w:t>
      </w:r>
      <w:r w:rsidRPr="00BD34E3" w:rsidR="00C00C32">
        <w:t xml:space="preserve"> maintained</w:t>
      </w:r>
      <w:r w:rsidR="0051245D">
        <w:t xml:space="preserve">, and reviewed and updated at least </w:t>
      </w:r>
      <w:r w:rsidR="00664891">
        <w:t>every two years</w:t>
      </w:r>
      <w:r w:rsidRPr="00BD34E3">
        <w:t>. Patient care must be well-coordinated within the facility, across health care providers, and with State and local public health departments and emergency systems to protect patient health and safety in the event of a disaster.</w:t>
      </w:r>
    </w:p>
    <w:p w:rsidR="00D55A4C" w:rsidP="00BD34E3" w14:paraId="08D0F71B" w14:textId="38126282">
      <w:pPr>
        <w:pStyle w:val="ListParagraph"/>
        <w:numPr>
          <w:ilvl w:val="0"/>
          <w:numId w:val="2"/>
        </w:numPr>
        <w:spacing w:after="120" w:line="240" w:lineRule="auto"/>
        <w:ind w:left="1166"/>
        <w:contextualSpacing w:val="0"/>
      </w:pPr>
      <w:r w:rsidRPr="00BD34E3">
        <w:rPr>
          <w:b/>
          <w:bCs/>
        </w:rPr>
        <w:t>Training</w:t>
      </w:r>
      <w:r w:rsidRPr="00BD34E3" w:rsidR="003F49FB">
        <w:rPr>
          <w:b/>
          <w:bCs/>
        </w:rPr>
        <w:t>:</w:t>
      </w:r>
      <w:r w:rsidRPr="00BD34E3" w:rsidR="003F49FB">
        <w:t xml:space="preserve"> </w:t>
      </w:r>
      <w:r w:rsidRPr="00BD34E3">
        <w:t>A</w:t>
      </w:r>
      <w:r w:rsidRPr="00BD34E3" w:rsidR="003F49FB">
        <w:t>n emergency preparedness training and testing program</w:t>
      </w:r>
      <w:r w:rsidRPr="00BD34E3">
        <w:t xml:space="preserve"> must be developed</w:t>
      </w:r>
      <w:r w:rsidR="00CF3942">
        <w:t>,</w:t>
      </w:r>
      <w:r w:rsidRPr="00BD34E3">
        <w:t xml:space="preserve"> implemented</w:t>
      </w:r>
      <w:r w:rsidR="00CF3942">
        <w:t>, and reviewed</w:t>
      </w:r>
      <w:r w:rsidR="00664891">
        <w:t xml:space="preserve"> and updated</w:t>
      </w:r>
      <w:r w:rsidR="00CF3942">
        <w:t xml:space="preserve"> at least </w:t>
      </w:r>
      <w:r w:rsidR="00664891">
        <w:t>every two years</w:t>
      </w:r>
      <w:r w:rsidRPr="00BD34E3" w:rsidR="003F49FB">
        <w:t xml:space="preserve">. </w:t>
      </w:r>
      <w:r>
        <w:t>F</w:t>
      </w:r>
      <w:r w:rsidRPr="00D55A4C">
        <w:t xml:space="preserve">acilities </w:t>
      </w:r>
      <w:r>
        <w:t xml:space="preserve">must </w:t>
      </w:r>
      <w:r w:rsidRPr="00D55A4C">
        <w:t xml:space="preserve">conduct </w:t>
      </w:r>
      <w:r>
        <w:t xml:space="preserve">an </w:t>
      </w:r>
      <w:r w:rsidRPr="00D55A4C">
        <w:t xml:space="preserve">initial training </w:t>
      </w:r>
      <w:r>
        <w:t>of</w:t>
      </w:r>
      <w:r w:rsidRPr="00D55A4C">
        <w:t xml:space="preserve"> their emergency p</w:t>
      </w:r>
      <w:r>
        <w:t>reparedness policies and procedures to new and existing staff, and thereafter</w:t>
      </w:r>
      <w:r w:rsidR="00D3285D">
        <w:t>,</w:t>
      </w:r>
      <w:r>
        <w:t xml:space="preserve"> provide training </w:t>
      </w:r>
      <w:r w:rsidR="00275504">
        <w:t xml:space="preserve">at least </w:t>
      </w:r>
      <w:r w:rsidRPr="00D55A4C">
        <w:t>every 2 years</w:t>
      </w:r>
      <w:r>
        <w:t xml:space="preserve"> or after the </w:t>
      </w:r>
      <w:r w:rsidRPr="00D55A4C">
        <w:t xml:space="preserve">emergency </w:t>
      </w:r>
      <w:r>
        <w:t>preparedness policies and procedures are</w:t>
      </w:r>
      <w:r w:rsidRPr="00D55A4C">
        <w:t xml:space="preserve"> significantly updated.</w:t>
      </w:r>
      <w:r w:rsidRPr="00BD34E3" w:rsidR="003F49FB">
        <w:t xml:space="preserve">. </w:t>
      </w:r>
      <w:r w:rsidRPr="00BD34E3">
        <w:t>Staff</w:t>
      </w:r>
      <w:r w:rsidRPr="00BD34E3" w:rsidR="003F49FB">
        <w:t xml:space="preserve"> </w:t>
      </w:r>
      <w:r w:rsidRPr="00BD34E3">
        <w:t>must</w:t>
      </w:r>
      <w:r w:rsidRPr="00BD34E3" w:rsidR="003F49FB">
        <w:t xml:space="preserve"> demonstrate knowledge of emergency procedures</w:t>
      </w:r>
      <w:r>
        <w:t xml:space="preserve"> and documentation of the training must be maintained.</w:t>
      </w:r>
      <w:r w:rsidRPr="00BD34E3" w:rsidR="003F49FB">
        <w:t xml:space="preserve">. </w:t>
      </w:r>
    </w:p>
    <w:p w:rsidR="008F1EB4" w:rsidRPr="00BD34E3" w:rsidP="00112A28" w14:paraId="3B9FEDC9" w14:textId="3449FAC9">
      <w:pPr>
        <w:pStyle w:val="ListParagraph"/>
        <w:numPr>
          <w:ilvl w:val="0"/>
          <w:numId w:val="2"/>
        </w:numPr>
        <w:spacing w:after="120" w:line="240" w:lineRule="auto"/>
        <w:contextualSpacing w:val="0"/>
      </w:pPr>
      <w:r w:rsidRPr="00E82FCD">
        <w:rPr>
          <w:b/>
          <w:bCs/>
        </w:rPr>
        <w:t>Testing:</w:t>
      </w:r>
      <w:r>
        <w:t xml:space="preserve"> </w:t>
      </w:r>
      <w:r w:rsidR="00275504">
        <w:t xml:space="preserve"> Providers</w:t>
      </w:r>
      <w:r w:rsidRPr="00BD34E3" w:rsidR="003F49FB">
        <w:t xml:space="preserve"> </w:t>
      </w:r>
      <w:r w:rsidRPr="00BD34E3" w:rsidR="00475CB1">
        <w:t xml:space="preserve">must </w:t>
      </w:r>
      <w:r w:rsidR="00936BE1">
        <w:t>conduct testing exercises annually</w:t>
      </w:r>
      <w:r w:rsidRPr="00BD34E3" w:rsidR="003F49FB">
        <w:t xml:space="preserve"> to test the</w:t>
      </w:r>
      <w:r w:rsidR="00B765B2">
        <w:t>ir</w:t>
      </w:r>
      <w:r w:rsidRPr="00BD34E3" w:rsidR="003F49FB">
        <w:t xml:space="preserve"> emergency plan</w:t>
      </w:r>
      <w:r w:rsidR="00F62D35">
        <w:t xml:space="preserve"> and will vary whether they provide inpatient or outpatient services</w:t>
      </w:r>
      <w:r w:rsidRPr="00BD34E3" w:rsidR="003F49FB">
        <w:t>.</w:t>
      </w:r>
      <w:r w:rsidR="00275504">
        <w:t xml:space="preserve"> </w:t>
      </w:r>
      <w:r w:rsidR="00F62D35">
        <w:t>I</w:t>
      </w:r>
      <w:r w:rsidR="00275504">
        <w:t>npatient providers</w:t>
      </w:r>
      <w:r w:rsidR="00E82FCD">
        <w:t xml:space="preserve"> must conduct two of any of the following types of exercises</w:t>
      </w:r>
      <w:r w:rsidR="00F62D35">
        <w:t xml:space="preserve"> per year</w:t>
      </w:r>
      <w:r w:rsidR="00E82FCD">
        <w:t xml:space="preserve">: community-based full-scale exercise (if available), an individual facility-based functional exercise, a drill, a tabletop exercise or </w:t>
      </w:r>
      <w:r w:rsidR="00A25E52">
        <w:t xml:space="preserve">a </w:t>
      </w:r>
      <w:r w:rsidR="00E82FCD">
        <w:t>workshop that includ</w:t>
      </w:r>
      <w:r w:rsidR="00A25E52">
        <w:t>es</w:t>
      </w:r>
      <w:r w:rsidR="00E82FCD">
        <w:t xml:space="preserve"> a group discussion led by a facilitator. Outpatient providers must conduct one testing exercise each year</w:t>
      </w:r>
      <w:r w:rsidR="00A25E52">
        <w:t>, which could include a drill, a tabletop exercise or workshop. At</w:t>
      </w:r>
      <w:r w:rsidR="00E82FCD">
        <w:t xml:space="preserve"> least every </w:t>
      </w:r>
      <w:r w:rsidR="00A25E52">
        <w:t>two years</w:t>
      </w:r>
      <w:r w:rsidR="00E82FCD">
        <w:t xml:space="preserve">, they must conduct a community-based, full-scale exercise (if available) or an individual facility-based functional exercise. </w:t>
      </w:r>
    </w:p>
    <w:p w:rsidR="00992126" w:rsidP="003F49FB" w14:paraId="7C07EA5B" w14:textId="0ABD1D0E">
      <w:pPr>
        <w:ind w:left="450"/>
        <w:rPr>
          <w:sz w:val="24"/>
        </w:rPr>
      </w:pPr>
      <w:r>
        <w:rPr>
          <w:sz w:val="24"/>
        </w:rPr>
        <w:t xml:space="preserve">For existing providers and suppliers, these information collections would have been drafted and implemented in 2016/2017. </w:t>
      </w:r>
      <w:r w:rsidR="00C35509">
        <w:rPr>
          <w:sz w:val="24"/>
        </w:rPr>
        <w:t xml:space="preserve">Therefore, this information collection consists primarily of </w:t>
      </w:r>
      <w:r w:rsidR="00072AA0">
        <w:rPr>
          <w:sz w:val="24"/>
        </w:rPr>
        <w:t>the</w:t>
      </w:r>
      <w:r>
        <w:rPr>
          <w:sz w:val="24"/>
        </w:rPr>
        <w:t xml:space="preserve"> annual update of these information collections for existing provider and supplier types. In addition, these information collections consist of any new providers and/or suppliers that would have to initially develop the required program, plan, or policies</w:t>
      </w:r>
      <w:r w:rsidR="00936BE1">
        <w:rPr>
          <w:sz w:val="24"/>
        </w:rPr>
        <w:t xml:space="preserve">. </w:t>
      </w:r>
    </w:p>
    <w:p w:rsidR="00072AA0" w:rsidP="003F49FB" w14:paraId="722B2AD3" w14:textId="77777777">
      <w:pPr>
        <w:ind w:left="450"/>
        <w:rPr>
          <w:sz w:val="24"/>
        </w:rPr>
      </w:pPr>
    </w:p>
    <w:p w:rsidR="008F1EB4" w:rsidRPr="00D3285D" w:rsidP="00D3285D" w14:paraId="719BF4C1" w14:textId="276A4A81">
      <w:pPr>
        <w:pStyle w:val="Heading2"/>
      </w:pPr>
      <w:r>
        <w:t>Justification</w:t>
      </w:r>
    </w:p>
    <w:p w:rsidR="008F1EB4" w:rsidP="00941BCA" w14:paraId="07097618" w14:textId="39BDE29B">
      <w:pPr>
        <w:pStyle w:val="Heading3"/>
        <w:numPr>
          <w:ilvl w:val="0"/>
          <w:numId w:val="11"/>
        </w:numPr>
      </w:pPr>
      <w:r w:rsidRPr="003D54E5">
        <w:t>Need and Legal Basis</w:t>
      </w:r>
    </w:p>
    <w:p w:rsidR="008F1EB4" w14:paraId="110432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19FE" w:rsidP="006019FE" w14:paraId="70FD6A5E" w14:textId="44E690A2">
      <w:pPr>
        <w:ind w:left="450"/>
        <w:rPr>
          <w:sz w:val="24"/>
        </w:rPr>
      </w:pPr>
      <w:r w:rsidRPr="00475CB1">
        <w:rPr>
          <w:sz w:val="24"/>
        </w:rPr>
        <w:t xml:space="preserve">Various sections of the Social Security Act (the Act) define the terms Medicare uses for each provider and supplier type and list the requirements that each provider and supplier must meet to be eligible for Medicare participation. Each statutory provision also specifies that the Secretary may establish other requirements as the Secretary finds necessary in the interest of the health and safety of patients, although the exact wording of such authority may differ slightly between different provider and supplier types. Further, the Public Health </w:t>
      </w:r>
      <w:r w:rsidRPr="00475CB1">
        <w:rPr>
          <w:sz w:val="24"/>
        </w:rPr>
        <w:t>Service (PHS) Act sets forth additional requirements that certain Medicare providers and suppliers must meet to participate.</w:t>
      </w:r>
    </w:p>
    <w:p w:rsidR="00CC2E6C" w:rsidRPr="00D3285D" w:rsidP="00D3285D" w14:paraId="65C770B0" w14:textId="69C7D272">
      <w:pPr>
        <w:pStyle w:val="ListParagraph"/>
        <w:spacing w:before="240" w:line="240" w:lineRule="auto"/>
        <w:ind w:left="450"/>
        <w:rPr>
          <w:color w:val="auto"/>
          <w:u w:val="single"/>
        </w:rPr>
      </w:pPr>
      <w:r w:rsidRPr="00784167">
        <w:t>Emergency Preparedness CoPs were initially implemented per “</w:t>
      </w:r>
      <w:hyperlink r:id="rId10" w:history="1">
        <w:r w:rsidRPr="00784167">
          <w:rPr>
            <w:rStyle w:val="Hyperlink"/>
          </w:rPr>
          <w:t>Medicare and Medicaid Programs; Emergency Preparedness Requirements for Medicare and Medicaid Participating Providers and Suppliers</w:t>
        </w:r>
      </w:hyperlink>
      <w:r w:rsidRPr="00784167">
        <w:t>,” 81 FR 63860 (September 16, 2016)(hereinafter “</w:t>
      </w:r>
      <w:hyperlink r:id="rId10" w:history="1">
        <w:r w:rsidRPr="00784167">
          <w:rPr>
            <w:rStyle w:val="Hyperlink"/>
          </w:rPr>
          <w:t>2016 Final Rule</w:t>
        </w:r>
      </w:hyperlink>
      <w:r w:rsidRPr="00784167">
        <w:t>”)</w:t>
      </w:r>
      <w:r w:rsidRPr="00784167" w:rsidR="00405166">
        <w:t>.</w:t>
      </w:r>
      <w:r w:rsidRPr="00784167">
        <w:t xml:space="preserve"> The CoPs were subsequently revised </w:t>
      </w:r>
      <w:r w:rsidRPr="00784167" w:rsidR="00936BE1">
        <w:t>per:</w:t>
      </w:r>
    </w:p>
    <w:p w:rsidR="00CC2E6C" w:rsidP="00D3285D" w14:paraId="4F62DBB2" w14:textId="56E6E848">
      <w:pPr>
        <w:pStyle w:val="ListParagraph"/>
        <w:numPr>
          <w:ilvl w:val="0"/>
          <w:numId w:val="8"/>
        </w:numPr>
        <w:spacing w:after="0" w:line="240" w:lineRule="auto"/>
        <w:contextualSpacing w:val="0"/>
        <w:rPr>
          <w:color w:val="auto"/>
          <w:u w:val="single"/>
        </w:rPr>
      </w:pPr>
      <w:r w:rsidRPr="00784167">
        <w:t>“</w:t>
      </w:r>
      <w:hyperlink r:id="rId11" w:history="1">
        <w:r w:rsidRPr="00CC2E6C">
          <w:rPr>
            <w:rStyle w:val="Hyperlink"/>
          </w:rPr>
          <w:t>Medicare and Medicaid Programs; Regulatory Provisions To Promote Program Efficiency, Transparency, and Burden Reduction</w:t>
        </w:r>
      </w:hyperlink>
      <w:r w:rsidRPr="00784167" w:rsidR="00B837DE">
        <w:t>," 83 FR 47686 (September 20, 2018)(hereinafter “</w:t>
      </w:r>
      <w:hyperlink r:id="rId11" w:history="1">
        <w:r w:rsidRPr="00CC2E6C" w:rsidR="00B837DE">
          <w:rPr>
            <w:rStyle w:val="Hyperlink"/>
          </w:rPr>
          <w:t>2018 Proposed Rule</w:t>
        </w:r>
      </w:hyperlink>
      <w:r>
        <w:rPr>
          <w:color w:val="auto"/>
        </w:rPr>
        <w:t>”)</w:t>
      </w:r>
    </w:p>
    <w:p w:rsidR="00511839" w:rsidRPr="00CC2E6C" w:rsidP="00D3285D" w14:paraId="416DB3F5" w14:textId="427A42B6">
      <w:pPr>
        <w:pStyle w:val="ListParagraph"/>
        <w:numPr>
          <w:ilvl w:val="0"/>
          <w:numId w:val="8"/>
        </w:numPr>
        <w:spacing w:before="240" w:line="240" w:lineRule="auto"/>
        <w:contextualSpacing w:val="0"/>
        <w:rPr>
          <w:color w:val="auto"/>
          <w:u w:val="single"/>
        </w:rPr>
      </w:pPr>
      <w:r w:rsidRPr="00CC2E6C">
        <w:rPr>
          <w:color w:val="auto"/>
        </w:rPr>
        <w:t>“</w:t>
      </w:r>
      <w:hyperlink r:id="rId12" w:history="1">
        <w:r w:rsidRPr="00CC2E6C">
          <w:rPr>
            <w:rStyle w:val="Hyperlink"/>
          </w:rPr>
          <w:t>Medicare and Medicaid Programs; Regulatory Provisions To Promote Program Efficiency, Transparency, and Burden Reduction; Fire Safety Requirements for Certain Dialysis Facilities; Hospital and Critical Access Hospital (CAH) Changes To Promote Innovation, Flexibility, and Improvement in Patient Care</w:t>
        </w:r>
      </w:hyperlink>
      <w:r w:rsidRPr="00784167">
        <w:t>,” 84 FR 51732</w:t>
      </w:r>
      <w:r w:rsidR="00B6515A">
        <w:t xml:space="preserve"> </w:t>
      </w:r>
      <w:r w:rsidRPr="00784167">
        <w:t>(September 30, 2019)(hereinafter “</w:t>
      </w:r>
      <w:hyperlink r:id="rId12" w:history="1">
        <w:r w:rsidRPr="006019FE">
          <w:rPr>
            <w:rStyle w:val="Hyperlink"/>
          </w:rPr>
          <w:t>2019 Final Rule</w:t>
        </w:r>
      </w:hyperlink>
      <w:r w:rsidR="00CC2E6C">
        <w:t>”)</w:t>
      </w:r>
      <w:r w:rsidRPr="00784167">
        <w:t xml:space="preserve">. </w:t>
      </w:r>
    </w:p>
    <w:p w:rsidR="00475CB1" w:rsidRPr="00475CB1" w:rsidP="007E1B2C" w14:paraId="763994E1" w14:textId="5CCE952F">
      <w:pPr>
        <w:spacing w:after="240"/>
        <w:ind w:left="450"/>
        <w:rPr>
          <w:sz w:val="24"/>
        </w:rPr>
      </w:pPr>
      <w:r>
        <w:rPr>
          <w:sz w:val="24"/>
        </w:rPr>
        <w:t xml:space="preserve">This reinstatement incorporates the assumptions in </w:t>
      </w:r>
      <w:r w:rsidR="00511839">
        <w:rPr>
          <w:sz w:val="24"/>
        </w:rPr>
        <w:t>all three of</w:t>
      </w:r>
      <w:r>
        <w:rPr>
          <w:sz w:val="24"/>
        </w:rPr>
        <w:t xml:space="preserve"> these final rules related to the </w:t>
      </w:r>
      <w:r w:rsidR="00511839">
        <w:rPr>
          <w:sz w:val="24"/>
        </w:rPr>
        <w:t xml:space="preserve">Emergency Preparedness </w:t>
      </w:r>
      <w:r>
        <w:rPr>
          <w:sz w:val="24"/>
        </w:rPr>
        <w:t xml:space="preserve">CoPs. </w:t>
      </w:r>
      <w:r w:rsidRPr="00475CB1">
        <w:rPr>
          <w:sz w:val="24"/>
        </w:rPr>
        <w:t>The following are the statutory and regulatory citations for the</w:t>
      </w:r>
      <w:r>
        <w:rPr>
          <w:sz w:val="24"/>
        </w:rPr>
        <w:t xml:space="preserve"> Medicare certified</w:t>
      </w:r>
      <w:r w:rsidRPr="00475CB1">
        <w:rPr>
          <w:sz w:val="24"/>
        </w:rPr>
        <w:t xml:space="preserve"> providers and supplier</w:t>
      </w:r>
      <w:r w:rsidR="008C01FA">
        <w:rPr>
          <w:sz w:val="24"/>
        </w:rPr>
        <w:t xml:space="preserve">s </w:t>
      </w:r>
      <w:r w:rsidR="002514D4">
        <w:rPr>
          <w:sz w:val="24"/>
        </w:rPr>
        <w:t xml:space="preserve">that are subject to the Conditions of Participation (CoPs) related to </w:t>
      </w:r>
      <w:r>
        <w:rPr>
          <w:sz w:val="24"/>
        </w:rPr>
        <w:t>E</w:t>
      </w:r>
      <w:r w:rsidRPr="00475CB1">
        <w:rPr>
          <w:sz w:val="24"/>
        </w:rPr>
        <w:t xml:space="preserve">mergency </w:t>
      </w:r>
      <w:r>
        <w:rPr>
          <w:sz w:val="24"/>
        </w:rPr>
        <w:t>P</w:t>
      </w:r>
      <w:r w:rsidRPr="00475CB1">
        <w:rPr>
          <w:sz w:val="24"/>
        </w:rPr>
        <w:t xml:space="preserve">reparedness: </w:t>
      </w:r>
    </w:p>
    <w:p w:rsidR="00475CB1" w:rsidP="007E1B2C" w14:paraId="1A116A1C" w14:textId="3ADA50B4">
      <w:pPr>
        <w:pStyle w:val="ListParagraph"/>
        <w:numPr>
          <w:ilvl w:val="0"/>
          <w:numId w:val="3"/>
        </w:numPr>
        <w:spacing w:line="240" w:lineRule="auto"/>
      </w:pPr>
      <w:r w:rsidRPr="002D3301">
        <w:rPr>
          <w:u w:val="single"/>
        </w:rPr>
        <w:t>Religious Nonmedical Health Care Institutions (RNHCIs)</w:t>
      </w:r>
      <w:r w:rsidRPr="002D3301">
        <w:t xml:space="preserve"> – section 1821 of the Act and 42 CFR 403.700 through 403.756. </w:t>
      </w:r>
    </w:p>
    <w:p w:rsidR="002D3301" w:rsidP="007E1B2C" w14:paraId="28F473DC" w14:textId="77777777">
      <w:pPr>
        <w:pStyle w:val="ListParagraph"/>
        <w:numPr>
          <w:ilvl w:val="0"/>
          <w:numId w:val="3"/>
        </w:numPr>
        <w:spacing w:line="240" w:lineRule="auto"/>
      </w:pPr>
      <w:r w:rsidRPr="002D3301">
        <w:rPr>
          <w:u w:val="single"/>
        </w:rPr>
        <w:t>Ambulatory Surgical Centers (ASCs)</w:t>
      </w:r>
      <w:r w:rsidRPr="002D3301">
        <w:t xml:space="preserve"> – section 1832(a)(2)(F)(</w:t>
      </w:r>
      <w:r w:rsidRPr="002D3301">
        <w:t>i</w:t>
      </w:r>
      <w:r w:rsidRPr="002D3301">
        <w:t>) of the Act and 42 CFR 416.40 through 416.49.</w:t>
      </w:r>
    </w:p>
    <w:p w:rsidR="00475CB1" w:rsidP="007E1B2C" w14:paraId="5E6B37FD" w14:textId="2B319A2D">
      <w:pPr>
        <w:pStyle w:val="ListParagraph"/>
        <w:numPr>
          <w:ilvl w:val="0"/>
          <w:numId w:val="3"/>
        </w:numPr>
        <w:spacing w:line="240" w:lineRule="auto"/>
      </w:pPr>
      <w:r w:rsidRPr="002D3301">
        <w:rPr>
          <w:u w:val="single"/>
        </w:rPr>
        <w:t>Hospices</w:t>
      </w:r>
      <w:r w:rsidRPr="002D3301">
        <w:t xml:space="preserve"> – section 1861(dd)(1) of the Act and 42 CFR 418.52 through 418.116.</w:t>
      </w:r>
    </w:p>
    <w:p w:rsidR="00475CB1" w:rsidP="007E1B2C" w14:paraId="524FC8F0" w14:textId="1A57BBED">
      <w:pPr>
        <w:pStyle w:val="ListParagraph"/>
        <w:numPr>
          <w:ilvl w:val="0"/>
          <w:numId w:val="3"/>
        </w:numPr>
        <w:spacing w:line="240" w:lineRule="auto"/>
      </w:pPr>
      <w:r w:rsidRPr="002D3301">
        <w:rPr>
          <w:u w:val="single"/>
        </w:rPr>
        <w:t xml:space="preserve">Inpatient Psychiatric Services for Individuals Under Age 21 in Psychiatric </w:t>
      </w:r>
      <w:r w:rsidRPr="002D3301" w:rsidR="00D625CC">
        <w:rPr>
          <w:u w:val="single"/>
        </w:rPr>
        <w:t xml:space="preserve">Residential Treatment </w:t>
      </w:r>
      <w:r w:rsidRPr="002D3301" w:rsidR="00221065">
        <w:rPr>
          <w:u w:val="single"/>
        </w:rPr>
        <w:t xml:space="preserve">Facilities </w:t>
      </w:r>
      <w:r w:rsidRPr="002D3301">
        <w:rPr>
          <w:u w:val="single"/>
        </w:rPr>
        <w:t>(PRTFs)</w:t>
      </w:r>
      <w:r w:rsidRPr="002D3301">
        <w:t xml:space="preserve"> – sections1905 (a) and 1905 (h) of the Act and 42 CFR 441.150 through 441.182 and 42 CFR 483.350 through 483.376.</w:t>
      </w:r>
    </w:p>
    <w:p w:rsidR="00475CB1" w:rsidP="007E1B2C" w14:paraId="59DC8BD5" w14:textId="6E3E7A87">
      <w:pPr>
        <w:pStyle w:val="ListParagraph"/>
        <w:numPr>
          <w:ilvl w:val="0"/>
          <w:numId w:val="3"/>
        </w:numPr>
        <w:spacing w:line="240" w:lineRule="auto"/>
      </w:pPr>
      <w:r w:rsidRPr="002D3301">
        <w:rPr>
          <w:u w:val="single"/>
        </w:rPr>
        <w:t>Programs</w:t>
      </w:r>
      <w:r w:rsidRPr="002D3301">
        <w:rPr>
          <w:u w:val="single"/>
        </w:rPr>
        <w:t xml:space="preserve"> of All-Inclusive Care for the Elderly (PACE)</w:t>
      </w:r>
      <w:r w:rsidRPr="002D3301">
        <w:t xml:space="preserve"> - sections 1894, 1905(a), and 1934 of the Act and 42 CFR 460.2 through 460.210.</w:t>
      </w:r>
    </w:p>
    <w:p w:rsidR="00475CB1" w:rsidP="007E1B2C" w14:paraId="7CED52C0" w14:textId="11327908">
      <w:pPr>
        <w:pStyle w:val="ListParagraph"/>
        <w:numPr>
          <w:ilvl w:val="0"/>
          <w:numId w:val="3"/>
        </w:numPr>
        <w:spacing w:line="240" w:lineRule="auto"/>
      </w:pPr>
      <w:r w:rsidRPr="002D3301">
        <w:rPr>
          <w:u w:val="single"/>
        </w:rPr>
        <w:t>Hospitals</w:t>
      </w:r>
      <w:r w:rsidRPr="002D3301">
        <w:t xml:space="preserve"> - section 1861(e)(9) of the Act and 42 CFR 482.1 through 482.66.</w:t>
      </w:r>
    </w:p>
    <w:p w:rsidR="002D3301" w:rsidP="007E1B2C" w14:paraId="7F6BE7C4" w14:textId="581B257B">
      <w:pPr>
        <w:pStyle w:val="ListParagraph"/>
        <w:numPr>
          <w:ilvl w:val="0"/>
          <w:numId w:val="3"/>
        </w:numPr>
        <w:spacing w:line="240" w:lineRule="auto"/>
      </w:pPr>
      <w:r w:rsidRPr="002D3301">
        <w:rPr>
          <w:u w:val="single"/>
        </w:rPr>
        <w:t>Transplant</w:t>
      </w:r>
      <w:r w:rsidRPr="002D3301" w:rsidR="00475CB1">
        <w:rPr>
          <w:u w:val="single"/>
        </w:rPr>
        <w:t xml:space="preserve"> </w:t>
      </w:r>
      <w:r>
        <w:rPr>
          <w:u w:val="single"/>
        </w:rPr>
        <w:t>Programs</w:t>
      </w:r>
      <w:r w:rsidRPr="002D3301" w:rsidR="00475CB1">
        <w:t xml:space="preserve"> – sections 1861(e)(9) and 1881(b)(1) of the Act and 42 CFR 482.68 through 482.104.</w:t>
      </w:r>
    </w:p>
    <w:p w:rsidR="00475CB1" w:rsidP="007E1B2C" w14:paraId="26A0B3A2" w14:textId="7DAE9255">
      <w:pPr>
        <w:pStyle w:val="ListParagraph"/>
        <w:numPr>
          <w:ilvl w:val="0"/>
          <w:numId w:val="3"/>
        </w:numPr>
        <w:spacing w:line="240" w:lineRule="auto"/>
      </w:pPr>
      <w:r w:rsidRPr="002D3301">
        <w:rPr>
          <w:u w:val="single"/>
        </w:rPr>
        <w:t>Long Term Care (LTC) Facilities</w:t>
      </w:r>
      <w:r w:rsidRPr="002D3301">
        <w:t xml:space="preserve"> –Skilled Nursing Facilities (SNFs) –under section 1819 of the Act, Nursing Facilities (NFs) – under section 1919 of the Act, and 42 CFR 483.1 through 483.180.</w:t>
      </w:r>
    </w:p>
    <w:p w:rsidR="002D3301" w:rsidP="007E1B2C" w14:paraId="51644F55" w14:textId="77777777">
      <w:pPr>
        <w:pStyle w:val="ListParagraph"/>
        <w:numPr>
          <w:ilvl w:val="0"/>
          <w:numId w:val="3"/>
        </w:numPr>
        <w:spacing w:line="240" w:lineRule="auto"/>
      </w:pPr>
      <w:r>
        <w:rPr>
          <w:u w:val="single"/>
        </w:rPr>
        <w:t>I</w:t>
      </w:r>
      <w:r w:rsidRPr="002D3301" w:rsidR="008F33A2">
        <w:rPr>
          <w:u w:val="single"/>
        </w:rPr>
        <w:t>ntermediate</w:t>
      </w:r>
      <w:r w:rsidRPr="002D3301" w:rsidR="00475CB1">
        <w:rPr>
          <w:u w:val="single"/>
        </w:rPr>
        <w:t xml:space="preserve"> Care Facilities for Individuals with Intellectual Disabilities (ICF/IID)</w:t>
      </w:r>
      <w:r w:rsidRPr="002D3301" w:rsidR="00475CB1">
        <w:t xml:space="preserve"> - section 1905(d) of the Act and 42 CFR 483.400 through 483.480.</w:t>
      </w:r>
    </w:p>
    <w:p w:rsidR="00475CB1" w:rsidP="007E1B2C" w14:paraId="7D5EBE00" w14:textId="2A1443C1">
      <w:pPr>
        <w:pStyle w:val="ListParagraph"/>
        <w:numPr>
          <w:ilvl w:val="0"/>
          <w:numId w:val="3"/>
        </w:numPr>
        <w:spacing w:line="240" w:lineRule="auto"/>
      </w:pPr>
      <w:r w:rsidRPr="002D3301">
        <w:rPr>
          <w:u w:val="single"/>
        </w:rPr>
        <w:t>Home</w:t>
      </w:r>
      <w:r w:rsidRPr="002D3301">
        <w:rPr>
          <w:u w:val="single"/>
        </w:rPr>
        <w:t xml:space="preserve"> Health Agencies (HHAs)</w:t>
      </w:r>
      <w:r w:rsidRPr="002D3301">
        <w:t xml:space="preserve"> - sections 1861(o), 1891 of the Act and 42 CFR 484.1 through 484.55.</w:t>
      </w:r>
    </w:p>
    <w:p w:rsidR="00475CB1" w:rsidP="007E1B2C" w14:paraId="36ABF0C6" w14:textId="00C49BDE">
      <w:pPr>
        <w:pStyle w:val="ListParagraph"/>
        <w:numPr>
          <w:ilvl w:val="0"/>
          <w:numId w:val="3"/>
        </w:numPr>
        <w:spacing w:line="240" w:lineRule="auto"/>
      </w:pPr>
      <w:r w:rsidRPr="002D3301">
        <w:rPr>
          <w:u w:val="single"/>
        </w:rPr>
        <w:t>Comprehensive</w:t>
      </w:r>
      <w:r w:rsidRPr="002D3301">
        <w:rPr>
          <w:u w:val="single"/>
        </w:rPr>
        <w:t xml:space="preserve"> Outpatient Rehabilitation Facilities (CORFs)</w:t>
      </w:r>
      <w:r w:rsidRPr="002D3301">
        <w:t xml:space="preserve"> - section 1861(cc)(2) of the Act and 42 CFR 485.50 through 485.74.</w:t>
      </w:r>
    </w:p>
    <w:p w:rsidR="00475CB1" w:rsidP="007E1B2C" w14:paraId="7D40AF9F" w14:textId="07CCF647">
      <w:pPr>
        <w:pStyle w:val="ListParagraph"/>
        <w:numPr>
          <w:ilvl w:val="0"/>
          <w:numId w:val="3"/>
        </w:numPr>
        <w:spacing w:line="240" w:lineRule="auto"/>
      </w:pPr>
      <w:r w:rsidRPr="002D3301">
        <w:rPr>
          <w:u w:val="single"/>
        </w:rPr>
        <w:t>Critical</w:t>
      </w:r>
      <w:r w:rsidRPr="002D3301">
        <w:rPr>
          <w:u w:val="single"/>
        </w:rPr>
        <w:t xml:space="preserve"> Access Hospitals (CAHs)</w:t>
      </w:r>
      <w:r w:rsidRPr="002D3301">
        <w:t xml:space="preserve"> - sections 1820 and 1861(mm)of the Act and 42 CFR 485.601 through 485.647.</w:t>
      </w:r>
    </w:p>
    <w:p w:rsidR="002D3301" w:rsidP="007E1B2C" w14:paraId="3512E7FD" w14:textId="79C13287">
      <w:pPr>
        <w:pStyle w:val="ListParagraph"/>
        <w:numPr>
          <w:ilvl w:val="0"/>
          <w:numId w:val="3"/>
        </w:numPr>
        <w:spacing w:line="240" w:lineRule="auto"/>
      </w:pPr>
      <w:r w:rsidRPr="002D3301">
        <w:rPr>
          <w:u w:val="single"/>
        </w:rPr>
        <w:t>Clinics, Rehabilitation Agencies, and Public Health Agencies as Providers of Outpatient Physical Therapy and Speech-Language Pathology Services</w:t>
      </w:r>
      <w:r>
        <w:rPr>
          <w:u w:val="single"/>
        </w:rPr>
        <w:t xml:space="preserve"> (</w:t>
      </w:r>
      <w:r w:rsidR="00893000">
        <w:rPr>
          <w:u w:val="single"/>
        </w:rPr>
        <w:t>“Organizations”</w:t>
      </w:r>
      <w:r w:rsidRPr="002D3301">
        <w:rPr>
          <w:u w:val="single"/>
        </w:rPr>
        <w:t>)</w:t>
      </w:r>
      <w:r w:rsidRPr="002D3301">
        <w:t xml:space="preserve"> – section 1861(p) of the Act and 42 CFR 485.701 through 485.729.</w:t>
      </w:r>
    </w:p>
    <w:p w:rsidR="002D3301" w:rsidP="007E1B2C" w14:paraId="02A72E4C" w14:textId="77777777">
      <w:pPr>
        <w:pStyle w:val="ListParagraph"/>
        <w:numPr>
          <w:ilvl w:val="0"/>
          <w:numId w:val="3"/>
        </w:numPr>
        <w:spacing w:line="240" w:lineRule="auto"/>
      </w:pPr>
      <w:r w:rsidRPr="002D3301">
        <w:rPr>
          <w:u w:val="single"/>
        </w:rPr>
        <w:t>Community Mental Health Centers (CMHCs)</w:t>
      </w:r>
      <w:r w:rsidRPr="002D3301">
        <w:t xml:space="preserve"> – section 1861(ff)(3)(B)(</w:t>
      </w:r>
      <w:r w:rsidRPr="002D3301">
        <w:t>i</w:t>
      </w:r>
      <w:r w:rsidRPr="002D3301">
        <w:t>)(ii) of the Act, §1913(c)(1) of the PHS Act, and 42 CFR §410.110</w:t>
      </w:r>
      <w:r>
        <w:t>.</w:t>
      </w:r>
    </w:p>
    <w:p w:rsidR="00475CB1" w:rsidP="007E1B2C" w14:paraId="555FFFD2" w14:textId="5B428D5B">
      <w:pPr>
        <w:pStyle w:val="ListParagraph"/>
        <w:numPr>
          <w:ilvl w:val="0"/>
          <w:numId w:val="3"/>
        </w:numPr>
        <w:spacing w:line="240" w:lineRule="auto"/>
      </w:pPr>
      <w:r w:rsidRPr="002D3301">
        <w:rPr>
          <w:u w:val="single"/>
        </w:rPr>
        <w:t>Organ</w:t>
      </w:r>
      <w:r w:rsidRPr="002D3301">
        <w:rPr>
          <w:u w:val="single"/>
        </w:rPr>
        <w:t xml:space="preserve"> Procurement Organizations (OPOs)</w:t>
      </w:r>
      <w:r w:rsidRPr="002D3301">
        <w:t xml:space="preserve"> - section 1138 of the Act and section 371 of the PHS Act and 42 CFR 486.301 through 486.348.</w:t>
      </w:r>
    </w:p>
    <w:p w:rsidR="00916816" w:rsidP="007E1B2C" w14:paraId="1114BB18" w14:textId="77777777">
      <w:pPr>
        <w:pStyle w:val="ListParagraph"/>
        <w:numPr>
          <w:ilvl w:val="0"/>
          <w:numId w:val="3"/>
        </w:numPr>
        <w:spacing w:line="240" w:lineRule="auto"/>
      </w:pPr>
      <w:r w:rsidRPr="002D3301">
        <w:rPr>
          <w:u w:val="single"/>
        </w:rPr>
        <w:t>Rural</w:t>
      </w:r>
      <w:r w:rsidRPr="002D3301" w:rsidR="00475CB1">
        <w:rPr>
          <w:u w:val="single"/>
        </w:rPr>
        <w:t xml:space="preserve"> Health Clinics (RHCs)</w:t>
      </w:r>
      <w:r w:rsidRPr="002D3301" w:rsidR="00475CB1">
        <w:t xml:space="preserve"> - section 1861(aa) of the Act and 42 CFR 491.1 through 491.11; Federally Qualified Health Centers (FQHCs) - section 1861(aa) of the Act and 42 CFR 491.1 through 491.11, except 491.3.</w:t>
      </w:r>
    </w:p>
    <w:p w:rsidR="003C1535" w:rsidP="007E1B2C" w14:paraId="269952AB" w14:textId="2479B51B">
      <w:pPr>
        <w:pStyle w:val="ListParagraph"/>
        <w:numPr>
          <w:ilvl w:val="0"/>
          <w:numId w:val="3"/>
        </w:numPr>
        <w:spacing w:line="240" w:lineRule="auto"/>
      </w:pPr>
      <w:r w:rsidRPr="00916816">
        <w:rPr>
          <w:u w:val="single"/>
        </w:rPr>
        <w:t>End</w:t>
      </w:r>
      <w:r w:rsidRPr="00916816" w:rsidR="00475CB1">
        <w:rPr>
          <w:u w:val="single"/>
        </w:rPr>
        <w:t>-Stage Renal Disease (ESRD) Facilities</w:t>
      </w:r>
      <w:r w:rsidRPr="002D3301" w:rsidR="00475CB1">
        <w:t xml:space="preserve"> – sections 1881(b), 1881(c), 1881(f)(7) of the Act and 42 CFR 494.1 through 494.180.</w:t>
      </w:r>
      <w:r w:rsidRPr="002D3301">
        <w:t>Rural Emergency Hospitals (REHs)</w:t>
      </w:r>
      <w:r>
        <w:t xml:space="preserve"> - </w:t>
      </w:r>
      <w:r w:rsidRPr="002D3301">
        <w:t xml:space="preserve">section </w:t>
      </w:r>
      <w:r w:rsidRPr="006933AD" w:rsidR="006933AD">
        <w:t>1861(</w:t>
      </w:r>
      <w:r w:rsidRPr="006933AD" w:rsidR="006933AD">
        <w:t>kkk</w:t>
      </w:r>
      <w:r w:rsidRPr="006933AD" w:rsidR="006933AD">
        <w:t xml:space="preserve">)(1) </w:t>
      </w:r>
      <w:r w:rsidRPr="002D3301" w:rsidR="00344616">
        <w:t xml:space="preserve">of the Act and </w:t>
      </w:r>
      <w:r w:rsidRPr="002D3301">
        <w:t>42 CFR 485.500 through 485.546</w:t>
      </w:r>
    </w:p>
    <w:p w:rsidR="00BE5237" w:rsidP="00206D3B" w14:paraId="151B682D" w14:textId="60A14CE4">
      <w:pPr>
        <w:widowControl/>
        <w:tabs>
          <w:tab w:val="left" w:pos="-2160"/>
          <w:tab w:val="left" w:pos="-1440"/>
          <w:tab w:val="left" w:pos="-720"/>
        </w:tabs>
        <w:ind w:left="450"/>
      </w:pPr>
      <w:r>
        <w:rPr>
          <w:sz w:val="24"/>
        </w:rPr>
        <w:t>Although all 19 providers must meet the emergency preparedness CoPs, this information collection captures the burden necessary to support the development and implementation of emergency preparedness requirements for</w:t>
      </w:r>
      <w:r w:rsidRPr="008C01FA">
        <w:rPr>
          <w:sz w:val="24"/>
        </w:rPr>
        <w:t xml:space="preserve"> </w:t>
      </w:r>
      <w:r>
        <w:rPr>
          <w:sz w:val="24"/>
        </w:rPr>
        <w:t>17</w:t>
      </w:r>
      <w:r w:rsidRPr="008C01FA">
        <w:rPr>
          <w:sz w:val="24"/>
        </w:rPr>
        <w:t xml:space="preserve"> affected Medicare and Medicaid providers and suppliers.  </w:t>
      </w:r>
    </w:p>
    <w:p w:rsidR="00834797" w:rsidP="00475CB1" w14:paraId="3098B4E4" w14:textId="77777777">
      <w:pPr>
        <w:ind w:left="450"/>
        <w:rPr>
          <w:sz w:val="24"/>
        </w:rPr>
      </w:pPr>
    </w:p>
    <w:p w:rsidR="00CD6B97" w:rsidP="00475CB1" w14:paraId="5202BE95" w14:textId="6346A0F3">
      <w:pPr>
        <w:ind w:left="450"/>
        <w:rPr>
          <w:sz w:val="24"/>
        </w:rPr>
      </w:pPr>
      <w:r>
        <w:rPr>
          <w:bCs/>
          <w:sz w:val="24"/>
        </w:rPr>
        <w:t xml:space="preserve">First, we are not including the burden associated with </w:t>
      </w:r>
      <w:r>
        <w:rPr>
          <w:sz w:val="24"/>
        </w:rPr>
        <w:t>the information collection requirement</w:t>
      </w:r>
      <w:r w:rsidRPr="007A692A">
        <w:rPr>
          <w:sz w:val="24"/>
        </w:rPr>
        <w:t>s</w:t>
      </w:r>
      <w:r>
        <w:rPr>
          <w:sz w:val="24"/>
        </w:rPr>
        <w:t xml:space="preserve"> (ICRs)</w:t>
      </w:r>
      <w:r w:rsidRPr="007A692A">
        <w:rPr>
          <w:sz w:val="24"/>
        </w:rPr>
        <w:t xml:space="preserve"> </w:t>
      </w:r>
      <w:r>
        <w:rPr>
          <w:bCs/>
          <w:sz w:val="24"/>
        </w:rPr>
        <w:t xml:space="preserve">for </w:t>
      </w:r>
      <w:r w:rsidRPr="00F83A13">
        <w:rPr>
          <w:sz w:val="24"/>
          <w:szCs w:val="32"/>
        </w:rPr>
        <w:t>skilled nursing facilities (SNFs) and nursing facilities (NFs)</w:t>
      </w:r>
      <w:r>
        <w:rPr>
          <w:sz w:val="24"/>
          <w:szCs w:val="32"/>
        </w:rPr>
        <w:t xml:space="preserve"> at 42 CFR </w:t>
      </w:r>
      <w:r w:rsidRPr="007A692A">
        <w:rPr>
          <w:sz w:val="24"/>
        </w:rPr>
        <w:t xml:space="preserve">§483.73 </w:t>
      </w:r>
      <w:r>
        <w:rPr>
          <w:sz w:val="24"/>
        </w:rPr>
        <w:t>because</w:t>
      </w:r>
      <w:r w:rsidR="0039324F">
        <w:rPr>
          <w:sz w:val="24"/>
        </w:rPr>
        <w:t xml:space="preserve"> the</w:t>
      </w:r>
      <w:r>
        <w:rPr>
          <w:sz w:val="24"/>
        </w:rPr>
        <w:t xml:space="preserve"> </w:t>
      </w:r>
      <w:r w:rsidRPr="007A692A">
        <w:rPr>
          <w:sz w:val="24"/>
        </w:rPr>
        <w:t>Paperwork Reduction Act (PRA) requirements</w:t>
      </w:r>
      <w:r>
        <w:rPr>
          <w:sz w:val="24"/>
        </w:rPr>
        <w:t xml:space="preserve"> are waived </w:t>
      </w:r>
      <w:r w:rsidRPr="007A692A">
        <w:rPr>
          <w:sz w:val="24"/>
        </w:rPr>
        <w:t>for regulations</w:t>
      </w:r>
      <w:r>
        <w:rPr>
          <w:sz w:val="24"/>
          <w:szCs w:val="32"/>
        </w:rPr>
        <w:t xml:space="preserve"> </w:t>
      </w:r>
      <w:r>
        <w:rPr>
          <w:sz w:val="24"/>
        </w:rPr>
        <w:t xml:space="preserve">pertaining to </w:t>
      </w:r>
      <w:r w:rsidRPr="007A692A">
        <w:rPr>
          <w:sz w:val="24"/>
        </w:rPr>
        <w:t xml:space="preserve">SNFs and NFs </w:t>
      </w:r>
      <w:r>
        <w:rPr>
          <w:sz w:val="24"/>
        </w:rPr>
        <w:t xml:space="preserve">per </w:t>
      </w:r>
      <w:r>
        <w:rPr>
          <w:bCs/>
          <w:sz w:val="24"/>
        </w:rPr>
        <w:t>S</w:t>
      </w:r>
      <w:r w:rsidRPr="007A692A">
        <w:rPr>
          <w:sz w:val="24"/>
        </w:rPr>
        <w:t>ections 4204(b) and 4214(d</w:t>
      </w:r>
      <w:r>
        <w:rPr>
          <w:sz w:val="24"/>
        </w:rPr>
        <w:t xml:space="preserve">) of </w:t>
      </w:r>
      <w:r w:rsidRPr="007A692A">
        <w:rPr>
          <w:sz w:val="24"/>
        </w:rPr>
        <w:t>the Omnibus Budget Reconciliation Act of 1987 (OBRA '87)</w:t>
      </w:r>
      <w:r>
        <w:rPr>
          <w:sz w:val="24"/>
        </w:rPr>
        <w:t>.</w:t>
      </w:r>
      <w:r w:rsidRPr="00CD6B97">
        <w:rPr>
          <w:rStyle w:val="FootnoteReference"/>
          <w:sz w:val="24"/>
          <w:szCs w:val="32"/>
          <w:vertAlign w:val="superscript"/>
        </w:rPr>
        <w:t xml:space="preserve"> </w:t>
      </w:r>
      <w:r>
        <w:rPr>
          <w:rStyle w:val="FootnoteReference"/>
          <w:sz w:val="24"/>
          <w:szCs w:val="32"/>
          <w:vertAlign w:val="superscript"/>
        </w:rPr>
        <w:footnoteReference w:id="3"/>
      </w:r>
      <w:r w:rsidRPr="00DC4AD9">
        <w:rPr>
          <w:sz w:val="24"/>
          <w:szCs w:val="32"/>
          <w:vertAlign w:val="superscript"/>
        </w:rPr>
        <w:t xml:space="preserve"> </w:t>
      </w:r>
    </w:p>
    <w:p w:rsidR="001617D0" w:rsidP="00475CB1" w14:paraId="44B552B2" w14:textId="77777777">
      <w:pPr>
        <w:ind w:left="450"/>
        <w:rPr>
          <w:sz w:val="24"/>
        </w:rPr>
      </w:pPr>
    </w:p>
    <w:p w:rsidR="00CD6B97" w:rsidP="0039324F" w14:paraId="05B1DE5D" w14:textId="0DCA42F5">
      <w:pPr>
        <w:ind w:left="432"/>
        <w:rPr>
          <w:sz w:val="24"/>
        </w:rPr>
      </w:pPr>
      <w:r>
        <w:rPr>
          <w:sz w:val="24"/>
        </w:rPr>
        <w:t xml:space="preserve">Second, </w:t>
      </w:r>
      <w:r>
        <w:rPr>
          <w:sz w:val="24"/>
          <w:szCs w:val="32"/>
        </w:rPr>
        <w:t xml:space="preserve">similar to the prior supporting statement, </w:t>
      </w:r>
      <w:r>
        <w:rPr>
          <w:sz w:val="24"/>
        </w:rPr>
        <w:t xml:space="preserve">we </w:t>
      </w:r>
      <w:r>
        <w:rPr>
          <w:sz w:val="24"/>
        </w:rPr>
        <w:t>are</w:t>
      </w:r>
      <w:r>
        <w:rPr>
          <w:sz w:val="24"/>
        </w:rPr>
        <w:t xml:space="preserve"> not includ</w:t>
      </w:r>
      <w:r>
        <w:rPr>
          <w:sz w:val="24"/>
        </w:rPr>
        <w:t>ing</w:t>
      </w:r>
      <w:r>
        <w:rPr>
          <w:sz w:val="24"/>
        </w:rPr>
        <w:t xml:space="preserve"> </w:t>
      </w:r>
      <w:r>
        <w:rPr>
          <w:sz w:val="24"/>
        </w:rPr>
        <w:t xml:space="preserve">the </w:t>
      </w:r>
      <w:r>
        <w:rPr>
          <w:sz w:val="24"/>
        </w:rPr>
        <w:t>burden associated with</w:t>
      </w:r>
      <w:r>
        <w:rPr>
          <w:sz w:val="24"/>
        </w:rPr>
        <w:t xml:space="preserve"> </w:t>
      </w:r>
      <w:r w:rsidRPr="00F83A13">
        <w:rPr>
          <w:sz w:val="24"/>
          <w:szCs w:val="32"/>
        </w:rPr>
        <w:t>information collection</w:t>
      </w:r>
      <w:r>
        <w:rPr>
          <w:sz w:val="24"/>
        </w:rPr>
        <w:t xml:space="preserve"> requirements </w:t>
      </w:r>
      <w:r w:rsidRPr="00F83A13">
        <w:rPr>
          <w:sz w:val="24"/>
          <w:szCs w:val="32"/>
        </w:rPr>
        <w:t xml:space="preserve">(ICRs) </w:t>
      </w:r>
      <w:r>
        <w:rPr>
          <w:sz w:val="24"/>
        </w:rPr>
        <w:t xml:space="preserve">for transplant </w:t>
      </w:r>
      <w:r>
        <w:rPr>
          <w:sz w:val="24"/>
        </w:rPr>
        <w:t>programs at s</w:t>
      </w:r>
      <w:r w:rsidRPr="00221065">
        <w:rPr>
          <w:sz w:val="24"/>
        </w:rPr>
        <w:t xml:space="preserve">ection 482.78 </w:t>
      </w:r>
      <w:r>
        <w:rPr>
          <w:sz w:val="24"/>
        </w:rPr>
        <w:t xml:space="preserve">in order to avoid duplication. Hospitals in which a transplant program is located (“transplant hospitals”) must account for the </w:t>
      </w:r>
      <w:r w:rsidRPr="00221065">
        <w:rPr>
          <w:sz w:val="24"/>
        </w:rPr>
        <w:t xml:space="preserve">transplant program in the </w:t>
      </w:r>
      <w:r>
        <w:rPr>
          <w:sz w:val="24"/>
        </w:rPr>
        <w:t xml:space="preserve">hospitals’ </w:t>
      </w:r>
      <w:r w:rsidRPr="00221065">
        <w:rPr>
          <w:sz w:val="24"/>
        </w:rPr>
        <w:t>emergency preparedness</w:t>
      </w:r>
      <w:r>
        <w:rPr>
          <w:sz w:val="24"/>
        </w:rPr>
        <w:t xml:space="preserve"> requirements set forth in §</w:t>
      </w:r>
      <w:r w:rsidRPr="00221065">
        <w:rPr>
          <w:sz w:val="24"/>
        </w:rPr>
        <w:t>482.15</w:t>
      </w:r>
      <w:r w:rsidRPr="00221065" w:rsidR="00936BE1">
        <w:rPr>
          <w:sz w:val="24"/>
        </w:rPr>
        <w:t xml:space="preserve">. </w:t>
      </w:r>
      <w:r>
        <w:rPr>
          <w:sz w:val="24"/>
        </w:rPr>
        <w:t xml:space="preserve">Thus, the burden for hospitals to meet </w:t>
      </w:r>
      <w:r w:rsidRPr="00221065">
        <w:rPr>
          <w:sz w:val="24"/>
        </w:rPr>
        <w:t xml:space="preserve">the emergency preparedness </w:t>
      </w:r>
      <w:r>
        <w:rPr>
          <w:sz w:val="24"/>
        </w:rPr>
        <w:t xml:space="preserve">CoPs at </w:t>
      </w:r>
      <w:r w:rsidRPr="00221065">
        <w:rPr>
          <w:sz w:val="24"/>
        </w:rPr>
        <w:t>§482.15</w:t>
      </w:r>
      <w:r>
        <w:rPr>
          <w:sz w:val="24"/>
        </w:rPr>
        <w:t xml:space="preserve"> includes the burden for transplant programs to meet their CoPs at §482.78</w:t>
      </w:r>
      <w:r w:rsidR="00936BE1">
        <w:rPr>
          <w:sz w:val="24"/>
        </w:rPr>
        <w:t>.</w:t>
      </w:r>
      <w:r w:rsidRPr="00221065" w:rsidR="00936BE1">
        <w:rPr>
          <w:sz w:val="24"/>
        </w:rPr>
        <w:t xml:space="preserve"> </w:t>
      </w:r>
    </w:p>
    <w:p w:rsidR="00BC7132" w:rsidP="00475CB1" w14:paraId="4C9E8AC8" w14:textId="77777777">
      <w:pPr>
        <w:ind w:left="450"/>
        <w:rPr>
          <w:sz w:val="24"/>
        </w:rPr>
      </w:pPr>
    </w:p>
    <w:p w:rsidR="008F1EB4" w:rsidRPr="003D54E5" w:rsidP="00941BCA" w14:paraId="7CD17DDE" w14:textId="77777777">
      <w:pPr>
        <w:pStyle w:val="Heading3"/>
      </w:pPr>
      <w:r w:rsidRPr="003D54E5">
        <w:t>2.</w:t>
      </w:r>
      <w:r w:rsidRPr="003D54E5">
        <w:tab/>
        <w:t>Information Users</w:t>
      </w:r>
    </w:p>
    <w:p w:rsidR="008F1EB4" w14:paraId="0BD6B2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40D47" w:rsidRPr="00540D47" w:rsidP="00540D47" w14:paraId="46794EB3" w14:textId="538F56DE">
      <w:pPr>
        <w:ind w:left="432"/>
        <w:rPr>
          <w:sz w:val="24"/>
        </w:rPr>
      </w:pPr>
      <w:r>
        <w:rPr>
          <w:sz w:val="24"/>
        </w:rPr>
        <w:t>This regulation</w:t>
      </w:r>
      <w:r w:rsidR="008F33A2">
        <w:rPr>
          <w:sz w:val="24"/>
        </w:rPr>
        <w:t xml:space="preserve"> require</w:t>
      </w:r>
      <w:r>
        <w:rPr>
          <w:sz w:val="24"/>
        </w:rPr>
        <w:t>s</w:t>
      </w:r>
      <w:r w:rsidRPr="003863E6">
        <w:rPr>
          <w:sz w:val="24"/>
        </w:rPr>
        <w:t xml:space="preserve"> </w:t>
      </w:r>
      <w:r w:rsidR="008F33A2">
        <w:rPr>
          <w:sz w:val="24"/>
        </w:rPr>
        <w:t>Medicare and Medicaid participating providers and suppliers to establish emergency preparedness policies and procedures  to adequately plan for both natural and man-made disasters</w:t>
      </w:r>
      <w:r w:rsidRPr="00E223CC" w:rsidR="00E223CC">
        <w:rPr>
          <w:bCs/>
          <w:sz w:val="24"/>
        </w:rPr>
        <w:t>.</w:t>
      </w:r>
      <w:r w:rsidR="00E223CC">
        <w:rPr>
          <w:bCs/>
          <w:sz w:val="24"/>
        </w:rPr>
        <w:t xml:space="preserve"> </w:t>
      </w:r>
      <w:r w:rsidR="00022F06">
        <w:rPr>
          <w:bCs/>
          <w:sz w:val="24"/>
        </w:rPr>
        <w:t>The healthcare industry, along with CMS,</w:t>
      </w:r>
      <w:r w:rsidR="00D625CC">
        <w:rPr>
          <w:bCs/>
          <w:sz w:val="24"/>
        </w:rPr>
        <w:t xml:space="preserve"> </w:t>
      </w:r>
      <w:r w:rsidRPr="003863E6" w:rsidR="00260B06">
        <w:rPr>
          <w:sz w:val="24"/>
        </w:rPr>
        <w:t>primarily use</w:t>
      </w:r>
      <w:r w:rsidR="0030020F">
        <w:rPr>
          <w:sz w:val="24"/>
        </w:rPr>
        <w:t>s</w:t>
      </w:r>
      <w:r w:rsidRPr="003863E6" w:rsidR="00260B06">
        <w:rPr>
          <w:sz w:val="24"/>
        </w:rPr>
        <w:t xml:space="preserve"> the information collected </w:t>
      </w:r>
      <w:r w:rsidRPr="003863E6">
        <w:rPr>
          <w:sz w:val="24"/>
        </w:rPr>
        <w:t xml:space="preserve">to </w:t>
      </w:r>
      <w:r w:rsidR="008F33A2">
        <w:rPr>
          <w:sz w:val="24"/>
        </w:rPr>
        <w:t>ensure the well-being and safety of patients and residents</w:t>
      </w:r>
      <w:r w:rsidR="007577C4">
        <w:rPr>
          <w:sz w:val="24"/>
        </w:rPr>
        <w:t>, including staff,</w:t>
      </w:r>
      <w:r w:rsidR="008F33A2">
        <w:rPr>
          <w:sz w:val="24"/>
        </w:rPr>
        <w:t xml:space="preserve"> while also </w:t>
      </w:r>
      <w:r w:rsidRPr="003863E6">
        <w:rPr>
          <w:sz w:val="24"/>
        </w:rPr>
        <w:t>prevent</w:t>
      </w:r>
      <w:r w:rsidR="008F33A2">
        <w:rPr>
          <w:sz w:val="24"/>
        </w:rPr>
        <w:t>ing</w:t>
      </w:r>
      <w:r w:rsidRPr="003863E6">
        <w:rPr>
          <w:sz w:val="24"/>
        </w:rPr>
        <w:t xml:space="preserve"> violations under their programs</w:t>
      </w:r>
      <w:r w:rsidRPr="003863E6" w:rsidR="00260B06">
        <w:rPr>
          <w:sz w:val="24"/>
        </w:rPr>
        <w:t>.</w:t>
      </w:r>
      <w:r w:rsidR="00260B06">
        <w:rPr>
          <w:sz w:val="24"/>
        </w:rPr>
        <w:t xml:space="preserve"> </w:t>
      </w:r>
      <w:r w:rsidRPr="003863E6">
        <w:rPr>
          <w:sz w:val="24"/>
        </w:rPr>
        <w:t xml:space="preserve">CMS </w:t>
      </w:r>
      <w:r w:rsidR="00474E4B">
        <w:rPr>
          <w:sz w:val="24"/>
        </w:rPr>
        <w:t>will</w:t>
      </w:r>
      <w:r w:rsidR="00260B06">
        <w:rPr>
          <w:sz w:val="24"/>
        </w:rPr>
        <w:t xml:space="preserve"> also use this information </w:t>
      </w:r>
      <w:r w:rsidRPr="003863E6">
        <w:rPr>
          <w:sz w:val="24"/>
        </w:rPr>
        <w:t>for regulatory and other enforce</w:t>
      </w:r>
      <w:r w:rsidR="007577C4">
        <w:rPr>
          <w:sz w:val="24"/>
        </w:rPr>
        <w:t>ment purposes, as well as for emergency planning and program development.</w:t>
      </w:r>
      <w:r w:rsidRPr="00540D47">
        <w:rPr>
          <w:sz w:val="24"/>
        </w:rPr>
        <w:t xml:space="preserve"> </w:t>
      </w:r>
    </w:p>
    <w:p w:rsidR="008F1EB4" w14:paraId="36CD08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41BCA" w14:paraId="72D6E61A" w14:textId="3D045D16">
      <w:pPr>
        <w:pStyle w:val="Heading3"/>
      </w:pPr>
      <w:r w:rsidRPr="00FC4154">
        <w:t>3.</w:t>
      </w:r>
      <w:r w:rsidRPr="00FC4154">
        <w:tab/>
      </w:r>
      <w:r w:rsidR="000D11AB">
        <w:t xml:space="preserve">Improved </w:t>
      </w:r>
      <w:r w:rsidRPr="00FC4154">
        <w:t>Information Technology</w:t>
      </w:r>
    </w:p>
    <w:p w:rsidR="00FC4154" w:rsidRPr="00FC4154" w14:paraId="394660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B74A2" w:rsidP="00540D47" w14:paraId="5BF279F4" w14:textId="67B65755">
      <w:pPr>
        <w:pStyle w:val="ListParagraph"/>
        <w:spacing w:line="240" w:lineRule="auto"/>
        <w:ind w:left="446"/>
      </w:pPr>
      <w:r>
        <w:t xml:space="preserve">Providers and suppliers may use various information technologies </w:t>
      </w:r>
      <w:r w:rsidR="00782F6F">
        <w:t xml:space="preserve">to comply with the requirements of this </w:t>
      </w:r>
      <w:r>
        <w:t xml:space="preserve">regulation. </w:t>
      </w:r>
      <w:r w:rsidR="000D11AB">
        <w:t>F</w:t>
      </w:r>
      <w:r w:rsidRPr="00B1302A" w:rsidR="00B1302A">
        <w:t>acilit</w:t>
      </w:r>
      <w:r w:rsidR="000D11AB">
        <w:t xml:space="preserve">ies </w:t>
      </w:r>
      <w:r w:rsidRPr="00B1302A" w:rsidR="00B1302A">
        <w:t xml:space="preserve"> </w:t>
      </w:r>
      <w:r w:rsidR="000D11AB">
        <w:t>are</w:t>
      </w:r>
      <w:r w:rsidRPr="00B1302A" w:rsidR="00B1302A">
        <w:t xml:space="preserve"> free to take advantage of any technological advances that they find appropriate for their needs.</w:t>
      </w:r>
    </w:p>
    <w:p w:rsidR="003C1535" w:rsidP="00540D47" w14:paraId="6AD77D57" w14:textId="77777777">
      <w:pPr>
        <w:pStyle w:val="ListParagraph"/>
        <w:spacing w:line="240" w:lineRule="auto"/>
        <w:ind w:left="446"/>
      </w:pPr>
    </w:p>
    <w:p w:rsidR="008F1EB4" w:rsidP="00941BCA" w14:paraId="003D6E18" w14:textId="594145F3">
      <w:pPr>
        <w:pStyle w:val="Heading3"/>
      </w:pPr>
      <w:r>
        <w:t>4.</w:t>
      </w:r>
      <w:r>
        <w:tab/>
        <w:t xml:space="preserve">Duplication of </w:t>
      </w:r>
      <w:r w:rsidR="000D11AB">
        <w:t xml:space="preserve">Similar Information </w:t>
      </w:r>
    </w:p>
    <w:p w:rsidR="008F1EB4" w:rsidRPr="00540D47" w14:paraId="4FB54A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11AB" w:rsidRPr="00540D47" w:rsidP="007E1B2C" w14:paraId="3C2B9C05" w14:textId="3791C316">
      <w:pPr>
        <w:ind w:left="432"/>
        <w:rPr>
          <w:sz w:val="24"/>
        </w:rPr>
      </w:pPr>
      <w:r>
        <w:rPr>
          <w:sz w:val="24"/>
        </w:rPr>
        <w:t xml:space="preserve"> </w:t>
      </w:r>
      <w:r w:rsidRPr="00540D47" w:rsidR="00540D47">
        <w:rPr>
          <w:sz w:val="24"/>
        </w:rPr>
        <w:t>There are no other information collections that dupl</w:t>
      </w:r>
      <w:r w:rsidR="009F0550">
        <w:rPr>
          <w:sz w:val="24"/>
        </w:rPr>
        <w:t xml:space="preserve">icate the ICRs in the </w:t>
      </w:r>
      <w:r w:rsidR="00EB64A4">
        <w:rPr>
          <w:sz w:val="24"/>
        </w:rPr>
        <w:t xml:space="preserve">final </w:t>
      </w:r>
      <w:r w:rsidR="009F0550">
        <w:rPr>
          <w:sz w:val="24"/>
        </w:rPr>
        <w:t>rule</w:t>
      </w:r>
      <w:r w:rsidRPr="00540D47" w:rsidR="00540D47">
        <w:rPr>
          <w:sz w:val="24"/>
        </w:rPr>
        <w:t>.</w:t>
      </w:r>
      <w:r w:rsidRPr="00540D47" w:rsidR="007E1B2C">
        <w:rPr>
          <w:sz w:val="24"/>
        </w:rPr>
        <w:t xml:space="preserve"> </w:t>
      </w:r>
    </w:p>
    <w:p w:rsidR="008F1EB4" w14:paraId="437A56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41BCA" w14:paraId="4765B350" w14:textId="77777777">
      <w:pPr>
        <w:pStyle w:val="Heading3"/>
      </w:pPr>
      <w:r w:rsidRPr="00FC4154">
        <w:t>5.</w:t>
      </w:r>
      <w:r w:rsidRPr="00FC4154">
        <w:tab/>
        <w:t>Small Businesses</w:t>
      </w:r>
      <w:r w:rsidRPr="00FC4154" w:rsidR="002E5556">
        <w:t xml:space="preserve"> </w:t>
      </w:r>
    </w:p>
    <w:p w:rsidR="00FC4154" w:rsidRPr="00FC4154" w14:paraId="239CEF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7E1B2C" w14:paraId="68CE868C" w14:textId="366213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11AB">
        <w:rPr>
          <w:sz w:val="24"/>
        </w:rPr>
        <w:t xml:space="preserve">These requirements do affect small businesses. </w:t>
      </w:r>
      <w:r>
        <w:rPr>
          <w:sz w:val="24"/>
        </w:rPr>
        <w:t>However, t</w:t>
      </w:r>
      <w:r w:rsidRPr="00B1302A" w:rsidR="00B1302A">
        <w:rPr>
          <w:sz w:val="24"/>
        </w:rPr>
        <w:t xml:space="preserve">he general nature of the requirements allows the flexibility for facilities to meet the requirement in a way consistent with their existing operations. </w:t>
      </w:r>
      <w:r w:rsidRPr="00B1302A" w:rsidR="003C1535">
        <w:rPr>
          <w:sz w:val="24"/>
        </w:rPr>
        <w:t>In an effort to minimize burden, we have also evaluated existing Federal, state and local laws that are currently imposed on the providers affected by these requirements</w:t>
      </w:r>
      <w:r w:rsidRPr="00B1302A" w:rsidR="00936BE1">
        <w:rPr>
          <w:sz w:val="24"/>
        </w:rPr>
        <w:t xml:space="preserve">. </w:t>
      </w:r>
      <w:r w:rsidR="003C1535">
        <w:rPr>
          <w:sz w:val="24"/>
        </w:rPr>
        <w:t xml:space="preserve">In addition, we considered the emergency preparedness accreditation standards of </w:t>
      </w:r>
      <w:r w:rsidRPr="00C37C78" w:rsidR="003C1535">
        <w:rPr>
          <w:sz w:val="24"/>
        </w:rPr>
        <w:t>those accrediting organizations (AOs) that have deeming authority for Medicare providers</w:t>
      </w:r>
      <w:r w:rsidRPr="007A692A" w:rsidR="003C1535">
        <w:rPr>
          <w:sz w:val="24"/>
        </w:rPr>
        <w:t xml:space="preserve"> </w:t>
      </w:r>
      <w:r w:rsidR="003C1535">
        <w:rPr>
          <w:sz w:val="24"/>
        </w:rPr>
        <w:t>and suppliers.</w:t>
      </w:r>
    </w:p>
    <w:p w:rsidR="007E1B2C" w:rsidP="007E1B2C" w14:paraId="1B19ED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941BCA" w14:paraId="560CA8C3" w14:textId="77777777">
      <w:pPr>
        <w:pStyle w:val="Heading3"/>
      </w:pPr>
      <w:r>
        <w:t>6.</w:t>
      </w:r>
      <w:r>
        <w:tab/>
      </w:r>
      <w:r w:rsidRPr="00782F6F">
        <w:t>Less Frequent Collection</w:t>
      </w:r>
    </w:p>
    <w:p w:rsidR="008F1EB4" w14:paraId="3EB31D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223CC" w14:paraId="786C72DF" w14:textId="7D1B6E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11AB">
        <w:rPr>
          <w:sz w:val="24"/>
        </w:rPr>
        <w:t xml:space="preserve">CMS does not collect information directly from </w:t>
      </w:r>
      <w:r>
        <w:rPr>
          <w:sz w:val="24"/>
        </w:rPr>
        <w:t>impacted providers</w:t>
      </w:r>
      <w:r w:rsidRPr="000D11AB">
        <w:rPr>
          <w:sz w:val="24"/>
        </w:rPr>
        <w:t xml:space="preserve"> and instead relies on State surveyors (employed by State survey agencies) to review the collection of information at the time of their certification and at the time of their facility visit</w:t>
      </w:r>
      <w:r w:rsidR="00F83A13">
        <w:rPr>
          <w:sz w:val="24"/>
        </w:rPr>
        <w:t>.</w:t>
      </w:r>
      <w:r w:rsidRPr="000D11AB">
        <w:rPr>
          <w:sz w:val="24"/>
        </w:rPr>
        <w:t xml:space="preserve"> </w:t>
      </w:r>
      <w:r>
        <w:rPr>
          <w:sz w:val="24"/>
        </w:rPr>
        <w:t xml:space="preserve">The required plans, </w:t>
      </w:r>
      <w:r w:rsidR="00BE3F14">
        <w:rPr>
          <w:sz w:val="24"/>
        </w:rPr>
        <w:t>programs,</w:t>
      </w:r>
      <w:r>
        <w:rPr>
          <w:sz w:val="24"/>
        </w:rPr>
        <w:t xml:space="preserve"> </w:t>
      </w:r>
      <w:r w:rsidRPr="000D11AB">
        <w:rPr>
          <w:sz w:val="24"/>
        </w:rPr>
        <w:t>policies</w:t>
      </w:r>
      <w:r>
        <w:rPr>
          <w:sz w:val="24"/>
        </w:rPr>
        <w:t xml:space="preserve"> &amp; </w:t>
      </w:r>
      <w:r w:rsidRPr="000D11AB">
        <w:rPr>
          <w:sz w:val="24"/>
        </w:rPr>
        <w:t>procedures</w:t>
      </w:r>
      <w:r>
        <w:rPr>
          <w:sz w:val="24"/>
        </w:rPr>
        <w:t xml:space="preserve"> </w:t>
      </w:r>
      <w:r w:rsidRPr="000D11AB">
        <w:rPr>
          <w:sz w:val="24"/>
        </w:rPr>
        <w:t xml:space="preserve">are reviewed at the time of a survey for initial or continued participation in the Medicare program. Less frequent information collection would impede efforts to establish compliance with the Medicare Conditions for Participation (CoPs), which in turn, would jeopardize the health and safety of </w:t>
      </w:r>
      <w:r w:rsidR="00482368">
        <w:rPr>
          <w:sz w:val="24"/>
        </w:rPr>
        <w:t xml:space="preserve"> patients and residents, as well as others, including staff and visitors</w:t>
      </w:r>
      <w:r>
        <w:rPr>
          <w:sz w:val="24"/>
        </w:rPr>
        <w:t xml:space="preserve">, </w:t>
      </w:r>
      <w:r w:rsidRPr="000D11AB">
        <w:rPr>
          <w:sz w:val="24"/>
        </w:rPr>
        <w:t>and</w:t>
      </w:r>
      <w:r>
        <w:rPr>
          <w:sz w:val="24"/>
        </w:rPr>
        <w:t xml:space="preserve"> the</w:t>
      </w:r>
      <w:r w:rsidRPr="000D11AB">
        <w:rPr>
          <w:sz w:val="24"/>
        </w:rPr>
        <w:t xml:space="preserve"> provision of quality healthcare</w:t>
      </w:r>
      <w:r w:rsidR="00482368">
        <w:rPr>
          <w:sz w:val="24"/>
        </w:rPr>
        <w:t>.</w:t>
      </w:r>
    </w:p>
    <w:p w:rsidR="00E223CC" w:rsidP="00E223CC" w14:paraId="737FC8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941BCA" w14:paraId="082C674A" w14:textId="77777777">
      <w:pPr>
        <w:pStyle w:val="Heading3"/>
      </w:pPr>
      <w:r>
        <w:t>7.</w:t>
      </w:r>
      <w:r>
        <w:tab/>
        <w:t>Special Circumstances</w:t>
      </w:r>
    </w:p>
    <w:p w:rsidR="008F1EB4" w14:paraId="2A832D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556FB" w:rsidP="00C556FB" w14:paraId="056C6A11" w14:textId="206F1816">
      <w:pPr>
        <w:ind w:firstLine="432"/>
        <w:rPr>
          <w:sz w:val="24"/>
        </w:rPr>
      </w:pPr>
      <w:r w:rsidRPr="00C556FB">
        <w:rPr>
          <w:sz w:val="24"/>
        </w:rPr>
        <w:t>Th</w:t>
      </w:r>
      <w:r w:rsidR="004A7605">
        <w:rPr>
          <w:sz w:val="24"/>
        </w:rPr>
        <w:t xml:space="preserve">ere are no </w:t>
      </w:r>
      <w:r w:rsidRPr="00C556FB">
        <w:rPr>
          <w:sz w:val="24"/>
        </w:rPr>
        <w:t>special circumstances.</w:t>
      </w:r>
    </w:p>
    <w:p w:rsidR="003C1535" w:rsidRPr="00C556FB" w:rsidP="00C556FB" w14:paraId="574D4504" w14:textId="77777777">
      <w:pPr>
        <w:ind w:firstLine="432"/>
        <w:rPr>
          <w:sz w:val="24"/>
        </w:rPr>
      </w:pPr>
    </w:p>
    <w:p w:rsidR="008F1EB4" w:rsidP="00941BCA" w14:paraId="130F5080" w14:textId="77777777">
      <w:pPr>
        <w:pStyle w:val="Heading3"/>
      </w:pPr>
      <w:r>
        <w:t>8.</w:t>
      </w:r>
      <w:r>
        <w:tab/>
        <w:t>Federal Register</w:t>
      </w:r>
    </w:p>
    <w:p w:rsidR="008F1EB4" w:rsidRPr="00FF13E7" w:rsidP="007D5FD8" w14:paraId="4D9006F5" w14:textId="77777777">
      <w:pPr>
        <w:ind w:left="432"/>
        <w:rPr>
          <w:sz w:val="24"/>
        </w:rPr>
      </w:pPr>
    </w:p>
    <w:p w:rsidR="007D59DD" w:rsidP="007053CC" w14:paraId="54B9144C" w14:textId="4D7B25F4">
      <w:pPr>
        <w:ind w:left="432"/>
        <w:rPr>
          <w:sz w:val="24"/>
        </w:rPr>
      </w:pPr>
      <w:r w:rsidRPr="004A7605">
        <w:rPr>
          <w:sz w:val="24"/>
        </w:rPr>
        <w:t xml:space="preserve">The 60-day Federal Register </w:t>
      </w:r>
      <w:r w:rsidR="00D83052">
        <w:rPr>
          <w:sz w:val="24"/>
        </w:rPr>
        <w:t xml:space="preserve">notice </w:t>
      </w:r>
      <w:r w:rsidRPr="004A7605" w:rsidR="00D83052">
        <w:rPr>
          <w:sz w:val="24"/>
        </w:rPr>
        <w:t>published</w:t>
      </w:r>
      <w:r w:rsidR="007053CC">
        <w:rPr>
          <w:sz w:val="24"/>
        </w:rPr>
        <w:t xml:space="preserve"> on June 20, 2025 (90 FR 26301)</w:t>
      </w:r>
      <w:r>
        <w:rPr>
          <w:sz w:val="24"/>
        </w:rPr>
        <w:t>.</w:t>
      </w:r>
      <w:r w:rsidR="007053CC">
        <w:rPr>
          <w:sz w:val="24"/>
        </w:rPr>
        <w:t xml:space="preserve"> </w:t>
      </w:r>
      <w:r w:rsidRPr="007053CC" w:rsidR="007053CC">
        <w:rPr>
          <w:sz w:val="24"/>
        </w:rPr>
        <w:t xml:space="preserve">CMS received </w:t>
      </w:r>
      <w:r w:rsidR="00543E1D">
        <w:rPr>
          <w:sz w:val="24"/>
        </w:rPr>
        <w:t xml:space="preserve">five (5) </w:t>
      </w:r>
      <w:r w:rsidRPr="007053CC" w:rsidR="007053CC">
        <w:rPr>
          <w:sz w:val="24"/>
        </w:rPr>
        <w:t>comments from individual</w:t>
      </w:r>
      <w:r w:rsidR="007053CC">
        <w:rPr>
          <w:sz w:val="24"/>
        </w:rPr>
        <w:t>s</w:t>
      </w:r>
      <w:r w:rsidRPr="007053CC" w:rsidR="007053CC">
        <w:rPr>
          <w:sz w:val="24"/>
        </w:rPr>
        <w:t xml:space="preserve"> </w:t>
      </w:r>
      <w:r w:rsidR="007053CC">
        <w:rPr>
          <w:sz w:val="24"/>
        </w:rPr>
        <w:t xml:space="preserve">and </w:t>
      </w:r>
      <w:r w:rsidRPr="007053CC" w:rsidR="007053CC">
        <w:rPr>
          <w:sz w:val="24"/>
        </w:rPr>
        <w:t xml:space="preserve">providers. See Attachment A for CMS’ Response to Public Comments </w:t>
      </w:r>
      <w:r w:rsidR="00543E1D">
        <w:rPr>
          <w:sz w:val="24"/>
        </w:rPr>
        <w:t>R</w:t>
      </w:r>
      <w:r w:rsidRPr="007053CC" w:rsidR="007053CC">
        <w:rPr>
          <w:sz w:val="24"/>
        </w:rPr>
        <w:t xml:space="preserve">eceived.  </w:t>
      </w:r>
    </w:p>
    <w:p w:rsidR="007053CC" w:rsidP="007053CC" w14:paraId="3843EB67" w14:textId="77777777">
      <w:pPr>
        <w:ind w:left="432"/>
        <w:rPr>
          <w:sz w:val="24"/>
        </w:rPr>
      </w:pPr>
    </w:p>
    <w:p w:rsidR="007053CC" w:rsidP="007053CC" w14:paraId="7415EA85" w14:textId="2B4A6FC6">
      <w:pPr>
        <w:ind w:left="432"/>
        <w:rPr>
          <w:sz w:val="24"/>
        </w:rPr>
      </w:pPr>
      <w:r w:rsidRPr="007053CC">
        <w:rPr>
          <w:sz w:val="24"/>
        </w:rPr>
        <w:t xml:space="preserve">The 30-day Federal Register notice published on </w:t>
      </w:r>
      <w:r w:rsidR="00D83052">
        <w:rPr>
          <w:sz w:val="24"/>
        </w:rPr>
        <w:t>February 6, 2026</w:t>
      </w:r>
      <w:r w:rsidRPr="007053CC">
        <w:rPr>
          <w:sz w:val="24"/>
        </w:rPr>
        <w:t xml:space="preserve"> (90 FR </w:t>
      </w:r>
      <w:r w:rsidR="00D83052">
        <w:rPr>
          <w:sz w:val="24"/>
        </w:rPr>
        <w:t>5480</w:t>
      </w:r>
      <w:r w:rsidRPr="007053CC">
        <w:rPr>
          <w:sz w:val="24"/>
        </w:rPr>
        <w:t>).</w:t>
      </w:r>
    </w:p>
    <w:p w:rsidR="00FF13E7" w:rsidP="007D5FD8" w14:paraId="0A08ED8D" w14:textId="77777777">
      <w:pPr>
        <w:ind w:left="432"/>
        <w:rPr>
          <w:sz w:val="24"/>
        </w:rPr>
      </w:pPr>
    </w:p>
    <w:p w:rsidR="00FF13E7" w:rsidRPr="00FF13E7" w:rsidP="00941BCA" w14:paraId="138DFE43" w14:textId="77777777">
      <w:pPr>
        <w:pStyle w:val="Heading3"/>
      </w:pPr>
      <w:r>
        <w:t>9.</w:t>
      </w:r>
      <w:r>
        <w:tab/>
        <w:t>Payments/Gifts to Respondents</w:t>
      </w:r>
    </w:p>
    <w:p w:rsidR="008F1EB4" w14:paraId="496001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269B" w:rsidRPr="0008269B" w:rsidP="0008269B" w14:paraId="0317BF42" w14:textId="77777777">
      <w:pPr>
        <w:ind w:left="432"/>
        <w:rPr>
          <w:sz w:val="24"/>
        </w:rPr>
      </w:pPr>
      <w:r w:rsidRPr="0008269B">
        <w:rPr>
          <w:sz w:val="24"/>
        </w:rPr>
        <w:t xml:space="preserve">There will not be any payment or gifts provided to respondents for the collection of this </w:t>
      </w:r>
      <w:r w:rsidRPr="0008269B">
        <w:rPr>
          <w:sz w:val="24"/>
        </w:rPr>
        <w:t>information.</w:t>
      </w:r>
    </w:p>
    <w:p w:rsidR="00611AAB" w14:paraId="4110F4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941BCA" w14:paraId="42904F63" w14:textId="77777777">
      <w:pPr>
        <w:pStyle w:val="Heading3"/>
      </w:pPr>
      <w:r>
        <w:t>10.</w:t>
      </w:r>
      <w:r>
        <w:tab/>
        <w:t>Confidentiality</w:t>
      </w:r>
    </w:p>
    <w:p w:rsidR="000F3AF4" w14:paraId="354251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8269B" w:rsidRPr="0008269B" w:rsidP="00474E4B" w14:paraId="4C2C0928" w14:textId="09274AC2">
      <w:pPr>
        <w:ind w:left="450"/>
        <w:rPr>
          <w:sz w:val="24"/>
        </w:rPr>
      </w:pPr>
      <w:r>
        <w:rPr>
          <w:sz w:val="24"/>
        </w:rPr>
        <w:t>Standard medical c</w:t>
      </w:r>
      <w:r w:rsidRPr="0008269B">
        <w:rPr>
          <w:sz w:val="24"/>
        </w:rPr>
        <w:t xml:space="preserve">onfidentiality </w:t>
      </w:r>
      <w:r>
        <w:rPr>
          <w:sz w:val="24"/>
        </w:rPr>
        <w:t>practices</w:t>
      </w:r>
      <w:r w:rsidR="00474E4B">
        <w:rPr>
          <w:sz w:val="24"/>
        </w:rPr>
        <w:t>, such as the Health Insurance Portability and Accountability Act of 1996 (HIPAA),</w:t>
      </w:r>
      <w:r>
        <w:rPr>
          <w:sz w:val="24"/>
        </w:rPr>
        <w:t xml:space="preserve"> assure the confidentiality </w:t>
      </w:r>
      <w:r w:rsidRPr="0008269B">
        <w:rPr>
          <w:sz w:val="24"/>
        </w:rPr>
        <w:t>of this information.</w:t>
      </w:r>
      <w:r w:rsidR="002E4260">
        <w:rPr>
          <w:sz w:val="24"/>
        </w:rPr>
        <w:t xml:space="preserve"> The requirements of this regulation must be in compliance with HIPAA Privacy Rules at 45 CFR 160 and 164, which protect the privacy and security of an individual’s protected health information. </w:t>
      </w:r>
    </w:p>
    <w:p w:rsidR="008F1EB4" w14:paraId="50682E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41BCA" w14:paraId="47CDD991" w14:textId="77777777">
      <w:pPr>
        <w:pStyle w:val="Heading3"/>
      </w:pPr>
      <w:r>
        <w:t>11.</w:t>
      </w:r>
      <w:r>
        <w:tab/>
        <w:t>Sensitive Questions</w:t>
      </w:r>
    </w:p>
    <w:p w:rsidR="008F1EB4" w14:paraId="3F2078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269B" w:rsidRPr="0008269B" w:rsidP="0008269B" w14:paraId="5BB8C4E3" w14:textId="77777777">
      <w:pPr>
        <w:ind w:firstLine="432"/>
        <w:rPr>
          <w:sz w:val="24"/>
        </w:rPr>
      </w:pPr>
      <w:r w:rsidRPr="0008269B">
        <w:rPr>
          <w:sz w:val="24"/>
        </w:rPr>
        <w:t xml:space="preserve">There are no </w:t>
      </w:r>
      <w:r w:rsidR="006B79C7">
        <w:rPr>
          <w:sz w:val="24"/>
        </w:rPr>
        <w:t xml:space="preserve">questions of a </w:t>
      </w:r>
      <w:r w:rsidRPr="0008269B">
        <w:rPr>
          <w:sz w:val="24"/>
        </w:rPr>
        <w:t xml:space="preserve">sensitive </w:t>
      </w:r>
      <w:r w:rsidR="006B79C7">
        <w:rPr>
          <w:sz w:val="24"/>
        </w:rPr>
        <w:t>nature associated with this information collection</w:t>
      </w:r>
      <w:r w:rsidRPr="0008269B">
        <w:rPr>
          <w:sz w:val="24"/>
        </w:rPr>
        <w:t>.</w:t>
      </w:r>
    </w:p>
    <w:p w:rsidR="008F1EB4" w14:paraId="5A6629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941BCA" w14:paraId="1C5CC388" w14:textId="77777777">
      <w:pPr>
        <w:pStyle w:val="Heading3"/>
      </w:pPr>
      <w:r w:rsidRPr="00826FA4">
        <w:t>12.</w:t>
      </w:r>
      <w:r w:rsidRPr="00826FA4">
        <w:tab/>
        <w:t>Burden Estimates (Hours &amp; Wages)</w:t>
      </w:r>
    </w:p>
    <w:p w:rsidR="008F1EB4" w14:paraId="2DC5F9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073FA" w:rsidRPr="003D54E5" w:rsidP="00431554" w14:paraId="1F109698" w14:textId="77777777">
      <w:pPr>
        <w:pStyle w:val="Heading4"/>
      </w:pPr>
      <w:r w:rsidRPr="003D54E5">
        <w:t>a. Background Information</w:t>
      </w:r>
    </w:p>
    <w:p w:rsidR="00916816" w:rsidP="00916816" w14:paraId="1D5A8C9C" w14:textId="77777777">
      <w:pPr>
        <w:ind w:left="450"/>
        <w:rPr>
          <w:sz w:val="24"/>
        </w:rPr>
      </w:pPr>
      <w:r>
        <w:rPr>
          <w:sz w:val="24"/>
        </w:rPr>
        <w:t xml:space="preserve">As stated in the introduction section, the burden for existing providers and suppliers for these information collections would have been drafted and implemented in 2016/2017. Therefore, the burden for this information collection request consists primarily of the annual update of these information collections for existing provider and supplier types. In addition, to annual updates, these information collections consist of any burden imposed on new providers and/or suppliers that would have to </w:t>
      </w:r>
      <w:r w:rsidRPr="00F83A13">
        <w:rPr>
          <w:sz w:val="24"/>
        </w:rPr>
        <w:t xml:space="preserve">initially develop the required program, plan, or </w:t>
      </w:r>
      <w:r>
        <w:rPr>
          <w:sz w:val="24"/>
        </w:rPr>
        <w:t xml:space="preserve">policies as they seek to be an approved Medicare and Medicaid provider. </w:t>
      </w:r>
    </w:p>
    <w:p w:rsidR="00916816" w:rsidP="00916816" w14:paraId="3503BDAC" w14:textId="77777777">
      <w:pPr>
        <w:ind w:left="450"/>
        <w:rPr>
          <w:sz w:val="24"/>
        </w:rPr>
      </w:pPr>
    </w:p>
    <w:p w:rsidR="003C1535" w:rsidRPr="00916816" w:rsidP="0030537D" w14:paraId="4C06EDF0" w14:textId="0AF33698">
      <w:pPr>
        <w:ind w:left="450"/>
        <w:rPr>
          <w:sz w:val="24"/>
        </w:rPr>
      </w:pPr>
      <w:r>
        <w:rPr>
          <w:bCs/>
          <w:sz w:val="24"/>
        </w:rPr>
        <w:t>With regard to burden estimates for new provider types an</w:t>
      </w:r>
      <w:r w:rsidR="0030537D">
        <w:rPr>
          <w:bCs/>
          <w:sz w:val="24"/>
        </w:rPr>
        <w:t xml:space="preserve">d as stated in the previous iteration of this information collection, </w:t>
      </w:r>
      <w:r w:rsidRPr="00D34F84" w:rsidR="0030537D">
        <w:rPr>
          <w:bCs/>
          <w:sz w:val="24"/>
        </w:rPr>
        <w:t>the burde</w:t>
      </w:r>
      <w:r w:rsidR="0030537D">
        <w:rPr>
          <w:bCs/>
          <w:sz w:val="24"/>
        </w:rPr>
        <w:t>n calculation for</w:t>
      </w:r>
      <w:r w:rsidRPr="00D34F84" w:rsidR="0030537D">
        <w:rPr>
          <w:bCs/>
          <w:sz w:val="24"/>
        </w:rPr>
        <w:t xml:space="preserve"> each </w:t>
      </w:r>
      <w:r w:rsidR="0030537D">
        <w:rPr>
          <w:bCs/>
          <w:sz w:val="24"/>
        </w:rPr>
        <w:t>provider or supplier type</w:t>
      </w:r>
      <w:r w:rsidRPr="00D34F84" w:rsidR="0030537D">
        <w:rPr>
          <w:bCs/>
          <w:sz w:val="24"/>
        </w:rPr>
        <w:t xml:space="preserve"> </w:t>
      </w:r>
      <w:r w:rsidR="007672A3">
        <w:rPr>
          <w:bCs/>
          <w:sz w:val="24"/>
        </w:rPr>
        <w:t>will vary based on factors such as t</w:t>
      </w:r>
      <w:r w:rsidRPr="00D34F84" w:rsidR="0030537D">
        <w:rPr>
          <w:bCs/>
          <w:sz w:val="24"/>
        </w:rPr>
        <w:t>he</w:t>
      </w:r>
      <w:r w:rsidR="0030537D">
        <w:rPr>
          <w:bCs/>
          <w:sz w:val="24"/>
        </w:rPr>
        <w:t xml:space="preserve"> provider or supplier</w:t>
      </w:r>
      <w:r w:rsidRPr="00D34F84" w:rsidR="0030537D">
        <w:rPr>
          <w:bCs/>
          <w:sz w:val="24"/>
        </w:rPr>
        <w:t xml:space="preserve"> type</w:t>
      </w:r>
      <w:r w:rsidR="0030537D">
        <w:rPr>
          <w:bCs/>
          <w:sz w:val="24"/>
        </w:rPr>
        <w:t xml:space="preserve"> (i.e., </w:t>
      </w:r>
      <w:r w:rsidR="007672A3">
        <w:rPr>
          <w:bCs/>
          <w:sz w:val="24"/>
        </w:rPr>
        <w:t>h</w:t>
      </w:r>
      <w:r w:rsidR="0030537D">
        <w:rPr>
          <w:bCs/>
          <w:sz w:val="24"/>
        </w:rPr>
        <w:t>ospital, C</w:t>
      </w:r>
      <w:r w:rsidR="007672A3">
        <w:rPr>
          <w:bCs/>
          <w:sz w:val="24"/>
        </w:rPr>
        <w:t>AH, ASC) or whether they</w:t>
      </w:r>
      <w:r w:rsidR="0030537D">
        <w:rPr>
          <w:bCs/>
          <w:sz w:val="24"/>
        </w:rPr>
        <w:t xml:space="preserve"> </w:t>
      </w:r>
      <w:r w:rsidRPr="00D34F84">
        <w:rPr>
          <w:bCs/>
          <w:sz w:val="24"/>
        </w:rPr>
        <w:t xml:space="preserve">provide inpatient </w:t>
      </w:r>
      <w:r w:rsidR="007672A3">
        <w:rPr>
          <w:bCs/>
          <w:sz w:val="24"/>
        </w:rPr>
        <w:t xml:space="preserve">or outpatient </w:t>
      </w:r>
      <w:r w:rsidRPr="00D34F84">
        <w:rPr>
          <w:bCs/>
          <w:sz w:val="24"/>
        </w:rPr>
        <w:t xml:space="preserve">services </w:t>
      </w:r>
      <w:r w:rsidR="0030537D">
        <w:rPr>
          <w:bCs/>
          <w:sz w:val="24"/>
        </w:rPr>
        <w:t xml:space="preserve">as each provider and supplier type has requirement nuances. </w:t>
      </w:r>
      <w:r w:rsidRPr="00D34F84">
        <w:rPr>
          <w:bCs/>
          <w:sz w:val="24"/>
        </w:rPr>
        <w:t>Moreover,</w:t>
      </w:r>
      <w:r>
        <w:rPr>
          <w:bCs/>
          <w:sz w:val="24"/>
        </w:rPr>
        <w:t xml:space="preserve"> </w:t>
      </w:r>
      <w:r w:rsidRPr="00D34F84">
        <w:rPr>
          <w:bCs/>
          <w:sz w:val="24"/>
        </w:rPr>
        <w:t>even where the regulatory requirements</w:t>
      </w:r>
      <w:r>
        <w:rPr>
          <w:bCs/>
          <w:sz w:val="24"/>
        </w:rPr>
        <w:t xml:space="preserve"> </w:t>
      </w:r>
      <w:r w:rsidRPr="00D34F84">
        <w:rPr>
          <w:bCs/>
          <w:sz w:val="24"/>
        </w:rPr>
        <w:t>are the same, certain factors will greatly</w:t>
      </w:r>
      <w:r>
        <w:rPr>
          <w:bCs/>
          <w:sz w:val="24"/>
        </w:rPr>
        <w:t xml:space="preserve"> </w:t>
      </w:r>
      <w:r w:rsidRPr="00D34F84">
        <w:rPr>
          <w:bCs/>
          <w:sz w:val="24"/>
        </w:rPr>
        <w:t xml:space="preserve">affect the burden for different </w:t>
      </w:r>
      <w:r>
        <w:rPr>
          <w:bCs/>
          <w:sz w:val="24"/>
        </w:rPr>
        <w:t>facilities</w:t>
      </w:r>
      <w:r w:rsidRPr="00D34F84">
        <w:rPr>
          <w:bCs/>
          <w:sz w:val="24"/>
        </w:rPr>
        <w:t>, such as the</w:t>
      </w:r>
      <w:r>
        <w:rPr>
          <w:bCs/>
          <w:sz w:val="24"/>
        </w:rPr>
        <w:t>ir</w:t>
      </w:r>
      <w:r w:rsidRPr="00D34F84">
        <w:rPr>
          <w:bCs/>
          <w:sz w:val="24"/>
        </w:rPr>
        <w:t xml:space="preserve"> size and</w:t>
      </w:r>
      <w:r>
        <w:rPr>
          <w:bCs/>
          <w:sz w:val="24"/>
        </w:rPr>
        <w:t xml:space="preserve"> </w:t>
      </w:r>
      <w:r w:rsidRPr="00D34F84">
        <w:rPr>
          <w:bCs/>
          <w:sz w:val="24"/>
        </w:rPr>
        <w:t>location,</w:t>
      </w:r>
      <w:r>
        <w:rPr>
          <w:bCs/>
          <w:sz w:val="24"/>
        </w:rPr>
        <w:t xml:space="preserve"> </w:t>
      </w:r>
      <w:r w:rsidRPr="00D34F84">
        <w:rPr>
          <w:bCs/>
          <w:sz w:val="24"/>
        </w:rPr>
        <w:t>whether or not they participate in any</w:t>
      </w:r>
      <w:r>
        <w:rPr>
          <w:bCs/>
          <w:sz w:val="24"/>
        </w:rPr>
        <w:t xml:space="preserve"> </w:t>
      </w:r>
      <w:r w:rsidRPr="00D34F84">
        <w:rPr>
          <w:bCs/>
          <w:sz w:val="24"/>
        </w:rPr>
        <w:t>type of network</w:t>
      </w:r>
      <w:r w:rsidRPr="0030537D" w:rsidR="0030537D">
        <w:rPr>
          <w:bCs/>
          <w:sz w:val="24"/>
        </w:rPr>
        <w:t xml:space="preserve"> </w:t>
      </w:r>
      <w:r w:rsidR="0030537D">
        <w:rPr>
          <w:bCs/>
          <w:sz w:val="24"/>
        </w:rPr>
        <w:t>or health care system</w:t>
      </w:r>
      <w:r w:rsidRPr="00D34F84">
        <w:rPr>
          <w:bCs/>
          <w:sz w:val="24"/>
        </w:rPr>
        <w:t>, and whether they</w:t>
      </w:r>
      <w:r>
        <w:rPr>
          <w:bCs/>
          <w:sz w:val="24"/>
        </w:rPr>
        <w:t xml:space="preserve"> </w:t>
      </w:r>
      <w:r w:rsidRPr="00D34F84">
        <w:rPr>
          <w:bCs/>
          <w:sz w:val="24"/>
        </w:rPr>
        <w:t>already have a</w:t>
      </w:r>
      <w:r w:rsidR="00FA4E9B">
        <w:rPr>
          <w:bCs/>
          <w:sz w:val="24"/>
        </w:rPr>
        <w:t>n</w:t>
      </w:r>
      <w:r w:rsidRPr="00D34F84">
        <w:rPr>
          <w:bCs/>
          <w:sz w:val="24"/>
        </w:rPr>
        <w:t xml:space="preserve"> emergency</w:t>
      </w:r>
      <w:r>
        <w:rPr>
          <w:bCs/>
          <w:sz w:val="24"/>
        </w:rPr>
        <w:t xml:space="preserve"> </w:t>
      </w:r>
      <w:r w:rsidRPr="00D34F84">
        <w:rPr>
          <w:bCs/>
          <w:sz w:val="24"/>
        </w:rPr>
        <w:t>preparedness program</w:t>
      </w:r>
      <w:r w:rsidR="00C54E16">
        <w:rPr>
          <w:bCs/>
          <w:sz w:val="24"/>
        </w:rPr>
        <w:t xml:space="preserve"> due to related CoPs</w:t>
      </w:r>
      <w:r w:rsidRPr="00D34F84">
        <w:rPr>
          <w:bCs/>
          <w:sz w:val="24"/>
        </w:rPr>
        <w:t>.</w:t>
      </w:r>
    </w:p>
    <w:p w:rsidR="004B0E2A" w:rsidP="003C1535" w14:paraId="2994F0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rsidR="004B0E2A" w:rsidRPr="000D5B51" w:rsidP="0030537D" w14:paraId="6FDECD33" w14:textId="398E6E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32"/>
          <w:szCs w:val="32"/>
        </w:rPr>
      </w:pPr>
      <w:r>
        <w:rPr>
          <w:bCs/>
          <w:sz w:val="24"/>
        </w:rPr>
        <w:t xml:space="preserve">Finally, as specified in the </w:t>
      </w:r>
      <w:hyperlink r:id="rId10" w:history="1">
        <w:r w:rsidRPr="004B0E2A">
          <w:rPr>
            <w:rStyle w:val="Hyperlink"/>
            <w:sz w:val="24"/>
          </w:rPr>
          <w:t>2016 Final Rule</w:t>
        </w:r>
      </w:hyperlink>
      <w:r>
        <w:rPr>
          <w:sz w:val="24"/>
          <w:szCs w:val="32"/>
        </w:rPr>
        <w:t xml:space="preserve">, certain provider types are not included in the burden analysis for specific information collections because the specific CoP was seen as usual and customary practice, and therefore exempt from the PRA under </w:t>
      </w:r>
      <w:r w:rsidRPr="001F627B">
        <w:rPr>
          <w:sz w:val="24"/>
        </w:rPr>
        <w:t>CFR §1320.3(b)(2)</w:t>
      </w:r>
      <w:r>
        <w:rPr>
          <w:sz w:val="24"/>
        </w:rPr>
        <w:t xml:space="preserve">. For example, providers who had to comply with certain requirements in order to receive </w:t>
      </w:r>
      <w:r w:rsidR="000D5B51">
        <w:rPr>
          <w:sz w:val="24"/>
        </w:rPr>
        <w:t>accreditation</w:t>
      </w:r>
      <w:r>
        <w:rPr>
          <w:sz w:val="24"/>
        </w:rPr>
        <w:t xml:space="preserve"> by The Joint Commission (TJC)</w:t>
      </w:r>
      <w:r w:rsidR="006442C0">
        <w:rPr>
          <w:sz w:val="24"/>
        </w:rPr>
        <w:t xml:space="preserve"> – such as TJC-accredited hospitals,</w:t>
      </w:r>
      <w:r>
        <w:rPr>
          <w:sz w:val="24"/>
        </w:rPr>
        <w:t xml:space="preserve"> may have already developed </w:t>
      </w:r>
      <w:r w:rsidR="006442C0">
        <w:rPr>
          <w:sz w:val="24"/>
        </w:rPr>
        <w:t>an</w:t>
      </w:r>
      <w:r>
        <w:rPr>
          <w:sz w:val="24"/>
        </w:rPr>
        <w:t xml:space="preserve"> emergency preparedness program, plan or policies </w:t>
      </w:r>
      <w:r w:rsidR="006442C0">
        <w:rPr>
          <w:sz w:val="24"/>
        </w:rPr>
        <w:t xml:space="preserve">that would meet the </w:t>
      </w:r>
      <w:r w:rsidR="006442C0">
        <w:rPr>
          <w:sz w:val="24"/>
        </w:rPr>
        <w:t>CoP.</w:t>
      </w:r>
      <w:r w:rsidR="006442C0">
        <w:rPr>
          <w:sz w:val="24"/>
        </w:rPr>
        <w:t xml:space="preserve"> Therefore, the burden analysis for a specific information collection may exclude accredited providers (as exempt from the PRA) and only include non-accredited providers in a certain provider type, or the analysis may include all providers (accredited and non-accredited) in a certain provider type. The basis for which provider types are exempt from the PRA and thus excluded from the burden analysis for each information collection </w:t>
      </w:r>
      <w:r w:rsidR="000D5B51">
        <w:rPr>
          <w:sz w:val="24"/>
        </w:rPr>
        <w:t>is detailed in the</w:t>
      </w:r>
      <w:r w:rsidR="006442C0">
        <w:rPr>
          <w:sz w:val="24"/>
        </w:rPr>
        <w:t xml:space="preserve"> </w:t>
      </w:r>
      <w:hyperlink r:id="rId10" w:history="1">
        <w:r w:rsidRPr="004B0E2A" w:rsidR="000D5B51">
          <w:rPr>
            <w:rStyle w:val="Hyperlink"/>
            <w:sz w:val="24"/>
          </w:rPr>
          <w:t>2016 Final Rule</w:t>
        </w:r>
      </w:hyperlink>
      <w:r w:rsidR="000D5B51">
        <w:rPr>
          <w:sz w:val="24"/>
          <w:szCs w:val="32"/>
        </w:rPr>
        <w:t xml:space="preserve">, the </w:t>
      </w:r>
      <w:hyperlink r:id="rId11" w:history="1">
        <w:r w:rsidRPr="000D5B51" w:rsidR="000D5B51">
          <w:rPr>
            <w:color w:val="1155CC"/>
            <w:sz w:val="24"/>
            <w:u w:val="single"/>
          </w:rPr>
          <w:t>2018 Proposed Rule</w:t>
        </w:r>
      </w:hyperlink>
      <w:r w:rsidRPr="000D5B51" w:rsidR="000D5B51">
        <w:rPr>
          <w:sz w:val="24"/>
        </w:rPr>
        <w:t xml:space="preserve">, </w:t>
      </w:r>
      <w:r w:rsidR="000D5B51">
        <w:rPr>
          <w:sz w:val="24"/>
          <w:szCs w:val="32"/>
        </w:rPr>
        <w:t xml:space="preserve">and the </w:t>
      </w:r>
      <w:hyperlink r:id="rId12" w:history="1">
        <w:r w:rsidRPr="00603A11" w:rsidR="000D5B51">
          <w:rPr>
            <w:color w:val="1155CC"/>
            <w:sz w:val="24"/>
            <w:u w:val="single"/>
          </w:rPr>
          <w:t>2019 Final Rule</w:t>
        </w:r>
      </w:hyperlink>
      <w:r w:rsidR="000D5B51">
        <w:rPr>
          <w:sz w:val="24"/>
          <w:szCs w:val="32"/>
        </w:rPr>
        <w:t>.</w:t>
      </w:r>
    </w:p>
    <w:p w:rsidR="003C1535" w:rsidP="0039061C" w14:paraId="37B0362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06C7A" w:rsidRPr="00431554" w:rsidP="00431554" w14:paraId="5C6841D0" w14:textId="693A857F">
      <w:pPr>
        <w:pStyle w:val="Heading5"/>
      </w:pPr>
      <w:r w:rsidRPr="00431554">
        <w:t>Wage Summary</w:t>
      </w:r>
    </w:p>
    <w:p w:rsidR="00655AD8" w:rsidP="00655AD8" w14:paraId="58107C89" w14:textId="16D7539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 w:val="24"/>
        </w:rPr>
      </w:pPr>
      <w:r>
        <w:rPr>
          <w:color w:val="000000"/>
          <w:sz w:val="24"/>
        </w:rPr>
        <w:t>For purposes of estimating burden hours and cost for this reinstatement, we are assuming the same staffing across provider types would be involved in complying with the emergency preparedness CoPs and that the wages for those positions would be consistent across provider types.</w:t>
      </w:r>
    </w:p>
    <w:p w:rsidR="00655AD8" w:rsidP="0039061C" w14:paraId="554BD0E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39061C" w:rsidP="007E1B2C" w14:paraId="158F2236" w14:textId="1E94FC64">
      <w:pPr>
        <w:widowControl/>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We</w:t>
      </w:r>
      <w:r w:rsidRPr="0039061C">
        <w:rPr>
          <w:sz w:val="24"/>
        </w:rPr>
        <w:t xml:space="preserve"> obtained all salary information for the different positions identified in the following assessments from the </w:t>
      </w:r>
      <w:r w:rsidRPr="0039061C" w:rsidR="002D3301">
        <w:rPr>
          <w:sz w:val="24"/>
        </w:rPr>
        <w:t xml:space="preserve">United States by the Bureau of Labor Statistics </w:t>
      </w:r>
      <w:r w:rsidR="002D3301">
        <w:rPr>
          <w:sz w:val="24"/>
        </w:rPr>
        <w:t xml:space="preserve">(BLS) </w:t>
      </w:r>
      <w:r w:rsidRPr="0039061C">
        <w:rPr>
          <w:sz w:val="24"/>
        </w:rPr>
        <w:t xml:space="preserve">May </w:t>
      </w:r>
      <w:r w:rsidRPr="0039061C" w:rsidR="005B745C">
        <w:rPr>
          <w:sz w:val="24"/>
        </w:rPr>
        <w:t>20</w:t>
      </w:r>
      <w:r w:rsidR="002D3301">
        <w:rPr>
          <w:sz w:val="24"/>
        </w:rPr>
        <w:t>23</w:t>
      </w:r>
      <w:r w:rsidRPr="0039061C" w:rsidR="005B745C">
        <w:rPr>
          <w:sz w:val="24"/>
        </w:rPr>
        <w:t xml:space="preserve"> </w:t>
      </w:r>
      <w:r w:rsidRPr="0039061C">
        <w:rPr>
          <w:sz w:val="24"/>
        </w:rPr>
        <w:t xml:space="preserve">National Occupational Employment and Wage Estimates </w:t>
      </w:r>
      <w:r w:rsidR="002D3301">
        <w:rPr>
          <w:sz w:val="24"/>
        </w:rPr>
        <w:t>(</w:t>
      </w:r>
      <w:r w:rsidRPr="002D3301" w:rsidR="002D3301">
        <w:rPr>
          <w:sz w:val="24"/>
        </w:rPr>
        <w:t xml:space="preserve">Cross-Industry) found at </w:t>
      </w:r>
      <w:hyperlink r:id="rId13" w:anchor="00-0000" w:history="1">
        <w:r w:rsidRPr="007D1912" w:rsidR="002D3301">
          <w:rPr>
            <w:rStyle w:val="Hyperlink"/>
            <w:sz w:val="24"/>
          </w:rPr>
          <w:t>https://www.bls.gov/oes/current/oes_nat.htm#00-0000</w:t>
        </w:r>
      </w:hyperlink>
      <w:r w:rsidRPr="0039061C">
        <w:rPr>
          <w:sz w:val="24"/>
        </w:rPr>
        <w:t xml:space="preserve">. </w:t>
      </w:r>
      <w:r>
        <w:rPr>
          <w:color w:val="000000"/>
          <w:sz w:val="24"/>
        </w:rPr>
        <w:t xml:space="preserve">To ensure that fringe benefits and overhead are included in the estimated hourly </w:t>
      </w:r>
      <w:r w:rsidR="002D3301">
        <w:rPr>
          <w:color w:val="000000"/>
          <w:sz w:val="24"/>
        </w:rPr>
        <w:t>me</w:t>
      </w:r>
      <w:r w:rsidR="00F45D9B">
        <w:rPr>
          <w:color w:val="000000"/>
          <w:sz w:val="24"/>
        </w:rPr>
        <w:t>an</w:t>
      </w:r>
      <w:r w:rsidR="002D3301">
        <w:rPr>
          <w:color w:val="000000"/>
          <w:sz w:val="24"/>
        </w:rPr>
        <w:t xml:space="preserve"> </w:t>
      </w:r>
      <w:r>
        <w:rPr>
          <w:color w:val="000000"/>
          <w:sz w:val="24"/>
        </w:rPr>
        <w:t xml:space="preserve">wage for each position, we calculated and added in the amount that would ensure that </w:t>
      </w:r>
      <w:r w:rsidR="005B1A10">
        <w:rPr>
          <w:color w:val="000000"/>
          <w:sz w:val="24"/>
        </w:rPr>
        <w:t>100</w:t>
      </w:r>
      <w:r>
        <w:rPr>
          <w:color w:val="000000"/>
          <w:sz w:val="24"/>
        </w:rPr>
        <w:t xml:space="preserve"> percent of the total compensation was for overhead and fringe benefits</w:t>
      </w:r>
      <w:r w:rsidR="00603A11">
        <w:rPr>
          <w:color w:val="000000"/>
          <w:sz w:val="24"/>
        </w:rPr>
        <w:t xml:space="preserve">. </w:t>
      </w:r>
      <w:r>
        <w:rPr>
          <w:color w:val="000000"/>
          <w:sz w:val="24"/>
        </w:rPr>
        <w:t>We also rounded all amounts to the nearest dollar.</w:t>
      </w:r>
      <w:r w:rsidR="00F45D9B">
        <w:rPr>
          <w:color w:val="000000"/>
          <w:sz w:val="24"/>
        </w:rPr>
        <w:t xml:space="preserve"> </w:t>
      </w:r>
    </w:p>
    <w:p w:rsidR="00655AD8" w:rsidP="00A55126" w14:paraId="658CE71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06C7A" w:rsidRPr="00431554" w:rsidP="00431554" w14:paraId="04DDABE8" w14:textId="1C545CAE">
      <w:pPr>
        <w:pStyle w:val="Heading5"/>
      </w:pPr>
      <w:r w:rsidRPr="00431554">
        <w:t xml:space="preserve">Provider and Supplier </w:t>
      </w:r>
      <w:r w:rsidRPr="00431554">
        <w:t>Summary</w:t>
      </w:r>
    </w:p>
    <w:p w:rsidR="00834797" w:rsidP="00834797" w14:paraId="61EF7636" w14:textId="44D04B7B">
      <w:pPr>
        <w:widowControl/>
        <w:tabs>
          <w:tab w:val="left" w:pos="-2160"/>
          <w:tab w:val="left" w:pos="-1440"/>
          <w:tab w:val="left" w:pos="-720"/>
        </w:tabs>
        <w:ind w:left="450"/>
        <w:rPr>
          <w:sz w:val="24"/>
        </w:rPr>
      </w:pPr>
      <w:r w:rsidRPr="0039061C">
        <w:rPr>
          <w:sz w:val="24"/>
        </w:rPr>
        <w:t xml:space="preserve">We obtained the number of the various Medicare and Medicaid providers and suppliers </w:t>
      </w:r>
      <w:r>
        <w:rPr>
          <w:sz w:val="24"/>
        </w:rPr>
        <w:t xml:space="preserve">below </w:t>
      </w:r>
      <w:r w:rsidRPr="0039061C">
        <w:rPr>
          <w:sz w:val="24"/>
        </w:rPr>
        <w:t>from Medicare’s Certification and Survey Provider Enhanced Reporting (CASPER)</w:t>
      </w:r>
      <w:r>
        <w:rPr>
          <w:sz w:val="24"/>
        </w:rPr>
        <w:t xml:space="preserve"> </w:t>
      </w:r>
      <w:r w:rsidRPr="00BD34E3">
        <w:rPr>
          <w:sz w:val="24"/>
        </w:rPr>
        <w:t>for Calendar Year 2023 (unless otherwise noted)</w:t>
      </w:r>
      <w:r>
        <w:rPr>
          <w:sz w:val="24"/>
        </w:rPr>
        <w:t xml:space="preserve">, per the </w:t>
      </w:r>
      <w:r w:rsidRPr="000A6DB5">
        <w:rPr>
          <w:sz w:val="24"/>
        </w:rPr>
        <w:t>Quality, Certification &amp; Oversight Reports (QCOR)</w:t>
      </w:r>
      <w:r>
        <w:rPr>
          <w:sz w:val="24"/>
        </w:rPr>
        <w:t xml:space="preserve"> at </w:t>
      </w:r>
      <w:r w:rsidRPr="000A6DB5">
        <w:rPr>
          <w:sz w:val="24"/>
        </w:rPr>
        <w:t>qcor.cms.gov</w:t>
      </w:r>
      <w:r>
        <w:rPr>
          <w:sz w:val="24"/>
        </w:rPr>
        <w:t xml:space="preserve">, </w:t>
      </w:r>
      <w:r w:rsidRPr="00BD34E3">
        <w:rPr>
          <w:sz w:val="24"/>
        </w:rPr>
        <w:t xml:space="preserve">as of </w:t>
      </w:r>
      <w:r>
        <w:rPr>
          <w:sz w:val="24"/>
        </w:rPr>
        <w:t>January 5, 2025</w:t>
      </w:r>
      <w:r w:rsidRPr="00BD34E3">
        <w:rPr>
          <w:sz w:val="24"/>
        </w:rPr>
        <w:t>.</w:t>
      </w:r>
      <w:r w:rsidRPr="0039061C">
        <w:rPr>
          <w:sz w:val="24"/>
        </w:rPr>
        <w:t xml:space="preserve"> We have not included data for health care facilities that are not Medicare and/or Medicaid certified. </w:t>
      </w:r>
    </w:p>
    <w:p w:rsidR="00834797" w:rsidP="00A55126" w14:paraId="4BDE249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06C7A" w:rsidRPr="00431554" w:rsidP="00431554" w14:paraId="66656D6F" w14:textId="1718ECED">
      <w:pPr>
        <w:pStyle w:val="Heading6"/>
      </w:pPr>
      <w:r w:rsidRPr="00431554">
        <w:t xml:space="preserve">Table 1 – Number of </w:t>
      </w:r>
      <w:r w:rsidRPr="00431554" w:rsidR="00354B39">
        <w:t>Providers/Suppliers</w:t>
      </w:r>
      <w:r w:rsidRPr="00431554">
        <w:t xml:space="preserve"> based on Type</w:t>
      </w:r>
    </w:p>
    <w:tbl>
      <w:tblPr>
        <w:tblW w:w="9365" w:type="dxa"/>
        <w:tblLook w:val="04A0"/>
      </w:tblPr>
      <w:tblGrid>
        <w:gridCol w:w="6660"/>
        <w:gridCol w:w="1445"/>
        <w:gridCol w:w="1260"/>
      </w:tblGrid>
      <w:tr w14:paraId="2A946794" w14:textId="77777777" w:rsidTr="00F03863">
        <w:tblPrEx>
          <w:tblW w:w="9365" w:type="dxa"/>
          <w:tblLook w:val="04A0"/>
        </w:tblPrEx>
        <w:trPr>
          <w:trHeight w:val="318"/>
        </w:trPr>
        <w:tc>
          <w:tcPr>
            <w:tcW w:w="6660" w:type="dxa"/>
            <w:tcBorders>
              <w:bottom w:val="single" w:sz="4" w:space="0" w:color="auto"/>
              <w:right w:val="single" w:sz="4" w:space="0" w:color="auto"/>
            </w:tcBorders>
            <w:noWrap/>
            <w:vAlign w:val="bottom"/>
          </w:tcPr>
          <w:p w:rsidR="003D58C6" w:rsidRPr="00603A11" w:rsidP="000A6DB5" w14:paraId="5857708E" w14:textId="77777777">
            <w:pPr>
              <w:widowControl/>
              <w:autoSpaceDE/>
              <w:autoSpaceDN/>
              <w:adjustRightInd/>
              <w:jc w:val="center"/>
              <w:rPr>
                <w:b/>
                <w:bCs/>
                <w:color w:val="000000"/>
                <w:sz w:val="22"/>
                <w:szCs w:val="22"/>
              </w:rPr>
            </w:pPr>
          </w:p>
        </w:tc>
        <w:tc>
          <w:tcPr>
            <w:tcW w:w="270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3D58C6" w:rsidRPr="00603A11" w:rsidP="000A6DB5" w14:paraId="05550B05" w14:textId="7079248D">
            <w:pPr>
              <w:widowControl/>
              <w:autoSpaceDE/>
              <w:autoSpaceDN/>
              <w:adjustRightInd/>
              <w:jc w:val="center"/>
              <w:rPr>
                <w:b/>
                <w:bCs/>
                <w:color w:val="000000"/>
                <w:sz w:val="22"/>
                <w:szCs w:val="22"/>
              </w:rPr>
            </w:pPr>
            <w:r w:rsidRPr="00603A11">
              <w:rPr>
                <w:b/>
                <w:bCs/>
                <w:color w:val="000000"/>
                <w:sz w:val="22"/>
                <w:szCs w:val="22"/>
              </w:rPr>
              <w:t>CY 2023</w:t>
            </w:r>
          </w:p>
        </w:tc>
      </w:tr>
      <w:tr w14:paraId="3C89A217" w14:textId="77777777" w:rsidTr="00F03863">
        <w:tblPrEx>
          <w:tblW w:w="9365" w:type="dxa"/>
          <w:tblLook w:val="04A0"/>
        </w:tblPrEx>
        <w:trPr>
          <w:trHeight w:val="318"/>
        </w:trPr>
        <w:tc>
          <w:tcPr>
            <w:tcW w:w="666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0A6DB5" w:rsidRPr="00603A11" w:rsidP="000A6DB5" w14:paraId="190D99F4" w14:textId="186B68D4">
            <w:pPr>
              <w:widowControl/>
              <w:autoSpaceDE/>
              <w:autoSpaceDN/>
              <w:adjustRightInd/>
              <w:jc w:val="center"/>
              <w:rPr>
                <w:b/>
                <w:bCs/>
                <w:color w:val="000000"/>
                <w:sz w:val="22"/>
                <w:szCs w:val="22"/>
              </w:rPr>
            </w:pPr>
            <w:r w:rsidRPr="00603A11">
              <w:rPr>
                <w:b/>
                <w:bCs/>
                <w:sz w:val="22"/>
                <w:szCs w:val="22"/>
              </w:rPr>
              <w:t>Provider or Supplier Type</w:t>
            </w:r>
            <w:r w:rsidRPr="00603A11">
              <w:rPr>
                <w:sz w:val="22"/>
                <w:szCs w:val="22"/>
              </w:rPr>
              <w:t> </w:t>
            </w:r>
          </w:p>
        </w:tc>
        <w:tc>
          <w:tcPr>
            <w:tcW w:w="1445" w:type="dxa"/>
            <w:tcBorders>
              <w:top w:val="single" w:sz="4" w:space="0" w:color="auto"/>
              <w:left w:val="nil"/>
              <w:bottom w:val="single" w:sz="4" w:space="0" w:color="auto"/>
              <w:right w:val="single" w:sz="4" w:space="0" w:color="auto"/>
            </w:tcBorders>
            <w:shd w:val="clear" w:color="auto" w:fill="E7E6E6" w:themeFill="background2"/>
            <w:noWrap/>
            <w:vAlign w:val="bottom"/>
            <w:hideMark/>
          </w:tcPr>
          <w:p w:rsidR="000A6DB5" w:rsidRPr="00603A11" w:rsidP="000A6DB5" w14:paraId="39D7E242" w14:textId="53C34625">
            <w:pPr>
              <w:widowControl/>
              <w:autoSpaceDE/>
              <w:autoSpaceDN/>
              <w:adjustRightInd/>
              <w:jc w:val="center"/>
              <w:rPr>
                <w:b/>
                <w:bCs/>
                <w:color w:val="000000"/>
                <w:sz w:val="22"/>
                <w:szCs w:val="22"/>
              </w:rPr>
            </w:pPr>
            <w:r w:rsidRPr="00603A11">
              <w:rPr>
                <w:b/>
                <w:bCs/>
                <w:color w:val="000000"/>
                <w:sz w:val="22"/>
                <w:szCs w:val="22"/>
              </w:rPr>
              <w:t>Existing</w:t>
            </w:r>
          </w:p>
        </w:tc>
        <w:tc>
          <w:tcPr>
            <w:tcW w:w="1260" w:type="dxa"/>
            <w:tcBorders>
              <w:top w:val="single" w:sz="4" w:space="0" w:color="auto"/>
              <w:left w:val="nil"/>
              <w:bottom w:val="single" w:sz="4" w:space="0" w:color="auto"/>
              <w:right w:val="single" w:sz="4" w:space="0" w:color="auto"/>
            </w:tcBorders>
            <w:shd w:val="clear" w:color="auto" w:fill="E7E6E6" w:themeFill="background2"/>
            <w:noWrap/>
            <w:vAlign w:val="bottom"/>
            <w:hideMark/>
          </w:tcPr>
          <w:p w:rsidR="000A6DB5" w:rsidRPr="00603A11" w:rsidP="000A6DB5" w14:paraId="2A0FD5CB" w14:textId="54C722B3">
            <w:pPr>
              <w:widowControl/>
              <w:autoSpaceDE/>
              <w:autoSpaceDN/>
              <w:adjustRightInd/>
              <w:jc w:val="center"/>
              <w:rPr>
                <w:b/>
                <w:bCs/>
                <w:color w:val="000000"/>
                <w:sz w:val="22"/>
                <w:szCs w:val="22"/>
              </w:rPr>
            </w:pPr>
            <w:r w:rsidRPr="00603A11">
              <w:rPr>
                <w:b/>
                <w:bCs/>
                <w:color w:val="000000"/>
                <w:sz w:val="22"/>
                <w:szCs w:val="22"/>
              </w:rPr>
              <w:t>New</w:t>
            </w:r>
          </w:p>
        </w:tc>
      </w:tr>
      <w:tr w14:paraId="038B3CE5"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3D58C6" w:rsidRPr="00603A11" w:rsidP="000A6DB5" w14:paraId="571DA77C" w14:textId="0A641D42">
            <w:pPr>
              <w:widowControl/>
              <w:autoSpaceDE/>
              <w:autoSpaceDN/>
              <w:adjustRightInd/>
              <w:rPr>
                <w:color w:val="000000"/>
                <w:sz w:val="22"/>
                <w:szCs w:val="22"/>
              </w:rPr>
            </w:pPr>
            <w:r w:rsidRPr="00603A11">
              <w:rPr>
                <w:color w:val="000000"/>
                <w:sz w:val="22"/>
                <w:szCs w:val="22"/>
              </w:rPr>
              <w:t>Ambulatory Surgical Centers (ASCs)</w:t>
            </w:r>
            <w:r w:rsidRPr="00603A11">
              <w:rPr>
                <w:color w:val="000000"/>
                <w:sz w:val="22"/>
                <w:szCs w:val="22"/>
              </w:rPr>
              <w:t xml:space="preserve"> - (CY 2021)</w:t>
            </w:r>
          </w:p>
        </w:tc>
        <w:tc>
          <w:tcPr>
            <w:tcW w:w="1445" w:type="dxa"/>
            <w:tcBorders>
              <w:top w:val="nil"/>
              <w:left w:val="nil"/>
              <w:bottom w:val="single" w:sz="4" w:space="0" w:color="auto"/>
              <w:right w:val="single" w:sz="4" w:space="0" w:color="auto"/>
            </w:tcBorders>
            <w:noWrap/>
            <w:vAlign w:val="bottom"/>
            <w:hideMark/>
          </w:tcPr>
          <w:p w:rsidR="000A6DB5" w:rsidRPr="00603A11" w:rsidP="000A6DB5" w14:paraId="27AF23A1" w14:textId="2A15606F">
            <w:pPr>
              <w:widowControl/>
              <w:autoSpaceDE/>
              <w:autoSpaceDN/>
              <w:adjustRightInd/>
              <w:jc w:val="center"/>
              <w:rPr>
                <w:color w:val="000000"/>
                <w:sz w:val="22"/>
                <w:szCs w:val="22"/>
              </w:rPr>
            </w:pPr>
            <w:r w:rsidRPr="00603A11">
              <w:rPr>
                <w:color w:val="000000"/>
                <w:sz w:val="22"/>
                <w:szCs w:val="22"/>
              </w:rPr>
              <w:t>6,170</w:t>
            </w:r>
            <w:r w:rsidRPr="00603A11" w:rsidR="003D58C6">
              <w:rPr>
                <w:color w:val="000000"/>
                <w:sz w:val="22"/>
                <w:szCs w:val="22"/>
              </w:rPr>
              <w:t xml:space="preserve"> </w:t>
            </w:r>
          </w:p>
        </w:tc>
        <w:tc>
          <w:tcPr>
            <w:tcW w:w="1260" w:type="dxa"/>
            <w:tcBorders>
              <w:top w:val="nil"/>
              <w:left w:val="nil"/>
              <w:bottom w:val="single" w:sz="4" w:space="0" w:color="auto"/>
              <w:right w:val="single" w:sz="4" w:space="0" w:color="auto"/>
            </w:tcBorders>
            <w:noWrap/>
            <w:vAlign w:val="bottom"/>
            <w:hideMark/>
          </w:tcPr>
          <w:p w:rsidR="000A6DB5" w:rsidRPr="00603A11" w:rsidP="000A6DB5" w14:paraId="04F69A54" w14:textId="77777777">
            <w:pPr>
              <w:widowControl/>
              <w:autoSpaceDE/>
              <w:autoSpaceDN/>
              <w:adjustRightInd/>
              <w:jc w:val="center"/>
              <w:rPr>
                <w:color w:val="000000"/>
                <w:sz w:val="22"/>
                <w:szCs w:val="22"/>
              </w:rPr>
            </w:pPr>
            <w:r w:rsidRPr="00603A11">
              <w:rPr>
                <w:color w:val="000000"/>
                <w:sz w:val="22"/>
                <w:szCs w:val="22"/>
              </w:rPr>
              <w:t>254</w:t>
            </w:r>
          </w:p>
        </w:tc>
      </w:tr>
      <w:tr w14:paraId="286D937F"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0A6DB5" w:rsidRPr="00603A11" w:rsidP="000A6DB5" w14:paraId="0FABCF66" w14:textId="77777777">
            <w:pPr>
              <w:widowControl/>
              <w:autoSpaceDE/>
              <w:autoSpaceDN/>
              <w:adjustRightInd/>
              <w:jc w:val="right"/>
              <w:rPr>
                <w:color w:val="000000"/>
                <w:sz w:val="22"/>
                <w:szCs w:val="22"/>
              </w:rPr>
            </w:pPr>
            <w:r w:rsidRPr="00603A11">
              <w:rPr>
                <w:color w:val="000000"/>
                <w:sz w:val="22"/>
                <w:szCs w:val="22"/>
              </w:rPr>
              <w:t>TJC Accredited</w:t>
            </w:r>
          </w:p>
        </w:tc>
        <w:tc>
          <w:tcPr>
            <w:tcW w:w="1445" w:type="dxa"/>
            <w:tcBorders>
              <w:top w:val="nil"/>
              <w:left w:val="nil"/>
              <w:bottom w:val="single" w:sz="4" w:space="0" w:color="auto"/>
              <w:right w:val="single" w:sz="4" w:space="0" w:color="auto"/>
            </w:tcBorders>
            <w:noWrap/>
            <w:vAlign w:val="bottom"/>
            <w:hideMark/>
          </w:tcPr>
          <w:p w:rsidR="000A6DB5" w:rsidRPr="00603A11" w:rsidP="000A6DB5" w14:paraId="4D4023FE" w14:textId="77777777">
            <w:pPr>
              <w:widowControl/>
              <w:autoSpaceDE/>
              <w:autoSpaceDN/>
              <w:adjustRightInd/>
              <w:jc w:val="center"/>
              <w:rPr>
                <w:color w:val="000000"/>
                <w:sz w:val="22"/>
                <w:szCs w:val="22"/>
              </w:rPr>
            </w:pPr>
            <w:r w:rsidRPr="00603A11">
              <w:rPr>
                <w:color w:val="000000"/>
                <w:sz w:val="22"/>
                <w:szCs w:val="22"/>
              </w:rPr>
              <w:t>581</w:t>
            </w:r>
          </w:p>
        </w:tc>
        <w:tc>
          <w:tcPr>
            <w:tcW w:w="1260" w:type="dxa"/>
            <w:tcBorders>
              <w:top w:val="nil"/>
              <w:left w:val="nil"/>
              <w:bottom w:val="single" w:sz="4" w:space="0" w:color="auto"/>
              <w:right w:val="single" w:sz="4" w:space="0" w:color="auto"/>
            </w:tcBorders>
            <w:noWrap/>
            <w:vAlign w:val="bottom"/>
            <w:hideMark/>
          </w:tcPr>
          <w:p w:rsidR="000A6DB5" w:rsidRPr="00603A11" w:rsidP="000A6DB5" w14:paraId="30B199FF" w14:textId="77777777">
            <w:pPr>
              <w:widowControl/>
              <w:autoSpaceDE/>
              <w:autoSpaceDN/>
              <w:adjustRightInd/>
              <w:jc w:val="center"/>
              <w:rPr>
                <w:color w:val="000000"/>
                <w:sz w:val="22"/>
                <w:szCs w:val="22"/>
              </w:rPr>
            </w:pPr>
            <w:r w:rsidRPr="00603A11">
              <w:rPr>
                <w:color w:val="000000"/>
                <w:sz w:val="22"/>
                <w:szCs w:val="22"/>
              </w:rPr>
              <w:t>63</w:t>
            </w:r>
          </w:p>
        </w:tc>
      </w:tr>
      <w:tr w14:paraId="64E294BD"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0A6DB5" w:rsidRPr="00603A11" w:rsidP="000A6DB5" w14:paraId="0EC02A09" w14:textId="77777777">
            <w:pPr>
              <w:widowControl/>
              <w:autoSpaceDE/>
              <w:autoSpaceDN/>
              <w:adjustRightInd/>
              <w:jc w:val="right"/>
              <w:rPr>
                <w:color w:val="000000"/>
                <w:sz w:val="22"/>
                <w:szCs w:val="22"/>
              </w:rPr>
            </w:pPr>
            <w:r w:rsidRPr="00603A11">
              <w:rPr>
                <w:color w:val="000000"/>
                <w:sz w:val="22"/>
                <w:szCs w:val="22"/>
              </w:rPr>
              <w:t>Non-TJC Accredited</w:t>
            </w:r>
          </w:p>
        </w:tc>
        <w:tc>
          <w:tcPr>
            <w:tcW w:w="1445" w:type="dxa"/>
            <w:tcBorders>
              <w:top w:val="nil"/>
              <w:left w:val="nil"/>
              <w:bottom w:val="single" w:sz="4" w:space="0" w:color="auto"/>
              <w:right w:val="single" w:sz="4" w:space="0" w:color="auto"/>
            </w:tcBorders>
            <w:noWrap/>
            <w:vAlign w:val="bottom"/>
            <w:hideMark/>
          </w:tcPr>
          <w:p w:rsidR="000A6DB5" w:rsidRPr="00603A11" w:rsidP="000A6DB5" w14:paraId="7D1945E6" w14:textId="77777777">
            <w:pPr>
              <w:widowControl/>
              <w:autoSpaceDE/>
              <w:autoSpaceDN/>
              <w:adjustRightInd/>
              <w:jc w:val="center"/>
              <w:rPr>
                <w:sz w:val="22"/>
                <w:szCs w:val="22"/>
              </w:rPr>
            </w:pPr>
            <w:r w:rsidRPr="00603A11">
              <w:rPr>
                <w:sz w:val="22"/>
                <w:szCs w:val="22"/>
              </w:rPr>
              <w:t>5,589</w:t>
            </w:r>
          </w:p>
        </w:tc>
        <w:tc>
          <w:tcPr>
            <w:tcW w:w="1260" w:type="dxa"/>
            <w:tcBorders>
              <w:top w:val="nil"/>
              <w:left w:val="nil"/>
              <w:bottom w:val="single" w:sz="4" w:space="0" w:color="auto"/>
              <w:right w:val="single" w:sz="4" w:space="0" w:color="auto"/>
            </w:tcBorders>
            <w:noWrap/>
            <w:vAlign w:val="bottom"/>
            <w:hideMark/>
          </w:tcPr>
          <w:p w:rsidR="000A6DB5" w:rsidRPr="00603A11" w:rsidP="000A6DB5" w14:paraId="4D9B9652" w14:textId="77777777">
            <w:pPr>
              <w:widowControl/>
              <w:autoSpaceDE/>
              <w:autoSpaceDN/>
              <w:adjustRightInd/>
              <w:jc w:val="center"/>
              <w:rPr>
                <w:sz w:val="22"/>
                <w:szCs w:val="22"/>
              </w:rPr>
            </w:pPr>
            <w:r w:rsidRPr="00603A11">
              <w:rPr>
                <w:sz w:val="22"/>
                <w:szCs w:val="22"/>
              </w:rPr>
              <w:t>191</w:t>
            </w:r>
          </w:p>
        </w:tc>
      </w:tr>
      <w:tr w14:paraId="6DAC3875"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065B7D77" w14:textId="4F3E7C46">
            <w:pPr>
              <w:widowControl/>
              <w:autoSpaceDE/>
              <w:autoSpaceDN/>
              <w:adjustRightInd/>
              <w:rPr>
                <w:color w:val="000000"/>
                <w:sz w:val="22"/>
                <w:szCs w:val="22"/>
              </w:rPr>
            </w:pPr>
            <w:r w:rsidRPr="00603A11">
              <w:rPr>
                <w:color w:val="000000"/>
                <w:sz w:val="22"/>
                <w:szCs w:val="22"/>
              </w:rPr>
              <w:t>Community Mental Health Centers (CMHCs)</w:t>
            </w:r>
          </w:p>
        </w:tc>
        <w:tc>
          <w:tcPr>
            <w:tcW w:w="1445" w:type="dxa"/>
            <w:tcBorders>
              <w:top w:val="nil"/>
              <w:left w:val="nil"/>
              <w:bottom w:val="single" w:sz="4" w:space="0" w:color="auto"/>
              <w:right w:val="single" w:sz="4" w:space="0" w:color="auto"/>
            </w:tcBorders>
            <w:noWrap/>
            <w:vAlign w:val="bottom"/>
          </w:tcPr>
          <w:p w:rsidR="00CB1479" w:rsidRPr="00603A11" w:rsidP="00CB1479" w14:paraId="7EE8F78C" w14:textId="2B3269F0">
            <w:pPr>
              <w:widowControl/>
              <w:autoSpaceDE/>
              <w:autoSpaceDN/>
              <w:adjustRightInd/>
              <w:jc w:val="center"/>
              <w:rPr>
                <w:sz w:val="22"/>
                <w:szCs w:val="22"/>
              </w:rPr>
            </w:pPr>
            <w:r w:rsidRPr="00603A11">
              <w:rPr>
                <w:sz w:val="22"/>
                <w:szCs w:val="22"/>
              </w:rPr>
              <w:t>117</w:t>
            </w:r>
          </w:p>
        </w:tc>
        <w:tc>
          <w:tcPr>
            <w:tcW w:w="1260" w:type="dxa"/>
            <w:tcBorders>
              <w:top w:val="nil"/>
              <w:left w:val="nil"/>
              <w:bottom w:val="single" w:sz="4" w:space="0" w:color="auto"/>
              <w:right w:val="single" w:sz="4" w:space="0" w:color="auto"/>
            </w:tcBorders>
            <w:noWrap/>
            <w:vAlign w:val="bottom"/>
          </w:tcPr>
          <w:p w:rsidR="00CB1479" w:rsidRPr="00603A11" w:rsidP="00CB1479" w14:paraId="4A6DB457" w14:textId="4816F43A">
            <w:pPr>
              <w:widowControl/>
              <w:autoSpaceDE/>
              <w:autoSpaceDN/>
              <w:adjustRightInd/>
              <w:jc w:val="center"/>
              <w:rPr>
                <w:sz w:val="22"/>
                <w:szCs w:val="22"/>
              </w:rPr>
            </w:pPr>
            <w:r w:rsidRPr="00603A11">
              <w:rPr>
                <w:sz w:val="22"/>
                <w:szCs w:val="22"/>
              </w:rPr>
              <w:t>9</w:t>
            </w:r>
          </w:p>
        </w:tc>
      </w:tr>
      <w:tr w14:paraId="00DE29C0"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02FECBF5" w14:textId="07B3470D">
            <w:pPr>
              <w:widowControl/>
              <w:autoSpaceDE/>
              <w:autoSpaceDN/>
              <w:adjustRightInd/>
              <w:rPr>
                <w:color w:val="000000"/>
                <w:sz w:val="22"/>
                <w:szCs w:val="22"/>
              </w:rPr>
            </w:pPr>
            <w:r w:rsidRPr="00603A11">
              <w:rPr>
                <w:color w:val="000000"/>
                <w:sz w:val="22"/>
                <w:szCs w:val="22"/>
              </w:rPr>
              <w:t>Comprehensive Outpatient Rehabilitation Facilities (CORFs)</w:t>
            </w:r>
          </w:p>
        </w:tc>
        <w:tc>
          <w:tcPr>
            <w:tcW w:w="1445" w:type="dxa"/>
            <w:tcBorders>
              <w:top w:val="nil"/>
              <w:left w:val="nil"/>
              <w:bottom w:val="single" w:sz="4" w:space="0" w:color="auto"/>
              <w:right w:val="single" w:sz="4" w:space="0" w:color="auto"/>
            </w:tcBorders>
            <w:noWrap/>
            <w:vAlign w:val="bottom"/>
          </w:tcPr>
          <w:p w:rsidR="00CB1479" w:rsidRPr="00603A11" w:rsidP="00CB1479" w14:paraId="03E31567" w14:textId="03B96AE9">
            <w:pPr>
              <w:widowControl/>
              <w:autoSpaceDE/>
              <w:autoSpaceDN/>
              <w:adjustRightInd/>
              <w:jc w:val="center"/>
              <w:rPr>
                <w:sz w:val="22"/>
                <w:szCs w:val="22"/>
              </w:rPr>
            </w:pPr>
            <w:r w:rsidRPr="00603A11">
              <w:rPr>
                <w:color w:val="000000"/>
                <w:sz w:val="22"/>
                <w:szCs w:val="22"/>
              </w:rPr>
              <w:t>149</w:t>
            </w:r>
          </w:p>
        </w:tc>
        <w:tc>
          <w:tcPr>
            <w:tcW w:w="1260" w:type="dxa"/>
            <w:tcBorders>
              <w:top w:val="nil"/>
              <w:left w:val="nil"/>
              <w:bottom w:val="single" w:sz="4" w:space="0" w:color="auto"/>
              <w:right w:val="single" w:sz="4" w:space="0" w:color="auto"/>
            </w:tcBorders>
            <w:noWrap/>
            <w:vAlign w:val="bottom"/>
          </w:tcPr>
          <w:p w:rsidR="00CB1479" w:rsidRPr="00603A11" w:rsidP="00CB1479" w14:paraId="39B8C805" w14:textId="7B470E0F">
            <w:pPr>
              <w:widowControl/>
              <w:autoSpaceDE/>
              <w:autoSpaceDN/>
              <w:adjustRightInd/>
              <w:jc w:val="center"/>
              <w:rPr>
                <w:sz w:val="22"/>
                <w:szCs w:val="22"/>
              </w:rPr>
            </w:pPr>
            <w:r w:rsidRPr="00603A11">
              <w:rPr>
                <w:color w:val="000000"/>
                <w:sz w:val="22"/>
                <w:szCs w:val="22"/>
              </w:rPr>
              <w:t>3</w:t>
            </w:r>
          </w:p>
        </w:tc>
      </w:tr>
      <w:tr w14:paraId="786D355B"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65F448F2" w14:textId="6FF35619">
            <w:pPr>
              <w:widowControl/>
              <w:autoSpaceDE/>
              <w:autoSpaceDN/>
              <w:adjustRightInd/>
              <w:rPr>
                <w:color w:val="000000"/>
                <w:sz w:val="22"/>
                <w:szCs w:val="22"/>
              </w:rPr>
            </w:pPr>
            <w:r w:rsidRPr="00603A11">
              <w:rPr>
                <w:color w:val="000000"/>
                <w:sz w:val="22"/>
                <w:szCs w:val="22"/>
              </w:rPr>
              <w:t>Critical Access Hospitals (CAHs)</w:t>
            </w:r>
          </w:p>
        </w:tc>
        <w:tc>
          <w:tcPr>
            <w:tcW w:w="1445" w:type="dxa"/>
            <w:tcBorders>
              <w:top w:val="nil"/>
              <w:left w:val="nil"/>
              <w:bottom w:val="single" w:sz="4" w:space="0" w:color="auto"/>
              <w:right w:val="single" w:sz="4" w:space="0" w:color="auto"/>
            </w:tcBorders>
            <w:noWrap/>
            <w:vAlign w:val="bottom"/>
          </w:tcPr>
          <w:p w:rsidR="00CB1479" w:rsidRPr="00603A11" w:rsidP="00CB1479" w14:paraId="679F4D78" w14:textId="653AF8A3">
            <w:pPr>
              <w:widowControl/>
              <w:autoSpaceDE/>
              <w:autoSpaceDN/>
              <w:adjustRightInd/>
              <w:jc w:val="center"/>
              <w:rPr>
                <w:sz w:val="22"/>
                <w:szCs w:val="22"/>
              </w:rPr>
            </w:pPr>
            <w:r w:rsidRPr="00603A11">
              <w:rPr>
                <w:color w:val="000000"/>
                <w:sz w:val="22"/>
                <w:szCs w:val="22"/>
              </w:rPr>
              <w:t>1,341</w:t>
            </w:r>
          </w:p>
        </w:tc>
        <w:tc>
          <w:tcPr>
            <w:tcW w:w="1260" w:type="dxa"/>
            <w:tcBorders>
              <w:top w:val="nil"/>
              <w:left w:val="nil"/>
              <w:bottom w:val="single" w:sz="4" w:space="0" w:color="auto"/>
              <w:right w:val="single" w:sz="4" w:space="0" w:color="auto"/>
            </w:tcBorders>
            <w:noWrap/>
            <w:vAlign w:val="bottom"/>
          </w:tcPr>
          <w:p w:rsidR="00CB1479" w:rsidRPr="00603A11" w:rsidP="00CB1479" w14:paraId="656BECED" w14:textId="22617349">
            <w:pPr>
              <w:widowControl/>
              <w:autoSpaceDE/>
              <w:autoSpaceDN/>
              <w:adjustRightInd/>
              <w:jc w:val="center"/>
              <w:rPr>
                <w:sz w:val="22"/>
                <w:szCs w:val="22"/>
              </w:rPr>
            </w:pPr>
            <w:r w:rsidRPr="00603A11">
              <w:rPr>
                <w:color w:val="000000"/>
                <w:sz w:val="22"/>
                <w:szCs w:val="22"/>
              </w:rPr>
              <w:t>18</w:t>
            </w:r>
          </w:p>
        </w:tc>
      </w:tr>
      <w:tr w14:paraId="06C9F4B1"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10A4EE87" w14:textId="0F908AD8">
            <w:pPr>
              <w:widowControl/>
              <w:autoSpaceDE/>
              <w:autoSpaceDN/>
              <w:adjustRightInd/>
              <w:jc w:val="right"/>
              <w:rPr>
                <w:color w:val="000000"/>
                <w:sz w:val="22"/>
                <w:szCs w:val="22"/>
              </w:rPr>
            </w:pPr>
            <w:r w:rsidRPr="00603A11">
              <w:rPr>
                <w:color w:val="000000"/>
                <w:sz w:val="22"/>
                <w:szCs w:val="22"/>
              </w:rPr>
              <w:t>TJC Accredited</w:t>
            </w:r>
          </w:p>
        </w:tc>
        <w:tc>
          <w:tcPr>
            <w:tcW w:w="1445" w:type="dxa"/>
            <w:tcBorders>
              <w:top w:val="nil"/>
              <w:left w:val="nil"/>
              <w:bottom w:val="single" w:sz="4" w:space="0" w:color="auto"/>
              <w:right w:val="single" w:sz="4" w:space="0" w:color="auto"/>
            </w:tcBorders>
            <w:noWrap/>
            <w:vAlign w:val="bottom"/>
          </w:tcPr>
          <w:p w:rsidR="00CB1479" w:rsidRPr="00603A11" w:rsidP="00CB1479" w14:paraId="225F7E4C" w14:textId="372B3359">
            <w:pPr>
              <w:widowControl/>
              <w:autoSpaceDE/>
              <w:autoSpaceDN/>
              <w:adjustRightInd/>
              <w:jc w:val="center"/>
              <w:rPr>
                <w:sz w:val="22"/>
                <w:szCs w:val="22"/>
              </w:rPr>
            </w:pPr>
            <w:r w:rsidRPr="00603A11">
              <w:rPr>
                <w:color w:val="000000"/>
                <w:sz w:val="22"/>
                <w:szCs w:val="22"/>
              </w:rPr>
              <w:t>325</w:t>
            </w:r>
          </w:p>
        </w:tc>
        <w:tc>
          <w:tcPr>
            <w:tcW w:w="1260" w:type="dxa"/>
            <w:tcBorders>
              <w:top w:val="nil"/>
              <w:left w:val="nil"/>
              <w:bottom w:val="single" w:sz="4" w:space="0" w:color="auto"/>
              <w:right w:val="single" w:sz="4" w:space="0" w:color="auto"/>
            </w:tcBorders>
            <w:noWrap/>
            <w:vAlign w:val="bottom"/>
          </w:tcPr>
          <w:p w:rsidR="00CB1479" w:rsidRPr="00603A11" w:rsidP="00CB1479" w14:paraId="447CE780" w14:textId="0F5D9DA0">
            <w:pPr>
              <w:widowControl/>
              <w:autoSpaceDE/>
              <w:autoSpaceDN/>
              <w:adjustRightInd/>
              <w:jc w:val="center"/>
              <w:rPr>
                <w:sz w:val="22"/>
                <w:szCs w:val="22"/>
              </w:rPr>
            </w:pPr>
            <w:r w:rsidRPr="00603A11">
              <w:rPr>
                <w:color w:val="000000"/>
                <w:sz w:val="22"/>
                <w:szCs w:val="22"/>
              </w:rPr>
              <w:t>4</w:t>
            </w:r>
          </w:p>
        </w:tc>
      </w:tr>
      <w:tr w14:paraId="21CB1E5F"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0CBCDFF4" w14:textId="1574B0C2">
            <w:pPr>
              <w:widowControl/>
              <w:autoSpaceDE/>
              <w:autoSpaceDN/>
              <w:adjustRightInd/>
              <w:jc w:val="right"/>
              <w:rPr>
                <w:color w:val="000000"/>
                <w:sz w:val="22"/>
                <w:szCs w:val="22"/>
              </w:rPr>
            </w:pPr>
            <w:r w:rsidRPr="00603A11">
              <w:rPr>
                <w:color w:val="000000"/>
                <w:sz w:val="22"/>
                <w:szCs w:val="22"/>
              </w:rPr>
              <w:t>Non-TJC Accredited</w:t>
            </w:r>
          </w:p>
        </w:tc>
        <w:tc>
          <w:tcPr>
            <w:tcW w:w="1445" w:type="dxa"/>
            <w:tcBorders>
              <w:top w:val="nil"/>
              <w:left w:val="nil"/>
              <w:bottom w:val="single" w:sz="4" w:space="0" w:color="auto"/>
              <w:right w:val="single" w:sz="4" w:space="0" w:color="auto"/>
            </w:tcBorders>
            <w:noWrap/>
            <w:vAlign w:val="bottom"/>
          </w:tcPr>
          <w:p w:rsidR="00CB1479" w:rsidRPr="00603A11" w:rsidP="00CB1479" w14:paraId="44E84937" w14:textId="38ADCDB5">
            <w:pPr>
              <w:widowControl/>
              <w:autoSpaceDE/>
              <w:autoSpaceDN/>
              <w:adjustRightInd/>
              <w:jc w:val="center"/>
              <w:rPr>
                <w:sz w:val="22"/>
                <w:szCs w:val="22"/>
              </w:rPr>
            </w:pPr>
            <w:r w:rsidRPr="00603A11">
              <w:rPr>
                <w:sz w:val="22"/>
                <w:szCs w:val="22"/>
              </w:rPr>
              <w:t>1,016</w:t>
            </w:r>
          </w:p>
        </w:tc>
        <w:tc>
          <w:tcPr>
            <w:tcW w:w="1260" w:type="dxa"/>
            <w:tcBorders>
              <w:top w:val="nil"/>
              <w:left w:val="nil"/>
              <w:bottom w:val="single" w:sz="4" w:space="0" w:color="auto"/>
              <w:right w:val="single" w:sz="4" w:space="0" w:color="auto"/>
            </w:tcBorders>
            <w:noWrap/>
            <w:vAlign w:val="bottom"/>
          </w:tcPr>
          <w:p w:rsidR="00CB1479" w:rsidRPr="00603A11" w:rsidP="00CB1479" w14:paraId="1E4D97F4" w14:textId="7EB95A50">
            <w:pPr>
              <w:widowControl/>
              <w:autoSpaceDE/>
              <w:autoSpaceDN/>
              <w:adjustRightInd/>
              <w:jc w:val="center"/>
              <w:rPr>
                <w:sz w:val="22"/>
                <w:szCs w:val="22"/>
              </w:rPr>
            </w:pPr>
            <w:r w:rsidRPr="00603A11">
              <w:rPr>
                <w:sz w:val="22"/>
                <w:szCs w:val="22"/>
              </w:rPr>
              <w:t>14</w:t>
            </w:r>
          </w:p>
        </w:tc>
      </w:tr>
      <w:tr w14:paraId="71255E7F"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0858D4DE" w14:textId="1E49CAE4">
            <w:pPr>
              <w:widowControl/>
              <w:autoSpaceDE/>
              <w:autoSpaceDN/>
              <w:adjustRightInd/>
              <w:rPr>
                <w:color w:val="000000"/>
                <w:sz w:val="22"/>
                <w:szCs w:val="22"/>
              </w:rPr>
            </w:pPr>
            <w:r w:rsidRPr="00603A11">
              <w:rPr>
                <w:color w:val="000000"/>
                <w:sz w:val="22"/>
                <w:szCs w:val="22"/>
              </w:rPr>
              <w:t>End-Stage Renal Disease (ESRD) Facilities</w:t>
            </w:r>
          </w:p>
        </w:tc>
        <w:tc>
          <w:tcPr>
            <w:tcW w:w="1445" w:type="dxa"/>
            <w:tcBorders>
              <w:top w:val="nil"/>
              <w:left w:val="nil"/>
              <w:bottom w:val="single" w:sz="4" w:space="0" w:color="auto"/>
              <w:right w:val="single" w:sz="4" w:space="0" w:color="auto"/>
            </w:tcBorders>
            <w:noWrap/>
            <w:vAlign w:val="bottom"/>
          </w:tcPr>
          <w:p w:rsidR="00CB1479" w:rsidRPr="00603A11" w:rsidP="00CB1479" w14:paraId="52EAFE85" w14:textId="0FF95E34">
            <w:pPr>
              <w:widowControl/>
              <w:autoSpaceDE/>
              <w:autoSpaceDN/>
              <w:adjustRightInd/>
              <w:jc w:val="center"/>
              <w:rPr>
                <w:sz w:val="22"/>
                <w:szCs w:val="22"/>
              </w:rPr>
            </w:pPr>
            <w:r w:rsidRPr="00603A11">
              <w:rPr>
                <w:sz w:val="22"/>
                <w:szCs w:val="22"/>
              </w:rPr>
              <w:t>7,844</w:t>
            </w:r>
          </w:p>
        </w:tc>
        <w:tc>
          <w:tcPr>
            <w:tcW w:w="1260" w:type="dxa"/>
            <w:tcBorders>
              <w:top w:val="nil"/>
              <w:left w:val="nil"/>
              <w:bottom w:val="single" w:sz="4" w:space="0" w:color="auto"/>
              <w:right w:val="single" w:sz="4" w:space="0" w:color="auto"/>
            </w:tcBorders>
            <w:noWrap/>
            <w:vAlign w:val="bottom"/>
          </w:tcPr>
          <w:p w:rsidR="00CB1479" w:rsidRPr="00603A11" w:rsidP="00CB1479" w14:paraId="1C332529" w14:textId="6C9FAE68">
            <w:pPr>
              <w:widowControl/>
              <w:autoSpaceDE/>
              <w:autoSpaceDN/>
              <w:adjustRightInd/>
              <w:jc w:val="center"/>
              <w:rPr>
                <w:sz w:val="22"/>
                <w:szCs w:val="22"/>
              </w:rPr>
            </w:pPr>
            <w:r w:rsidRPr="00603A11">
              <w:rPr>
                <w:sz w:val="22"/>
                <w:szCs w:val="22"/>
              </w:rPr>
              <w:t>102</w:t>
            </w:r>
          </w:p>
        </w:tc>
      </w:tr>
      <w:tr w14:paraId="4A4BCE25"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039F69BC" w14:textId="1E1F6212">
            <w:pPr>
              <w:widowControl/>
              <w:autoSpaceDE/>
              <w:autoSpaceDN/>
              <w:adjustRightInd/>
              <w:rPr>
                <w:color w:val="000000"/>
                <w:sz w:val="22"/>
                <w:szCs w:val="22"/>
              </w:rPr>
            </w:pPr>
            <w:r w:rsidRPr="00603A11">
              <w:rPr>
                <w:color w:val="000000"/>
                <w:sz w:val="22"/>
                <w:szCs w:val="22"/>
              </w:rPr>
              <w:t>Federally Qualified Health Centers (FQHCs)</w:t>
            </w:r>
          </w:p>
        </w:tc>
        <w:tc>
          <w:tcPr>
            <w:tcW w:w="1445" w:type="dxa"/>
            <w:tcBorders>
              <w:top w:val="nil"/>
              <w:left w:val="nil"/>
              <w:bottom w:val="single" w:sz="4" w:space="0" w:color="auto"/>
              <w:right w:val="single" w:sz="4" w:space="0" w:color="auto"/>
            </w:tcBorders>
            <w:noWrap/>
            <w:vAlign w:val="bottom"/>
          </w:tcPr>
          <w:p w:rsidR="00CB1479" w:rsidRPr="00603A11" w:rsidP="00CB1479" w14:paraId="15A7FCAF" w14:textId="35020B54">
            <w:pPr>
              <w:widowControl/>
              <w:autoSpaceDE/>
              <w:autoSpaceDN/>
              <w:adjustRightInd/>
              <w:jc w:val="center"/>
              <w:rPr>
                <w:color w:val="000000"/>
                <w:sz w:val="22"/>
                <w:szCs w:val="22"/>
              </w:rPr>
            </w:pPr>
            <w:r w:rsidRPr="00603A11">
              <w:rPr>
                <w:sz w:val="22"/>
                <w:szCs w:val="22"/>
              </w:rPr>
              <w:t>11,850</w:t>
            </w:r>
          </w:p>
        </w:tc>
        <w:tc>
          <w:tcPr>
            <w:tcW w:w="1260" w:type="dxa"/>
            <w:tcBorders>
              <w:top w:val="nil"/>
              <w:left w:val="nil"/>
              <w:bottom w:val="single" w:sz="4" w:space="0" w:color="auto"/>
              <w:right w:val="single" w:sz="4" w:space="0" w:color="auto"/>
            </w:tcBorders>
            <w:noWrap/>
            <w:vAlign w:val="bottom"/>
          </w:tcPr>
          <w:p w:rsidR="00CB1479" w:rsidRPr="00603A11" w:rsidP="00CB1479" w14:paraId="68957F91" w14:textId="2A797799">
            <w:pPr>
              <w:widowControl/>
              <w:autoSpaceDE/>
              <w:autoSpaceDN/>
              <w:adjustRightInd/>
              <w:jc w:val="center"/>
              <w:rPr>
                <w:color w:val="000000"/>
                <w:sz w:val="22"/>
                <w:szCs w:val="22"/>
              </w:rPr>
            </w:pPr>
            <w:r w:rsidRPr="00603A11">
              <w:rPr>
                <w:sz w:val="22"/>
                <w:szCs w:val="22"/>
              </w:rPr>
              <w:t>771</w:t>
            </w:r>
          </w:p>
        </w:tc>
      </w:tr>
      <w:tr w14:paraId="10D7AC51"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41A72EB7" w14:textId="5C98C758">
            <w:pPr>
              <w:widowControl/>
              <w:autoSpaceDE/>
              <w:autoSpaceDN/>
              <w:adjustRightInd/>
              <w:rPr>
                <w:color w:val="000000"/>
                <w:sz w:val="22"/>
                <w:szCs w:val="22"/>
              </w:rPr>
            </w:pPr>
            <w:r w:rsidRPr="00603A11">
              <w:rPr>
                <w:color w:val="000000"/>
                <w:sz w:val="22"/>
                <w:szCs w:val="22"/>
              </w:rPr>
              <w:t>Home Health Agencies (HHAs) - (CY 2020)</w:t>
            </w:r>
          </w:p>
        </w:tc>
        <w:tc>
          <w:tcPr>
            <w:tcW w:w="1445" w:type="dxa"/>
            <w:tcBorders>
              <w:top w:val="nil"/>
              <w:left w:val="nil"/>
              <w:bottom w:val="single" w:sz="4" w:space="0" w:color="auto"/>
              <w:right w:val="single" w:sz="4" w:space="0" w:color="auto"/>
            </w:tcBorders>
            <w:noWrap/>
            <w:vAlign w:val="bottom"/>
          </w:tcPr>
          <w:p w:rsidR="00CB1479" w:rsidRPr="00603A11" w:rsidP="00CB1479" w14:paraId="45B7F0A1" w14:textId="6C24642A">
            <w:pPr>
              <w:widowControl/>
              <w:autoSpaceDE/>
              <w:autoSpaceDN/>
              <w:adjustRightInd/>
              <w:jc w:val="center"/>
              <w:rPr>
                <w:sz w:val="22"/>
                <w:szCs w:val="22"/>
              </w:rPr>
            </w:pPr>
            <w:r w:rsidRPr="00603A11">
              <w:rPr>
                <w:color w:val="000000"/>
                <w:sz w:val="22"/>
                <w:szCs w:val="22"/>
              </w:rPr>
              <w:t>8,925</w:t>
            </w:r>
          </w:p>
        </w:tc>
        <w:tc>
          <w:tcPr>
            <w:tcW w:w="1260" w:type="dxa"/>
            <w:tcBorders>
              <w:top w:val="nil"/>
              <w:left w:val="nil"/>
              <w:bottom w:val="single" w:sz="4" w:space="0" w:color="auto"/>
              <w:right w:val="single" w:sz="4" w:space="0" w:color="auto"/>
            </w:tcBorders>
            <w:noWrap/>
            <w:vAlign w:val="bottom"/>
          </w:tcPr>
          <w:p w:rsidR="00CB1479" w:rsidRPr="00603A11" w:rsidP="00CB1479" w14:paraId="3C973BA3" w14:textId="4B23A05C">
            <w:pPr>
              <w:widowControl/>
              <w:autoSpaceDE/>
              <w:autoSpaceDN/>
              <w:adjustRightInd/>
              <w:jc w:val="center"/>
              <w:rPr>
                <w:sz w:val="22"/>
                <w:szCs w:val="22"/>
              </w:rPr>
            </w:pPr>
            <w:r w:rsidRPr="00603A11">
              <w:rPr>
                <w:color w:val="000000"/>
                <w:sz w:val="22"/>
                <w:szCs w:val="22"/>
              </w:rPr>
              <w:t>361</w:t>
            </w:r>
          </w:p>
        </w:tc>
      </w:tr>
      <w:tr w14:paraId="65C2344E"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3CFA5992" w14:textId="30CBC210">
            <w:pPr>
              <w:widowControl/>
              <w:autoSpaceDE/>
              <w:autoSpaceDN/>
              <w:adjustRightInd/>
              <w:jc w:val="right"/>
              <w:rPr>
                <w:color w:val="000000"/>
                <w:sz w:val="22"/>
                <w:szCs w:val="22"/>
              </w:rPr>
            </w:pPr>
            <w:r w:rsidRPr="00603A11">
              <w:rPr>
                <w:color w:val="000000"/>
                <w:sz w:val="22"/>
                <w:szCs w:val="22"/>
              </w:rPr>
              <w:t>TJC-Accredited</w:t>
            </w:r>
          </w:p>
        </w:tc>
        <w:tc>
          <w:tcPr>
            <w:tcW w:w="1445" w:type="dxa"/>
            <w:tcBorders>
              <w:top w:val="nil"/>
              <w:left w:val="nil"/>
              <w:bottom w:val="single" w:sz="4" w:space="0" w:color="auto"/>
              <w:right w:val="single" w:sz="4" w:space="0" w:color="auto"/>
            </w:tcBorders>
            <w:noWrap/>
            <w:vAlign w:val="bottom"/>
          </w:tcPr>
          <w:p w:rsidR="00CB1479" w:rsidRPr="00603A11" w:rsidP="00CB1479" w14:paraId="6B4B0E14" w14:textId="13E0B515">
            <w:pPr>
              <w:widowControl/>
              <w:autoSpaceDE/>
              <w:autoSpaceDN/>
              <w:adjustRightInd/>
              <w:jc w:val="center"/>
              <w:rPr>
                <w:sz w:val="22"/>
                <w:szCs w:val="22"/>
              </w:rPr>
            </w:pPr>
            <w:r w:rsidRPr="00603A11">
              <w:rPr>
                <w:color w:val="000000"/>
                <w:sz w:val="22"/>
                <w:szCs w:val="22"/>
              </w:rPr>
              <w:t>831</w:t>
            </w:r>
          </w:p>
        </w:tc>
        <w:tc>
          <w:tcPr>
            <w:tcW w:w="1260" w:type="dxa"/>
            <w:tcBorders>
              <w:top w:val="nil"/>
              <w:left w:val="nil"/>
              <w:bottom w:val="single" w:sz="4" w:space="0" w:color="auto"/>
              <w:right w:val="single" w:sz="4" w:space="0" w:color="auto"/>
            </w:tcBorders>
            <w:noWrap/>
            <w:vAlign w:val="bottom"/>
          </w:tcPr>
          <w:p w:rsidR="00CB1479" w:rsidRPr="00603A11" w:rsidP="00CB1479" w14:paraId="3967FF84" w14:textId="2E8FB53B">
            <w:pPr>
              <w:widowControl/>
              <w:autoSpaceDE/>
              <w:autoSpaceDN/>
              <w:adjustRightInd/>
              <w:jc w:val="center"/>
              <w:rPr>
                <w:sz w:val="22"/>
                <w:szCs w:val="22"/>
              </w:rPr>
            </w:pPr>
            <w:r w:rsidRPr="00603A11">
              <w:rPr>
                <w:color w:val="000000"/>
                <w:sz w:val="22"/>
                <w:szCs w:val="22"/>
              </w:rPr>
              <w:t>27</w:t>
            </w:r>
          </w:p>
        </w:tc>
      </w:tr>
      <w:tr w14:paraId="32431040"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665D8DDE" w14:textId="5A2860AA">
            <w:pPr>
              <w:widowControl/>
              <w:autoSpaceDE/>
              <w:autoSpaceDN/>
              <w:adjustRightInd/>
              <w:jc w:val="right"/>
              <w:rPr>
                <w:color w:val="000000"/>
                <w:sz w:val="22"/>
                <w:szCs w:val="22"/>
              </w:rPr>
            </w:pPr>
            <w:r w:rsidRPr="00603A11">
              <w:rPr>
                <w:color w:val="000000"/>
                <w:sz w:val="22"/>
                <w:szCs w:val="22"/>
              </w:rPr>
              <w:t>Non-TJC Accredited</w:t>
            </w:r>
          </w:p>
        </w:tc>
        <w:tc>
          <w:tcPr>
            <w:tcW w:w="1445" w:type="dxa"/>
            <w:tcBorders>
              <w:top w:val="nil"/>
              <w:left w:val="nil"/>
              <w:bottom w:val="single" w:sz="4" w:space="0" w:color="auto"/>
              <w:right w:val="single" w:sz="4" w:space="0" w:color="auto"/>
            </w:tcBorders>
            <w:noWrap/>
            <w:vAlign w:val="bottom"/>
          </w:tcPr>
          <w:p w:rsidR="00CB1479" w:rsidRPr="00603A11" w:rsidP="00CB1479" w14:paraId="2E186F51" w14:textId="5A11377E">
            <w:pPr>
              <w:widowControl/>
              <w:autoSpaceDE/>
              <w:autoSpaceDN/>
              <w:adjustRightInd/>
              <w:jc w:val="center"/>
              <w:rPr>
                <w:sz w:val="22"/>
                <w:szCs w:val="22"/>
              </w:rPr>
            </w:pPr>
            <w:r w:rsidRPr="00603A11">
              <w:rPr>
                <w:color w:val="000000"/>
                <w:sz w:val="22"/>
                <w:szCs w:val="22"/>
              </w:rPr>
              <w:t>8,094</w:t>
            </w:r>
          </w:p>
        </w:tc>
        <w:tc>
          <w:tcPr>
            <w:tcW w:w="1260" w:type="dxa"/>
            <w:tcBorders>
              <w:top w:val="nil"/>
              <w:left w:val="nil"/>
              <w:bottom w:val="single" w:sz="4" w:space="0" w:color="auto"/>
              <w:right w:val="single" w:sz="4" w:space="0" w:color="auto"/>
            </w:tcBorders>
            <w:noWrap/>
            <w:vAlign w:val="bottom"/>
          </w:tcPr>
          <w:p w:rsidR="00CB1479" w:rsidRPr="00603A11" w:rsidP="00CB1479" w14:paraId="7A733EF4" w14:textId="618ABF87">
            <w:pPr>
              <w:widowControl/>
              <w:autoSpaceDE/>
              <w:autoSpaceDN/>
              <w:adjustRightInd/>
              <w:jc w:val="center"/>
              <w:rPr>
                <w:sz w:val="22"/>
                <w:szCs w:val="22"/>
              </w:rPr>
            </w:pPr>
            <w:r w:rsidRPr="00603A11">
              <w:rPr>
                <w:color w:val="000000"/>
                <w:sz w:val="22"/>
                <w:szCs w:val="22"/>
              </w:rPr>
              <w:t>334</w:t>
            </w:r>
          </w:p>
        </w:tc>
      </w:tr>
      <w:tr w14:paraId="54F156AC"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CB1479" w:rsidRPr="00603A11" w:rsidP="00CB1479" w14:paraId="63710567" w14:textId="60A3BD3D">
            <w:pPr>
              <w:widowControl/>
              <w:autoSpaceDE/>
              <w:autoSpaceDN/>
              <w:adjustRightInd/>
              <w:rPr>
                <w:color w:val="000000"/>
                <w:sz w:val="22"/>
                <w:szCs w:val="22"/>
              </w:rPr>
            </w:pPr>
            <w:r w:rsidRPr="00603A11">
              <w:rPr>
                <w:color w:val="000000"/>
                <w:sz w:val="22"/>
                <w:szCs w:val="22"/>
              </w:rPr>
              <w:t>Hospices - (CY 2021)</w:t>
            </w:r>
          </w:p>
        </w:tc>
        <w:tc>
          <w:tcPr>
            <w:tcW w:w="1445" w:type="dxa"/>
            <w:tcBorders>
              <w:top w:val="nil"/>
              <w:left w:val="nil"/>
              <w:bottom w:val="single" w:sz="4" w:space="0" w:color="auto"/>
              <w:right w:val="single" w:sz="4" w:space="0" w:color="auto"/>
            </w:tcBorders>
            <w:noWrap/>
            <w:vAlign w:val="bottom"/>
            <w:hideMark/>
          </w:tcPr>
          <w:p w:rsidR="00CB1479" w:rsidRPr="00603A11" w:rsidP="00CB1479" w14:paraId="01E92C18" w14:textId="77777777">
            <w:pPr>
              <w:widowControl/>
              <w:autoSpaceDE/>
              <w:autoSpaceDN/>
              <w:adjustRightInd/>
              <w:jc w:val="center"/>
              <w:rPr>
                <w:sz w:val="22"/>
                <w:szCs w:val="22"/>
              </w:rPr>
            </w:pPr>
            <w:r w:rsidRPr="00603A11">
              <w:rPr>
                <w:sz w:val="22"/>
                <w:szCs w:val="22"/>
              </w:rPr>
              <w:t>6,266</w:t>
            </w:r>
          </w:p>
        </w:tc>
        <w:tc>
          <w:tcPr>
            <w:tcW w:w="1260" w:type="dxa"/>
            <w:tcBorders>
              <w:top w:val="nil"/>
              <w:left w:val="nil"/>
              <w:bottom w:val="single" w:sz="4" w:space="0" w:color="auto"/>
              <w:right w:val="single" w:sz="4" w:space="0" w:color="auto"/>
            </w:tcBorders>
            <w:noWrap/>
            <w:vAlign w:val="bottom"/>
            <w:hideMark/>
          </w:tcPr>
          <w:p w:rsidR="00CB1479" w:rsidRPr="00603A11" w:rsidP="00CB1479" w14:paraId="694D48DE" w14:textId="77777777">
            <w:pPr>
              <w:widowControl/>
              <w:autoSpaceDE/>
              <w:autoSpaceDN/>
              <w:adjustRightInd/>
              <w:jc w:val="center"/>
              <w:rPr>
                <w:sz w:val="22"/>
                <w:szCs w:val="22"/>
              </w:rPr>
            </w:pPr>
            <w:r w:rsidRPr="00603A11">
              <w:rPr>
                <w:sz w:val="22"/>
                <w:szCs w:val="22"/>
              </w:rPr>
              <w:t>912</w:t>
            </w:r>
          </w:p>
        </w:tc>
      </w:tr>
      <w:tr w14:paraId="5F050BB3"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CB1479" w:rsidRPr="00603A11" w:rsidP="00CB1479" w14:paraId="4996F626" w14:textId="1F8DC910">
            <w:pPr>
              <w:widowControl/>
              <w:autoSpaceDE/>
              <w:autoSpaceDN/>
              <w:adjustRightInd/>
              <w:jc w:val="right"/>
              <w:rPr>
                <w:color w:val="000000"/>
                <w:sz w:val="22"/>
                <w:szCs w:val="22"/>
              </w:rPr>
            </w:pPr>
            <w:r w:rsidRPr="00603A11">
              <w:rPr>
                <w:color w:val="000000"/>
                <w:sz w:val="22"/>
                <w:szCs w:val="22"/>
              </w:rPr>
              <w:t xml:space="preserve">        Inpatient Hospices (hospital, SNF, and NF based hospices)</w:t>
            </w:r>
          </w:p>
        </w:tc>
        <w:tc>
          <w:tcPr>
            <w:tcW w:w="1445" w:type="dxa"/>
            <w:tcBorders>
              <w:top w:val="nil"/>
              <w:left w:val="nil"/>
              <w:bottom w:val="single" w:sz="4" w:space="0" w:color="auto"/>
              <w:right w:val="single" w:sz="4" w:space="0" w:color="auto"/>
            </w:tcBorders>
            <w:noWrap/>
            <w:vAlign w:val="bottom"/>
            <w:hideMark/>
          </w:tcPr>
          <w:p w:rsidR="00CB1479" w:rsidRPr="00603A11" w:rsidP="00CB1479" w14:paraId="3F6DFEB3" w14:textId="77777777">
            <w:pPr>
              <w:widowControl/>
              <w:autoSpaceDE/>
              <w:autoSpaceDN/>
              <w:adjustRightInd/>
              <w:jc w:val="center"/>
              <w:rPr>
                <w:sz w:val="22"/>
                <w:szCs w:val="22"/>
              </w:rPr>
            </w:pPr>
            <w:r w:rsidRPr="00603A11">
              <w:rPr>
                <w:sz w:val="22"/>
                <w:szCs w:val="22"/>
              </w:rPr>
              <w:t>301</w:t>
            </w:r>
          </w:p>
        </w:tc>
        <w:tc>
          <w:tcPr>
            <w:tcW w:w="1260" w:type="dxa"/>
            <w:tcBorders>
              <w:top w:val="nil"/>
              <w:left w:val="nil"/>
              <w:bottom w:val="single" w:sz="4" w:space="0" w:color="auto"/>
              <w:right w:val="single" w:sz="4" w:space="0" w:color="auto"/>
            </w:tcBorders>
            <w:noWrap/>
            <w:vAlign w:val="bottom"/>
            <w:hideMark/>
          </w:tcPr>
          <w:p w:rsidR="00CB1479" w:rsidRPr="00603A11" w:rsidP="00CB1479" w14:paraId="79D0EC45" w14:textId="77777777">
            <w:pPr>
              <w:widowControl/>
              <w:autoSpaceDE/>
              <w:autoSpaceDN/>
              <w:adjustRightInd/>
              <w:jc w:val="center"/>
              <w:rPr>
                <w:sz w:val="22"/>
                <w:szCs w:val="22"/>
              </w:rPr>
            </w:pPr>
            <w:r w:rsidRPr="00603A11">
              <w:rPr>
                <w:sz w:val="22"/>
                <w:szCs w:val="22"/>
              </w:rPr>
              <w:t>0</w:t>
            </w:r>
          </w:p>
        </w:tc>
      </w:tr>
      <w:tr w14:paraId="2A7D752B"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CB1479" w:rsidRPr="00603A11" w:rsidP="00CB1479" w14:paraId="5F9EBCF3" w14:textId="0DFF8575">
            <w:pPr>
              <w:widowControl/>
              <w:autoSpaceDE/>
              <w:autoSpaceDN/>
              <w:adjustRightInd/>
              <w:jc w:val="right"/>
              <w:rPr>
                <w:color w:val="000000"/>
                <w:sz w:val="22"/>
                <w:szCs w:val="22"/>
              </w:rPr>
            </w:pPr>
            <w:r w:rsidRPr="00603A11">
              <w:rPr>
                <w:color w:val="000000"/>
                <w:sz w:val="22"/>
                <w:szCs w:val="22"/>
              </w:rPr>
              <w:t xml:space="preserve">        Outpatient Hospices (home health based and freestanding)</w:t>
            </w:r>
          </w:p>
        </w:tc>
        <w:tc>
          <w:tcPr>
            <w:tcW w:w="1445" w:type="dxa"/>
            <w:tcBorders>
              <w:top w:val="nil"/>
              <w:left w:val="nil"/>
              <w:bottom w:val="single" w:sz="4" w:space="0" w:color="auto"/>
              <w:right w:val="single" w:sz="4" w:space="0" w:color="auto"/>
            </w:tcBorders>
            <w:noWrap/>
            <w:vAlign w:val="bottom"/>
            <w:hideMark/>
          </w:tcPr>
          <w:p w:rsidR="00CB1479" w:rsidRPr="00603A11" w:rsidP="00CB1479" w14:paraId="67C397D5" w14:textId="77777777">
            <w:pPr>
              <w:widowControl/>
              <w:autoSpaceDE/>
              <w:autoSpaceDN/>
              <w:adjustRightInd/>
              <w:jc w:val="center"/>
              <w:rPr>
                <w:sz w:val="22"/>
                <w:szCs w:val="22"/>
              </w:rPr>
            </w:pPr>
            <w:r w:rsidRPr="00603A11">
              <w:rPr>
                <w:sz w:val="22"/>
                <w:szCs w:val="22"/>
              </w:rPr>
              <w:t>5,732</w:t>
            </w:r>
          </w:p>
        </w:tc>
        <w:tc>
          <w:tcPr>
            <w:tcW w:w="1260" w:type="dxa"/>
            <w:tcBorders>
              <w:top w:val="nil"/>
              <w:left w:val="nil"/>
              <w:bottom w:val="single" w:sz="4" w:space="0" w:color="auto"/>
              <w:right w:val="single" w:sz="4" w:space="0" w:color="auto"/>
            </w:tcBorders>
            <w:noWrap/>
            <w:vAlign w:val="bottom"/>
            <w:hideMark/>
          </w:tcPr>
          <w:p w:rsidR="00CB1479" w:rsidRPr="00603A11" w:rsidP="00CB1479" w14:paraId="55A4B340" w14:textId="77777777">
            <w:pPr>
              <w:widowControl/>
              <w:autoSpaceDE/>
              <w:autoSpaceDN/>
              <w:adjustRightInd/>
              <w:jc w:val="center"/>
              <w:rPr>
                <w:sz w:val="22"/>
                <w:szCs w:val="22"/>
              </w:rPr>
            </w:pPr>
            <w:r w:rsidRPr="00603A11">
              <w:rPr>
                <w:sz w:val="22"/>
                <w:szCs w:val="22"/>
              </w:rPr>
              <w:t>685</w:t>
            </w:r>
          </w:p>
        </w:tc>
      </w:tr>
      <w:tr w14:paraId="3B6519B1"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CB1479" w:rsidRPr="00603A11" w:rsidP="00CB1479" w14:paraId="52BCC991" w14:textId="77777777">
            <w:pPr>
              <w:widowControl/>
              <w:autoSpaceDE/>
              <w:autoSpaceDN/>
              <w:adjustRightInd/>
              <w:rPr>
                <w:color w:val="000000"/>
                <w:sz w:val="22"/>
                <w:szCs w:val="22"/>
              </w:rPr>
            </w:pPr>
            <w:r w:rsidRPr="00603A11">
              <w:rPr>
                <w:color w:val="000000"/>
                <w:sz w:val="22"/>
                <w:szCs w:val="22"/>
              </w:rPr>
              <w:t>Hospitals</w:t>
            </w:r>
          </w:p>
        </w:tc>
        <w:tc>
          <w:tcPr>
            <w:tcW w:w="1445" w:type="dxa"/>
            <w:tcBorders>
              <w:top w:val="nil"/>
              <w:left w:val="nil"/>
              <w:bottom w:val="single" w:sz="4" w:space="0" w:color="auto"/>
              <w:right w:val="single" w:sz="4" w:space="0" w:color="auto"/>
            </w:tcBorders>
            <w:noWrap/>
            <w:vAlign w:val="bottom"/>
            <w:hideMark/>
          </w:tcPr>
          <w:p w:rsidR="00CB1479" w:rsidRPr="00603A11" w:rsidP="00CB1479" w14:paraId="2F8DA967" w14:textId="77777777">
            <w:pPr>
              <w:widowControl/>
              <w:autoSpaceDE/>
              <w:autoSpaceDN/>
              <w:adjustRightInd/>
              <w:jc w:val="center"/>
              <w:rPr>
                <w:sz w:val="22"/>
                <w:szCs w:val="22"/>
              </w:rPr>
            </w:pPr>
            <w:r w:rsidRPr="00603A11">
              <w:rPr>
                <w:sz w:val="22"/>
                <w:szCs w:val="22"/>
              </w:rPr>
              <w:t>4,417</w:t>
            </w:r>
          </w:p>
        </w:tc>
        <w:tc>
          <w:tcPr>
            <w:tcW w:w="1260" w:type="dxa"/>
            <w:tcBorders>
              <w:top w:val="nil"/>
              <w:left w:val="nil"/>
              <w:bottom w:val="single" w:sz="4" w:space="0" w:color="auto"/>
              <w:right w:val="single" w:sz="4" w:space="0" w:color="auto"/>
            </w:tcBorders>
            <w:noWrap/>
            <w:vAlign w:val="bottom"/>
            <w:hideMark/>
          </w:tcPr>
          <w:p w:rsidR="00CB1479" w:rsidRPr="00603A11" w:rsidP="00CB1479" w14:paraId="68A89335" w14:textId="77777777">
            <w:pPr>
              <w:widowControl/>
              <w:autoSpaceDE/>
              <w:autoSpaceDN/>
              <w:adjustRightInd/>
              <w:jc w:val="center"/>
              <w:rPr>
                <w:sz w:val="22"/>
                <w:szCs w:val="22"/>
              </w:rPr>
            </w:pPr>
            <w:r w:rsidRPr="00603A11">
              <w:rPr>
                <w:sz w:val="22"/>
                <w:szCs w:val="22"/>
              </w:rPr>
              <w:t>94</w:t>
            </w:r>
          </w:p>
        </w:tc>
      </w:tr>
      <w:tr w14:paraId="5771FD94"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CB1479" w:rsidRPr="00603A11" w:rsidP="00CB1479" w14:paraId="30976C60" w14:textId="77777777">
            <w:pPr>
              <w:widowControl/>
              <w:autoSpaceDE/>
              <w:autoSpaceDN/>
              <w:adjustRightInd/>
              <w:jc w:val="right"/>
              <w:rPr>
                <w:color w:val="000000"/>
                <w:sz w:val="22"/>
                <w:szCs w:val="22"/>
              </w:rPr>
            </w:pPr>
            <w:r w:rsidRPr="00603A11">
              <w:rPr>
                <w:color w:val="000000"/>
                <w:sz w:val="22"/>
                <w:szCs w:val="22"/>
              </w:rPr>
              <w:t>TJC Accredited</w:t>
            </w:r>
          </w:p>
        </w:tc>
        <w:tc>
          <w:tcPr>
            <w:tcW w:w="1445" w:type="dxa"/>
            <w:tcBorders>
              <w:top w:val="nil"/>
              <w:left w:val="nil"/>
              <w:bottom w:val="single" w:sz="4" w:space="0" w:color="auto"/>
              <w:right w:val="single" w:sz="4" w:space="0" w:color="auto"/>
            </w:tcBorders>
            <w:noWrap/>
            <w:vAlign w:val="bottom"/>
            <w:hideMark/>
          </w:tcPr>
          <w:p w:rsidR="00CB1479" w:rsidRPr="00603A11" w:rsidP="00CB1479" w14:paraId="3C2566E2" w14:textId="77777777">
            <w:pPr>
              <w:widowControl/>
              <w:autoSpaceDE/>
              <w:autoSpaceDN/>
              <w:adjustRightInd/>
              <w:jc w:val="center"/>
              <w:rPr>
                <w:sz w:val="22"/>
                <w:szCs w:val="22"/>
              </w:rPr>
            </w:pPr>
            <w:r w:rsidRPr="00603A11">
              <w:rPr>
                <w:sz w:val="22"/>
                <w:szCs w:val="22"/>
              </w:rPr>
              <w:t>3,296</w:t>
            </w:r>
          </w:p>
        </w:tc>
        <w:tc>
          <w:tcPr>
            <w:tcW w:w="1260" w:type="dxa"/>
            <w:tcBorders>
              <w:top w:val="nil"/>
              <w:left w:val="nil"/>
              <w:bottom w:val="single" w:sz="4" w:space="0" w:color="auto"/>
              <w:right w:val="single" w:sz="4" w:space="0" w:color="auto"/>
            </w:tcBorders>
            <w:noWrap/>
            <w:vAlign w:val="bottom"/>
            <w:hideMark/>
          </w:tcPr>
          <w:p w:rsidR="00CB1479" w:rsidRPr="00603A11" w:rsidP="00CB1479" w14:paraId="01E8B4F0" w14:textId="77777777">
            <w:pPr>
              <w:widowControl/>
              <w:autoSpaceDE/>
              <w:autoSpaceDN/>
              <w:adjustRightInd/>
              <w:jc w:val="center"/>
              <w:rPr>
                <w:sz w:val="22"/>
                <w:szCs w:val="22"/>
              </w:rPr>
            </w:pPr>
            <w:r w:rsidRPr="00603A11">
              <w:rPr>
                <w:sz w:val="22"/>
                <w:szCs w:val="22"/>
              </w:rPr>
              <w:t>49</w:t>
            </w:r>
          </w:p>
        </w:tc>
      </w:tr>
      <w:tr w14:paraId="59C9D9CA"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CB1479" w:rsidRPr="00603A11" w:rsidP="00CB1479" w14:paraId="4B19FEEB" w14:textId="77777777">
            <w:pPr>
              <w:widowControl/>
              <w:autoSpaceDE/>
              <w:autoSpaceDN/>
              <w:adjustRightInd/>
              <w:jc w:val="right"/>
              <w:rPr>
                <w:color w:val="000000"/>
                <w:sz w:val="22"/>
                <w:szCs w:val="22"/>
              </w:rPr>
            </w:pPr>
            <w:r w:rsidRPr="00603A11">
              <w:rPr>
                <w:color w:val="000000"/>
                <w:sz w:val="22"/>
                <w:szCs w:val="22"/>
              </w:rPr>
              <w:t>Non-TJC Accredited</w:t>
            </w:r>
          </w:p>
        </w:tc>
        <w:tc>
          <w:tcPr>
            <w:tcW w:w="1445" w:type="dxa"/>
            <w:tcBorders>
              <w:top w:val="nil"/>
              <w:left w:val="nil"/>
              <w:bottom w:val="single" w:sz="4" w:space="0" w:color="auto"/>
              <w:right w:val="single" w:sz="4" w:space="0" w:color="auto"/>
            </w:tcBorders>
            <w:noWrap/>
            <w:vAlign w:val="bottom"/>
            <w:hideMark/>
          </w:tcPr>
          <w:p w:rsidR="00CB1479" w:rsidRPr="00603A11" w:rsidP="00CB1479" w14:paraId="3F555A48" w14:textId="77777777">
            <w:pPr>
              <w:widowControl/>
              <w:autoSpaceDE/>
              <w:autoSpaceDN/>
              <w:adjustRightInd/>
              <w:jc w:val="center"/>
              <w:rPr>
                <w:sz w:val="22"/>
                <w:szCs w:val="22"/>
              </w:rPr>
            </w:pPr>
            <w:r w:rsidRPr="00603A11">
              <w:rPr>
                <w:sz w:val="22"/>
                <w:szCs w:val="22"/>
              </w:rPr>
              <w:t>1,121</w:t>
            </w:r>
          </w:p>
        </w:tc>
        <w:tc>
          <w:tcPr>
            <w:tcW w:w="1260" w:type="dxa"/>
            <w:tcBorders>
              <w:top w:val="nil"/>
              <w:left w:val="nil"/>
              <w:bottom w:val="single" w:sz="4" w:space="0" w:color="auto"/>
              <w:right w:val="single" w:sz="4" w:space="0" w:color="auto"/>
            </w:tcBorders>
            <w:noWrap/>
            <w:vAlign w:val="bottom"/>
            <w:hideMark/>
          </w:tcPr>
          <w:p w:rsidR="00CB1479" w:rsidRPr="00603A11" w:rsidP="00CB1479" w14:paraId="48755EFD" w14:textId="77777777">
            <w:pPr>
              <w:widowControl/>
              <w:autoSpaceDE/>
              <w:autoSpaceDN/>
              <w:adjustRightInd/>
              <w:jc w:val="center"/>
              <w:rPr>
                <w:sz w:val="22"/>
                <w:szCs w:val="22"/>
              </w:rPr>
            </w:pPr>
            <w:r w:rsidRPr="00603A11">
              <w:rPr>
                <w:sz w:val="22"/>
                <w:szCs w:val="22"/>
              </w:rPr>
              <w:t>45</w:t>
            </w:r>
          </w:p>
        </w:tc>
      </w:tr>
      <w:tr w14:paraId="2EB55EBD"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CB1479" w:rsidRPr="00603A11" w:rsidP="00CB1479" w14:paraId="14B2D903" w14:textId="59C5AD09">
            <w:pPr>
              <w:widowControl/>
              <w:autoSpaceDE/>
              <w:autoSpaceDN/>
              <w:adjustRightInd/>
              <w:rPr>
                <w:color w:val="000000"/>
                <w:sz w:val="22"/>
                <w:szCs w:val="22"/>
              </w:rPr>
            </w:pPr>
            <w:r w:rsidRPr="00603A11">
              <w:rPr>
                <w:color w:val="000000"/>
                <w:sz w:val="22"/>
                <w:szCs w:val="22"/>
              </w:rPr>
              <w:t>Intermediate Care Facilities for Individuals with Intellectual Disabilities (ICF/IID)</w:t>
            </w:r>
          </w:p>
        </w:tc>
        <w:tc>
          <w:tcPr>
            <w:tcW w:w="1445" w:type="dxa"/>
            <w:tcBorders>
              <w:top w:val="nil"/>
              <w:left w:val="nil"/>
              <w:bottom w:val="single" w:sz="4" w:space="0" w:color="auto"/>
              <w:right w:val="single" w:sz="4" w:space="0" w:color="auto"/>
            </w:tcBorders>
            <w:noWrap/>
            <w:vAlign w:val="bottom"/>
          </w:tcPr>
          <w:p w:rsidR="00CB1479" w:rsidRPr="00603A11" w:rsidP="00CB1479" w14:paraId="2C3BF772" w14:textId="0F8C0E23">
            <w:pPr>
              <w:widowControl/>
              <w:autoSpaceDE/>
              <w:autoSpaceDN/>
              <w:adjustRightInd/>
              <w:jc w:val="center"/>
              <w:rPr>
                <w:color w:val="000000"/>
                <w:sz w:val="22"/>
                <w:szCs w:val="22"/>
              </w:rPr>
            </w:pPr>
            <w:r w:rsidRPr="00603A11">
              <w:rPr>
                <w:color w:val="000000"/>
                <w:sz w:val="22"/>
                <w:szCs w:val="22"/>
              </w:rPr>
              <w:t>5,520</w:t>
            </w:r>
          </w:p>
        </w:tc>
        <w:tc>
          <w:tcPr>
            <w:tcW w:w="1260" w:type="dxa"/>
            <w:tcBorders>
              <w:top w:val="nil"/>
              <w:left w:val="nil"/>
              <w:bottom w:val="single" w:sz="4" w:space="0" w:color="auto"/>
              <w:right w:val="single" w:sz="4" w:space="0" w:color="auto"/>
            </w:tcBorders>
            <w:noWrap/>
            <w:vAlign w:val="bottom"/>
          </w:tcPr>
          <w:p w:rsidR="00CB1479" w:rsidRPr="00603A11" w:rsidP="00CB1479" w14:paraId="1390A277" w14:textId="0B06FC5B">
            <w:pPr>
              <w:widowControl/>
              <w:autoSpaceDE/>
              <w:autoSpaceDN/>
              <w:adjustRightInd/>
              <w:jc w:val="center"/>
              <w:rPr>
                <w:color w:val="000000"/>
                <w:sz w:val="22"/>
                <w:szCs w:val="22"/>
              </w:rPr>
            </w:pPr>
            <w:r w:rsidRPr="00603A11">
              <w:rPr>
                <w:color w:val="000000"/>
                <w:sz w:val="22"/>
                <w:szCs w:val="22"/>
              </w:rPr>
              <w:t>24</w:t>
            </w:r>
          </w:p>
        </w:tc>
      </w:tr>
      <w:tr w14:paraId="02DBF3EA"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CB1479" w:rsidRPr="00603A11" w:rsidP="00CB1479" w14:paraId="4B922D12" w14:textId="77777777">
            <w:pPr>
              <w:widowControl/>
              <w:autoSpaceDE/>
              <w:autoSpaceDN/>
              <w:adjustRightInd/>
              <w:rPr>
                <w:color w:val="000000"/>
                <w:sz w:val="22"/>
                <w:szCs w:val="22"/>
              </w:rPr>
            </w:pPr>
            <w:r w:rsidRPr="00603A11">
              <w:rPr>
                <w:color w:val="000000"/>
                <w:sz w:val="22"/>
                <w:szCs w:val="22"/>
              </w:rPr>
              <w:t>Organ Procurement Organizations (OPOs)</w:t>
            </w:r>
          </w:p>
        </w:tc>
        <w:tc>
          <w:tcPr>
            <w:tcW w:w="1445" w:type="dxa"/>
            <w:tcBorders>
              <w:top w:val="nil"/>
              <w:left w:val="nil"/>
              <w:bottom w:val="single" w:sz="4" w:space="0" w:color="auto"/>
              <w:right w:val="single" w:sz="4" w:space="0" w:color="auto"/>
            </w:tcBorders>
            <w:noWrap/>
            <w:vAlign w:val="bottom"/>
            <w:hideMark/>
          </w:tcPr>
          <w:p w:rsidR="00CB1479" w:rsidRPr="00603A11" w:rsidP="00CB1479" w14:paraId="41D7E4C7" w14:textId="77777777">
            <w:pPr>
              <w:widowControl/>
              <w:autoSpaceDE/>
              <w:autoSpaceDN/>
              <w:adjustRightInd/>
              <w:jc w:val="center"/>
              <w:rPr>
                <w:color w:val="000000"/>
                <w:sz w:val="22"/>
                <w:szCs w:val="22"/>
              </w:rPr>
            </w:pPr>
            <w:r w:rsidRPr="00603A11">
              <w:rPr>
                <w:color w:val="000000"/>
                <w:sz w:val="22"/>
                <w:szCs w:val="22"/>
              </w:rPr>
              <w:t>57</w:t>
            </w:r>
          </w:p>
        </w:tc>
        <w:tc>
          <w:tcPr>
            <w:tcW w:w="1260" w:type="dxa"/>
            <w:tcBorders>
              <w:top w:val="nil"/>
              <w:left w:val="nil"/>
              <w:bottom w:val="single" w:sz="4" w:space="0" w:color="auto"/>
              <w:right w:val="single" w:sz="4" w:space="0" w:color="auto"/>
            </w:tcBorders>
            <w:noWrap/>
            <w:vAlign w:val="bottom"/>
            <w:hideMark/>
          </w:tcPr>
          <w:p w:rsidR="00CB1479" w:rsidRPr="00603A11" w:rsidP="00CB1479" w14:paraId="12708CF3" w14:textId="77777777">
            <w:pPr>
              <w:widowControl/>
              <w:autoSpaceDE/>
              <w:autoSpaceDN/>
              <w:adjustRightInd/>
              <w:jc w:val="center"/>
              <w:rPr>
                <w:color w:val="000000"/>
                <w:sz w:val="22"/>
                <w:szCs w:val="22"/>
              </w:rPr>
            </w:pPr>
            <w:r w:rsidRPr="00603A11">
              <w:rPr>
                <w:color w:val="000000"/>
                <w:sz w:val="22"/>
                <w:szCs w:val="22"/>
              </w:rPr>
              <w:t>0</w:t>
            </w:r>
          </w:p>
        </w:tc>
      </w:tr>
      <w:tr w14:paraId="5453AA10"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vAlign w:val="bottom"/>
          </w:tcPr>
          <w:p w:rsidR="00492423" w:rsidRPr="00603A11" w:rsidP="00492423" w14:paraId="00FFF7AB" w14:textId="3074ED55">
            <w:pPr>
              <w:widowControl/>
              <w:autoSpaceDE/>
              <w:autoSpaceDN/>
              <w:adjustRightInd/>
              <w:rPr>
                <w:color w:val="000000"/>
                <w:sz w:val="22"/>
                <w:szCs w:val="22"/>
              </w:rPr>
            </w:pPr>
            <w:r w:rsidRPr="00603A11">
              <w:rPr>
                <w:color w:val="000000"/>
                <w:sz w:val="22"/>
                <w:szCs w:val="22"/>
              </w:rPr>
              <w:t>Clinics, Rehabilitation Agencies, and Public Health Agencies as Providers of Outpatient Physical Therapy and Speech-Language Pathology Services (“Organizations”)</w:t>
            </w:r>
          </w:p>
        </w:tc>
        <w:tc>
          <w:tcPr>
            <w:tcW w:w="1445" w:type="dxa"/>
            <w:tcBorders>
              <w:top w:val="nil"/>
              <w:left w:val="nil"/>
              <w:bottom w:val="single" w:sz="4" w:space="0" w:color="auto"/>
              <w:right w:val="single" w:sz="4" w:space="0" w:color="auto"/>
            </w:tcBorders>
            <w:noWrap/>
            <w:vAlign w:val="bottom"/>
          </w:tcPr>
          <w:p w:rsidR="00492423" w:rsidRPr="00603A11" w:rsidP="00492423" w14:paraId="76CD0095" w14:textId="1537DEA9">
            <w:pPr>
              <w:widowControl/>
              <w:autoSpaceDE/>
              <w:autoSpaceDN/>
              <w:adjustRightInd/>
              <w:jc w:val="center"/>
              <w:rPr>
                <w:sz w:val="22"/>
                <w:szCs w:val="22"/>
              </w:rPr>
            </w:pPr>
            <w:r w:rsidRPr="00603A11">
              <w:rPr>
                <w:sz w:val="22"/>
                <w:szCs w:val="22"/>
              </w:rPr>
              <w:t>1,996</w:t>
            </w:r>
          </w:p>
        </w:tc>
        <w:tc>
          <w:tcPr>
            <w:tcW w:w="1260" w:type="dxa"/>
            <w:tcBorders>
              <w:top w:val="nil"/>
              <w:left w:val="nil"/>
              <w:bottom w:val="single" w:sz="4" w:space="0" w:color="auto"/>
              <w:right w:val="single" w:sz="4" w:space="0" w:color="auto"/>
            </w:tcBorders>
            <w:noWrap/>
            <w:vAlign w:val="bottom"/>
          </w:tcPr>
          <w:p w:rsidR="00492423" w:rsidRPr="00603A11" w:rsidP="00492423" w14:paraId="319C4D71" w14:textId="1B65B4D1">
            <w:pPr>
              <w:widowControl/>
              <w:autoSpaceDE/>
              <w:autoSpaceDN/>
              <w:adjustRightInd/>
              <w:jc w:val="center"/>
              <w:rPr>
                <w:sz w:val="22"/>
                <w:szCs w:val="22"/>
              </w:rPr>
            </w:pPr>
            <w:r w:rsidRPr="00603A11">
              <w:rPr>
                <w:sz w:val="22"/>
                <w:szCs w:val="22"/>
              </w:rPr>
              <w:t>60</w:t>
            </w:r>
          </w:p>
        </w:tc>
      </w:tr>
      <w:tr w14:paraId="12158479"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vAlign w:val="bottom"/>
          </w:tcPr>
          <w:p w:rsidR="00492423" w:rsidRPr="00603A11" w:rsidP="00492423" w14:paraId="21DF7F82" w14:textId="348A5183">
            <w:pPr>
              <w:widowControl/>
              <w:autoSpaceDE/>
              <w:autoSpaceDN/>
              <w:adjustRightInd/>
              <w:rPr>
                <w:color w:val="000000"/>
                <w:sz w:val="22"/>
                <w:szCs w:val="22"/>
              </w:rPr>
            </w:pPr>
            <w:r w:rsidRPr="00603A11">
              <w:rPr>
                <w:color w:val="000000"/>
                <w:sz w:val="22"/>
                <w:szCs w:val="22"/>
              </w:rPr>
              <w:t>Programs of All-Inclusive Care for the Elderly (PACE)</w:t>
            </w:r>
          </w:p>
        </w:tc>
        <w:tc>
          <w:tcPr>
            <w:tcW w:w="1445" w:type="dxa"/>
            <w:tcBorders>
              <w:top w:val="nil"/>
              <w:left w:val="nil"/>
              <w:bottom w:val="single" w:sz="4" w:space="0" w:color="auto"/>
              <w:right w:val="single" w:sz="4" w:space="0" w:color="auto"/>
            </w:tcBorders>
            <w:noWrap/>
            <w:vAlign w:val="bottom"/>
          </w:tcPr>
          <w:p w:rsidR="00492423" w:rsidRPr="00603A11" w:rsidP="00492423" w14:paraId="162B7479" w14:textId="3965DFBD">
            <w:pPr>
              <w:widowControl/>
              <w:autoSpaceDE/>
              <w:autoSpaceDN/>
              <w:adjustRightInd/>
              <w:jc w:val="center"/>
              <w:rPr>
                <w:sz w:val="22"/>
                <w:szCs w:val="22"/>
              </w:rPr>
            </w:pPr>
            <w:r w:rsidRPr="00603A11">
              <w:rPr>
                <w:sz w:val="22"/>
                <w:szCs w:val="22"/>
              </w:rPr>
              <w:t>148</w:t>
            </w:r>
          </w:p>
        </w:tc>
        <w:tc>
          <w:tcPr>
            <w:tcW w:w="1260" w:type="dxa"/>
            <w:tcBorders>
              <w:top w:val="nil"/>
              <w:left w:val="nil"/>
              <w:bottom w:val="single" w:sz="4" w:space="0" w:color="auto"/>
              <w:right w:val="single" w:sz="4" w:space="0" w:color="auto"/>
            </w:tcBorders>
            <w:noWrap/>
            <w:vAlign w:val="bottom"/>
          </w:tcPr>
          <w:p w:rsidR="00492423" w:rsidRPr="00603A11" w:rsidP="00492423" w14:paraId="1C1FFC0F" w14:textId="144524A3">
            <w:pPr>
              <w:widowControl/>
              <w:autoSpaceDE/>
              <w:autoSpaceDN/>
              <w:adjustRightInd/>
              <w:jc w:val="center"/>
              <w:rPr>
                <w:sz w:val="22"/>
                <w:szCs w:val="22"/>
              </w:rPr>
            </w:pPr>
            <w:r w:rsidRPr="00603A11">
              <w:rPr>
                <w:sz w:val="22"/>
                <w:szCs w:val="22"/>
              </w:rPr>
              <w:t>1</w:t>
            </w:r>
          </w:p>
        </w:tc>
      </w:tr>
      <w:tr w14:paraId="3A3D25AE"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vAlign w:val="bottom"/>
          </w:tcPr>
          <w:p w:rsidR="00492423" w:rsidRPr="00603A11" w:rsidP="00492423" w14:paraId="548F1EC8" w14:textId="4C0A23CF">
            <w:pPr>
              <w:widowControl/>
              <w:autoSpaceDE/>
              <w:autoSpaceDN/>
              <w:adjustRightInd/>
              <w:rPr>
                <w:color w:val="000000"/>
                <w:sz w:val="22"/>
                <w:szCs w:val="22"/>
              </w:rPr>
            </w:pPr>
            <w:r w:rsidRPr="00603A11">
              <w:rPr>
                <w:color w:val="000000"/>
                <w:sz w:val="22"/>
                <w:szCs w:val="22"/>
              </w:rPr>
              <w:t>Inpatient Psychiatric Services for Individuals Under Age 21 in Psychiatric Facilities or Programs (PRTFs)</w:t>
            </w:r>
          </w:p>
        </w:tc>
        <w:tc>
          <w:tcPr>
            <w:tcW w:w="1445" w:type="dxa"/>
            <w:tcBorders>
              <w:top w:val="nil"/>
              <w:left w:val="nil"/>
              <w:bottom w:val="single" w:sz="4" w:space="0" w:color="auto"/>
              <w:right w:val="single" w:sz="4" w:space="0" w:color="auto"/>
            </w:tcBorders>
            <w:noWrap/>
            <w:vAlign w:val="bottom"/>
          </w:tcPr>
          <w:p w:rsidR="00492423" w:rsidRPr="00603A11" w:rsidP="00492423" w14:paraId="119CD3D9" w14:textId="3C0CAADE">
            <w:pPr>
              <w:widowControl/>
              <w:autoSpaceDE/>
              <w:autoSpaceDN/>
              <w:adjustRightInd/>
              <w:jc w:val="center"/>
              <w:rPr>
                <w:sz w:val="22"/>
                <w:szCs w:val="22"/>
              </w:rPr>
            </w:pPr>
            <w:r w:rsidRPr="00603A11">
              <w:rPr>
                <w:sz w:val="22"/>
                <w:szCs w:val="22"/>
              </w:rPr>
              <w:t>345</w:t>
            </w:r>
          </w:p>
        </w:tc>
        <w:tc>
          <w:tcPr>
            <w:tcW w:w="1260" w:type="dxa"/>
            <w:tcBorders>
              <w:top w:val="nil"/>
              <w:left w:val="nil"/>
              <w:bottom w:val="single" w:sz="4" w:space="0" w:color="auto"/>
              <w:right w:val="single" w:sz="4" w:space="0" w:color="auto"/>
            </w:tcBorders>
            <w:noWrap/>
            <w:vAlign w:val="bottom"/>
          </w:tcPr>
          <w:p w:rsidR="00492423" w:rsidRPr="00603A11" w:rsidP="00492423" w14:paraId="4877E29B" w14:textId="4D03EB5A">
            <w:pPr>
              <w:widowControl/>
              <w:autoSpaceDE/>
              <w:autoSpaceDN/>
              <w:adjustRightInd/>
              <w:jc w:val="center"/>
              <w:rPr>
                <w:sz w:val="22"/>
                <w:szCs w:val="22"/>
              </w:rPr>
            </w:pPr>
            <w:r w:rsidRPr="00603A11">
              <w:rPr>
                <w:sz w:val="22"/>
                <w:szCs w:val="22"/>
              </w:rPr>
              <w:t>9</w:t>
            </w:r>
          </w:p>
        </w:tc>
      </w:tr>
      <w:tr w14:paraId="4228C533" w14:textId="77777777" w:rsidTr="00CB1479">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tcPr>
          <w:p w:rsidR="00492423" w:rsidRPr="00603A11" w:rsidP="00492423" w14:paraId="055D13DF" w14:textId="4065CCD9">
            <w:pPr>
              <w:widowControl/>
              <w:autoSpaceDE/>
              <w:autoSpaceDN/>
              <w:adjustRightInd/>
              <w:rPr>
                <w:color w:val="000000"/>
                <w:sz w:val="22"/>
                <w:szCs w:val="22"/>
              </w:rPr>
            </w:pPr>
            <w:r w:rsidRPr="00603A11">
              <w:rPr>
                <w:color w:val="000000"/>
                <w:sz w:val="22"/>
                <w:szCs w:val="22"/>
              </w:rPr>
              <w:t>Religious Nonmedical Health Care Institutions (RNHCIs)</w:t>
            </w:r>
          </w:p>
        </w:tc>
        <w:tc>
          <w:tcPr>
            <w:tcW w:w="1445" w:type="dxa"/>
            <w:tcBorders>
              <w:top w:val="nil"/>
              <w:left w:val="nil"/>
              <w:bottom w:val="single" w:sz="4" w:space="0" w:color="auto"/>
              <w:right w:val="single" w:sz="4" w:space="0" w:color="auto"/>
            </w:tcBorders>
            <w:noWrap/>
            <w:vAlign w:val="bottom"/>
          </w:tcPr>
          <w:p w:rsidR="00492423" w:rsidRPr="00603A11" w:rsidP="00492423" w14:paraId="5ED00C3B" w14:textId="1C707282">
            <w:pPr>
              <w:widowControl/>
              <w:autoSpaceDE/>
              <w:autoSpaceDN/>
              <w:adjustRightInd/>
              <w:jc w:val="center"/>
              <w:rPr>
                <w:sz w:val="22"/>
                <w:szCs w:val="22"/>
              </w:rPr>
            </w:pPr>
            <w:r w:rsidRPr="00603A11">
              <w:rPr>
                <w:color w:val="000000"/>
                <w:sz w:val="22"/>
                <w:szCs w:val="22"/>
              </w:rPr>
              <w:t>3</w:t>
            </w:r>
          </w:p>
        </w:tc>
        <w:tc>
          <w:tcPr>
            <w:tcW w:w="1260" w:type="dxa"/>
            <w:tcBorders>
              <w:top w:val="nil"/>
              <w:left w:val="nil"/>
              <w:bottom w:val="single" w:sz="4" w:space="0" w:color="auto"/>
              <w:right w:val="single" w:sz="4" w:space="0" w:color="auto"/>
            </w:tcBorders>
            <w:noWrap/>
            <w:vAlign w:val="bottom"/>
          </w:tcPr>
          <w:p w:rsidR="00492423" w:rsidRPr="00603A11" w:rsidP="00492423" w14:paraId="6E721271" w14:textId="20E59841">
            <w:pPr>
              <w:widowControl/>
              <w:autoSpaceDE/>
              <w:autoSpaceDN/>
              <w:adjustRightInd/>
              <w:jc w:val="center"/>
              <w:rPr>
                <w:sz w:val="22"/>
                <w:szCs w:val="22"/>
              </w:rPr>
            </w:pPr>
            <w:r w:rsidRPr="00603A11">
              <w:rPr>
                <w:color w:val="000000"/>
                <w:sz w:val="22"/>
                <w:szCs w:val="22"/>
              </w:rPr>
              <w:t>0</w:t>
            </w:r>
          </w:p>
        </w:tc>
      </w:tr>
      <w:tr w14:paraId="3798B7F4"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492423" w:rsidRPr="00603A11" w:rsidP="00492423" w14:paraId="7C24FA3D" w14:textId="77777777">
            <w:pPr>
              <w:widowControl/>
              <w:autoSpaceDE/>
              <w:autoSpaceDN/>
              <w:adjustRightInd/>
              <w:rPr>
                <w:color w:val="000000"/>
                <w:sz w:val="22"/>
                <w:szCs w:val="22"/>
              </w:rPr>
            </w:pPr>
            <w:r w:rsidRPr="00603A11">
              <w:rPr>
                <w:color w:val="000000"/>
                <w:sz w:val="22"/>
                <w:szCs w:val="22"/>
              </w:rPr>
              <w:t>Rural Emergency Hospitals (REHs)</w:t>
            </w:r>
          </w:p>
        </w:tc>
        <w:tc>
          <w:tcPr>
            <w:tcW w:w="1445" w:type="dxa"/>
            <w:tcBorders>
              <w:top w:val="nil"/>
              <w:left w:val="nil"/>
              <w:bottom w:val="single" w:sz="4" w:space="0" w:color="auto"/>
              <w:right w:val="single" w:sz="4" w:space="0" w:color="auto"/>
            </w:tcBorders>
            <w:noWrap/>
            <w:vAlign w:val="bottom"/>
            <w:hideMark/>
          </w:tcPr>
          <w:p w:rsidR="00492423" w:rsidRPr="00603A11" w:rsidP="00492423" w14:paraId="31A0F9A9" w14:textId="77777777">
            <w:pPr>
              <w:widowControl/>
              <w:autoSpaceDE/>
              <w:autoSpaceDN/>
              <w:adjustRightInd/>
              <w:jc w:val="center"/>
              <w:rPr>
                <w:sz w:val="22"/>
                <w:szCs w:val="22"/>
              </w:rPr>
            </w:pPr>
            <w:r w:rsidRPr="00603A11">
              <w:rPr>
                <w:sz w:val="22"/>
                <w:szCs w:val="22"/>
              </w:rPr>
              <w:t>19</w:t>
            </w:r>
          </w:p>
        </w:tc>
        <w:tc>
          <w:tcPr>
            <w:tcW w:w="1260" w:type="dxa"/>
            <w:tcBorders>
              <w:top w:val="nil"/>
              <w:left w:val="nil"/>
              <w:bottom w:val="single" w:sz="4" w:space="0" w:color="auto"/>
              <w:right w:val="single" w:sz="4" w:space="0" w:color="auto"/>
            </w:tcBorders>
            <w:noWrap/>
            <w:vAlign w:val="bottom"/>
            <w:hideMark/>
          </w:tcPr>
          <w:p w:rsidR="00492423" w:rsidRPr="00603A11" w:rsidP="00492423" w14:paraId="079699D8" w14:textId="77777777">
            <w:pPr>
              <w:widowControl/>
              <w:autoSpaceDE/>
              <w:autoSpaceDN/>
              <w:adjustRightInd/>
              <w:jc w:val="center"/>
              <w:rPr>
                <w:sz w:val="22"/>
                <w:szCs w:val="22"/>
              </w:rPr>
            </w:pPr>
            <w:r w:rsidRPr="00603A11">
              <w:rPr>
                <w:sz w:val="22"/>
                <w:szCs w:val="22"/>
              </w:rPr>
              <w:t>19</w:t>
            </w:r>
          </w:p>
        </w:tc>
      </w:tr>
      <w:tr w14:paraId="56FEF107"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492423" w:rsidRPr="00603A11" w:rsidP="00492423" w14:paraId="78D5E63A" w14:textId="174ED758">
            <w:pPr>
              <w:widowControl/>
              <w:autoSpaceDE/>
              <w:autoSpaceDN/>
              <w:adjustRightInd/>
              <w:jc w:val="right"/>
              <w:rPr>
                <w:color w:val="000000"/>
                <w:sz w:val="22"/>
                <w:szCs w:val="22"/>
              </w:rPr>
            </w:pPr>
            <w:r w:rsidRPr="00603A11">
              <w:rPr>
                <w:color w:val="000000"/>
                <w:sz w:val="22"/>
                <w:szCs w:val="22"/>
              </w:rPr>
              <w:t>TJC Accredited</w:t>
            </w:r>
          </w:p>
        </w:tc>
        <w:tc>
          <w:tcPr>
            <w:tcW w:w="1445" w:type="dxa"/>
            <w:tcBorders>
              <w:top w:val="nil"/>
              <w:left w:val="nil"/>
              <w:bottom w:val="nil"/>
              <w:right w:val="single" w:sz="4" w:space="0" w:color="auto"/>
            </w:tcBorders>
            <w:noWrap/>
            <w:vAlign w:val="bottom"/>
            <w:hideMark/>
          </w:tcPr>
          <w:p w:rsidR="00492423" w:rsidRPr="00603A11" w:rsidP="00492423" w14:paraId="40EE3010" w14:textId="77777777">
            <w:pPr>
              <w:widowControl/>
              <w:autoSpaceDE/>
              <w:autoSpaceDN/>
              <w:adjustRightInd/>
              <w:jc w:val="center"/>
              <w:rPr>
                <w:color w:val="000000"/>
                <w:sz w:val="22"/>
                <w:szCs w:val="22"/>
              </w:rPr>
            </w:pPr>
            <w:r w:rsidRPr="00603A11">
              <w:rPr>
                <w:color w:val="000000"/>
                <w:sz w:val="22"/>
                <w:szCs w:val="22"/>
              </w:rPr>
              <w:t>0</w:t>
            </w:r>
          </w:p>
        </w:tc>
        <w:tc>
          <w:tcPr>
            <w:tcW w:w="1260" w:type="dxa"/>
            <w:tcBorders>
              <w:top w:val="nil"/>
              <w:left w:val="nil"/>
              <w:bottom w:val="single" w:sz="4" w:space="0" w:color="auto"/>
              <w:right w:val="single" w:sz="4" w:space="0" w:color="auto"/>
            </w:tcBorders>
            <w:noWrap/>
            <w:vAlign w:val="bottom"/>
            <w:hideMark/>
          </w:tcPr>
          <w:p w:rsidR="00492423" w:rsidRPr="00603A11" w:rsidP="00492423" w14:paraId="0CB6AC5C" w14:textId="77777777">
            <w:pPr>
              <w:widowControl/>
              <w:autoSpaceDE/>
              <w:autoSpaceDN/>
              <w:adjustRightInd/>
              <w:jc w:val="center"/>
              <w:rPr>
                <w:color w:val="000000"/>
                <w:sz w:val="22"/>
                <w:szCs w:val="22"/>
              </w:rPr>
            </w:pPr>
            <w:r w:rsidRPr="00603A11">
              <w:rPr>
                <w:color w:val="000000"/>
                <w:sz w:val="22"/>
                <w:szCs w:val="22"/>
              </w:rPr>
              <w:t>0</w:t>
            </w:r>
          </w:p>
        </w:tc>
      </w:tr>
      <w:tr w14:paraId="2469B6BB" w14:textId="77777777" w:rsidTr="004E4C33">
        <w:tblPrEx>
          <w:tblW w:w="9365" w:type="dxa"/>
          <w:tblLook w:val="04A0"/>
        </w:tblPrEx>
        <w:trPr>
          <w:trHeight w:val="318"/>
        </w:trPr>
        <w:tc>
          <w:tcPr>
            <w:tcW w:w="6660" w:type="dxa"/>
            <w:tcBorders>
              <w:top w:val="nil"/>
              <w:left w:val="single" w:sz="4" w:space="0" w:color="auto"/>
              <w:bottom w:val="single" w:sz="4" w:space="0" w:color="auto"/>
              <w:right w:val="single" w:sz="4" w:space="0" w:color="auto"/>
            </w:tcBorders>
            <w:noWrap/>
            <w:vAlign w:val="bottom"/>
            <w:hideMark/>
          </w:tcPr>
          <w:p w:rsidR="00492423" w:rsidRPr="00603A11" w:rsidP="00492423" w14:paraId="0D718ECF" w14:textId="4081EF93">
            <w:pPr>
              <w:widowControl/>
              <w:autoSpaceDE/>
              <w:autoSpaceDN/>
              <w:adjustRightInd/>
              <w:jc w:val="right"/>
              <w:rPr>
                <w:color w:val="000000"/>
                <w:sz w:val="22"/>
                <w:szCs w:val="22"/>
              </w:rPr>
            </w:pPr>
            <w:r w:rsidRPr="00603A11">
              <w:rPr>
                <w:color w:val="000000"/>
                <w:sz w:val="22"/>
                <w:szCs w:val="22"/>
              </w:rPr>
              <w:t>Non-TJC Accredited</w:t>
            </w:r>
          </w:p>
        </w:tc>
        <w:tc>
          <w:tcPr>
            <w:tcW w:w="1445" w:type="dxa"/>
            <w:tcBorders>
              <w:top w:val="single" w:sz="4" w:space="0" w:color="auto"/>
              <w:left w:val="nil"/>
              <w:bottom w:val="single" w:sz="4" w:space="0" w:color="auto"/>
              <w:right w:val="single" w:sz="4" w:space="0" w:color="auto"/>
            </w:tcBorders>
            <w:noWrap/>
            <w:vAlign w:val="bottom"/>
            <w:hideMark/>
          </w:tcPr>
          <w:p w:rsidR="00492423" w:rsidRPr="00603A11" w:rsidP="00492423" w14:paraId="588058F0" w14:textId="77777777">
            <w:pPr>
              <w:widowControl/>
              <w:autoSpaceDE/>
              <w:autoSpaceDN/>
              <w:adjustRightInd/>
              <w:jc w:val="center"/>
              <w:rPr>
                <w:color w:val="000000"/>
                <w:sz w:val="22"/>
                <w:szCs w:val="22"/>
              </w:rPr>
            </w:pPr>
            <w:r w:rsidRPr="00603A11">
              <w:rPr>
                <w:color w:val="000000"/>
                <w:sz w:val="22"/>
                <w:szCs w:val="22"/>
              </w:rPr>
              <w:t>19</w:t>
            </w:r>
          </w:p>
        </w:tc>
        <w:tc>
          <w:tcPr>
            <w:tcW w:w="1260" w:type="dxa"/>
            <w:tcBorders>
              <w:top w:val="nil"/>
              <w:left w:val="nil"/>
              <w:bottom w:val="single" w:sz="4" w:space="0" w:color="auto"/>
              <w:right w:val="single" w:sz="4" w:space="0" w:color="auto"/>
            </w:tcBorders>
            <w:noWrap/>
            <w:vAlign w:val="bottom"/>
            <w:hideMark/>
          </w:tcPr>
          <w:p w:rsidR="00492423" w:rsidRPr="00603A11" w:rsidP="00492423" w14:paraId="4EE0E2CD" w14:textId="77777777">
            <w:pPr>
              <w:widowControl/>
              <w:autoSpaceDE/>
              <w:autoSpaceDN/>
              <w:adjustRightInd/>
              <w:jc w:val="center"/>
              <w:rPr>
                <w:color w:val="000000"/>
                <w:sz w:val="22"/>
                <w:szCs w:val="22"/>
              </w:rPr>
            </w:pPr>
            <w:r w:rsidRPr="00603A11">
              <w:rPr>
                <w:color w:val="000000"/>
                <w:sz w:val="22"/>
                <w:szCs w:val="22"/>
              </w:rPr>
              <w:t>19</w:t>
            </w:r>
          </w:p>
        </w:tc>
      </w:tr>
      <w:tr w14:paraId="472A8087" w14:textId="77777777" w:rsidTr="004E4C33">
        <w:tblPrEx>
          <w:tblW w:w="9365" w:type="dxa"/>
          <w:tblLook w:val="04A0"/>
        </w:tblPrEx>
        <w:trPr>
          <w:trHeight w:val="318"/>
        </w:trPr>
        <w:tc>
          <w:tcPr>
            <w:tcW w:w="6660" w:type="dxa"/>
            <w:tcBorders>
              <w:top w:val="single" w:sz="4" w:space="0" w:color="auto"/>
              <w:left w:val="single" w:sz="4" w:space="0" w:color="auto"/>
              <w:bottom w:val="single" w:sz="4" w:space="0" w:color="auto"/>
              <w:right w:val="single" w:sz="4" w:space="0" w:color="auto"/>
            </w:tcBorders>
            <w:vAlign w:val="bottom"/>
          </w:tcPr>
          <w:p w:rsidR="00492423" w:rsidRPr="00603A11" w:rsidP="00492423" w14:paraId="6B48902D" w14:textId="213FB8DF">
            <w:pPr>
              <w:widowControl/>
              <w:autoSpaceDE/>
              <w:autoSpaceDN/>
              <w:adjustRightInd/>
              <w:ind w:left="-18"/>
              <w:rPr>
                <w:color w:val="000000"/>
                <w:sz w:val="22"/>
                <w:szCs w:val="22"/>
              </w:rPr>
            </w:pPr>
            <w:r w:rsidRPr="00603A11">
              <w:rPr>
                <w:color w:val="000000"/>
                <w:sz w:val="22"/>
                <w:szCs w:val="22"/>
              </w:rPr>
              <w:t>Rural Health Clinics (RHCs)</w:t>
            </w:r>
          </w:p>
        </w:tc>
        <w:tc>
          <w:tcPr>
            <w:tcW w:w="1445" w:type="dxa"/>
            <w:tcBorders>
              <w:top w:val="single" w:sz="4" w:space="0" w:color="auto"/>
              <w:left w:val="nil"/>
              <w:bottom w:val="single" w:sz="4" w:space="0" w:color="auto"/>
              <w:right w:val="single" w:sz="4" w:space="0" w:color="auto"/>
            </w:tcBorders>
            <w:noWrap/>
            <w:vAlign w:val="bottom"/>
          </w:tcPr>
          <w:p w:rsidR="00492423" w:rsidRPr="00603A11" w:rsidP="00492423" w14:paraId="59CFEC3B" w14:textId="24A3FF7B">
            <w:pPr>
              <w:widowControl/>
              <w:autoSpaceDE/>
              <w:autoSpaceDN/>
              <w:adjustRightInd/>
              <w:jc w:val="center"/>
              <w:rPr>
                <w:color w:val="000000"/>
                <w:sz w:val="22"/>
                <w:szCs w:val="22"/>
              </w:rPr>
            </w:pPr>
            <w:r w:rsidRPr="00603A11">
              <w:rPr>
                <w:sz w:val="22"/>
                <w:szCs w:val="22"/>
              </w:rPr>
              <w:t>5,545</w:t>
            </w:r>
          </w:p>
        </w:tc>
        <w:tc>
          <w:tcPr>
            <w:tcW w:w="1260" w:type="dxa"/>
            <w:tcBorders>
              <w:top w:val="single" w:sz="4" w:space="0" w:color="auto"/>
              <w:left w:val="nil"/>
              <w:bottom w:val="single" w:sz="4" w:space="0" w:color="auto"/>
              <w:right w:val="single" w:sz="4" w:space="0" w:color="auto"/>
            </w:tcBorders>
            <w:noWrap/>
            <w:vAlign w:val="bottom"/>
          </w:tcPr>
          <w:p w:rsidR="00492423" w:rsidRPr="00603A11" w:rsidP="00492423" w14:paraId="18A68434" w14:textId="428CDB90">
            <w:pPr>
              <w:widowControl/>
              <w:autoSpaceDE/>
              <w:autoSpaceDN/>
              <w:adjustRightInd/>
              <w:jc w:val="center"/>
              <w:rPr>
                <w:color w:val="000000"/>
                <w:sz w:val="22"/>
                <w:szCs w:val="22"/>
              </w:rPr>
            </w:pPr>
            <w:r w:rsidRPr="00603A11">
              <w:rPr>
                <w:sz w:val="22"/>
                <w:szCs w:val="22"/>
              </w:rPr>
              <w:t>339</w:t>
            </w:r>
          </w:p>
        </w:tc>
      </w:tr>
      <w:tr w14:paraId="070D11FA" w14:textId="77777777" w:rsidTr="004E4C33">
        <w:tblPrEx>
          <w:tblW w:w="9365" w:type="dxa"/>
          <w:tblLook w:val="04A0"/>
        </w:tblPrEx>
        <w:trPr>
          <w:trHeight w:val="318"/>
        </w:trPr>
        <w:tc>
          <w:tcPr>
            <w:tcW w:w="6660" w:type="dxa"/>
            <w:tcBorders>
              <w:top w:val="single" w:sz="4" w:space="0" w:color="auto"/>
              <w:left w:val="single" w:sz="4" w:space="0" w:color="auto"/>
              <w:bottom w:val="single" w:sz="4" w:space="0" w:color="auto"/>
              <w:right w:val="single" w:sz="4" w:space="0" w:color="auto"/>
            </w:tcBorders>
            <w:vAlign w:val="bottom"/>
          </w:tcPr>
          <w:p w:rsidR="00492423" w:rsidRPr="00603A11" w:rsidP="00492423" w14:paraId="27E4DD0D" w14:textId="07D624A9">
            <w:pPr>
              <w:widowControl/>
              <w:autoSpaceDE/>
              <w:autoSpaceDN/>
              <w:adjustRightInd/>
              <w:rPr>
                <w:color w:val="000000"/>
                <w:sz w:val="22"/>
                <w:szCs w:val="22"/>
              </w:rPr>
            </w:pPr>
            <w:r w:rsidRPr="00603A11">
              <w:rPr>
                <w:color w:val="000000"/>
                <w:sz w:val="22"/>
                <w:szCs w:val="22"/>
              </w:rPr>
              <w:t>Transplant Hospitals</w:t>
            </w:r>
          </w:p>
        </w:tc>
        <w:tc>
          <w:tcPr>
            <w:tcW w:w="1445" w:type="dxa"/>
            <w:tcBorders>
              <w:top w:val="single" w:sz="4" w:space="0" w:color="auto"/>
              <w:left w:val="nil"/>
              <w:bottom w:val="single" w:sz="4" w:space="0" w:color="auto"/>
              <w:right w:val="single" w:sz="4" w:space="0" w:color="auto"/>
            </w:tcBorders>
            <w:noWrap/>
            <w:vAlign w:val="bottom"/>
          </w:tcPr>
          <w:p w:rsidR="00492423" w:rsidRPr="00603A11" w:rsidP="00492423" w14:paraId="12010468" w14:textId="0D7B7FF0">
            <w:pPr>
              <w:widowControl/>
              <w:autoSpaceDE/>
              <w:autoSpaceDN/>
              <w:adjustRightInd/>
              <w:jc w:val="center"/>
              <w:rPr>
                <w:color w:val="000000"/>
                <w:sz w:val="22"/>
                <w:szCs w:val="22"/>
              </w:rPr>
            </w:pPr>
            <w:r w:rsidRPr="00603A11">
              <w:rPr>
                <w:color w:val="000000"/>
                <w:sz w:val="22"/>
                <w:szCs w:val="22"/>
              </w:rPr>
              <w:t>239</w:t>
            </w:r>
          </w:p>
        </w:tc>
        <w:tc>
          <w:tcPr>
            <w:tcW w:w="1260" w:type="dxa"/>
            <w:tcBorders>
              <w:top w:val="single" w:sz="4" w:space="0" w:color="auto"/>
              <w:left w:val="nil"/>
              <w:bottom w:val="single" w:sz="4" w:space="0" w:color="auto"/>
              <w:right w:val="single" w:sz="4" w:space="0" w:color="auto"/>
            </w:tcBorders>
            <w:noWrap/>
            <w:vAlign w:val="bottom"/>
          </w:tcPr>
          <w:p w:rsidR="00492423" w:rsidRPr="00603A11" w:rsidP="00492423" w14:paraId="4C12C499" w14:textId="271E3940">
            <w:pPr>
              <w:widowControl/>
              <w:autoSpaceDE/>
              <w:autoSpaceDN/>
              <w:adjustRightInd/>
              <w:jc w:val="center"/>
              <w:rPr>
                <w:color w:val="000000"/>
                <w:sz w:val="22"/>
                <w:szCs w:val="22"/>
              </w:rPr>
            </w:pPr>
            <w:r w:rsidRPr="00603A11">
              <w:rPr>
                <w:color w:val="000000"/>
                <w:sz w:val="22"/>
                <w:szCs w:val="22"/>
              </w:rPr>
              <w:t>1</w:t>
            </w:r>
          </w:p>
        </w:tc>
      </w:tr>
    </w:tbl>
    <w:p w:rsidR="00C06C7A" w:rsidP="003D58C6" w14:paraId="6BD181C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34F65" w:rsidP="00A34F65" w14:paraId="41BF5FFB" w14:textId="75EA11B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purposes of determining the </w:t>
      </w:r>
      <w:r w:rsidR="00940C37">
        <w:rPr>
          <w:sz w:val="24"/>
        </w:rPr>
        <w:t xml:space="preserve">annual </w:t>
      </w:r>
      <w:r>
        <w:rPr>
          <w:sz w:val="24"/>
        </w:rPr>
        <w:t xml:space="preserve">burden and costs in this reinstatement, we assume the number of newly certified facilities by provider or supplier type remains consistent over the 3-year period. </w:t>
      </w:r>
    </w:p>
    <w:p w:rsidR="00A55126" w:rsidRPr="00A55126" w:rsidP="00A55126" w14:paraId="373AE68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7E1B2C" w:rsidP="007E1B2C" w14:paraId="78ECA0C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br w:type="page"/>
      </w:r>
    </w:p>
    <w:p w:rsidR="00AA0385" w:rsidRPr="00431554" w:rsidP="00431554" w14:paraId="69ABA169" w14:textId="74A4FF8C">
      <w:pPr>
        <w:pStyle w:val="Heading4"/>
      </w:pPr>
      <w:r w:rsidRPr="00431554">
        <w:t xml:space="preserve">b. </w:t>
      </w:r>
      <w:r w:rsidRPr="00431554" w:rsidR="0039061C">
        <w:t xml:space="preserve">Condition of </w:t>
      </w:r>
      <w:r w:rsidRPr="00431554">
        <w:t>P</w:t>
      </w:r>
      <w:r w:rsidRPr="00431554" w:rsidR="0039061C">
        <w:t xml:space="preserve">articipation: Emergency </w:t>
      </w:r>
      <w:r w:rsidRPr="00431554">
        <w:t>P</w:t>
      </w:r>
      <w:r w:rsidRPr="00431554">
        <w:t>reparedness</w:t>
      </w:r>
      <w:r w:rsidRPr="00431554" w:rsidR="00512F1C">
        <w:t xml:space="preserve"> </w:t>
      </w:r>
    </w:p>
    <w:p w:rsidR="0087238A" w:rsidRPr="00330064" w:rsidP="00122DAE" w14:paraId="394D86C4" w14:textId="74D340B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30064">
        <w:rPr>
          <w:sz w:val="24"/>
        </w:rPr>
        <w:t>Appl</w:t>
      </w:r>
      <w:r>
        <w:rPr>
          <w:sz w:val="24"/>
        </w:rPr>
        <w:t xml:space="preserve">icable </w:t>
      </w:r>
      <w:r w:rsidRPr="00330064">
        <w:rPr>
          <w:sz w:val="24"/>
        </w:rPr>
        <w:t>information collections stemming from the Emergency Preparedness</w:t>
      </w:r>
      <w:r>
        <w:rPr>
          <w:sz w:val="24"/>
        </w:rPr>
        <w:t>,</w:t>
      </w:r>
      <w:r w:rsidRPr="00330064">
        <w:rPr>
          <w:sz w:val="24"/>
        </w:rPr>
        <w:t xml:space="preserve"> Condition of Participation</w:t>
      </w:r>
      <w:r>
        <w:rPr>
          <w:sz w:val="24"/>
        </w:rPr>
        <w:t>s,</w:t>
      </w:r>
      <w:r w:rsidRPr="00330064">
        <w:rPr>
          <w:sz w:val="24"/>
        </w:rPr>
        <w:t xml:space="preserve"> are provided below. </w:t>
      </w:r>
      <w:r w:rsidRPr="007F6C3A">
        <w:rPr>
          <w:sz w:val="24"/>
        </w:rPr>
        <w:t xml:space="preserve">We organize these as IC-1a, Risk Assessment. IC-1b Emergency Preparedness plan, </w:t>
      </w:r>
      <w:r w:rsidRPr="007F6C3A" w:rsidR="008B4C71">
        <w:rPr>
          <w:sz w:val="24"/>
        </w:rPr>
        <w:t xml:space="preserve">IC-1c: Biennial Review of Plan, </w:t>
      </w:r>
      <w:r w:rsidRPr="007F6C3A">
        <w:rPr>
          <w:sz w:val="24"/>
        </w:rPr>
        <w:t>IC-2: Policies and Procedures, IC-</w:t>
      </w:r>
      <w:r w:rsidRPr="007F6C3A" w:rsidR="008A1272">
        <w:rPr>
          <w:sz w:val="24"/>
        </w:rPr>
        <w:t>3</w:t>
      </w:r>
      <w:r w:rsidRPr="007F6C3A">
        <w:rPr>
          <w:sz w:val="24"/>
        </w:rPr>
        <w:t>: Communication Plan</w:t>
      </w:r>
      <w:r w:rsidRPr="007F6C3A" w:rsidR="008A1272">
        <w:rPr>
          <w:sz w:val="24"/>
        </w:rPr>
        <w:t>; IC-4</w:t>
      </w:r>
      <w:r w:rsidRPr="007F6C3A" w:rsidR="008B4C71">
        <w:rPr>
          <w:sz w:val="24"/>
        </w:rPr>
        <w:t>a: Training Program, IC-4b: Conduct Biennial Training, IC-4c: Conduct Annual Testing, IC-5: OPO Agreement</w:t>
      </w:r>
    </w:p>
    <w:p w:rsidR="0087238A" w:rsidP="00D55363" w14:paraId="23CAA64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A0385" w:rsidRPr="00431554" w:rsidP="00431554" w14:paraId="040868E8" w14:textId="2F475831">
      <w:pPr>
        <w:pStyle w:val="Heading5"/>
      </w:pPr>
      <w:r w:rsidRPr="00431554">
        <w:t>IC-1</w:t>
      </w:r>
      <w:r w:rsidRPr="00431554" w:rsidR="0087238A">
        <w:t>a</w:t>
      </w:r>
      <w:r w:rsidRPr="00431554">
        <w:t xml:space="preserve">: </w:t>
      </w:r>
      <w:r w:rsidRPr="00431554" w:rsidR="00AB24B4">
        <w:t>Risk Assessment</w:t>
      </w:r>
    </w:p>
    <w:p w:rsidR="0087238A" w:rsidRPr="005C5DE3" w:rsidP="00122DAE" w14:paraId="4BA2D7BA" w14:textId="729BA75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Risk assessments are appli</w:t>
      </w:r>
      <w:r w:rsidR="005C5DE3">
        <w:rPr>
          <w:sz w:val="24"/>
        </w:rPr>
        <w:t>c</w:t>
      </w:r>
      <w:r>
        <w:rPr>
          <w:sz w:val="24"/>
        </w:rPr>
        <w:t xml:space="preserve">able to the following providers: </w:t>
      </w:r>
      <w:r w:rsidRPr="008A1272" w:rsidR="00BA2E90">
        <w:rPr>
          <w:sz w:val="24"/>
        </w:rPr>
        <w:t xml:space="preserve">RNHCIs at </w:t>
      </w:r>
      <w:r w:rsidRPr="008A1272" w:rsidR="00BA2E90">
        <w:rPr>
          <w:sz w:val="24"/>
          <w:u w:val="single"/>
        </w:rPr>
        <w:t>§403.748(a); ASCs at §416.54(a);</w:t>
      </w:r>
      <w:r w:rsidRPr="008A1272">
        <w:rPr>
          <w:sz w:val="24"/>
          <w:u w:val="single"/>
        </w:rPr>
        <w:t xml:space="preserve"> </w:t>
      </w:r>
      <w:r w:rsidRPr="008A1272" w:rsidR="00E00DB8">
        <w:rPr>
          <w:sz w:val="24"/>
          <w:u w:val="single"/>
        </w:rPr>
        <w:t xml:space="preserve">Hospices at </w:t>
      </w:r>
      <w:r w:rsidRPr="008A1272">
        <w:rPr>
          <w:sz w:val="24"/>
          <w:u w:val="single"/>
        </w:rPr>
        <w:t>§418.</w:t>
      </w:r>
      <w:r w:rsidRPr="008A1272" w:rsidR="00E00DB8">
        <w:rPr>
          <w:sz w:val="24"/>
          <w:u w:val="single"/>
        </w:rPr>
        <w:t>113</w:t>
      </w:r>
      <w:r w:rsidRPr="008A1272">
        <w:rPr>
          <w:sz w:val="24"/>
          <w:u w:val="single"/>
        </w:rPr>
        <w:t>(a)</w:t>
      </w:r>
      <w:r w:rsidRPr="008A1272" w:rsidR="00E00DB8">
        <w:rPr>
          <w:sz w:val="24"/>
          <w:u w:val="single"/>
        </w:rPr>
        <w:t>; PRTFs at</w:t>
      </w:r>
      <w:r w:rsidRPr="008A1272">
        <w:rPr>
          <w:sz w:val="24"/>
          <w:u w:val="single"/>
        </w:rPr>
        <w:t xml:space="preserve"> §441.184(a)</w:t>
      </w:r>
      <w:r w:rsidRPr="008A1272" w:rsidR="00E00DB8">
        <w:rPr>
          <w:sz w:val="24"/>
          <w:u w:val="single"/>
        </w:rPr>
        <w:t>;</w:t>
      </w:r>
      <w:r w:rsidRPr="008A1272">
        <w:rPr>
          <w:sz w:val="24"/>
          <w:u w:val="single"/>
        </w:rPr>
        <w:t xml:space="preserve"> </w:t>
      </w:r>
      <w:r w:rsidRPr="008A1272" w:rsidR="00E00DB8">
        <w:rPr>
          <w:sz w:val="24"/>
          <w:u w:val="single"/>
        </w:rPr>
        <w:t xml:space="preserve">PACE at </w:t>
      </w:r>
      <w:r w:rsidRPr="008A1272">
        <w:rPr>
          <w:sz w:val="24"/>
          <w:u w:val="single"/>
        </w:rPr>
        <w:t>§460.84(a)</w:t>
      </w:r>
      <w:r w:rsidRPr="008A1272" w:rsidR="00E00DB8">
        <w:rPr>
          <w:sz w:val="24"/>
          <w:u w:val="single"/>
        </w:rPr>
        <w:t xml:space="preserve">; Hospitals at </w:t>
      </w:r>
      <w:r w:rsidRPr="008A1272">
        <w:rPr>
          <w:sz w:val="24"/>
          <w:u w:val="single"/>
        </w:rPr>
        <w:t>§482.15(a)</w:t>
      </w:r>
      <w:r w:rsidRPr="008A1272" w:rsidR="00E00DB8">
        <w:rPr>
          <w:sz w:val="24"/>
          <w:u w:val="single"/>
        </w:rPr>
        <w:t>; Transplant Programs §482.78(a); ICF/IIDs at §483.475(a);</w:t>
      </w:r>
      <w:r w:rsidRPr="008A1272">
        <w:rPr>
          <w:sz w:val="24"/>
          <w:u w:val="single"/>
        </w:rPr>
        <w:t xml:space="preserve"> </w:t>
      </w:r>
      <w:r w:rsidRPr="008A1272" w:rsidR="00E00DB8">
        <w:rPr>
          <w:sz w:val="24"/>
          <w:u w:val="single"/>
        </w:rPr>
        <w:t xml:space="preserve">HHAs at </w:t>
      </w:r>
      <w:r w:rsidRPr="008A1272">
        <w:rPr>
          <w:sz w:val="24"/>
          <w:u w:val="single"/>
        </w:rPr>
        <w:t>§484.</w:t>
      </w:r>
      <w:r w:rsidRPr="008A1272" w:rsidR="00E00DB8">
        <w:rPr>
          <w:sz w:val="24"/>
          <w:u w:val="single"/>
        </w:rPr>
        <w:t>10</w:t>
      </w:r>
      <w:r w:rsidRPr="008A1272">
        <w:rPr>
          <w:sz w:val="24"/>
          <w:u w:val="single"/>
        </w:rPr>
        <w:t>2(a)</w:t>
      </w:r>
      <w:r w:rsidRPr="008A1272" w:rsidR="00E00DB8">
        <w:rPr>
          <w:sz w:val="24"/>
          <w:u w:val="single"/>
        </w:rPr>
        <w:t xml:space="preserve">; </w:t>
      </w:r>
      <w:r w:rsidRPr="008A1272" w:rsidR="00B547F2">
        <w:rPr>
          <w:sz w:val="24"/>
          <w:u w:val="single"/>
        </w:rPr>
        <w:t xml:space="preserve">REHs at </w:t>
      </w:r>
      <w:r w:rsidRPr="008A1272">
        <w:rPr>
          <w:sz w:val="24"/>
          <w:u w:val="single"/>
        </w:rPr>
        <w:t>§485.542(a)</w:t>
      </w:r>
      <w:r w:rsidRPr="008A1272" w:rsidR="00E00DB8">
        <w:rPr>
          <w:sz w:val="24"/>
          <w:u w:val="single"/>
        </w:rPr>
        <w:t>; CAHs at</w:t>
      </w:r>
      <w:r w:rsidRPr="008A1272">
        <w:rPr>
          <w:sz w:val="24"/>
          <w:u w:val="single"/>
        </w:rPr>
        <w:t xml:space="preserve"> §485.625(a)</w:t>
      </w:r>
      <w:r w:rsidRPr="008A1272" w:rsidR="00E00DB8">
        <w:rPr>
          <w:sz w:val="24"/>
          <w:u w:val="single"/>
        </w:rPr>
        <w:t>; CORFs at</w:t>
      </w:r>
      <w:r w:rsidRPr="008A1272">
        <w:rPr>
          <w:sz w:val="24"/>
          <w:u w:val="single"/>
        </w:rPr>
        <w:t xml:space="preserve"> </w:t>
      </w:r>
      <w:r w:rsidRPr="008A1272" w:rsidR="00E00DB8">
        <w:rPr>
          <w:sz w:val="24"/>
          <w:u w:val="single"/>
        </w:rPr>
        <w:t xml:space="preserve">§485.68(a); </w:t>
      </w:r>
      <w:r w:rsidR="00405371">
        <w:rPr>
          <w:sz w:val="24"/>
          <w:u w:val="single"/>
        </w:rPr>
        <w:t>“Organizations”</w:t>
      </w:r>
      <w:r w:rsidRPr="008A1272" w:rsidR="00E00DB8">
        <w:rPr>
          <w:sz w:val="24"/>
          <w:u w:val="single"/>
        </w:rPr>
        <w:t xml:space="preserve"> at </w:t>
      </w:r>
      <w:r w:rsidRPr="008A1272">
        <w:rPr>
          <w:sz w:val="24"/>
          <w:u w:val="single"/>
        </w:rPr>
        <w:t>§485.727(a)</w:t>
      </w:r>
      <w:r w:rsidRPr="008A1272" w:rsidR="00E00DB8">
        <w:rPr>
          <w:sz w:val="24"/>
          <w:u w:val="single"/>
        </w:rPr>
        <w:t xml:space="preserve">; CMHCs at </w:t>
      </w:r>
      <w:r w:rsidRPr="008A1272">
        <w:rPr>
          <w:sz w:val="24"/>
          <w:u w:val="single"/>
        </w:rPr>
        <w:t>§485.920(a)</w:t>
      </w:r>
      <w:r w:rsidRPr="008A1272" w:rsidR="00E00DB8">
        <w:rPr>
          <w:sz w:val="24"/>
          <w:u w:val="single"/>
        </w:rPr>
        <w:t>; OPOs at §486.360(a)</w:t>
      </w:r>
      <w:r w:rsidRPr="008A1272" w:rsidR="008A1272">
        <w:rPr>
          <w:sz w:val="24"/>
          <w:u w:val="single"/>
        </w:rPr>
        <w:t>; RHCs/FQHCs at</w:t>
      </w:r>
      <w:r w:rsidRPr="008A1272">
        <w:rPr>
          <w:sz w:val="24"/>
          <w:u w:val="single"/>
        </w:rPr>
        <w:t xml:space="preserve"> §491.12(a)</w:t>
      </w:r>
      <w:r w:rsidRPr="008A1272" w:rsidR="008A1272">
        <w:rPr>
          <w:sz w:val="24"/>
          <w:u w:val="single"/>
        </w:rPr>
        <w:t>; ESRD facilities at</w:t>
      </w:r>
      <w:r w:rsidRPr="008A1272">
        <w:rPr>
          <w:sz w:val="24"/>
          <w:u w:val="single"/>
        </w:rPr>
        <w:t xml:space="preserve"> §494.62(a).</w:t>
      </w:r>
      <w:r w:rsidRPr="005C5DE3">
        <w:rPr>
          <w:sz w:val="24"/>
        </w:rPr>
        <w:t xml:space="preserve"> </w:t>
      </w:r>
    </w:p>
    <w:p w:rsidR="005C5DE3" w:rsidP="00122DAE" w14:paraId="3BE1F70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241F6" w:rsidP="00122DAE" w14:paraId="7DBBCF6C" w14:textId="3CA3648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w:t>
      </w:r>
      <w:r w:rsidRPr="00A0373A">
        <w:rPr>
          <w:sz w:val="24"/>
        </w:rPr>
        <w:t xml:space="preserve">ach </w:t>
      </w:r>
      <w:r>
        <w:rPr>
          <w:sz w:val="24"/>
        </w:rPr>
        <w:t>newly certified facility must</w:t>
      </w:r>
      <w:r w:rsidRPr="00A0373A" w:rsidR="00A0373A">
        <w:rPr>
          <w:sz w:val="24"/>
        </w:rPr>
        <w:t xml:space="preserve"> conduct a</w:t>
      </w:r>
      <w:r w:rsidR="00A342C2">
        <w:rPr>
          <w:sz w:val="24"/>
        </w:rPr>
        <w:t xml:space="preserve"> facility-based and community-based</w:t>
      </w:r>
      <w:r w:rsidRPr="00A0373A" w:rsidR="00A0373A">
        <w:rPr>
          <w:sz w:val="24"/>
        </w:rPr>
        <w:t xml:space="preserve">  risk assessment</w:t>
      </w:r>
      <w:r w:rsidR="009B4D6B">
        <w:rPr>
          <w:sz w:val="24"/>
        </w:rPr>
        <w:t xml:space="preserve"> that</w:t>
      </w:r>
      <w:r w:rsidR="00A342C2">
        <w:rPr>
          <w:sz w:val="24"/>
        </w:rPr>
        <w:t xml:space="preserve"> utilizes an all-hazards approach.</w:t>
      </w:r>
      <w:r w:rsidR="00D14B31">
        <w:rPr>
          <w:sz w:val="24"/>
        </w:rPr>
        <w:t xml:space="preserve"> </w:t>
      </w:r>
      <w:r w:rsidR="00A342C2">
        <w:rPr>
          <w:sz w:val="24"/>
        </w:rPr>
        <w:t xml:space="preserve">Facilities must </w:t>
      </w:r>
      <w:r w:rsidRPr="00A0373A" w:rsidR="00A0373A">
        <w:rPr>
          <w:sz w:val="24"/>
        </w:rPr>
        <w:t xml:space="preserve"> consider its location and geographical area; patient population, including those with special need</w:t>
      </w:r>
      <w:r w:rsidR="00D14B31">
        <w:rPr>
          <w:sz w:val="24"/>
        </w:rPr>
        <w:t>s; and the type of services they have</w:t>
      </w:r>
      <w:r w:rsidRPr="00A0373A" w:rsidR="00A0373A">
        <w:rPr>
          <w:sz w:val="24"/>
        </w:rPr>
        <w:t xml:space="preserve"> the ability t</w:t>
      </w:r>
      <w:r w:rsidR="00D14B31">
        <w:rPr>
          <w:sz w:val="24"/>
        </w:rPr>
        <w:t>o provide in an emergency.</w:t>
      </w:r>
      <w:r w:rsidRPr="00A0373A" w:rsidR="00A0373A">
        <w:rPr>
          <w:sz w:val="24"/>
        </w:rPr>
        <w:t xml:space="preserve"> </w:t>
      </w:r>
      <w:r>
        <w:rPr>
          <w:sz w:val="24"/>
        </w:rPr>
        <w:t>Risk assessments are components of the provider</w:t>
      </w:r>
      <w:r w:rsidR="00A342C2">
        <w:rPr>
          <w:sz w:val="24"/>
        </w:rPr>
        <w:t>s’</w:t>
      </w:r>
      <w:r>
        <w:rPr>
          <w:sz w:val="24"/>
        </w:rPr>
        <w:t xml:space="preserve"> or suppliers</w:t>
      </w:r>
      <w:r w:rsidR="00A342C2">
        <w:rPr>
          <w:sz w:val="24"/>
        </w:rPr>
        <w:t>’</w:t>
      </w:r>
      <w:r>
        <w:rPr>
          <w:sz w:val="24"/>
        </w:rPr>
        <w:t xml:space="preserve"> emergency preparedness plans.</w:t>
      </w:r>
    </w:p>
    <w:p w:rsidR="00D21A76" w:rsidP="00122DAE" w14:paraId="2A1ABCE0" w14:textId="7CE55E9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32"/>
        </w:rPr>
      </w:pPr>
    </w:p>
    <w:p w:rsidR="00D21A76" w:rsidP="00122DAE" w14:paraId="3C36861F" w14:textId="4D90CF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A5C2E">
        <w:rPr>
          <w:sz w:val="24"/>
          <w:szCs w:val="32"/>
        </w:rPr>
        <w:t xml:space="preserve">Per </w:t>
      </w:r>
      <w:r w:rsidRPr="001A5C2E">
        <w:rPr>
          <w:bCs/>
          <w:sz w:val="24"/>
        </w:rPr>
        <w:t xml:space="preserve">the </w:t>
      </w:r>
      <w:hyperlink r:id="rId10" w:history="1">
        <w:r w:rsidRPr="001A5C2E">
          <w:rPr>
            <w:rStyle w:val="Hyperlink"/>
            <w:sz w:val="24"/>
          </w:rPr>
          <w:t>2016 Final Rule</w:t>
        </w:r>
      </w:hyperlink>
      <w:r w:rsidRPr="001A5C2E">
        <w:rPr>
          <w:sz w:val="24"/>
          <w:szCs w:val="32"/>
        </w:rPr>
        <w:t xml:space="preserve">, </w:t>
      </w:r>
      <w:r w:rsidRPr="001A5C2E">
        <w:rPr>
          <w:sz w:val="24"/>
          <w:szCs w:val="32"/>
        </w:rPr>
        <w:t xml:space="preserve">risk assessments completed by </w:t>
      </w:r>
      <w:r w:rsidRPr="001A5C2E">
        <w:rPr>
          <w:sz w:val="24"/>
          <w:szCs w:val="32"/>
        </w:rPr>
        <w:t xml:space="preserve">TJC-accredited ASCs, CAHs, HHAs, and hospitals </w:t>
      </w:r>
      <w:r w:rsidRPr="001A5C2E">
        <w:rPr>
          <w:sz w:val="24"/>
          <w:szCs w:val="32"/>
        </w:rPr>
        <w:t>me</w:t>
      </w:r>
      <w:r w:rsidR="001A5C2E">
        <w:rPr>
          <w:sz w:val="24"/>
          <w:szCs w:val="32"/>
        </w:rPr>
        <w:t>e</w:t>
      </w:r>
      <w:r w:rsidRPr="001A5C2E">
        <w:rPr>
          <w:sz w:val="24"/>
          <w:szCs w:val="32"/>
        </w:rPr>
        <w:t>t the required standards of this CoP</w:t>
      </w:r>
      <w:r w:rsidRPr="001A5C2E">
        <w:rPr>
          <w:sz w:val="24"/>
          <w:szCs w:val="32"/>
        </w:rPr>
        <w:t xml:space="preserve">, and thus the burden for this CoP is </w:t>
      </w:r>
      <w:r w:rsidRPr="001A5C2E">
        <w:rPr>
          <w:sz w:val="24"/>
          <w:szCs w:val="32"/>
        </w:rPr>
        <w:t>seen as usual and customary practice</w:t>
      </w:r>
      <w:r w:rsidRPr="001A5C2E">
        <w:rPr>
          <w:sz w:val="24"/>
          <w:szCs w:val="32"/>
        </w:rPr>
        <w:t xml:space="preserve"> for these providers.</w:t>
      </w:r>
      <w:r>
        <w:rPr>
          <w:rStyle w:val="FootnoteReference"/>
          <w:sz w:val="24"/>
          <w:szCs w:val="32"/>
          <w:vertAlign w:val="superscript"/>
        </w:rPr>
        <w:footnoteReference w:id="4"/>
      </w:r>
      <w:r w:rsidRPr="001A5C2E">
        <w:rPr>
          <w:sz w:val="24"/>
          <w:szCs w:val="32"/>
        </w:rPr>
        <w:t xml:space="preserve"> These providers are not included in the burden analysis below because they are ex</w:t>
      </w:r>
      <w:r w:rsidRPr="001A5C2E">
        <w:rPr>
          <w:sz w:val="24"/>
          <w:szCs w:val="32"/>
        </w:rPr>
        <w:t xml:space="preserve">empt from the PRA under </w:t>
      </w:r>
      <w:r w:rsidRPr="001A5C2E">
        <w:rPr>
          <w:sz w:val="24"/>
        </w:rPr>
        <w:t>CFR §1320.3(b)(2)</w:t>
      </w:r>
      <w:r w:rsidRPr="001A5C2E">
        <w:rPr>
          <w:sz w:val="24"/>
        </w:rPr>
        <w:t>. In addition, the burden for completing risk assessment is different for inpatient v. outpatient hospices.</w:t>
      </w:r>
      <w:r>
        <w:rPr>
          <w:rStyle w:val="FootnoteReference"/>
          <w:sz w:val="24"/>
          <w:vertAlign w:val="superscript"/>
        </w:rPr>
        <w:footnoteReference w:id="5"/>
      </w:r>
      <w:r w:rsidRPr="001A5C2E">
        <w:rPr>
          <w:sz w:val="24"/>
          <w:vertAlign w:val="superscript"/>
        </w:rPr>
        <w:t xml:space="preserve"> </w:t>
      </w:r>
      <w:r w:rsidRPr="001A5C2E">
        <w:rPr>
          <w:sz w:val="24"/>
        </w:rPr>
        <w:t xml:space="preserve"> </w:t>
      </w:r>
      <w:r w:rsidRPr="001A5C2E">
        <w:rPr>
          <w:sz w:val="24"/>
        </w:rPr>
        <w:t xml:space="preserve"> </w:t>
      </w:r>
    </w:p>
    <w:p w:rsidR="008E32A7" w:rsidP="00122DAE" w14:paraId="4D46B1D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32"/>
        </w:rPr>
      </w:pPr>
    </w:p>
    <w:p w:rsidR="008E32A7" w:rsidP="00122DAE" w14:paraId="307C9AD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w:t>
      </w:r>
      <w:r w:rsidR="005115B5">
        <w:rPr>
          <w:sz w:val="24"/>
        </w:rPr>
        <w:t xml:space="preserve">every </w:t>
      </w:r>
      <w:r>
        <w:rPr>
          <w:sz w:val="24"/>
        </w:rPr>
        <w:t>new Medicare certified</w:t>
      </w:r>
      <w:r w:rsidR="005115B5">
        <w:rPr>
          <w:sz w:val="24"/>
        </w:rPr>
        <w:t xml:space="preserve"> provider that is not exempt from this information collection</w:t>
      </w:r>
      <w:r>
        <w:rPr>
          <w:sz w:val="24"/>
        </w:rPr>
        <w:t xml:space="preserve">, </w:t>
      </w:r>
    </w:p>
    <w:p w:rsidR="006623E6" w:rsidP="00122DAE" w14:paraId="50B282F9" w14:textId="6355615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w</w:t>
      </w:r>
      <w:r w:rsidRPr="00026C64" w:rsidR="00026C64">
        <w:rPr>
          <w:sz w:val="24"/>
        </w:rPr>
        <w:t>e estimate that a</w:t>
      </w:r>
      <w:r>
        <w:rPr>
          <w:sz w:val="24"/>
        </w:rPr>
        <w:t>n</w:t>
      </w:r>
      <w:r w:rsidR="00AD0E39">
        <w:rPr>
          <w:sz w:val="24"/>
        </w:rPr>
        <w:t xml:space="preserve"> </w:t>
      </w:r>
      <w:r w:rsidRPr="00026C64" w:rsidR="00026C64">
        <w:rPr>
          <w:sz w:val="24"/>
        </w:rPr>
        <w:t xml:space="preserve">Administrator </w:t>
      </w:r>
      <w:r w:rsidR="00904F72">
        <w:rPr>
          <w:sz w:val="24"/>
        </w:rPr>
        <w:t>(</w:t>
      </w:r>
      <w:r w:rsidRPr="002A333C">
        <w:rPr>
          <w:sz w:val="24"/>
        </w:rPr>
        <w:t>Medical and Health Services Manager</w:t>
      </w:r>
      <w:r>
        <w:rPr>
          <w:sz w:val="24"/>
        </w:rPr>
        <w:t xml:space="preserve"> - </w:t>
      </w:r>
      <w:r w:rsidR="00904F72">
        <w:rPr>
          <w:sz w:val="24"/>
        </w:rPr>
        <w:t>BLS Occupation Code 11-</w:t>
      </w:r>
      <w:r>
        <w:rPr>
          <w:sz w:val="24"/>
        </w:rPr>
        <w:t>9111</w:t>
      </w:r>
      <w:r w:rsidR="00904F72">
        <w:rPr>
          <w:sz w:val="24"/>
        </w:rPr>
        <w:t>)</w:t>
      </w:r>
      <w:r>
        <w:rPr>
          <w:sz w:val="24"/>
        </w:rPr>
        <w:t xml:space="preserve"> at a loaded hourly rate of $129, a Registered Nurse (BLS Occupation Code 29-1141) at a loaded hourly rate of $91 and a Facility Director (</w:t>
      </w:r>
      <w:r w:rsidRPr="002A333C">
        <w:rPr>
          <w:sz w:val="24"/>
        </w:rPr>
        <w:t>Administrative Services &amp; Facilities Manager</w:t>
      </w:r>
      <w:r>
        <w:rPr>
          <w:sz w:val="24"/>
        </w:rPr>
        <w:t xml:space="preserve"> – BLS Occupation Code 11-3010) </w:t>
      </w:r>
      <w:r w:rsidRPr="00026C64" w:rsidR="00026C64">
        <w:rPr>
          <w:sz w:val="24"/>
        </w:rPr>
        <w:t xml:space="preserve">at </w:t>
      </w:r>
      <w:r>
        <w:rPr>
          <w:sz w:val="24"/>
        </w:rPr>
        <w:t>a loaded hourly rate of $101</w:t>
      </w:r>
      <w:r w:rsidRPr="00026C64" w:rsidR="00026C64">
        <w:rPr>
          <w:sz w:val="24"/>
        </w:rPr>
        <w:t xml:space="preserve">, would </w:t>
      </w:r>
      <w:r w:rsidR="000938A3">
        <w:rPr>
          <w:sz w:val="24"/>
        </w:rPr>
        <w:t xml:space="preserve">all </w:t>
      </w:r>
      <w:r w:rsidRPr="00026C64" w:rsidR="00026C64">
        <w:rPr>
          <w:sz w:val="24"/>
        </w:rPr>
        <w:t xml:space="preserve">be responsible for </w:t>
      </w:r>
      <w:r w:rsidR="00512F1C">
        <w:rPr>
          <w:sz w:val="24"/>
        </w:rPr>
        <w:t>conducting the initial risk assessment.</w:t>
      </w:r>
    </w:p>
    <w:p w:rsidR="00603A11" w:rsidP="00122DAE" w14:paraId="1EFE2025" w14:textId="05EC8D3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12C5D" w:rsidP="00122DAE" w14:paraId="57A103F0" w14:textId="70948A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sz w:val="24"/>
        </w:rPr>
        <w:t>Table 2 below lays out the one-time burden hours and cost for newly certified provider</w:t>
      </w:r>
      <w:r w:rsidR="00B949D1">
        <w:rPr>
          <w:sz w:val="24"/>
        </w:rPr>
        <w:t>s</w:t>
      </w:r>
      <w:r>
        <w:rPr>
          <w:sz w:val="24"/>
        </w:rPr>
        <w:t xml:space="preserve"> to conduct the initial risk assessment</w:t>
      </w:r>
      <w:r w:rsidR="00936BE1">
        <w:rPr>
          <w:sz w:val="24"/>
        </w:rPr>
        <w:t xml:space="preserve">. </w:t>
      </w:r>
      <w:r w:rsidR="005C5DE3">
        <w:rPr>
          <w:sz w:val="24"/>
        </w:rPr>
        <w:t>We estimate the total collection of information burden impacting the 2,606 newly certified</w:t>
      </w:r>
      <w:r w:rsidR="005115B5">
        <w:rPr>
          <w:sz w:val="24"/>
        </w:rPr>
        <w:t>, non-exempt</w:t>
      </w:r>
      <w:r w:rsidR="005C5DE3">
        <w:rPr>
          <w:sz w:val="24"/>
        </w:rPr>
        <w:t xml:space="preserve"> providers and suppliers is 24,848 burden hours at an annual cost of $</w:t>
      </w:r>
      <w:r w:rsidRPr="005C5DE3" w:rsidR="005C5DE3">
        <w:rPr>
          <w:color w:val="000000"/>
          <w:sz w:val="24"/>
        </w:rPr>
        <w:t>7,976,208</w:t>
      </w:r>
      <w:r w:rsidR="005C5DE3">
        <w:rPr>
          <w:b/>
          <w:bCs/>
          <w:color w:val="000000"/>
          <w:szCs w:val="20"/>
        </w:rPr>
        <w:t xml:space="preserve">, </w:t>
      </w:r>
      <w:r w:rsidRPr="005C5DE3" w:rsidR="005C5DE3">
        <w:rPr>
          <w:color w:val="000000"/>
          <w:sz w:val="24"/>
        </w:rPr>
        <w:t>see Table 2.</w:t>
      </w:r>
    </w:p>
    <w:p w:rsidR="0054205D" w:rsidP="00122DAE" w14:paraId="5B146DF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54205D" w:rsidP="0054205D" w14:paraId="5AE20C0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54205D" w:rsidP="0054205D" w14:paraId="2CF5797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Sect="00730469">
          <w:footerReference w:type="default" r:id="rId14"/>
          <w:endnotePr>
            <w:numFmt w:val="decimal"/>
          </w:endnotePr>
          <w:pgSz w:w="12240" w:h="15840"/>
          <w:pgMar w:top="1440" w:right="1440" w:bottom="1440" w:left="1440" w:header="1440" w:footer="720" w:gutter="0"/>
          <w:cols w:space="720"/>
          <w:noEndnote/>
          <w:docGrid w:linePitch="272"/>
        </w:sectPr>
      </w:pPr>
    </w:p>
    <w:p w:rsidR="00CF2409" w:rsidRPr="00431554" w:rsidP="00431554" w14:paraId="426A8B1C" w14:textId="527EC65E">
      <w:pPr>
        <w:pStyle w:val="Heading6"/>
      </w:pPr>
      <w:r w:rsidRPr="00431554">
        <w:t>Table 2</w:t>
      </w:r>
      <w:r w:rsidRPr="00431554" w:rsidR="004A3D5F">
        <w:t xml:space="preserve"> </w:t>
      </w:r>
      <w:r w:rsidRPr="00431554" w:rsidR="00910C42">
        <w:t xml:space="preserve">- IC-1a - </w:t>
      </w:r>
      <w:r w:rsidRPr="00431554">
        <w:t>Burden Hours and Cost</w:t>
      </w:r>
      <w:r w:rsidRPr="00431554" w:rsidR="00AB24B4">
        <w:t xml:space="preserve"> Estimates</w:t>
      </w:r>
      <w:r w:rsidRPr="00431554">
        <w:t xml:space="preserve"> for </w:t>
      </w:r>
      <w:r w:rsidRPr="00431554" w:rsidR="000A6DB5">
        <w:t xml:space="preserve">Newly Certified Facilities </w:t>
      </w:r>
      <w:r w:rsidRPr="00431554">
        <w:t xml:space="preserve"> to </w:t>
      </w:r>
      <w:r w:rsidRPr="00431554" w:rsidR="00512F1C">
        <w:t xml:space="preserve">Conduct Initial Risk Assessment </w:t>
      </w:r>
    </w:p>
    <w:tbl>
      <w:tblPr>
        <w:tblW w:w="12137" w:type="dxa"/>
        <w:tblInd w:w="445" w:type="dxa"/>
        <w:tblLook w:val="04A0"/>
      </w:tblPr>
      <w:tblGrid>
        <w:gridCol w:w="539"/>
        <w:gridCol w:w="3149"/>
        <w:gridCol w:w="1237"/>
        <w:gridCol w:w="1381"/>
        <w:gridCol w:w="1261"/>
        <w:gridCol w:w="1240"/>
        <w:gridCol w:w="1170"/>
        <w:gridCol w:w="961"/>
        <w:gridCol w:w="1199"/>
      </w:tblGrid>
      <w:tr w14:paraId="4147C516" w14:textId="77777777" w:rsidTr="00577E9B">
        <w:tblPrEx>
          <w:tblW w:w="12137" w:type="dxa"/>
          <w:tblInd w:w="445" w:type="dxa"/>
          <w:tblLook w:val="04A0"/>
        </w:tblPrEx>
        <w:trPr>
          <w:trHeight w:val="828"/>
        </w:trPr>
        <w:tc>
          <w:tcPr>
            <w:tcW w:w="539" w:type="dxa"/>
            <w:tcBorders>
              <w:top w:val="single" w:sz="4" w:space="0" w:color="auto"/>
              <w:left w:val="single" w:sz="4" w:space="0" w:color="auto"/>
              <w:right w:val="single" w:sz="4" w:space="0" w:color="auto"/>
            </w:tcBorders>
            <w:shd w:val="clear" w:color="auto" w:fill="F2F2F2" w:themeFill="background1" w:themeFillShade="F2"/>
            <w:vAlign w:val="center"/>
          </w:tcPr>
          <w:p w:rsidR="00405371" w:rsidRPr="00490905" w:rsidP="003673CA" w14:paraId="5DEB1733" w14:textId="08E15A95">
            <w:pPr>
              <w:widowControl/>
              <w:autoSpaceDE/>
              <w:autoSpaceDN/>
              <w:adjustRightInd/>
              <w:jc w:val="center"/>
              <w:rPr>
                <w:b/>
                <w:bCs/>
                <w:szCs w:val="20"/>
              </w:rPr>
            </w:pPr>
            <w:r w:rsidRPr="004D0EA3">
              <w:rPr>
                <w:b/>
                <w:bCs/>
                <w:szCs w:val="20"/>
              </w:rPr>
              <w:t xml:space="preserve">No. </w:t>
            </w:r>
          </w:p>
        </w:tc>
        <w:tc>
          <w:tcPr>
            <w:tcW w:w="3149" w:type="dxa"/>
            <w:vMerge w:val="restart"/>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rsidR="00405371" w:rsidRPr="00490905" w:rsidP="003673CA" w14:paraId="32A507DC" w14:textId="5A6E8B83">
            <w:pPr>
              <w:widowControl/>
              <w:autoSpaceDE/>
              <w:autoSpaceDN/>
              <w:adjustRightInd/>
              <w:jc w:val="center"/>
              <w:rPr>
                <w:b/>
                <w:bCs/>
                <w:szCs w:val="20"/>
              </w:rPr>
            </w:pPr>
            <w:r w:rsidRPr="00490905">
              <w:rPr>
                <w:b/>
                <w:bCs/>
                <w:szCs w:val="20"/>
              </w:rPr>
              <w:t>Provider or Supplier Type</w:t>
            </w:r>
            <w:r w:rsidRPr="00490905">
              <w:rPr>
                <w:szCs w:val="20"/>
              </w:rPr>
              <w:t> </w:t>
            </w:r>
          </w:p>
        </w:tc>
        <w:tc>
          <w:tcPr>
            <w:tcW w:w="1237" w:type="dxa"/>
            <w:vMerge w:val="restart"/>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hideMark/>
          </w:tcPr>
          <w:p w:rsidR="004D0EA3" w:rsidRPr="00490905" w:rsidP="004D0EA3" w14:paraId="55F31EF0" w14:textId="77777777">
            <w:pPr>
              <w:widowControl/>
              <w:autoSpaceDE/>
              <w:autoSpaceDN/>
              <w:adjustRightInd/>
              <w:jc w:val="center"/>
              <w:rPr>
                <w:b/>
                <w:bCs/>
                <w:szCs w:val="20"/>
              </w:rPr>
            </w:pPr>
            <w:r w:rsidRPr="00490905">
              <w:rPr>
                <w:b/>
                <w:bCs/>
                <w:szCs w:val="20"/>
              </w:rPr>
              <w:t>42</w:t>
            </w:r>
          </w:p>
          <w:p w:rsidR="004D0EA3" w:rsidRPr="00490905" w:rsidP="004D0EA3" w14:paraId="002B55B9" w14:textId="6AF6BA2C">
            <w:pPr>
              <w:widowControl/>
              <w:autoSpaceDE/>
              <w:autoSpaceDN/>
              <w:adjustRightInd/>
              <w:jc w:val="center"/>
              <w:rPr>
                <w:b/>
                <w:bCs/>
                <w:szCs w:val="20"/>
              </w:rPr>
            </w:pPr>
            <w:r w:rsidRPr="00490905">
              <w:rPr>
                <w:b/>
                <w:bCs/>
                <w:szCs w:val="20"/>
              </w:rPr>
              <w:t>CFR</w:t>
            </w:r>
          </w:p>
        </w:tc>
        <w:tc>
          <w:tcPr>
            <w:tcW w:w="1381" w:type="dxa"/>
            <w:tcBorders>
              <w:top w:val="single" w:sz="4" w:space="0" w:color="auto"/>
              <w:left w:val="single" w:sz="4" w:space="0" w:color="auto"/>
              <w:right w:val="single" w:sz="4" w:space="0" w:color="auto"/>
            </w:tcBorders>
            <w:shd w:val="clear" w:color="auto" w:fill="F2F2F2" w:themeFill="background1" w:themeFillShade="F2"/>
            <w:vAlign w:val="center"/>
            <w:hideMark/>
          </w:tcPr>
          <w:p w:rsidR="004D0EA3" w:rsidRPr="004D0EA3" w:rsidP="004D0EA3" w14:paraId="5BEF436E" w14:textId="278A13BD">
            <w:pPr>
              <w:widowControl/>
              <w:autoSpaceDE/>
              <w:autoSpaceDN/>
              <w:adjustRightInd/>
              <w:jc w:val="center"/>
              <w:rPr>
                <w:b/>
                <w:bCs/>
                <w:szCs w:val="20"/>
              </w:rPr>
            </w:pPr>
            <w:r w:rsidRPr="004D0EA3">
              <w:rPr>
                <w:b/>
                <w:bCs/>
                <w:szCs w:val="20"/>
              </w:rPr>
              <w:t>Newly Certified Facilities/</w:t>
            </w:r>
          </w:p>
          <w:p w:rsidR="004D0EA3" w:rsidP="004D0EA3" w14:paraId="521E6F76" w14:textId="40486FEB">
            <w:pPr>
              <w:widowControl/>
              <w:autoSpaceDE/>
              <w:autoSpaceDN/>
              <w:adjustRightInd/>
              <w:jc w:val="center"/>
              <w:rPr>
                <w:b/>
                <w:bCs/>
                <w:szCs w:val="20"/>
              </w:rPr>
            </w:pPr>
            <w:r w:rsidRPr="004D0EA3">
              <w:rPr>
                <w:b/>
                <w:bCs/>
                <w:szCs w:val="20"/>
              </w:rPr>
              <w:t># of Respondents</w:t>
            </w:r>
          </w:p>
          <w:p w:rsidR="00405371" w:rsidRPr="00490905" w:rsidP="004D0EA3" w14:paraId="198442AC" w14:textId="31380195">
            <w:pPr>
              <w:widowControl/>
              <w:autoSpaceDE/>
              <w:autoSpaceDN/>
              <w:adjustRightInd/>
              <w:jc w:val="center"/>
              <w:rPr>
                <w:b/>
                <w:bCs/>
                <w:szCs w:val="20"/>
              </w:rPr>
            </w:pPr>
          </w:p>
        </w:tc>
        <w:tc>
          <w:tcPr>
            <w:tcW w:w="1261" w:type="dxa"/>
            <w:tcBorders>
              <w:top w:val="single" w:sz="4" w:space="0" w:color="auto"/>
              <w:left w:val="single" w:sz="4" w:space="0" w:color="auto"/>
              <w:right w:val="single" w:sz="4" w:space="0" w:color="auto"/>
            </w:tcBorders>
            <w:shd w:val="clear" w:color="auto" w:fill="F2F2F2" w:themeFill="background1" w:themeFillShade="F2"/>
            <w:vAlign w:val="center"/>
            <w:hideMark/>
          </w:tcPr>
          <w:p w:rsidR="00EA6F92" w:rsidP="00EA6F92" w14:paraId="4B31D8EE" w14:textId="77777777">
            <w:pPr>
              <w:widowControl/>
              <w:autoSpaceDE/>
              <w:autoSpaceDN/>
              <w:adjustRightInd/>
              <w:jc w:val="center"/>
              <w:rPr>
                <w:b/>
                <w:bCs/>
                <w:szCs w:val="20"/>
              </w:rPr>
            </w:pPr>
          </w:p>
          <w:p w:rsidR="00405371" w:rsidRPr="00490905" w:rsidP="00EA6F92" w14:paraId="01FE7743" w14:textId="4B872ADB">
            <w:pPr>
              <w:widowControl/>
              <w:autoSpaceDE/>
              <w:autoSpaceDN/>
              <w:adjustRightInd/>
              <w:jc w:val="center"/>
              <w:rPr>
                <w:b/>
                <w:bCs/>
                <w:szCs w:val="20"/>
              </w:rPr>
            </w:pPr>
            <w:r>
              <w:rPr>
                <w:b/>
                <w:bCs/>
                <w:szCs w:val="20"/>
              </w:rPr>
              <w:t xml:space="preserve"># </w:t>
            </w:r>
            <w:r w:rsidRPr="00490905">
              <w:rPr>
                <w:b/>
                <w:bCs/>
                <w:szCs w:val="20"/>
              </w:rPr>
              <w:t>of Responses</w:t>
            </w:r>
          </w:p>
        </w:tc>
        <w:tc>
          <w:tcPr>
            <w:tcW w:w="1240" w:type="dxa"/>
            <w:tcBorders>
              <w:top w:val="single" w:sz="4" w:space="0" w:color="auto"/>
              <w:left w:val="single" w:sz="4" w:space="0" w:color="auto"/>
              <w:right w:val="single" w:sz="4" w:space="0" w:color="auto"/>
            </w:tcBorders>
            <w:shd w:val="clear" w:color="auto" w:fill="F2F2F2" w:themeFill="background1" w:themeFillShade="F2"/>
            <w:vAlign w:val="center"/>
            <w:hideMark/>
          </w:tcPr>
          <w:p w:rsidR="00405371" w:rsidRPr="00490905" w:rsidP="003673CA" w14:paraId="1A31FEB8" w14:textId="1E4E1DD5">
            <w:pPr>
              <w:widowControl/>
              <w:autoSpaceDE/>
              <w:autoSpaceDN/>
              <w:adjustRightInd/>
              <w:jc w:val="center"/>
              <w:rPr>
                <w:b/>
                <w:bCs/>
                <w:szCs w:val="20"/>
              </w:rPr>
            </w:pPr>
            <w:r>
              <w:rPr>
                <w:b/>
                <w:bCs/>
                <w:szCs w:val="20"/>
              </w:rPr>
              <w:t>Bu</w:t>
            </w:r>
            <w:r w:rsidRPr="00490905">
              <w:rPr>
                <w:b/>
                <w:bCs/>
                <w:szCs w:val="20"/>
              </w:rPr>
              <w:t xml:space="preserve">rden </w:t>
            </w:r>
            <w:r w:rsidRPr="00490905">
              <w:rPr>
                <w:b/>
                <w:bCs/>
                <w:szCs w:val="20"/>
              </w:rPr>
              <w:t>Hrs</w:t>
            </w:r>
            <w:r w:rsidRPr="00490905">
              <w:rPr>
                <w:b/>
                <w:bCs/>
                <w:szCs w:val="20"/>
              </w:rPr>
              <w:t xml:space="preserve"> Per Response</w:t>
            </w:r>
            <w:r w:rsidRPr="00ED5796">
              <w:rPr>
                <w:b/>
                <w:bCs/>
                <w:szCs w:val="20"/>
              </w:rPr>
              <w:t>*</w:t>
            </w:r>
          </w:p>
        </w:tc>
        <w:tc>
          <w:tcPr>
            <w:tcW w:w="1170" w:type="dxa"/>
            <w:tcBorders>
              <w:top w:val="single" w:sz="4" w:space="0" w:color="auto"/>
              <w:left w:val="single" w:sz="4" w:space="0" w:color="auto"/>
              <w:right w:val="single" w:sz="4" w:space="0" w:color="auto"/>
            </w:tcBorders>
            <w:shd w:val="clear" w:color="auto" w:fill="F2F2F2" w:themeFill="background1" w:themeFillShade="F2"/>
            <w:vAlign w:val="center"/>
            <w:hideMark/>
          </w:tcPr>
          <w:p w:rsidR="00EA6F92" w:rsidP="00EA6F92" w14:paraId="095D6CF9" w14:textId="1B8400CE">
            <w:pPr>
              <w:widowControl/>
              <w:autoSpaceDE/>
              <w:autoSpaceDN/>
              <w:adjustRightInd/>
              <w:jc w:val="center"/>
              <w:rPr>
                <w:b/>
                <w:bCs/>
                <w:szCs w:val="20"/>
              </w:rPr>
            </w:pPr>
            <w:r w:rsidRPr="00490905">
              <w:rPr>
                <w:b/>
                <w:bCs/>
                <w:szCs w:val="20"/>
              </w:rPr>
              <w:t xml:space="preserve">Total </w:t>
            </w:r>
          </w:p>
          <w:p w:rsidR="00405371" w:rsidRPr="00490905" w:rsidP="00EA6F92" w14:paraId="0B05996B" w14:textId="426A76D4">
            <w:pPr>
              <w:widowControl/>
              <w:autoSpaceDE/>
              <w:autoSpaceDN/>
              <w:adjustRightInd/>
              <w:jc w:val="center"/>
              <w:rPr>
                <w:b/>
                <w:bCs/>
                <w:szCs w:val="20"/>
              </w:rPr>
            </w:pPr>
            <w:r w:rsidRPr="00490905">
              <w:rPr>
                <w:b/>
                <w:bCs/>
                <w:szCs w:val="20"/>
              </w:rPr>
              <w:t>Burden Hours</w:t>
            </w:r>
          </w:p>
        </w:tc>
        <w:tc>
          <w:tcPr>
            <w:tcW w:w="961" w:type="dxa"/>
            <w:tcBorders>
              <w:top w:val="single" w:sz="4" w:space="0" w:color="auto"/>
              <w:left w:val="single" w:sz="4" w:space="0" w:color="auto"/>
              <w:right w:val="single" w:sz="4" w:space="0" w:color="auto"/>
            </w:tcBorders>
            <w:shd w:val="clear" w:color="auto" w:fill="F2F2F2" w:themeFill="background1" w:themeFillShade="F2"/>
            <w:vAlign w:val="center"/>
            <w:hideMark/>
          </w:tcPr>
          <w:p w:rsidR="004D0EA3" w:rsidRPr="00490905" w:rsidP="003673CA" w14:paraId="70DB5FDD" w14:textId="54DC4C9D">
            <w:pPr>
              <w:widowControl/>
              <w:autoSpaceDE/>
              <w:autoSpaceDN/>
              <w:adjustRightInd/>
              <w:jc w:val="center"/>
              <w:rPr>
                <w:b/>
                <w:bCs/>
                <w:szCs w:val="20"/>
              </w:rPr>
            </w:pPr>
            <w:r w:rsidRPr="00490905">
              <w:rPr>
                <w:b/>
                <w:bCs/>
                <w:szCs w:val="20"/>
              </w:rPr>
              <w:t>Hourly Wage **</w:t>
            </w:r>
          </w:p>
        </w:tc>
        <w:tc>
          <w:tcPr>
            <w:tcW w:w="1199" w:type="dxa"/>
            <w:tcBorders>
              <w:top w:val="single" w:sz="4" w:space="0" w:color="auto"/>
              <w:left w:val="single" w:sz="4" w:space="0" w:color="auto"/>
              <w:right w:val="single" w:sz="4" w:space="0" w:color="auto"/>
            </w:tcBorders>
            <w:shd w:val="clear" w:color="auto" w:fill="F2F2F2" w:themeFill="background1" w:themeFillShade="F2"/>
            <w:vAlign w:val="center"/>
            <w:hideMark/>
          </w:tcPr>
          <w:p w:rsidR="00405371" w:rsidRPr="00490905" w:rsidP="003673CA" w14:paraId="2AF983F3" w14:textId="10735779">
            <w:pPr>
              <w:widowControl/>
              <w:autoSpaceDE/>
              <w:autoSpaceDN/>
              <w:adjustRightInd/>
              <w:jc w:val="center"/>
              <w:rPr>
                <w:b/>
                <w:bCs/>
                <w:szCs w:val="20"/>
              </w:rPr>
            </w:pPr>
            <w:r w:rsidRPr="00490905">
              <w:rPr>
                <w:b/>
                <w:bCs/>
                <w:szCs w:val="20"/>
              </w:rPr>
              <w:t>Total Cost Estimate</w:t>
            </w:r>
          </w:p>
        </w:tc>
      </w:tr>
      <w:tr w14:paraId="044E0DBA" w14:textId="77777777" w:rsidTr="00577E9B">
        <w:tblPrEx>
          <w:tblW w:w="12137" w:type="dxa"/>
          <w:tblInd w:w="445" w:type="dxa"/>
          <w:tblLook w:val="04A0"/>
        </w:tblPrEx>
        <w:trPr>
          <w:trHeight w:val="48"/>
        </w:trPr>
        <w:tc>
          <w:tcPr>
            <w:tcW w:w="539" w:type="dxa"/>
            <w:tcBorders>
              <w:left w:val="single" w:sz="4" w:space="0" w:color="auto"/>
              <w:bottom w:val="single" w:sz="4" w:space="0" w:color="auto"/>
              <w:right w:val="single" w:sz="4" w:space="0" w:color="auto"/>
            </w:tcBorders>
            <w:shd w:val="clear" w:color="auto" w:fill="F2F2F2" w:themeFill="background1" w:themeFillShade="F2"/>
            <w:vAlign w:val="center"/>
          </w:tcPr>
          <w:p w:rsidR="004D0EA3" w:rsidRPr="00490905" w:rsidP="004D0EA3" w14:paraId="75E73941" w14:textId="3772C876">
            <w:pPr>
              <w:widowControl/>
              <w:autoSpaceDE/>
              <w:autoSpaceDN/>
              <w:adjustRightInd/>
              <w:rPr>
                <w:b/>
                <w:bCs/>
                <w:szCs w:val="20"/>
              </w:rPr>
            </w:pPr>
          </w:p>
        </w:tc>
        <w:tc>
          <w:tcPr>
            <w:tcW w:w="3149" w:type="dxa"/>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D0EA3" w:rsidRPr="00490905" w:rsidP="004D0EA3" w14:paraId="7960C597" w14:textId="1EE5EDF9">
            <w:pPr>
              <w:widowControl/>
              <w:autoSpaceDE/>
              <w:autoSpaceDN/>
              <w:adjustRightInd/>
              <w:rPr>
                <w:b/>
                <w:bCs/>
                <w:szCs w:val="20"/>
              </w:rPr>
            </w:pPr>
          </w:p>
        </w:tc>
        <w:tc>
          <w:tcPr>
            <w:tcW w:w="1237" w:type="dxa"/>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D0EA3" w:rsidRPr="00490905" w:rsidP="004D0EA3" w14:paraId="10892194" w14:textId="77777777">
            <w:pPr>
              <w:widowControl/>
              <w:autoSpaceDE/>
              <w:autoSpaceDN/>
              <w:adjustRightInd/>
              <w:rPr>
                <w:b/>
                <w:bCs/>
                <w:szCs w:val="20"/>
              </w:rPr>
            </w:pPr>
          </w:p>
        </w:tc>
        <w:tc>
          <w:tcPr>
            <w:tcW w:w="1381" w:type="dxa"/>
            <w:tcBorders>
              <w:top w:val="nil"/>
              <w:left w:val="single" w:sz="4" w:space="0" w:color="auto"/>
              <w:bottom w:val="single" w:sz="4" w:space="0" w:color="auto"/>
              <w:right w:val="single" w:sz="4" w:space="0" w:color="auto"/>
            </w:tcBorders>
            <w:shd w:val="clear" w:color="auto" w:fill="F2F2F2" w:themeFill="background1" w:themeFillShade="F2"/>
            <w:hideMark/>
          </w:tcPr>
          <w:p w:rsidR="004D0EA3" w:rsidRPr="00490905" w:rsidP="00EA6F92" w14:paraId="77D9D7A5" w14:textId="42A0D73F">
            <w:pPr>
              <w:widowControl/>
              <w:autoSpaceDE/>
              <w:autoSpaceDN/>
              <w:adjustRightInd/>
              <w:jc w:val="center"/>
              <w:rPr>
                <w:szCs w:val="20"/>
              </w:rPr>
            </w:pPr>
            <w:r w:rsidRPr="00490905">
              <w:rPr>
                <w:szCs w:val="20"/>
              </w:rPr>
              <w:t>(a)</w:t>
            </w:r>
          </w:p>
        </w:tc>
        <w:tc>
          <w:tcPr>
            <w:tcW w:w="1261" w:type="dxa"/>
            <w:tcBorders>
              <w:top w:val="nil"/>
              <w:left w:val="single" w:sz="4" w:space="0" w:color="auto"/>
              <w:bottom w:val="single" w:sz="4" w:space="0" w:color="auto"/>
              <w:right w:val="single" w:sz="4" w:space="0" w:color="auto"/>
            </w:tcBorders>
            <w:shd w:val="clear" w:color="auto" w:fill="F2F2F2" w:themeFill="background1" w:themeFillShade="F2"/>
            <w:hideMark/>
          </w:tcPr>
          <w:p w:rsidR="004D0EA3" w:rsidRPr="00EA6F92" w:rsidP="00EA6F92" w14:paraId="7B32CD93" w14:textId="3553FBF7">
            <w:pPr>
              <w:widowControl/>
              <w:autoSpaceDE/>
              <w:autoSpaceDN/>
              <w:adjustRightInd/>
              <w:jc w:val="center"/>
              <w:rPr>
                <w:b/>
                <w:bCs/>
                <w:szCs w:val="20"/>
              </w:rPr>
            </w:pPr>
            <w:r w:rsidRPr="00490905">
              <w:rPr>
                <w:szCs w:val="20"/>
              </w:rPr>
              <w:t>(b = a x 1)</w:t>
            </w:r>
          </w:p>
        </w:tc>
        <w:tc>
          <w:tcPr>
            <w:tcW w:w="1240" w:type="dxa"/>
            <w:tcBorders>
              <w:top w:val="nil"/>
              <w:left w:val="single" w:sz="4" w:space="0" w:color="auto"/>
              <w:bottom w:val="single" w:sz="4" w:space="0" w:color="auto"/>
              <w:right w:val="single" w:sz="4" w:space="0" w:color="auto"/>
            </w:tcBorders>
            <w:shd w:val="clear" w:color="auto" w:fill="F2F2F2" w:themeFill="background1" w:themeFillShade="F2"/>
            <w:hideMark/>
          </w:tcPr>
          <w:p w:rsidR="004D0EA3" w:rsidRPr="00490905" w:rsidP="004D0EA3" w14:paraId="67056B53" w14:textId="5F8BD2DA">
            <w:pPr>
              <w:widowControl/>
              <w:autoSpaceDE/>
              <w:autoSpaceDN/>
              <w:adjustRightInd/>
              <w:jc w:val="center"/>
              <w:rPr>
                <w:szCs w:val="20"/>
              </w:rPr>
            </w:pPr>
            <w:r w:rsidRPr="00490905">
              <w:rPr>
                <w:szCs w:val="20"/>
              </w:rPr>
              <w:t>(c)</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hideMark/>
          </w:tcPr>
          <w:p w:rsidR="004D0EA3" w:rsidRPr="00490905" w:rsidP="004D0EA3" w14:paraId="55F330C8" w14:textId="30EAAAFB">
            <w:pPr>
              <w:widowControl/>
              <w:autoSpaceDE/>
              <w:autoSpaceDN/>
              <w:adjustRightInd/>
              <w:jc w:val="center"/>
              <w:rPr>
                <w:szCs w:val="20"/>
              </w:rPr>
            </w:pPr>
            <w:r w:rsidRPr="00490905">
              <w:rPr>
                <w:szCs w:val="20"/>
              </w:rPr>
              <w:t>(d = b x c)</w:t>
            </w:r>
            <w:r>
              <w:rPr>
                <w:szCs w:val="20"/>
              </w:rPr>
              <w:t xml:space="preserve"> </w:t>
            </w:r>
          </w:p>
        </w:tc>
        <w:tc>
          <w:tcPr>
            <w:tcW w:w="961" w:type="dxa"/>
            <w:tcBorders>
              <w:left w:val="single" w:sz="4" w:space="0" w:color="auto"/>
              <w:bottom w:val="single" w:sz="4" w:space="0" w:color="auto"/>
              <w:right w:val="single" w:sz="4" w:space="0" w:color="auto"/>
            </w:tcBorders>
            <w:shd w:val="clear" w:color="auto" w:fill="F2F2F2" w:themeFill="background1" w:themeFillShade="F2"/>
            <w:hideMark/>
          </w:tcPr>
          <w:p w:rsidR="004D0EA3" w:rsidRPr="00490905" w:rsidP="004D0EA3" w14:paraId="6DA35C7E" w14:textId="568E341A">
            <w:pPr>
              <w:widowControl/>
              <w:autoSpaceDE/>
              <w:autoSpaceDN/>
              <w:adjustRightInd/>
              <w:jc w:val="center"/>
              <w:rPr>
                <w:szCs w:val="20"/>
              </w:rPr>
            </w:pPr>
            <w:r w:rsidRPr="00490905">
              <w:rPr>
                <w:szCs w:val="20"/>
              </w:rPr>
              <w:t>(e)</w:t>
            </w:r>
          </w:p>
        </w:tc>
        <w:tc>
          <w:tcPr>
            <w:tcW w:w="1199" w:type="dxa"/>
            <w:tcBorders>
              <w:top w:val="nil"/>
              <w:left w:val="single" w:sz="4" w:space="0" w:color="auto"/>
              <w:bottom w:val="single" w:sz="4" w:space="0" w:color="auto"/>
              <w:right w:val="single" w:sz="4" w:space="0" w:color="auto"/>
            </w:tcBorders>
            <w:shd w:val="clear" w:color="auto" w:fill="F2F2F2" w:themeFill="background1" w:themeFillShade="F2"/>
            <w:hideMark/>
          </w:tcPr>
          <w:p w:rsidR="004D0EA3" w:rsidRPr="00490905" w:rsidP="004D0EA3" w14:paraId="2F2046EF" w14:textId="5B397F0D">
            <w:pPr>
              <w:widowControl/>
              <w:autoSpaceDE/>
              <w:autoSpaceDN/>
              <w:adjustRightInd/>
              <w:jc w:val="center"/>
              <w:rPr>
                <w:szCs w:val="20"/>
              </w:rPr>
            </w:pPr>
            <w:r w:rsidRPr="00490905">
              <w:rPr>
                <w:szCs w:val="20"/>
              </w:rPr>
              <w:t>(f</w:t>
            </w:r>
            <w:r>
              <w:rPr>
                <w:szCs w:val="20"/>
              </w:rPr>
              <w:t xml:space="preserve"> </w:t>
            </w:r>
            <w:r w:rsidRPr="00490905">
              <w:rPr>
                <w:szCs w:val="20"/>
              </w:rPr>
              <w:t xml:space="preserve">= d x e ) </w:t>
            </w:r>
          </w:p>
        </w:tc>
      </w:tr>
      <w:tr w14:paraId="2888C429"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1DF01233" w14:textId="1BB8C14F">
            <w:pPr>
              <w:widowControl/>
              <w:autoSpaceDE/>
              <w:autoSpaceDN/>
              <w:adjustRightInd/>
              <w:jc w:val="center"/>
              <w:rPr>
                <w:color w:val="000000"/>
                <w:szCs w:val="20"/>
              </w:rPr>
            </w:pPr>
            <w:r>
              <w:rPr>
                <w:color w:val="000000"/>
                <w:szCs w:val="20"/>
              </w:rPr>
              <w:t>1</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357C0DA4" w14:textId="428C5D9C">
            <w:pPr>
              <w:widowControl/>
              <w:autoSpaceDE/>
              <w:autoSpaceDN/>
              <w:adjustRightInd/>
              <w:rPr>
                <w:color w:val="000000"/>
                <w:szCs w:val="20"/>
              </w:rPr>
            </w:pPr>
            <w:r w:rsidRPr="003673CA">
              <w:rPr>
                <w:color w:val="000000"/>
                <w:szCs w:val="20"/>
              </w:rPr>
              <w:t>ASCs</w:t>
            </w:r>
            <w:r>
              <w:rPr>
                <w:color w:val="000000"/>
                <w:szCs w:val="20"/>
              </w:rPr>
              <w:t xml:space="preserve"> - Non-TJC Accredited</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732413E8" w14:textId="77777777">
            <w:pPr>
              <w:widowControl/>
              <w:autoSpaceDE/>
              <w:autoSpaceDN/>
              <w:adjustRightInd/>
              <w:rPr>
                <w:color w:val="000000"/>
                <w:sz w:val="18"/>
                <w:szCs w:val="18"/>
              </w:rPr>
            </w:pPr>
            <w:r w:rsidRPr="00C2475B">
              <w:rPr>
                <w:color w:val="000000"/>
                <w:sz w:val="18"/>
                <w:szCs w:val="18"/>
              </w:rPr>
              <w:t>§ 416.54(a)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4A1CA87C" w14:textId="77777777">
            <w:pPr>
              <w:widowControl/>
              <w:autoSpaceDE/>
              <w:autoSpaceDN/>
              <w:adjustRightInd/>
              <w:jc w:val="center"/>
              <w:rPr>
                <w:szCs w:val="20"/>
              </w:rPr>
            </w:pPr>
            <w:r w:rsidRPr="003673CA">
              <w:rPr>
                <w:szCs w:val="20"/>
              </w:rPr>
              <w:t>191</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48788AF7" w14:textId="77777777">
            <w:pPr>
              <w:widowControl/>
              <w:autoSpaceDE/>
              <w:autoSpaceDN/>
              <w:adjustRightInd/>
              <w:jc w:val="center"/>
              <w:rPr>
                <w:color w:val="000000"/>
                <w:szCs w:val="20"/>
              </w:rPr>
            </w:pPr>
            <w:r w:rsidRPr="003673CA">
              <w:rPr>
                <w:color w:val="000000"/>
                <w:szCs w:val="20"/>
              </w:rPr>
              <w:t>191</w:t>
            </w:r>
          </w:p>
        </w:tc>
        <w:tc>
          <w:tcPr>
            <w:tcW w:w="1240" w:type="dxa"/>
            <w:tcBorders>
              <w:top w:val="nil"/>
              <w:left w:val="nil"/>
              <w:bottom w:val="single" w:sz="4" w:space="0" w:color="auto"/>
              <w:right w:val="single" w:sz="4" w:space="0" w:color="auto"/>
            </w:tcBorders>
            <w:vAlign w:val="bottom"/>
            <w:hideMark/>
          </w:tcPr>
          <w:p w:rsidR="004D0EA3" w:rsidRPr="003673CA" w:rsidP="004D0EA3" w14:paraId="5378117A" w14:textId="3664FC56">
            <w:pPr>
              <w:widowControl/>
              <w:autoSpaceDE/>
              <w:autoSpaceDN/>
              <w:adjustRightInd/>
              <w:jc w:val="center"/>
              <w:rPr>
                <w:szCs w:val="20"/>
              </w:rPr>
            </w:pPr>
            <w:r w:rsidRPr="003673CA">
              <w:rPr>
                <w:szCs w:val="20"/>
              </w:rPr>
              <w:t>8</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404356CD" w14:textId="4AA33DE7">
            <w:pPr>
              <w:widowControl/>
              <w:autoSpaceDE/>
              <w:autoSpaceDN/>
              <w:adjustRightInd/>
              <w:jc w:val="center"/>
              <w:rPr>
                <w:color w:val="000000"/>
                <w:szCs w:val="20"/>
              </w:rPr>
            </w:pPr>
            <w:r w:rsidRPr="003673CA">
              <w:rPr>
                <w:color w:val="000000"/>
                <w:szCs w:val="20"/>
              </w:rPr>
              <w:t>1,528</w:t>
            </w:r>
          </w:p>
        </w:tc>
        <w:tc>
          <w:tcPr>
            <w:tcW w:w="961" w:type="dxa"/>
            <w:tcBorders>
              <w:top w:val="nil"/>
              <w:left w:val="nil"/>
              <w:bottom w:val="single" w:sz="4" w:space="0" w:color="auto"/>
              <w:right w:val="single" w:sz="4" w:space="0" w:color="auto"/>
            </w:tcBorders>
            <w:noWrap/>
            <w:vAlign w:val="center"/>
            <w:hideMark/>
          </w:tcPr>
          <w:p w:rsidR="004D0EA3" w:rsidRPr="003673CA" w:rsidP="004D0EA3" w14:paraId="7265DC5F"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48C429EA" w14:textId="77777777">
            <w:pPr>
              <w:widowControl/>
              <w:autoSpaceDE/>
              <w:autoSpaceDN/>
              <w:adjustRightInd/>
              <w:jc w:val="right"/>
              <w:rPr>
                <w:color w:val="000000"/>
                <w:szCs w:val="20"/>
              </w:rPr>
            </w:pPr>
            <w:r w:rsidRPr="003673CA">
              <w:rPr>
                <w:color w:val="000000"/>
                <w:szCs w:val="20"/>
              </w:rPr>
              <w:t>$490,488</w:t>
            </w:r>
          </w:p>
        </w:tc>
      </w:tr>
      <w:tr w14:paraId="0664370B"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2585184D" w14:textId="74BB32E6">
            <w:pPr>
              <w:widowControl/>
              <w:autoSpaceDE/>
              <w:autoSpaceDN/>
              <w:adjustRightInd/>
              <w:jc w:val="center"/>
              <w:rPr>
                <w:szCs w:val="20"/>
              </w:rPr>
            </w:pPr>
            <w:r>
              <w:rPr>
                <w:szCs w:val="20"/>
              </w:rPr>
              <w:t>2</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21DA1DAE" w14:textId="1DF6F0EB">
            <w:pPr>
              <w:widowControl/>
              <w:autoSpaceDE/>
              <w:autoSpaceDN/>
              <w:adjustRightInd/>
              <w:rPr>
                <w:szCs w:val="20"/>
              </w:rPr>
            </w:pPr>
            <w:r w:rsidRPr="003673CA">
              <w:rPr>
                <w:szCs w:val="20"/>
              </w:rPr>
              <w:t>CAHs</w:t>
            </w:r>
            <w:r>
              <w:rPr>
                <w:szCs w:val="20"/>
              </w:rPr>
              <w:t xml:space="preserve"> - </w:t>
            </w:r>
            <w:r w:rsidRPr="003673CA">
              <w:rPr>
                <w:szCs w:val="20"/>
              </w:rPr>
              <w:t>Non-TJC Accredited</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47B16C4F" w14:textId="77777777">
            <w:pPr>
              <w:widowControl/>
              <w:autoSpaceDE/>
              <w:autoSpaceDN/>
              <w:adjustRightInd/>
              <w:rPr>
                <w:color w:val="000000"/>
                <w:sz w:val="18"/>
                <w:szCs w:val="22"/>
              </w:rPr>
            </w:pPr>
            <w:r w:rsidRPr="00C2475B">
              <w:rPr>
                <w:sz w:val="18"/>
                <w:szCs w:val="22"/>
              </w:rPr>
              <w:t>§ 485.625(a)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7C94F334" w14:textId="77777777">
            <w:pPr>
              <w:widowControl/>
              <w:autoSpaceDE/>
              <w:autoSpaceDN/>
              <w:adjustRightInd/>
              <w:jc w:val="center"/>
              <w:rPr>
                <w:szCs w:val="20"/>
              </w:rPr>
            </w:pPr>
            <w:r w:rsidRPr="003673CA">
              <w:rPr>
                <w:szCs w:val="20"/>
              </w:rPr>
              <w:t>14</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7943104B" w14:textId="77777777">
            <w:pPr>
              <w:widowControl/>
              <w:autoSpaceDE/>
              <w:autoSpaceDN/>
              <w:adjustRightInd/>
              <w:jc w:val="center"/>
              <w:rPr>
                <w:color w:val="000000"/>
                <w:szCs w:val="20"/>
              </w:rPr>
            </w:pPr>
            <w:r w:rsidRPr="003673CA">
              <w:rPr>
                <w:color w:val="000000"/>
                <w:szCs w:val="20"/>
              </w:rPr>
              <w:t>14</w:t>
            </w:r>
          </w:p>
        </w:tc>
        <w:tc>
          <w:tcPr>
            <w:tcW w:w="1240" w:type="dxa"/>
            <w:tcBorders>
              <w:top w:val="nil"/>
              <w:left w:val="nil"/>
              <w:bottom w:val="single" w:sz="4" w:space="0" w:color="auto"/>
              <w:right w:val="single" w:sz="4" w:space="0" w:color="auto"/>
            </w:tcBorders>
            <w:vAlign w:val="bottom"/>
            <w:hideMark/>
          </w:tcPr>
          <w:p w:rsidR="004D0EA3" w:rsidRPr="003673CA" w:rsidP="004D0EA3" w14:paraId="1CD4F792" w14:textId="01718031">
            <w:pPr>
              <w:widowControl/>
              <w:autoSpaceDE/>
              <w:autoSpaceDN/>
              <w:adjustRightInd/>
              <w:jc w:val="center"/>
              <w:rPr>
                <w:color w:val="000000"/>
                <w:szCs w:val="20"/>
              </w:rPr>
            </w:pPr>
            <w:r w:rsidRPr="003673CA">
              <w:rPr>
                <w:color w:val="000000"/>
                <w:szCs w:val="20"/>
              </w:rPr>
              <w:t>15</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312A6C4A" w14:textId="77777777">
            <w:pPr>
              <w:widowControl/>
              <w:autoSpaceDE/>
              <w:autoSpaceDN/>
              <w:adjustRightInd/>
              <w:jc w:val="center"/>
              <w:rPr>
                <w:color w:val="000000"/>
                <w:szCs w:val="20"/>
              </w:rPr>
            </w:pPr>
            <w:r w:rsidRPr="003673CA">
              <w:rPr>
                <w:color w:val="000000"/>
                <w:szCs w:val="20"/>
              </w:rPr>
              <w:t>210</w:t>
            </w:r>
          </w:p>
        </w:tc>
        <w:tc>
          <w:tcPr>
            <w:tcW w:w="961" w:type="dxa"/>
            <w:tcBorders>
              <w:top w:val="nil"/>
              <w:left w:val="nil"/>
              <w:bottom w:val="single" w:sz="4" w:space="0" w:color="auto"/>
              <w:right w:val="single" w:sz="4" w:space="0" w:color="auto"/>
            </w:tcBorders>
            <w:noWrap/>
            <w:vAlign w:val="center"/>
            <w:hideMark/>
          </w:tcPr>
          <w:p w:rsidR="004D0EA3" w:rsidRPr="003673CA" w:rsidP="004D0EA3" w14:paraId="43891AF7"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7DDC4587" w14:textId="77777777">
            <w:pPr>
              <w:widowControl/>
              <w:autoSpaceDE/>
              <w:autoSpaceDN/>
              <w:adjustRightInd/>
              <w:jc w:val="right"/>
              <w:rPr>
                <w:color w:val="000000"/>
                <w:szCs w:val="20"/>
              </w:rPr>
            </w:pPr>
            <w:r w:rsidRPr="003673CA">
              <w:rPr>
                <w:color w:val="000000"/>
                <w:szCs w:val="20"/>
              </w:rPr>
              <w:t>$67,410</w:t>
            </w:r>
          </w:p>
        </w:tc>
      </w:tr>
      <w:tr w14:paraId="36A33D1A"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2FB5C5F9" w14:textId="44BDC1EF">
            <w:pPr>
              <w:widowControl/>
              <w:autoSpaceDE/>
              <w:autoSpaceDN/>
              <w:adjustRightInd/>
              <w:jc w:val="center"/>
              <w:rPr>
                <w:color w:val="000000"/>
                <w:szCs w:val="20"/>
              </w:rPr>
            </w:pPr>
            <w:r>
              <w:rPr>
                <w:color w:val="000000"/>
                <w:szCs w:val="20"/>
              </w:rPr>
              <w:t>3</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4DA06328" w14:textId="7E020CE6">
            <w:pPr>
              <w:widowControl/>
              <w:autoSpaceDE/>
              <w:autoSpaceDN/>
              <w:adjustRightInd/>
              <w:rPr>
                <w:color w:val="000000"/>
                <w:szCs w:val="20"/>
              </w:rPr>
            </w:pPr>
            <w:r w:rsidRPr="003673CA">
              <w:rPr>
                <w:color w:val="000000"/>
                <w:szCs w:val="20"/>
              </w:rPr>
              <w:t>CMHCs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1D08DE49" w14:textId="77777777">
            <w:pPr>
              <w:widowControl/>
              <w:autoSpaceDE/>
              <w:autoSpaceDN/>
              <w:adjustRightInd/>
              <w:rPr>
                <w:color w:val="000000"/>
                <w:sz w:val="18"/>
                <w:szCs w:val="22"/>
              </w:rPr>
            </w:pPr>
            <w:r w:rsidRPr="00C2475B">
              <w:rPr>
                <w:sz w:val="18"/>
                <w:szCs w:val="22"/>
              </w:rPr>
              <w:t>§ 485.920(a)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78444772" w14:textId="77777777">
            <w:pPr>
              <w:widowControl/>
              <w:autoSpaceDE/>
              <w:autoSpaceDN/>
              <w:adjustRightInd/>
              <w:jc w:val="center"/>
              <w:rPr>
                <w:szCs w:val="20"/>
              </w:rPr>
            </w:pPr>
            <w:r w:rsidRPr="003673CA">
              <w:rPr>
                <w:szCs w:val="20"/>
              </w:rPr>
              <w:t>9</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6E75D1B4" w14:textId="77777777">
            <w:pPr>
              <w:widowControl/>
              <w:autoSpaceDE/>
              <w:autoSpaceDN/>
              <w:adjustRightInd/>
              <w:jc w:val="center"/>
              <w:rPr>
                <w:color w:val="000000"/>
                <w:szCs w:val="20"/>
              </w:rPr>
            </w:pPr>
            <w:r w:rsidRPr="003673CA">
              <w:rPr>
                <w:color w:val="000000"/>
                <w:szCs w:val="20"/>
              </w:rPr>
              <w:t>9</w:t>
            </w:r>
          </w:p>
        </w:tc>
        <w:tc>
          <w:tcPr>
            <w:tcW w:w="1240" w:type="dxa"/>
            <w:tcBorders>
              <w:top w:val="nil"/>
              <w:left w:val="nil"/>
              <w:bottom w:val="single" w:sz="4" w:space="0" w:color="auto"/>
              <w:right w:val="single" w:sz="4" w:space="0" w:color="auto"/>
            </w:tcBorders>
            <w:vAlign w:val="bottom"/>
            <w:hideMark/>
          </w:tcPr>
          <w:p w:rsidR="004D0EA3" w:rsidRPr="003673CA" w:rsidP="004D0EA3" w14:paraId="38FAD8CF" w14:textId="272BD464">
            <w:pPr>
              <w:widowControl/>
              <w:autoSpaceDE/>
              <w:autoSpaceDN/>
              <w:adjustRightInd/>
              <w:jc w:val="center"/>
              <w:rPr>
                <w:color w:val="000000"/>
                <w:szCs w:val="20"/>
              </w:rPr>
            </w:pPr>
            <w:r w:rsidRPr="003673CA">
              <w:rPr>
                <w:color w:val="000000"/>
                <w:szCs w:val="20"/>
              </w:rPr>
              <w:t>10</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0A5C3EC4" w14:textId="77777777">
            <w:pPr>
              <w:widowControl/>
              <w:autoSpaceDE/>
              <w:autoSpaceDN/>
              <w:adjustRightInd/>
              <w:jc w:val="center"/>
              <w:rPr>
                <w:color w:val="000000"/>
                <w:szCs w:val="20"/>
              </w:rPr>
            </w:pPr>
            <w:r w:rsidRPr="003673CA">
              <w:rPr>
                <w:color w:val="000000"/>
                <w:szCs w:val="20"/>
              </w:rPr>
              <w:t>90</w:t>
            </w:r>
          </w:p>
        </w:tc>
        <w:tc>
          <w:tcPr>
            <w:tcW w:w="961" w:type="dxa"/>
            <w:tcBorders>
              <w:top w:val="nil"/>
              <w:left w:val="nil"/>
              <w:bottom w:val="single" w:sz="4" w:space="0" w:color="auto"/>
              <w:right w:val="single" w:sz="4" w:space="0" w:color="auto"/>
            </w:tcBorders>
            <w:noWrap/>
            <w:vAlign w:val="center"/>
            <w:hideMark/>
          </w:tcPr>
          <w:p w:rsidR="004D0EA3" w:rsidRPr="003673CA" w:rsidP="004D0EA3" w14:paraId="0FE09636"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35EF4127" w14:textId="77777777">
            <w:pPr>
              <w:widowControl/>
              <w:autoSpaceDE/>
              <w:autoSpaceDN/>
              <w:adjustRightInd/>
              <w:jc w:val="right"/>
              <w:rPr>
                <w:color w:val="000000"/>
                <w:szCs w:val="20"/>
              </w:rPr>
            </w:pPr>
            <w:r w:rsidRPr="003673CA">
              <w:rPr>
                <w:color w:val="000000"/>
                <w:szCs w:val="20"/>
              </w:rPr>
              <w:t>$28,890</w:t>
            </w:r>
          </w:p>
        </w:tc>
      </w:tr>
      <w:tr w14:paraId="4DB6E6C1"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0E12CE30" w14:textId="0782903A">
            <w:pPr>
              <w:widowControl/>
              <w:autoSpaceDE/>
              <w:autoSpaceDN/>
              <w:adjustRightInd/>
              <w:jc w:val="center"/>
              <w:rPr>
                <w:color w:val="000000"/>
                <w:szCs w:val="20"/>
              </w:rPr>
            </w:pPr>
            <w:r>
              <w:rPr>
                <w:color w:val="000000"/>
                <w:szCs w:val="20"/>
              </w:rPr>
              <w:t>4</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2F6BD04F" w14:textId="6B78A304">
            <w:pPr>
              <w:widowControl/>
              <w:autoSpaceDE/>
              <w:autoSpaceDN/>
              <w:adjustRightInd/>
              <w:rPr>
                <w:color w:val="000000"/>
                <w:szCs w:val="20"/>
              </w:rPr>
            </w:pPr>
            <w:r w:rsidRPr="003673CA">
              <w:rPr>
                <w:color w:val="000000"/>
                <w:szCs w:val="20"/>
              </w:rPr>
              <w:t>CORFs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56233393" w14:textId="77777777">
            <w:pPr>
              <w:widowControl/>
              <w:autoSpaceDE/>
              <w:autoSpaceDN/>
              <w:adjustRightInd/>
              <w:rPr>
                <w:color w:val="000000"/>
                <w:sz w:val="18"/>
                <w:szCs w:val="22"/>
              </w:rPr>
            </w:pPr>
            <w:r w:rsidRPr="00C2475B">
              <w:rPr>
                <w:sz w:val="18"/>
                <w:szCs w:val="22"/>
              </w:rPr>
              <w:t>§ 485.68(a)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1F7E762E" w14:textId="77777777">
            <w:pPr>
              <w:widowControl/>
              <w:autoSpaceDE/>
              <w:autoSpaceDN/>
              <w:adjustRightInd/>
              <w:jc w:val="center"/>
              <w:rPr>
                <w:szCs w:val="20"/>
              </w:rPr>
            </w:pPr>
            <w:r w:rsidRPr="003673CA">
              <w:rPr>
                <w:szCs w:val="20"/>
              </w:rPr>
              <w:t>3</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51888C24" w14:textId="77777777">
            <w:pPr>
              <w:widowControl/>
              <w:autoSpaceDE/>
              <w:autoSpaceDN/>
              <w:adjustRightInd/>
              <w:jc w:val="center"/>
              <w:rPr>
                <w:color w:val="000000"/>
                <w:szCs w:val="20"/>
              </w:rPr>
            </w:pPr>
            <w:r w:rsidRPr="003673CA">
              <w:rPr>
                <w:color w:val="000000"/>
                <w:szCs w:val="20"/>
              </w:rPr>
              <w:t>3</w:t>
            </w:r>
          </w:p>
        </w:tc>
        <w:tc>
          <w:tcPr>
            <w:tcW w:w="1240" w:type="dxa"/>
            <w:tcBorders>
              <w:top w:val="nil"/>
              <w:left w:val="nil"/>
              <w:bottom w:val="single" w:sz="4" w:space="0" w:color="auto"/>
              <w:right w:val="single" w:sz="4" w:space="0" w:color="auto"/>
            </w:tcBorders>
            <w:vAlign w:val="bottom"/>
            <w:hideMark/>
          </w:tcPr>
          <w:p w:rsidR="004D0EA3" w:rsidRPr="003673CA" w:rsidP="004D0EA3" w14:paraId="7E751B37" w14:textId="2F241CC7">
            <w:pPr>
              <w:widowControl/>
              <w:autoSpaceDE/>
              <w:autoSpaceDN/>
              <w:adjustRightInd/>
              <w:jc w:val="center"/>
              <w:rPr>
                <w:szCs w:val="20"/>
              </w:rPr>
            </w:pPr>
            <w:r w:rsidRPr="003673CA">
              <w:rPr>
                <w:szCs w:val="20"/>
              </w:rPr>
              <w:t>8</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6DA1FA86" w14:textId="77777777">
            <w:pPr>
              <w:widowControl/>
              <w:autoSpaceDE/>
              <w:autoSpaceDN/>
              <w:adjustRightInd/>
              <w:jc w:val="center"/>
              <w:rPr>
                <w:color w:val="000000"/>
                <w:szCs w:val="20"/>
              </w:rPr>
            </w:pPr>
            <w:r w:rsidRPr="003673CA">
              <w:rPr>
                <w:color w:val="000000"/>
                <w:szCs w:val="20"/>
              </w:rPr>
              <w:t>24</w:t>
            </w:r>
          </w:p>
        </w:tc>
        <w:tc>
          <w:tcPr>
            <w:tcW w:w="961" w:type="dxa"/>
            <w:tcBorders>
              <w:top w:val="nil"/>
              <w:left w:val="nil"/>
              <w:bottom w:val="single" w:sz="4" w:space="0" w:color="auto"/>
              <w:right w:val="single" w:sz="4" w:space="0" w:color="auto"/>
            </w:tcBorders>
            <w:noWrap/>
            <w:vAlign w:val="center"/>
            <w:hideMark/>
          </w:tcPr>
          <w:p w:rsidR="004D0EA3" w:rsidRPr="003673CA" w:rsidP="004D0EA3" w14:paraId="7A14D618"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0C665AD2" w14:textId="77777777">
            <w:pPr>
              <w:widowControl/>
              <w:autoSpaceDE/>
              <w:autoSpaceDN/>
              <w:adjustRightInd/>
              <w:jc w:val="right"/>
              <w:rPr>
                <w:color w:val="000000"/>
                <w:szCs w:val="20"/>
              </w:rPr>
            </w:pPr>
            <w:r w:rsidRPr="003673CA">
              <w:rPr>
                <w:color w:val="000000"/>
                <w:szCs w:val="20"/>
              </w:rPr>
              <w:t>$7,704</w:t>
            </w:r>
          </w:p>
        </w:tc>
      </w:tr>
      <w:tr w14:paraId="592D4A3C"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04F08222" w14:textId="33E77E3F">
            <w:pPr>
              <w:widowControl/>
              <w:autoSpaceDE/>
              <w:autoSpaceDN/>
              <w:adjustRightInd/>
              <w:jc w:val="center"/>
              <w:rPr>
                <w:color w:val="000000"/>
                <w:szCs w:val="20"/>
              </w:rPr>
            </w:pPr>
            <w:r>
              <w:rPr>
                <w:color w:val="000000"/>
                <w:szCs w:val="20"/>
              </w:rPr>
              <w:t>5</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7CBF6A5A" w14:textId="027CB320">
            <w:pPr>
              <w:widowControl/>
              <w:autoSpaceDE/>
              <w:autoSpaceDN/>
              <w:adjustRightInd/>
              <w:rPr>
                <w:color w:val="000000"/>
                <w:szCs w:val="20"/>
              </w:rPr>
            </w:pPr>
            <w:r w:rsidRPr="003673CA">
              <w:rPr>
                <w:color w:val="000000"/>
                <w:szCs w:val="20"/>
              </w:rPr>
              <w:t>ESRD Facilities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566002A5" w14:textId="77777777">
            <w:pPr>
              <w:widowControl/>
              <w:autoSpaceDE/>
              <w:autoSpaceDN/>
              <w:adjustRightInd/>
              <w:rPr>
                <w:color w:val="000000"/>
                <w:sz w:val="18"/>
                <w:szCs w:val="22"/>
              </w:rPr>
            </w:pPr>
            <w:r w:rsidRPr="00C2475B">
              <w:rPr>
                <w:sz w:val="18"/>
                <w:szCs w:val="22"/>
              </w:rPr>
              <w:t>§ 494.62(a)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3C5248D6" w14:textId="77777777">
            <w:pPr>
              <w:widowControl/>
              <w:autoSpaceDE/>
              <w:autoSpaceDN/>
              <w:adjustRightInd/>
              <w:jc w:val="center"/>
              <w:rPr>
                <w:szCs w:val="20"/>
              </w:rPr>
            </w:pPr>
            <w:r w:rsidRPr="003673CA">
              <w:rPr>
                <w:szCs w:val="20"/>
              </w:rPr>
              <w:t>102</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3BC10BDD" w14:textId="77777777">
            <w:pPr>
              <w:widowControl/>
              <w:autoSpaceDE/>
              <w:autoSpaceDN/>
              <w:adjustRightInd/>
              <w:jc w:val="center"/>
              <w:rPr>
                <w:color w:val="000000"/>
                <w:szCs w:val="20"/>
              </w:rPr>
            </w:pPr>
            <w:r w:rsidRPr="003673CA">
              <w:rPr>
                <w:color w:val="000000"/>
                <w:szCs w:val="20"/>
              </w:rPr>
              <w:t>102</w:t>
            </w:r>
          </w:p>
        </w:tc>
        <w:tc>
          <w:tcPr>
            <w:tcW w:w="1240" w:type="dxa"/>
            <w:tcBorders>
              <w:top w:val="nil"/>
              <w:left w:val="nil"/>
              <w:bottom w:val="single" w:sz="4" w:space="0" w:color="auto"/>
              <w:right w:val="single" w:sz="4" w:space="0" w:color="auto"/>
            </w:tcBorders>
            <w:vAlign w:val="bottom"/>
            <w:hideMark/>
          </w:tcPr>
          <w:p w:rsidR="004D0EA3" w:rsidRPr="003673CA" w:rsidP="004D0EA3" w14:paraId="77F0FA1E" w14:textId="482906A1">
            <w:pPr>
              <w:widowControl/>
              <w:autoSpaceDE/>
              <w:autoSpaceDN/>
              <w:adjustRightInd/>
              <w:jc w:val="center"/>
              <w:rPr>
                <w:color w:val="000000"/>
                <w:szCs w:val="20"/>
              </w:rPr>
            </w:pPr>
            <w:r w:rsidRPr="003673CA">
              <w:rPr>
                <w:color w:val="000000"/>
                <w:szCs w:val="20"/>
              </w:rPr>
              <w:t>12</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72B8531F" w14:textId="77777777">
            <w:pPr>
              <w:widowControl/>
              <w:autoSpaceDE/>
              <w:autoSpaceDN/>
              <w:adjustRightInd/>
              <w:jc w:val="center"/>
              <w:rPr>
                <w:color w:val="000000"/>
                <w:szCs w:val="20"/>
              </w:rPr>
            </w:pPr>
            <w:r w:rsidRPr="003673CA">
              <w:rPr>
                <w:color w:val="000000"/>
                <w:szCs w:val="20"/>
              </w:rPr>
              <w:t>1,224</w:t>
            </w:r>
          </w:p>
        </w:tc>
        <w:tc>
          <w:tcPr>
            <w:tcW w:w="961" w:type="dxa"/>
            <w:tcBorders>
              <w:top w:val="nil"/>
              <w:left w:val="nil"/>
              <w:bottom w:val="single" w:sz="4" w:space="0" w:color="auto"/>
              <w:right w:val="single" w:sz="4" w:space="0" w:color="auto"/>
            </w:tcBorders>
            <w:noWrap/>
            <w:vAlign w:val="center"/>
            <w:hideMark/>
          </w:tcPr>
          <w:p w:rsidR="004D0EA3" w:rsidRPr="003673CA" w:rsidP="004D0EA3" w14:paraId="2459C0C7"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22455727" w14:textId="77777777">
            <w:pPr>
              <w:widowControl/>
              <w:autoSpaceDE/>
              <w:autoSpaceDN/>
              <w:adjustRightInd/>
              <w:jc w:val="right"/>
              <w:rPr>
                <w:color w:val="000000"/>
                <w:szCs w:val="20"/>
              </w:rPr>
            </w:pPr>
            <w:r w:rsidRPr="003673CA">
              <w:rPr>
                <w:color w:val="000000"/>
                <w:szCs w:val="20"/>
              </w:rPr>
              <w:t>$392,904</w:t>
            </w:r>
          </w:p>
        </w:tc>
      </w:tr>
      <w:tr w14:paraId="72CA70EE"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04813415" w14:textId="3455E2A4">
            <w:pPr>
              <w:widowControl/>
              <w:autoSpaceDE/>
              <w:autoSpaceDN/>
              <w:adjustRightInd/>
              <w:jc w:val="center"/>
              <w:rPr>
                <w:color w:val="000000"/>
                <w:szCs w:val="20"/>
              </w:rPr>
            </w:pPr>
            <w:r>
              <w:rPr>
                <w:color w:val="000000"/>
                <w:szCs w:val="20"/>
              </w:rPr>
              <w:t>6</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3985BC2F" w14:textId="19BD0BFA">
            <w:pPr>
              <w:widowControl/>
              <w:autoSpaceDE/>
              <w:autoSpaceDN/>
              <w:adjustRightInd/>
              <w:rPr>
                <w:color w:val="000000"/>
                <w:szCs w:val="20"/>
              </w:rPr>
            </w:pPr>
            <w:r w:rsidRPr="003673CA">
              <w:rPr>
                <w:color w:val="000000"/>
                <w:szCs w:val="20"/>
              </w:rPr>
              <w:t>FQHCs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5A912F7D" w14:textId="77777777">
            <w:pPr>
              <w:widowControl/>
              <w:autoSpaceDE/>
              <w:autoSpaceDN/>
              <w:adjustRightInd/>
              <w:rPr>
                <w:color w:val="000000"/>
                <w:sz w:val="18"/>
                <w:szCs w:val="22"/>
              </w:rPr>
            </w:pPr>
            <w:r w:rsidRPr="00C2475B">
              <w:rPr>
                <w:sz w:val="18"/>
                <w:szCs w:val="22"/>
              </w:rPr>
              <w:t>§ 491.12(a)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0ED7B524" w14:textId="77777777">
            <w:pPr>
              <w:widowControl/>
              <w:autoSpaceDE/>
              <w:autoSpaceDN/>
              <w:adjustRightInd/>
              <w:jc w:val="center"/>
              <w:rPr>
                <w:szCs w:val="20"/>
              </w:rPr>
            </w:pPr>
            <w:r w:rsidRPr="003673CA">
              <w:rPr>
                <w:szCs w:val="20"/>
              </w:rPr>
              <w:t>771</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044CDAAF" w14:textId="77777777">
            <w:pPr>
              <w:widowControl/>
              <w:autoSpaceDE/>
              <w:autoSpaceDN/>
              <w:adjustRightInd/>
              <w:jc w:val="center"/>
              <w:rPr>
                <w:color w:val="000000"/>
                <w:szCs w:val="20"/>
              </w:rPr>
            </w:pPr>
            <w:r w:rsidRPr="003673CA">
              <w:rPr>
                <w:color w:val="000000"/>
                <w:szCs w:val="20"/>
              </w:rPr>
              <w:t>771</w:t>
            </w:r>
          </w:p>
        </w:tc>
        <w:tc>
          <w:tcPr>
            <w:tcW w:w="1240" w:type="dxa"/>
            <w:tcBorders>
              <w:top w:val="nil"/>
              <w:left w:val="nil"/>
              <w:bottom w:val="single" w:sz="4" w:space="0" w:color="auto"/>
              <w:right w:val="single" w:sz="4" w:space="0" w:color="auto"/>
            </w:tcBorders>
            <w:vAlign w:val="bottom"/>
            <w:hideMark/>
          </w:tcPr>
          <w:p w:rsidR="004D0EA3" w:rsidRPr="003673CA" w:rsidP="004D0EA3" w14:paraId="136E0C52" w14:textId="65DAABD7">
            <w:pPr>
              <w:widowControl/>
              <w:autoSpaceDE/>
              <w:autoSpaceDN/>
              <w:adjustRightInd/>
              <w:jc w:val="center"/>
              <w:rPr>
                <w:color w:val="000000"/>
                <w:szCs w:val="20"/>
              </w:rPr>
            </w:pPr>
            <w:r w:rsidRPr="003673CA">
              <w:rPr>
                <w:color w:val="000000"/>
                <w:szCs w:val="20"/>
              </w:rPr>
              <w:t>5</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7FDB67B9" w14:textId="77777777">
            <w:pPr>
              <w:widowControl/>
              <w:autoSpaceDE/>
              <w:autoSpaceDN/>
              <w:adjustRightInd/>
              <w:jc w:val="center"/>
              <w:rPr>
                <w:color w:val="000000"/>
                <w:szCs w:val="20"/>
              </w:rPr>
            </w:pPr>
            <w:r w:rsidRPr="003673CA">
              <w:rPr>
                <w:color w:val="000000"/>
                <w:szCs w:val="20"/>
              </w:rPr>
              <w:t>3,855</w:t>
            </w:r>
          </w:p>
        </w:tc>
        <w:tc>
          <w:tcPr>
            <w:tcW w:w="961" w:type="dxa"/>
            <w:tcBorders>
              <w:top w:val="nil"/>
              <w:left w:val="nil"/>
              <w:bottom w:val="single" w:sz="4" w:space="0" w:color="auto"/>
              <w:right w:val="single" w:sz="4" w:space="0" w:color="auto"/>
            </w:tcBorders>
            <w:noWrap/>
            <w:vAlign w:val="center"/>
            <w:hideMark/>
          </w:tcPr>
          <w:p w:rsidR="004D0EA3" w:rsidRPr="003673CA" w:rsidP="004D0EA3" w14:paraId="1F271E6B"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3AC6AC3D" w14:textId="77777777">
            <w:pPr>
              <w:widowControl/>
              <w:autoSpaceDE/>
              <w:autoSpaceDN/>
              <w:adjustRightInd/>
              <w:jc w:val="right"/>
              <w:rPr>
                <w:color w:val="000000"/>
                <w:szCs w:val="20"/>
              </w:rPr>
            </w:pPr>
            <w:r w:rsidRPr="003673CA">
              <w:rPr>
                <w:color w:val="000000"/>
                <w:szCs w:val="20"/>
              </w:rPr>
              <w:t>$1,237,455</w:t>
            </w:r>
          </w:p>
        </w:tc>
      </w:tr>
      <w:tr w14:paraId="0997EE14"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0042348E" w14:textId="1E0DC3EF">
            <w:pPr>
              <w:widowControl/>
              <w:autoSpaceDE/>
              <w:autoSpaceDN/>
              <w:adjustRightInd/>
              <w:jc w:val="center"/>
              <w:rPr>
                <w:szCs w:val="20"/>
              </w:rPr>
            </w:pPr>
            <w:r>
              <w:rPr>
                <w:szCs w:val="20"/>
              </w:rPr>
              <w:t>7</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5B5B5352" w14:textId="6BB7ABAE">
            <w:pPr>
              <w:widowControl/>
              <w:autoSpaceDE/>
              <w:autoSpaceDN/>
              <w:adjustRightInd/>
              <w:rPr>
                <w:color w:val="FF0000"/>
                <w:szCs w:val="20"/>
              </w:rPr>
            </w:pPr>
            <w:r w:rsidRPr="003673CA">
              <w:rPr>
                <w:szCs w:val="20"/>
              </w:rPr>
              <w:t>HHAs</w:t>
            </w:r>
            <w:r>
              <w:rPr>
                <w:szCs w:val="20"/>
              </w:rPr>
              <w:t xml:space="preserve"> - </w:t>
            </w:r>
            <w:r w:rsidRPr="003673CA">
              <w:rPr>
                <w:szCs w:val="20"/>
              </w:rPr>
              <w:t>Non-TJC Accredited</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59984A2D" w14:textId="77777777">
            <w:pPr>
              <w:widowControl/>
              <w:autoSpaceDE/>
              <w:autoSpaceDN/>
              <w:adjustRightInd/>
              <w:rPr>
                <w:color w:val="000000"/>
                <w:sz w:val="18"/>
                <w:szCs w:val="18"/>
              </w:rPr>
            </w:pPr>
            <w:r w:rsidRPr="00C2475B">
              <w:rPr>
                <w:color w:val="000000"/>
                <w:sz w:val="18"/>
                <w:szCs w:val="18"/>
              </w:rPr>
              <w:t>§ 484.102(a)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426294F0" w14:textId="77777777">
            <w:pPr>
              <w:widowControl/>
              <w:autoSpaceDE/>
              <w:autoSpaceDN/>
              <w:adjustRightInd/>
              <w:jc w:val="center"/>
              <w:rPr>
                <w:szCs w:val="20"/>
              </w:rPr>
            </w:pPr>
            <w:r w:rsidRPr="003673CA">
              <w:rPr>
                <w:szCs w:val="20"/>
              </w:rPr>
              <w:t>334</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5AF886F0" w14:textId="77777777">
            <w:pPr>
              <w:widowControl/>
              <w:autoSpaceDE/>
              <w:autoSpaceDN/>
              <w:adjustRightInd/>
              <w:jc w:val="center"/>
              <w:rPr>
                <w:color w:val="000000"/>
                <w:szCs w:val="20"/>
              </w:rPr>
            </w:pPr>
            <w:r w:rsidRPr="003673CA">
              <w:rPr>
                <w:color w:val="000000"/>
                <w:szCs w:val="20"/>
              </w:rPr>
              <w:t>334</w:t>
            </w:r>
          </w:p>
        </w:tc>
        <w:tc>
          <w:tcPr>
            <w:tcW w:w="1240" w:type="dxa"/>
            <w:tcBorders>
              <w:top w:val="nil"/>
              <w:left w:val="nil"/>
              <w:bottom w:val="single" w:sz="4" w:space="0" w:color="auto"/>
              <w:right w:val="single" w:sz="4" w:space="0" w:color="auto"/>
            </w:tcBorders>
            <w:vAlign w:val="bottom"/>
            <w:hideMark/>
          </w:tcPr>
          <w:p w:rsidR="004D0EA3" w:rsidRPr="003673CA" w:rsidP="004D0EA3" w14:paraId="0B5D9788" w14:textId="07B6D7DE">
            <w:pPr>
              <w:widowControl/>
              <w:autoSpaceDE/>
              <w:autoSpaceDN/>
              <w:adjustRightInd/>
              <w:jc w:val="center"/>
              <w:rPr>
                <w:szCs w:val="20"/>
              </w:rPr>
            </w:pPr>
            <w:r w:rsidRPr="003673CA">
              <w:rPr>
                <w:szCs w:val="20"/>
              </w:rPr>
              <w:t>11</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208AF6ED" w14:textId="77777777">
            <w:pPr>
              <w:widowControl/>
              <w:autoSpaceDE/>
              <w:autoSpaceDN/>
              <w:adjustRightInd/>
              <w:jc w:val="center"/>
              <w:rPr>
                <w:color w:val="000000"/>
                <w:szCs w:val="20"/>
              </w:rPr>
            </w:pPr>
            <w:r w:rsidRPr="003673CA">
              <w:rPr>
                <w:color w:val="000000"/>
                <w:szCs w:val="20"/>
              </w:rPr>
              <w:t>3,674</w:t>
            </w:r>
          </w:p>
        </w:tc>
        <w:tc>
          <w:tcPr>
            <w:tcW w:w="961" w:type="dxa"/>
            <w:tcBorders>
              <w:top w:val="nil"/>
              <w:left w:val="nil"/>
              <w:bottom w:val="single" w:sz="4" w:space="0" w:color="auto"/>
              <w:right w:val="single" w:sz="4" w:space="0" w:color="auto"/>
            </w:tcBorders>
            <w:noWrap/>
            <w:vAlign w:val="center"/>
            <w:hideMark/>
          </w:tcPr>
          <w:p w:rsidR="004D0EA3" w:rsidRPr="003673CA" w:rsidP="004D0EA3" w14:paraId="0E2FB69F"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577DA10A" w14:textId="77777777">
            <w:pPr>
              <w:widowControl/>
              <w:autoSpaceDE/>
              <w:autoSpaceDN/>
              <w:adjustRightInd/>
              <w:jc w:val="right"/>
              <w:rPr>
                <w:color w:val="000000"/>
                <w:szCs w:val="20"/>
              </w:rPr>
            </w:pPr>
            <w:r w:rsidRPr="003673CA">
              <w:rPr>
                <w:color w:val="000000"/>
                <w:szCs w:val="20"/>
              </w:rPr>
              <w:t>$1,179,354</w:t>
            </w:r>
          </w:p>
        </w:tc>
      </w:tr>
      <w:tr w14:paraId="130623FF"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P="004D0EA3" w14:paraId="6B9DCA83" w14:textId="26E5B3EF">
            <w:pPr>
              <w:widowControl/>
              <w:autoSpaceDE/>
              <w:autoSpaceDN/>
              <w:adjustRightInd/>
              <w:jc w:val="center"/>
              <w:rPr>
                <w:color w:val="000000"/>
                <w:szCs w:val="20"/>
              </w:rPr>
            </w:pPr>
            <w:r>
              <w:rPr>
                <w:color w:val="000000"/>
                <w:szCs w:val="20"/>
              </w:rPr>
              <w:t>8</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7F8B6223" w14:textId="695B38C5">
            <w:pPr>
              <w:widowControl/>
              <w:autoSpaceDE/>
              <w:autoSpaceDN/>
              <w:adjustRightInd/>
              <w:rPr>
                <w:color w:val="000000"/>
                <w:szCs w:val="20"/>
              </w:rPr>
            </w:pPr>
            <w:r>
              <w:rPr>
                <w:color w:val="000000"/>
                <w:szCs w:val="20"/>
              </w:rPr>
              <w:t>Hospices - Inpatient</w:t>
            </w:r>
            <w:r w:rsidRPr="003673CA">
              <w:rPr>
                <w:color w:val="000000"/>
                <w:szCs w:val="20"/>
              </w:rPr>
              <w:t xml:space="preserve"> </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2140E090" w14:textId="77777777">
            <w:pPr>
              <w:widowControl/>
              <w:autoSpaceDE/>
              <w:autoSpaceDN/>
              <w:adjustRightInd/>
              <w:rPr>
                <w:color w:val="000000"/>
                <w:sz w:val="18"/>
                <w:szCs w:val="18"/>
              </w:rPr>
            </w:pPr>
            <w:r w:rsidRPr="00C2475B">
              <w:rPr>
                <w:color w:val="000000"/>
                <w:sz w:val="18"/>
                <w:szCs w:val="18"/>
              </w:rPr>
              <w:t>§ 418.113(a)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50F3B3ED" w14:textId="77777777">
            <w:pPr>
              <w:widowControl/>
              <w:autoSpaceDE/>
              <w:autoSpaceDN/>
              <w:adjustRightInd/>
              <w:jc w:val="center"/>
              <w:rPr>
                <w:szCs w:val="20"/>
              </w:rPr>
            </w:pPr>
            <w:r w:rsidRPr="003673CA">
              <w:rPr>
                <w:szCs w:val="20"/>
              </w:rPr>
              <w:t>0</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304A6D1B" w14:textId="77777777">
            <w:pPr>
              <w:widowControl/>
              <w:autoSpaceDE/>
              <w:autoSpaceDN/>
              <w:adjustRightInd/>
              <w:jc w:val="center"/>
              <w:rPr>
                <w:color w:val="000000"/>
                <w:szCs w:val="20"/>
              </w:rPr>
            </w:pPr>
            <w:r w:rsidRPr="003673CA">
              <w:rPr>
                <w:color w:val="000000"/>
                <w:szCs w:val="20"/>
              </w:rPr>
              <w:t>0</w:t>
            </w:r>
          </w:p>
        </w:tc>
        <w:tc>
          <w:tcPr>
            <w:tcW w:w="1240" w:type="dxa"/>
            <w:tcBorders>
              <w:top w:val="nil"/>
              <w:left w:val="nil"/>
              <w:bottom w:val="single" w:sz="4" w:space="0" w:color="auto"/>
              <w:right w:val="single" w:sz="4" w:space="0" w:color="auto"/>
            </w:tcBorders>
            <w:vAlign w:val="bottom"/>
            <w:hideMark/>
          </w:tcPr>
          <w:p w:rsidR="004D0EA3" w:rsidRPr="003673CA" w:rsidP="004D0EA3" w14:paraId="32486EC4" w14:textId="594FD692">
            <w:pPr>
              <w:widowControl/>
              <w:autoSpaceDE/>
              <w:autoSpaceDN/>
              <w:adjustRightInd/>
              <w:jc w:val="center"/>
              <w:rPr>
                <w:szCs w:val="20"/>
              </w:rPr>
            </w:pPr>
            <w:r w:rsidRPr="003673CA">
              <w:rPr>
                <w:szCs w:val="20"/>
              </w:rPr>
              <w:t>10</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1FCE1365" w14:textId="77777777">
            <w:pPr>
              <w:widowControl/>
              <w:autoSpaceDE/>
              <w:autoSpaceDN/>
              <w:adjustRightInd/>
              <w:jc w:val="center"/>
              <w:rPr>
                <w:color w:val="000000"/>
                <w:szCs w:val="20"/>
              </w:rPr>
            </w:pPr>
            <w:r w:rsidRPr="003673CA">
              <w:rPr>
                <w:color w:val="000000"/>
                <w:szCs w:val="20"/>
              </w:rPr>
              <w:t>0</w:t>
            </w:r>
          </w:p>
        </w:tc>
        <w:tc>
          <w:tcPr>
            <w:tcW w:w="961" w:type="dxa"/>
            <w:tcBorders>
              <w:top w:val="nil"/>
              <w:left w:val="nil"/>
              <w:bottom w:val="single" w:sz="4" w:space="0" w:color="auto"/>
              <w:right w:val="single" w:sz="4" w:space="0" w:color="auto"/>
            </w:tcBorders>
            <w:noWrap/>
            <w:vAlign w:val="center"/>
            <w:hideMark/>
          </w:tcPr>
          <w:p w:rsidR="004D0EA3" w:rsidRPr="003673CA" w:rsidP="004D0EA3" w14:paraId="3FCADA64"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6428F9DB" w14:textId="77777777">
            <w:pPr>
              <w:widowControl/>
              <w:autoSpaceDE/>
              <w:autoSpaceDN/>
              <w:adjustRightInd/>
              <w:jc w:val="right"/>
              <w:rPr>
                <w:color w:val="000000"/>
                <w:szCs w:val="20"/>
              </w:rPr>
            </w:pPr>
            <w:r w:rsidRPr="003673CA">
              <w:rPr>
                <w:color w:val="000000"/>
                <w:szCs w:val="20"/>
              </w:rPr>
              <w:t>$0</w:t>
            </w:r>
          </w:p>
        </w:tc>
      </w:tr>
      <w:tr w14:paraId="3685CD75"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A1C85" w:rsidP="004D0EA3" w14:paraId="7BCCCFB9" w14:textId="0D736E30">
            <w:pPr>
              <w:widowControl/>
              <w:autoSpaceDE/>
              <w:autoSpaceDN/>
              <w:adjustRightInd/>
              <w:jc w:val="center"/>
              <w:rPr>
                <w:color w:val="000000"/>
                <w:szCs w:val="20"/>
              </w:rPr>
            </w:pPr>
            <w:r>
              <w:rPr>
                <w:color w:val="000000"/>
                <w:szCs w:val="20"/>
              </w:rPr>
              <w:t>9</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6D9FB484" w14:textId="1F6EE17A">
            <w:pPr>
              <w:widowControl/>
              <w:autoSpaceDE/>
              <w:autoSpaceDN/>
              <w:adjustRightInd/>
              <w:rPr>
                <w:color w:val="000000"/>
                <w:szCs w:val="20"/>
              </w:rPr>
            </w:pPr>
            <w:r w:rsidRPr="003A1C85">
              <w:rPr>
                <w:color w:val="000000"/>
                <w:szCs w:val="20"/>
              </w:rPr>
              <w:t>Hospices</w:t>
            </w:r>
            <w:r>
              <w:rPr>
                <w:color w:val="000000"/>
                <w:szCs w:val="20"/>
              </w:rPr>
              <w:t xml:space="preserve"> - </w:t>
            </w:r>
            <w:r w:rsidRPr="003A1C85">
              <w:rPr>
                <w:color w:val="000000"/>
                <w:szCs w:val="20"/>
              </w:rPr>
              <w:t>Outpatient</w:t>
            </w:r>
            <w:r>
              <w:rPr>
                <w:color w:val="000000"/>
                <w:szCs w:val="20"/>
              </w:rPr>
              <w:t xml:space="preserve"> </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22DD25B7" w14:textId="77777777">
            <w:pPr>
              <w:widowControl/>
              <w:autoSpaceDE/>
              <w:autoSpaceDN/>
              <w:adjustRightInd/>
              <w:rPr>
                <w:color w:val="000000"/>
                <w:sz w:val="18"/>
                <w:szCs w:val="18"/>
              </w:rPr>
            </w:pPr>
            <w:r w:rsidRPr="00C2475B">
              <w:rPr>
                <w:color w:val="000000"/>
                <w:sz w:val="18"/>
                <w:szCs w:val="18"/>
              </w:rPr>
              <w:t>§ 418.113(a)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18FC9767" w14:textId="77777777">
            <w:pPr>
              <w:widowControl/>
              <w:autoSpaceDE/>
              <w:autoSpaceDN/>
              <w:adjustRightInd/>
              <w:jc w:val="center"/>
              <w:rPr>
                <w:szCs w:val="20"/>
              </w:rPr>
            </w:pPr>
            <w:r w:rsidRPr="003673CA">
              <w:rPr>
                <w:szCs w:val="20"/>
              </w:rPr>
              <w:t>685</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2D490D8E" w14:textId="77777777">
            <w:pPr>
              <w:widowControl/>
              <w:autoSpaceDE/>
              <w:autoSpaceDN/>
              <w:adjustRightInd/>
              <w:jc w:val="center"/>
              <w:rPr>
                <w:color w:val="000000"/>
                <w:szCs w:val="20"/>
              </w:rPr>
            </w:pPr>
            <w:r w:rsidRPr="003673CA">
              <w:rPr>
                <w:color w:val="000000"/>
                <w:szCs w:val="20"/>
              </w:rPr>
              <w:t>685</w:t>
            </w:r>
          </w:p>
        </w:tc>
        <w:tc>
          <w:tcPr>
            <w:tcW w:w="1240" w:type="dxa"/>
            <w:tcBorders>
              <w:top w:val="nil"/>
              <w:left w:val="nil"/>
              <w:bottom w:val="single" w:sz="4" w:space="0" w:color="auto"/>
              <w:right w:val="single" w:sz="4" w:space="0" w:color="auto"/>
            </w:tcBorders>
            <w:vAlign w:val="bottom"/>
            <w:hideMark/>
          </w:tcPr>
          <w:p w:rsidR="004D0EA3" w:rsidRPr="003673CA" w:rsidP="004D0EA3" w14:paraId="6699D0D5" w14:textId="00EAF140">
            <w:pPr>
              <w:widowControl/>
              <w:autoSpaceDE/>
              <w:autoSpaceDN/>
              <w:adjustRightInd/>
              <w:jc w:val="center"/>
              <w:rPr>
                <w:szCs w:val="20"/>
              </w:rPr>
            </w:pPr>
            <w:r w:rsidRPr="003673CA">
              <w:rPr>
                <w:szCs w:val="20"/>
              </w:rPr>
              <w:t>12</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35ED69D3" w14:textId="77777777">
            <w:pPr>
              <w:widowControl/>
              <w:autoSpaceDE/>
              <w:autoSpaceDN/>
              <w:adjustRightInd/>
              <w:jc w:val="center"/>
              <w:rPr>
                <w:color w:val="000000"/>
                <w:szCs w:val="20"/>
              </w:rPr>
            </w:pPr>
            <w:r w:rsidRPr="003673CA">
              <w:rPr>
                <w:color w:val="000000"/>
                <w:szCs w:val="20"/>
              </w:rPr>
              <w:t>8,220</w:t>
            </w:r>
          </w:p>
        </w:tc>
        <w:tc>
          <w:tcPr>
            <w:tcW w:w="961" w:type="dxa"/>
            <w:tcBorders>
              <w:top w:val="nil"/>
              <w:left w:val="nil"/>
              <w:bottom w:val="single" w:sz="4" w:space="0" w:color="auto"/>
              <w:right w:val="single" w:sz="4" w:space="0" w:color="auto"/>
            </w:tcBorders>
            <w:noWrap/>
            <w:vAlign w:val="center"/>
            <w:hideMark/>
          </w:tcPr>
          <w:p w:rsidR="004D0EA3" w:rsidRPr="003673CA" w:rsidP="004D0EA3" w14:paraId="70019373"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07828DC7" w14:textId="77777777">
            <w:pPr>
              <w:widowControl/>
              <w:autoSpaceDE/>
              <w:autoSpaceDN/>
              <w:adjustRightInd/>
              <w:jc w:val="right"/>
              <w:rPr>
                <w:color w:val="000000"/>
                <w:szCs w:val="20"/>
              </w:rPr>
            </w:pPr>
            <w:r w:rsidRPr="003673CA">
              <w:rPr>
                <w:color w:val="000000"/>
                <w:szCs w:val="20"/>
              </w:rPr>
              <w:t>$2,638,620</w:t>
            </w:r>
          </w:p>
        </w:tc>
      </w:tr>
      <w:tr w14:paraId="4E31000C"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5A5ED396" w14:textId="04266E2A">
            <w:pPr>
              <w:widowControl/>
              <w:autoSpaceDE/>
              <w:autoSpaceDN/>
              <w:adjustRightInd/>
              <w:jc w:val="center"/>
              <w:rPr>
                <w:color w:val="000000"/>
                <w:szCs w:val="20"/>
              </w:rPr>
            </w:pPr>
            <w:r>
              <w:rPr>
                <w:color w:val="000000"/>
                <w:szCs w:val="20"/>
              </w:rPr>
              <w:t>10</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4627C3E4" w14:textId="7B49D434">
            <w:pPr>
              <w:widowControl/>
              <w:autoSpaceDE/>
              <w:autoSpaceDN/>
              <w:adjustRightInd/>
              <w:rPr>
                <w:color w:val="000000"/>
                <w:szCs w:val="20"/>
              </w:rPr>
            </w:pPr>
            <w:r w:rsidRPr="003673CA">
              <w:rPr>
                <w:color w:val="000000"/>
                <w:szCs w:val="20"/>
              </w:rPr>
              <w:t>Hospitals</w:t>
            </w:r>
            <w:r>
              <w:rPr>
                <w:color w:val="000000"/>
                <w:szCs w:val="20"/>
              </w:rPr>
              <w:t xml:space="preserve"> - Non-TJC Accredited</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7E92D91E" w14:textId="77777777">
            <w:pPr>
              <w:widowControl/>
              <w:autoSpaceDE/>
              <w:autoSpaceDN/>
              <w:adjustRightInd/>
              <w:rPr>
                <w:color w:val="000000"/>
                <w:sz w:val="18"/>
                <w:szCs w:val="18"/>
              </w:rPr>
            </w:pPr>
            <w:r w:rsidRPr="00C2475B">
              <w:rPr>
                <w:color w:val="000000"/>
                <w:sz w:val="18"/>
                <w:szCs w:val="18"/>
              </w:rPr>
              <w:t>§ 482.15(a)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62A04530" w14:textId="77777777">
            <w:pPr>
              <w:widowControl/>
              <w:autoSpaceDE/>
              <w:autoSpaceDN/>
              <w:adjustRightInd/>
              <w:jc w:val="center"/>
              <w:rPr>
                <w:szCs w:val="20"/>
              </w:rPr>
            </w:pPr>
            <w:r w:rsidRPr="003673CA">
              <w:rPr>
                <w:szCs w:val="20"/>
              </w:rPr>
              <w:t>45</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398B34DB" w14:textId="77777777">
            <w:pPr>
              <w:widowControl/>
              <w:autoSpaceDE/>
              <w:autoSpaceDN/>
              <w:adjustRightInd/>
              <w:jc w:val="center"/>
              <w:rPr>
                <w:color w:val="000000"/>
                <w:szCs w:val="20"/>
              </w:rPr>
            </w:pPr>
            <w:r w:rsidRPr="003673CA">
              <w:rPr>
                <w:color w:val="000000"/>
                <w:szCs w:val="20"/>
              </w:rPr>
              <w:t>45</w:t>
            </w:r>
          </w:p>
        </w:tc>
        <w:tc>
          <w:tcPr>
            <w:tcW w:w="1240" w:type="dxa"/>
            <w:tcBorders>
              <w:top w:val="nil"/>
              <w:left w:val="nil"/>
              <w:bottom w:val="single" w:sz="4" w:space="0" w:color="auto"/>
              <w:right w:val="single" w:sz="4" w:space="0" w:color="auto"/>
            </w:tcBorders>
            <w:vAlign w:val="bottom"/>
            <w:hideMark/>
          </w:tcPr>
          <w:p w:rsidR="004D0EA3" w:rsidRPr="003673CA" w:rsidP="004D0EA3" w14:paraId="2C77770C" w14:textId="14A5EA80">
            <w:pPr>
              <w:widowControl/>
              <w:autoSpaceDE/>
              <w:autoSpaceDN/>
              <w:adjustRightInd/>
              <w:jc w:val="center"/>
              <w:rPr>
                <w:szCs w:val="20"/>
              </w:rPr>
            </w:pPr>
            <w:r w:rsidRPr="003673CA">
              <w:rPr>
                <w:szCs w:val="20"/>
              </w:rPr>
              <w:t>34</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7E1ED7C1" w14:textId="77777777">
            <w:pPr>
              <w:widowControl/>
              <w:autoSpaceDE/>
              <w:autoSpaceDN/>
              <w:adjustRightInd/>
              <w:jc w:val="center"/>
              <w:rPr>
                <w:color w:val="000000"/>
                <w:szCs w:val="20"/>
              </w:rPr>
            </w:pPr>
            <w:r w:rsidRPr="003673CA">
              <w:rPr>
                <w:color w:val="000000"/>
                <w:szCs w:val="20"/>
              </w:rPr>
              <w:t>1,530</w:t>
            </w:r>
          </w:p>
        </w:tc>
        <w:tc>
          <w:tcPr>
            <w:tcW w:w="961" w:type="dxa"/>
            <w:tcBorders>
              <w:top w:val="nil"/>
              <w:left w:val="nil"/>
              <w:bottom w:val="single" w:sz="4" w:space="0" w:color="auto"/>
              <w:right w:val="single" w:sz="4" w:space="0" w:color="auto"/>
            </w:tcBorders>
            <w:noWrap/>
            <w:vAlign w:val="center"/>
            <w:hideMark/>
          </w:tcPr>
          <w:p w:rsidR="004D0EA3" w:rsidRPr="003673CA" w:rsidP="004D0EA3" w14:paraId="00480380"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65BAE6B1" w14:textId="77777777">
            <w:pPr>
              <w:widowControl/>
              <w:autoSpaceDE/>
              <w:autoSpaceDN/>
              <w:adjustRightInd/>
              <w:jc w:val="right"/>
              <w:rPr>
                <w:color w:val="000000"/>
                <w:szCs w:val="20"/>
              </w:rPr>
            </w:pPr>
            <w:r w:rsidRPr="003673CA">
              <w:rPr>
                <w:color w:val="000000"/>
                <w:szCs w:val="20"/>
              </w:rPr>
              <w:t>$491,130</w:t>
            </w:r>
          </w:p>
        </w:tc>
      </w:tr>
      <w:tr w14:paraId="03D43B10"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1C959008" w14:textId="027E1EF8">
            <w:pPr>
              <w:widowControl/>
              <w:autoSpaceDE/>
              <w:autoSpaceDN/>
              <w:adjustRightInd/>
              <w:jc w:val="center"/>
              <w:rPr>
                <w:color w:val="000000"/>
                <w:szCs w:val="20"/>
              </w:rPr>
            </w:pPr>
            <w:r>
              <w:rPr>
                <w:color w:val="000000"/>
                <w:szCs w:val="20"/>
              </w:rPr>
              <w:t>11</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48DBBC3A" w14:textId="02E815B6">
            <w:pPr>
              <w:widowControl/>
              <w:autoSpaceDE/>
              <w:autoSpaceDN/>
              <w:adjustRightInd/>
              <w:rPr>
                <w:color w:val="000000"/>
                <w:szCs w:val="20"/>
              </w:rPr>
            </w:pPr>
            <w:r w:rsidRPr="003673CA">
              <w:rPr>
                <w:color w:val="000000"/>
                <w:szCs w:val="20"/>
              </w:rPr>
              <w:t>ICF/IIDs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30D0DE2E" w14:textId="77777777">
            <w:pPr>
              <w:widowControl/>
              <w:autoSpaceDE/>
              <w:autoSpaceDN/>
              <w:adjustRightInd/>
              <w:rPr>
                <w:color w:val="000000"/>
                <w:sz w:val="18"/>
                <w:szCs w:val="18"/>
              </w:rPr>
            </w:pPr>
            <w:r w:rsidRPr="00C2475B">
              <w:rPr>
                <w:color w:val="000000"/>
                <w:sz w:val="18"/>
                <w:szCs w:val="18"/>
              </w:rPr>
              <w:t>§ 483.475(a)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57E84DC5" w14:textId="77777777">
            <w:pPr>
              <w:widowControl/>
              <w:autoSpaceDE/>
              <w:autoSpaceDN/>
              <w:adjustRightInd/>
              <w:jc w:val="center"/>
              <w:rPr>
                <w:szCs w:val="20"/>
              </w:rPr>
            </w:pPr>
            <w:r w:rsidRPr="003673CA">
              <w:rPr>
                <w:szCs w:val="20"/>
              </w:rPr>
              <w:t>24</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05FC6E37" w14:textId="77777777">
            <w:pPr>
              <w:widowControl/>
              <w:autoSpaceDE/>
              <w:autoSpaceDN/>
              <w:adjustRightInd/>
              <w:jc w:val="center"/>
              <w:rPr>
                <w:color w:val="000000"/>
                <w:szCs w:val="20"/>
              </w:rPr>
            </w:pPr>
            <w:r w:rsidRPr="003673CA">
              <w:rPr>
                <w:color w:val="000000"/>
                <w:szCs w:val="20"/>
              </w:rPr>
              <w:t>24</w:t>
            </w:r>
          </w:p>
        </w:tc>
        <w:tc>
          <w:tcPr>
            <w:tcW w:w="1240" w:type="dxa"/>
            <w:tcBorders>
              <w:top w:val="nil"/>
              <w:left w:val="nil"/>
              <w:bottom w:val="single" w:sz="4" w:space="0" w:color="auto"/>
              <w:right w:val="single" w:sz="4" w:space="0" w:color="auto"/>
            </w:tcBorders>
            <w:vAlign w:val="bottom"/>
            <w:hideMark/>
          </w:tcPr>
          <w:p w:rsidR="004D0EA3" w:rsidRPr="003673CA" w:rsidP="004D0EA3" w14:paraId="401CD9D2" w14:textId="3F59780E">
            <w:pPr>
              <w:widowControl/>
              <w:autoSpaceDE/>
              <w:autoSpaceDN/>
              <w:adjustRightInd/>
              <w:jc w:val="center"/>
              <w:rPr>
                <w:szCs w:val="20"/>
              </w:rPr>
            </w:pPr>
            <w:r w:rsidRPr="003673CA">
              <w:rPr>
                <w:szCs w:val="20"/>
              </w:rPr>
              <w:t>8</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2DDD1CB7" w14:textId="77777777">
            <w:pPr>
              <w:widowControl/>
              <w:autoSpaceDE/>
              <w:autoSpaceDN/>
              <w:adjustRightInd/>
              <w:jc w:val="center"/>
              <w:rPr>
                <w:color w:val="000000"/>
                <w:szCs w:val="20"/>
              </w:rPr>
            </w:pPr>
            <w:r w:rsidRPr="003673CA">
              <w:rPr>
                <w:color w:val="000000"/>
                <w:szCs w:val="20"/>
              </w:rPr>
              <w:t>192</w:t>
            </w:r>
          </w:p>
        </w:tc>
        <w:tc>
          <w:tcPr>
            <w:tcW w:w="961" w:type="dxa"/>
            <w:tcBorders>
              <w:top w:val="nil"/>
              <w:left w:val="nil"/>
              <w:bottom w:val="single" w:sz="4" w:space="0" w:color="auto"/>
              <w:right w:val="single" w:sz="4" w:space="0" w:color="auto"/>
            </w:tcBorders>
            <w:noWrap/>
            <w:vAlign w:val="center"/>
            <w:hideMark/>
          </w:tcPr>
          <w:p w:rsidR="004D0EA3" w:rsidRPr="003673CA" w:rsidP="004D0EA3" w14:paraId="16A360A4"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14BF23FC" w14:textId="77777777">
            <w:pPr>
              <w:widowControl/>
              <w:autoSpaceDE/>
              <w:autoSpaceDN/>
              <w:adjustRightInd/>
              <w:jc w:val="right"/>
              <w:rPr>
                <w:color w:val="000000"/>
                <w:szCs w:val="20"/>
              </w:rPr>
            </w:pPr>
            <w:r w:rsidRPr="003673CA">
              <w:rPr>
                <w:color w:val="000000"/>
                <w:szCs w:val="20"/>
              </w:rPr>
              <w:t>$61,632</w:t>
            </w:r>
          </w:p>
        </w:tc>
      </w:tr>
      <w:tr w14:paraId="3A9468AF"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4D0CEAA3" w14:textId="019DD4D8">
            <w:pPr>
              <w:widowControl/>
              <w:autoSpaceDE/>
              <w:autoSpaceDN/>
              <w:adjustRightInd/>
              <w:jc w:val="center"/>
              <w:rPr>
                <w:color w:val="000000"/>
                <w:szCs w:val="20"/>
              </w:rPr>
            </w:pPr>
            <w:r>
              <w:rPr>
                <w:color w:val="000000"/>
                <w:szCs w:val="20"/>
              </w:rPr>
              <w:t>12</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7FEA9758" w14:textId="30C33D21">
            <w:pPr>
              <w:widowControl/>
              <w:autoSpaceDE/>
              <w:autoSpaceDN/>
              <w:adjustRightInd/>
              <w:rPr>
                <w:color w:val="000000"/>
                <w:szCs w:val="20"/>
              </w:rPr>
            </w:pPr>
            <w:r w:rsidRPr="003673CA">
              <w:rPr>
                <w:color w:val="000000"/>
                <w:szCs w:val="20"/>
              </w:rPr>
              <w:t>OPOs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65BD168F" w14:textId="77777777">
            <w:pPr>
              <w:widowControl/>
              <w:autoSpaceDE/>
              <w:autoSpaceDN/>
              <w:adjustRightInd/>
              <w:rPr>
                <w:color w:val="000000"/>
                <w:sz w:val="18"/>
                <w:szCs w:val="22"/>
              </w:rPr>
            </w:pPr>
            <w:r w:rsidRPr="00C2475B">
              <w:rPr>
                <w:sz w:val="18"/>
                <w:szCs w:val="22"/>
              </w:rPr>
              <w:t>§ 486.360(a)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22175513" w14:textId="77777777">
            <w:pPr>
              <w:widowControl/>
              <w:autoSpaceDE/>
              <w:autoSpaceDN/>
              <w:adjustRightInd/>
              <w:jc w:val="center"/>
              <w:rPr>
                <w:szCs w:val="20"/>
              </w:rPr>
            </w:pPr>
            <w:r w:rsidRPr="003673CA">
              <w:rPr>
                <w:szCs w:val="20"/>
              </w:rPr>
              <w:t>0</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74278DAB" w14:textId="77777777">
            <w:pPr>
              <w:widowControl/>
              <w:autoSpaceDE/>
              <w:autoSpaceDN/>
              <w:adjustRightInd/>
              <w:jc w:val="center"/>
              <w:rPr>
                <w:color w:val="000000"/>
                <w:szCs w:val="20"/>
              </w:rPr>
            </w:pPr>
            <w:r w:rsidRPr="003673CA">
              <w:rPr>
                <w:color w:val="000000"/>
                <w:szCs w:val="20"/>
              </w:rPr>
              <w:t>0</w:t>
            </w:r>
          </w:p>
        </w:tc>
        <w:tc>
          <w:tcPr>
            <w:tcW w:w="1240" w:type="dxa"/>
            <w:tcBorders>
              <w:top w:val="nil"/>
              <w:left w:val="nil"/>
              <w:bottom w:val="single" w:sz="4" w:space="0" w:color="auto"/>
              <w:right w:val="single" w:sz="4" w:space="0" w:color="auto"/>
            </w:tcBorders>
            <w:vAlign w:val="bottom"/>
            <w:hideMark/>
          </w:tcPr>
          <w:p w:rsidR="004D0EA3" w:rsidRPr="003673CA" w:rsidP="004D0EA3" w14:paraId="2C72DC2C" w14:textId="380EE1D5">
            <w:pPr>
              <w:widowControl/>
              <w:autoSpaceDE/>
              <w:autoSpaceDN/>
              <w:adjustRightInd/>
              <w:jc w:val="center"/>
              <w:rPr>
                <w:color w:val="000000"/>
                <w:szCs w:val="20"/>
              </w:rPr>
            </w:pPr>
            <w:r w:rsidRPr="003673CA">
              <w:rPr>
                <w:color w:val="000000"/>
                <w:szCs w:val="20"/>
              </w:rPr>
              <w:t>10</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4D7551FC" w14:textId="77777777">
            <w:pPr>
              <w:widowControl/>
              <w:autoSpaceDE/>
              <w:autoSpaceDN/>
              <w:adjustRightInd/>
              <w:jc w:val="center"/>
              <w:rPr>
                <w:color w:val="000000"/>
                <w:szCs w:val="20"/>
              </w:rPr>
            </w:pPr>
            <w:r w:rsidRPr="003673CA">
              <w:rPr>
                <w:color w:val="000000"/>
                <w:szCs w:val="20"/>
              </w:rPr>
              <w:t>0</w:t>
            </w:r>
          </w:p>
        </w:tc>
        <w:tc>
          <w:tcPr>
            <w:tcW w:w="961" w:type="dxa"/>
            <w:tcBorders>
              <w:top w:val="nil"/>
              <w:left w:val="nil"/>
              <w:bottom w:val="single" w:sz="4" w:space="0" w:color="auto"/>
              <w:right w:val="single" w:sz="4" w:space="0" w:color="auto"/>
            </w:tcBorders>
            <w:noWrap/>
            <w:vAlign w:val="center"/>
            <w:hideMark/>
          </w:tcPr>
          <w:p w:rsidR="004D0EA3" w:rsidRPr="003673CA" w:rsidP="004D0EA3" w14:paraId="28D70DC2"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5D37A3D1" w14:textId="77777777">
            <w:pPr>
              <w:widowControl/>
              <w:autoSpaceDE/>
              <w:autoSpaceDN/>
              <w:adjustRightInd/>
              <w:jc w:val="right"/>
              <w:rPr>
                <w:color w:val="000000"/>
                <w:szCs w:val="20"/>
              </w:rPr>
            </w:pPr>
            <w:r w:rsidRPr="003673CA">
              <w:rPr>
                <w:color w:val="000000"/>
                <w:szCs w:val="20"/>
              </w:rPr>
              <w:t>$0</w:t>
            </w:r>
          </w:p>
        </w:tc>
      </w:tr>
      <w:tr w14:paraId="455C165E"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1E850A33" w14:textId="0436BF50">
            <w:pPr>
              <w:widowControl/>
              <w:autoSpaceDE/>
              <w:autoSpaceDN/>
              <w:adjustRightInd/>
              <w:jc w:val="center"/>
              <w:rPr>
                <w:color w:val="000000"/>
                <w:szCs w:val="20"/>
              </w:rPr>
            </w:pPr>
            <w:r>
              <w:rPr>
                <w:color w:val="000000"/>
                <w:szCs w:val="20"/>
              </w:rPr>
              <w:t>13</w:t>
            </w:r>
          </w:p>
        </w:tc>
        <w:tc>
          <w:tcPr>
            <w:tcW w:w="3149" w:type="dxa"/>
            <w:tcBorders>
              <w:top w:val="single" w:sz="4" w:space="0" w:color="auto"/>
              <w:left w:val="single" w:sz="4" w:space="0" w:color="auto"/>
              <w:bottom w:val="single" w:sz="4" w:space="0" w:color="auto"/>
              <w:right w:val="single" w:sz="4" w:space="0" w:color="auto"/>
            </w:tcBorders>
            <w:vAlign w:val="bottom"/>
          </w:tcPr>
          <w:p w:rsidR="004D0EA3" w:rsidRPr="003673CA" w:rsidP="004D0EA3" w14:paraId="1C0F0C1B" w14:textId="321FB23B">
            <w:pPr>
              <w:widowControl/>
              <w:autoSpaceDE/>
              <w:autoSpaceDN/>
              <w:adjustRightInd/>
              <w:rPr>
                <w:color w:val="000000"/>
                <w:szCs w:val="20"/>
              </w:rPr>
            </w:pPr>
            <w:r w:rsidRPr="003673CA">
              <w:rPr>
                <w:color w:val="000000"/>
                <w:szCs w:val="20"/>
              </w:rPr>
              <w:t xml:space="preserve"> </w:t>
            </w:r>
            <w:r w:rsidR="00EA6F92">
              <w:rPr>
                <w:color w:val="000000"/>
                <w:szCs w:val="20"/>
              </w:rPr>
              <w:t>“</w:t>
            </w:r>
            <w:r w:rsidRPr="003673CA">
              <w:rPr>
                <w:color w:val="000000"/>
                <w:szCs w:val="20"/>
              </w:rPr>
              <w:t>Organizations</w:t>
            </w:r>
            <w:r w:rsidR="00EA6F92">
              <w:rPr>
                <w:color w:val="000000"/>
                <w:szCs w:val="20"/>
              </w:rPr>
              <w:t>”</w:t>
            </w:r>
          </w:p>
        </w:tc>
        <w:tc>
          <w:tcPr>
            <w:tcW w:w="1237" w:type="dxa"/>
            <w:tcBorders>
              <w:top w:val="single" w:sz="4" w:space="0" w:color="auto"/>
              <w:left w:val="single" w:sz="4" w:space="0" w:color="auto"/>
              <w:bottom w:val="single" w:sz="4" w:space="0" w:color="auto"/>
              <w:right w:val="single" w:sz="4" w:space="0" w:color="auto"/>
            </w:tcBorders>
            <w:noWrap/>
            <w:vAlign w:val="bottom"/>
          </w:tcPr>
          <w:p w:rsidR="004D0EA3" w:rsidRPr="00C2475B" w:rsidP="004D0EA3" w14:paraId="08502FAB" w14:textId="52582A51">
            <w:pPr>
              <w:widowControl/>
              <w:autoSpaceDE/>
              <w:autoSpaceDN/>
              <w:adjustRightInd/>
              <w:rPr>
                <w:color w:val="000000"/>
                <w:sz w:val="18"/>
                <w:szCs w:val="18"/>
              </w:rPr>
            </w:pPr>
            <w:r w:rsidRPr="00C2475B">
              <w:rPr>
                <w:sz w:val="18"/>
                <w:szCs w:val="22"/>
              </w:rPr>
              <w:t>§ 485.727(a)</w:t>
            </w:r>
          </w:p>
        </w:tc>
        <w:tc>
          <w:tcPr>
            <w:tcW w:w="1381" w:type="dxa"/>
            <w:tcBorders>
              <w:top w:val="nil"/>
              <w:left w:val="nil"/>
              <w:bottom w:val="single" w:sz="4" w:space="0" w:color="auto"/>
              <w:right w:val="single" w:sz="4" w:space="0" w:color="auto"/>
            </w:tcBorders>
            <w:noWrap/>
            <w:vAlign w:val="bottom"/>
          </w:tcPr>
          <w:p w:rsidR="004D0EA3" w:rsidRPr="003673CA" w:rsidP="004D0EA3" w14:paraId="07416E05" w14:textId="1B5C3454">
            <w:pPr>
              <w:widowControl/>
              <w:autoSpaceDE/>
              <w:autoSpaceDN/>
              <w:adjustRightInd/>
              <w:jc w:val="center"/>
              <w:rPr>
                <w:szCs w:val="20"/>
              </w:rPr>
            </w:pPr>
            <w:r w:rsidRPr="003673CA">
              <w:rPr>
                <w:szCs w:val="20"/>
              </w:rPr>
              <w:t>60</w:t>
            </w:r>
          </w:p>
        </w:tc>
        <w:tc>
          <w:tcPr>
            <w:tcW w:w="1261" w:type="dxa"/>
            <w:tcBorders>
              <w:top w:val="nil"/>
              <w:left w:val="nil"/>
              <w:bottom w:val="single" w:sz="4" w:space="0" w:color="auto"/>
              <w:right w:val="single" w:sz="4" w:space="0" w:color="auto"/>
            </w:tcBorders>
            <w:noWrap/>
            <w:vAlign w:val="bottom"/>
          </w:tcPr>
          <w:p w:rsidR="004D0EA3" w:rsidRPr="003673CA" w:rsidP="004D0EA3" w14:paraId="74266073" w14:textId="3B503842">
            <w:pPr>
              <w:widowControl/>
              <w:autoSpaceDE/>
              <w:autoSpaceDN/>
              <w:adjustRightInd/>
              <w:jc w:val="center"/>
              <w:rPr>
                <w:color w:val="000000"/>
                <w:szCs w:val="20"/>
              </w:rPr>
            </w:pPr>
            <w:r w:rsidRPr="003673CA">
              <w:rPr>
                <w:color w:val="000000"/>
                <w:szCs w:val="20"/>
              </w:rPr>
              <w:t>60</w:t>
            </w:r>
          </w:p>
        </w:tc>
        <w:tc>
          <w:tcPr>
            <w:tcW w:w="1240" w:type="dxa"/>
            <w:tcBorders>
              <w:top w:val="nil"/>
              <w:left w:val="nil"/>
              <w:bottom w:val="single" w:sz="4" w:space="0" w:color="auto"/>
              <w:right w:val="single" w:sz="4" w:space="0" w:color="auto"/>
            </w:tcBorders>
            <w:vAlign w:val="bottom"/>
          </w:tcPr>
          <w:p w:rsidR="004D0EA3" w:rsidRPr="003673CA" w:rsidP="004D0EA3" w14:paraId="7F4F032D" w14:textId="0F8B093B">
            <w:pPr>
              <w:widowControl/>
              <w:autoSpaceDE/>
              <w:autoSpaceDN/>
              <w:adjustRightInd/>
              <w:jc w:val="center"/>
              <w:rPr>
                <w:szCs w:val="20"/>
              </w:rPr>
            </w:pPr>
            <w:r w:rsidRPr="003673CA">
              <w:rPr>
                <w:color w:val="000000"/>
                <w:szCs w:val="20"/>
              </w:rPr>
              <w:t>9</w:t>
            </w:r>
          </w:p>
        </w:tc>
        <w:tc>
          <w:tcPr>
            <w:tcW w:w="1170" w:type="dxa"/>
            <w:tcBorders>
              <w:top w:val="nil"/>
              <w:left w:val="nil"/>
              <w:bottom w:val="single" w:sz="4" w:space="0" w:color="auto"/>
              <w:right w:val="single" w:sz="4" w:space="0" w:color="auto"/>
            </w:tcBorders>
            <w:noWrap/>
            <w:vAlign w:val="bottom"/>
          </w:tcPr>
          <w:p w:rsidR="004D0EA3" w:rsidRPr="003673CA" w:rsidP="004D0EA3" w14:paraId="1539C8AA" w14:textId="63EDDA53">
            <w:pPr>
              <w:widowControl/>
              <w:autoSpaceDE/>
              <w:autoSpaceDN/>
              <w:adjustRightInd/>
              <w:jc w:val="center"/>
              <w:rPr>
                <w:color w:val="000000"/>
                <w:szCs w:val="20"/>
              </w:rPr>
            </w:pPr>
            <w:r w:rsidRPr="003673CA">
              <w:rPr>
                <w:color w:val="000000"/>
                <w:szCs w:val="20"/>
              </w:rPr>
              <w:t>540</w:t>
            </w:r>
          </w:p>
        </w:tc>
        <w:tc>
          <w:tcPr>
            <w:tcW w:w="961" w:type="dxa"/>
            <w:tcBorders>
              <w:top w:val="nil"/>
              <w:left w:val="nil"/>
              <w:bottom w:val="single" w:sz="4" w:space="0" w:color="auto"/>
              <w:right w:val="single" w:sz="4" w:space="0" w:color="auto"/>
            </w:tcBorders>
            <w:noWrap/>
            <w:vAlign w:val="center"/>
          </w:tcPr>
          <w:p w:rsidR="004D0EA3" w:rsidRPr="00BD0034" w:rsidP="004D0EA3" w14:paraId="64D3EA36" w14:textId="36DD7D5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tcPr>
          <w:p w:rsidR="004D0EA3" w:rsidRPr="003673CA" w:rsidP="008876AF" w14:paraId="30CD0C42" w14:textId="6A1E4E9D">
            <w:pPr>
              <w:widowControl/>
              <w:autoSpaceDE/>
              <w:autoSpaceDN/>
              <w:adjustRightInd/>
              <w:jc w:val="right"/>
              <w:rPr>
                <w:color w:val="000000"/>
                <w:szCs w:val="20"/>
              </w:rPr>
            </w:pPr>
            <w:r w:rsidRPr="003673CA">
              <w:rPr>
                <w:color w:val="000000"/>
                <w:szCs w:val="20"/>
              </w:rPr>
              <w:t>$173,340</w:t>
            </w:r>
          </w:p>
        </w:tc>
      </w:tr>
      <w:tr w14:paraId="31DD4AD8"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1D771198" w14:textId="67100E0C">
            <w:pPr>
              <w:widowControl/>
              <w:autoSpaceDE/>
              <w:autoSpaceDN/>
              <w:adjustRightInd/>
              <w:jc w:val="center"/>
              <w:rPr>
                <w:color w:val="000000"/>
                <w:szCs w:val="20"/>
              </w:rPr>
            </w:pPr>
            <w:r>
              <w:rPr>
                <w:color w:val="000000"/>
                <w:szCs w:val="20"/>
              </w:rPr>
              <w:t>14</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6A80E0A8" w14:textId="70E50829">
            <w:pPr>
              <w:widowControl/>
              <w:autoSpaceDE/>
              <w:autoSpaceDN/>
              <w:adjustRightInd/>
              <w:rPr>
                <w:color w:val="000000"/>
                <w:szCs w:val="20"/>
              </w:rPr>
            </w:pPr>
            <w:r w:rsidRPr="003673CA">
              <w:rPr>
                <w:color w:val="000000"/>
                <w:szCs w:val="20"/>
              </w:rPr>
              <w:t>PACE organizations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6D377A20" w14:textId="77777777">
            <w:pPr>
              <w:widowControl/>
              <w:autoSpaceDE/>
              <w:autoSpaceDN/>
              <w:adjustRightInd/>
              <w:rPr>
                <w:color w:val="000000"/>
                <w:sz w:val="18"/>
                <w:szCs w:val="18"/>
              </w:rPr>
            </w:pPr>
            <w:r w:rsidRPr="00C2475B">
              <w:rPr>
                <w:color w:val="000000"/>
                <w:sz w:val="18"/>
                <w:szCs w:val="18"/>
              </w:rPr>
              <w:t>§ 460.84(a)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04550973" w14:textId="77777777">
            <w:pPr>
              <w:widowControl/>
              <w:autoSpaceDE/>
              <w:autoSpaceDN/>
              <w:adjustRightInd/>
              <w:jc w:val="center"/>
              <w:rPr>
                <w:szCs w:val="20"/>
              </w:rPr>
            </w:pPr>
            <w:r w:rsidRPr="003673CA">
              <w:rPr>
                <w:szCs w:val="20"/>
              </w:rPr>
              <w:t>1</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4D5842F0" w14:textId="77777777">
            <w:pPr>
              <w:widowControl/>
              <w:autoSpaceDE/>
              <w:autoSpaceDN/>
              <w:adjustRightInd/>
              <w:jc w:val="center"/>
              <w:rPr>
                <w:color w:val="000000"/>
                <w:szCs w:val="20"/>
              </w:rPr>
            </w:pPr>
            <w:r w:rsidRPr="003673CA">
              <w:rPr>
                <w:color w:val="000000"/>
                <w:szCs w:val="20"/>
              </w:rPr>
              <w:t>1</w:t>
            </w:r>
          </w:p>
        </w:tc>
        <w:tc>
          <w:tcPr>
            <w:tcW w:w="1240" w:type="dxa"/>
            <w:tcBorders>
              <w:top w:val="nil"/>
              <w:left w:val="nil"/>
              <w:bottom w:val="single" w:sz="4" w:space="0" w:color="auto"/>
              <w:right w:val="single" w:sz="4" w:space="0" w:color="auto"/>
            </w:tcBorders>
            <w:vAlign w:val="bottom"/>
            <w:hideMark/>
          </w:tcPr>
          <w:p w:rsidR="004D0EA3" w:rsidRPr="003673CA" w:rsidP="004D0EA3" w14:paraId="4E0CD9F0" w14:textId="5E9BFA1F">
            <w:pPr>
              <w:widowControl/>
              <w:autoSpaceDE/>
              <w:autoSpaceDN/>
              <w:adjustRightInd/>
              <w:jc w:val="center"/>
              <w:rPr>
                <w:szCs w:val="20"/>
              </w:rPr>
            </w:pPr>
            <w:r w:rsidRPr="003673CA">
              <w:rPr>
                <w:szCs w:val="20"/>
              </w:rPr>
              <w:t>14</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5E11A37A" w14:textId="77777777">
            <w:pPr>
              <w:widowControl/>
              <w:autoSpaceDE/>
              <w:autoSpaceDN/>
              <w:adjustRightInd/>
              <w:jc w:val="center"/>
              <w:rPr>
                <w:color w:val="000000"/>
                <w:szCs w:val="20"/>
              </w:rPr>
            </w:pPr>
            <w:r w:rsidRPr="003673CA">
              <w:rPr>
                <w:color w:val="000000"/>
                <w:szCs w:val="20"/>
              </w:rPr>
              <w:t>14</w:t>
            </w:r>
          </w:p>
        </w:tc>
        <w:tc>
          <w:tcPr>
            <w:tcW w:w="961" w:type="dxa"/>
            <w:tcBorders>
              <w:top w:val="nil"/>
              <w:left w:val="nil"/>
              <w:bottom w:val="single" w:sz="4" w:space="0" w:color="auto"/>
              <w:right w:val="single" w:sz="4" w:space="0" w:color="auto"/>
            </w:tcBorders>
            <w:noWrap/>
            <w:vAlign w:val="center"/>
            <w:hideMark/>
          </w:tcPr>
          <w:p w:rsidR="004D0EA3" w:rsidRPr="003673CA" w:rsidP="004D0EA3" w14:paraId="65B9709C"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16220317" w14:textId="77777777">
            <w:pPr>
              <w:widowControl/>
              <w:autoSpaceDE/>
              <w:autoSpaceDN/>
              <w:adjustRightInd/>
              <w:jc w:val="right"/>
              <w:rPr>
                <w:color w:val="000000"/>
                <w:szCs w:val="20"/>
              </w:rPr>
            </w:pPr>
            <w:r w:rsidRPr="003673CA">
              <w:rPr>
                <w:color w:val="000000"/>
                <w:szCs w:val="20"/>
              </w:rPr>
              <w:t>$4,494</w:t>
            </w:r>
          </w:p>
        </w:tc>
      </w:tr>
      <w:tr w14:paraId="071F207E"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7823FBCF" w14:textId="080DA21D">
            <w:pPr>
              <w:widowControl/>
              <w:autoSpaceDE/>
              <w:autoSpaceDN/>
              <w:adjustRightInd/>
              <w:jc w:val="center"/>
              <w:rPr>
                <w:color w:val="000000"/>
                <w:szCs w:val="20"/>
              </w:rPr>
            </w:pPr>
            <w:r>
              <w:rPr>
                <w:color w:val="000000"/>
                <w:szCs w:val="20"/>
              </w:rPr>
              <w:t>15</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118D10DF" w14:textId="7BEAC211">
            <w:pPr>
              <w:widowControl/>
              <w:autoSpaceDE/>
              <w:autoSpaceDN/>
              <w:adjustRightInd/>
              <w:rPr>
                <w:color w:val="000000"/>
                <w:szCs w:val="20"/>
              </w:rPr>
            </w:pPr>
            <w:r w:rsidRPr="003673CA">
              <w:rPr>
                <w:color w:val="000000"/>
                <w:szCs w:val="20"/>
              </w:rPr>
              <w:t>PRTFs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6BCCEAAA" w14:textId="77777777">
            <w:pPr>
              <w:widowControl/>
              <w:autoSpaceDE/>
              <w:autoSpaceDN/>
              <w:adjustRightInd/>
              <w:rPr>
                <w:color w:val="000000"/>
                <w:sz w:val="18"/>
                <w:szCs w:val="18"/>
              </w:rPr>
            </w:pPr>
            <w:r w:rsidRPr="00C2475B">
              <w:rPr>
                <w:color w:val="000000"/>
                <w:sz w:val="18"/>
                <w:szCs w:val="18"/>
              </w:rPr>
              <w:t>§ 441.184(a)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2F5369AE" w14:textId="77777777">
            <w:pPr>
              <w:widowControl/>
              <w:autoSpaceDE/>
              <w:autoSpaceDN/>
              <w:adjustRightInd/>
              <w:jc w:val="center"/>
              <w:rPr>
                <w:szCs w:val="20"/>
              </w:rPr>
            </w:pPr>
            <w:r w:rsidRPr="003673CA">
              <w:rPr>
                <w:szCs w:val="20"/>
              </w:rPr>
              <w:t>9</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2E09FDAC" w14:textId="77777777">
            <w:pPr>
              <w:widowControl/>
              <w:autoSpaceDE/>
              <w:autoSpaceDN/>
              <w:adjustRightInd/>
              <w:jc w:val="center"/>
              <w:rPr>
                <w:color w:val="000000"/>
                <w:szCs w:val="20"/>
              </w:rPr>
            </w:pPr>
            <w:r w:rsidRPr="003673CA">
              <w:rPr>
                <w:color w:val="000000"/>
                <w:szCs w:val="20"/>
              </w:rPr>
              <w:t>9</w:t>
            </w:r>
          </w:p>
        </w:tc>
        <w:tc>
          <w:tcPr>
            <w:tcW w:w="1240" w:type="dxa"/>
            <w:tcBorders>
              <w:top w:val="nil"/>
              <w:left w:val="nil"/>
              <w:bottom w:val="single" w:sz="4" w:space="0" w:color="auto"/>
              <w:right w:val="single" w:sz="4" w:space="0" w:color="auto"/>
            </w:tcBorders>
            <w:vAlign w:val="bottom"/>
            <w:hideMark/>
          </w:tcPr>
          <w:p w:rsidR="004D0EA3" w:rsidRPr="003673CA" w:rsidP="004D0EA3" w14:paraId="50557192" w14:textId="33BEABAA">
            <w:pPr>
              <w:widowControl/>
              <w:autoSpaceDE/>
              <w:autoSpaceDN/>
              <w:adjustRightInd/>
              <w:jc w:val="center"/>
              <w:rPr>
                <w:szCs w:val="20"/>
              </w:rPr>
            </w:pPr>
            <w:r w:rsidRPr="003673CA">
              <w:rPr>
                <w:szCs w:val="20"/>
              </w:rPr>
              <w:t>8</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78F2CFD1" w14:textId="77777777">
            <w:pPr>
              <w:widowControl/>
              <w:autoSpaceDE/>
              <w:autoSpaceDN/>
              <w:adjustRightInd/>
              <w:jc w:val="center"/>
              <w:rPr>
                <w:color w:val="000000"/>
                <w:szCs w:val="20"/>
              </w:rPr>
            </w:pPr>
            <w:r w:rsidRPr="003673CA">
              <w:rPr>
                <w:color w:val="000000"/>
                <w:szCs w:val="20"/>
              </w:rPr>
              <w:t>72</w:t>
            </w:r>
          </w:p>
        </w:tc>
        <w:tc>
          <w:tcPr>
            <w:tcW w:w="961" w:type="dxa"/>
            <w:tcBorders>
              <w:top w:val="nil"/>
              <w:left w:val="nil"/>
              <w:bottom w:val="single" w:sz="4" w:space="0" w:color="auto"/>
              <w:right w:val="single" w:sz="4" w:space="0" w:color="auto"/>
            </w:tcBorders>
            <w:noWrap/>
            <w:vAlign w:val="center"/>
            <w:hideMark/>
          </w:tcPr>
          <w:p w:rsidR="004D0EA3" w:rsidRPr="003673CA" w:rsidP="004D0EA3" w14:paraId="161B86B4" w14:textId="77777777">
            <w:pPr>
              <w:widowControl/>
              <w:autoSpaceDE/>
              <w:autoSpaceDN/>
              <w:adjustRightInd/>
              <w:jc w:val="center"/>
              <w:rPr>
                <w:color w:val="000000"/>
                <w:szCs w:val="20"/>
              </w:rPr>
            </w:pPr>
            <w:r w:rsidRPr="00BD0034">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390B71F2" w14:textId="77777777">
            <w:pPr>
              <w:widowControl/>
              <w:autoSpaceDE/>
              <w:autoSpaceDN/>
              <w:adjustRightInd/>
              <w:jc w:val="right"/>
              <w:rPr>
                <w:color w:val="000000"/>
                <w:szCs w:val="20"/>
              </w:rPr>
            </w:pPr>
            <w:r w:rsidRPr="003673CA">
              <w:rPr>
                <w:color w:val="000000"/>
                <w:szCs w:val="20"/>
              </w:rPr>
              <w:t>$23,112</w:t>
            </w:r>
          </w:p>
        </w:tc>
      </w:tr>
      <w:tr w14:paraId="6286B6EE" w14:textId="77777777" w:rsidTr="00577E9B">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2D6F9945" w14:textId="508B5B73">
            <w:pPr>
              <w:widowControl/>
              <w:autoSpaceDE/>
              <w:autoSpaceDN/>
              <w:adjustRightInd/>
              <w:jc w:val="center"/>
              <w:rPr>
                <w:color w:val="000000"/>
                <w:szCs w:val="20"/>
              </w:rPr>
            </w:pPr>
            <w:r>
              <w:rPr>
                <w:color w:val="000000"/>
                <w:szCs w:val="20"/>
              </w:rPr>
              <w:t>16</w:t>
            </w:r>
          </w:p>
        </w:tc>
        <w:tc>
          <w:tcPr>
            <w:tcW w:w="3149" w:type="dxa"/>
            <w:tcBorders>
              <w:top w:val="single" w:sz="4" w:space="0" w:color="auto"/>
              <w:left w:val="single" w:sz="4" w:space="0" w:color="auto"/>
              <w:bottom w:val="single" w:sz="4" w:space="0" w:color="auto"/>
              <w:right w:val="single" w:sz="4" w:space="0" w:color="auto"/>
            </w:tcBorders>
            <w:vAlign w:val="bottom"/>
          </w:tcPr>
          <w:p w:rsidR="004D0EA3" w:rsidRPr="003673CA" w:rsidP="004D0EA3" w14:paraId="3D1E6528" w14:textId="17803B4C">
            <w:pPr>
              <w:widowControl/>
              <w:autoSpaceDE/>
              <w:autoSpaceDN/>
              <w:adjustRightInd/>
              <w:rPr>
                <w:color w:val="000000"/>
                <w:szCs w:val="20"/>
              </w:rPr>
            </w:pPr>
            <w:r w:rsidRPr="003673CA">
              <w:rPr>
                <w:color w:val="000000"/>
                <w:szCs w:val="20"/>
              </w:rPr>
              <w:t>REHs</w:t>
            </w:r>
          </w:p>
        </w:tc>
        <w:tc>
          <w:tcPr>
            <w:tcW w:w="1237" w:type="dxa"/>
            <w:tcBorders>
              <w:top w:val="single" w:sz="4" w:space="0" w:color="auto"/>
              <w:left w:val="single" w:sz="4" w:space="0" w:color="auto"/>
              <w:bottom w:val="single" w:sz="4" w:space="0" w:color="auto"/>
              <w:right w:val="single" w:sz="4" w:space="0" w:color="auto"/>
            </w:tcBorders>
            <w:noWrap/>
            <w:vAlign w:val="bottom"/>
          </w:tcPr>
          <w:p w:rsidR="004D0EA3" w:rsidRPr="003673CA" w:rsidP="004D0EA3" w14:paraId="521B7FC7" w14:textId="77777777">
            <w:pPr>
              <w:widowControl/>
              <w:autoSpaceDE/>
              <w:autoSpaceDN/>
              <w:adjustRightInd/>
              <w:rPr>
                <w:color w:val="000000"/>
                <w:szCs w:val="20"/>
              </w:rPr>
            </w:pPr>
            <w:r w:rsidRPr="003673CA">
              <w:rPr>
                <w:color w:val="000000"/>
                <w:sz w:val="18"/>
                <w:szCs w:val="18"/>
              </w:rPr>
              <w:t>§ 485.542</w:t>
            </w:r>
            <w:r w:rsidRPr="00C2475B">
              <w:rPr>
                <w:color w:val="000000"/>
                <w:sz w:val="18"/>
                <w:szCs w:val="18"/>
              </w:rPr>
              <w:t>(a)</w:t>
            </w:r>
          </w:p>
        </w:tc>
        <w:tc>
          <w:tcPr>
            <w:tcW w:w="1381" w:type="dxa"/>
            <w:tcBorders>
              <w:top w:val="nil"/>
              <w:left w:val="nil"/>
              <w:bottom w:val="single" w:sz="4" w:space="0" w:color="auto"/>
              <w:right w:val="single" w:sz="4" w:space="0" w:color="auto"/>
            </w:tcBorders>
            <w:noWrap/>
            <w:vAlign w:val="bottom"/>
          </w:tcPr>
          <w:p w:rsidR="004D0EA3" w:rsidRPr="003673CA" w:rsidP="004D0EA3" w14:paraId="0401E3BE" w14:textId="77777777">
            <w:pPr>
              <w:widowControl/>
              <w:autoSpaceDE/>
              <w:autoSpaceDN/>
              <w:adjustRightInd/>
              <w:jc w:val="center"/>
              <w:rPr>
                <w:szCs w:val="20"/>
              </w:rPr>
            </w:pPr>
            <w:r w:rsidRPr="003673CA">
              <w:rPr>
                <w:szCs w:val="20"/>
              </w:rPr>
              <w:t>19</w:t>
            </w:r>
          </w:p>
        </w:tc>
        <w:tc>
          <w:tcPr>
            <w:tcW w:w="1261" w:type="dxa"/>
            <w:tcBorders>
              <w:top w:val="nil"/>
              <w:left w:val="nil"/>
              <w:bottom w:val="single" w:sz="4" w:space="0" w:color="auto"/>
              <w:right w:val="single" w:sz="4" w:space="0" w:color="auto"/>
            </w:tcBorders>
            <w:noWrap/>
            <w:vAlign w:val="bottom"/>
          </w:tcPr>
          <w:p w:rsidR="004D0EA3" w:rsidRPr="003673CA" w:rsidP="004D0EA3" w14:paraId="578A9975" w14:textId="77777777">
            <w:pPr>
              <w:widowControl/>
              <w:autoSpaceDE/>
              <w:autoSpaceDN/>
              <w:adjustRightInd/>
              <w:jc w:val="center"/>
              <w:rPr>
                <w:color w:val="000000"/>
                <w:szCs w:val="20"/>
              </w:rPr>
            </w:pPr>
            <w:r w:rsidRPr="003673CA">
              <w:rPr>
                <w:color w:val="000000"/>
                <w:szCs w:val="20"/>
              </w:rPr>
              <w:t>19</w:t>
            </w:r>
          </w:p>
        </w:tc>
        <w:tc>
          <w:tcPr>
            <w:tcW w:w="1240" w:type="dxa"/>
            <w:tcBorders>
              <w:top w:val="nil"/>
              <w:left w:val="nil"/>
              <w:bottom w:val="single" w:sz="4" w:space="0" w:color="auto"/>
              <w:right w:val="single" w:sz="4" w:space="0" w:color="auto"/>
            </w:tcBorders>
            <w:vAlign w:val="bottom"/>
          </w:tcPr>
          <w:p w:rsidR="004D0EA3" w:rsidRPr="003673CA" w:rsidP="004D0EA3" w14:paraId="7B2E0880" w14:textId="24FE58A8">
            <w:pPr>
              <w:widowControl/>
              <w:autoSpaceDE/>
              <w:autoSpaceDN/>
              <w:adjustRightInd/>
              <w:jc w:val="center"/>
              <w:rPr>
                <w:color w:val="000000"/>
                <w:szCs w:val="20"/>
              </w:rPr>
            </w:pPr>
            <w:r w:rsidRPr="003673CA">
              <w:rPr>
                <w:color w:val="000000"/>
                <w:szCs w:val="20"/>
              </w:rPr>
              <w:t>15</w:t>
            </w:r>
          </w:p>
        </w:tc>
        <w:tc>
          <w:tcPr>
            <w:tcW w:w="1170" w:type="dxa"/>
            <w:tcBorders>
              <w:top w:val="nil"/>
              <w:left w:val="nil"/>
              <w:bottom w:val="single" w:sz="4" w:space="0" w:color="auto"/>
              <w:right w:val="single" w:sz="4" w:space="0" w:color="auto"/>
            </w:tcBorders>
            <w:noWrap/>
            <w:vAlign w:val="bottom"/>
          </w:tcPr>
          <w:p w:rsidR="004D0EA3" w:rsidRPr="003673CA" w:rsidP="004D0EA3" w14:paraId="3008FF07" w14:textId="77777777">
            <w:pPr>
              <w:widowControl/>
              <w:autoSpaceDE/>
              <w:autoSpaceDN/>
              <w:adjustRightInd/>
              <w:jc w:val="center"/>
              <w:rPr>
                <w:color w:val="000000"/>
                <w:szCs w:val="20"/>
              </w:rPr>
            </w:pPr>
            <w:r w:rsidRPr="003673CA">
              <w:rPr>
                <w:color w:val="000000"/>
                <w:szCs w:val="20"/>
              </w:rPr>
              <w:t>285</w:t>
            </w:r>
          </w:p>
        </w:tc>
        <w:tc>
          <w:tcPr>
            <w:tcW w:w="961" w:type="dxa"/>
            <w:tcBorders>
              <w:top w:val="nil"/>
              <w:left w:val="nil"/>
              <w:bottom w:val="single" w:sz="4" w:space="0" w:color="auto"/>
              <w:right w:val="single" w:sz="4" w:space="0" w:color="auto"/>
            </w:tcBorders>
            <w:noWrap/>
            <w:vAlign w:val="center"/>
          </w:tcPr>
          <w:p w:rsidR="004D0EA3" w:rsidRPr="00B12F91" w:rsidP="004D0EA3" w14:paraId="642C7201"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tcPr>
          <w:p w:rsidR="004D0EA3" w:rsidRPr="003673CA" w:rsidP="008876AF" w14:paraId="181E6EA0" w14:textId="77777777">
            <w:pPr>
              <w:widowControl/>
              <w:autoSpaceDE/>
              <w:autoSpaceDN/>
              <w:adjustRightInd/>
              <w:jc w:val="right"/>
              <w:rPr>
                <w:color w:val="000000"/>
                <w:szCs w:val="20"/>
              </w:rPr>
            </w:pPr>
            <w:r w:rsidRPr="003673CA">
              <w:rPr>
                <w:color w:val="000000"/>
                <w:szCs w:val="20"/>
              </w:rPr>
              <w:t>$91,485</w:t>
            </w:r>
          </w:p>
        </w:tc>
      </w:tr>
      <w:tr w14:paraId="63A77944" w14:textId="77777777" w:rsidTr="00F03863">
        <w:tblPrEx>
          <w:tblW w:w="12137" w:type="dxa"/>
          <w:tblInd w:w="445" w:type="dxa"/>
          <w:tblLook w:val="04A0"/>
        </w:tblPrEx>
        <w:trPr>
          <w:trHeight w:val="318"/>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1736F629" w14:textId="2DA4D659">
            <w:pPr>
              <w:widowControl/>
              <w:autoSpaceDE/>
              <w:autoSpaceDN/>
              <w:adjustRightInd/>
              <w:jc w:val="center"/>
              <w:rPr>
                <w:color w:val="000000"/>
                <w:szCs w:val="20"/>
              </w:rPr>
            </w:pPr>
            <w:r>
              <w:rPr>
                <w:color w:val="000000"/>
                <w:szCs w:val="20"/>
              </w:rPr>
              <w:t>17</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6524BB40" w14:textId="2D57AA8F">
            <w:pPr>
              <w:widowControl/>
              <w:autoSpaceDE/>
              <w:autoSpaceDN/>
              <w:adjustRightInd/>
              <w:rPr>
                <w:color w:val="000000"/>
                <w:szCs w:val="20"/>
              </w:rPr>
            </w:pPr>
            <w:r w:rsidRPr="003673CA">
              <w:rPr>
                <w:color w:val="000000"/>
                <w:szCs w:val="20"/>
              </w:rPr>
              <w:t>RHCs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4D306A94" w14:textId="77777777">
            <w:pPr>
              <w:widowControl/>
              <w:autoSpaceDE/>
              <w:autoSpaceDN/>
              <w:adjustRightInd/>
              <w:rPr>
                <w:color w:val="000000"/>
                <w:sz w:val="18"/>
                <w:szCs w:val="22"/>
              </w:rPr>
            </w:pPr>
            <w:r w:rsidRPr="00C2475B">
              <w:rPr>
                <w:sz w:val="18"/>
                <w:szCs w:val="22"/>
              </w:rPr>
              <w:t>§ 491.12(a)</w:t>
            </w:r>
          </w:p>
        </w:tc>
        <w:tc>
          <w:tcPr>
            <w:tcW w:w="1381" w:type="dxa"/>
            <w:tcBorders>
              <w:top w:val="nil"/>
              <w:left w:val="nil"/>
              <w:bottom w:val="single" w:sz="4" w:space="0" w:color="auto"/>
              <w:right w:val="single" w:sz="4" w:space="0" w:color="auto"/>
            </w:tcBorders>
            <w:noWrap/>
            <w:vAlign w:val="bottom"/>
            <w:hideMark/>
          </w:tcPr>
          <w:p w:rsidR="004D0EA3" w:rsidRPr="003673CA" w:rsidP="004D0EA3" w14:paraId="557591EC" w14:textId="77777777">
            <w:pPr>
              <w:widowControl/>
              <w:autoSpaceDE/>
              <w:autoSpaceDN/>
              <w:adjustRightInd/>
              <w:jc w:val="center"/>
              <w:rPr>
                <w:szCs w:val="20"/>
              </w:rPr>
            </w:pPr>
            <w:r w:rsidRPr="003673CA">
              <w:rPr>
                <w:szCs w:val="20"/>
              </w:rPr>
              <w:t>339</w:t>
            </w:r>
          </w:p>
        </w:tc>
        <w:tc>
          <w:tcPr>
            <w:tcW w:w="1261" w:type="dxa"/>
            <w:tcBorders>
              <w:top w:val="nil"/>
              <w:left w:val="nil"/>
              <w:bottom w:val="single" w:sz="4" w:space="0" w:color="auto"/>
              <w:right w:val="single" w:sz="4" w:space="0" w:color="auto"/>
            </w:tcBorders>
            <w:noWrap/>
            <w:vAlign w:val="bottom"/>
            <w:hideMark/>
          </w:tcPr>
          <w:p w:rsidR="004D0EA3" w:rsidRPr="003673CA" w:rsidP="004D0EA3" w14:paraId="1A6BE2A1" w14:textId="77777777">
            <w:pPr>
              <w:widowControl/>
              <w:autoSpaceDE/>
              <w:autoSpaceDN/>
              <w:adjustRightInd/>
              <w:jc w:val="center"/>
              <w:rPr>
                <w:color w:val="000000"/>
                <w:szCs w:val="20"/>
              </w:rPr>
            </w:pPr>
            <w:r w:rsidRPr="003673CA">
              <w:rPr>
                <w:color w:val="000000"/>
                <w:szCs w:val="20"/>
              </w:rPr>
              <w:t>339</w:t>
            </w:r>
          </w:p>
        </w:tc>
        <w:tc>
          <w:tcPr>
            <w:tcW w:w="1240" w:type="dxa"/>
            <w:tcBorders>
              <w:top w:val="nil"/>
              <w:left w:val="nil"/>
              <w:bottom w:val="single" w:sz="4" w:space="0" w:color="auto"/>
              <w:right w:val="single" w:sz="4" w:space="0" w:color="auto"/>
            </w:tcBorders>
            <w:vAlign w:val="bottom"/>
            <w:hideMark/>
          </w:tcPr>
          <w:p w:rsidR="004D0EA3" w:rsidRPr="003673CA" w:rsidP="004D0EA3" w14:paraId="37E1F070" w14:textId="2496685F">
            <w:pPr>
              <w:widowControl/>
              <w:autoSpaceDE/>
              <w:autoSpaceDN/>
              <w:adjustRightInd/>
              <w:jc w:val="center"/>
              <w:rPr>
                <w:color w:val="000000"/>
                <w:szCs w:val="20"/>
              </w:rPr>
            </w:pPr>
            <w:r w:rsidRPr="003673CA">
              <w:rPr>
                <w:color w:val="000000"/>
                <w:szCs w:val="20"/>
              </w:rPr>
              <w:t>10</w:t>
            </w:r>
          </w:p>
        </w:tc>
        <w:tc>
          <w:tcPr>
            <w:tcW w:w="1170" w:type="dxa"/>
            <w:tcBorders>
              <w:top w:val="nil"/>
              <w:left w:val="nil"/>
              <w:bottom w:val="single" w:sz="4" w:space="0" w:color="auto"/>
              <w:right w:val="single" w:sz="4" w:space="0" w:color="auto"/>
            </w:tcBorders>
            <w:noWrap/>
            <w:vAlign w:val="bottom"/>
            <w:hideMark/>
          </w:tcPr>
          <w:p w:rsidR="004D0EA3" w:rsidRPr="003673CA" w:rsidP="004D0EA3" w14:paraId="71D1CA22" w14:textId="77777777">
            <w:pPr>
              <w:widowControl/>
              <w:autoSpaceDE/>
              <w:autoSpaceDN/>
              <w:adjustRightInd/>
              <w:jc w:val="center"/>
              <w:rPr>
                <w:color w:val="000000"/>
                <w:szCs w:val="20"/>
              </w:rPr>
            </w:pPr>
            <w:r w:rsidRPr="003673CA">
              <w:rPr>
                <w:color w:val="000000"/>
                <w:szCs w:val="20"/>
              </w:rPr>
              <w:t>3,390</w:t>
            </w:r>
          </w:p>
        </w:tc>
        <w:tc>
          <w:tcPr>
            <w:tcW w:w="961" w:type="dxa"/>
            <w:tcBorders>
              <w:top w:val="nil"/>
              <w:left w:val="nil"/>
              <w:bottom w:val="single" w:sz="4" w:space="0" w:color="auto"/>
              <w:right w:val="single" w:sz="4" w:space="0" w:color="auto"/>
            </w:tcBorders>
            <w:noWrap/>
            <w:vAlign w:val="center"/>
            <w:hideMark/>
          </w:tcPr>
          <w:p w:rsidR="004D0EA3" w:rsidRPr="003673CA" w:rsidP="004D0EA3" w14:paraId="18446534" w14:textId="77777777">
            <w:pPr>
              <w:widowControl/>
              <w:autoSpaceDE/>
              <w:autoSpaceDN/>
              <w:adjustRightInd/>
              <w:jc w:val="center"/>
              <w:rPr>
                <w:color w:val="000000"/>
                <w:szCs w:val="20"/>
              </w:rPr>
            </w:pPr>
            <w:r w:rsidRPr="00B12F91">
              <w:rPr>
                <w:color w:val="000000"/>
                <w:szCs w:val="20"/>
              </w:rPr>
              <w:t>*</w:t>
            </w:r>
            <w:r>
              <w:rPr>
                <w:color w:val="000000"/>
                <w:szCs w:val="20"/>
              </w:rPr>
              <w:t>*</w:t>
            </w:r>
          </w:p>
        </w:tc>
        <w:tc>
          <w:tcPr>
            <w:tcW w:w="1199" w:type="dxa"/>
            <w:tcBorders>
              <w:top w:val="nil"/>
              <w:left w:val="nil"/>
              <w:bottom w:val="single" w:sz="4" w:space="0" w:color="auto"/>
              <w:right w:val="single" w:sz="4" w:space="0" w:color="auto"/>
            </w:tcBorders>
            <w:noWrap/>
            <w:vAlign w:val="bottom"/>
            <w:hideMark/>
          </w:tcPr>
          <w:p w:rsidR="004D0EA3" w:rsidRPr="003673CA" w:rsidP="008876AF" w14:paraId="12EB3045" w14:textId="77777777">
            <w:pPr>
              <w:widowControl/>
              <w:autoSpaceDE/>
              <w:autoSpaceDN/>
              <w:adjustRightInd/>
              <w:jc w:val="right"/>
              <w:rPr>
                <w:color w:val="000000"/>
                <w:szCs w:val="20"/>
              </w:rPr>
            </w:pPr>
            <w:r w:rsidRPr="003673CA">
              <w:rPr>
                <w:color w:val="000000"/>
                <w:szCs w:val="20"/>
              </w:rPr>
              <w:t>$1,088,190</w:t>
            </w:r>
          </w:p>
        </w:tc>
      </w:tr>
      <w:tr w14:paraId="1289CD35" w14:textId="77777777" w:rsidTr="00F03863">
        <w:tblPrEx>
          <w:tblW w:w="12137" w:type="dxa"/>
          <w:tblInd w:w="445" w:type="dxa"/>
          <w:tblLook w:val="04A0"/>
        </w:tblPrEx>
        <w:trPr>
          <w:trHeight w:val="312"/>
        </w:trPr>
        <w:tc>
          <w:tcPr>
            <w:tcW w:w="539" w:type="dxa"/>
            <w:tcBorders>
              <w:top w:val="single" w:sz="4" w:space="0" w:color="auto"/>
              <w:left w:val="single" w:sz="4" w:space="0" w:color="auto"/>
              <w:bottom w:val="single" w:sz="4" w:space="0" w:color="auto"/>
              <w:right w:val="single" w:sz="4" w:space="0" w:color="auto"/>
            </w:tcBorders>
            <w:vAlign w:val="center"/>
          </w:tcPr>
          <w:p w:rsidR="004D0EA3" w:rsidRPr="003673CA" w:rsidP="004D0EA3" w14:paraId="15EAFF20" w14:textId="53EF891E">
            <w:pPr>
              <w:widowControl/>
              <w:autoSpaceDE/>
              <w:autoSpaceDN/>
              <w:adjustRightInd/>
              <w:jc w:val="center"/>
              <w:rPr>
                <w:color w:val="000000"/>
                <w:szCs w:val="20"/>
              </w:rPr>
            </w:pPr>
            <w:r>
              <w:rPr>
                <w:color w:val="000000"/>
                <w:szCs w:val="20"/>
              </w:rPr>
              <w:t>18</w:t>
            </w:r>
          </w:p>
        </w:tc>
        <w:tc>
          <w:tcPr>
            <w:tcW w:w="3149"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2AE41A5E" w14:textId="328E3DF0">
            <w:pPr>
              <w:widowControl/>
              <w:autoSpaceDE/>
              <w:autoSpaceDN/>
              <w:adjustRightInd/>
              <w:rPr>
                <w:color w:val="000000"/>
                <w:szCs w:val="20"/>
              </w:rPr>
            </w:pPr>
            <w:r w:rsidRPr="003673CA">
              <w:rPr>
                <w:color w:val="000000"/>
                <w:szCs w:val="20"/>
              </w:rPr>
              <w:t>RNHCIs</w:t>
            </w:r>
          </w:p>
        </w:tc>
        <w:tc>
          <w:tcPr>
            <w:tcW w:w="1237"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0BD45ADF" w14:textId="77777777">
            <w:pPr>
              <w:widowControl/>
              <w:autoSpaceDE/>
              <w:autoSpaceDN/>
              <w:adjustRightInd/>
              <w:rPr>
                <w:color w:val="000000"/>
                <w:sz w:val="18"/>
                <w:szCs w:val="18"/>
              </w:rPr>
            </w:pPr>
            <w:r w:rsidRPr="00C2475B">
              <w:rPr>
                <w:color w:val="000000"/>
                <w:sz w:val="18"/>
                <w:szCs w:val="18"/>
              </w:rPr>
              <w:t>§ 403.748(a)</w:t>
            </w:r>
          </w:p>
        </w:tc>
        <w:tc>
          <w:tcPr>
            <w:tcW w:w="1381"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6CAEE4DE" w14:textId="77777777">
            <w:pPr>
              <w:widowControl/>
              <w:autoSpaceDE/>
              <w:autoSpaceDN/>
              <w:adjustRightInd/>
              <w:jc w:val="center"/>
              <w:rPr>
                <w:szCs w:val="20"/>
              </w:rPr>
            </w:pPr>
            <w:r w:rsidRPr="003673CA">
              <w:rPr>
                <w:szCs w:val="20"/>
              </w:rPr>
              <w:t>0</w:t>
            </w:r>
          </w:p>
        </w:tc>
        <w:tc>
          <w:tcPr>
            <w:tcW w:w="1261"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0C8EF9E9" w14:textId="77777777">
            <w:pPr>
              <w:widowControl/>
              <w:autoSpaceDE/>
              <w:autoSpaceDN/>
              <w:adjustRightInd/>
              <w:jc w:val="center"/>
              <w:rPr>
                <w:color w:val="000000"/>
                <w:szCs w:val="20"/>
              </w:rPr>
            </w:pPr>
            <w:r w:rsidRPr="003673CA">
              <w:rPr>
                <w:color w:val="000000"/>
                <w:szCs w:val="20"/>
              </w:rPr>
              <w:t>0</w:t>
            </w:r>
          </w:p>
        </w:tc>
        <w:tc>
          <w:tcPr>
            <w:tcW w:w="1240" w:type="dxa"/>
            <w:tcBorders>
              <w:top w:val="single" w:sz="4" w:space="0" w:color="auto"/>
              <w:left w:val="single" w:sz="4" w:space="0" w:color="auto"/>
              <w:bottom w:val="single" w:sz="4" w:space="0" w:color="auto"/>
              <w:right w:val="single" w:sz="4" w:space="0" w:color="auto"/>
            </w:tcBorders>
            <w:vAlign w:val="bottom"/>
            <w:hideMark/>
          </w:tcPr>
          <w:p w:rsidR="004D0EA3" w:rsidRPr="003673CA" w:rsidP="004D0EA3" w14:paraId="64160A6D" w14:textId="2687412D">
            <w:pPr>
              <w:widowControl/>
              <w:autoSpaceDE/>
              <w:autoSpaceDN/>
              <w:adjustRightInd/>
              <w:jc w:val="center"/>
              <w:rPr>
                <w:szCs w:val="20"/>
              </w:rPr>
            </w:pPr>
            <w:r w:rsidRPr="003673CA">
              <w:rPr>
                <w:szCs w:val="20"/>
              </w:rPr>
              <w:t>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4D0EA3" w14:paraId="3C9AECF0" w14:textId="77777777">
            <w:pPr>
              <w:widowControl/>
              <w:autoSpaceDE/>
              <w:autoSpaceDN/>
              <w:adjustRightInd/>
              <w:jc w:val="center"/>
              <w:rPr>
                <w:color w:val="000000"/>
                <w:szCs w:val="20"/>
              </w:rPr>
            </w:pPr>
            <w:r w:rsidRPr="003673CA">
              <w:rPr>
                <w:color w:val="000000"/>
                <w:szCs w:val="20"/>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4D0EA3" w:rsidRPr="003673CA" w:rsidP="004D0EA3" w14:paraId="1E8077E6" w14:textId="77777777">
            <w:pPr>
              <w:widowControl/>
              <w:autoSpaceDE/>
              <w:autoSpaceDN/>
              <w:adjustRightInd/>
              <w:jc w:val="center"/>
              <w:rPr>
                <w:color w:val="000000"/>
                <w:szCs w:val="20"/>
              </w:rPr>
            </w:pPr>
            <w:r>
              <w:rPr>
                <w:color w:val="000000"/>
                <w:szCs w:val="20"/>
              </w:rPr>
              <w:t>**</w:t>
            </w:r>
          </w:p>
        </w:tc>
        <w:tc>
          <w:tcPr>
            <w:tcW w:w="1199" w:type="dxa"/>
            <w:tcBorders>
              <w:top w:val="single" w:sz="4" w:space="0" w:color="auto"/>
              <w:left w:val="single" w:sz="4" w:space="0" w:color="auto"/>
              <w:bottom w:val="single" w:sz="4" w:space="0" w:color="auto"/>
              <w:right w:val="single" w:sz="4" w:space="0" w:color="auto"/>
            </w:tcBorders>
            <w:noWrap/>
            <w:vAlign w:val="bottom"/>
            <w:hideMark/>
          </w:tcPr>
          <w:p w:rsidR="004D0EA3" w:rsidRPr="003673CA" w:rsidP="008876AF" w14:paraId="41847BAF" w14:textId="77777777">
            <w:pPr>
              <w:widowControl/>
              <w:autoSpaceDE/>
              <w:autoSpaceDN/>
              <w:adjustRightInd/>
              <w:jc w:val="right"/>
              <w:rPr>
                <w:color w:val="000000"/>
                <w:szCs w:val="20"/>
              </w:rPr>
            </w:pPr>
            <w:r w:rsidRPr="003673CA">
              <w:rPr>
                <w:color w:val="000000"/>
                <w:szCs w:val="20"/>
              </w:rPr>
              <w:t>$0</w:t>
            </w:r>
          </w:p>
        </w:tc>
      </w:tr>
      <w:tr w14:paraId="1979D045" w14:textId="77777777" w:rsidTr="00F03863">
        <w:tblPrEx>
          <w:tblW w:w="12137" w:type="dxa"/>
          <w:tblInd w:w="445" w:type="dxa"/>
          <w:tblLook w:val="04A0"/>
        </w:tblPrEx>
        <w:trPr>
          <w:trHeight w:val="312"/>
        </w:trPr>
        <w:tc>
          <w:tcPr>
            <w:tcW w:w="492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F03863" w:rsidRPr="00C2475B" w:rsidP="00F03863" w14:paraId="6D9E7E14" w14:textId="2F4C3AFA">
            <w:pPr>
              <w:widowControl/>
              <w:autoSpaceDE/>
              <w:autoSpaceDN/>
              <w:adjustRightInd/>
              <w:jc w:val="right"/>
              <w:rPr>
                <w:color w:val="000000"/>
                <w:sz w:val="18"/>
                <w:szCs w:val="18"/>
              </w:rPr>
            </w:pPr>
            <w:r w:rsidRPr="000D5FCE">
              <w:rPr>
                <w:b/>
                <w:bCs/>
                <w:color w:val="000000"/>
                <w:szCs w:val="20"/>
              </w:rPr>
              <w:t>Total Annual Burden/Costs</w:t>
            </w:r>
          </w:p>
        </w:tc>
        <w:tc>
          <w:tcPr>
            <w:tcW w:w="13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3673CA" w:rsidP="00F03863" w14:paraId="7457C9BD" w14:textId="60426F00">
            <w:pPr>
              <w:widowControl/>
              <w:autoSpaceDE/>
              <w:autoSpaceDN/>
              <w:adjustRightInd/>
              <w:jc w:val="center"/>
              <w:rPr>
                <w:szCs w:val="20"/>
              </w:rPr>
            </w:pPr>
            <w:r w:rsidRPr="000D5FCE">
              <w:rPr>
                <w:b/>
                <w:bCs/>
              </w:rPr>
              <w:t>2,606</w:t>
            </w:r>
          </w:p>
        </w:tc>
        <w:tc>
          <w:tcPr>
            <w:tcW w:w="126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3673CA" w:rsidP="00F03863" w14:paraId="66E34DF8" w14:textId="6FA94C4E">
            <w:pPr>
              <w:widowControl/>
              <w:autoSpaceDE/>
              <w:autoSpaceDN/>
              <w:adjustRightInd/>
              <w:jc w:val="center"/>
              <w:rPr>
                <w:color w:val="000000"/>
                <w:szCs w:val="20"/>
              </w:rPr>
            </w:pPr>
            <w:r w:rsidRPr="000D5FCE">
              <w:rPr>
                <w:b/>
                <w:bCs/>
              </w:rPr>
              <w:t>2,606</w:t>
            </w:r>
          </w:p>
        </w:tc>
        <w:tc>
          <w:tcPr>
            <w:tcW w:w="124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F03863" w:rsidRPr="003673CA" w:rsidP="00F03863" w14:paraId="39331C1B" w14:textId="4CE14F76">
            <w:pPr>
              <w:widowControl/>
              <w:autoSpaceDE/>
              <w:autoSpaceDN/>
              <w:adjustRightInd/>
              <w:jc w:val="center"/>
              <w:rPr>
                <w:szCs w:val="20"/>
              </w:rPr>
            </w:pPr>
            <w:r w:rsidRPr="000D5FCE">
              <w:rPr>
                <w:b/>
                <w:bCs/>
              </w:rPr>
              <w:t>208</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3673CA" w:rsidP="00F03863" w14:paraId="78C9F8B1" w14:textId="7AB236E8">
            <w:pPr>
              <w:widowControl/>
              <w:autoSpaceDE/>
              <w:autoSpaceDN/>
              <w:adjustRightInd/>
              <w:jc w:val="center"/>
              <w:rPr>
                <w:color w:val="000000"/>
                <w:szCs w:val="20"/>
              </w:rPr>
            </w:pPr>
            <w:r w:rsidRPr="000D5FCE">
              <w:rPr>
                <w:b/>
                <w:bCs/>
              </w:rPr>
              <w:t>24,848</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P="00F03863" w14:paraId="7756AA0A" w14:textId="21F168B4">
            <w:pPr>
              <w:widowControl/>
              <w:autoSpaceDE/>
              <w:autoSpaceDN/>
              <w:adjustRightInd/>
              <w:jc w:val="center"/>
              <w:rPr>
                <w:color w:val="000000"/>
                <w:szCs w:val="20"/>
              </w:rPr>
            </w:pPr>
            <w:r w:rsidRPr="000D5FCE">
              <w:rPr>
                <w:b/>
                <w:bCs/>
              </w:rPr>
              <w:t>n/a</w:t>
            </w:r>
          </w:p>
        </w:tc>
        <w:tc>
          <w:tcPr>
            <w:tcW w:w="119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3673CA" w:rsidP="00F03863" w14:paraId="52C638B1" w14:textId="454A9622">
            <w:pPr>
              <w:widowControl/>
              <w:autoSpaceDE/>
              <w:autoSpaceDN/>
              <w:adjustRightInd/>
              <w:jc w:val="right"/>
              <w:rPr>
                <w:color w:val="000000"/>
                <w:szCs w:val="20"/>
              </w:rPr>
            </w:pPr>
            <w:r w:rsidRPr="000D5FCE">
              <w:rPr>
                <w:b/>
                <w:bCs/>
              </w:rPr>
              <w:t>$7,976,208</w:t>
            </w:r>
          </w:p>
        </w:tc>
      </w:tr>
    </w:tbl>
    <w:p w:rsidR="00EA6F92" w:rsidP="00EA6F92" w14:paraId="4B7552E6" w14:textId="3A1EC01C">
      <w:pPr>
        <w:ind w:left="720"/>
      </w:pPr>
      <w:r w:rsidRPr="00A46CC0">
        <w:rPr>
          <w:szCs w:val="20"/>
        </w:rPr>
        <w:t xml:space="preserve">* </w:t>
      </w:r>
      <w:r w:rsidRPr="00490905">
        <w:rPr>
          <w:szCs w:val="20"/>
        </w:rPr>
        <w:t xml:space="preserve">Based on </w:t>
      </w:r>
      <w:hyperlink r:id="rId10" w:history="1">
        <w:r w:rsidRPr="00490905">
          <w:rPr>
            <w:rStyle w:val="Hyperlink"/>
            <w:szCs w:val="20"/>
          </w:rPr>
          <w:t>2016 Final Rule</w:t>
        </w:r>
      </w:hyperlink>
    </w:p>
    <w:p w:rsidR="0054205D" w:rsidP="00EA6F92" w14:paraId="10631ECE" w14:textId="77777777">
      <w:pPr>
        <w:widowControl/>
        <w:autoSpaceDE/>
        <w:autoSpaceDN/>
        <w:adjustRightInd/>
        <w:ind w:left="720"/>
        <w:rPr>
          <w:szCs w:val="20"/>
        </w:rPr>
      </w:pPr>
      <w:r w:rsidRPr="00490905">
        <w:rPr>
          <w:szCs w:val="20"/>
        </w:rPr>
        <w:t>** The hourly labor cost is blended between the wages for multiple staffing levels.</w:t>
      </w:r>
      <w:r w:rsidRPr="00490905">
        <w:rPr>
          <w:szCs w:val="20"/>
        </w:rPr>
        <w:t xml:space="preserve"> </w:t>
      </w:r>
    </w:p>
    <w:p w:rsidR="00C54E16" w:rsidRPr="00EA6F92" w:rsidP="00EA6F92" w14:paraId="71EAA824" w14:textId="0476B377">
      <w:pPr>
        <w:widowControl/>
        <w:autoSpaceDE/>
        <w:autoSpaceDN/>
        <w:adjustRightInd/>
        <w:ind w:left="720"/>
        <w:rPr>
          <w:szCs w:val="20"/>
        </w:rPr>
        <w:sectPr w:rsidSect="0054205D">
          <w:footerReference w:type="default" r:id="rId15"/>
          <w:endnotePr>
            <w:numFmt w:val="decimal"/>
          </w:endnotePr>
          <w:pgSz w:w="15840" w:h="12240" w:orient="landscape"/>
          <w:pgMar w:top="1440" w:right="1440" w:bottom="1440" w:left="1440" w:header="1440" w:footer="1440" w:gutter="0"/>
          <w:cols w:space="720"/>
          <w:noEndnote/>
          <w:docGrid w:linePitch="272"/>
        </w:sectPr>
      </w:pPr>
    </w:p>
    <w:p w:rsidR="00821ECC" w:rsidRPr="007E1B2C" w:rsidP="00431554" w14:paraId="4A7244BE" w14:textId="55A9DD4D">
      <w:pPr>
        <w:pStyle w:val="Heading5"/>
      </w:pPr>
      <w:r w:rsidRPr="007E1B2C">
        <w:t>IC-</w:t>
      </w:r>
      <w:r w:rsidRPr="007E1B2C" w:rsidR="005C5DE3">
        <w:t>1b</w:t>
      </w:r>
      <w:r w:rsidRPr="007E1B2C">
        <w:t>: Develop Emergency Preparedness Plan</w:t>
      </w:r>
    </w:p>
    <w:p w:rsidR="00290E79" w:rsidP="00122DAE" w14:paraId="561C5D8F" w14:textId="351E9B9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requirement to develop an </w:t>
      </w:r>
      <w:r w:rsidR="005C5DE3">
        <w:rPr>
          <w:sz w:val="24"/>
        </w:rPr>
        <w:t xml:space="preserve">Emergency Preparedness plan </w:t>
      </w:r>
      <w:r>
        <w:rPr>
          <w:sz w:val="24"/>
        </w:rPr>
        <w:t>is</w:t>
      </w:r>
      <w:r w:rsidR="005C5DE3">
        <w:rPr>
          <w:sz w:val="24"/>
        </w:rPr>
        <w:t xml:space="preserve"> applicable to the following providers: </w:t>
      </w:r>
      <w:r w:rsidRPr="008A1272">
        <w:rPr>
          <w:sz w:val="24"/>
        </w:rPr>
        <w:t xml:space="preserve">RNHCIs at </w:t>
      </w:r>
      <w:r w:rsidRPr="008A1272">
        <w:rPr>
          <w:sz w:val="24"/>
          <w:u w:val="single"/>
        </w:rPr>
        <w:t xml:space="preserve">§403.748(a); ASCs at §416.54(a); Hospices at §418.113(a); PRTFs at §441.184(a); PACE at §460.84(a);  Hospitals at §482.15(a); Transplant Programs §482.78(a); ICF/IIDs at §483.475(a); HHAs at §484.102(a); REHs at §485.542(a); CAHs at §485.625(a); CORFs at §485.68(a); </w:t>
      </w:r>
      <w:r w:rsidR="00E87ED7">
        <w:rPr>
          <w:sz w:val="24"/>
          <w:u w:val="single"/>
        </w:rPr>
        <w:t>“</w:t>
      </w:r>
      <w:r w:rsidR="00492423">
        <w:rPr>
          <w:sz w:val="24"/>
          <w:u w:val="single"/>
        </w:rPr>
        <w:t>O</w:t>
      </w:r>
      <w:r w:rsidR="00E87ED7">
        <w:rPr>
          <w:sz w:val="24"/>
          <w:u w:val="single"/>
        </w:rPr>
        <w:t>rganizations”</w:t>
      </w:r>
      <w:r w:rsidRPr="008A1272">
        <w:rPr>
          <w:sz w:val="24"/>
          <w:u w:val="single"/>
        </w:rPr>
        <w:t xml:space="preserve"> at §485.727(a); CMHCs at §485.920(a); OPOs at §486.360(a); RHCs/FQHCs at §491.12(a); ESRD facilities at §494.62(a).</w:t>
      </w:r>
      <w:r w:rsidRPr="005C5DE3">
        <w:rPr>
          <w:sz w:val="24"/>
        </w:rPr>
        <w:t xml:space="preserve"> </w:t>
      </w:r>
    </w:p>
    <w:p w:rsidR="00290E79" w:rsidP="00122DAE" w14:paraId="0E8D40B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12F1C" w:rsidP="00122DAE" w14:paraId="50ED2F01" w14:textId="265F5EF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65DB9A0B">
        <w:rPr>
          <w:sz w:val="24"/>
        </w:rPr>
        <w:t xml:space="preserve">After conducting the risk assessment, newly certified facilities must develop an emergency preparedness plan or update their existing preparedness plan to be in compliance with the Emergency Preparedness </w:t>
      </w:r>
      <w:r w:rsidRPr="65DB9A0B">
        <w:rPr>
          <w:sz w:val="24"/>
        </w:rPr>
        <w:t>CoP.</w:t>
      </w:r>
      <w:r w:rsidRPr="65DB9A0B">
        <w:rPr>
          <w:sz w:val="24"/>
        </w:rPr>
        <w:t xml:space="preserve"> </w:t>
      </w:r>
      <w:bookmarkStart w:id="0" w:name="_Hlk187421273"/>
      <w:r w:rsidRPr="65DB9A0B">
        <w:rPr>
          <w:sz w:val="24"/>
        </w:rPr>
        <w:t xml:space="preserve">The development of an emergency preparedness plan requires individual expertise, identifying mitigation options to problems, and documenting policies and procedures to </w:t>
      </w:r>
      <w:r w:rsidRPr="65DB9A0B" w:rsidR="00C00C32">
        <w:rPr>
          <w:sz w:val="24"/>
        </w:rPr>
        <w:t>mitigate</w:t>
      </w:r>
      <w:r w:rsidRPr="65DB9A0B">
        <w:rPr>
          <w:sz w:val="24"/>
        </w:rPr>
        <w:t xml:space="preserve"> potential challenges that may arise depending on the identified hazards in their risk assessment. We continue to anticipate that completing an emergency preparedness plan will </w:t>
      </w:r>
      <w:r w:rsidRPr="65DB9A0B" w:rsidR="00BE3F14">
        <w:rPr>
          <w:sz w:val="24"/>
        </w:rPr>
        <w:t>take</w:t>
      </w:r>
      <w:r w:rsidRPr="65DB9A0B">
        <w:rPr>
          <w:sz w:val="24"/>
        </w:rPr>
        <w:t xml:space="preserve"> more time than conducting a risk assessment as the plan must be tailored to each facility’s specific, identified hazards. </w:t>
      </w:r>
    </w:p>
    <w:p w:rsidR="00E752B8" w:rsidP="00122DAE" w14:paraId="3DCC0FA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752B8" w:rsidP="00E752B8" w14:paraId="73649AF1" w14:textId="38DA34D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A5C2E">
        <w:rPr>
          <w:sz w:val="24"/>
          <w:szCs w:val="32"/>
        </w:rPr>
        <w:t xml:space="preserve">Per </w:t>
      </w:r>
      <w:r w:rsidRPr="001A5C2E">
        <w:rPr>
          <w:bCs/>
          <w:sz w:val="24"/>
        </w:rPr>
        <w:t xml:space="preserve">the </w:t>
      </w:r>
      <w:hyperlink r:id="rId10" w:history="1">
        <w:r w:rsidRPr="001A5C2E">
          <w:rPr>
            <w:rStyle w:val="Hyperlink"/>
            <w:sz w:val="24"/>
          </w:rPr>
          <w:t>2016 Final Rule</w:t>
        </w:r>
      </w:hyperlink>
      <w:r w:rsidRPr="001A5C2E">
        <w:rPr>
          <w:sz w:val="24"/>
          <w:szCs w:val="32"/>
        </w:rPr>
        <w:t xml:space="preserve">, </w:t>
      </w:r>
      <w:r>
        <w:rPr>
          <w:sz w:val="24"/>
          <w:szCs w:val="32"/>
        </w:rPr>
        <w:t>the emergency preparedness plan</w:t>
      </w:r>
      <w:r w:rsidRPr="001A5C2E">
        <w:rPr>
          <w:sz w:val="24"/>
          <w:szCs w:val="32"/>
        </w:rPr>
        <w:t xml:space="preserve"> </w:t>
      </w:r>
      <w:r>
        <w:rPr>
          <w:sz w:val="24"/>
          <w:szCs w:val="32"/>
        </w:rPr>
        <w:t xml:space="preserve">initially developed by </w:t>
      </w:r>
      <w:r w:rsidRPr="001A5C2E">
        <w:rPr>
          <w:sz w:val="24"/>
          <w:szCs w:val="32"/>
        </w:rPr>
        <w:t>TJC-accredited ASCs, CAHs, and hospitals me</w:t>
      </w:r>
      <w:r>
        <w:rPr>
          <w:sz w:val="24"/>
          <w:szCs w:val="32"/>
        </w:rPr>
        <w:t>e</w:t>
      </w:r>
      <w:r w:rsidRPr="001A5C2E">
        <w:rPr>
          <w:sz w:val="24"/>
          <w:szCs w:val="32"/>
        </w:rPr>
        <w:t xml:space="preserve">t the required standards of this CoP, and thus the burden for this CoP is seen as usual and customary practice for these providers. These providers are not included in the burden analysis below because they are exempt from the PRA under </w:t>
      </w:r>
      <w:r w:rsidRPr="001A5C2E">
        <w:rPr>
          <w:sz w:val="24"/>
        </w:rPr>
        <w:t xml:space="preserve">CFR §1320.3(b)(2). </w:t>
      </w:r>
      <w:r>
        <w:rPr>
          <w:sz w:val="24"/>
        </w:rPr>
        <w:t xml:space="preserve">However, the TJC-accredited HHAs are not exempt from the PRA and are included in the burden analysis below. </w:t>
      </w:r>
      <w:r w:rsidRPr="001A5C2E">
        <w:rPr>
          <w:sz w:val="24"/>
        </w:rPr>
        <w:t xml:space="preserve">In addition, the burden for </w:t>
      </w:r>
      <w:r>
        <w:rPr>
          <w:sz w:val="24"/>
          <w:szCs w:val="32"/>
        </w:rPr>
        <w:t>the initial development of the emergency preparedness plan</w:t>
      </w:r>
      <w:r w:rsidRPr="001A5C2E">
        <w:rPr>
          <w:sz w:val="24"/>
          <w:szCs w:val="32"/>
        </w:rPr>
        <w:t xml:space="preserve"> </w:t>
      </w:r>
      <w:r w:rsidRPr="001A5C2E">
        <w:rPr>
          <w:sz w:val="24"/>
        </w:rPr>
        <w:t>is different for inpatient v. outpatient hospices.</w:t>
      </w:r>
      <w:r>
        <w:rPr>
          <w:rStyle w:val="FootnoteReference"/>
          <w:sz w:val="24"/>
          <w:vertAlign w:val="superscript"/>
        </w:rPr>
        <w:footnoteReference w:id="6"/>
      </w:r>
      <w:r w:rsidRPr="001A5C2E">
        <w:rPr>
          <w:sz w:val="24"/>
          <w:vertAlign w:val="superscript"/>
        </w:rPr>
        <w:t xml:space="preserve"> </w:t>
      </w:r>
      <w:r w:rsidRPr="001A5C2E">
        <w:rPr>
          <w:sz w:val="24"/>
        </w:rPr>
        <w:t xml:space="preserve">  </w:t>
      </w:r>
    </w:p>
    <w:p w:rsidR="00E752B8" w:rsidRPr="008241F6" w:rsidP="00122DAE" w14:paraId="7D223E6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bookmarkEnd w:id="0"/>
    <w:p w:rsidR="002A333C" w:rsidP="00122DAE" w14:paraId="6167F43B" w14:textId="3CE4990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For</w:t>
      </w:r>
      <w:r w:rsidR="005115B5">
        <w:rPr>
          <w:sz w:val="24"/>
        </w:rPr>
        <w:t xml:space="preserve"> every</w:t>
      </w:r>
      <w:r>
        <w:rPr>
          <w:sz w:val="24"/>
        </w:rPr>
        <w:t xml:space="preserve"> new Medicare certified </w:t>
      </w:r>
      <w:r w:rsidR="005115B5">
        <w:rPr>
          <w:sz w:val="24"/>
        </w:rPr>
        <w:t>provider that is not exempt from this information collection</w:t>
      </w:r>
      <w:r>
        <w:rPr>
          <w:sz w:val="24"/>
        </w:rPr>
        <w:t>, w</w:t>
      </w:r>
      <w:r w:rsidRPr="00026C64">
        <w:rPr>
          <w:sz w:val="24"/>
        </w:rPr>
        <w:t>e estimate that a</w:t>
      </w:r>
      <w:r>
        <w:rPr>
          <w:sz w:val="24"/>
        </w:rPr>
        <w:t xml:space="preserve">n </w:t>
      </w:r>
      <w:r w:rsidRPr="00026C64">
        <w:rPr>
          <w:sz w:val="24"/>
        </w:rPr>
        <w:t xml:space="preserve">Administrator </w:t>
      </w:r>
      <w:r>
        <w:rPr>
          <w:sz w:val="24"/>
        </w:rPr>
        <w:t>(</w:t>
      </w:r>
      <w:r w:rsidRPr="002A333C">
        <w:rPr>
          <w:sz w:val="24"/>
        </w:rPr>
        <w:t>Medical and Health Services Manager</w:t>
      </w:r>
      <w:r>
        <w:rPr>
          <w:sz w:val="24"/>
        </w:rPr>
        <w:t xml:space="preserve"> - BLS Occupation Code 11-9111) at a loaded hourly rate of $129, a Registered Nurse (BLS Occupation Code 29-1141) at a loaded hourly rate of $91 and a Facility Director (</w:t>
      </w:r>
      <w:r w:rsidRPr="002A333C">
        <w:rPr>
          <w:sz w:val="24"/>
        </w:rPr>
        <w:t>Administrative Services &amp; Facilities Manager</w:t>
      </w:r>
      <w:r>
        <w:rPr>
          <w:sz w:val="24"/>
        </w:rPr>
        <w:t xml:space="preserve"> – BLS Occupation Code 11-3010) </w:t>
      </w:r>
      <w:r w:rsidRPr="00026C64">
        <w:rPr>
          <w:sz w:val="24"/>
        </w:rPr>
        <w:t xml:space="preserve">at </w:t>
      </w:r>
      <w:r>
        <w:rPr>
          <w:sz w:val="24"/>
        </w:rPr>
        <w:t>a loaded hourly rate of $101</w:t>
      </w:r>
      <w:r w:rsidR="000938A3">
        <w:rPr>
          <w:sz w:val="24"/>
        </w:rPr>
        <w:t>,</w:t>
      </w:r>
      <w:r w:rsidRPr="00026C64">
        <w:rPr>
          <w:sz w:val="24"/>
        </w:rPr>
        <w:t xml:space="preserve"> would </w:t>
      </w:r>
      <w:r w:rsidR="000938A3">
        <w:rPr>
          <w:sz w:val="24"/>
        </w:rPr>
        <w:t xml:space="preserve">all </w:t>
      </w:r>
      <w:r w:rsidRPr="00026C64">
        <w:rPr>
          <w:sz w:val="24"/>
        </w:rPr>
        <w:t xml:space="preserve">be responsible for </w:t>
      </w:r>
      <w:r>
        <w:rPr>
          <w:sz w:val="24"/>
        </w:rPr>
        <w:t>the initial development of</w:t>
      </w:r>
      <w:r w:rsidRPr="00026C64">
        <w:rPr>
          <w:sz w:val="24"/>
        </w:rPr>
        <w:t xml:space="preserve"> the emergency </w:t>
      </w:r>
      <w:r>
        <w:rPr>
          <w:sz w:val="24"/>
        </w:rPr>
        <w:t xml:space="preserve">preparedness </w:t>
      </w:r>
      <w:r w:rsidRPr="00026C64">
        <w:rPr>
          <w:sz w:val="24"/>
        </w:rPr>
        <w:t>plan</w:t>
      </w:r>
      <w:r>
        <w:rPr>
          <w:sz w:val="24"/>
        </w:rPr>
        <w:t xml:space="preserve">. </w:t>
      </w:r>
    </w:p>
    <w:p w:rsidR="00CA2A0B" w:rsidP="00122DAE" w14:paraId="47E23A7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C5DE3" w:rsidP="00122DAE" w14:paraId="3EFEE09D" w14:textId="137B1C1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3 below lays out the one-time burden hours and cost for newly certified </w:t>
      </w:r>
      <w:r w:rsidR="00B949D1">
        <w:rPr>
          <w:sz w:val="24"/>
        </w:rPr>
        <w:t>providers</w:t>
      </w:r>
      <w:r>
        <w:rPr>
          <w:sz w:val="24"/>
        </w:rPr>
        <w:t xml:space="preserve"> – </w:t>
      </w:r>
      <w:r w:rsidR="00B949D1">
        <w:rPr>
          <w:sz w:val="24"/>
        </w:rPr>
        <w:t>who</w:t>
      </w:r>
      <w:r>
        <w:rPr>
          <w:sz w:val="24"/>
        </w:rPr>
        <w:t xml:space="preserve"> are not already subject to this requirement due to their accreditation - to develop of</w:t>
      </w:r>
      <w:r w:rsidRPr="00026C64">
        <w:rPr>
          <w:sz w:val="24"/>
        </w:rPr>
        <w:t xml:space="preserve"> the </w:t>
      </w:r>
      <w:r>
        <w:rPr>
          <w:sz w:val="24"/>
        </w:rPr>
        <w:t xml:space="preserve">required </w:t>
      </w:r>
      <w:r w:rsidRPr="00026C64">
        <w:rPr>
          <w:sz w:val="24"/>
        </w:rPr>
        <w:t xml:space="preserve">emergency </w:t>
      </w:r>
      <w:r>
        <w:rPr>
          <w:sz w:val="24"/>
        </w:rPr>
        <w:t xml:space="preserve">preparedness </w:t>
      </w:r>
      <w:r w:rsidRPr="00026C64">
        <w:rPr>
          <w:sz w:val="24"/>
        </w:rPr>
        <w:t>plan</w:t>
      </w:r>
      <w:r>
        <w:rPr>
          <w:sz w:val="24"/>
        </w:rPr>
        <w:t>.</w:t>
      </w:r>
      <w:r w:rsidRPr="000938A3" w:rsidR="000938A3">
        <w:t xml:space="preserve"> </w:t>
      </w:r>
      <w:r w:rsidRPr="000938A3" w:rsidR="000938A3">
        <w:rPr>
          <w:sz w:val="24"/>
        </w:rPr>
        <w:t>We estimate the total collection of information burden impacting the 2,6</w:t>
      </w:r>
      <w:r w:rsidR="000938A3">
        <w:rPr>
          <w:sz w:val="24"/>
        </w:rPr>
        <w:t>33</w:t>
      </w:r>
      <w:r w:rsidRPr="000938A3" w:rsidR="000938A3">
        <w:rPr>
          <w:sz w:val="24"/>
        </w:rPr>
        <w:t xml:space="preserve"> newly certified</w:t>
      </w:r>
      <w:r w:rsidR="005115B5">
        <w:rPr>
          <w:sz w:val="24"/>
        </w:rPr>
        <w:t>, non-exempt</w:t>
      </w:r>
      <w:r w:rsidRPr="000938A3" w:rsidR="000938A3">
        <w:rPr>
          <w:sz w:val="24"/>
        </w:rPr>
        <w:t xml:space="preserve"> providers and suppliers is</w:t>
      </w:r>
      <w:r w:rsidR="00F10300">
        <w:rPr>
          <w:sz w:val="24"/>
        </w:rPr>
        <w:t xml:space="preserve"> </w:t>
      </w:r>
      <w:r w:rsidRPr="000D5FCE" w:rsidR="00F10300">
        <w:rPr>
          <w:sz w:val="24"/>
        </w:rPr>
        <w:t>37,89</w:t>
      </w:r>
      <w:r w:rsidR="000A0171">
        <w:rPr>
          <w:sz w:val="24"/>
        </w:rPr>
        <w:t>8</w:t>
      </w:r>
      <w:r w:rsidR="000D5FCE">
        <w:rPr>
          <w:sz w:val="24"/>
        </w:rPr>
        <w:t xml:space="preserve"> </w:t>
      </w:r>
      <w:r w:rsidRPr="000D5FCE" w:rsidR="000938A3">
        <w:rPr>
          <w:sz w:val="24"/>
        </w:rPr>
        <w:t xml:space="preserve">burden hours at an annual cost of </w:t>
      </w:r>
      <w:r w:rsidRPr="000D5FCE" w:rsidR="00914449">
        <w:rPr>
          <w:sz w:val="24"/>
        </w:rPr>
        <w:t>$</w:t>
      </w:r>
      <w:r w:rsidRPr="000D5FCE" w:rsidR="00F10300">
        <w:rPr>
          <w:sz w:val="24"/>
        </w:rPr>
        <w:t>12,165,258</w:t>
      </w:r>
      <w:r w:rsidRPr="000D5FCE" w:rsidR="00914449">
        <w:rPr>
          <w:sz w:val="24"/>
        </w:rPr>
        <w:t>, see Table 3.</w:t>
      </w:r>
    </w:p>
    <w:p w:rsidR="00CA2A0B" w:rsidP="005C5DE3" w14:paraId="0DC6075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F0AC5" w:rsidP="005D3EDE" w14:paraId="0502B0D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Cs w:val="20"/>
        </w:rPr>
        <w:sectPr w:rsidSect="00730469">
          <w:endnotePr>
            <w:numFmt w:val="decimal"/>
          </w:endnotePr>
          <w:pgSz w:w="12240" w:h="15840"/>
          <w:pgMar w:top="1440" w:right="1440" w:bottom="1440" w:left="1440" w:header="1440" w:footer="720" w:gutter="0"/>
          <w:cols w:space="720"/>
          <w:noEndnote/>
          <w:docGrid w:linePitch="272"/>
        </w:sectPr>
      </w:pPr>
    </w:p>
    <w:p w:rsidR="00821ECC" w:rsidRPr="007E1B2C" w:rsidP="00431554" w14:paraId="0D66A845" w14:textId="42514B5C">
      <w:pPr>
        <w:pStyle w:val="Heading6"/>
      </w:pPr>
      <w:r w:rsidRPr="007E1B2C">
        <w:t>Table</w:t>
      </w:r>
      <w:r w:rsidRPr="007E1B2C" w:rsidR="00410AB1">
        <w:t xml:space="preserve"> 3 </w:t>
      </w:r>
      <w:r w:rsidRPr="007E1B2C" w:rsidR="00910C42">
        <w:t xml:space="preserve">- IC-1b </w:t>
      </w:r>
      <w:r w:rsidRPr="007E1B2C" w:rsidR="00410AB1">
        <w:t xml:space="preserve">- </w:t>
      </w:r>
      <w:r w:rsidRPr="007E1B2C">
        <w:t xml:space="preserve">Burden Hours and Cost Estimates for </w:t>
      </w:r>
      <w:r w:rsidRPr="007E1B2C" w:rsidR="000A6DB5">
        <w:t xml:space="preserve">Newly Certified Facilities </w:t>
      </w:r>
      <w:r w:rsidRPr="007E1B2C">
        <w:t>to Develop Emergency Preparedness Plan</w:t>
      </w:r>
    </w:p>
    <w:tbl>
      <w:tblPr>
        <w:tblW w:w="12150" w:type="dxa"/>
        <w:tblInd w:w="445" w:type="dxa"/>
        <w:tblLayout w:type="fixed"/>
        <w:tblLook w:val="04A0"/>
      </w:tblPr>
      <w:tblGrid>
        <w:gridCol w:w="630"/>
        <w:gridCol w:w="2970"/>
        <w:gridCol w:w="1170"/>
        <w:gridCol w:w="1440"/>
        <w:gridCol w:w="1170"/>
        <w:gridCol w:w="1170"/>
        <w:gridCol w:w="1170"/>
        <w:gridCol w:w="1080"/>
        <w:gridCol w:w="1350"/>
      </w:tblGrid>
      <w:tr w14:paraId="060F28B2" w14:textId="77777777" w:rsidTr="00577E9B">
        <w:tblPrEx>
          <w:tblW w:w="12150" w:type="dxa"/>
          <w:tblInd w:w="445" w:type="dxa"/>
          <w:tblLayout w:type="fixed"/>
          <w:tblLook w:val="04A0"/>
        </w:tblPrEx>
        <w:trPr>
          <w:trHeight w:val="1205"/>
        </w:trPr>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D5F" w:rsidP="005D3EDE" w14:paraId="6E01A9AB" w14:textId="77777777">
            <w:pPr>
              <w:widowControl/>
              <w:autoSpaceDE/>
              <w:autoSpaceDN/>
              <w:adjustRightInd/>
              <w:jc w:val="center"/>
              <w:rPr>
                <w:b/>
                <w:bCs/>
                <w:color w:val="000000"/>
                <w:szCs w:val="20"/>
              </w:rPr>
            </w:pPr>
          </w:p>
          <w:p w:rsidR="004A3D5F" w:rsidP="005D3EDE" w14:paraId="0353A9CF" w14:textId="77777777">
            <w:pPr>
              <w:widowControl/>
              <w:autoSpaceDE/>
              <w:autoSpaceDN/>
              <w:adjustRightInd/>
              <w:jc w:val="center"/>
              <w:rPr>
                <w:b/>
                <w:bCs/>
                <w:color w:val="000000"/>
                <w:szCs w:val="20"/>
              </w:rPr>
            </w:pPr>
          </w:p>
          <w:p w:rsidR="004A3D5F" w:rsidP="005D3EDE" w14:paraId="37BA4D75" w14:textId="77777777">
            <w:pPr>
              <w:widowControl/>
              <w:autoSpaceDE/>
              <w:autoSpaceDN/>
              <w:adjustRightInd/>
              <w:jc w:val="center"/>
              <w:rPr>
                <w:b/>
                <w:bCs/>
                <w:color w:val="000000"/>
                <w:szCs w:val="20"/>
              </w:rPr>
            </w:pPr>
          </w:p>
          <w:p w:rsidR="004A3D5F" w:rsidRPr="005D3EDE" w:rsidP="005D3EDE" w14:paraId="6292F635" w14:textId="6A4A1952">
            <w:pPr>
              <w:widowControl/>
              <w:autoSpaceDE/>
              <w:autoSpaceDN/>
              <w:adjustRightInd/>
              <w:jc w:val="center"/>
              <w:rPr>
                <w:b/>
                <w:bCs/>
                <w:color w:val="000000"/>
                <w:szCs w:val="20"/>
              </w:rPr>
            </w:pPr>
            <w:r>
              <w:rPr>
                <w:b/>
                <w:bCs/>
                <w:color w:val="000000"/>
                <w:szCs w:val="20"/>
              </w:rPr>
              <w:t>No.</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A3D5F" w:rsidRPr="005D3EDE" w:rsidP="005D3EDE" w14:paraId="5E6F2058" w14:textId="4F329535">
            <w:pPr>
              <w:widowControl/>
              <w:autoSpaceDE/>
              <w:autoSpaceDN/>
              <w:adjustRightInd/>
              <w:jc w:val="center"/>
              <w:rPr>
                <w:b/>
                <w:bCs/>
                <w:color w:val="000000"/>
                <w:szCs w:val="20"/>
              </w:rPr>
            </w:pPr>
            <w:r w:rsidRPr="005D3EDE">
              <w:rPr>
                <w:b/>
                <w:bCs/>
                <w:color w:val="000000"/>
                <w:szCs w:val="20"/>
              </w:rPr>
              <w:t>Provider or Supplier Type </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A3D5F" w:rsidP="00FE183A" w14:paraId="5DA43A49" w14:textId="77777777">
            <w:pPr>
              <w:widowControl/>
              <w:autoSpaceDE/>
              <w:autoSpaceDN/>
              <w:adjustRightInd/>
              <w:jc w:val="center"/>
              <w:rPr>
                <w:b/>
                <w:bCs/>
                <w:szCs w:val="20"/>
              </w:rPr>
            </w:pPr>
            <w:r>
              <w:rPr>
                <w:b/>
                <w:bCs/>
                <w:szCs w:val="20"/>
              </w:rPr>
              <w:t>42</w:t>
            </w:r>
          </w:p>
          <w:p w:rsidR="004A3D5F" w:rsidRPr="005D3EDE" w:rsidP="00FE183A" w14:paraId="6838A59C" w14:textId="005CF7A3">
            <w:pPr>
              <w:widowControl/>
              <w:autoSpaceDE/>
              <w:autoSpaceDN/>
              <w:adjustRightInd/>
              <w:jc w:val="center"/>
              <w:rPr>
                <w:b/>
                <w:bCs/>
                <w:szCs w:val="20"/>
              </w:rPr>
            </w:pPr>
            <w:r w:rsidRPr="00DA22C6">
              <w:rPr>
                <w:b/>
                <w:bCs/>
                <w:szCs w:val="20"/>
              </w:rPr>
              <w:t>CFR</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C3039C" w:rsidRPr="00C3039C" w:rsidP="000B3C4F" w14:paraId="7138FA85" w14:textId="67A95A1B">
            <w:pPr>
              <w:widowControl/>
              <w:autoSpaceDE/>
              <w:autoSpaceDN/>
              <w:adjustRightInd/>
              <w:jc w:val="center"/>
              <w:rPr>
                <w:b/>
                <w:bCs/>
                <w:szCs w:val="20"/>
              </w:rPr>
            </w:pPr>
            <w:r w:rsidRPr="005D3EDE">
              <w:rPr>
                <w:b/>
                <w:bCs/>
                <w:szCs w:val="20"/>
              </w:rPr>
              <w:t>Newly Certified Facilities/</w:t>
            </w:r>
            <w:r w:rsidR="00C00C32">
              <w:rPr>
                <w:b/>
                <w:bCs/>
                <w:szCs w:val="20"/>
              </w:rPr>
              <w:t xml:space="preserve"> </w:t>
            </w:r>
            <w:r w:rsidRPr="005D3EDE">
              <w:rPr>
                <w:b/>
                <w:bCs/>
                <w:szCs w:val="20"/>
              </w:rPr>
              <w:t># of Respondents</w:t>
            </w:r>
          </w:p>
          <w:p w:rsidR="004A3D5F" w:rsidRPr="005D3EDE" w:rsidP="00C3039C" w14:paraId="6036431D" w14:textId="58EFF63C">
            <w:pPr>
              <w:jc w:val="center"/>
              <w:rPr>
                <w:b/>
                <w:bCs/>
                <w:szCs w:val="20"/>
              </w:rPr>
            </w:pPr>
            <w:r w:rsidRPr="00817665">
              <w:rPr>
                <w:szCs w:val="20"/>
              </w:rPr>
              <w:t>(a)</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C3039C" w:rsidP="00C3039C" w14:paraId="495973D0" w14:textId="77777777">
            <w:pPr>
              <w:jc w:val="center"/>
              <w:rPr>
                <w:b/>
                <w:bCs/>
                <w:szCs w:val="20"/>
              </w:rPr>
            </w:pPr>
            <w:r w:rsidRPr="005D3EDE">
              <w:rPr>
                <w:b/>
                <w:bCs/>
                <w:szCs w:val="20"/>
              </w:rPr>
              <w:t># of Responses</w:t>
            </w:r>
          </w:p>
          <w:p w:rsidR="00C3039C" w:rsidP="00C3039C" w14:paraId="28682825" w14:textId="77777777">
            <w:pPr>
              <w:rPr>
                <w:b/>
                <w:bCs/>
                <w:szCs w:val="20"/>
              </w:rPr>
            </w:pPr>
          </w:p>
          <w:p w:rsidR="00C3039C" w:rsidP="00C3039C" w14:paraId="65E58CEE" w14:textId="77777777">
            <w:pPr>
              <w:rPr>
                <w:b/>
                <w:bCs/>
                <w:szCs w:val="20"/>
              </w:rPr>
            </w:pPr>
          </w:p>
          <w:p w:rsidR="004A3D5F" w:rsidRPr="005D3EDE" w:rsidP="00C3039C" w14:paraId="1CB98987" w14:textId="0814FE30">
            <w:pPr>
              <w:rPr>
                <w:b/>
                <w:bCs/>
                <w:szCs w:val="20"/>
              </w:rPr>
            </w:pPr>
            <w:r w:rsidRPr="00817665">
              <w:rPr>
                <w:szCs w:val="20"/>
              </w:rPr>
              <w:t>(b = a x 1)</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A3D5F" w:rsidP="005D3EDE" w14:paraId="20832947" w14:textId="77777777">
            <w:pPr>
              <w:widowControl/>
              <w:autoSpaceDE/>
              <w:autoSpaceDN/>
              <w:adjustRightInd/>
              <w:jc w:val="center"/>
              <w:rPr>
                <w:b/>
                <w:bCs/>
                <w:szCs w:val="20"/>
              </w:rPr>
            </w:pPr>
          </w:p>
          <w:p w:rsidR="004A3D5F" w:rsidP="005D3EDE" w14:paraId="0F9F2932" w14:textId="5A1631D9">
            <w:pPr>
              <w:widowControl/>
              <w:autoSpaceDE/>
              <w:autoSpaceDN/>
              <w:adjustRightInd/>
              <w:jc w:val="center"/>
              <w:rPr>
                <w:b/>
                <w:bCs/>
                <w:szCs w:val="20"/>
              </w:rPr>
            </w:pPr>
            <w:r w:rsidRPr="005D3EDE">
              <w:rPr>
                <w:b/>
                <w:bCs/>
                <w:szCs w:val="20"/>
              </w:rPr>
              <w:t xml:space="preserve">Burden </w:t>
            </w:r>
            <w:r w:rsidRPr="005D3EDE">
              <w:rPr>
                <w:b/>
                <w:bCs/>
                <w:szCs w:val="20"/>
              </w:rPr>
              <w:t>Hrs</w:t>
            </w:r>
            <w:r w:rsidRPr="005D3EDE">
              <w:rPr>
                <w:b/>
                <w:bCs/>
                <w:szCs w:val="20"/>
              </w:rPr>
              <w:t xml:space="preserve"> Per Response</w:t>
            </w:r>
          </w:p>
          <w:p w:rsidR="004A3D5F" w:rsidRPr="005D3EDE" w:rsidP="00C3039C" w14:paraId="44229F44" w14:textId="74715CA7">
            <w:pPr>
              <w:widowControl/>
              <w:autoSpaceDE/>
              <w:autoSpaceDN/>
              <w:adjustRightInd/>
              <w:jc w:val="center"/>
              <w:rPr>
                <w:b/>
                <w:bCs/>
                <w:szCs w:val="20"/>
              </w:rPr>
            </w:pPr>
            <w:r w:rsidRPr="00817B25">
              <w:rPr>
                <w:b/>
                <w:bCs/>
                <w:sz w:val="22"/>
                <w:szCs w:val="22"/>
                <w:vertAlign w:val="superscript"/>
              </w:rPr>
              <w:t>*</w:t>
            </w:r>
          </w:p>
          <w:p w:rsidR="004A3D5F" w:rsidRPr="005D3EDE" w:rsidP="005D3EDE" w14:paraId="14DDB94B" w14:textId="5BFC82A8">
            <w:pPr>
              <w:jc w:val="center"/>
              <w:rPr>
                <w:b/>
                <w:bCs/>
                <w:szCs w:val="20"/>
              </w:rPr>
            </w:pPr>
            <w:r w:rsidRPr="00817665">
              <w:rPr>
                <w:szCs w:val="20"/>
              </w:rPr>
              <w:t xml:space="preserve">(c) </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A3D5F" w:rsidP="005D3EDE" w14:paraId="4E884FC5" w14:textId="77777777">
            <w:pPr>
              <w:widowControl/>
              <w:autoSpaceDE/>
              <w:autoSpaceDN/>
              <w:adjustRightInd/>
              <w:jc w:val="center"/>
              <w:rPr>
                <w:b/>
                <w:bCs/>
                <w:szCs w:val="20"/>
              </w:rPr>
            </w:pPr>
          </w:p>
          <w:p w:rsidR="000D5FCE" w:rsidRPr="00C3039C" w:rsidP="00C3039C" w14:paraId="616148C3" w14:textId="1A518A32">
            <w:pPr>
              <w:widowControl/>
              <w:autoSpaceDE/>
              <w:autoSpaceDN/>
              <w:adjustRightInd/>
              <w:jc w:val="center"/>
              <w:rPr>
                <w:b/>
                <w:bCs/>
                <w:szCs w:val="20"/>
              </w:rPr>
            </w:pPr>
            <w:r w:rsidRPr="005D3EDE">
              <w:rPr>
                <w:b/>
                <w:bCs/>
                <w:szCs w:val="20"/>
              </w:rPr>
              <w:t>Total Burden Hours</w:t>
            </w:r>
          </w:p>
          <w:p w:rsidR="000D5FCE" w:rsidP="000D5FCE" w14:paraId="261D8AB4" w14:textId="77777777">
            <w:pPr>
              <w:rPr>
                <w:szCs w:val="20"/>
              </w:rPr>
            </w:pPr>
          </w:p>
          <w:p w:rsidR="004A3D5F" w:rsidRPr="005D3EDE" w:rsidP="005D3EDE" w14:paraId="191A1D08" w14:textId="4B30510A">
            <w:pPr>
              <w:jc w:val="center"/>
              <w:rPr>
                <w:b/>
                <w:bCs/>
                <w:szCs w:val="20"/>
              </w:rPr>
            </w:pPr>
            <w:r w:rsidRPr="00817665">
              <w:rPr>
                <w:szCs w:val="20"/>
              </w:rPr>
              <w:t>(d = b x c)</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A3D5F" w:rsidP="005D3EDE" w14:paraId="1D5FCEB8" w14:textId="77777777">
            <w:pPr>
              <w:widowControl/>
              <w:autoSpaceDE/>
              <w:autoSpaceDN/>
              <w:adjustRightInd/>
              <w:jc w:val="center"/>
              <w:rPr>
                <w:b/>
                <w:bCs/>
                <w:szCs w:val="20"/>
              </w:rPr>
            </w:pPr>
          </w:p>
          <w:p w:rsidR="004A3D5F" w:rsidP="005D3EDE" w14:paraId="0895E0B4" w14:textId="79B2A603">
            <w:pPr>
              <w:widowControl/>
              <w:autoSpaceDE/>
              <w:autoSpaceDN/>
              <w:adjustRightInd/>
              <w:jc w:val="center"/>
              <w:rPr>
                <w:b/>
                <w:bCs/>
                <w:szCs w:val="20"/>
              </w:rPr>
            </w:pPr>
            <w:r w:rsidRPr="005D3EDE">
              <w:rPr>
                <w:b/>
                <w:bCs/>
                <w:szCs w:val="20"/>
              </w:rPr>
              <w:t>Hourly Wage</w:t>
            </w:r>
          </w:p>
          <w:p w:rsidR="00C3039C" w:rsidP="005D3EDE" w14:paraId="367F5F06" w14:textId="77777777">
            <w:pPr>
              <w:jc w:val="center"/>
              <w:rPr>
                <w:b/>
                <w:bCs/>
                <w:szCs w:val="20"/>
              </w:rPr>
            </w:pPr>
            <w:r>
              <w:rPr>
                <w:b/>
                <w:bCs/>
                <w:szCs w:val="20"/>
              </w:rPr>
              <w:t>**</w:t>
            </w:r>
          </w:p>
          <w:p w:rsidR="00C3039C" w:rsidP="005D3EDE" w14:paraId="1205ABD5" w14:textId="77777777">
            <w:pPr>
              <w:jc w:val="center"/>
              <w:rPr>
                <w:b/>
                <w:bCs/>
                <w:szCs w:val="20"/>
              </w:rPr>
            </w:pPr>
          </w:p>
          <w:p w:rsidR="004A3D5F" w:rsidRPr="005D3EDE" w:rsidP="005D3EDE" w14:paraId="19D88AE2" w14:textId="7532BCBC">
            <w:pPr>
              <w:jc w:val="center"/>
              <w:rPr>
                <w:b/>
                <w:bCs/>
                <w:szCs w:val="20"/>
              </w:rPr>
            </w:pPr>
            <w:r w:rsidRPr="00817665">
              <w:rPr>
                <w:szCs w:val="20"/>
              </w:rPr>
              <w:t>(e)</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A3D5F" w:rsidP="005D3EDE" w14:paraId="75479C04" w14:textId="77777777">
            <w:pPr>
              <w:widowControl/>
              <w:autoSpaceDE/>
              <w:autoSpaceDN/>
              <w:adjustRightInd/>
              <w:jc w:val="center"/>
              <w:rPr>
                <w:b/>
                <w:bCs/>
                <w:szCs w:val="20"/>
              </w:rPr>
            </w:pPr>
          </w:p>
          <w:p w:rsidR="004A3D5F" w:rsidP="00C3039C" w14:paraId="13668AB7" w14:textId="0EE25FEF">
            <w:pPr>
              <w:widowControl/>
              <w:autoSpaceDE/>
              <w:autoSpaceDN/>
              <w:adjustRightInd/>
              <w:jc w:val="center"/>
              <w:rPr>
                <w:b/>
                <w:bCs/>
                <w:szCs w:val="20"/>
              </w:rPr>
            </w:pPr>
            <w:r w:rsidRPr="005D3EDE">
              <w:rPr>
                <w:b/>
                <w:bCs/>
                <w:szCs w:val="20"/>
              </w:rPr>
              <w:t>Total Cost Estimate</w:t>
            </w:r>
          </w:p>
          <w:p w:rsidR="00C3039C" w:rsidP="00C3039C" w14:paraId="6D9377A2" w14:textId="77777777">
            <w:pPr>
              <w:widowControl/>
              <w:autoSpaceDE/>
              <w:autoSpaceDN/>
              <w:adjustRightInd/>
              <w:rPr>
                <w:b/>
                <w:bCs/>
                <w:szCs w:val="20"/>
              </w:rPr>
            </w:pPr>
          </w:p>
          <w:p w:rsidR="00C3039C" w:rsidRPr="005D3EDE" w:rsidP="00C3039C" w14:paraId="5EBABE81" w14:textId="77777777">
            <w:pPr>
              <w:widowControl/>
              <w:autoSpaceDE/>
              <w:autoSpaceDN/>
              <w:adjustRightInd/>
              <w:rPr>
                <w:b/>
                <w:bCs/>
                <w:szCs w:val="20"/>
              </w:rPr>
            </w:pPr>
          </w:p>
          <w:p w:rsidR="004A3D5F" w:rsidRPr="005D3EDE" w:rsidP="005D3EDE" w14:paraId="2354C4D0" w14:textId="147824F9">
            <w:pPr>
              <w:jc w:val="center"/>
              <w:rPr>
                <w:b/>
                <w:bCs/>
                <w:szCs w:val="20"/>
              </w:rPr>
            </w:pPr>
            <w:r w:rsidRPr="00817665">
              <w:rPr>
                <w:szCs w:val="20"/>
              </w:rPr>
              <w:t>(f</w:t>
            </w:r>
            <w:r>
              <w:rPr>
                <w:szCs w:val="20"/>
              </w:rPr>
              <w:t xml:space="preserve"> </w:t>
            </w:r>
            <w:r w:rsidRPr="00817665">
              <w:rPr>
                <w:szCs w:val="20"/>
              </w:rPr>
              <w:t>= d x e )</w:t>
            </w:r>
          </w:p>
        </w:tc>
      </w:tr>
      <w:tr w14:paraId="59B77F00"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4A3D5F" w:rsidRPr="005D3EDE" w:rsidP="001E44CE" w14:paraId="78877AF4" w14:textId="0E827308">
            <w:pPr>
              <w:widowControl/>
              <w:autoSpaceDE/>
              <w:autoSpaceDN/>
              <w:adjustRightInd/>
              <w:jc w:val="center"/>
              <w:rPr>
                <w:szCs w:val="20"/>
              </w:rPr>
            </w:pPr>
            <w:r>
              <w:rPr>
                <w:szCs w:val="20"/>
              </w:rPr>
              <w:t>1</w:t>
            </w:r>
          </w:p>
        </w:tc>
        <w:tc>
          <w:tcPr>
            <w:tcW w:w="2970" w:type="dxa"/>
            <w:tcBorders>
              <w:top w:val="single" w:sz="4" w:space="0" w:color="auto"/>
              <w:left w:val="single" w:sz="4" w:space="0" w:color="auto"/>
              <w:bottom w:val="single" w:sz="4" w:space="0" w:color="auto"/>
              <w:right w:val="single" w:sz="4" w:space="0" w:color="auto"/>
            </w:tcBorders>
            <w:vAlign w:val="bottom"/>
            <w:hideMark/>
          </w:tcPr>
          <w:p w:rsidR="004A3D5F" w:rsidRPr="005D3EDE" w:rsidP="00F10300" w14:paraId="26CEEB76" w14:textId="3AFC34EF">
            <w:pPr>
              <w:widowControl/>
              <w:autoSpaceDE/>
              <w:autoSpaceDN/>
              <w:adjustRightInd/>
              <w:rPr>
                <w:szCs w:val="20"/>
              </w:rPr>
            </w:pPr>
            <w:r w:rsidRPr="005D3EDE">
              <w:rPr>
                <w:szCs w:val="20"/>
              </w:rPr>
              <w:t>ASCs</w:t>
            </w:r>
            <w:r>
              <w:rPr>
                <w:szCs w:val="20"/>
              </w:rPr>
              <w:t xml:space="preserve"> -</w:t>
            </w:r>
            <w:r w:rsidRPr="005D3EDE">
              <w:rPr>
                <w:szCs w:val="20"/>
              </w:rPr>
              <w:t xml:space="preserve"> Non-TJC Accredited</w:t>
            </w:r>
          </w:p>
        </w:tc>
        <w:tc>
          <w:tcPr>
            <w:tcW w:w="1170" w:type="dxa"/>
            <w:tcBorders>
              <w:top w:val="nil"/>
              <w:left w:val="nil"/>
              <w:bottom w:val="single" w:sz="4" w:space="0" w:color="auto"/>
              <w:right w:val="single" w:sz="4" w:space="0" w:color="auto"/>
            </w:tcBorders>
            <w:noWrap/>
            <w:vAlign w:val="bottom"/>
            <w:hideMark/>
          </w:tcPr>
          <w:p w:rsidR="004A3D5F" w:rsidRPr="005D3EDE" w:rsidP="00F10300" w14:paraId="6B2BDB31" w14:textId="77777777">
            <w:pPr>
              <w:widowControl/>
              <w:autoSpaceDE/>
              <w:autoSpaceDN/>
              <w:adjustRightInd/>
              <w:rPr>
                <w:color w:val="000000"/>
                <w:szCs w:val="20"/>
              </w:rPr>
            </w:pPr>
            <w:r w:rsidRPr="00C2475B">
              <w:rPr>
                <w:color w:val="000000"/>
                <w:sz w:val="18"/>
                <w:szCs w:val="18"/>
              </w:rPr>
              <w:t>§ 416.54(a)</w:t>
            </w:r>
          </w:p>
        </w:tc>
        <w:tc>
          <w:tcPr>
            <w:tcW w:w="1440" w:type="dxa"/>
            <w:tcBorders>
              <w:top w:val="nil"/>
              <w:left w:val="nil"/>
              <w:bottom w:val="single" w:sz="4" w:space="0" w:color="auto"/>
              <w:right w:val="single" w:sz="4" w:space="0" w:color="auto"/>
            </w:tcBorders>
            <w:noWrap/>
            <w:vAlign w:val="bottom"/>
            <w:hideMark/>
          </w:tcPr>
          <w:p w:rsidR="004A3D5F" w:rsidRPr="005D3EDE" w:rsidP="00F10300" w14:paraId="0C84D207" w14:textId="77777777">
            <w:pPr>
              <w:widowControl/>
              <w:autoSpaceDE/>
              <w:autoSpaceDN/>
              <w:adjustRightInd/>
              <w:jc w:val="center"/>
              <w:rPr>
                <w:szCs w:val="20"/>
              </w:rPr>
            </w:pPr>
            <w:r w:rsidRPr="005D3EDE">
              <w:rPr>
                <w:szCs w:val="20"/>
              </w:rPr>
              <w:t>191</w:t>
            </w:r>
          </w:p>
        </w:tc>
        <w:tc>
          <w:tcPr>
            <w:tcW w:w="1170" w:type="dxa"/>
            <w:tcBorders>
              <w:top w:val="nil"/>
              <w:left w:val="nil"/>
              <w:bottom w:val="single" w:sz="4" w:space="0" w:color="auto"/>
              <w:right w:val="single" w:sz="4" w:space="0" w:color="auto"/>
            </w:tcBorders>
            <w:noWrap/>
            <w:vAlign w:val="bottom"/>
            <w:hideMark/>
          </w:tcPr>
          <w:p w:rsidR="004A3D5F" w:rsidRPr="005D3EDE" w:rsidP="00F10300" w14:paraId="5E7A0752" w14:textId="77777777">
            <w:pPr>
              <w:widowControl/>
              <w:autoSpaceDE/>
              <w:autoSpaceDN/>
              <w:adjustRightInd/>
              <w:jc w:val="center"/>
              <w:rPr>
                <w:color w:val="000000"/>
                <w:szCs w:val="20"/>
              </w:rPr>
            </w:pPr>
            <w:r w:rsidRPr="005D3EDE">
              <w:rPr>
                <w:color w:val="000000"/>
                <w:szCs w:val="20"/>
              </w:rPr>
              <w:t>191</w:t>
            </w:r>
          </w:p>
        </w:tc>
        <w:tc>
          <w:tcPr>
            <w:tcW w:w="1170" w:type="dxa"/>
            <w:tcBorders>
              <w:top w:val="nil"/>
              <w:left w:val="nil"/>
              <w:bottom w:val="single" w:sz="4" w:space="0" w:color="auto"/>
              <w:right w:val="single" w:sz="4" w:space="0" w:color="auto"/>
            </w:tcBorders>
            <w:vAlign w:val="bottom"/>
            <w:hideMark/>
          </w:tcPr>
          <w:p w:rsidR="004A3D5F" w:rsidRPr="005D3EDE" w:rsidP="00F10300" w14:paraId="0A77B826" w14:textId="1D1057F8">
            <w:pPr>
              <w:widowControl/>
              <w:autoSpaceDE/>
              <w:autoSpaceDN/>
              <w:adjustRightInd/>
              <w:jc w:val="center"/>
              <w:rPr>
                <w:szCs w:val="20"/>
              </w:rPr>
            </w:pPr>
            <w:r>
              <w:rPr>
                <w:szCs w:val="20"/>
              </w:rPr>
              <w:t>11</w:t>
            </w:r>
          </w:p>
        </w:tc>
        <w:tc>
          <w:tcPr>
            <w:tcW w:w="1170" w:type="dxa"/>
            <w:tcBorders>
              <w:top w:val="nil"/>
              <w:left w:val="nil"/>
              <w:bottom w:val="single" w:sz="4" w:space="0" w:color="auto"/>
              <w:right w:val="single" w:sz="4" w:space="0" w:color="auto"/>
            </w:tcBorders>
            <w:noWrap/>
            <w:vAlign w:val="bottom"/>
            <w:hideMark/>
          </w:tcPr>
          <w:p w:rsidR="004A3D5F" w:rsidRPr="005D3EDE" w:rsidP="00F10300" w14:paraId="2DE037BD" w14:textId="7A48565E">
            <w:pPr>
              <w:widowControl/>
              <w:autoSpaceDE/>
              <w:autoSpaceDN/>
              <w:adjustRightInd/>
              <w:jc w:val="center"/>
              <w:rPr>
                <w:color w:val="000000"/>
                <w:szCs w:val="20"/>
              </w:rPr>
            </w:pPr>
            <w:r>
              <w:rPr>
                <w:color w:val="000000"/>
                <w:szCs w:val="20"/>
              </w:rPr>
              <w:t>2,101</w:t>
            </w:r>
          </w:p>
        </w:tc>
        <w:tc>
          <w:tcPr>
            <w:tcW w:w="1080" w:type="dxa"/>
            <w:tcBorders>
              <w:top w:val="nil"/>
              <w:left w:val="nil"/>
              <w:bottom w:val="single" w:sz="4" w:space="0" w:color="auto"/>
              <w:right w:val="single" w:sz="4" w:space="0" w:color="auto"/>
            </w:tcBorders>
            <w:noWrap/>
            <w:vAlign w:val="center"/>
            <w:hideMark/>
          </w:tcPr>
          <w:p w:rsidR="004A3D5F" w:rsidRPr="005D3EDE" w:rsidP="00F10300" w14:paraId="0DC70E67" w14:textId="6F7B0B22">
            <w:pPr>
              <w:widowControl/>
              <w:autoSpaceDE/>
              <w:autoSpaceDN/>
              <w:adjustRightInd/>
              <w:jc w:val="center"/>
              <w:rPr>
                <w:color w:val="000000"/>
                <w:szCs w:val="20"/>
              </w:rPr>
            </w:pPr>
            <w:r w:rsidRPr="00C3770B">
              <w:rPr>
                <w:color w:val="000000"/>
                <w:szCs w:val="20"/>
              </w:rPr>
              <w:t>*</w:t>
            </w:r>
            <w:r w:rsidR="00AE4CE9">
              <w:rPr>
                <w:color w:val="000000"/>
                <w:szCs w:val="20"/>
              </w:rPr>
              <w:t>*</w:t>
            </w:r>
          </w:p>
        </w:tc>
        <w:tc>
          <w:tcPr>
            <w:tcW w:w="1350" w:type="dxa"/>
            <w:tcBorders>
              <w:top w:val="nil"/>
              <w:left w:val="nil"/>
              <w:bottom w:val="single" w:sz="4" w:space="0" w:color="auto"/>
              <w:right w:val="single" w:sz="4" w:space="0" w:color="auto"/>
            </w:tcBorders>
            <w:noWrap/>
            <w:vAlign w:val="bottom"/>
            <w:hideMark/>
          </w:tcPr>
          <w:p w:rsidR="004A3D5F" w:rsidRPr="005D3EDE" w:rsidP="00F10300" w14:paraId="2880367F" w14:textId="016EF1EE">
            <w:pPr>
              <w:widowControl/>
              <w:autoSpaceDE/>
              <w:autoSpaceDN/>
              <w:adjustRightInd/>
              <w:jc w:val="right"/>
              <w:rPr>
                <w:color w:val="000000"/>
                <w:szCs w:val="20"/>
              </w:rPr>
            </w:pPr>
            <w:r>
              <w:rPr>
                <w:color w:val="000000"/>
                <w:szCs w:val="20"/>
              </w:rPr>
              <w:t>$674,421</w:t>
            </w:r>
          </w:p>
        </w:tc>
      </w:tr>
      <w:tr w14:paraId="2D9A41F5"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0516492F" w14:textId="523F6B27">
            <w:pPr>
              <w:widowControl/>
              <w:autoSpaceDE/>
              <w:autoSpaceDN/>
              <w:adjustRightInd/>
              <w:jc w:val="center"/>
              <w:rPr>
                <w:szCs w:val="20"/>
              </w:rPr>
            </w:pPr>
            <w:r>
              <w:rPr>
                <w:szCs w:val="20"/>
              </w:rPr>
              <w:t>2</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6F900D2C" w14:textId="0084E372">
            <w:pPr>
              <w:widowControl/>
              <w:autoSpaceDE/>
              <w:autoSpaceDN/>
              <w:adjustRightInd/>
              <w:rPr>
                <w:szCs w:val="20"/>
              </w:rPr>
            </w:pPr>
            <w:r w:rsidRPr="005D3EDE">
              <w:rPr>
                <w:szCs w:val="20"/>
              </w:rPr>
              <w:t>CAHs</w:t>
            </w:r>
            <w:r>
              <w:rPr>
                <w:szCs w:val="20"/>
              </w:rPr>
              <w:t xml:space="preserve"> - </w:t>
            </w:r>
            <w:r w:rsidRPr="005D3EDE">
              <w:rPr>
                <w:szCs w:val="20"/>
              </w:rPr>
              <w:t>Non-TJC Accredited</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4563997" w14:textId="77777777">
            <w:pPr>
              <w:widowControl/>
              <w:autoSpaceDE/>
              <w:autoSpaceDN/>
              <w:adjustRightInd/>
              <w:rPr>
                <w:color w:val="000000"/>
                <w:szCs w:val="20"/>
              </w:rPr>
            </w:pPr>
            <w:r w:rsidRPr="00C2475B">
              <w:rPr>
                <w:sz w:val="18"/>
                <w:szCs w:val="22"/>
              </w:rPr>
              <w:t>§ 485.625(a)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7AEBF8D8" w14:textId="77777777">
            <w:pPr>
              <w:widowControl/>
              <w:autoSpaceDE/>
              <w:autoSpaceDN/>
              <w:adjustRightInd/>
              <w:jc w:val="center"/>
              <w:rPr>
                <w:szCs w:val="20"/>
              </w:rPr>
            </w:pPr>
            <w:r w:rsidRPr="005D3EDE">
              <w:rPr>
                <w:szCs w:val="20"/>
              </w:rPr>
              <w:t>14</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49B67001" w14:textId="77777777">
            <w:pPr>
              <w:widowControl/>
              <w:autoSpaceDE/>
              <w:autoSpaceDN/>
              <w:adjustRightInd/>
              <w:jc w:val="center"/>
              <w:rPr>
                <w:color w:val="000000"/>
                <w:szCs w:val="20"/>
              </w:rPr>
            </w:pPr>
            <w:r w:rsidRPr="005D3EDE">
              <w:rPr>
                <w:color w:val="000000"/>
                <w:szCs w:val="20"/>
              </w:rPr>
              <w:t>14</w:t>
            </w:r>
          </w:p>
        </w:tc>
        <w:tc>
          <w:tcPr>
            <w:tcW w:w="1170" w:type="dxa"/>
            <w:tcBorders>
              <w:top w:val="nil"/>
              <w:left w:val="nil"/>
              <w:bottom w:val="single" w:sz="4" w:space="0" w:color="auto"/>
              <w:right w:val="single" w:sz="4" w:space="0" w:color="auto"/>
            </w:tcBorders>
            <w:vAlign w:val="bottom"/>
            <w:hideMark/>
          </w:tcPr>
          <w:p w:rsidR="00AE4CE9" w:rsidRPr="005D3EDE" w:rsidP="00AE4CE9" w14:paraId="76F3A1D0" w14:textId="50CE8DDF">
            <w:pPr>
              <w:widowControl/>
              <w:autoSpaceDE/>
              <w:autoSpaceDN/>
              <w:adjustRightInd/>
              <w:jc w:val="center"/>
              <w:rPr>
                <w:color w:val="000000"/>
                <w:szCs w:val="20"/>
              </w:rPr>
            </w:pPr>
            <w:r>
              <w:rPr>
                <w:szCs w:val="20"/>
              </w:rPr>
              <w:t>26</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7B93A564" w14:textId="656BCB9F">
            <w:pPr>
              <w:widowControl/>
              <w:autoSpaceDE/>
              <w:autoSpaceDN/>
              <w:adjustRightInd/>
              <w:jc w:val="center"/>
              <w:rPr>
                <w:color w:val="000000"/>
                <w:szCs w:val="20"/>
              </w:rPr>
            </w:pPr>
            <w:r>
              <w:rPr>
                <w:color w:val="000000"/>
                <w:szCs w:val="20"/>
              </w:rPr>
              <w:t>364</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6A3CDED8" w14:textId="007B67BF">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3C3DE580" w14:textId="10DBFAD9">
            <w:pPr>
              <w:widowControl/>
              <w:autoSpaceDE/>
              <w:autoSpaceDN/>
              <w:adjustRightInd/>
              <w:jc w:val="right"/>
              <w:rPr>
                <w:color w:val="000000"/>
                <w:szCs w:val="20"/>
              </w:rPr>
            </w:pPr>
            <w:r>
              <w:rPr>
                <w:color w:val="000000"/>
                <w:szCs w:val="20"/>
              </w:rPr>
              <w:t>$116,844</w:t>
            </w:r>
          </w:p>
        </w:tc>
      </w:tr>
      <w:tr w14:paraId="7731D6D4"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4AAF60D4" w14:textId="40639498">
            <w:pPr>
              <w:widowControl/>
              <w:autoSpaceDE/>
              <w:autoSpaceDN/>
              <w:adjustRightInd/>
              <w:jc w:val="center"/>
              <w:rPr>
                <w:szCs w:val="20"/>
              </w:rPr>
            </w:pPr>
            <w:r>
              <w:rPr>
                <w:szCs w:val="20"/>
              </w:rPr>
              <w:t>3</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11E12168" w14:textId="43024F77">
            <w:pPr>
              <w:widowControl/>
              <w:autoSpaceDE/>
              <w:autoSpaceDN/>
              <w:adjustRightInd/>
              <w:rPr>
                <w:szCs w:val="20"/>
              </w:rPr>
            </w:pPr>
            <w:r w:rsidRPr="005D3EDE">
              <w:rPr>
                <w:szCs w:val="20"/>
              </w:rPr>
              <w:t>CMHCs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4CB5E9D" w14:textId="77777777">
            <w:pPr>
              <w:widowControl/>
              <w:autoSpaceDE/>
              <w:autoSpaceDN/>
              <w:adjustRightInd/>
              <w:rPr>
                <w:color w:val="000000"/>
                <w:szCs w:val="20"/>
              </w:rPr>
            </w:pPr>
            <w:r w:rsidRPr="00C2475B">
              <w:rPr>
                <w:sz w:val="18"/>
                <w:szCs w:val="22"/>
              </w:rPr>
              <w:t>§ 485.920(a)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08F9599F" w14:textId="77777777">
            <w:pPr>
              <w:widowControl/>
              <w:autoSpaceDE/>
              <w:autoSpaceDN/>
              <w:adjustRightInd/>
              <w:jc w:val="center"/>
              <w:rPr>
                <w:szCs w:val="20"/>
              </w:rPr>
            </w:pPr>
            <w:r w:rsidRPr="005D3EDE">
              <w:rPr>
                <w:szCs w:val="20"/>
              </w:rPr>
              <w:t>9</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60EFDF28" w14:textId="77777777">
            <w:pPr>
              <w:widowControl/>
              <w:autoSpaceDE/>
              <w:autoSpaceDN/>
              <w:adjustRightInd/>
              <w:jc w:val="center"/>
              <w:rPr>
                <w:color w:val="000000"/>
                <w:szCs w:val="20"/>
              </w:rPr>
            </w:pPr>
            <w:r w:rsidRPr="005D3EDE">
              <w:rPr>
                <w:color w:val="000000"/>
                <w:szCs w:val="20"/>
              </w:rPr>
              <w:t>9</w:t>
            </w:r>
          </w:p>
        </w:tc>
        <w:tc>
          <w:tcPr>
            <w:tcW w:w="1170" w:type="dxa"/>
            <w:tcBorders>
              <w:top w:val="nil"/>
              <w:left w:val="nil"/>
              <w:bottom w:val="single" w:sz="4" w:space="0" w:color="auto"/>
              <w:right w:val="single" w:sz="4" w:space="0" w:color="auto"/>
            </w:tcBorders>
            <w:vAlign w:val="bottom"/>
            <w:hideMark/>
          </w:tcPr>
          <w:p w:rsidR="00AE4CE9" w:rsidRPr="005D3EDE" w:rsidP="00AE4CE9" w14:paraId="6D50FCC9" w14:textId="3D167942">
            <w:pPr>
              <w:widowControl/>
              <w:autoSpaceDE/>
              <w:autoSpaceDN/>
              <w:adjustRightInd/>
              <w:jc w:val="center"/>
              <w:rPr>
                <w:color w:val="000000"/>
                <w:szCs w:val="20"/>
              </w:rPr>
            </w:pPr>
            <w:r>
              <w:rPr>
                <w:szCs w:val="20"/>
              </w:rPr>
              <w:t>15</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56FEA381" w14:textId="01EC6F5D">
            <w:pPr>
              <w:widowControl/>
              <w:autoSpaceDE/>
              <w:autoSpaceDN/>
              <w:adjustRightInd/>
              <w:jc w:val="center"/>
              <w:rPr>
                <w:color w:val="000000"/>
                <w:szCs w:val="20"/>
              </w:rPr>
            </w:pPr>
            <w:r>
              <w:rPr>
                <w:color w:val="000000"/>
                <w:szCs w:val="20"/>
              </w:rPr>
              <w:t>135</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01D368B4" w14:textId="6E2C5166">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266476E4" w14:textId="5E2508EF">
            <w:pPr>
              <w:widowControl/>
              <w:autoSpaceDE/>
              <w:autoSpaceDN/>
              <w:adjustRightInd/>
              <w:jc w:val="right"/>
              <w:rPr>
                <w:color w:val="000000"/>
                <w:szCs w:val="20"/>
              </w:rPr>
            </w:pPr>
            <w:r>
              <w:rPr>
                <w:color w:val="000000"/>
                <w:szCs w:val="20"/>
              </w:rPr>
              <w:t>$43,335</w:t>
            </w:r>
          </w:p>
        </w:tc>
      </w:tr>
      <w:tr w14:paraId="50AEA632"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57F08327" w14:textId="7BB07151">
            <w:pPr>
              <w:widowControl/>
              <w:autoSpaceDE/>
              <w:autoSpaceDN/>
              <w:adjustRightInd/>
              <w:jc w:val="center"/>
              <w:rPr>
                <w:szCs w:val="20"/>
              </w:rPr>
            </w:pPr>
            <w:r>
              <w:rPr>
                <w:szCs w:val="20"/>
              </w:rPr>
              <w:t>4</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4E0B773B" w14:textId="45228260">
            <w:pPr>
              <w:widowControl/>
              <w:autoSpaceDE/>
              <w:autoSpaceDN/>
              <w:adjustRightInd/>
              <w:rPr>
                <w:szCs w:val="20"/>
              </w:rPr>
            </w:pPr>
            <w:r w:rsidRPr="005D3EDE">
              <w:rPr>
                <w:szCs w:val="20"/>
              </w:rPr>
              <w:t>CORFs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28E9E1C9" w14:textId="77777777">
            <w:pPr>
              <w:widowControl/>
              <w:autoSpaceDE/>
              <w:autoSpaceDN/>
              <w:adjustRightInd/>
              <w:rPr>
                <w:color w:val="000000"/>
                <w:szCs w:val="20"/>
              </w:rPr>
            </w:pPr>
            <w:r w:rsidRPr="00C2475B">
              <w:rPr>
                <w:sz w:val="18"/>
                <w:szCs w:val="22"/>
              </w:rPr>
              <w:t>§ 485.68(a)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2F879D35" w14:textId="77777777">
            <w:pPr>
              <w:widowControl/>
              <w:autoSpaceDE/>
              <w:autoSpaceDN/>
              <w:adjustRightInd/>
              <w:jc w:val="center"/>
              <w:rPr>
                <w:szCs w:val="20"/>
              </w:rPr>
            </w:pPr>
            <w:r w:rsidRPr="005D3EDE">
              <w:rPr>
                <w:szCs w:val="20"/>
              </w:rPr>
              <w:t>3</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0A6D525" w14:textId="77777777">
            <w:pPr>
              <w:widowControl/>
              <w:autoSpaceDE/>
              <w:autoSpaceDN/>
              <w:adjustRightInd/>
              <w:jc w:val="center"/>
              <w:rPr>
                <w:color w:val="000000"/>
                <w:szCs w:val="20"/>
              </w:rPr>
            </w:pPr>
            <w:r w:rsidRPr="005D3EDE">
              <w:rPr>
                <w:color w:val="000000"/>
                <w:szCs w:val="20"/>
              </w:rPr>
              <w:t>3</w:t>
            </w:r>
          </w:p>
        </w:tc>
        <w:tc>
          <w:tcPr>
            <w:tcW w:w="1170" w:type="dxa"/>
            <w:tcBorders>
              <w:top w:val="nil"/>
              <w:left w:val="nil"/>
              <w:bottom w:val="single" w:sz="4" w:space="0" w:color="auto"/>
              <w:right w:val="single" w:sz="4" w:space="0" w:color="auto"/>
            </w:tcBorders>
            <w:vAlign w:val="bottom"/>
            <w:hideMark/>
          </w:tcPr>
          <w:p w:rsidR="00AE4CE9" w:rsidRPr="005D3EDE" w:rsidP="00AE4CE9" w14:paraId="1B4BAC95" w14:textId="407AB415">
            <w:pPr>
              <w:widowControl/>
              <w:autoSpaceDE/>
              <w:autoSpaceDN/>
              <w:adjustRightInd/>
              <w:jc w:val="center"/>
              <w:rPr>
                <w:szCs w:val="20"/>
              </w:rPr>
            </w:pPr>
            <w:r>
              <w:rPr>
                <w:szCs w:val="20"/>
              </w:rPr>
              <w:t>11</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41289630" w14:textId="1CEEDC0C">
            <w:pPr>
              <w:widowControl/>
              <w:autoSpaceDE/>
              <w:autoSpaceDN/>
              <w:adjustRightInd/>
              <w:jc w:val="center"/>
              <w:rPr>
                <w:color w:val="000000"/>
                <w:szCs w:val="20"/>
              </w:rPr>
            </w:pPr>
            <w:r>
              <w:rPr>
                <w:color w:val="000000"/>
                <w:szCs w:val="20"/>
              </w:rPr>
              <w:t>33</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4D168E69" w14:textId="4C719EC7">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75622191" w14:textId="11114B4A">
            <w:pPr>
              <w:widowControl/>
              <w:autoSpaceDE/>
              <w:autoSpaceDN/>
              <w:adjustRightInd/>
              <w:jc w:val="right"/>
              <w:rPr>
                <w:color w:val="000000"/>
                <w:szCs w:val="20"/>
              </w:rPr>
            </w:pPr>
            <w:r>
              <w:rPr>
                <w:color w:val="000000"/>
                <w:szCs w:val="20"/>
              </w:rPr>
              <w:t>$10,593</w:t>
            </w:r>
          </w:p>
        </w:tc>
      </w:tr>
      <w:tr w14:paraId="42C31B24"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10788769" w14:textId="4A0E4248">
            <w:pPr>
              <w:widowControl/>
              <w:autoSpaceDE/>
              <w:autoSpaceDN/>
              <w:adjustRightInd/>
              <w:jc w:val="center"/>
              <w:rPr>
                <w:szCs w:val="20"/>
              </w:rPr>
            </w:pPr>
            <w:r>
              <w:rPr>
                <w:szCs w:val="20"/>
              </w:rPr>
              <w:t>5</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572AA301" w14:textId="40E446AF">
            <w:pPr>
              <w:widowControl/>
              <w:autoSpaceDE/>
              <w:autoSpaceDN/>
              <w:adjustRightInd/>
              <w:rPr>
                <w:szCs w:val="20"/>
              </w:rPr>
            </w:pPr>
            <w:r w:rsidRPr="005D3EDE">
              <w:rPr>
                <w:szCs w:val="20"/>
              </w:rPr>
              <w:t>ESRD Facilities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19BC4B36" w14:textId="77777777">
            <w:pPr>
              <w:widowControl/>
              <w:autoSpaceDE/>
              <w:autoSpaceDN/>
              <w:adjustRightInd/>
              <w:rPr>
                <w:color w:val="000000"/>
                <w:szCs w:val="20"/>
              </w:rPr>
            </w:pPr>
            <w:r w:rsidRPr="00C2475B">
              <w:rPr>
                <w:sz w:val="18"/>
                <w:szCs w:val="22"/>
              </w:rPr>
              <w:t>§ 494.62(a)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679E1508" w14:textId="77777777">
            <w:pPr>
              <w:widowControl/>
              <w:autoSpaceDE/>
              <w:autoSpaceDN/>
              <w:adjustRightInd/>
              <w:jc w:val="center"/>
              <w:rPr>
                <w:szCs w:val="20"/>
              </w:rPr>
            </w:pPr>
            <w:r w:rsidRPr="005D3EDE">
              <w:rPr>
                <w:szCs w:val="20"/>
              </w:rPr>
              <w:t>102</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3699B983" w14:textId="77777777">
            <w:pPr>
              <w:widowControl/>
              <w:autoSpaceDE/>
              <w:autoSpaceDN/>
              <w:adjustRightInd/>
              <w:jc w:val="center"/>
              <w:rPr>
                <w:color w:val="000000"/>
                <w:szCs w:val="20"/>
              </w:rPr>
            </w:pPr>
            <w:r w:rsidRPr="005D3EDE">
              <w:rPr>
                <w:color w:val="000000"/>
                <w:szCs w:val="20"/>
              </w:rPr>
              <w:t>102</w:t>
            </w:r>
          </w:p>
        </w:tc>
        <w:tc>
          <w:tcPr>
            <w:tcW w:w="1170" w:type="dxa"/>
            <w:tcBorders>
              <w:top w:val="nil"/>
              <w:left w:val="nil"/>
              <w:bottom w:val="single" w:sz="4" w:space="0" w:color="auto"/>
              <w:right w:val="single" w:sz="4" w:space="0" w:color="auto"/>
            </w:tcBorders>
            <w:vAlign w:val="bottom"/>
            <w:hideMark/>
          </w:tcPr>
          <w:p w:rsidR="00AE4CE9" w:rsidRPr="005D3EDE" w:rsidP="00AE4CE9" w14:paraId="426E95C1" w14:textId="0C74F87C">
            <w:pPr>
              <w:widowControl/>
              <w:autoSpaceDE/>
              <w:autoSpaceDN/>
              <w:adjustRightInd/>
              <w:jc w:val="center"/>
              <w:rPr>
                <w:color w:val="000000"/>
                <w:szCs w:val="20"/>
              </w:rPr>
            </w:pPr>
            <w:r>
              <w:rPr>
                <w:szCs w:val="20"/>
              </w:rPr>
              <w:t>10</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2773EBAD" w14:textId="2C5FCF2D">
            <w:pPr>
              <w:widowControl/>
              <w:autoSpaceDE/>
              <w:autoSpaceDN/>
              <w:adjustRightInd/>
              <w:jc w:val="center"/>
              <w:rPr>
                <w:color w:val="000000"/>
                <w:szCs w:val="20"/>
              </w:rPr>
            </w:pPr>
            <w:r>
              <w:rPr>
                <w:color w:val="000000"/>
                <w:szCs w:val="20"/>
              </w:rPr>
              <w:t>1,020</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2525082B" w14:textId="1B50ED5C">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18B71591" w14:textId="5494B06D">
            <w:pPr>
              <w:widowControl/>
              <w:autoSpaceDE/>
              <w:autoSpaceDN/>
              <w:adjustRightInd/>
              <w:jc w:val="right"/>
              <w:rPr>
                <w:color w:val="000000"/>
                <w:szCs w:val="20"/>
              </w:rPr>
            </w:pPr>
            <w:r>
              <w:rPr>
                <w:color w:val="000000"/>
                <w:szCs w:val="20"/>
              </w:rPr>
              <w:t>$327,420</w:t>
            </w:r>
          </w:p>
        </w:tc>
      </w:tr>
      <w:tr w14:paraId="34A8AEC9"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5214825A" w14:textId="55AA84C2">
            <w:pPr>
              <w:widowControl/>
              <w:autoSpaceDE/>
              <w:autoSpaceDN/>
              <w:adjustRightInd/>
              <w:jc w:val="center"/>
              <w:rPr>
                <w:szCs w:val="20"/>
              </w:rPr>
            </w:pPr>
            <w:r>
              <w:rPr>
                <w:szCs w:val="20"/>
              </w:rPr>
              <w:t>6</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51F50826" w14:textId="7AEF86D5">
            <w:pPr>
              <w:widowControl/>
              <w:autoSpaceDE/>
              <w:autoSpaceDN/>
              <w:adjustRightInd/>
              <w:rPr>
                <w:szCs w:val="20"/>
              </w:rPr>
            </w:pPr>
            <w:r w:rsidRPr="005D3EDE">
              <w:rPr>
                <w:szCs w:val="20"/>
              </w:rPr>
              <w:t>FQHCs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40466C00" w14:textId="77777777">
            <w:pPr>
              <w:widowControl/>
              <w:autoSpaceDE/>
              <w:autoSpaceDN/>
              <w:adjustRightInd/>
              <w:rPr>
                <w:color w:val="000000"/>
                <w:szCs w:val="20"/>
              </w:rPr>
            </w:pPr>
            <w:r w:rsidRPr="00C2475B">
              <w:rPr>
                <w:sz w:val="18"/>
                <w:szCs w:val="22"/>
              </w:rPr>
              <w:t>§ 491.12(a)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68AA1FCD" w14:textId="77777777">
            <w:pPr>
              <w:widowControl/>
              <w:autoSpaceDE/>
              <w:autoSpaceDN/>
              <w:adjustRightInd/>
              <w:jc w:val="center"/>
              <w:rPr>
                <w:szCs w:val="20"/>
              </w:rPr>
            </w:pPr>
            <w:r w:rsidRPr="005D3EDE">
              <w:rPr>
                <w:szCs w:val="20"/>
              </w:rPr>
              <w:t>771</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6192F993" w14:textId="77777777">
            <w:pPr>
              <w:widowControl/>
              <w:autoSpaceDE/>
              <w:autoSpaceDN/>
              <w:adjustRightInd/>
              <w:jc w:val="center"/>
              <w:rPr>
                <w:color w:val="000000"/>
                <w:szCs w:val="20"/>
              </w:rPr>
            </w:pPr>
            <w:r w:rsidRPr="005D3EDE">
              <w:rPr>
                <w:color w:val="000000"/>
                <w:szCs w:val="20"/>
              </w:rPr>
              <w:t>771</w:t>
            </w:r>
          </w:p>
        </w:tc>
        <w:tc>
          <w:tcPr>
            <w:tcW w:w="1170" w:type="dxa"/>
            <w:tcBorders>
              <w:top w:val="nil"/>
              <w:left w:val="nil"/>
              <w:bottom w:val="single" w:sz="4" w:space="0" w:color="auto"/>
              <w:right w:val="single" w:sz="4" w:space="0" w:color="auto"/>
            </w:tcBorders>
            <w:vAlign w:val="bottom"/>
            <w:hideMark/>
          </w:tcPr>
          <w:p w:rsidR="00AE4CE9" w:rsidRPr="005D3EDE" w:rsidP="00AE4CE9" w14:paraId="5E7D7124" w14:textId="49135BFD">
            <w:pPr>
              <w:widowControl/>
              <w:autoSpaceDE/>
              <w:autoSpaceDN/>
              <w:adjustRightInd/>
              <w:jc w:val="center"/>
              <w:rPr>
                <w:color w:val="000000"/>
                <w:szCs w:val="20"/>
              </w:rPr>
            </w:pPr>
            <w:r>
              <w:rPr>
                <w:szCs w:val="20"/>
              </w:rPr>
              <w:t>8</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D6A4BC5" w14:textId="67B8CF73">
            <w:pPr>
              <w:widowControl/>
              <w:autoSpaceDE/>
              <w:autoSpaceDN/>
              <w:adjustRightInd/>
              <w:jc w:val="center"/>
              <w:rPr>
                <w:color w:val="000000"/>
                <w:szCs w:val="20"/>
              </w:rPr>
            </w:pPr>
            <w:r>
              <w:rPr>
                <w:color w:val="000000"/>
                <w:szCs w:val="20"/>
              </w:rPr>
              <w:t>6,168</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41E9884D" w14:textId="65F8D2E4">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371ED39B" w14:textId="7D49CC41">
            <w:pPr>
              <w:widowControl/>
              <w:autoSpaceDE/>
              <w:autoSpaceDN/>
              <w:adjustRightInd/>
              <w:jc w:val="right"/>
              <w:rPr>
                <w:color w:val="000000"/>
                <w:szCs w:val="20"/>
              </w:rPr>
            </w:pPr>
            <w:r>
              <w:rPr>
                <w:color w:val="000000"/>
                <w:szCs w:val="20"/>
              </w:rPr>
              <w:t>$1,979,928</w:t>
            </w:r>
          </w:p>
        </w:tc>
      </w:tr>
      <w:tr w14:paraId="54177BC9"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734DC9A0" w14:textId="7EA260DA">
            <w:pPr>
              <w:widowControl/>
              <w:autoSpaceDE/>
              <w:autoSpaceDN/>
              <w:adjustRightInd/>
              <w:jc w:val="center"/>
              <w:rPr>
                <w:szCs w:val="20"/>
              </w:rPr>
            </w:pPr>
            <w:r>
              <w:rPr>
                <w:szCs w:val="20"/>
              </w:rPr>
              <w:t>7</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464627D1" w14:textId="77D9A2F7">
            <w:pPr>
              <w:widowControl/>
              <w:autoSpaceDE/>
              <w:autoSpaceDN/>
              <w:adjustRightInd/>
              <w:rPr>
                <w:szCs w:val="20"/>
              </w:rPr>
            </w:pPr>
            <w:r w:rsidRPr="005D3EDE">
              <w:rPr>
                <w:szCs w:val="20"/>
              </w:rPr>
              <w:t>HHAs</w:t>
            </w:r>
            <w:r>
              <w:rPr>
                <w:szCs w:val="20"/>
              </w:rPr>
              <w:t xml:space="preserve"> - </w:t>
            </w:r>
            <w:r w:rsidRPr="005D3EDE">
              <w:rPr>
                <w:szCs w:val="20"/>
              </w:rPr>
              <w:t>Non-TJC Accredited</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C724BC1" w14:textId="77777777">
            <w:pPr>
              <w:widowControl/>
              <w:autoSpaceDE/>
              <w:autoSpaceDN/>
              <w:adjustRightInd/>
              <w:rPr>
                <w:color w:val="000000"/>
                <w:szCs w:val="20"/>
              </w:rPr>
            </w:pPr>
            <w:r w:rsidRPr="00C2475B">
              <w:rPr>
                <w:color w:val="000000"/>
                <w:sz w:val="18"/>
                <w:szCs w:val="18"/>
              </w:rPr>
              <w:t>§ 484.102(a)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17D0E1E3" w14:textId="77777777">
            <w:pPr>
              <w:widowControl/>
              <w:autoSpaceDE/>
              <w:autoSpaceDN/>
              <w:adjustRightInd/>
              <w:jc w:val="center"/>
              <w:rPr>
                <w:szCs w:val="20"/>
              </w:rPr>
            </w:pPr>
            <w:r w:rsidRPr="005D3EDE">
              <w:rPr>
                <w:szCs w:val="20"/>
              </w:rPr>
              <w:t>334</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437692D6" w14:textId="77777777">
            <w:pPr>
              <w:widowControl/>
              <w:autoSpaceDE/>
              <w:autoSpaceDN/>
              <w:adjustRightInd/>
              <w:jc w:val="center"/>
              <w:rPr>
                <w:color w:val="000000"/>
                <w:szCs w:val="20"/>
              </w:rPr>
            </w:pPr>
            <w:r w:rsidRPr="005D3EDE">
              <w:rPr>
                <w:color w:val="000000"/>
                <w:szCs w:val="20"/>
              </w:rPr>
              <w:t>334</w:t>
            </w:r>
          </w:p>
        </w:tc>
        <w:tc>
          <w:tcPr>
            <w:tcW w:w="1170" w:type="dxa"/>
            <w:tcBorders>
              <w:top w:val="nil"/>
              <w:left w:val="nil"/>
              <w:bottom w:val="single" w:sz="4" w:space="0" w:color="auto"/>
              <w:right w:val="single" w:sz="4" w:space="0" w:color="auto"/>
            </w:tcBorders>
            <w:vAlign w:val="bottom"/>
            <w:hideMark/>
          </w:tcPr>
          <w:p w:rsidR="00AE4CE9" w:rsidRPr="005D3EDE" w:rsidP="00AE4CE9" w14:paraId="36EBFF9F" w14:textId="008E3920">
            <w:pPr>
              <w:widowControl/>
              <w:autoSpaceDE/>
              <w:autoSpaceDN/>
              <w:adjustRightInd/>
              <w:jc w:val="center"/>
              <w:rPr>
                <w:szCs w:val="20"/>
              </w:rPr>
            </w:pPr>
            <w:r>
              <w:rPr>
                <w:szCs w:val="20"/>
              </w:rPr>
              <w:t>15</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16BA5579" w14:textId="3DE25037">
            <w:pPr>
              <w:widowControl/>
              <w:autoSpaceDE/>
              <w:autoSpaceDN/>
              <w:adjustRightInd/>
              <w:jc w:val="center"/>
              <w:rPr>
                <w:color w:val="000000"/>
                <w:szCs w:val="20"/>
              </w:rPr>
            </w:pPr>
            <w:r>
              <w:rPr>
                <w:color w:val="000000"/>
                <w:szCs w:val="20"/>
              </w:rPr>
              <w:t>5,010</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056DCD37" w14:textId="684ADB81">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60666AAE" w14:textId="5D3CCA0E">
            <w:pPr>
              <w:widowControl/>
              <w:autoSpaceDE/>
              <w:autoSpaceDN/>
              <w:adjustRightInd/>
              <w:jc w:val="right"/>
              <w:rPr>
                <w:color w:val="000000"/>
                <w:szCs w:val="20"/>
              </w:rPr>
            </w:pPr>
            <w:r>
              <w:rPr>
                <w:color w:val="000000"/>
                <w:szCs w:val="20"/>
              </w:rPr>
              <w:t>$1,608,210</w:t>
            </w:r>
          </w:p>
        </w:tc>
      </w:tr>
      <w:tr w14:paraId="7C9094BA"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5E98283B" w14:textId="508D8A50">
            <w:pPr>
              <w:widowControl/>
              <w:autoSpaceDE/>
              <w:autoSpaceDN/>
              <w:adjustRightInd/>
              <w:jc w:val="center"/>
              <w:rPr>
                <w:szCs w:val="20"/>
              </w:rPr>
            </w:pPr>
            <w:r>
              <w:rPr>
                <w:szCs w:val="20"/>
              </w:rPr>
              <w:t>8</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23F4C169" w14:textId="0A3CEE8C">
            <w:pPr>
              <w:widowControl/>
              <w:autoSpaceDE/>
              <w:autoSpaceDN/>
              <w:adjustRightInd/>
              <w:rPr>
                <w:szCs w:val="20"/>
              </w:rPr>
            </w:pPr>
            <w:r w:rsidRPr="005D3EDE">
              <w:rPr>
                <w:szCs w:val="20"/>
              </w:rPr>
              <w:t>HHAs</w:t>
            </w:r>
            <w:r>
              <w:rPr>
                <w:szCs w:val="20"/>
              </w:rPr>
              <w:t xml:space="preserve"> -</w:t>
            </w:r>
            <w:r w:rsidRPr="005D3EDE">
              <w:rPr>
                <w:szCs w:val="20"/>
              </w:rPr>
              <w:t xml:space="preserve"> TJC-Accredited</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7FACA87D" w14:textId="77777777">
            <w:pPr>
              <w:widowControl/>
              <w:autoSpaceDE/>
              <w:autoSpaceDN/>
              <w:adjustRightInd/>
              <w:jc w:val="center"/>
              <w:rPr>
                <w:color w:val="000000"/>
                <w:szCs w:val="20"/>
              </w:rPr>
            </w:pPr>
            <w:r w:rsidRPr="00C2475B">
              <w:rPr>
                <w:color w:val="000000"/>
                <w:sz w:val="18"/>
                <w:szCs w:val="18"/>
              </w:rPr>
              <w:t>§ 484.102(a)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1DC8D154" w14:textId="77777777">
            <w:pPr>
              <w:widowControl/>
              <w:autoSpaceDE/>
              <w:autoSpaceDN/>
              <w:adjustRightInd/>
              <w:jc w:val="center"/>
              <w:rPr>
                <w:szCs w:val="20"/>
              </w:rPr>
            </w:pPr>
            <w:r w:rsidRPr="005D3EDE">
              <w:rPr>
                <w:szCs w:val="20"/>
              </w:rPr>
              <w:t>27</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3C133831" w14:textId="77777777">
            <w:pPr>
              <w:widowControl/>
              <w:autoSpaceDE/>
              <w:autoSpaceDN/>
              <w:adjustRightInd/>
              <w:jc w:val="center"/>
              <w:rPr>
                <w:color w:val="000000"/>
                <w:szCs w:val="20"/>
              </w:rPr>
            </w:pPr>
            <w:r w:rsidRPr="005D3EDE">
              <w:rPr>
                <w:color w:val="000000"/>
                <w:szCs w:val="20"/>
              </w:rPr>
              <w:t>27</w:t>
            </w:r>
          </w:p>
        </w:tc>
        <w:tc>
          <w:tcPr>
            <w:tcW w:w="1170" w:type="dxa"/>
            <w:tcBorders>
              <w:top w:val="nil"/>
              <w:left w:val="nil"/>
              <w:bottom w:val="single" w:sz="4" w:space="0" w:color="auto"/>
              <w:right w:val="single" w:sz="4" w:space="0" w:color="auto"/>
            </w:tcBorders>
            <w:vAlign w:val="bottom"/>
            <w:hideMark/>
          </w:tcPr>
          <w:p w:rsidR="00AE4CE9" w:rsidRPr="005D3EDE" w:rsidP="00AE4CE9" w14:paraId="485F7DE0" w14:textId="4E9A09F7">
            <w:pPr>
              <w:widowControl/>
              <w:autoSpaceDE/>
              <w:autoSpaceDN/>
              <w:adjustRightInd/>
              <w:jc w:val="center"/>
              <w:rPr>
                <w:szCs w:val="20"/>
              </w:rPr>
            </w:pPr>
            <w:r>
              <w:rPr>
                <w:szCs w:val="20"/>
              </w:rPr>
              <w:t>10</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126CDE8F" w14:textId="50890142">
            <w:pPr>
              <w:widowControl/>
              <w:autoSpaceDE/>
              <w:autoSpaceDN/>
              <w:adjustRightInd/>
              <w:jc w:val="center"/>
              <w:rPr>
                <w:color w:val="000000"/>
                <w:szCs w:val="20"/>
              </w:rPr>
            </w:pPr>
            <w:r>
              <w:rPr>
                <w:color w:val="000000"/>
                <w:szCs w:val="20"/>
              </w:rPr>
              <w:t>270</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75A2C1CD" w14:textId="4CA22034">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7FF1DBF7" w14:textId="18421390">
            <w:pPr>
              <w:widowControl/>
              <w:autoSpaceDE/>
              <w:autoSpaceDN/>
              <w:adjustRightInd/>
              <w:jc w:val="right"/>
              <w:rPr>
                <w:color w:val="000000"/>
                <w:szCs w:val="20"/>
              </w:rPr>
            </w:pPr>
            <w:r>
              <w:rPr>
                <w:color w:val="000000"/>
                <w:szCs w:val="20"/>
              </w:rPr>
              <w:t>$86,670</w:t>
            </w:r>
          </w:p>
        </w:tc>
      </w:tr>
      <w:tr w14:paraId="4565DFBC"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P="00AE4CE9" w14:paraId="1E9414B7" w14:textId="4F367FC5">
            <w:pPr>
              <w:widowControl/>
              <w:autoSpaceDE/>
              <w:autoSpaceDN/>
              <w:adjustRightInd/>
              <w:jc w:val="center"/>
              <w:rPr>
                <w:color w:val="000000"/>
                <w:szCs w:val="20"/>
              </w:rPr>
            </w:pPr>
            <w:r>
              <w:rPr>
                <w:color w:val="000000"/>
                <w:szCs w:val="20"/>
              </w:rPr>
              <w:t>9</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51A6A977" w14:textId="0E4C4231">
            <w:pPr>
              <w:widowControl/>
              <w:autoSpaceDE/>
              <w:autoSpaceDN/>
              <w:adjustRightInd/>
              <w:rPr>
                <w:szCs w:val="20"/>
              </w:rPr>
            </w:pPr>
            <w:r>
              <w:rPr>
                <w:color w:val="000000"/>
                <w:szCs w:val="20"/>
              </w:rPr>
              <w:t>Hospices - Inpatient</w:t>
            </w:r>
            <w:r w:rsidRPr="003673CA">
              <w:rPr>
                <w:color w:val="000000"/>
                <w:szCs w:val="20"/>
              </w:rPr>
              <w:t xml:space="preserve"> </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1C02ADA" w14:textId="77777777">
            <w:pPr>
              <w:widowControl/>
              <w:autoSpaceDE/>
              <w:autoSpaceDN/>
              <w:adjustRightInd/>
              <w:rPr>
                <w:color w:val="000000"/>
                <w:szCs w:val="20"/>
              </w:rPr>
            </w:pPr>
            <w:r w:rsidRPr="00C2475B">
              <w:rPr>
                <w:color w:val="000000"/>
                <w:sz w:val="18"/>
                <w:szCs w:val="18"/>
              </w:rPr>
              <w:t>§ 418.113(a)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4438A0E5" w14:textId="77777777">
            <w:pPr>
              <w:widowControl/>
              <w:autoSpaceDE/>
              <w:autoSpaceDN/>
              <w:adjustRightInd/>
              <w:jc w:val="center"/>
              <w:rPr>
                <w:szCs w:val="20"/>
              </w:rPr>
            </w:pPr>
            <w:r w:rsidRPr="005D3EDE">
              <w:rPr>
                <w:szCs w:val="20"/>
              </w:rPr>
              <w:t>0</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4B8157C5" w14:textId="77777777">
            <w:pPr>
              <w:widowControl/>
              <w:autoSpaceDE/>
              <w:autoSpaceDN/>
              <w:adjustRightInd/>
              <w:jc w:val="center"/>
              <w:rPr>
                <w:color w:val="000000"/>
                <w:szCs w:val="20"/>
              </w:rPr>
            </w:pPr>
            <w:r w:rsidRPr="005D3EDE">
              <w:rPr>
                <w:color w:val="000000"/>
                <w:szCs w:val="20"/>
              </w:rPr>
              <w:t>0</w:t>
            </w:r>
          </w:p>
        </w:tc>
        <w:tc>
          <w:tcPr>
            <w:tcW w:w="1170" w:type="dxa"/>
            <w:tcBorders>
              <w:top w:val="nil"/>
              <w:left w:val="nil"/>
              <w:bottom w:val="single" w:sz="4" w:space="0" w:color="auto"/>
              <w:right w:val="single" w:sz="4" w:space="0" w:color="auto"/>
            </w:tcBorders>
            <w:vAlign w:val="bottom"/>
            <w:hideMark/>
          </w:tcPr>
          <w:p w:rsidR="00AE4CE9" w:rsidRPr="005D3EDE" w:rsidP="00AE4CE9" w14:paraId="3C110499" w14:textId="1B2EB8E3">
            <w:pPr>
              <w:widowControl/>
              <w:autoSpaceDE/>
              <w:autoSpaceDN/>
              <w:adjustRightInd/>
              <w:jc w:val="center"/>
              <w:rPr>
                <w:szCs w:val="20"/>
              </w:rPr>
            </w:pPr>
            <w:r>
              <w:rPr>
                <w:szCs w:val="20"/>
              </w:rPr>
              <w:t>14</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73EA27DD" w14:textId="1CCC9F36">
            <w:pPr>
              <w:widowControl/>
              <w:autoSpaceDE/>
              <w:autoSpaceDN/>
              <w:adjustRightInd/>
              <w:jc w:val="center"/>
              <w:rPr>
                <w:color w:val="000000"/>
                <w:szCs w:val="20"/>
              </w:rPr>
            </w:pPr>
            <w:r>
              <w:rPr>
                <w:color w:val="000000"/>
                <w:szCs w:val="20"/>
              </w:rPr>
              <w:t>0</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790831A8" w14:textId="3E6A316D">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4A65FB48" w14:textId="21BB6D2A">
            <w:pPr>
              <w:widowControl/>
              <w:autoSpaceDE/>
              <w:autoSpaceDN/>
              <w:adjustRightInd/>
              <w:jc w:val="right"/>
              <w:rPr>
                <w:color w:val="000000"/>
                <w:szCs w:val="20"/>
              </w:rPr>
            </w:pPr>
            <w:r>
              <w:rPr>
                <w:color w:val="000000"/>
                <w:szCs w:val="20"/>
              </w:rPr>
              <w:t>$0</w:t>
            </w:r>
          </w:p>
        </w:tc>
      </w:tr>
      <w:tr w14:paraId="6BA99C5D"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3A1C85" w:rsidP="00AE4CE9" w14:paraId="2F945219" w14:textId="1FE87C9B">
            <w:pPr>
              <w:widowControl/>
              <w:autoSpaceDE/>
              <w:autoSpaceDN/>
              <w:adjustRightInd/>
              <w:jc w:val="center"/>
              <w:rPr>
                <w:color w:val="000000"/>
                <w:szCs w:val="20"/>
              </w:rPr>
            </w:pPr>
            <w:r>
              <w:rPr>
                <w:color w:val="000000"/>
                <w:szCs w:val="20"/>
              </w:rPr>
              <w:t>10</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7044FC52" w14:textId="31EB6BD3">
            <w:pPr>
              <w:widowControl/>
              <w:autoSpaceDE/>
              <w:autoSpaceDN/>
              <w:adjustRightInd/>
              <w:rPr>
                <w:szCs w:val="20"/>
              </w:rPr>
            </w:pPr>
            <w:r w:rsidRPr="003A1C85">
              <w:rPr>
                <w:color w:val="000000"/>
                <w:szCs w:val="20"/>
              </w:rPr>
              <w:t>Hospices</w:t>
            </w:r>
            <w:r>
              <w:rPr>
                <w:color w:val="000000"/>
                <w:szCs w:val="20"/>
              </w:rPr>
              <w:t xml:space="preserve"> - </w:t>
            </w:r>
            <w:r w:rsidRPr="003A1C85">
              <w:rPr>
                <w:color w:val="000000"/>
                <w:szCs w:val="20"/>
              </w:rPr>
              <w:t>Outpatient</w:t>
            </w:r>
            <w:r>
              <w:rPr>
                <w:color w:val="000000"/>
                <w:szCs w:val="20"/>
              </w:rPr>
              <w:t xml:space="preserve"> </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2190CB81" w14:textId="77777777">
            <w:pPr>
              <w:widowControl/>
              <w:autoSpaceDE/>
              <w:autoSpaceDN/>
              <w:adjustRightInd/>
              <w:rPr>
                <w:color w:val="000000"/>
                <w:szCs w:val="20"/>
              </w:rPr>
            </w:pPr>
            <w:r w:rsidRPr="00C2475B">
              <w:rPr>
                <w:color w:val="000000"/>
                <w:sz w:val="18"/>
                <w:szCs w:val="18"/>
              </w:rPr>
              <w:t>§ 418.113(a)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4ADBD520" w14:textId="77777777">
            <w:pPr>
              <w:widowControl/>
              <w:autoSpaceDE/>
              <w:autoSpaceDN/>
              <w:adjustRightInd/>
              <w:jc w:val="center"/>
              <w:rPr>
                <w:szCs w:val="20"/>
              </w:rPr>
            </w:pPr>
            <w:r w:rsidRPr="005D3EDE">
              <w:rPr>
                <w:szCs w:val="20"/>
              </w:rPr>
              <w:t>685</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6E8C0E7B" w14:textId="77777777">
            <w:pPr>
              <w:widowControl/>
              <w:autoSpaceDE/>
              <w:autoSpaceDN/>
              <w:adjustRightInd/>
              <w:jc w:val="center"/>
              <w:rPr>
                <w:color w:val="000000"/>
                <w:szCs w:val="20"/>
              </w:rPr>
            </w:pPr>
            <w:r w:rsidRPr="005D3EDE">
              <w:rPr>
                <w:color w:val="000000"/>
                <w:szCs w:val="20"/>
              </w:rPr>
              <w:t>685</w:t>
            </w:r>
          </w:p>
        </w:tc>
        <w:tc>
          <w:tcPr>
            <w:tcW w:w="1170" w:type="dxa"/>
            <w:tcBorders>
              <w:top w:val="nil"/>
              <w:left w:val="nil"/>
              <w:bottom w:val="single" w:sz="4" w:space="0" w:color="auto"/>
              <w:right w:val="single" w:sz="4" w:space="0" w:color="auto"/>
            </w:tcBorders>
            <w:vAlign w:val="bottom"/>
            <w:hideMark/>
          </w:tcPr>
          <w:p w:rsidR="00AE4CE9" w:rsidRPr="005D3EDE" w:rsidP="00AE4CE9" w14:paraId="0E146711" w14:textId="58091817">
            <w:pPr>
              <w:widowControl/>
              <w:autoSpaceDE/>
              <w:autoSpaceDN/>
              <w:adjustRightInd/>
              <w:jc w:val="center"/>
              <w:rPr>
                <w:szCs w:val="20"/>
              </w:rPr>
            </w:pPr>
            <w:r>
              <w:rPr>
                <w:szCs w:val="20"/>
              </w:rPr>
              <w:t>20</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3FC2BDAF" w14:textId="1C29EADC">
            <w:pPr>
              <w:widowControl/>
              <w:autoSpaceDE/>
              <w:autoSpaceDN/>
              <w:adjustRightInd/>
              <w:jc w:val="center"/>
              <w:rPr>
                <w:color w:val="000000"/>
                <w:szCs w:val="20"/>
              </w:rPr>
            </w:pPr>
            <w:r>
              <w:rPr>
                <w:color w:val="000000"/>
                <w:szCs w:val="20"/>
              </w:rPr>
              <w:t>13,700</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2CF3B97E" w14:textId="3F39A922">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1D1FE53A" w14:textId="740B0C2E">
            <w:pPr>
              <w:widowControl/>
              <w:autoSpaceDE/>
              <w:autoSpaceDN/>
              <w:adjustRightInd/>
              <w:jc w:val="right"/>
              <w:rPr>
                <w:color w:val="000000"/>
                <w:szCs w:val="20"/>
              </w:rPr>
            </w:pPr>
            <w:r>
              <w:rPr>
                <w:color w:val="000000"/>
                <w:szCs w:val="20"/>
              </w:rPr>
              <w:t>$4,397,700</w:t>
            </w:r>
          </w:p>
        </w:tc>
      </w:tr>
      <w:tr w14:paraId="438DB917"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6F197CAC" w14:textId="7F934910">
            <w:pPr>
              <w:widowControl/>
              <w:autoSpaceDE/>
              <w:autoSpaceDN/>
              <w:adjustRightInd/>
              <w:jc w:val="center"/>
              <w:rPr>
                <w:szCs w:val="20"/>
              </w:rPr>
            </w:pPr>
            <w:r>
              <w:rPr>
                <w:szCs w:val="20"/>
              </w:rPr>
              <w:t>11</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64E081C3" w14:textId="681E57C1">
            <w:pPr>
              <w:widowControl/>
              <w:autoSpaceDE/>
              <w:autoSpaceDN/>
              <w:adjustRightInd/>
              <w:rPr>
                <w:szCs w:val="20"/>
              </w:rPr>
            </w:pPr>
            <w:r w:rsidRPr="005D3EDE">
              <w:rPr>
                <w:szCs w:val="20"/>
              </w:rPr>
              <w:t>Hospitals</w:t>
            </w:r>
            <w:r>
              <w:rPr>
                <w:szCs w:val="20"/>
              </w:rPr>
              <w:t xml:space="preserve"> - </w:t>
            </w:r>
            <w:r w:rsidRPr="005D3EDE">
              <w:rPr>
                <w:szCs w:val="20"/>
              </w:rPr>
              <w:t>Non-TJC Accredited</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13DEF7ED" w14:textId="77777777">
            <w:pPr>
              <w:widowControl/>
              <w:autoSpaceDE/>
              <w:autoSpaceDN/>
              <w:adjustRightInd/>
              <w:rPr>
                <w:color w:val="000000"/>
                <w:szCs w:val="20"/>
              </w:rPr>
            </w:pPr>
            <w:r w:rsidRPr="00C2475B">
              <w:rPr>
                <w:color w:val="000000"/>
                <w:sz w:val="18"/>
                <w:szCs w:val="18"/>
              </w:rPr>
              <w:t>§ 482.15(a)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6BD9E9A8" w14:textId="77777777">
            <w:pPr>
              <w:widowControl/>
              <w:autoSpaceDE/>
              <w:autoSpaceDN/>
              <w:adjustRightInd/>
              <w:jc w:val="center"/>
              <w:rPr>
                <w:szCs w:val="20"/>
              </w:rPr>
            </w:pPr>
            <w:r w:rsidRPr="005D3EDE">
              <w:rPr>
                <w:szCs w:val="20"/>
              </w:rPr>
              <w:t>45</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21E5B277" w14:textId="77777777">
            <w:pPr>
              <w:widowControl/>
              <w:autoSpaceDE/>
              <w:autoSpaceDN/>
              <w:adjustRightInd/>
              <w:jc w:val="center"/>
              <w:rPr>
                <w:color w:val="000000"/>
                <w:szCs w:val="20"/>
              </w:rPr>
            </w:pPr>
            <w:r w:rsidRPr="005D3EDE">
              <w:rPr>
                <w:color w:val="000000"/>
                <w:szCs w:val="20"/>
              </w:rPr>
              <w:t>45</w:t>
            </w:r>
          </w:p>
        </w:tc>
        <w:tc>
          <w:tcPr>
            <w:tcW w:w="1170" w:type="dxa"/>
            <w:tcBorders>
              <w:top w:val="nil"/>
              <w:left w:val="nil"/>
              <w:bottom w:val="single" w:sz="4" w:space="0" w:color="auto"/>
              <w:right w:val="single" w:sz="4" w:space="0" w:color="auto"/>
            </w:tcBorders>
            <w:vAlign w:val="bottom"/>
            <w:hideMark/>
          </w:tcPr>
          <w:p w:rsidR="00AE4CE9" w:rsidRPr="005D3EDE" w:rsidP="00AE4CE9" w14:paraId="03FC5062" w14:textId="54262418">
            <w:pPr>
              <w:widowControl/>
              <w:autoSpaceDE/>
              <w:autoSpaceDN/>
              <w:adjustRightInd/>
              <w:jc w:val="center"/>
              <w:rPr>
                <w:szCs w:val="20"/>
              </w:rPr>
            </w:pPr>
            <w:r>
              <w:rPr>
                <w:szCs w:val="20"/>
              </w:rPr>
              <w:t>62</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1A46838" w14:textId="693EC3F1">
            <w:pPr>
              <w:widowControl/>
              <w:autoSpaceDE/>
              <w:autoSpaceDN/>
              <w:adjustRightInd/>
              <w:jc w:val="center"/>
              <w:rPr>
                <w:color w:val="000000"/>
                <w:szCs w:val="20"/>
              </w:rPr>
            </w:pPr>
            <w:r>
              <w:rPr>
                <w:color w:val="000000"/>
                <w:szCs w:val="20"/>
              </w:rPr>
              <w:t>2,790</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1B3ECAB1" w14:textId="64D823C4">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52F2B16E" w14:textId="6CFCF707">
            <w:pPr>
              <w:widowControl/>
              <w:autoSpaceDE/>
              <w:autoSpaceDN/>
              <w:adjustRightInd/>
              <w:jc w:val="right"/>
              <w:rPr>
                <w:color w:val="000000"/>
                <w:szCs w:val="20"/>
              </w:rPr>
            </w:pPr>
            <w:r>
              <w:rPr>
                <w:color w:val="000000"/>
                <w:szCs w:val="20"/>
              </w:rPr>
              <w:t>$895,590</w:t>
            </w:r>
          </w:p>
        </w:tc>
      </w:tr>
      <w:tr w14:paraId="789C1D1B"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4926DBFF" w14:textId="2276803A">
            <w:pPr>
              <w:widowControl/>
              <w:autoSpaceDE/>
              <w:autoSpaceDN/>
              <w:adjustRightInd/>
              <w:jc w:val="center"/>
              <w:rPr>
                <w:szCs w:val="20"/>
              </w:rPr>
            </w:pPr>
            <w:r>
              <w:rPr>
                <w:szCs w:val="20"/>
              </w:rPr>
              <w:t>12</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2F028DB5" w14:textId="3FD0D276">
            <w:pPr>
              <w:widowControl/>
              <w:autoSpaceDE/>
              <w:autoSpaceDN/>
              <w:adjustRightInd/>
              <w:rPr>
                <w:szCs w:val="20"/>
              </w:rPr>
            </w:pPr>
            <w:r w:rsidRPr="005D3EDE">
              <w:rPr>
                <w:szCs w:val="20"/>
              </w:rPr>
              <w:t>ICF/IIDs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1003373E" w14:textId="77777777">
            <w:pPr>
              <w:widowControl/>
              <w:autoSpaceDE/>
              <w:autoSpaceDN/>
              <w:adjustRightInd/>
              <w:rPr>
                <w:color w:val="000000"/>
                <w:szCs w:val="20"/>
              </w:rPr>
            </w:pPr>
            <w:r w:rsidRPr="00C2475B">
              <w:rPr>
                <w:color w:val="000000"/>
                <w:sz w:val="18"/>
                <w:szCs w:val="18"/>
              </w:rPr>
              <w:t>§ 483.475(a)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666AFADF" w14:textId="77777777">
            <w:pPr>
              <w:widowControl/>
              <w:autoSpaceDE/>
              <w:autoSpaceDN/>
              <w:adjustRightInd/>
              <w:jc w:val="center"/>
              <w:rPr>
                <w:szCs w:val="20"/>
              </w:rPr>
            </w:pPr>
            <w:r w:rsidRPr="005D3EDE">
              <w:rPr>
                <w:szCs w:val="20"/>
              </w:rPr>
              <w:t>24</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31272371" w14:textId="77777777">
            <w:pPr>
              <w:widowControl/>
              <w:autoSpaceDE/>
              <w:autoSpaceDN/>
              <w:adjustRightInd/>
              <w:jc w:val="center"/>
              <w:rPr>
                <w:color w:val="000000"/>
                <w:szCs w:val="20"/>
              </w:rPr>
            </w:pPr>
            <w:r w:rsidRPr="005D3EDE">
              <w:rPr>
                <w:color w:val="000000"/>
                <w:szCs w:val="20"/>
              </w:rPr>
              <w:t>24</w:t>
            </w:r>
          </w:p>
        </w:tc>
        <w:tc>
          <w:tcPr>
            <w:tcW w:w="1170" w:type="dxa"/>
            <w:tcBorders>
              <w:top w:val="nil"/>
              <w:left w:val="nil"/>
              <w:bottom w:val="single" w:sz="4" w:space="0" w:color="auto"/>
              <w:right w:val="single" w:sz="4" w:space="0" w:color="auto"/>
            </w:tcBorders>
            <w:vAlign w:val="bottom"/>
            <w:hideMark/>
          </w:tcPr>
          <w:p w:rsidR="00AE4CE9" w:rsidRPr="005D3EDE" w:rsidP="00AE4CE9" w14:paraId="45876524" w14:textId="2513840B">
            <w:pPr>
              <w:widowControl/>
              <w:autoSpaceDE/>
              <w:autoSpaceDN/>
              <w:adjustRightInd/>
              <w:jc w:val="center"/>
              <w:rPr>
                <w:szCs w:val="20"/>
              </w:rPr>
            </w:pPr>
            <w:r>
              <w:rPr>
                <w:szCs w:val="20"/>
              </w:rPr>
              <w:t>9</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763FEDAB" w14:textId="1C5B772A">
            <w:pPr>
              <w:widowControl/>
              <w:autoSpaceDE/>
              <w:autoSpaceDN/>
              <w:adjustRightInd/>
              <w:jc w:val="center"/>
              <w:rPr>
                <w:color w:val="000000"/>
                <w:szCs w:val="20"/>
              </w:rPr>
            </w:pPr>
            <w:r>
              <w:rPr>
                <w:color w:val="000000"/>
                <w:szCs w:val="20"/>
              </w:rPr>
              <w:t>216</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0D8D9FED" w14:textId="200E667D">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0D3D02AB" w14:textId="62485465">
            <w:pPr>
              <w:widowControl/>
              <w:autoSpaceDE/>
              <w:autoSpaceDN/>
              <w:adjustRightInd/>
              <w:jc w:val="right"/>
              <w:rPr>
                <w:color w:val="000000"/>
                <w:szCs w:val="20"/>
              </w:rPr>
            </w:pPr>
            <w:r>
              <w:rPr>
                <w:color w:val="000000"/>
                <w:szCs w:val="20"/>
              </w:rPr>
              <w:t>$69,336</w:t>
            </w:r>
          </w:p>
        </w:tc>
      </w:tr>
      <w:tr w14:paraId="1BF1D027" w14:textId="77777777" w:rsidTr="00577E9B">
        <w:tblPrEx>
          <w:tblW w:w="12150" w:type="dxa"/>
          <w:tblInd w:w="445" w:type="dxa"/>
          <w:tblLayout w:type="fixed"/>
          <w:tblLook w:val="04A0"/>
        </w:tblPrEx>
        <w:trPr>
          <w:trHeight w:val="305"/>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1705E86F" w14:textId="306728E8">
            <w:pPr>
              <w:widowControl/>
              <w:autoSpaceDE/>
              <w:autoSpaceDN/>
              <w:adjustRightInd/>
              <w:jc w:val="center"/>
              <w:rPr>
                <w:szCs w:val="20"/>
              </w:rPr>
            </w:pPr>
            <w:r>
              <w:rPr>
                <w:szCs w:val="20"/>
              </w:rPr>
              <w:t>13</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18157D7C" w14:textId="72D2AB63">
            <w:pPr>
              <w:widowControl/>
              <w:autoSpaceDE/>
              <w:autoSpaceDN/>
              <w:adjustRightInd/>
              <w:rPr>
                <w:szCs w:val="20"/>
              </w:rPr>
            </w:pPr>
            <w:r w:rsidRPr="005D3EDE">
              <w:rPr>
                <w:szCs w:val="20"/>
              </w:rPr>
              <w:t>OPOs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B7BCE73" w14:textId="77777777">
            <w:pPr>
              <w:widowControl/>
              <w:autoSpaceDE/>
              <w:autoSpaceDN/>
              <w:adjustRightInd/>
              <w:rPr>
                <w:color w:val="000000"/>
                <w:szCs w:val="20"/>
              </w:rPr>
            </w:pPr>
            <w:r w:rsidRPr="00C2475B">
              <w:rPr>
                <w:sz w:val="18"/>
                <w:szCs w:val="22"/>
              </w:rPr>
              <w:t>§ 486.360(a)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27ABC16F" w14:textId="77777777">
            <w:pPr>
              <w:widowControl/>
              <w:autoSpaceDE/>
              <w:autoSpaceDN/>
              <w:adjustRightInd/>
              <w:jc w:val="center"/>
              <w:rPr>
                <w:szCs w:val="20"/>
              </w:rPr>
            </w:pPr>
            <w:r w:rsidRPr="005D3EDE">
              <w:rPr>
                <w:szCs w:val="20"/>
              </w:rPr>
              <w:t>0</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32886E3" w14:textId="77777777">
            <w:pPr>
              <w:widowControl/>
              <w:autoSpaceDE/>
              <w:autoSpaceDN/>
              <w:adjustRightInd/>
              <w:jc w:val="center"/>
              <w:rPr>
                <w:color w:val="000000"/>
                <w:szCs w:val="20"/>
              </w:rPr>
            </w:pPr>
            <w:r w:rsidRPr="005D3EDE">
              <w:rPr>
                <w:color w:val="000000"/>
                <w:szCs w:val="20"/>
              </w:rPr>
              <w:t>0</w:t>
            </w:r>
          </w:p>
        </w:tc>
        <w:tc>
          <w:tcPr>
            <w:tcW w:w="1170" w:type="dxa"/>
            <w:tcBorders>
              <w:top w:val="nil"/>
              <w:left w:val="nil"/>
              <w:bottom w:val="single" w:sz="4" w:space="0" w:color="auto"/>
              <w:right w:val="single" w:sz="4" w:space="0" w:color="auto"/>
            </w:tcBorders>
            <w:vAlign w:val="bottom"/>
            <w:hideMark/>
          </w:tcPr>
          <w:p w:rsidR="00AE4CE9" w:rsidRPr="005D3EDE" w:rsidP="00AE4CE9" w14:paraId="44CB517C" w14:textId="516A7D6E">
            <w:pPr>
              <w:widowControl/>
              <w:autoSpaceDE/>
              <w:autoSpaceDN/>
              <w:adjustRightInd/>
              <w:jc w:val="center"/>
              <w:rPr>
                <w:color w:val="000000"/>
                <w:szCs w:val="20"/>
              </w:rPr>
            </w:pPr>
            <w:r>
              <w:rPr>
                <w:szCs w:val="20"/>
              </w:rPr>
              <w:t>22</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4701E388" w14:textId="41B3C314">
            <w:pPr>
              <w:widowControl/>
              <w:autoSpaceDE/>
              <w:autoSpaceDN/>
              <w:adjustRightInd/>
              <w:jc w:val="center"/>
              <w:rPr>
                <w:color w:val="000000"/>
                <w:szCs w:val="20"/>
              </w:rPr>
            </w:pPr>
            <w:r>
              <w:rPr>
                <w:color w:val="000000"/>
                <w:szCs w:val="20"/>
              </w:rPr>
              <w:t>0</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2E82AEF3" w14:textId="0B696A03">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667E723F" w14:textId="692046F2">
            <w:pPr>
              <w:widowControl/>
              <w:autoSpaceDE/>
              <w:autoSpaceDN/>
              <w:adjustRightInd/>
              <w:jc w:val="right"/>
              <w:rPr>
                <w:color w:val="000000"/>
                <w:szCs w:val="20"/>
              </w:rPr>
            </w:pPr>
            <w:r>
              <w:rPr>
                <w:color w:val="000000"/>
                <w:szCs w:val="20"/>
              </w:rPr>
              <w:t>$0</w:t>
            </w:r>
          </w:p>
        </w:tc>
      </w:tr>
      <w:tr w14:paraId="431C605B"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56D85918" w14:textId="10E494C3">
            <w:pPr>
              <w:widowControl/>
              <w:autoSpaceDE/>
              <w:autoSpaceDN/>
              <w:adjustRightInd/>
              <w:jc w:val="center"/>
              <w:rPr>
                <w:szCs w:val="20"/>
              </w:rPr>
            </w:pPr>
            <w:r>
              <w:rPr>
                <w:szCs w:val="20"/>
              </w:rPr>
              <w:t>14</w:t>
            </w:r>
          </w:p>
        </w:tc>
        <w:tc>
          <w:tcPr>
            <w:tcW w:w="297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618CECDD" w14:textId="06DEBB9B">
            <w:pPr>
              <w:widowControl/>
              <w:autoSpaceDE/>
              <w:autoSpaceDN/>
              <w:adjustRightInd/>
              <w:rPr>
                <w:szCs w:val="20"/>
              </w:rPr>
            </w:pPr>
            <w:r>
              <w:rPr>
                <w:szCs w:val="20"/>
              </w:rPr>
              <w:t>“Organizations”</w:t>
            </w:r>
          </w:p>
        </w:tc>
        <w:tc>
          <w:tcPr>
            <w:tcW w:w="1170" w:type="dxa"/>
            <w:tcBorders>
              <w:top w:val="nil"/>
              <w:left w:val="nil"/>
              <w:bottom w:val="single" w:sz="4" w:space="0" w:color="auto"/>
              <w:right w:val="single" w:sz="4" w:space="0" w:color="auto"/>
            </w:tcBorders>
            <w:noWrap/>
            <w:vAlign w:val="bottom"/>
          </w:tcPr>
          <w:p w:rsidR="00AE4CE9" w:rsidRPr="00C2475B" w:rsidP="00AE4CE9" w14:paraId="7667B253" w14:textId="7496AFCC">
            <w:pPr>
              <w:widowControl/>
              <w:autoSpaceDE/>
              <w:autoSpaceDN/>
              <w:adjustRightInd/>
              <w:rPr>
                <w:color w:val="000000"/>
                <w:sz w:val="18"/>
                <w:szCs w:val="18"/>
              </w:rPr>
            </w:pPr>
            <w:r w:rsidRPr="00C2475B">
              <w:rPr>
                <w:sz w:val="18"/>
                <w:szCs w:val="22"/>
              </w:rPr>
              <w:t>§ 485.727(a)</w:t>
            </w:r>
          </w:p>
        </w:tc>
        <w:tc>
          <w:tcPr>
            <w:tcW w:w="1440" w:type="dxa"/>
            <w:tcBorders>
              <w:top w:val="nil"/>
              <w:left w:val="nil"/>
              <w:bottom w:val="single" w:sz="4" w:space="0" w:color="auto"/>
              <w:right w:val="single" w:sz="4" w:space="0" w:color="auto"/>
            </w:tcBorders>
            <w:noWrap/>
            <w:vAlign w:val="bottom"/>
          </w:tcPr>
          <w:p w:rsidR="00AE4CE9" w:rsidRPr="005D3EDE" w:rsidP="00AE4CE9" w14:paraId="03310468" w14:textId="53E31115">
            <w:pPr>
              <w:widowControl/>
              <w:autoSpaceDE/>
              <w:autoSpaceDN/>
              <w:adjustRightInd/>
              <w:jc w:val="center"/>
              <w:rPr>
                <w:szCs w:val="20"/>
              </w:rPr>
            </w:pPr>
            <w:r w:rsidRPr="005D3EDE">
              <w:rPr>
                <w:szCs w:val="20"/>
              </w:rPr>
              <w:t>60</w:t>
            </w:r>
          </w:p>
        </w:tc>
        <w:tc>
          <w:tcPr>
            <w:tcW w:w="1170" w:type="dxa"/>
            <w:tcBorders>
              <w:top w:val="nil"/>
              <w:left w:val="nil"/>
              <w:bottom w:val="single" w:sz="4" w:space="0" w:color="auto"/>
              <w:right w:val="single" w:sz="4" w:space="0" w:color="auto"/>
            </w:tcBorders>
            <w:noWrap/>
            <w:vAlign w:val="bottom"/>
          </w:tcPr>
          <w:p w:rsidR="00AE4CE9" w:rsidRPr="005D3EDE" w:rsidP="00AE4CE9" w14:paraId="0A82ACC7" w14:textId="491322BA">
            <w:pPr>
              <w:widowControl/>
              <w:autoSpaceDE/>
              <w:autoSpaceDN/>
              <w:adjustRightInd/>
              <w:jc w:val="center"/>
              <w:rPr>
                <w:color w:val="000000"/>
                <w:szCs w:val="20"/>
              </w:rPr>
            </w:pPr>
            <w:r w:rsidRPr="005D3EDE">
              <w:rPr>
                <w:color w:val="000000"/>
                <w:szCs w:val="20"/>
              </w:rPr>
              <w:t>60</w:t>
            </w:r>
          </w:p>
        </w:tc>
        <w:tc>
          <w:tcPr>
            <w:tcW w:w="1170" w:type="dxa"/>
            <w:tcBorders>
              <w:top w:val="nil"/>
              <w:left w:val="nil"/>
              <w:bottom w:val="single" w:sz="4" w:space="0" w:color="auto"/>
              <w:right w:val="single" w:sz="4" w:space="0" w:color="auto"/>
            </w:tcBorders>
            <w:vAlign w:val="bottom"/>
          </w:tcPr>
          <w:p w:rsidR="00AE4CE9" w:rsidP="00AE4CE9" w14:paraId="522AFB1A" w14:textId="205EEE24">
            <w:pPr>
              <w:widowControl/>
              <w:autoSpaceDE/>
              <w:autoSpaceDN/>
              <w:adjustRightInd/>
              <w:jc w:val="center"/>
              <w:rPr>
                <w:szCs w:val="20"/>
              </w:rPr>
            </w:pPr>
            <w:r>
              <w:rPr>
                <w:szCs w:val="20"/>
              </w:rPr>
              <w:t>12</w:t>
            </w:r>
          </w:p>
        </w:tc>
        <w:tc>
          <w:tcPr>
            <w:tcW w:w="1170" w:type="dxa"/>
            <w:tcBorders>
              <w:top w:val="nil"/>
              <w:left w:val="nil"/>
              <w:bottom w:val="single" w:sz="4" w:space="0" w:color="auto"/>
              <w:right w:val="single" w:sz="4" w:space="0" w:color="auto"/>
            </w:tcBorders>
            <w:noWrap/>
            <w:vAlign w:val="bottom"/>
          </w:tcPr>
          <w:p w:rsidR="00AE4CE9" w:rsidP="00AE4CE9" w14:paraId="55EFF6BE" w14:textId="27ED67A5">
            <w:pPr>
              <w:widowControl/>
              <w:autoSpaceDE/>
              <w:autoSpaceDN/>
              <w:adjustRightInd/>
              <w:jc w:val="center"/>
              <w:rPr>
                <w:color w:val="000000"/>
                <w:szCs w:val="20"/>
              </w:rPr>
            </w:pPr>
            <w:r>
              <w:rPr>
                <w:color w:val="000000"/>
                <w:szCs w:val="20"/>
              </w:rPr>
              <w:t>720</w:t>
            </w:r>
          </w:p>
        </w:tc>
        <w:tc>
          <w:tcPr>
            <w:tcW w:w="1080" w:type="dxa"/>
            <w:tcBorders>
              <w:top w:val="nil"/>
              <w:left w:val="nil"/>
              <w:bottom w:val="single" w:sz="4" w:space="0" w:color="auto"/>
              <w:right w:val="single" w:sz="4" w:space="0" w:color="auto"/>
            </w:tcBorders>
            <w:noWrap/>
            <w:vAlign w:val="center"/>
          </w:tcPr>
          <w:p w:rsidR="00AE4CE9" w:rsidRPr="00C3770B" w:rsidP="00AE4CE9" w14:paraId="71D9AD90" w14:textId="43AFFC09">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tcPr>
          <w:p w:rsidR="00AE4CE9" w:rsidP="00AE4CE9" w14:paraId="46E465A6" w14:textId="3FEF680A">
            <w:pPr>
              <w:widowControl/>
              <w:autoSpaceDE/>
              <w:autoSpaceDN/>
              <w:adjustRightInd/>
              <w:jc w:val="right"/>
              <w:rPr>
                <w:color w:val="000000"/>
                <w:szCs w:val="20"/>
              </w:rPr>
            </w:pPr>
            <w:r>
              <w:rPr>
                <w:color w:val="000000"/>
                <w:szCs w:val="20"/>
              </w:rPr>
              <w:t>$231,120</w:t>
            </w:r>
          </w:p>
        </w:tc>
      </w:tr>
      <w:tr w14:paraId="542E597F"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31330F47" w14:textId="2DB0475C">
            <w:pPr>
              <w:widowControl/>
              <w:autoSpaceDE/>
              <w:autoSpaceDN/>
              <w:adjustRightInd/>
              <w:jc w:val="center"/>
              <w:rPr>
                <w:szCs w:val="20"/>
              </w:rPr>
            </w:pPr>
            <w:r>
              <w:rPr>
                <w:szCs w:val="20"/>
              </w:rPr>
              <w:t>15</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26CB25E9" w14:textId="44DEC4DC">
            <w:pPr>
              <w:widowControl/>
              <w:autoSpaceDE/>
              <w:autoSpaceDN/>
              <w:adjustRightInd/>
              <w:rPr>
                <w:szCs w:val="20"/>
              </w:rPr>
            </w:pPr>
            <w:r w:rsidRPr="005D3EDE">
              <w:rPr>
                <w:szCs w:val="20"/>
              </w:rPr>
              <w:t>PACE organizations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5A7A28E5" w14:textId="77777777">
            <w:pPr>
              <w:widowControl/>
              <w:autoSpaceDE/>
              <w:autoSpaceDN/>
              <w:adjustRightInd/>
              <w:rPr>
                <w:color w:val="000000"/>
                <w:szCs w:val="20"/>
              </w:rPr>
            </w:pPr>
            <w:r w:rsidRPr="00C2475B">
              <w:rPr>
                <w:color w:val="000000"/>
                <w:sz w:val="18"/>
                <w:szCs w:val="18"/>
              </w:rPr>
              <w:t>§ 460.84(a)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1B7FBD73" w14:textId="77777777">
            <w:pPr>
              <w:widowControl/>
              <w:autoSpaceDE/>
              <w:autoSpaceDN/>
              <w:adjustRightInd/>
              <w:jc w:val="center"/>
              <w:rPr>
                <w:szCs w:val="20"/>
              </w:rPr>
            </w:pPr>
            <w:r w:rsidRPr="005D3EDE">
              <w:rPr>
                <w:szCs w:val="20"/>
              </w:rPr>
              <w:t>1</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0E93999B" w14:textId="77777777">
            <w:pPr>
              <w:widowControl/>
              <w:autoSpaceDE/>
              <w:autoSpaceDN/>
              <w:adjustRightInd/>
              <w:jc w:val="center"/>
              <w:rPr>
                <w:color w:val="000000"/>
                <w:szCs w:val="20"/>
              </w:rPr>
            </w:pPr>
            <w:r w:rsidRPr="005D3EDE">
              <w:rPr>
                <w:color w:val="000000"/>
                <w:szCs w:val="20"/>
              </w:rPr>
              <w:t>1</w:t>
            </w:r>
          </w:p>
        </w:tc>
        <w:tc>
          <w:tcPr>
            <w:tcW w:w="1170" w:type="dxa"/>
            <w:tcBorders>
              <w:top w:val="nil"/>
              <w:left w:val="nil"/>
              <w:bottom w:val="single" w:sz="4" w:space="0" w:color="auto"/>
              <w:right w:val="single" w:sz="4" w:space="0" w:color="auto"/>
            </w:tcBorders>
            <w:vAlign w:val="bottom"/>
            <w:hideMark/>
          </w:tcPr>
          <w:p w:rsidR="00AE4CE9" w:rsidRPr="005D3EDE" w:rsidP="00AE4CE9" w14:paraId="4F7884F5" w14:textId="1D6FA4D3">
            <w:pPr>
              <w:widowControl/>
              <w:autoSpaceDE/>
              <w:autoSpaceDN/>
              <w:adjustRightInd/>
              <w:jc w:val="center"/>
              <w:rPr>
                <w:szCs w:val="20"/>
              </w:rPr>
            </w:pPr>
            <w:r>
              <w:rPr>
                <w:szCs w:val="20"/>
              </w:rPr>
              <w:t>23</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5D9186F0" w14:textId="539C7B41">
            <w:pPr>
              <w:widowControl/>
              <w:autoSpaceDE/>
              <w:autoSpaceDN/>
              <w:adjustRightInd/>
              <w:jc w:val="center"/>
              <w:rPr>
                <w:color w:val="000000"/>
                <w:szCs w:val="20"/>
              </w:rPr>
            </w:pPr>
            <w:r>
              <w:rPr>
                <w:color w:val="000000"/>
                <w:szCs w:val="20"/>
              </w:rPr>
              <w:t>23</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32F2A085" w14:textId="1FD3B48E">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2104E769" w14:textId="1ADB8CD2">
            <w:pPr>
              <w:widowControl/>
              <w:autoSpaceDE/>
              <w:autoSpaceDN/>
              <w:adjustRightInd/>
              <w:jc w:val="right"/>
              <w:rPr>
                <w:color w:val="000000"/>
                <w:szCs w:val="20"/>
              </w:rPr>
            </w:pPr>
            <w:r>
              <w:rPr>
                <w:color w:val="000000"/>
                <w:szCs w:val="20"/>
              </w:rPr>
              <w:t>$7,383</w:t>
            </w:r>
          </w:p>
        </w:tc>
      </w:tr>
      <w:tr w14:paraId="77C3012E" w14:textId="77777777" w:rsidTr="00577E9B">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72909217" w14:textId="27D6E664">
            <w:pPr>
              <w:widowControl/>
              <w:autoSpaceDE/>
              <w:autoSpaceDN/>
              <w:adjustRightInd/>
              <w:jc w:val="center"/>
              <w:rPr>
                <w:szCs w:val="20"/>
              </w:rPr>
            </w:pPr>
            <w:r>
              <w:rPr>
                <w:szCs w:val="20"/>
              </w:rPr>
              <w:t>16</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112C3960" w14:textId="0EDDEB17">
            <w:pPr>
              <w:widowControl/>
              <w:autoSpaceDE/>
              <w:autoSpaceDN/>
              <w:adjustRightInd/>
              <w:rPr>
                <w:szCs w:val="20"/>
              </w:rPr>
            </w:pPr>
            <w:r w:rsidRPr="005D3EDE">
              <w:rPr>
                <w:szCs w:val="20"/>
              </w:rPr>
              <w:t>PRTFs</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68A1E25A" w14:textId="77777777">
            <w:pPr>
              <w:widowControl/>
              <w:autoSpaceDE/>
              <w:autoSpaceDN/>
              <w:adjustRightInd/>
              <w:rPr>
                <w:color w:val="000000"/>
                <w:szCs w:val="20"/>
              </w:rPr>
            </w:pPr>
            <w:r w:rsidRPr="00C2475B">
              <w:rPr>
                <w:color w:val="000000"/>
                <w:sz w:val="18"/>
                <w:szCs w:val="18"/>
              </w:rPr>
              <w:t>§ 441.184(a)</w:t>
            </w:r>
          </w:p>
        </w:tc>
        <w:tc>
          <w:tcPr>
            <w:tcW w:w="1440" w:type="dxa"/>
            <w:tcBorders>
              <w:top w:val="nil"/>
              <w:left w:val="nil"/>
              <w:bottom w:val="single" w:sz="4" w:space="0" w:color="auto"/>
              <w:right w:val="single" w:sz="4" w:space="0" w:color="auto"/>
            </w:tcBorders>
            <w:noWrap/>
            <w:vAlign w:val="bottom"/>
            <w:hideMark/>
          </w:tcPr>
          <w:p w:rsidR="00AE4CE9" w:rsidRPr="005D3EDE" w:rsidP="00AE4CE9" w14:paraId="257585AB" w14:textId="77777777">
            <w:pPr>
              <w:widowControl/>
              <w:autoSpaceDE/>
              <w:autoSpaceDN/>
              <w:adjustRightInd/>
              <w:jc w:val="center"/>
              <w:rPr>
                <w:szCs w:val="20"/>
              </w:rPr>
            </w:pPr>
            <w:r w:rsidRPr="005D3EDE">
              <w:rPr>
                <w:szCs w:val="20"/>
              </w:rPr>
              <w:t>9</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2895A4F9" w14:textId="77777777">
            <w:pPr>
              <w:widowControl/>
              <w:autoSpaceDE/>
              <w:autoSpaceDN/>
              <w:adjustRightInd/>
              <w:jc w:val="center"/>
              <w:rPr>
                <w:color w:val="000000"/>
                <w:szCs w:val="20"/>
              </w:rPr>
            </w:pPr>
            <w:r w:rsidRPr="005D3EDE">
              <w:rPr>
                <w:color w:val="000000"/>
                <w:szCs w:val="20"/>
              </w:rPr>
              <w:t>9</w:t>
            </w:r>
          </w:p>
        </w:tc>
        <w:tc>
          <w:tcPr>
            <w:tcW w:w="1170" w:type="dxa"/>
            <w:tcBorders>
              <w:top w:val="nil"/>
              <w:left w:val="nil"/>
              <w:bottom w:val="single" w:sz="4" w:space="0" w:color="auto"/>
              <w:right w:val="single" w:sz="4" w:space="0" w:color="auto"/>
            </w:tcBorders>
            <w:vAlign w:val="bottom"/>
            <w:hideMark/>
          </w:tcPr>
          <w:p w:rsidR="00AE4CE9" w:rsidRPr="005D3EDE" w:rsidP="00AE4CE9" w14:paraId="0FE6B29C" w14:textId="7E430FC3">
            <w:pPr>
              <w:widowControl/>
              <w:autoSpaceDE/>
              <w:autoSpaceDN/>
              <w:adjustRightInd/>
              <w:jc w:val="center"/>
              <w:rPr>
                <w:szCs w:val="20"/>
              </w:rPr>
            </w:pPr>
            <w:r>
              <w:rPr>
                <w:szCs w:val="20"/>
              </w:rPr>
              <w:t>12</w:t>
            </w:r>
          </w:p>
        </w:tc>
        <w:tc>
          <w:tcPr>
            <w:tcW w:w="1170" w:type="dxa"/>
            <w:tcBorders>
              <w:top w:val="nil"/>
              <w:left w:val="nil"/>
              <w:bottom w:val="single" w:sz="4" w:space="0" w:color="auto"/>
              <w:right w:val="single" w:sz="4" w:space="0" w:color="auto"/>
            </w:tcBorders>
            <w:noWrap/>
            <w:vAlign w:val="bottom"/>
            <w:hideMark/>
          </w:tcPr>
          <w:p w:rsidR="00AE4CE9" w:rsidRPr="005D3EDE" w:rsidP="00AE4CE9" w14:paraId="205ECF75" w14:textId="5B5EEA15">
            <w:pPr>
              <w:widowControl/>
              <w:autoSpaceDE/>
              <w:autoSpaceDN/>
              <w:adjustRightInd/>
              <w:jc w:val="center"/>
              <w:rPr>
                <w:color w:val="000000"/>
                <w:szCs w:val="20"/>
              </w:rPr>
            </w:pPr>
            <w:r>
              <w:rPr>
                <w:color w:val="000000"/>
                <w:szCs w:val="20"/>
              </w:rPr>
              <w:t>108</w:t>
            </w:r>
          </w:p>
        </w:tc>
        <w:tc>
          <w:tcPr>
            <w:tcW w:w="1080" w:type="dxa"/>
            <w:tcBorders>
              <w:top w:val="nil"/>
              <w:left w:val="nil"/>
              <w:bottom w:val="single" w:sz="4" w:space="0" w:color="auto"/>
              <w:right w:val="single" w:sz="4" w:space="0" w:color="auto"/>
            </w:tcBorders>
            <w:noWrap/>
            <w:vAlign w:val="center"/>
            <w:hideMark/>
          </w:tcPr>
          <w:p w:rsidR="00AE4CE9" w:rsidRPr="005D3EDE" w:rsidP="00AE4CE9" w14:paraId="70498B9A" w14:textId="18EDA1A8">
            <w:pPr>
              <w:widowControl/>
              <w:autoSpaceDE/>
              <w:autoSpaceDN/>
              <w:adjustRightInd/>
              <w:jc w:val="center"/>
              <w:rPr>
                <w:color w:val="000000"/>
                <w:szCs w:val="20"/>
              </w:rPr>
            </w:pPr>
            <w:r w:rsidRPr="00BC5BF6">
              <w:rPr>
                <w:color w:val="000000"/>
                <w:szCs w:val="20"/>
              </w:rPr>
              <w:t>**</w:t>
            </w:r>
          </w:p>
        </w:tc>
        <w:tc>
          <w:tcPr>
            <w:tcW w:w="1350" w:type="dxa"/>
            <w:tcBorders>
              <w:top w:val="nil"/>
              <w:left w:val="nil"/>
              <w:bottom w:val="single" w:sz="4" w:space="0" w:color="auto"/>
              <w:right w:val="single" w:sz="4" w:space="0" w:color="auto"/>
            </w:tcBorders>
            <w:noWrap/>
            <w:vAlign w:val="bottom"/>
            <w:hideMark/>
          </w:tcPr>
          <w:p w:rsidR="00AE4CE9" w:rsidRPr="005D3EDE" w:rsidP="00AE4CE9" w14:paraId="507D7374" w14:textId="0B42BF5F">
            <w:pPr>
              <w:widowControl/>
              <w:autoSpaceDE/>
              <w:autoSpaceDN/>
              <w:adjustRightInd/>
              <w:jc w:val="right"/>
              <w:rPr>
                <w:color w:val="000000"/>
                <w:szCs w:val="20"/>
              </w:rPr>
            </w:pPr>
            <w:r>
              <w:rPr>
                <w:color w:val="000000"/>
                <w:szCs w:val="20"/>
              </w:rPr>
              <w:t>$34,668</w:t>
            </w:r>
          </w:p>
        </w:tc>
      </w:tr>
      <w:tr w14:paraId="7714C1CE" w14:textId="77777777" w:rsidTr="00321166">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AE4CE9" w:rsidRPr="005D3EDE" w:rsidP="00AE4CE9" w14:paraId="7DF84FD5" w14:textId="21EDDDDA">
            <w:pPr>
              <w:widowControl/>
              <w:autoSpaceDE/>
              <w:autoSpaceDN/>
              <w:adjustRightInd/>
              <w:jc w:val="center"/>
              <w:rPr>
                <w:szCs w:val="20"/>
              </w:rPr>
            </w:pPr>
            <w:r>
              <w:rPr>
                <w:szCs w:val="20"/>
              </w:rPr>
              <w:t>17</w:t>
            </w:r>
          </w:p>
        </w:tc>
        <w:tc>
          <w:tcPr>
            <w:tcW w:w="2970" w:type="dxa"/>
            <w:tcBorders>
              <w:top w:val="single" w:sz="4" w:space="0" w:color="auto"/>
              <w:left w:val="single" w:sz="4" w:space="0" w:color="auto"/>
              <w:bottom w:val="single" w:sz="4" w:space="0" w:color="auto"/>
              <w:right w:val="single" w:sz="4" w:space="0" w:color="auto"/>
            </w:tcBorders>
            <w:vAlign w:val="bottom"/>
            <w:hideMark/>
          </w:tcPr>
          <w:p w:rsidR="00AE4CE9" w:rsidRPr="005D3EDE" w:rsidP="00AE4CE9" w14:paraId="1FB8AE2E" w14:textId="2F417A29">
            <w:pPr>
              <w:widowControl/>
              <w:autoSpaceDE/>
              <w:autoSpaceDN/>
              <w:adjustRightInd/>
              <w:rPr>
                <w:szCs w:val="20"/>
              </w:rPr>
            </w:pPr>
            <w:r w:rsidRPr="005D3EDE">
              <w:rPr>
                <w:szCs w:val="20"/>
              </w:rPr>
              <w:t>REHs</w:t>
            </w:r>
          </w:p>
        </w:tc>
        <w:tc>
          <w:tcPr>
            <w:tcW w:w="1170" w:type="dxa"/>
            <w:tcBorders>
              <w:top w:val="single" w:sz="4" w:space="0" w:color="auto"/>
              <w:left w:val="nil"/>
              <w:bottom w:val="single" w:sz="4" w:space="0" w:color="auto"/>
              <w:right w:val="single" w:sz="4" w:space="0" w:color="auto"/>
            </w:tcBorders>
            <w:noWrap/>
            <w:vAlign w:val="bottom"/>
            <w:hideMark/>
          </w:tcPr>
          <w:p w:rsidR="00AE4CE9" w:rsidRPr="005D3EDE" w:rsidP="00AE4CE9" w14:paraId="0AFED29C" w14:textId="77777777">
            <w:pPr>
              <w:widowControl/>
              <w:autoSpaceDE/>
              <w:autoSpaceDN/>
              <w:adjustRightInd/>
              <w:rPr>
                <w:color w:val="000000"/>
                <w:szCs w:val="20"/>
              </w:rPr>
            </w:pPr>
            <w:r w:rsidRPr="003673CA">
              <w:rPr>
                <w:color w:val="000000"/>
                <w:sz w:val="18"/>
                <w:szCs w:val="18"/>
              </w:rPr>
              <w:t>§ 485.542</w:t>
            </w:r>
            <w:r w:rsidRPr="00C2475B">
              <w:rPr>
                <w:color w:val="000000"/>
                <w:sz w:val="18"/>
                <w:szCs w:val="18"/>
              </w:rPr>
              <w:t>(a)</w:t>
            </w:r>
          </w:p>
        </w:tc>
        <w:tc>
          <w:tcPr>
            <w:tcW w:w="1440" w:type="dxa"/>
            <w:tcBorders>
              <w:top w:val="single" w:sz="4" w:space="0" w:color="auto"/>
              <w:left w:val="nil"/>
              <w:bottom w:val="single" w:sz="4" w:space="0" w:color="auto"/>
              <w:right w:val="single" w:sz="4" w:space="0" w:color="auto"/>
            </w:tcBorders>
            <w:noWrap/>
            <w:vAlign w:val="bottom"/>
            <w:hideMark/>
          </w:tcPr>
          <w:p w:rsidR="00AE4CE9" w:rsidRPr="005D3EDE" w:rsidP="00AE4CE9" w14:paraId="6CE2717A" w14:textId="77777777">
            <w:pPr>
              <w:widowControl/>
              <w:autoSpaceDE/>
              <w:autoSpaceDN/>
              <w:adjustRightInd/>
              <w:jc w:val="center"/>
              <w:rPr>
                <w:szCs w:val="20"/>
              </w:rPr>
            </w:pPr>
            <w:r w:rsidRPr="005D3EDE">
              <w:rPr>
                <w:szCs w:val="20"/>
              </w:rPr>
              <w:t>19</w:t>
            </w:r>
          </w:p>
        </w:tc>
        <w:tc>
          <w:tcPr>
            <w:tcW w:w="1170" w:type="dxa"/>
            <w:tcBorders>
              <w:top w:val="single" w:sz="4" w:space="0" w:color="auto"/>
              <w:left w:val="nil"/>
              <w:bottom w:val="single" w:sz="4" w:space="0" w:color="auto"/>
              <w:right w:val="single" w:sz="4" w:space="0" w:color="auto"/>
            </w:tcBorders>
            <w:noWrap/>
            <w:vAlign w:val="bottom"/>
            <w:hideMark/>
          </w:tcPr>
          <w:p w:rsidR="00AE4CE9" w:rsidRPr="005D3EDE" w:rsidP="00AE4CE9" w14:paraId="4628481C" w14:textId="77777777">
            <w:pPr>
              <w:widowControl/>
              <w:autoSpaceDE/>
              <w:autoSpaceDN/>
              <w:adjustRightInd/>
              <w:jc w:val="center"/>
              <w:rPr>
                <w:color w:val="000000"/>
                <w:szCs w:val="20"/>
              </w:rPr>
            </w:pPr>
            <w:r w:rsidRPr="005D3EDE">
              <w:rPr>
                <w:color w:val="000000"/>
                <w:szCs w:val="20"/>
              </w:rPr>
              <w:t>19</w:t>
            </w:r>
          </w:p>
        </w:tc>
        <w:tc>
          <w:tcPr>
            <w:tcW w:w="1170" w:type="dxa"/>
            <w:tcBorders>
              <w:top w:val="single" w:sz="4" w:space="0" w:color="auto"/>
              <w:left w:val="nil"/>
              <w:bottom w:val="single" w:sz="4" w:space="0" w:color="auto"/>
              <w:right w:val="single" w:sz="4" w:space="0" w:color="auto"/>
            </w:tcBorders>
            <w:vAlign w:val="bottom"/>
            <w:hideMark/>
          </w:tcPr>
          <w:p w:rsidR="00AE4CE9" w:rsidRPr="005D3EDE" w:rsidP="00AE4CE9" w14:paraId="12633E81" w14:textId="39562C77">
            <w:pPr>
              <w:widowControl/>
              <w:autoSpaceDE/>
              <w:autoSpaceDN/>
              <w:adjustRightInd/>
              <w:jc w:val="center"/>
              <w:rPr>
                <w:color w:val="000000"/>
                <w:szCs w:val="20"/>
              </w:rPr>
            </w:pPr>
            <w:r>
              <w:rPr>
                <w:szCs w:val="20"/>
              </w:rPr>
              <w:t>26</w:t>
            </w:r>
          </w:p>
        </w:tc>
        <w:tc>
          <w:tcPr>
            <w:tcW w:w="1170" w:type="dxa"/>
            <w:tcBorders>
              <w:top w:val="single" w:sz="4" w:space="0" w:color="auto"/>
              <w:left w:val="nil"/>
              <w:bottom w:val="single" w:sz="4" w:space="0" w:color="auto"/>
              <w:right w:val="single" w:sz="4" w:space="0" w:color="auto"/>
            </w:tcBorders>
            <w:noWrap/>
            <w:vAlign w:val="bottom"/>
            <w:hideMark/>
          </w:tcPr>
          <w:p w:rsidR="00AE4CE9" w:rsidRPr="005D3EDE" w:rsidP="00AE4CE9" w14:paraId="046196A9" w14:textId="292767C9">
            <w:pPr>
              <w:widowControl/>
              <w:autoSpaceDE/>
              <w:autoSpaceDN/>
              <w:adjustRightInd/>
              <w:jc w:val="center"/>
              <w:rPr>
                <w:color w:val="000000"/>
                <w:szCs w:val="20"/>
              </w:rPr>
            </w:pPr>
            <w:r>
              <w:rPr>
                <w:color w:val="000000"/>
                <w:szCs w:val="20"/>
              </w:rPr>
              <w:t>494</w:t>
            </w:r>
          </w:p>
        </w:tc>
        <w:tc>
          <w:tcPr>
            <w:tcW w:w="1080" w:type="dxa"/>
            <w:tcBorders>
              <w:top w:val="single" w:sz="4" w:space="0" w:color="auto"/>
              <w:left w:val="nil"/>
              <w:bottom w:val="single" w:sz="4" w:space="0" w:color="auto"/>
              <w:right w:val="single" w:sz="4" w:space="0" w:color="auto"/>
            </w:tcBorders>
            <w:noWrap/>
            <w:vAlign w:val="center"/>
            <w:hideMark/>
          </w:tcPr>
          <w:p w:rsidR="00AE4CE9" w:rsidRPr="005D3EDE" w:rsidP="00AE4CE9" w14:paraId="2EDD82EC" w14:textId="3AA9BDD8">
            <w:pPr>
              <w:widowControl/>
              <w:autoSpaceDE/>
              <w:autoSpaceDN/>
              <w:adjustRightInd/>
              <w:jc w:val="center"/>
              <w:rPr>
                <w:color w:val="000000"/>
                <w:szCs w:val="20"/>
              </w:rPr>
            </w:pPr>
            <w:r w:rsidRPr="00BC5BF6">
              <w:rPr>
                <w:color w:val="000000"/>
                <w:szCs w:val="20"/>
              </w:rPr>
              <w:t>**</w:t>
            </w:r>
          </w:p>
        </w:tc>
        <w:tc>
          <w:tcPr>
            <w:tcW w:w="1350" w:type="dxa"/>
            <w:tcBorders>
              <w:top w:val="single" w:sz="4" w:space="0" w:color="auto"/>
              <w:left w:val="nil"/>
              <w:bottom w:val="single" w:sz="4" w:space="0" w:color="auto"/>
              <w:right w:val="single" w:sz="4" w:space="0" w:color="auto"/>
            </w:tcBorders>
            <w:noWrap/>
            <w:vAlign w:val="bottom"/>
            <w:hideMark/>
          </w:tcPr>
          <w:p w:rsidR="00AE4CE9" w:rsidRPr="005D3EDE" w:rsidP="00AE4CE9" w14:paraId="02F4740D" w14:textId="2E457951">
            <w:pPr>
              <w:widowControl/>
              <w:autoSpaceDE/>
              <w:autoSpaceDN/>
              <w:adjustRightInd/>
              <w:jc w:val="right"/>
              <w:rPr>
                <w:color w:val="000000"/>
                <w:szCs w:val="20"/>
              </w:rPr>
            </w:pPr>
            <w:r>
              <w:rPr>
                <w:color w:val="000000"/>
                <w:szCs w:val="20"/>
              </w:rPr>
              <w:t>$158,574</w:t>
            </w:r>
          </w:p>
        </w:tc>
      </w:tr>
      <w:tr w14:paraId="53188295" w14:textId="77777777" w:rsidTr="00F03863">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4A3D5F" w:rsidRPr="005D3EDE" w:rsidP="00AE4CE9" w14:paraId="4E5DC5F2" w14:textId="7EC8A272">
            <w:pPr>
              <w:widowControl/>
              <w:autoSpaceDE/>
              <w:autoSpaceDN/>
              <w:adjustRightInd/>
              <w:jc w:val="center"/>
              <w:rPr>
                <w:szCs w:val="20"/>
              </w:rPr>
            </w:pPr>
            <w:r>
              <w:rPr>
                <w:szCs w:val="20"/>
              </w:rPr>
              <w:t>18</w:t>
            </w:r>
          </w:p>
        </w:tc>
        <w:tc>
          <w:tcPr>
            <w:tcW w:w="2970" w:type="dxa"/>
            <w:tcBorders>
              <w:top w:val="single" w:sz="4" w:space="0" w:color="auto"/>
              <w:left w:val="single" w:sz="4" w:space="0" w:color="auto"/>
              <w:bottom w:val="single" w:sz="4" w:space="0" w:color="auto"/>
              <w:right w:val="single" w:sz="4" w:space="0" w:color="auto"/>
            </w:tcBorders>
            <w:vAlign w:val="bottom"/>
            <w:hideMark/>
          </w:tcPr>
          <w:p w:rsidR="004A3D5F" w:rsidRPr="005D3EDE" w:rsidP="00893000" w14:paraId="725BE6AF" w14:textId="3A1B8F85">
            <w:pPr>
              <w:widowControl/>
              <w:autoSpaceDE/>
              <w:autoSpaceDN/>
              <w:adjustRightInd/>
              <w:rPr>
                <w:szCs w:val="20"/>
              </w:rPr>
            </w:pPr>
            <w:r w:rsidRPr="005D3EDE">
              <w:rPr>
                <w:szCs w:val="20"/>
              </w:rPr>
              <w:t>RHCs</w:t>
            </w:r>
          </w:p>
        </w:tc>
        <w:tc>
          <w:tcPr>
            <w:tcW w:w="1170" w:type="dxa"/>
            <w:tcBorders>
              <w:top w:val="single" w:sz="4" w:space="0" w:color="auto"/>
              <w:left w:val="nil"/>
              <w:bottom w:val="single" w:sz="4" w:space="0" w:color="auto"/>
              <w:right w:val="single" w:sz="4" w:space="0" w:color="auto"/>
            </w:tcBorders>
            <w:noWrap/>
            <w:vAlign w:val="bottom"/>
            <w:hideMark/>
          </w:tcPr>
          <w:p w:rsidR="004A3D5F" w:rsidRPr="005D3EDE" w:rsidP="00893000" w14:paraId="4AADB93D" w14:textId="77777777">
            <w:pPr>
              <w:widowControl/>
              <w:autoSpaceDE/>
              <w:autoSpaceDN/>
              <w:adjustRightInd/>
              <w:rPr>
                <w:color w:val="000000"/>
                <w:szCs w:val="20"/>
              </w:rPr>
            </w:pPr>
            <w:r w:rsidRPr="00C2475B">
              <w:rPr>
                <w:sz w:val="18"/>
                <w:szCs w:val="22"/>
              </w:rPr>
              <w:t>§ 491.12(a)</w:t>
            </w:r>
          </w:p>
        </w:tc>
        <w:tc>
          <w:tcPr>
            <w:tcW w:w="1440" w:type="dxa"/>
            <w:tcBorders>
              <w:top w:val="single" w:sz="4" w:space="0" w:color="auto"/>
              <w:left w:val="nil"/>
              <w:bottom w:val="single" w:sz="4" w:space="0" w:color="auto"/>
              <w:right w:val="single" w:sz="4" w:space="0" w:color="auto"/>
            </w:tcBorders>
            <w:noWrap/>
            <w:vAlign w:val="bottom"/>
            <w:hideMark/>
          </w:tcPr>
          <w:p w:rsidR="004A3D5F" w:rsidRPr="005D3EDE" w:rsidP="00893000" w14:paraId="05A84822" w14:textId="77777777">
            <w:pPr>
              <w:widowControl/>
              <w:autoSpaceDE/>
              <w:autoSpaceDN/>
              <w:adjustRightInd/>
              <w:jc w:val="center"/>
              <w:rPr>
                <w:szCs w:val="20"/>
              </w:rPr>
            </w:pPr>
            <w:r w:rsidRPr="005D3EDE">
              <w:rPr>
                <w:szCs w:val="20"/>
              </w:rPr>
              <w:t>339</w:t>
            </w:r>
          </w:p>
        </w:tc>
        <w:tc>
          <w:tcPr>
            <w:tcW w:w="1170" w:type="dxa"/>
            <w:tcBorders>
              <w:top w:val="single" w:sz="4" w:space="0" w:color="auto"/>
              <w:left w:val="nil"/>
              <w:bottom w:val="single" w:sz="4" w:space="0" w:color="auto"/>
              <w:right w:val="single" w:sz="4" w:space="0" w:color="auto"/>
            </w:tcBorders>
            <w:noWrap/>
            <w:vAlign w:val="bottom"/>
            <w:hideMark/>
          </w:tcPr>
          <w:p w:rsidR="004A3D5F" w:rsidRPr="005D3EDE" w:rsidP="00893000" w14:paraId="23E3F434" w14:textId="77777777">
            <w:pPr>
              <w:widowControl/>
              <w:autoSpaceDE/>
              <w:autoSpaceDN/>
              <w:adjustRightInd/>
              <w:jc w:val="center"/>
              <w:rPr>
                <w:color w:val="000000"/>
                <w:szCs w:val="20"/>
              </w:rPr>
            </w:pPr>
            <w:r w:rsidRPr="005D3EDE">
              <w:rPr>
                <w:color w:val="000000"/>
                <w:szCs w:val="20"/>
              </w:rPr>
              <w:t>339</w:t>
            </w:r>
          </w:p>
        </w:tc>
        <w:tc>
          <w:tcPr>
            <w:tcW w:w="1170" w:type="dxa"/>
            <w:tcBorders>
              <w:top w:val="single" w:sz="4" w:space="0" w:color="auto"/>
              <w:left w:val="nil"/>
              <w:bottom w:val="single" w:sz="4" w:space="0" w:color="auto"/>
              <w:right w:val="single" w:sz="4" w:space="0" w:color="auto"/>
            </w:tcBorders>
            <w:vAlign w:val="bottom"/>
            <w:hideMark/>
          </w:tcPr>
          <w:p w:rsidR="004A3D5F" w:rsidRPr="005D3EDE" w:rsidP="00893000" w14:paraId="7B1C3D0A" w14:textId="52183493">
            <w:pPr>
              <w:widowControl/>
              <w:autoSpaceDE/>
              <w:autoSpaceDN/>
              <w:adjustRightInd/>
              <w:jc w:val="center"/>
              <w:rPr>
                <w:color w:val="000000"/>
                <w:szCs w:val="20"/>
              </w:rPr>
            </w:pPr>
            <w:r>
              <w:rPr>
                <w:szCs w:val="20"/>
              </w:rPr>
              <w:t>14</w:t>
            </w:r>
          </w:p>
        </w:tc>
        <w:tc>
          <w:tcPr>
            <w:tcW w:w="1170" w:type="dxa"/>
            <w:tcBorders>
              <w:top w:val="single" w:sz="4" w:space="0" w:color="auto"/>
              <w:left w:val="nil"/>
              <w:bottom w:val="single" w:sz="4" w:space="0" w:color="auto"/>
              <w:right w:val="single" w:sz="4" w:space="0" w:color="auto"/>
            </w:tcBorders>
            <w:noWrap/>
            <w:vAlign w:val="bottom"/>
            <w:hideMark/>
          </w:tcPr>
          <w:p w:rsidR="004A3D5F" w:rsidRPr="005D3EDE" w:rsidP="00893000" w14:paraId="055E93C9" w14:textId="67995743">
            <w:pPr>
              <w:widowControl/>
              <w:autoSpaceDE/>
              <w:autoSpaceDN/>
              <w:adjustRightInd/>
              <w:jc w:val="center"/>
              <w:rPr>
                <w:color w:val="000000"/>
                <w:szCs w:val="20"/>
              </w:rPr>
            </w:pPr>
            <w:r>
              <w:rPr>
                <w:color w:val="000000"/>
                <w:szCs w:val="20"/>
              </w:rPr>
              <w:t>4,746</w:t>
            </w:r>
          </w:p>
        </w:tc>
        <w:tc>
          <w:tcPr>
            <w:tcW w:w="1080" w:type="dxa"/>
            <w:tcBorders>
              <w:top w:val="single" w:sz="4" w:space="0" w:color="auto"/>
              <w:left w:val="nil"/>
              <w:bottom w:val="single" w:sz="4" w:space="0" w:color="auto"/>
              <w:right w:val="single" w:sz="4" w:space="0" w:color="auto"/>
            </w:tcBorders>
            <w:noWrap/>
            <w:vAlign w:val="center"/>
            <w:hideMark/>
          </w:tcPr>
          <w:p w:rsidR="004A3D5F" w:rsidRPr="005D3EDE" w:rsidP="00893000" w14:paraId="18582FE8" w14:textId="4070EBAB">
            <w:pPr>
              <w:widowControl/>
              <w:autoSpaceDE/>
              <w:autoSpaceDN/>
              <w:adjustRightInd/>
              <w:jc w:val="center"/>
              <w:rPr>
                <w:color w:val="000000"/>
                <w:szCs w:val="20"/>
              </w:rPr>
            </w:pPr>
            <w:r w:rsidRPr="00C3770B">
              <w:rPr>
                <w:color w:val="000000"/>
                <w:szCs w:val="20"/>
              </w:rPr>
              <w:t>*</w:t>
            </w:r>
            <w:r w:rsidR="00AE4CE9">
              <w:rPr>
                <w:color w:val="000000"/>
                <w:szCs w:val="20"/>
              </w:rPr>
              <w:t>*</w:t>
            </w:r>
          </w:p>
        </w:tc>
        <w:tc>
          <w:tcPr>
            <w:tcW w:w="1350" w:type="dxa"/>
            <w:tcBorders>
              <w:top w:val="single" w:sz="4" w:space="0" w:color="auto"/>
              <w:left w:val="nil"/>
              <w:bottom w:val="single" w:sz="4" w:space="0" w:color="auto"/>
              <w:right w:val="single" w:sz="4" w:space="0" w:color="auto"/>
            </w:tcBorders>
            <w:noWrap/>
            <w:vAlign w:val="bottom"/>
            <w:hideMark/>
          </w:tcPr>
          <w:p w:rsidR="004A3D5F" w:rsidRPr="005D3EDE" w:rsidP="00893000" w14:paraId="0A329F5E" w14:textId="54A5387C">
            <w:pPr>
              <w:widowControl/>
              <w:autoSpaceDE/>
              <w:autoSpaceDN/>
              <w:adjustRightInd/>
              <w:jc w:val="right"/>
              <w:rPr>
                <w:color w:val="000000"/>
                <w:szCs w:val="20"/>
              </w:rPr>
            </w:pPr>
            <w:r>
              <w:rPr>
                <w:color w:val="000000"/>
                <w:szCs w:val="20"/>
              </w:rPr>
              <w:t>$1,523,466</w:t>
            </w:r>
          </w:p>
        </w:tc>
      </w:tr>
      <w:tr w14:paraId="2D81B767" w14:textId="77777777" w:rsidTr="00F03863">
        <w:tblPrEx>
          <w:tblW w:w="12150" w:type="dxa"/>
          <w:tblInd w:w="445" w:type="dxa"/>
          <w:tblLayout w:type="fixed"/>
          <w:tblLook w:val="04A0"/>
        </w:tblPrEx>
        <w:trPr>
          <w:trHeight w:val="318"/>
        </w:trPr>
        <w:tc>
          <w:tcPr>
            <w:tcW w:w="630" w:type="dxa"/>
            <w:tcBorders>
              <w:top w:val="single" w:sz="4" w:space="0" w:color="auto"/>
              <w:left w:val="single" w:sz="4" w:space="0" w:color="auto"/>
              <w:bottom w:val="single" w:sz="4" w:space="0" w:color="auto"/>
              <w:right w:val="single" w:sz="4" w:space="0" w:color="auto"/>
            </w:tcBorders>
            <w:vAlign w:val="bottom"/>
          </w:tcPr>
          <w:p w:rsidR="004A3D5F" w:rsidRPr="005D3EDE" w:rsidP="00AE4CE9" w14:paraId="030C978A" w14:textId="1D64E00B">
            <w:pPr>
              <w:widowControl/>
              <w:autoSpaceDE/>
              <w:autoSpaceDN/>
              <w:adjustRightInd/>
              <w:jc w:val="center"/>
              <w:rPr>
                <w:szCs w:val="20"/>
              </w:rPr>
            </w:pPr>
            <w:r>
              <w:rPr>
                <w:szCs w:val="20"/>
              </w:rPr>
              <w:t>19</w:t>
            </w:r>
          </w:p>
        </w:tc>
        <w:tc>
          <w:tcPr>
            <w:tcW w:w="2970" w:type="dxa"/>
            <w:tcBorders>
              <w:top w:val="single" w:sz="4" w:space="0" w:color="auto"/>
              <w:left w:val="single" w:sz="4" w:space="0" w:color="auto"/>
              <w:bottom w:val="single" w:sz="4" w:space="0" w:color="auto"/>
              <w:right w:val="single" w:sz="4" w:space="0" w:color="auto"/>
            </w:tcBorders>
            <w:vAlign w:val="bottom"/>
            <w:hideMark/>
          </w:tcPr>
          <w:p w:rsidR="004A3D5F" w:rsidRPr="005D3EDE" w:rsidP="00893000" w14:paraId="6E567920" w14:textId="7E7FAC94">
            <w:pPr>
              <w:widowControl/>
              <w:autoSpaceDE/>
              <w:autoSpaceDN/>
              <w:adjustRightInd/>
              <w:rPr>
                <w:szCs w:val="20"/>
              </w:rPr>
            </w:pPr>
            <w:r w:rsidRPr="005D3EDE">
              <w:rPr>
                <w:szCs w:val="20"/>
              </w:rPr>
              <w:t>RNHCIs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4A3D5F" w:rsidRPr="005D3EDE" w:rsidP="00893000" w14:paraId="0671A927" w14:textId="77777777">
            <w:pPr>
              <w:widowControl/>
              <w:autoSpaceDE/>
              <w:autoSpaceDN/>
              <w:adjustRightInd/>
              <w:rPr>
                <w:color w:val="000000"/>
                <w:szCs w:val="20"/>
              </w:rPr>
            </w:pPr>
            <w:r w:rsidRPr="00C2475B">
              <w:rPr>
                <w:color w:val="000000"/>
                <w:sz w:val="18"/>
                <w:szCs w:val="18"/>
              </w:rPr>
              <w:t>§ 403.748(a)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4A3D5F" w:rsidRPr="005D3EDE" w:rsidP="00893000" w14:paraId="5172FFA1" w14:textId="77777777">
            <w:pPr>
              <w:widowControl/>
              <w:autoSpaceDE/>
              <w:autoSpaceDN/>
              <w:adjustRightInd/>
              <w:jc w:val="center"/>
              <w:rPr>
                <w:szCs w:val="20"/>
              </w:rPr>
            </w:pPr>
            <w:r w:rsidRPr="005D3EDE">
              <w:rPr>
                <w:szCs w:val="20"/>
              </w:rPr>
              <w:t>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4A3D5F" w:rsidRPr="005D3EDE" w:rsidP="00893000" w14:paraId="43C5A1C0" w14:textId="77777777">
            <w:pPr>
              <w:widowControl/>
              <w:autoSpaceDE/>
              <w:autoSpaceDN/>
              <w:adjustRightInd/>
              <w:jc w:val="center"/>
              <w:rPr>
                <w:color w:val="000000"/>
                <w:szCs w:val="20"/>
              </w:rPr>
            </w:pPr>
            <w:r w:rsidRPr="005D3EDE">
              <w:rPr>
                <w:color w:val="000000"/>
                <w:szCs w:val="20"/>
              </w:rPr>
              <w:t>0</w:t>
            </w:r>
          </w:p>
        </w:tc>
        <w:tc>
          <w:tcPr>
            <w:tcW w:w="1170" w:type="dxa"/>
            <w:tcBorders>
              <w:top w:val="single" w:sz="4" w:space="0" w:color="auto"/>
              <w:left w:val="single" w:sz="4" w:space="0" w:color="auto"/>
              <w:bottom w:val="single" w:sz="4" w:space="0" w:color="auto"/>
              <w:right w:val="single" w:sz="4" w:space="0" w:color="auto"/>
            </w:tcBorders>
            <w:vAlign w:val="bottom"/>
            <w:hideMark/>
          </w:tcPr>
          <w:p w:rsidR="004A3D5F" w:rsidRPr="005D3EDE" w:rsidP="00893000" w14:paraId="0FDB098F" w14:textId="4193DAAE">
            <w:pPr>
              <w:widowControl/>
              <w:autoSpaceDE/>
              <w:autoSpaceDN/>
              <w:adjustRightInd/>
              <w:jc w:val="center"/>
              <w:rPr>
                <w:szCs w:val="20"/>
              </w:rPr>
            </w:pPr>
            <w:r>
              <w:rPr>
                <w:szCs w:val="20"/>
              </w:rPr>
              <w:t>12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4A3D5F" w:rsidRPr="005D3EDE" w:rsidP="00893000" w14:paraId="610A7F60" w14:textId="6976E498">
            <w:pPr>
              <w:widowControl/>
              <w:autoSpaceDE/>
              <w:autoSpaceDN/>
              <w:adjustRightInd/>
              <w:jc w:val="center"/>
              <w:rPr>
                <w:color w:val="000000"/>
                <w:szCs w:val="20"/>
              </w:rPr>
            </w:pPr>
            <w:r>
              <w:rPr>
                <w:color w:val="000000"/>
                <w:szCs w:val="20"/>
              </w:rPr>
              <w:t>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A3D5F" w:rsidRPr="005D3EDE" w:rsidP="00893000" w14:paraId="6AC56A34" w14:textId="77777777">
            <w:pPr>
              <w:widowControl/>
              <w:autoSpaceDE/>
              <w:autoSpaceDN/>
              <w:adjustRightInd/>
              <w:jc w:val="center"/>
              <w:rPr>
                <w:color w:val="000000"/>
                <w:szCs w:val="20"/>
              </w:rPr>
            </w:pPr>
            <w:r w:rsidRPr="00C3770B">
              <w:rPr>
                <w:color w:val="000000"/>
                <w:szCs w:val="20"/>
              </w:rPr>
              <w:t>*</w:t>
            </w:r>
            <w:r>
              <w:rPr>
                <w:color w:val="000000"/>
                <w:szCs w:val="20"/>
              </w:rPr>
              <w:t>*</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4A3D5F" w:rsidRPr="005D3EDE" w:rsidP="00893000" w14:paraId="32882F0C" w14:textId="1F1C422A">
            <w:pPr>
              <w:widowControl/>
              <w:autoSpaceDE/>
              <w:autoSpaceDN/>
              <w:adjustRightInd/>
              <w:jc w:val="right"/>
              <w:rPr>
                <w:color w:val="000000"/>
                <w:szCs w:val="20"/>
              </w:rPr>
            </w:pPr>
            <w:r>
              <w:rPr>
                <w:color w:val="000000"/>
                <w:szCs w:val="20"/>
              </w:rPr>
              <w:t>$0</w:t>
            </w:r>
          </w:p>
        </w:tc>
      </w:tr>
      <w:tr w14:paraId="7AF850D9" w14:textId="77777777" w:rsidTr="00F03863">
        <w:tblPrEx>
          <w:tblW w:w="12150" w:type="dxa"/>
          <w:tblInd w:w="445" w:type="dxa"/>
          <w:tblLayout w:type="fixed"/>
          <w:tblLook w:val="04A0"/>
        </w:tblPrEx>
        <w:trPr>
          <w:trHeight w:val="318"/>
        </w:trPr>
        <w:tc>
          <w:tcPr>
            <w:tcW w:w="477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0348D0" w:rsidRPr="005D3EDE" w:rsidP="00893000" w14:paraId="1AC5E5F7" w14:textId="151E40A8">
            <w:pPr>
              <w:widowControl/>
              <w:autoSpaceDE/>
              <w:autoSpaceDN/>
              <w:adjustRightInd/>
              <w:jc w:val="right"/>
              <w:rPr>
                <w:b/>
                <w:bCs/>
                <w:color w:val="000000"/>
                <w:szCs w:val="20"/>
              </w:rPr>
            </w:pPr>
            <w:r w:rsidRPr="005D3EDE">
              <w:rPr>
                <w:b/>
                <w:bCs/>
                <w:color w:val="000000"/>
                <w:szCs w:val="20"/>
              </w:rPr>
              <w:t xml:space="preserve">Total Annual Burden/Costs </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0348D0" w:rsidRPr="005D3EDE" w:rsidP="00893000" w14:paraId="3513EDC0" w14:textId="77777777">
            <w:pPr>
              <w:widowControl/>
              <w:autoSpaceDE/>
              <w:autoSpaceDN/>
              <w:adjustRightInd/>
              <w:jc w:val="center"/>
              <w:rPr>
                <w:b/>
                <w:bCs/>
                <w:color w:val="000000"/>
                <w:szCs w:val="20"/>
              </w:rPr>
            </w:pPr>
            <w:r w:rsidRPr="005D3EDE">
              <w:rPr>
                <w:b/>
                <w:bCs/>
                <w:color w:val="000000"/>
                <w:szCs w:val="20"/>
              </w:rPr>
              <w:t>2,633</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0348D0" w:rsidRPr="005D3EDE" w:rsidP="00893000" w14:paraId="5894C15B" w14:textId="77777777">
            <w:pPr>
              <w:widowControl/>
              <w:autoSpaceDE/>
              <w:autoSpaceDN/>
              <w:adjustRightInd/>
              <w:jc w:val="center"/>
              <w:rPr>
                <w:b/>
                <w:bCs/>
                <w:color w:val="000000"/>
                <w:szCs w:val="20"/>
              </w:rPr>
            </w:pPr>
            <w:r w:rsidRPr="005D3EDE">
              <w:rPr>
                <w:b/>
                <w:bCs/>
                <w:color w:val="000000"/>
                <w:szCs w:val="20"/>
              </w:rPr>
              <w:t>2,633</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0348D0" w:rsidRPr="005D3EDE" w:rsidP="00893000" w14:paraId="5DCA9B65" w14:textId="4B9CEA05">
            <w:pPr>
              <w:widowControl/>
              <w:autoSpaceDE/>
              <w:autoSpaceDN/>
              <w:adjustRightInd/>
              <w:jc w:val="center"/>
              <w:rPr>
                <w:b/>
                <w:bCs/>
                <w:color w:val="000000"/>
                <w:szCs w:val="20"/>
              </w:rPr>
            </w:pPr>
            <w:r>
              <w:rPr>
                <w:b/>
                <w:bCs/>
                <w:color w:val="000000"/>
                <w:szCs w:val="20"/>
              </w:rPr>
              <w:t>332</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0348D0" w:rsidP="00893000" w14:paraId="7E4732AA" w14:textId="77777777">
            <w:pPr>
              <w:widowControl/>
              <w:autoSpaceDE/>
              <w:autoSpaceDN/>
              <w:adjustRightInd/>
              <w:jc w:val="center"/>
              <w:rPr>
                <w:b/>
                <w:bCs/>
                <w:color w:val="000000"/>
                <w:szCs w:val="20"/>
              </w:rPr>
            </w:pPr>
            <w:r>
              <w:rPr>
                <w:b/>
                <w:bCs/>
                <w:color w:val="000000"/>
                <w:szCs w:val="20"/>
              </w:rPr>
              <w:t>37,898</w:t>
            </w:r>
          </w:p>
          <w:p w:rsidR="000348D0" w:rsidRPr="005D3EDE" w:rsidP="00893000" w14:paraId="40B85BA4" w14:textId="56F6CB58">
            <w:pPr>
              <w:widowControl/>
              <w:autoSpaceDE/>
              <w:autoSpaceDN/>
              <w:adjustRightInd/>
              <w:jc w:val="center"/>
              <w:rPr>
                <w:b/>
                <w:bCs/>
                <w:color w:val="00000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0348D0" w:rsidRPr="005D3EDE" w:rsidP="00893000" w14:paraId="7BA07645" w14:textId="77777777">
            <w:pPr>
              <w:widowControl/>
              <w:autoSpaceDE/>
              <w:autoSpaceDN/>
              <w:adjustRightInd/>
              <w:jc w:val="center"/>
              <w:rPr>
                <w:b/>
                <w:bCs/>
                <w:color w:val="000000"/>
                <w:szCs w:val="20"/>
              </w:rPr>
            </w:pPr>
            <w:r w:rsidRPr="005D3EDE">
              <w:rPr>
                <w:b/>
                <w:bCs/>
                <w:color w:val="000000"/>
                <w:szCs w:val="20"/>
              </w:rPr>
              <w:t>n/a</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0348D0" w:rsidP="00893000" w14:paraId="28C1792B" w14:textId="0E2ABCEB">
            <w:pPr>
              <w:widowControl/>
              <w:autoSpaceDE/>
              <w:autoSpaceDN/>
              <w:adjustRightInd/>
              <w:jc w:val="right"/>
              <w:rPr>
                <w:b/>
                <w:bCs/>
                <w:color w:val="000000"/>
                <w:szCs w:val="20"/>
              </w:rPr>
            </w:pPr>
            <w:r w:rsidRPr="005D3EDE">
              <w:rPr>
                <w:b/>
                <w:bCs/>
                <w:color w:val="000000"/>
                <w:szCs w:val="20"/>
              </w:rPr>
              <w:t>$</w:t>
            </w:r>
            <w:r>
              <w:rPr>
                <w:b/>
                <w:bCs/>
                <w:color w:val="000000"/>
                <w:szCs w:val="20"/>
              </w:rPr>
              <w:t>12,165,258</w:t>
            </w:r>
          </w:p>
          <w:p w:rsidR="000348D0" w:rsidRPr="005D3EDE" w:rsidP="00893000" w14:paraId="55E63126" w14:textId="530C6C08">
            <w:pPr>
              <w:widowControl/>
              <w:autoSpaceDE/>
              <w:autoSpaceDN/>
              <w:adjustRightInd/>
              <w:jc w:val="right"/>
              <w:rPr>
                <w:b/>
                <w:bCs/>
                <w:color w:val="000000"/>
                <w:szCs w:val="20"/>
              </w:rPr>
            </w:pPr>
          </w:p>
        </w:tc>
      </w:tr>
    </w:tbl>
    <w:p w:rsidR="00817B25" w:rsidRPr="00490905" w:rsidP="00AE4CE9" w14:paraId="451F367D" w14:textId="0F76D778">
      <w:pPr>
        <w:widowControl/>
        <w:autoSpaceDE/>
        <w:autoSpaceDN/>
        <w:adjustRightInd/>
        <w:ind w:left="720"/>
      </w:pPr>
      <w:r w:rsidRPr="00490905">
        <w:t>*</w:t>
      </w:r>
      <w:r>
        <w:t xml:space="preserve"> </w:t>
      </w:r>
      <w:r w:rsidRPr="00F745BB">
        <w:rPr>
          <w:szCs w:val="20"/>
        </w:rPr>
        <w:t>Based on</w:t>
      </w:r>
      <w:r w:rsidR="00F10300">
        <w:rPr>
          <w:szCs w:val="20"/>
        </w:rPr>
        <w:t xml:space="preserve"> </w:t>
      </w:r>
      <w:hyperlink r:id="rId10" w:history="1">
        <w:r w:rsidRPr="00CA1EF5" w:rsidR="00F10300">
          <w:rPr>
            <w:rStyle w:val="Hyperlink"/>
            <w:szCs w:val="20"/>
          </w:rPr>
          <w:t>2016 Final Rule</w:t>
        </w:r>
      </w:hyperlink>
      <w:r w:rsidRPr="00F745BB">
        <w:rPr>
          <w:szCs w:val="20"/>
        </w:rPr>
        <w:t xml:space="preserve"> </w:t>
      </w:r>
    </w:p>
    <w:p w:rsidR="00AE4CE9" w:rsidRPr="00910C42" w:rsidP="00235735" w14:paraId="3F0134CA" w14:textId="2ECC8349">
      <w:pPr>
        <w:widowControl/>
        <w:autoSpaceDE/>
        <w:autoSpaceDN/>
        <w:adjustRightInd/>
        <w:ind w:left="720"/>
        <w:rPr>
          <w:szCs w:val="20"/>
        </w:rPr>
      </w:pPr>
      <w:r w:rsidRPr="594C7449">
        <w:t>** The hourly labor cost is blended between the wages for multiple staffing levels</w:t>
      </w:r>
      <w:r w:rsidRPr="00910C42" w:rsidR="005D3EDE">
        <w:rPr>
          <w:szCs w:val="20"/>
        </w:rPr>
        <w:t>.</w:t>
      </w:r>
    </w:p>
    <w:p w:rsidR="00AE4CE9" w:rsidP="005D3EDE" w14:paraId="00DD10D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Cs w:val="20"/>
        </w:rPr>
        <w:sectPr w:rsidSect="00AE4CE9">
          <w:endnotePr>
            <w:numFmt w:val="decimal"/>
          </w:endnotePr>
          <w:pgSz w:w="15840" w:h="12240" w:orient="landscape"/>
          <w:pgMar w:top="1440" w:right="1440" w:bottom="1440" w:left="1440" w:header="1440" w:footer="1440" w:gutter="0"/>
          <w:cols w:space="720"/>
          <w:noEndnote/>
          <w:docGrid w:linePitch="272"/>
        </w:sectPr>
      </w:pPr>
    </w:p>
    <w:p w:rsidR="00992EB5" w:rsidRPr="007E1B2C" w:rsidP="00431554" w14:paraId="4A6B8886" w14:textId="4C2BC8D9">
      <w:pPr>
        <w:pStyle w:val="Heading5"/>
      </w:pPr>
      <w:r w:rsidRPr="007E1B2C">
        <w:t>IC-</w:t>
      </w:r>
      <w:r w:rsidRPr="007E1B2C" w:rsidR="00914449">
        <w:t>1c</w:t>
      </w:r>
      <w:r w:rsidRPr="007E1B2C">
        <w:t xml:space="preserve">: </w:t>
      </w:r>
      <w:r w:rsidRPr="007E1B2C" w:rsidR="00212787">
        <w:t xml:space="preserve">Biennial </w:t>
      </w:r>
      <w:r w:rsidRPr="007E1B2C">
        <w:t>Review of E</w:t>
      </w:r>
      <w:r w:rsidRPr="007E1B2C" w:rsidR="00212787">
        <w:t xml:space="preserve">mergency </w:t>
      </w:r>
      <w:r w:rsidRPr="007E1B2C">
        <w:t>P</w:t>
      </w:r>
      <w:r w:rsidRPr="007E1B2C" w:rsidR="00212787">
        <w:t>reparedness Plan</w:t>
      </w:r>
    </w:p>
    <w:p w:rsidR="00290E79" w:rsidRPr="005C5DE3" w:rsidP="00122DAE" w14:paraId="1516658E" w14:textId="0D61525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requirement to conduct b</w:t>
      </w:r>
      <w:r w:rsidR="00914449">
        <w:rPr>
          <w:sz w:val="24"/>
        </w:rPr>
        <w:t>iennial review</w:t>
      </w:r>
      <w:r>
        <w:rPr>
          <w:sz w:val="24"/>
        </w:rPr>
        <w:t>s</w:t>
      </w:r>
      <w:r w:rsidR="00914449">
        <w:rPr>
          <w:sz w:val="24"/>
        </w:rPr>
        <w:t xml:space="preserve"> of </w:t>
      </w:r>
      <w:r>
        <w:rPr>
          <w:sz w:val="24"/>
        </w:rPr>
        <w:t xml:space="preserve">their </w:t>
      </w:r>
      <w:r w:rsidR="00914449">
        <w:rPr>
          <w:sz w:val="24"/>
        </w:rPr>
        <w:t>Emergency Preparedness plan</w:t>
      </w:r>
      <w:r>
        <w:rPr>
          <w:sz w:val="24"/>
        </w:rPr>
        <w:t xml:space="preserve"> is</w:t>
      </w:r>
      <w:r w:rsidR="00914449">
        <w:rPr>
          <w:sz w:val="24"/>
        </w:rPr>
        <w:t xml:space="preserve"> applicable to the following providers:</w:t>
      </w:r>
      <w:r>
        <w:rPr>
          <w:sz w:val="24"/>
        </w:rPr>
        <w:t xml:space="preserve"> </w:t>
      </w:r>
      <w:r w:rsidRPr="008A1272">
        <w:rPr>
          <w:sz w:val="24"/>
        </w:rPr>
        <w:t xml:space="preserve">RNHCIs at </w:t>
      </w:r>
      <w:r w:rsidRPr="008A1272">
        <w:rPr>
          <w:sz w:val="24"/>
          <w:u w:val="single"/>
        </w:rPr>
        <w:t xml:space="preserve">§403.748(a); ASCs at §416.54(a); Hospices at §418.113(a); PRTFs at §441.184(a); PACE at §460.84(a); Hospitals at §482.15(a); Transplant Programs §482.78(a); ICF/IIDs at §483.475(a); HHAs at §484.102(a); REHs at §485.542(a); CAHs at §485.625(a); CORFs at §485.68(a); </w:t>
      </w:r>
      <w:r w:rsidR="00405371">
        <w:rPr>
          <w:sz w:val="24"/>
          <w:u w:val="single"/>
        </w:rPr>
        <w:t>“Organizations”</w:t>
      </w:r>
      <w:r w:rsidRPr="008A1272">
        <w:rPr>
          <w:sz w:val="24"/>
          <w:u w:val="single"/>
        </w:rPr>
        <w:t xml:space="preserve"> at §485.727(a); CMHCs at §485.920(a); OPOs at §486.360(a); RHCs/FQHCs at §491.12(a); ESRD facilities at §494.62(a).</w:t>
      </w:r>
      <w:r w:rsidRPr="005C5DE3">
        <w:rPr>
          <w:sz w:val="24"/>
        </w:rPr>
        <w:t xml:space="preserve"> </w:t>
      </w:r>
    </w:p>
    <w:p w:rsidR="00914449" w:rsidRPr="00E2247C" w:rsidP="00122DAE" w14:paraId="39335C7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0E4BE2" w:rsidP="00122DAE" w14:paraId="6825595C" w14:textId="7D8DCFDA">
      <w:pPr>
        <w:ind w:left="18"/>
        <w:rPr>
          <w:sz w:val="24"/>
        </w:rPr>
      </w:pPr>
      <w:r>
        <w:rPr>
          <w:sz w:val="24"/>
        </w:rPr>
        <w:t>Currently certified f</w:t>
      </w:r>
      <w:r w:rsidR="006E716B">
        <w:rPr>
          <w:sz w:val="24"/>
        </w:rPr>
        <w:t xml:space="preserve">acilities must </w:t>
      </w:r>
      <w:r w:rsidR="009978AC">
        <w:rPr>
          <w:sz w:val="24"/>
        </w:rPr>
        <w:t>review and update their emergency preparedness plan at least biennially</w:t>
      </w:r>
      <w:r w:rsidR="006E716B">
        <w:rPr>
          <w:sz w:val="24"/>
        </w:rPr>
        <w:t>.</w:t>
      </w:r>
      <w:r>
        <w:rPr>
          <w:rStyle w:val="Style"/>
          <w:sz w:val="24"/>
          <w:szCs w:val="36"/>
        </w:rPr>
        <w:footnoteReference w:id="7"/>
      </w:r>
      <w:r>
        <w:rPr>
          <w:sz w:val="24"/>
        </w:rPr>
        <w:t xml:space="preserve"> </w:t>
      </w:r>
      <w:r>
        <w:rPr>
          <w:sz w:val="24"/>
        </w:rPr>
        <w:t>However, CMS expects that f</w:t>
      </w:r>
      <w:r w:rsidRPr="000E4BE2">
        <w:rPr>
          <w:sz w:val="24"/>
        </w:rPr>
        <w:t xml:space="preserve">acilities </w:t>
      </w:r>
      <w:r w:rsidR="00C00C32">
        <w:rPr>
          <w:sz w:val="24"/>
        </w:rPr>
        <w:t>will</w:t>
      </w:r>
      <w:r>
        <w:rPr>
          <w:sz w:val="24"/>
        </w:rPr>
        <w:t xml:space="preserve"> update</w:t>
      </w:r>
      <w:r w:rsidRPr="000E4BE2">
        <w:rPr>
          <w:sz w:val="24"/>
        </w:rPr>
        <w:t xml:space="preserve"> their emergency preparedness program more frequently</w:t>
      </w:r>
      <w:r w:rsidR="0041264C">
        <w:rPr>
          <w:sz w:val="24"/>
        </w:rPr>
        <w:t>, especially after</w:t>
      </w:r>
      <w:r w:rsidRPr="0041264C" w:rsidR="0041264C">
        <w:rPr>
          <w:sz w:val="24"/>
        </w:rPr>
        <w:t xml:space="preserve"> a facility experiences an emergency</w:t>
      </w:r>
      <w:r w:rsidR="0041264C">
        <w:rPr>
          <w:sz w:val="24"/>
        </w:rPr>
        <w:t xml:space="preserve"> so that their plan incorporates lessons learned or areas for improvement.</w:t>
      </w:r>
    </w:p>
    <w:p w:rsidR="000E4BE2" w:rsidP="00122DAE" w14:paraId="42D4BBA0" w14:textId="77777777">
      <w:pPr>
        <w:ind w:left="18"/>
        <w:rPr>
          <w:sz w:val="24"/>
        </w:rPr>
      </w:pPr>
    </w:p>
    <w:p w:rsidR="00992EB5" w:rsidP="00122DAE" w14:paraId="606B62D0" w14:textId="76E6E740">
      <w:pPr>
        <w:ind w:left="18"/>
        <w:rPr>
          <w:sz w:val="24"/>
        </w:rPr>
      </w:pPr>
      <w:r>
        <w:rPr>
          <w:sz w:val="24"/>
        </w:rPr>
        <w:t xml:space="preserve">This CoP was originally identified </w:t>
      </w:r>
      <w:r w:rsidR="0041264C">
        <w:rPr>
          <w:sz w:val="24"/>
        </w:rPr>
        <w:t xml:space="preserve">in the </w:t>
      </w:r>
      <w:hyperlink r:id="rId10" w:history="1">
        <w:r w:rsidRPr="00172208" w:rsidR="0041264C">
          <w:rPr>
            <w:rStyle w:val="Hyperlink"/>
            <w:sz w:val="24"/>
          </w:rPr>
          <w:t>2016 Final Rule</w:t>
        </w:r>
      </w:hyperlink>
      <w:r w:rsidR="0041264C">
        <w:rPr>
          <w:sz w:val="24"/>
        </w:rPr>
        <w:t xml:space="preserve"> </w:t>
      </w:r>
      <w:r>
        <w:rPr>
          <w:sz w:val="24"/>
        </w:rPr>
        <w:t xml:space="preserve">as a </w:t>
      </w:r>
      <w:r w:rsidRPr="001F627B">
        <w:rPr>
          <w:sz w:val="24"/>
        </w:rPr>
        <w:t>usual and customary business practice</w:t>
      </w:r>
      <w:r w:rsidR="0041264C">
        <w:rPr>
          <w:sz w:val="24"/>
        </w:rPr>
        <w:t xml:space="preserve"> for facilities</w:t>
      </w:r>
      <w:r>
        <w:rPr>
          <w:sz w:val="24"/>
        </w:rPr>
        <w:t xml:space="preserve"> </w:t>
      </w:r>
      <w:r w:rsidR="004E0F52">
        <w:rPr>
          <w:sz w:val="24"/>
        </w:rPr>
        <w:t xml:space="preserve">with existing emergency preparedness requirements, </w:t>
      </w:r>
      <w:r>
        <w:rPr>
          <w:sz w:val="24"/>
        </w:rPr>
        <w:t xml:space="preserve">and </w:t>
      </w:r>
      <w:r w:rsidR="0041264C">
        <w:rPr>
          <w:sz w:val="24"/>
        </w:rPr>
        <w:t xml:space="preserve">thus </w:t>
      </w:r>
      <w:r w:rsidR="004E0F52">
        <w:rPr>
          <w:sz w:val="24"/>
        </w:rPr>
        <w:t>the burden</w:t>
      </w:r>
      <w:r w:rsidR="007C1AFF">
        <w:rPr>
          <w:sz w:val="24"/>
        </w:rPr>
        <w:t xml:space="preserve"> from this ICR</w:t>
      </w:r>
      <w:r w:rsidR="004E0F52">
        <w:rPr>
          <w:sz w:val="24"/>
        </w:rPr>
        <w:t xml:space="preserve"> was </w:t>
      </w:r>
      <w:r>
        <w:rPr>
          <w:sz w:val="24"/>
        </w:rPr>
        <w:t>exempt from the PRA per</w:t>
      </w:r>
      <w:r w:rsidRPr="001F627B">
        <w:rPr>
          <w:sz w:val="24"/>
        </w:rPr>
        <w:t xml:space="preserve"> 5 CFR §1320.3(b)(2)</w:t>
      </w:r>
      <w:r w:rsidR="007C1AFF">
        <w:rPr>
          <w:sz w:val="24"/>
        </w:rPr>
        <w:t xml:space="preserve"> for most facilities</w:t>
      </w:r>
      <w:r w:rsidRPr="001F627B">
        <w:rPr>
          <w:sz w:val="24"/>
        </w:rPr>
        <w:t>.</w:t>
      </w:r>
      <w:r>
        <w:rPr>
          <w:rStyle w:val="FootnoteReference"/>
          <w:sz w:val="24"/>
          <w:vertAlign w:val="superscript"/>
        </w:rPr>
        <w:footnoteReference w:id="8"/>
      </w:r>
      <w:r>
        <w:rPr>
          <w:sz w:val="24"/>
        </w:rPr>
        <w:t xml:space="preserve"> </w:t>
      </w:r>
      <w:r w:rsidR="008876AF">
        <w:rPr>
          <w:sz w:val="24"/>
        </w:rPr>
        <w:t xml:space="preserve"> </w:t>
      </w:r>
      <w:r w:rsidR="005C2CF1">
        <w:rPr>
          <w:sz w:val="24"/>
        </w:rPr>
        <w:t xml:space="preserve">However, </w:t>
      </w:r>
      <w:r w:rsidR="00753F94">
        <w:rPr>
          <w:sz w:val="24"/>
        </w:rPr>
        <w:t>per t</w:t>
      </w:r>
      <w:r w:rsidRPr="00753F94" w:rsidR="00CA1EF5">
        <w:rPr>
          <w:sz w:val="24"/>
        </w:rPr>
        <w:t>he</w:t>
      </w:r>
      <w:r w:rsidRPr="00753F94" w:rsidR="005C2CF1">
        <w:rPr>
          <w:sz w:val="24"/>
        </w:rPr>
        <w:t xml:space="preserve"> </w:t>
      </w:r>
      <w:hyperlink r:id="rId11" w:history="1">
        <w:r w:rsidRPr="008876AF" w:rsidR="00CA1EF5">
          <w:rPr>
            <w:rStyle w:val="Hyperlink"/>
            <w:sz w:val="22"/>
            <w:szCs w:val="28"/>
          </w:rPr>
          <w:t>2018 Proposed Rule</w:t>
        </w:r>
      </w:hyperlink>
      <w:r w:rsidRPr="008876AF" w:rsidR="00753F94">
        <w:rPr>
          <w:rStyle w:val="Hyperlink"/>
          <w:sz w:val="22"/>
          <w:szCs w:val="28"/>
        </w:rPr>
        <w:t xml:space="preserve"> </w:t>
      </w:r>
      <w:r w:rsidR="00753F94">
        <w:rPr>
          <w:sz w:val="24"/>
        </w:rPr>
        <w:t xml:space="preserve">and the </w:t>
      </w:r>
      <w:hyperlink r:id="rId12" w:history="1">
        <w:r w:rsidRPr="00172208" w:rsidR="00753F94">
          <w:rPr>
            <w:rStyle w:val="Hyperlink"/>
            <w:sz w:val="24"/>
          </w:rPr>
          <w:t>2019 Final Rule</w:t>
        </w:r>
      </w:hyperlink>
      <w:r w:rsidR="008876AF">
        <w:rPr>
          <w:sz w:val="24"/>
        </w:rPr>
        <w:t>, C</w:t>
      </w:r>
      <w:r>
        <w:rPr>
          <w:sz w:val="24"/>
        </w:rPr>
        <w:t>MS</w:t>
      </w:r>
      <w:r w:rsidR="00753F94">
        <w:rPr>
          <w:sz w:val="24"/>
        </w:rPr>
        <w:t xml:space="preserve"> reassessed the </w:t>
      </w:r>
      <w:r>
        <w:rPr>
          <w:sz w:val="24"/>
        </w:rPr>
        <w:t xml:space="preserve">burden hours and costs </w:t>
      </w:r>
      <w:r w:rsidR="00753F94">
        <w:rPr>
          <w:sz w:val="24"/>
        </w:rPr>
        <w:t xml:space="preserve">for an annual review of the plan </w:t>
      </w:r>
      <w:r w:rsidR="007C1AFF">
        <w:rPr>
          <w:sz w:val="24"/>
        </w:rPr>
        <w:t>for all</w:t>
      </w:r>
      <w:r>
        <w:rPr>
          <w:sz w:val="24"/>
        </w:rPr>
        <w:t xml:space="preserve"> </w:t>
      </w:r>
      <w:r w:rsidR="00753F94">
        <w:rPr>
          <w:sz w:val="24"/>
        </w:rPr>
        <w:t>providers</w:t>
      </w:r>
      <w:r w:rsidR="00944FFD">
        <w:rPr>
          <w:sz w:val="24"/>
        </w:rPr>
        <w:t xml:space="preserve"> </w:t>
      </w:r>
      <w:r w:rsidR="0034431F">
        <w:rPr>
          <w:sz w:val="24"/>
        </w:rPr>
        <w:t xml:space="preserve">based on stakeholder feedback </w:t>
      </w:r>
      <w:r w:rsidR="00753F94">
        <w:rPr>
          <w:sz w:val="24"/>
        </w:rPr>
        <w:t xml:space="preserve">before reducing the hours by 50% to account for the change from an annual to </w:t>
      </w:r>
      <w:r w:rsidR="007C1AFF">
        <w:rPr>
          <w:sz w:val="24"/>
        </w:rPr>
        <w:t>biennial r</w:t>
      </w:r>
      <w:r>
        <w:rPr>
          <w:sz w:val="24"/>
        </w:rPr>
        <w:t>eview of the emergency preparedness pla</w:t>
      </w:r>
      <w:r w:rsidR="00212787">
        <w:rPr>
          <w:sz w:val="24"/>
        </w:rPr>
        <w:t>n.</w:t>
      </w:r>
      <w:r>
        <w:rPr>
          <w:rStyle w:val="StyleFootnoteReference12ptSuperscript"/>
        </w:rPr>
        <w:footnoteReference w:id="9"/>
      </w:r>
      <w:r w:rsidRPr="006019FE" w:rsidR="00212787">
        <w:rPr>
          <w:rStyle w:val="StyleFootnoteReference12ptSuperscript"/>
        </w:rPr>
        <w:t xml:space="preserve"> </w:t>
      </w:r>
      <w:r w:rsidR="008876AF">
        <w:rPr>
          <w:rStyle w:val="StyleFootnoteReference12ptSuperscript"/>
        </w:rPr>
        <w:t xml:space="preserve"> </w:t>
      </w:r>
      <w:r w:rsidR="00944FFD">
        <w:rPr>
          <w:sz w:val="24"/>
        </w:rPr>
        <w:t>In addition, the burden for biennial review applies to all providers, regardless of accreditation</w:t>
      </w:r>
      <w:r w:rsidR="00096687">
        <w:rPr>
          <w:sz w:val="24"/>
        </w:rPr>
        <w:t xml:space="preserve"> and does not vary between inpatient v. outpatient hospices</w:t>
      </w:r>
      <w:r w:rsidR="00944FFD">
        <w:rPr>
          <w:sz w:val="24"/>
        </w:rPr>
        <w:t xml:space="preserve">. </w:t>
      </w:r>
      <w:r w:rsidR="000E4BE2">
        <w:rPr>
          <w:sz w:val="24"/>
        </w:rPr>
        <w:t>W</w:t>
      </w:r>
      <w:r w:rsidRPr="000938A3" w:rsidR="000938A3">
        <w:rPr>
          <w:sz w:val="24"/>
        </w:rPr>
        <w:t>e update this collection of information request to reflect this change.</w:t>
      </w:r>
    </w:p>
    <w:p w:rsidR="00096687" w:rsidP="00122DAE" w14:paraId="6F0744DB" w14:textId="77777777">
      <w:pPr>
        <w:ind w:left="18"/>
        <w:rPr>
          <w:sz w:val="24"/>
        </w:rPr>
      </w:pPr>
    </w:p>
    <w:p w:rsidR="00B547F2" w:rsidP="00122DAE" w14:paraId="2F37526D" w14:textId="6D2450D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w:t>
      </w:r>
      <w:r w:rsidR="005115B5">
        <w:rPr>
          <w:sz w:val="24"/>
        </w:rPr>
        <w:t xml:space="preserve">every </w:t>
      </w:r>
      <w:r>
        <w:rPr>
          <w:sz w:val="24"/>
        </w:rPr>
        <w:t xml:space="preserve">existing Medicare certified </w:t>
      </w:r>
      <w:r w:rsidR="005115B5">
        <w:rPr>
          <w:sz w:val="24"/>
        </w:rPr>
        <w:t>provider that is not exempt from this information collection</w:t>
      </w:r>
      <w:r w:rsidR="00410AB1">
        <w:rPr>
          <w:sz w:val="24"/>
        </w:rPr>
        <w:t>, w</w:t>
      </w:r>
      <w:r w:rsidRPr="00026C64" w:rsidR="00410AB1">
        <w:rPr>
          <w:sz w:val="24"/>
        </w:rPr>
        <w:t>e estimate that a</w:t>
      </w:r>
      <w:r w:rsidR="00410AB1">
        <w:rPr>
          <w:sz w:val="24"/>
        </w:rPr>
        <w:t xml:space="preserve">n </w:t>
      </w:r>
      <w:r w:rsidRPr="00026C64" w:rsidR="00410AB1">
        <w:rPr>
          <w:sz w:val="24"/>
        </w:rPr>
        <w:t xml:space="preserve">Administrator </w:t>
      </w:r>
      <w:r w:rsidR="00410AB1">
        <w:rPr>
          <w:sz w:val="24"/>
        </w:rPr>
        <w:t>(</w:t>
      </w:r>
      <w:r w:rsidRPr="002A333C" w:rsidR="00410AB1">
        <w:rPr>
          <w:sz w:val="24"/>
        </w:rPr>
        <w:t>Medical and Health Services Manager</w:t>
      </w:r>
      <w:r w:rsidR="00410AB1">
        <w:rPr>
          <w:sz w:val="24"/>
        </w:rPr>
        <w:t xml:space="preserve"> - BLS Occupation Code 11-9111) at a loaded hourly rate of $129, a Registered Nurse (BLS Occupation Code 29-1141) at a loaded hourly rate of $91 and a Facility Director (</w:t>
      </w:r>
      <w:r w:rsidRPr="002A333C" w:rsidR="00410AB1">
        <w:rPr>
          <w:sz w:val="24"/>
        </w:rPr>
        <w:t>Administrative Services &amp; Facilities Manager</w:t>
      </w:r>
      <w:r w:rsidR="00410AB1">
        <w:rPr>
          <w:sz w:val="24"/>
        </w:rPr>
        <w:t xml:space="preserve"> – BLS Occupation Code 11-3010) </w:t>
      </w:r>
      <w:r w:rsidRPr="00026C64" w:rsidR="00410AB1">
        <w:rPr>
          <w:sz w:val="24"/>
        </w:rPr>
        <w:t xml:space="preserve">at </w:t>
      </w:r>
      <w:r w:rsidR="00410AB1">
        <w:rPr>
          <w:sz w:val="24"/>
        </w:rPr>
        <w:t>a loaded hourly rate of $101</w:t>
      </w:r>
      <w:r w:rsidRPr="00026C64" w:rsidR="00410AB1">
        <w:rPr>
          <w:sz w:val="24"/>
        </w:rPr>
        <w:t xml:space="preserve">, would </w:t>
      </w:r>
      <w:r w:rsidR="000938A3">
        <w:rPr>
          <w:sz w:val="24"/>
        </w:rPr>
        <w:t xml:space="preserve">all </w:t>
      </w:r>
      <w:r w:rsidRPr="00026C64" w:rsidR="00410AB1">
        <w:rPr>
          <w:sz w:val="24"/>
        </w:rPr>
        <w:t xml:space="preserve">be responsible </w:t>
      </w:r>
      <w:r w:rsidR="00410AB1">
        <w:rPr>
          <w:sz w:val="24"/>
        </w:rPr>
        <w:t>f</w:t>
      </w:r>
      <w:r w:rsidRPr="00026C64" w:rsidR="00410AB1">
        <w:rPr>
          <w:sz w:val="24"/>
        </w:rPr>
        <w:t xml:space="preserve">or </w:t>
      </w:r>
      <w:r w:rsidR="00410AB1">
        <w:rPr>
          <w:sz w:val="24"/>
        </w:rPr>
        <w:t xml:space="preserve">the ongoing review of and updates to the </w:t>
      </w:r>
      <w:r w:rsidRPr="00026C64" w:rsidR="00410AB1">
        <w:rPr>
          <w:sz w:val="24"/>
        </w:rPr>
        <w:t xml:space="preserve">emergency </w:t>
      </w:r>
      <w:r w:rsidR="00410AB1">
        <w:rPr>
          <w:sz w:val="24"/>
        </w:rPr>
        <w:t xml:space="preserve">preparedness </w:t>
      </w:r>
      <w:r w:rsidRPr="00026C64" w:rsidR="00410AB1">
        <w:rPr>
          <w:sz w:val="24"/>
        </w:rPr>
        <w:t>plan</w:t>
      </w:r>
      <w:r w:rsidR="00410AB1">
        <w:rPr>
          <w:sz w:val="24"/>
        </w:rPr>
        <w:t xml:space="preserve">. </w:t>
      </w:r>
    </w:p>
    <w:p w:rsidR="00B547F2" w:rsidP="00122DAE" w14:paraId="2FE6F3F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617D0" w:rsidP="00944FFD" w14:paraId="20A77F34" w14:textId="10ED049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4 below lays out the burden hours and cost for existing </w:t>
      </w:r>
      <w:r w:rsidR="00B949D1">
        <w:rPr>
          <w:sz w:val="24"/>
        </w:rPr>
        <w:t>providers</w:t>
      </w:r>
      <w:r>
        <w:rPr>
          <w:sz w:val="24"/>
        </w:rPr>
        <w:t xml:space="preserve"> to review the emergency preparedness plan every two years.</w:t>
      </w:r>
      <w:r w:rsidR="00910C42">
        <w:rPr>
          <w:sz w:val="24"/>
        </w:rPr>
        <w:t xml:space="preserve"> </w:t>
      </w:r>
      <w:r w:rsidRPr="000938A3" w:rsidR="00910C42">
        <w:rPr>
          <w:sz w:val="24"/>
        </w:rPr>
        <w:t xml:space="preserve">We estimate the total collection of information burden impacting the </w:t>
      </w:r>
      <w:r w:rsidR="00910C42">
        <w:rPr>
          <w:sz w:val="24"/>
        </w:rPr>
        <w:t>60,712</w:t>
      </w:r>
      <w:r w:rsidRPr="000938A3" w:rsidR="00910C42">
        <w:rPr>
          <w:sz w:val="24"/>
        </w:rPr>
        <w:t xml:space="preserve"> </w:t>
      </w:r>
      <w:r w:rsidR="00910C42">
        <w:rPr>
          <w:sz w:val="24"/>
        </w:rPr>
        <w:t>exist</w:t>
      </w:r>
      <w:r w:rsidR="00B547F2">
        <w:rPr>
          <w:sz w:val="24"/>
        </w:rPr>
        <w:t>i</w:t>
      </w:r>
      <w:r w:rsidR="00910C42">
        <w:rPr>
          <w:sz w:val="24"/>
        </w:rPr>
        <w:t>ng</w:t>
      </w:r>
      <w:r w:rsidR="005115B5">
        <w:rPr>
          <w:sz w:val="24"/>
        </w:rPr>
        <w:t>, non-exempt</w:t>
      </w:r>
      <w:r w:rsidR="00910C42">
        <w:rPr>
          <w:sz w:val="24"/>
        </w:rPr>
        <w:t xml:space="preserve"> </w:t>
      </w:r>
      <w:r w:rsidRPr="000938A3" w:rsidR="00910C42">
        <w:rPr>
          <w:sz w:val="24"/>
        </w:rPr>
        <w:t xml:space="preserve">providers and suppliers is </w:t>
      </w:r>
      <w:r w:rsidR="00910C42">
        <w:rPr>
          <w:sz w:val="24"/>
        </w:rPr>
        <w:t>675,6</w:t>
      </w:r>
      <w:r w:rsidR="000348D0">
        <w:rPr>
          <w:sz w:val="24"/>
        </w:rPr>
        <w:t>96</w:t>
      </w:r>
      <w:r w:rsidRPr="000938A3" w:rsidR="00910C42">
        <w:rPr>
          <w:sz w:val="24"/>
        </w:rPr>
        <w:t xml:space="preserve"> burden hours at an annual cost of </w:t>
      </w:r>
      <w:r w:rsidRPr="00914449" w:rsidR="00910C42">
        <w:rPr>
          <w:sz w:val="24"/>
        </w:rPr>
        <w:t>$</w:t>
      </w:r>
      <w:r w:rsidR="00910C42">
        <w:rPr>
          <w:sz w:val="24"/>
        </w:rPr>
        <w:t>21</w:t>
      </w:r>
      <w:r w:rsidRPr="00914449" w:rsidR="00910C42">
        <w:rPr>
          <w:sz w:val="24"/>
        </w:rPr>
        <w:t>6,</w:t>
      </w:r>
      <w:r w:rsidR="00910C42">
        <w:rPr>
          <w:sz w:val="24"/>
        </w:rPr>
        <w:t>8</w:t>
      </w:r>
      <w:r w:rsidR="000348D0">
        <w:rPr>
          <w:sz w:val="24"/>
        </w:rPr>
        <w:t>98</w:t>
      </w:r>
      <w:r w:rsidRPr="00914449" w:rsidR="00910C42">
        <w:rPr>
          <w:sz w:val="24"/>
        </w:rPr>
        <w:t>,</w:t>
      </w:r>
      <w:r w:rsidR="000348D0">
        <w:rPr>
          <w:sz w:val="24"/>
        </w:rPr>
        <w:t>25</w:t>
      </w:r>
      <w:r w:rsidRPr="00914449" w:rsidR="00910C42">
        <w:rPr>
          <w:sz w:val="24"/>
        </w:rPr>
        <w:t>6</w:t>
      </w:r>
      <w:r w:rsidR="00910C42">
        <w:rPr>
          <w:sz w:val="24"/>
        </w:rPr>
        <w:t>, see Table 4.</w:t>
      </w:r>
    </w:p>
    <w:p w:rsidR="00C3039C" w:rsidP="00944FFD" w14:paraId="0105B2A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Sect="00730469">
          <w:endnotePr>
            <w:numFmt w:val="decimal"/>
          </w:endnotePr>
          <w:pgSz w:w="12240" w:h="15840"/>
          <w:pgMar w:top="1440" w:right="1440" w:bottom="1440" w:left="1440" w:header="1440" w:footer="720" w:gutter="0"/>
          <w:cols w:space="720"/>
          <w:noEndnote/>
          <w:docGrid w:linePitch="272"/>
        </w:sectPr>
      </w:pPr>
    </w:p>
    <w:p w:rsidR="00910C42" w:rsidRPr="007E1B2C" w:rsidP="00431554" w14:paraId="10C323CD" w14:textId="61E2C4A9">
      <w:pPr>
        <w:pStyle w:val="Heading6"/>
      </w:pPr>
      <w:r w:rsidRPr="007E1B2C">
        <w:t>Table 4 - IC-1c-  Burden Hours and Cost Estimates for Existing Certified Facilities to Biennial Review of Emergency Preparedness Plan</w:t>
      </w:r>
    </w:p>
    <w:tbl>
      <w:tblPr>
        <w:tblW w:w="13050" w:type="dxa"/>
        <w:tblInd w:w="-5" w:type="dxa"/>
        <w:tblLook w:val="04A0"/>
      </w:tblPr>
      <w:tblGrid>
        <w:gridCol w:w="559"/>
        <w:gridCol w:w="2141"/>
        <w:gridCol w:w="1408"/>
        <w:gridCol w:w="1306"/>
        <w:gridCol w:w="1516"/>
        <w:gridCol w:w="1579"/>
        <w:gridCol w:w="1598"/>
        <w:gridCol w:w="1141"/>
        <w:gridCol w:w="1802"/>
      </w:tblGrid>
      <w:tr w14:paraId="67AA0401"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610" w:rsidRPr="005D3EDE" w:rsidP="00AD7610" w14:paraId="52AD0CE3" w14:textId="1457C2AF">
            <w:pPr>
              <w:widowControl/>
              <w:autoSpaceDE/>
              <w:autoSpaceDN/>
              <w:adjustRightInd/>
              <w:ind w:right="48"/>
              <w:jc w:val="center"/>
              <w:rPr>
                <w:b/>
                <w:bCs/>
                <w:color w:val="000000"/>
                <w:szCs w:val="20"/>
              </w:rPr>
            </w:pPr>
            <w:r>
              <w:rPr>
                <w:b/>
                <w:bCs/>
                <w:color w:val="000000"/>
                <w:szCs w:val="20"/>
              </w:rPr>
              <w:t>No.</w:t>
            </w:r>
          </w:p>
        </w:tc>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610" w:rsidRPr="005D3EDE" w:rsidP="00817B25" w14:paraId="50A94AE2" w14:textId="0906530F">
            <w:pPr>
              <w:widowControl/>
              <w:autoSpaceDE/>
              <w:autoSpaceDN/>
              <w:adjustRightInd/>
              <w:jc w:val="center"/>
              <w:rPr>
                <w:color w:val="000000"/>
                <w:szCs w:val="20"/>
              </w:rPr>
            </w:pPr>
            <w:r w:rsidRPr="005D3EDE">
              <w:rPr>
                <w:b/>
                <w:bCs/>
                <w:color w:val="000000"/>
                <w:szCs w:val="20"/>
              </w:rPr>
              <w:t>Provider or Supplier Type</w:t>
            </w:r>
          </w:p>
        </w:tc>
        <w:tc>
          <w:tcPr>
            <w:tcW w:w="140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D7610" w:rsidP="00817B25" w14:paraId="736DDBBF" w14:textId="77777777">
            <w:pPr>
              <w:widowControl/>
              <w:autoSpaceDE/>
              <w:autoSpaceDN/>
              <w:adjustRightInd/>
              <w:jc w:val="center"/>
              <w:rPr>
                <w:b/>
                <w:bCs/>
                <w:szCs w:val="20"/>
              </w:rPr>
            </w:pPr>
            <w:r>
              <w:rPr>
                <w:b/>
                <w:bCs/>
                <w:szCs w:val="20"/>
              </w:rPr>
              <w:t>42</w:t>
            </w:r>
          </w:p>
          <w:p w:rsidR="00AD7610" w:rsidRPr="00C2475B" w:rsidP="00817B25" w14:paraId="09AAA269" w14:textId="58942991">
            <w:pPr>
              <w:widowControl/>
              <w:autoSpaceDE/>
              <w:autoSpaceDN/>
              <w:adjustRightInd/>
              <w:jc w:val="center"/>
              <w:rPr>
                <w:color w:val="000000"/>
                <w:sz w:val="18"/>
                <w:szCs w:val="18"/>
              </w:rPr>
            </w:pPr>
            <w:r w:rsidRPr="00DA22C6">
              <w:rPr>
                <w:b/>
                <w:bCs/>
                <w:szCs w:val="20"/>
              </w:rPr>
              <w:t>CFR</w:t>
            </w:r>
          </w:p>
        </w:tc>
        <w:tc>
          <w:tcPr>
            <w:tcW w:w="13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0348D0" w:rsidP="00817B25" w14:paraId="3628BD6B" w14:textId="77777777">
            <w:pPr>
              <w:widowControl/>
              <w:autoSpaceDE/>
              <w:autoSpaceDN/>
              <w:adjustRightInd/>
              <w:jc w:val="center"/>
              <w:rPr>
                <w:b/>
                <w:bCs/>
                <w:szCs w:val="20"/>
              </w:rPr>
            </w:pPr>
          </w:p>
          <w:p w:rsidR="00AD7610" w:rsidP="00817B25" w14:paraId="470B9131" w14:textId="331134F1">
            <w:pPr>
              <w:widowControl/>
              <w:autoSpaceDE/>
              <w:autoSpaceDN/>
              <w:adjustRightInd/>
              <w:jc w:val="center"/>
              <w:rPr>
                <w:b/>
                <w:bCs/>
                <w:szCs w:val="20"/>
              </w:rPr>
            </w:pPr>
            <w:r>
              <w:rPr>
                <w:b/>
                <w:bCs/>
                <w:szCs w:val="20"/>
              </w:rPr>
              <w:t>Existing</w:t>
            </w:r>
            <w:r w:rsidRPr="005D3EDE">
              <w:rPr>
                <w:b/>
                <w:bCs/>
                <w:szCs w:val="20"/>
              </w:rPr>
              <w:t xml:space="preserve"> Certified Facilities/# of Respondents</w:t>
            </w:r>
          </w:p>
          <w:p w:rsidR="00AD7610" w:rsidRPr="005D3EDE" w:rsidP="00817B25" w14:paraId="7225559B" w14:textId="72F41EF6">
            <w:pPr>
              <w:widowControl/>
              <w:autoSpaceDE/>
              <w:autoSpaceDN/>
              <w:adjustRightInd/>
              <w:jc w:val="center"/>
              <w:rPr>
                <w:color w:val="000000"/>
                <w:szCs w:val="20"/>
              </w:rPr>
            </w:pPr>
            <w:r w:rsidRPr="00817665">
              <w:rPr>
                <w:szCs w:val="20"/>
              </w:rPr>
              <w:t>(a)</w:t>
            </w:r>
          </w:p>
        </w:tc>
        <w:tc>
          <w:tcPr>
            <w:tcW w:w="15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D7610" w:rsidP="00817B25" w14:paraId="1A54BB41" w14:textId="77777777">
            <w:pPr>
              <w:widowControl/>
              <w:autoSpaceDE/>
              <w:autoSpaceDN/>
              <w:adjustRightInd/>
              <w:jc w:val="center"/>
              <w:rPr>
                <w:b/>
                <w:bCs/>
                <w:szCs w:val="20"/>
              </w:rPr>
            </w:pPr>
          </w:p>
          <w:p w:rsidR="00AD7610" w:rsidP="00817B25" w14:paraId="27CD3F0A" w14:textId="77777777">
            <w:pPr>
              <w:widowControl/>
              <w:autoSpaceDE/>
              <w:autoSpaceDN/>
              <w:adjustRightInd/>
              <w:jc w:val="center"/>
              <w:rPr>
                <w:b/>
                <w:bCs/>
                <w:szCs w:val="20"/>
              </w:rPr>
            </w:pPr>
          </w:p>
          <w:p w:rsidR="00AD7610" w:rsidP="00817B25" w14:paraId="3FA07811" w14:textId="77777777">
            <w:pPr>
              <w:widowControl/>
              <w:autoSpaceDE/>
              <w:autoSpaceDN/>
              <w:adjustRightInd/>
              <w:jc w:val="center"/>
              <w:rPr>
                <w:b/>
                <w:bCs/>
                <w:szCs w:val="20"/>
              </w:rPr>
            </w:pPr>
            <w:r w:rsidRPr="005D3EDE">
              <w:rPr>
                <w:b/>
                <w:bCs/>
                <w:szCs w:val="20"/>
              </w:rPr>
              <w:t xml:space="preserve"># of Responses </w:t>
            </w:r>
          </w:p>
          <w:p w:rsidR="00AD7610" w:rsidP="00817B25" w14:paraId="2DDE56F2" w14:textId="77777777">
            <w:pPr>
              <w:widowControl/>
              <w:autoSpaceDE/>
              <w:autoSpaceDN/>
              <w:adjustRightInd/>
              <w:jc w:val="center"/>
              <w:rPr>
                <w:b/>
                <w:bCs/>
                <w:szCs w:val="20"/>
              </w:rPr>
            </w:pPr>
          </w:p>
          <w:p w:rsidR="00AD7610" w:rsidP="00817B25" w14:paraId="3D3941DD" w14:textId="77777777">
            <w:pPr>
              <w:widowControl/>
              <w:autoSpaceDE/>
              <w:autoSpaceDN/>
              <w:adjustRightInd/>
              <w:jc w:val="center"/>
              <w:rPr>
                <w:b/>
                <w:bCs/>
                <w:szCs w:val="20"/>
              </w:rPr>
            </w:pPr>
          </w:p>
          <w:p w:rsidR="00C3039C" w:rsidRPr="005D3EDE" w:rsidP="00817B25" w14:paraId="03023B44" w14:textId="77777777">
            <w:pPr>
              <w:widowControl/>
              <w:autoSpaceDE/>
              <w:autoSpaceDN/>
              <w:adjustRightInd/>
              <w:jc w:val="center"/>
              <w:rPr>
                <w:b/>
                <w:bCs/>
                <w:szCs w:val="20"/>
              </w:rPr>
            </w:pPr>
          </w:p>
          <w:p w:rsidR="00AD7610" w:rsidRPr="005D3EDE" w:rsidP="00817B25" w14:paraId="1D5215BE" w14:textId="45BA54EF">
            <w:pPr>
              <w:widowControl/>
              <w:autoSpaceDE/>
              <w:autoSpaceDN/>
              <w:adjustRightInd/>
              <w:jc w:val="center"/>
              <w:rPr>
                <w:color w:val="000000"/>
                <w:szCs w:val="20"/>
              </w:rPr>
            </w:pPr>
            <w:r w:rsidRPr="00817665">
              <w:rPr>
                <w:szCs w:val="20"/>
              </w:rPr>
              <w:t>(b = a x 1)</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AD7610" w:rsidP="00817B25" w14:paraId="592FBC39" w14:textId="77777777">
            <w:pPr>
              <w:widowControl/>
              <w:autoSpaceDE/>
              <w:autoSpaceDN/>
              <w:adjustRightInd/>
              <w:jc w:val="center"/>
              <w:rPr>
                <w:b/>
                <w:bCs/>
                <w:szCs w:val="20"/>
              </w:rPr>
            </w:pPr>
          </w:p>
          <w:p w:rsidR="000348D0" w:rsidP="00817B25" w14:paraId="24B12621" w14:textId="77777777">
            <w:pPr>
              <w:widowControl/>
              <w:autoSpaceDE/>
              <w:autoSpaceDN/>
              <w:adjustRightInd/>
              <w:jc w:val="center"/>
              <w:rPr>
                <w:b/>
                <w:bCs/>
                <w:szCs w:val="20"/>
              </w:rPr>
            </w:pPr>
          </w:p>
          <w:p w:rsidR="00AD7610" w:rsidP="00817B25" w14:paraId="1859388E" w14:textId="5C58E400">
            <w:pPr>
              <w:widowControl/>
              <w:autoSpaceDE/>
              <w:autoSpaceDN/>
              <w:adjustRightInd/>
              <w:jc w:val="center"/>
              <w:rPr>
                <w:b/>
                <w:bCs/>
                <w:szCs w:val="20"/>
              </w:rPr>
            </w:pPr>
            <w:r w:rsidRPr="005D3EDE">
              <w:rPr>
                <w:b/>
                <w:bCs/>
                <w:szCs w:val="20"/>
              </w:rPr>
              <w:t xml:space="preserve">Burden </w:t>
            </w:r>
            <w:r w:rsidRPr="005D3EDE">
              <w:rPr>
                <w:b/>
                <w:bCs/>
                <w:szCs w:val="20"/>
              </w:rPr>
              <w:t>Hrs</w:t>
            </w:r>
            <w:r w:rsidRPr="005D3EDE">
              <w:rPr>
                <w:b/>
                <w:bCs/>
                <w:szCs w:val="20"/>
              </w:rPr>
              <w:t xml:space="preserve"> Per Response</w:t>
            </w:r>
          </w:p>
          <w:p w:rsidR="00AD7610" w:rsidRPr="00817B25" w:rsidP="00817B25" w14:paraId="31DB705C" w14:textId="77777777">
            <w:pPr>
              <w:widowControl/>
              <w:autoSpaceDE/>
              <w:autoSpaceDN/>
              <w:adjustRightInd/>
              <w:jc w:val="center"/>
              <w:rPr>
                <w:b/>
                <w:bCs/>
                <w:sz w:val="22"/>
                <w:szCs w:val="22"/>
                <w:vertAlign w:val="superscript"/>
              </w:rPr>
            </w:pPr>
            <w:r w:rsidRPr="00817B25">
              <w:rPr>
                <w:b/>
                <w:bCs/>
                <w:sz w:val="22"/>
                <w:szCs w:val="22"/>
                <w:vertAlign w:val="superscript"/>
              </w:rPr>
              <w:t>*</w:t>
            </w:r>
          </w:p>
          <w:p w:rsidR="00AD7610" w:rsidRPr="005D3EDE" w:rsidP="00817B25" w14:paraId="568D31B7" w14:textId="77777777">
            <w:pPr>
              <w:widowControl/>
              <w:autoSpaceDE/>
              <w:autoSpaceDN/>
              <w:adjustRightInd/>
              <w:jc w:val="center"/>
              <w:rPr>
                <w:b/>
                <w:bCs/>
                <w:szCs w:val="20"/>
              </w:rPr>
            </w:pPr>
          </w:p>
          <w:p w:rsidR="00AD7610" w:rsidRPr="005D3EDE" w:rsidP="00817B25" w14:paraId="7118EC5E" w14:textId="1DD74FB0">
            <w:pPr>
              <w:widowControl/>
              <w:autoSpaceDE/>
              <w:autoSpaceDN/>
              <w:adjustRightInd/>
              <w:jc w:val="center"/>
              <w:rPr>
                <w:szCs w:val="20"/>
              </w:rPr>
            </w:pPr>
            <w:r w:rsidRPr="00817665">
              <w:rPr>
                <w:szCs w:val="20"/>
              </w:rPr>
              <w:t xml:space="preserve">(c) </w:t>
            </w:r>
          </w:p>
        </w:tc>
        <w:tc>
          <w:tcPr>
            <w:tcW w:w="159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D7610" w:rsidP="00817B25" w14:paraId="6FC22FCC" w14:textId="77777777">
            <w:pPr>
              <w:widowControl/>
              <w:autoSpaceDE/>
              <w:autoSpaceDN/>
              <w:adjustRightInd/>
              <w:jc w:val="center"/>
              <w:rPr>
                <w:b/>
                <w:bCs/>
                <w:szCs w:val="20"/>
              </w:rPr>
            </w:pPr>
          </w:p>
          <w:p w:rsidR="000348D0" w:rsidP="00817B25" w14:paraId="09B915E8" w14:textId="77777777">
            <w:pPr>
              <w:widowControl/>
              <w:autoSpaceDE/>
              <w:autoSpaceDN/>
              <w:adjustRightInd/>
              <w:jc w:val="center"/>
              <w:rPr>
                <w:b/>
                <w:bCs/>
                <w:szCs w:val="20"/>
              </w:rPr>
            </w:pPr>
          </w:p>
          <w:p w:rsidR="00AD7610" w:rsidRPr="005D3EDE" w:rsidP="00817B25" w14:paraId="6818DA31" w14:textId="4A851D4F">
            <w:pPr>
              <w:widowControl/>
              <w:autoSpaceDE/>
              <w:autoSpaceDN/>
              <w:adjustRightInd/>
              <w:jc w:val="center"/>
              <w:rPr>
                <w:b/>
                <w:bCs/>
                <w:szCs w:val="20"/>
              </w:rPr>
            </w:pPr>
            <w:r w:rsidRPr="005D3EDE">
              <w:rPr>
                <w:b/>
                <w:bCs/>
                <w:szCs w:val="20"/>
              </w:rPr>
              <w:t>Total Burden Hours</w:t>
            </w:r>
          </w:p>
          <w:p w:rsidR="00AD7610" w:rsidP="00817B25" w14:paraId="0487EA60" w14:textId="77777777">
            <w:pPr>
              <w:jc w:val="center"/>
              <w:rPr>
                <w:szCs w:val="20"/>
              </w:rPr>
            </w:pPr>
          </w:p>
          <w:p w:rsidR="00C3039C" w:rsidP="00817B25" w14:paraId="23F582A7" w14:textId="77777777">
            <w:pPr>
              <w:jc w:val="center"/>
              <w:rPr>
                <w:szCs w:val="20"/>
              </w:rPr>
            </w:pPr>
          </w:p>
          <w:p w:rsidR="00AD7610" w:rsidRPr="005D3EDE" w:rsidP="00817B25" w14:paraId="6430C3E3" w14:textId="2F77CB3D">
            <w:pPr>
              <w:widowControl/>
              <w:autoSpaceDE/>
              <w:autoSpaceDN/>
              <w:adjustRightInd/>
              <w:jc w:val="center"/>
              <w:rPr>
                <w:color w:val="000000"/>
                <w:szCs w:val="20"/>
              </w:rPr>
            </w:pPr>
            <w:r w:rsidRPr="00817665">
              <w:rPr>
                <w:szCs w:val="20"/>
              </w:rPr>
              <w:t>(d = b x c)</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D7610" w:rsidP="00817B25" w14:paraId="118974BB" w14:textId="77777777">
            <w:pPr>
              <w:widowControl/>
              <w:autoSpaceDE/>
              <w:autoSpaceDN/>
              <w:adjustRightInd/>
              <w:jc w:val="center"/>
              <w:rPr>
                <w:b/>
                <w:bCs/>
                <w:szCs w:val="20"/>
              </w:rPr>
            </w:pPr>
          </w:p>
          <w:p w:rsidR="00AD7610" w:rsidP="00817B25" w14:paraId="41BCA333" w14:textId="77777777">
            <w:pPr>
              <w:widowControl/>
              <w:autoSpaceDE/>
              <w:autoSpaceDN/>
              <w:adjustRightInd/>
              <w:jc w:val="center"/>
              <w:rPr>
                <w:b/>
                <w:bCs/>
                <w:szCs w:val="20"/>
              </w:rPr>
            </w:pPr>
          </w:p>
          <w:p w:rsidR="00AD7610" w:rsidP="00817B25" w14:paraId="21BCA134" w14:textId="4C0C5E46">
            <w:pPr>
              <w:widowControl/>
              <w:autoSpaceDE/>
              <w:autoSpaceDN/>
              <w:adjustRightInd/>
              <w:jc w:val="center"/>
              <w:rPr>
                <w:b/>
                <w:bCs/>
                <w:szCs w:val="20"/>
              </w:rPr>
            </w:pPr>
            <w:r w:rsidRPr="005D3EDE">
              <w:rPr>
                <w:b/>
                <w:bCs/>
                <w:szCs w:val="20"/>
              </w:rPr>
              <w:t>Hourly Wage</w:t>
            </w:r>
          </w:p>
          <w:p w:rsidR="00AD7610" w:rsidP="00817B25" w14:paraId="5C810AA6" w14:textId="77777777">
            <w:pPr>
              <w:widowControl/>
              <w:autoSpaceDE/>
              <w:autoSpaceDN/>
              <w:adjustRightInd/>
              <w:jc w:val="center"/>
              <w:rPr>
                <w:b/>
                <w:bCs/>
                <w:szCs w:val="20"/>
              </w:rPr>
            </w:pPr>
            <w:r>
              <w:rPr>
                <w:b/>
                <w:bCs/>
                <w:szCs w:val="20"/>
              </w:rPr>
              <w:t>**</w:t>
            </w:r>
          </w:p>
          <w:p w:rsidR="00AD7610" w:rsidRPr="005D3EDE" w:rsidP="00817B25" w14:paraId="259DA0B1" w14:textId="77777777">
            <w:pPr>
              <w:widowControl/>
              <w:autoSpaceDE/>
              <w:autoSpaceDN/>
              <w:adjustRightInd/>
              <w:jc w:val="center"/>
              <w:rPr>
                <w:b/>
                <w:bCs/>
                <w:szCs w:val="20"/>
              </w:rPr>
            </w:pPr>
          </w:p>
          <w:p w:rsidR="00AD7610" w:rsidRPr="00C3770B" w:rsidP="00817B25" w14:paraId="3DD7D17A" w14:textId="205D7DCD">
            <w:pPr>
              <w:widowControl/>
              <w:autoSpaceDE/>
              <w:autoSpaceDN/>
              <w:adjustRightInd/>
              <w:jc w:val="center"/>
              <w:rPr>
                <w:color w:val="000000"/>
                <w:szCs w:val="20"/>
              </w:rPr>
            </w:pPr>
            <w:r w:rsidRPr="00817665">
              <w:rPr>
                <w:szCs w:val="20"/>
              </w:rPr>
              <w:t>(e)</w:t>
            </w:r>
          </w:p>
        </w:tc>
        <w:tc>
          <w:tcPr>
            <w:tcW w:w="180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D7610" w:rsidP="00817B25" w14:paraId="27633689" w14:textId="77777777">
            <w:pPr>
              <w:widowControl/>
              <w:autoSpaceDE/>
              <w:autoSpaceDN/>
              <w:adjustRightInd/>
              <w:jc w:val="center"/>
              <w:rPr>
                <w:b/>
                <w:bCs/>
                <w:szCs w:val="20"/>
              </w:rPr>
            </w:pPr>
          </w:p>
          <w:p w:rsidR="00AD7610" w:rsidP="00817B25" w14:paraId="72BD7311" w14:textId="77777777">
            <w:pPr>
              <w:widowControl/>
              <w:autoSpaceDE/>
              <w:autoSpaceDN/>
              <w:adjustRightInd/>
              <w:jc w:val="center"/>
              <w:rPr>
                <w:b/>
                <w:bCs/>
                <w:szCs w:val="20"/>
              </w:rPr>
            </w:pPr>
          </w:p>
          <w:p w:rsidR="00AD7610" w:rsidP="00817B25" w14:paraId="3DAFF7B7" w14:textId="36D3B46C">
            <w:pPr>
              <w:widowControl/>
              <w:autoSpaceDE/>
              <w:autoSpaceDN/>
              <w:adjustRightInd/>
              <w:jc w:val="center"/>
              <w:rPr>
                <w:b/>
                <w:bCs/>
                <w:szCs w:val="20"/>
              </w:rPr>
            </w:pPr>
            <w:r w:rsidRPr="005D3EDE">
              <w:rPr>
                <w:b/>
                <w:bCs/>
                <w:szCs w:val="20"/>
              </w:rPr>
              <w:t>Total Cost Estimate</w:t>
            </w:r>
          </w:p>
          <w:p w:rsidR="00AD7610" w:rsidP="00817B25" w14:paraId="628564D6" w14:textId="77777777">
            <w:pPr>
              <w:widowControl/>
              <w:autoSpaceDE/>
              <w:autoSpaceDN/>
              <w:adjustRightInd/>
              <w:jc w:val="center"/>
              <w:rPr>
                <w:b/>
                <w:bCs/>
                <w:szCs w:val="20"/>
              </w:rPr>
            </w:pPr>
          </w:p>
          <w:p w:rsidR="00AD7610" w:rsidP="00817B25" w14:paraId="7301F6F8" w14:textId="77777777">
            <w:pPr>
              <w:widowControl/>
              <w:autoSpaceDE/>
              <w:autoSpaceDN/>
              <w:adjustRightInd/>
              <w:jc w:val="center"/>
              <w:rPr>
                <w:b/>
                <w:bCs/>
                <w:szCs w:val="20"/>
              </w:rPr>
            </w:pPr>
          </w:p>
          <w:p w:rsidR="00AD7610" w:rsidRPr="005D3EDE" w:rsidP="00817B25" w14:paraId="1B8C1262" w14:textId="56DDEE14">
            <w:pPr>
              <w:widowControl/>
              <w:autoSpaceDE/>
              <w:autoSpaceDN/>
              <w:adjustRightInd/>
              <w:jc w:val="center"/>
              <w:rPr>
                <w:color w:val="000000"/>
                <w:szCs w:val="20"/>
              </w:rPr>
            </w:pPr>
            <w:r w:rsidRPr="00817665">
              <w:rPr>
                <w:szCs w:val="20"/>
              </w:rPr>
              <w:t>(f</w:t>
            </w:r>
            <w:r>
              <w:rPr>
                <w:szCs w:val="20"/>
              </w:rPr>
              <w:t xml:space="preserve"> </w:t>
            </w:r>
            <w:r w:rsidRPr="00817665">
              <w:rPr>
                <w:szCs w:val="20"/>
              </w:rPr>
              <w:t>= d x e )</w:t>
            </w:r>
          </w:p>
        </w:tc>
      </w:tr>
      <w:tr w14:paraId="610E82A7"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10D8E7FC" w14:textId="7076B666">
            <w:pPr>
              <w:widowControl/>
              <w:autoSpaceDE/>
              <w:autoSpaceDN/>
              <w:adjustRightInd/>
              <w:ind w:right="48"/>
              <w:jc w:val="center"/>
              <w:rPr>
                <w:color w:val="000000"/>
                <w:szCs w:val="20"/>
              </w:rPr>
            </w:pPr>
            <w:r>
              <w:rPr>
                <w:color w:val="000000"/>
                <w:szCs w:val="20"/>
              </w:rPr>
              <w:t>1</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817B25" w14:paraId="168D541D" w14:textId="53D44145">
            <w:pPr>
              <w:widowControl/>
              <w:autoSpaceDE/>
              <w:autoSpaceDN/>
              <w:adjustRightInd/>
              <w:rPr>
                <w:color w:val="000000"/>
                <w:szCs w:val="20"/>
              </w:rPr>
            </w:pPr>
            <w:r w:rsidRPr="005D3EDE">
              <w:rPr>
                <w:color w:val="000000"/>
                <w:szCs w:val="20"/>
              </w:rPr>
              <w:t>ASC</w:t>
            </w:r>
          </w:p>
        </w:tc>
        <w:tc>
          <w:tcPr>
            <w:tcW w:w="1408" w:type="dxa"/>
            <w:tcBorders>
              <w:top w:val="nil"/>
              <w:left w:val="nil"/>
              <w:bottom w:val="single" w:sz="4" w:space="0" w:color="auto"/>
              <w:right w:val="single" w:sz="4" w:space="0" w:color="auto"/>
            </w:tcBorders>
            <w:noWrap/>
            <w:vAlign w:val="bottom"/>
            <w:hideMark/>
          </w:tcPr>
          <w:p w:rsidR="00AD7610" w:rsidRPr="005D3EDE" w:rsidP="00817B25" w14:paraId="46E09ABA" w14:textId="77777777">
            <w:pPr>
              <w:widowControl/>
              <w:autoSpaceDE/>
              <w:autoSpaceDN/>
              <w:adjustRightInd/>
              <w:rPr>
                <w:color w:val="000000"/>
                <w:szCs w:val="20"/>
              </w:rPr>
            </w:pPr>
            <w:r w:rsidRPr="00C2475B">
              <w:rPr>
                <w:color w:val="000000"/>
                <w:sz w:val="18"/>
                <w:szCs w:val="18"/>
              </w:rPr>
              <w:t>§ 416.54(a)</w:t>
            </w:r>
          </w:p>
        </w:tc>
        <w:tc>
          <w:tcPr>
            <w:tcW w:w="1306" w:type="dxa"/>
            <w:tcBorders>
              <w:top w:val="nil"/>
              <w:left w:val="nil"/>
              <w:bottom w:val="single" w:sz="4" w:space="0" w:color="auto"/>
              <w:right w:val="single" w:sz="4" w:space="0" w:color="auto"/>
            </w:tcBorders>
            <w:noWrap/>
            <w:vAlign w:val="bottom"/>
            <w:hideMark/>
          </w:tcPr>
          <w:p w:rsidR="00AD7610" w:rsidRPr="005D3EDE" w:rsidP="00817B25" w14:paraId="319CA245" w14:textId="77777777">
            <w:pPr>
              <w:widowControl/>
              <w:autoSpaceDE/>
              <w:autoSpaceDN/>
              <w:adjustRightInd/>
              <w:jc w:val="center"/>
              <w:rPr>
                <w:color w:val="000000"/>
                <w:szCs w:val="20"/>
              </w:rPr>
            </w:pPr>
            <w:r w:rsidRPr="005D3EDE">
              <w:rPr>
                <w:color w:val="000000"/>
                <w:szCs w:val="20"/>
              </w:rPr>
              <w:t>6,170</w:t>
            </w:r>
          </w:p>
        </w:tc>
        <w:tc>
          <w:tcPr>
            <w:tcW w:w="1516" w:type="dxa"/>
            <w:tcBorders>
              <w:top w:val="nil"/>
              <w:left w:val="nil"/>
              <w:bottom w:val="single" w:sz="4" w:space="0" w:color="auto"/>
              <w:right w:val="single" w:sz="4" w:space="0" w:color="auto"/>
            </w:tcBorders>
            <w:noWrap/>
            <w:vAlign w:val="bottom"/>
            <w:hideMark/>
          </w:tcPr>
          <w:p w:rsidR="00AD7610" w:rsidRPr="005D3EDE" w:rsidP="00817B25" w14:paraId="6109FC98" w14:textId="77777777">
            <w:pPr>
              <w:widowControl/>
              <w:autoSpaceDE/>
              <w:autoSpaceDN/>
              <w:adjustRightInd/>
              <w:jc w:val="center"/>
              <w:rPr>
                <w:color w:val="000000"/>
                <w:szCs w:val="20"/>
              </w:rPr>
            </w:pPr>
            <w:r w:rsidRPr="005D3EDE">
              <w:rPr>
                <w:color w:val="000000"/>
                <w:szCs w:val="20"/>
              </w:rPr>
              <w:t>6</w:t>
            </w:r>
            <w:r>
              <w:rPr>
                <w:color w:val="000000"/>
                <w:szCs w:val="20"/>
              </w:rPr>
              <w:t>,</w:t>
            </w:r>
            <w:r w:rsidRPr="005D3EDE">
              <w:rPr>
                <w:color w:val="000000"/>
                <w:szCs w:val="20"/>
              </w:rPr>
              <w:t>170</w:t>
            </w:r>
          </w:p>
        </w:tc>
        <w:tc>
          <w:tcPr>
            <w:tcW w:w="1579" w:type="dxa"/>
            <w:tcBorders>
              <w:top w:val="nil"/>
              <w:left w:val="nil"/>
              <w:bottom w:val="single" w:sz="4" w:space="0" w:color="auto"/>
              <w:right w:val="single" w:sz="4" w:space="0" w:color="auto"/>
            </w:tcBorders>
            <w:vAlign w:val="bottom"/>
            <w:hideMark/>
          </w:tcPr>
          <w:p w:rsidR="00AD7610" w:rsidRPr="005D3EDE" w:rsidP="00817B25" w14:paraId="572C30A7" w14:textId="080413EB">
            <w:pPr>
              <w:widowControl/>
              <w:autoSpaceDE/>
              <w:autoSpaceDN/>
              <w:adjustRightInd/>
              <w:jc w:val="center"/>
              <w:rPr>
                <w:szCs w:val="20"/>
              </w:rPr>
            </w:pPr>
            <w:r w:rsidRPr="005D3EDE">
              <w:rPr>
                <w:szCs w:val="20"/>
              </w:rPr>
              <w:t>10</w:t>
            </w:r>
          </w:p>
        </w:tc>
        <w:tc>
          <w:tcPr>
            <w:tcW w:w="1598" w:type="dxa"/>
            <w:tcBorders>
              <w:top w:val="nil"/>
              <w:left w:val="nil"/>
              <w:bottom w:val="single" w:sz="4" w:space="0" w:color="auto"/>
              <w:right w:val="single" w:sz="4" w:space="0" w:color="auto"/>
            </w:tcBorders>
            <w:noWrap/>
            <w:vAlign w:val="bottom"/>
            <w:hideMark/>
          </w:tcPr>
          <w:p w:rsidR="00AD7610" w:rsidRPr="005D3EDE" w:rsidP="00817B25" w14:paraId="555363EA" w14:textId="77777777">
            <w:pPr>
              <w:widowControl/>
              <w:autoSpaceDE/>
              <w:autoSpaceDN/>
              <w:adjustRightInd/>
              <w:jc w:val="center"/>
              <w:rPr>
                <w:color w:val="000000"/>
                <w:szCs w:val="20"/>
              </w:rPr>
            </w:pPr>
            <w:r w:rsidRPr="005D3EDE">
              <w:rPr>
                <w:color w:val="000000"/>
                <w:szCs w:val="20"/>
              </w:rPr>
              <w:t>61,700</w:t>
            </w:r>
          </w:p>
        </w:tc>
        <w:tc>
          <w:tcPr>
            <w:tcW w:w="1141" w:type="dxa"/>
            <w:tcBorders>
              <w:top w:val="nil"/>
              <w:left w:val="nil"/>
              <w:bottom w:val="single" w:sz="4" w:space="0" w:color="auto"/>
              <w:right w:val="single" w:sz="4" w:space="0" w:color="auto"/>
            </w:tcBorders>
            <w:noWrap/>
            <w:vAlign w:val="center"/>
            <w:hideMark/>
          </w:tcPr>
          <w:p w:rsidR="00AD7610" w:rsidRPr="005D3EDE" w:rsidP="00817B25" w14:paraId="7B2CDB66"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817B25" w14:paraId="02E9DEA1" w14:textId="77777777">
            <w:pPr>
              <w:widowControl/>
              <w:autoSpaceDE/>
              <w:autoSpaceDN/>
              <w:adjustRightInd/>
              <w:jc w:val="right"/>
              <w:rPr>
                <w:color w:val="000000"/>
                <w:szCs w:val="20"/>
              </w:rPr>
            </w:pPr>
            <w:r w:rsidRPr="005D3EDE">
              <w:rPr>
                <w:color w:val="000000"/>
                <w:szCs w:val="20"/>
              </w:rPr>
              <w:t>$19,805,700</w:t>
            </w:r>
          </w:p>
        </w:tc>
      </w:tr>
      <w:tr w14:paraId="23DC90D3"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2FE271FB" w14:textId="096C173B">
            <w:pPr>
              <w:widowControl/>
              <w:autoSpaceDE/>
              <w:autoSpaceDN/>
              <w:adjustRightInd/>
              <w:ind w:right="72"/>
              <w:jc w:val="center"/>
              <w:rPr>
                <w:color w:val="000000"/>
                <w:szCs w:val="20"/>
              </w:rPr>
            </w:pPr>
            <w:r>
              <w:rPr>
                <w:color w:val="000000"/>
                <w:szCs w:val="20"/>
              </w:rPr>
              <w:t>2</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04B73B68" w14:textId="6C4861F2">
            <w:pPr>
              <w:widowControl/>
              <w:autoSpaceDE/>
              <w:autoSpaceDN/>
              <w:adjustRightInd/>
              <w:rPr>
                <w:color w:val="000000"/>
                <w:szCs w:val="20"/>
              </w:rPr>
            </w:pPr>
            <w:r w:rsidRPr="005D3EDE">
              <w:rPr>
                <w:color w:val="000000"/>
                <w:szCs w:val="20"/>
              </w:rPr>
              <w:t>CAHs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046EBD22" w14:textId="77777777">
            <w:pPr>
              <w:widowControl/>
              <w:autoSpaceDE/>
              <w:autoSpaceDN/>
              <w:adjustRightInd/>
              <w:rPr>
                <w:color w:val="000000"/>
                <w:szCs w:val="20"/>
              </w:rPr>
            </w:pPr>
            <w:r w:rsidRPr="00C2475B">
              <w:rPr>
                <w:sz w:val="18"/>
                <w:szCs w:val="22"/>
              </w:rPr>
              <w:t>§ 485.625(a)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275A653E" w14:textId="77777777">
            <w:pPr>
              <w:widowControl/>
              <w:autoSpaceDE/>
              <w:autoSpaceDN/>
              <w:adjustRightInd/>
              <w:jc w:val="center"/>
              <w:rPr>
                <w:color w:val="000000"/>
                <w:szCs w:val="20"/>
              </w:rPr>
            </w:pPr>
            <w:r w:rsidRPr="005D3EDE">
              <w:rPr>
                <w:color w:val="000000"/>
                <w:szCs w:val="20"/>
              </w:rPr>
              <w:t>1,341</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51EAD596" w14:textId="77777777">
            <w:pPr>
              <w:widowControl/>
              <w:autoSpaceDE/>
              <w:autoSpaceDN/>
              <w:adjustRightInd/>
              <w:jc w:val="center"/>
              <w:rPr>
                <w:color w:val="000000"/>
                <w:szCs w:val="20"/>
              </w:rPr>
            </w:pPr>
            <w:r w:rsidRPr="005D3EDE">
              <w:rPr>
                <w:color w:val="000000"/>
                <w:szCs w:val="20"/>
              </w:rPr>
              <w:t>1</w:t>
            </w:r>
            <w:r>
              <w:rPr>
                <w:color w:val="000000"/>
                <w:szCs w:val="20"/>
              </w:rPr>
              <w:t>,</w:t>
            </w:r>
            <w:r w:rsidRPr="005D3EDE">
              <w:rPr>
                <w:color w:val="000000"/>
                <w:szCs w:val="20"/>
              </w:rPr>
              <w:t>341</w:t>
            </w:r>
          </w:p>
        </w:tc>
        <w:tc>
          <w:tcPr>
            <w:tcW w:w="1579" w:type="dxa"/>
            <w:tcBorders>
              <w:top w:val="nil"/>
              <w:left w:val="nil"/>
              <w:bottom w:val="single" w:sz="4" w:space="0" w:color="auto"/>
              <w:right w:val="single" w:sz="4" w:space="0" w:color="auto"/>
            </w:tcBorders>
            <w:vAlign w:val="bottom"/>
            <w:hideMark/>
          </w:tcPr>
          <w:p w:rsidR="00AD7610" w:rsidRPr="005D3EDE" w:rsidP="00AD7610" w14:paraId="3910C212" w14:textId="5946881E">
            <w:pPr>
              <w:widowControl/>
              <w:autoSpaceDE/>
              <w:autoSpaceDN/>
              <w:adjustRightInd/>
              <w:jc w:val="center"/>
              <w:rPr>
                <w:szCs w:val="20"/>
              </w:rPr>
            </w:pPr>
            <w:r w:rsidRPr="005D3EDE">
              <w:rPr>
                <w:szCs w:val="20"/>
              </w:rPr>
              <w:t>12</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52F1F991" w14:textId="77777777">
            <w:pPr>
              <w:widowControl/>
              <w:autoSpaceDE/>
              <w:autoSpaceDN/>
              <w:adjustRightInd/>
              <w:jc w:val="center"/>
              <w:rPr>
                <w:color w:val="000000"/>
                <w:szCs w:val="20"/>
              </w:rPr>
            </w:pPr>
            <w:r w:rsidRPr="005D3EDE">
              <w:rPr>
                <w:color w:val="000000"/>
                <w:szCs w:val="20"/>
              </w:rPr>
              <w:t>16,092</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27FFFF07"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22E770BC" w14:textId="77777777">
            <w:pPr>
              <w:widowControl/>
              <w:autoSpaceDE/>
              <w:autoSpaceDN/>
              <w:adjustRightInd/>
              <w:jc w:val="right"/>
              <w:rPr>
                <w:color w:val="000000"/>
                <w:szCs w:val="20"/>
              </w:rPr>
            </w:pPr>
            <w:r w:rsidRPr="005D3EDE">
              <w:rPr>
                <w:color w:val="000000"/>
                <w:szCs w:val="20"/>
              </w:rPr>
              <w:t>$5,165,532</w:t>
            </w:r>
          </w:p>
        </w:tc>
      </w:tr>
      <w:tr w14:paraId="39E3B6FE"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0FD46563" w14:textId="439A7440">
            <w:pPr>
              <w:widowControl/>
              <w:autoSpaceDE/>
              <w:autoSpaceDN/>
              <w:adjustRightInd/>
              <w:ind w:right="72"/>
              <w:jc w:val="center"/>
              <w:rPr>
                <w:color w:val="000000"/>
                <w:szCs w:val="20"/>
              </w:rPr>
            </w:pPr>
            <w:r>
              <w:rPr>
                <w:color w:val="000000"/>
                <w:szCs w:val="20"/>
              </w:rPr>
              <w:t>3</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5FACAECA" w14:textId="1D3B87C5">
            <w:pPr>
              <w:widowControl/>
              <w:autoSpaceDE/>
              <w:autoSpaceDN/>
              <w:adjustRightInd/>
              <w:rPr>
                <w:color w:val="000000"/>
                <w:szCs w:val="20"/>
              </w:rPr>
            </w:pPr>
            <w:r w:rsidRPr="005D3EDE">
              <w:rPr>
                <w:color w:val="000000"/>
                <w:szCs w:val="20"/>
              </w:rPr>
              <w:t>CMHCs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7EBA67CD" w14:textId="77777777">
            <w:pPr>
              <w:widowControl/>
              <w:autoSpaceDE/>
              <w:autoSpaceDN/>
              <w:adjustRightInd/>
              <w:rPr>
                <w:color w:val="000000"/>
                <w:szCs w:val="20"/>
              </w:rPr>
            </w:pPr>
            <w:r w:rsidRPr="00C2475B">
              <w:rPr>
                <w:sz w:val="18"/>
                <w:szCs w:val="22"/>
              </w:rPr>
              <w:t>§ 485.920(a)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502D1D4E" w14:textId="77777777">
            <w:pPr>
              <w:widowControl/>
              <w:autoSpaceDE/>
              <w:autoSpaceDN/>
              <w:adjustRightInd/>
              <w:jc w:val="center"/>
              <w:rPr>
                <w:color w:val="000000"/>
                <w:szCs w:val="20"/>
              </w:rPr>
            </w:pPr>
            <w:r w:rsidRPr="005D3EDE">
              <w:rPr>
                <w:color w:val="000000"/>
                <w:szCs w:val="20"/>
              </w:rPr>
              <w:t>117</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6DCA20A9" w14:textId="77777777">
            <w:pPr>
              <w:widowControl/>
              <w:autoSpaceDE/>
              <w:autoSpaceDN/>
              <w:adjustRightInd/>
              <w:jc w:val="center"/>
              <w:rPr>
                <w:color w:val="000000"/>
                <w:szCs w:val="20"/>
              </w:rPr>
            </w:pPr>
            <w:r w:rsidRPr="005D3EDE">
              <w:rPr>
                <w:color w:val="000000"/>
                <w:szCs w:val="20"/>
              </w:rPr>
              <w:t>117</w:t>
            </w:r>
          </w:p>
        </w:tc>
        <w:tc>
          <w:tcPr>
            <w:tcW w:w="1579" w:type="dxa"/>
            <w:tcBorders>
              <w:top w:val="nil"/>
              <w:left w:val="nil"/>
              <w:bottom w:val="single" w:sz="4" w:space="0" w:color="auto"/>
              <w:right w:val="single" w:sz="4" w:space="0" w:color="auto"/>
            </w:tcBorders>
            <w:vAlign w:val="bottom"/>
            <w:hideMark/>
          </w:tcPr>
          <w:p w:rsidR="00AD7610" w:rsidRPr="005D3EDE" w:rsidP="00AD7610" w14:paraId="7E53DFBD" w14:textId="5C6FBD80">
            <w:pPr>
              <w:widowControl/>
              <w:autoSpaceDE/>
              <w:autoSpaceDN/>
              <w:adjustRightInd/>
              <w:jc w:val="center"/>
              <w:rPr>
                <w:szCs w:val="20"/>
              </w:rPr>
            </w:pPr>
            <w:r w:rsidRPr="005D3EDE">
              <w:rPr>
                <w:szCs w:val="20"/>
              </w:rPr>
              <w:t>12</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72BB48AC" w14:textId="77777777">
            <w:pPr>
              <w:widowControl/>
              <w:autoSpaceDE/>
              <w:autoSpaceDN/>
              <w:adjustRightInd/>
              <w:jc w:val="center"/>
              <w:rPr>
                <w:color w:val="000000"/>
                <w:szCs w:val="20"/>
              </w:rPr>
            </w:pPr>
            <w:r w:rsidRPr="005D3EDE">
              <w:rPr>
                <w:color w:val="000000"/>
                <w:szCs w:val="20"/>
              </w:rPr>
              <w:t>1,404</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15DFE7CC"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49CC3395" w14:textId="77777777">
            <w:pPr>
              <w:widowControl/>
              <w:autoSpaceDE/>
              <w:autoSpaceDN/>
              <w:adjustRightInd/>
              <w:jc w:val="right"/>
              <w:rPr>
                <w:color w:val="000000"/>
                <w:szCs w:val="20"/>
              </w:rPr>
            </w:pPr>
            <w:r w:rsidRPr="005D3EDE">
              <w:rPr>
                <w:color w:val="000000"/>
                <w:szCs w:val="20"/>
              </w:rPr>
              <w:t>$450,684</w:t>
            </w:r>
          </w:p>
        </w:tc>
      </w:tr>
      <w:tr w14:paraId="33DC1137"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255529DC" w14:textId="3DF66D46">
            <w:pPr>
              <w:widowControl/>
              <w:autoSpaceDE/>
              <w:autoSpaceDN/>
              <w:adjustRightInd/>
              <w:ind w:right="72"/>
              <w:jc w:val="center"/>
              <w:rPr>
                <w:color w:val="000000"/>
                <w:szCs w:val="20"/>
              </w:rPr>
            </w:pPr>
            <w:r>
              <w:rPr>
                <w:color w:val="000000"/>
                <w:szCs w:val="20"/>
              </w:rPr>
              <w:t>4</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6FEFFC45" w14:textId="6242521E">
            <w:pPr>
              <w:widowControl/>
              <w:autoSpaceDE/>
              <w:autoSpaceDN/>
              <w:adjustRightInd/>
              <w:rPr>
                <w:color w:val="000000"/>
                <w:szCs w:val="20"/>
              </w:rPr>
            </w:pPr>
            <w:r w:rsidRPr="005D3EDE">
              <w:rPr>
                <w:color w:val="000000"/>
                <w:szCs w:val="20"/>
              </w:rPr>
              <w:t>CORFs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64ADE6A3" w14:textId="77777777">
            <w:pPr>
              <w:widowControl/>
              <w:autoSpaceDE/>
              <w:autoSpaceDN/>
              <w:adjustRightInd/>
              <w:rPr>
                <w:color w:val="000000"/>
                <w:szCs w:val="20"/>
              </w:rPr>
            </w:pPr>
            <w:r w:rsidRPr="00C2475B">
              <w:rPr>
                <w:sz w:val="18"/>
                <w:szCs w:val="22"/>
              </w:rPr>
              <w:t>§ 485.68(a)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7E75F9EA" w14:textId="77777777">
            <w:pPr>
              <w:widowControl/>
              <w:autoSpaceDE/>
              <w:autoSpaceDN/>
              <w:adjustRightInd/>
              <w:jc w:val="center"/>
              <w:rPr>
                <w:color w:val="000000"/>
                <w:szCs w:val="20"/>
              </w:rPr>
            </w:pPr>
            <w:r w:rsidRPr="005D3EDE">
              <w:rPr>
                <w:color w:val="000000"/>
                <w:szCs w:val="20"/>
              </w:rPr>
              <w:t>149</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0F018C22" w14:textId="77777777">
            <w:pPr>
              <w:widowControl/>
              <w:autoSpaceDE/>
              <w:autoSpaceDN/>
              <w:adjustRightInd/>
              <w:jc w:val="center"/>
              <w:rPr>
                <w:color w:val="000000"/>
                <w:szCs w:val="20"/>
              </w:rPr>
            </w:pPr>
            <w:r w:rsidRPr="005D3EDE">
              <w:rPr>
                <w:color w:val="000000"/>
                <w:szCs w:val="20"/>
              </w:rPr>
              <w:t>149</w:t>
            </w:r>
          </w:p>
        </w:tc>
        <w:tc>
          <w:tcPr>
            <w:tcW w:w="1579" w:type="dxa"/>
            <w:tcBorders>
              <w:top w:val="nil"/>
              <w:left w:val="nil"/>
              <w:bottom w:val="single" w:sz="4" w:space="0" w:color="auto"/>
              <w:right w:val="single" w:sz="4" w:space="0" w:color="auto"/>
            </w:tcBorders>
            <w:vAlign w:val="bottom"/>
            <w:hideMark/>
          </w:tcPr>
          <w:p w:rsidR="00AD7610" w:rsidRPr="005D3EDE" w:rsidP="00AD7610" w14:paraId="4969AD39" w14:textId="158042E0">
            <w:pPr>
              <w:widowControl/>
              <w:autoSpaceDE/>
              <w:autoSpaceDN/>
              <w:adjustRightInd/>
              <w:jc w:val="center"/>
              <w:rPr>
                <w:szCs w:val="20"/>
              </w:rPr>
            </w:pPr>
            <w:r w:rsidRPr="005D3EDE">
              <w:rPr>
                <w:szCs w:val="20"/>
              </w:rPr>
              <w:t>8</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7627385F" w14:textId="77777777">
            <w:pPr>
              <w:widowControl/>
              <w:autoSpaceDE/>
              <w:autoSpaceDN/>
              <w:adjustRightInd/>
              <w:jc w:val="center"/>
              <w:rPr>
                <w:color w:val="000000"/>
                <w:szCs w:val="20"/>
              </w:rPr>
            </w:pPr>
            <w:r w:rsidRPr="005D3EDE">
              <w:rPr>
                <w:color w:val="000000"/>
                <w:szCs w:val="20"/>
              </w:rPr>
              <w:t>1,192</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59AA9E74"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018DB16B" w14:textId="77777777">
            <w:pPr>
              <w:widowControl/>
              <w:autoSpaceDE/>
              <w:autoSpaceDN/>
              <w:adjustRightInd/>
              <w:jc w:val="right"/>
              <w:rPr>
                <w:color w:val="000000"/>
                <w:szCs w:val="20"/>
              </w:rPr>
            </w:pPr>
            <w:r w:rsidRPr="005D3EDE">
              <w:rPr>
                <w:color w:val="000000"/>
                <w:szCs w:val="20"/>
              </w:rPr>
              <w:t>$382,632</w:t>
            </w:r>
          </w:p>
        </w:tc>
      </w:tr>
      <w:tr w14:paraId="4AF6067A"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0876A7E3" w14:textId="0CE26288">
            <w:pPr>
              <w:widowControl/>
              <w:autoSpaceDE/>
              <w:autoSpaceDN/>
              <w:adjustRightInd/>
              <w:ind w:right="72"/>
              <w:jc w:val="center"/>
              <w:rPr>
                <w:color w:val="000000"/>
                <w:szCs w:val="20"/>
              </w:rPr>
            </w:pPr>
            <w:r>
              <w:rPr>
                <w:color w:val="000000"/>
                <w:szCs w:val="20"/>
              </w:rPr>
              <w:t>5</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1C8D3F6E" w14:textId="4F33920C">
            <w:pPr>
              <w:widowControl/>
              <w:autoSpaceDE/>
              <w:autoSpaceDN/>
              <w:adjustRightInd/>
              <w:rPr>
                <w:color w:val="000000"/>
                <w:szCs w:val="20"/>
              </w:rPr>
            </w:pPr>
            <w:r w:rsidRPr="005D3EDE">
              <w:rPr>
                <w:color w:val="000000"/>
                <w:szCs w:val="20"/>
              </w:rPr>
              <w:t>ESRD Facilities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71C712C5" w14:textId="77777777">
            <w:pPr>
              <w:widowControl/>
              <w:autoSpaceDE/>
              <w:autoSpaceDN/>
              <w:adjustRightInd/>
              <w:rPr>
                <w:color w:val="000000"/>
                <w:szCs w:val="20"/>
              </w:rPr>
            </w:pPr>
            <w:r w:rsidRPr="00C2475B">
              <w:rPr>
                <w:sz w:val="18"/>
                <w:szCs w:val="22"/>
              </w:rPr>
              <w:t>§ 494.62(a)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7D2813C6" w14:textId="77777777">
            <w:pPr>
              <w:widowControl/>
              <w:autoSpaceDE/>
              <w:autoSpaceDN/>
              <w:adjustRightInd/>
              <w:jc w:val="center"/>
              <w:rPr>
                <w:color w:val="000000"/>
                <w:szCs w:val="20"/>
              </w:rPr>
            </w:pPr>
            <w:r w:rsidRPr="005D3EDE">
              <w:rPr>
                <w:color w:val="000000"/>
                <w:szCs w:val="20"/>
              </w:rPr>
              <w:t>7,844</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058B9370" w14:textId="77777777">
            <w:pPr>
              <w:widowControl/>
              <w:autoSpaceDE/>
              <w:autoSpaceDN/>
              <w:adjustRightInd/>
              <w:jc w:val="center"/>
              <w:rPr>
                <w:color w:val="000000"/>
                <w:szCs w:val="20"/>
              </w:rPr>
            </w:pPr>
            <w:r w:rsidRPr="005D3EDE">
              <w:rPr>
                <w:color w:val="000000"/>
                <w:szCs w:val="20"/>
              </w:rPr>
              <w:t>7</w:t>
            </w:r>
            <w:r>
              <w:rPr>
                <w:color w:val="000000"/>
                <w:szCs w:val="20"/>
              </w:rPr>
              <w:t>,</w:t>
            </w:r>
            <w:r w:rsidRPr="005D3EDE">
              <w:rPr>
                <w:color w:val="000000"/>
                <w:szCs w:val="20"/>
              </w:rPr>
              <w:t>844</w:t>
            </w:r>
          </w:p>
        </w:tc>
        <w:tc>
          <w:tcPr>
            <w:tcW w:w="1579" w:type="dxa"/>
            <w:tcBorders>
              <w:top w:val="nil"/>
              <w:left w:val="nil"/>
              <w:bottom w:val="single" w:sz="4" w:space="0" w:color="auto"/>
              <w:right w:val="single" w:sz="4" w:space="0" w:color="auto"/>
            </w:tcBorders>
            <w:vAlign w:val="bottom"/>
            <w:hideMark/>
          </w:tcPr>
          <w:p w:rsidR="00AD7610" w:rsidRPr="005D3EDE" w:rsidP="00AD7610" w14:paraId="56A3D094" w14:textId="4F6269DF">
            <w:pPr>
              <w:widowControl/>
              <w:autoSpaceDE/>
              <w:autoSpaceDN/>
              <w:adjustRightInd/>
              <w:jc w:val="center"/>
              <w:rPr>
                <w:szCs w:val="20"/>
              </w:rPr>
            </w:pPr>
            <w:r w:rsidRPr="005D3EDE">
              <w:rPr>
                <w:szCs w:val="20"/>
              </w:rPr>
              <w:t>12</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6585B400" w14:textId="77777777">
            <w:pPr>
              <w:widowControl/>
              <w:autoSpaceDE/>
              <w:autoSpaceDN/>
              <w:adjustRightInd/>
              <w:jc w:val="center"/>
              <w:rPr>
                <w:color w:val="000000"/>
                <w:szCs w:val="20"/>
              </w:rPr>
            </w:pPr>
            <w:r w:rsidRPr="005D3EDE">
              <w:rPr>
                <w:color w:val="000000"/>
                <w:szCs w:val="20"/>
              </w:rPr>
              <w:t>94,128</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555755F7"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1289C923" w14:textId="77777777">
            <w:pPr>
              <w:widowControl/>
              <w:autoSpaceDE/>
              <w:autoSpaceDN/>
              <w:adjustRightInd/>
              <w:jc w:val="right"/>
              <w:rPr>
                <w:color w:val="000000"/>
                <w:szCs w:val="20"/>
              </w:rPr>
            </w:pPr>
            <w:r w:rsidRPr="005D3EDE">
              <w:rPr>
                <w:color w:val="000000"/>
                <w:szCs w:val="20"/>
              </w:rPr>
              <w:t>$30,215,088</w:t>
            </w:r>
          </w:p>
        </w:tc>
      </w:tr>
      <w:tr w14:paraId="52FF1096"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3F9FA20E" w14:textId="1CFAE475">
            <w:pPr>
              <w:widowControl/>
              <w:autoSpaceDE/>
              <w:autoSpaceDN/>
              <w:adjustRightInd/>
              <w:ind w:right="72"/>
              <w:jc w:val="center"/>
              <w:rPr>
                <w:color w:val="000000"/>
                <w:szCs w:val="20"/>
              </w:rPr>
            </w:pPr>
            <w:r>
              <w:rPr>
                <w:color w:val="000000"/>
                <w:szCs w:val="20"/>
              </w:rPr>
              <w:t>6</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5B634A17" w14:textId="4B13548E">
            <w:pPr>
              <w:widowControl/>
              <w:autoSpaceDE/>
              <w:autoSpaceDN/>
              <w:adjustRightInd/>
              <w:rPr>
                <w:color w:val="000000"/>
                <w:szCs w:val="20"/>
              </w:rPr>
            </w:pPr>
            <w:r w:rsidRPr="005D3EDE">
              <w:rPr>
                <w:color w:val="000000"/>
                <w:szCs w:val="20"/>
              </w:rPr>
              <w:t>FQHCs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0B1E310C" w14:textId="77777777">
            <w:pPr>
              <w:widowControl/>
              <w:autoSpaceDE/>
              <w:autoSpaceDN/>
              <w:adjustRightInd/>
              <w:rPr>
                <w:color w:val="000000"/>
                <w:szCs w:val="20"/>
              </w:rPr>
            </w:pPr>
            <w:r w:rsidRPr="00C2475B">
              <w:rPr>
                <w:sz w:val="18"/>
                <w:szCs w:val="22"/>
              </w:rPr>
              <w:t>§ 491.12(a)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204C40EC" w14:textId="77777777">
            <w:pPr>
              <w:widowControl/>
              <w:autoSpaceDE/>
              <w:autoSpaceDN/>
              <w:adjustRightInd/>
              <w:jc w:val="center"/>
              <w:rPr>
                <w:color w:val="000000"/>
                <w:szCs w:val="20"/>
              </w:rPr>
            </w:pPr>
            <w:r w:rsidRPr="005D3EDE">
              <w:rPr>
                <w:color w:val="000000"/>
                <w:szCs w:val="20"/>
              </w:rPr>
              <w:t>11,850</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286373FB" w14:textId="77777777">
            <w:pPr>
              <w:widowControl/>
              <w:autoSpaceDE/>
              <w:autoSpaceDN/>
              <w:adjustRightInd/>
              <w:jc w:val="center"/>
              <w:rPr>
                <w:color w:val="000000"/>
                <w:szCs w:val="20"/>
              </w:rPr>
            </w:pPr>
            <w:r w:rsidRPr="005D3EDE">
              <w:rPr>
                <w:color w:val="000000"/>
                <w:szCs w:val="20"/>
              </w:rPr>
              <w:t>11</w:t>
            </w:r>
            <w:r>
              <w:rPr>
                <w:color w:val="000000"/>
                <w:szCs w:val="20"/>
              </w:rPr>
              <w:t>,</w:t>
            </w:r>
            <w:r w:rsidRPr="005D3EDE">
              <w:rPr>
                <w:color w:val="000000"/>
                <w:szCs w:val="20"/>
              </w:rPr>
              <w:t>850</w:t>
            </w:r>
          </w:p>
        </w:tc>
        <w:tc>
          <w:tcPr>
            <w:tcW w:w="1579" w:type="dxa"/>
            <w:tcBorders>
              <w:top w:val="nil"/>
              <w:left w:val="nil"/>
              <w:bottom w:val="single" w:sz="4" w:space="0" w:color="auto"/>
              <w:right w:val="single" w:sz="4" w:space="0" w:color="auto"/>
            </w:tcBorders>
            <w:vAlign w:val="bottom"/>
            <w:hideMark/>
          </w:tcPr>
          <w:p w:rsidR="00AD7610" w:rsidRPr="005D3EDE" w:rsidP="00AD7610" w14:paraId="0A651A49" w14:textId="04F3C7D4">
            <w:pPr>
              <w:widowControl/>
              <w:autoSpaceDE/>
              <w:autoSpaceDN/>
              <w:adjustRightInd/>
              <w:jc w:val="center"/>
              <w:rPr>
                <w:szCs w:val="20"/>
              </w:rPr>
            </w:pPr>
            <w:r w:rsidRPr="005D3EDE">
              <w:rPr>
                <w:szCs w:val="20"/>
              </w:rPr>
              <w:t>8</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63AE1B8A" w14:textId="77777777">
            <w:pPr>
              <w:widowControl/>
              <w:autoSpaceDE/>
              <w:autoSpaceDN/>
              <w:adjustRightInd/>
              <w:jc w:val="center"/>
              <w:rPr>
                <w:color w:val="000000"/>
                <w:szCs w:val="20"/>
              </w:rPr>
            </w:pPr>
            <w:r w:rsidRPr="005D3EDE">
              <w:rPr>
                <w:color w:val="000000"/>
                <w:szCs w:val="20"/>
              </w:rPr>
              <w:t>94,800</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29635FBD"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645CB0FF" w14:textId="77777777">
            <w:pPr>
              <w:widowControl/>
              <w:autoSpaceDE/>
              <w:autoSpaceDN/>
              <w:adjustRightInd/>
              <w:jc w:val="right"/>
              <w:rPr>
                <w:color w:val="000000"/>
                <w:szCs w:val="20"/>
              </w:rPr>
            </w:pPr>
            <w:r w:rsidRPr="005D3EDE">
              <w:rPr>
                <w:color w:val="000000"/>
                <w:szCs w:val="20"/>
              </w:rPr>
              <w:t>$30,430,800</w:t>
            </w:r>
          </w:p>
        </w:tc>
      </w:tr>
      <w:tr w14:paraId="4540BA76"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52414B60" w14:textId="0EF61286">
            <w:pPr>
              <w:widowControl/>
              <w:autoSpaceDE/>
              <w:autoSpaceDN/>
              <w:adjustRightInd/>
              <w:ind w:right="72"/>
              <w:jc w:val="center"/>
              <w:rPr>
                <w:color w:val="000000"/>
                <w:szCs w:val="20"/>
              </w:rPr>
            </w:pPr>
            <w:r>
              <w:rPr>
                <w:color w:val="000000"/>
                <w:szCs w:val="20"/>
              </w:rPr>
              <w:t>7</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1E2C1E31" w14:textId="6A18BE16">
            <w:pPr>
              <w:widowControl/>
              <w:autoSpaceDE/>
              <w:autoSpaceDN/>
              <w:adjustRightInd/>
              <w:rPr>
                <w:color w:val="000000"/>
                <w:szCs w:val="20"/>
              </w:rPr>
            </w:pPr>
            <w:r w:rsidRPr="005D3EDE">
              <w:rPr>
                <w:color w:val="000000"/>
                <w:szCs w:val="20"/>
              </w:rPr>
              <w:t>HHAs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1D8EED28" w14:textId="77777777">
            <w:pPr>
              <w:widowControl/>
              <w:autoSpaceDE/>
              <w:autoSpaceDN/>
              <w:adjustRightInd/>
              <w:rPr>
                <w:color w:val="000000"/>
                <w:szCs w:val="20"/>
              </w:rPr>
            </w:pPr>
            <w:r w:rsidRPr="00C2475B">
              <w:rPr>
                <w:color w:val="000000"/>
                <w:sz w:val="18"/>
                <w:szCs w:val="18"/>
              </w:rPr>
              <w:t>§ 484.102(a)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0F2CE995" w14:textId="77777777">
            <w:pPr>
              <w:widowControl/>
              <w:autoSpaceDE/>
              <w:autoSpaceDN/>
              <w:adjustRightInd/>
              <w:jc w:val="center"/>
              <w:rPr>
                <w:color w:val="000000"/>
                <w:szCs w:val="20"/>
              </w:rPr>
            </w:pPr>
            <w:r w:rsidRPr="005D3EDE">
              <w:rPr>
                <w:color w:val="000000"/>
                <w:szCs w:val="20"/>
              </w:rPr>
              <w:t>8,925</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4909A8A2" w14:textId="77777777">
            <w:pPr>
              <w:widowControl/>
              <w:autoSpaceDE/>
              <w:autoSpaceDN/>
              <w:adjustRightInd/>
              <w:jc w:val="center"/>
              <w:rPr>
                <w:color w:val="000000"/>
                <w:szCs w:val="20"/>
              </w:rPr>
            </w:pPr>
            <w:r w:rsidRPr="005D3EDE">
              <w:rPr>
                <w:color w:val="000000"/>
                <w:szCs w:val="20"/>
              </w:rPr>
              <w:t>8</w:t>
            </w:r>
            <w:r>
              <w:rPr>
                <w:color w:val="000000"/>
                <w:szCs w:val="20"/>
              </w:rPr>
              <w:t>,</w:t>
            </w:r>
            <w:r w:rsidRPr="005D3EDE">
              <w:rPr>
                <w:color w:val="000000"/>
                <w:szCs w:val="20"/>
              </w:rPr>
              <w:t>925</w:t>
            </w:r>
          </w:p>
        </w:tc>
        <w:tc>
          <w:tcPr>
            <w:tcW w:w="1579" w:type="dxa"/>
            <w:tcBorders>
              <w:top w:val="nil"/>
              <w:left w:val="nil"/>
              <w:bottom w:val="single" w:sz="4" w:space="0" w:color="auto"/>
              <w:right w:val="single" w:sz="4" w:space="0" w:color="auto"/>
            </w:tcBorders>
            <w:vAlign w:val="bottom"/>
            <w:hideMark/>
          </w:tcPr>
          <w:p w:rsidR="00AD7610" w:rsidRPr="005D3EDE" w:rsidP="00AD7610" w14:paraId="12972ED6" w14:textId="01EF1CD3">
            <w:pPr>
              <w:widowControl/>
              <w:autoSpaceDE/>
              <w:autoSpaceDN/>
              <w:adjustRightInd/>
              <w:jc w:val="center"/>
              <w:rPr>
                <w:szCs w:val="20"/>
              </w:rPr>
            </w:pPr>
            <w:r w:rsidRPr="005D3EDE">
              <w:rPr>
                <w:szCs w:val="20"/>
              </w:rPr>
              <w:t>14</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4CEC955E" w14:textId="77777777">
            <w:pPr>
              <w:widowControl/>
              <w:autoSpaceDE/>
              <w:autoSpaceDN/>
              <w:adjustRightInd/>
              <w:jc w:val="center"/>
              <w:rPr>
                <w:color w:val="000000"/>
                <w:szCs w:val="20"/>
              </w:rPr>
            </w:pPr>
            <w:r w:rsidRPr="005D3EDE">
              <w:rPr>
                <w:color w:val="000000"/>
                <w:szCs w:val="20"/>
              </w:rPr>
              <w:t>124,950</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2B2B17E2"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2F3FFFAF" w14:textId="77777777">
            <w:pPr>
              <w:widowControl/>
              <w:autoSpaceDE/>
              <w:autoSpaceDN/>
              <w:adjustRightInd/>
              <w:jc w:val="right"/>
              <w:rPr>
                <w:color w:val="000000"/>
                <w:szCs w:val="20"/>
              </w:rPr>
            </w:pPr>
            <w:r w:rsidRPr="005D3EDE">
              <w:rPr>
                <w:color w:val="000000"/>
                <w:szCs w:val="20"/>
              </w:rPr>
              <w:t>$40,108,950</w:t>
            </w:r>
          </w:p>
        </w:tc>
      </w:tr>
      <w:tr w14:paraId="3B71781B"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3F135C15" w14:textId="199445E9">
            <w:pPr>
              <w:widowControl/>
              <w:autoSpaceDE/>
              <w:autoSpaceDN/>
              <w:adjustRightInd/>
              <w:ind w:right="72"/>
              <w:jc w:val="center"/>
              <w:rPr>
                <w:color w:val="000000"/>
                <w:szCs w:val="20"/>
              </w:rPr>
            </w:pPr>
            <w:r>
              <w:rPr>
                <w:color w:val="000000"/>
                <w:szCs w:val="20"/>
              </w:rPr>
              <w:t>8</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5F3E0B32" w14:textId="2DF5859B">
            <w:pPr>
              <w:widowControl/>
              <w:autoSpaceDE/>
              <w:autoSpaceDN/>
              <w:adjustRightInd/>
              <w:rPr>
                <w:color w:val="000000"/>
                <w:szCs w:val="20"/>
              </w:rPr>
            </w:pPr>
            <w:r w:rsidRPr="005D3EDE">
              <w:rPr>
                <w:color w:val="000000"/>
                <w:szCs w:val="20"/>
              </w:rPr>
              <w:t>Hospices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6A405E32" w14:textId="77777777">
            <w:pPr>
              <w:widowControl/>
              <w:autoSpaceDE/>
              <w:autoSpaceDN/>
              <w:adjustRightInd/>
              <w:rPr>
                <w:color w:val="000000"/>
                <w:szCs w:val="20"/>
              </w:rPr>
            </w:pPr>
            <w:r w:rsidRPr="00C2475B">
              <w:rPr>
                <w:color w:val="000000"/>
                <w:sz w:val="18"/>
                <w:szCs w:val="18"/>
              </w:rPr>
              <w:t>§ 418.113(a)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426A869F" w14:textId="77777777">
            <w:pPr>
              <w:widowControl/>
              <w:autoSpaceDE/>
              <w:autoSpaceDN/>
              <w:adjustRightInd/>
              <w:jc w:val="center"/>
              <w:rPr>
                <w:color w:val="000000"/>
                <w:szCs w:val="20"/>
              </w:rPr>
            </w:pPr>
            <w:r w:rsidRPr="005D3EDE">
              <w:rPr>
                <w:color w:val="000000"/>
                <w:szCs w:val="20"/>
              </w:rPr>
              <w:t>6,266</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0BBB4F2B" w14:textId="77777777">
            <w:pPr>
              <w:widowControl/>
              <w:autoSpaceDE/>
              <w:autoSpaceDN/>
              <w:adjustRightInd/>
              <w:jc w:val="center"/>
              <w:rPr>
                <w:color w:val="000000"/>
                <w:szCs w:val="20"/>
              </w:rPr>
            </w:pPr>
            <w:r w:rsidRPr="005D3EDE">
              <w:rPr>
                <w:color w:val="000000"/>
                <w:szCs w:val="20"/>
              </w:rPr>
              <w:t>6</w:t>
            </w:r>
            <w:r>
              <w:rPr>
                <w:color w:val="000000"/>
                <w:szCs w:val="20"/>
              </w:rPr>
              <w:t>,</w:t>
            </w:r>
            <w:r w:rsidRPr="005D3EDE">
              <w:rPr>
                <w:color w:val="000000"/>
                <w:szCs w:val="20"/>
              </w:rPr>
              <w:t>266</w:t>
            </w:r>
          </w:p>
        </w:tc>
        <w:tc>
          <w:tcPr>
            <w:tcW w:w="1579" w:type="dxa"/>
            <w:tcBorders>
              <w:top w:val="nil"/>
              <w:left w:val="nil"/>
              <w:bottom w:val="single" w:sz="4" w:space="0" w:color="auto"/>
              <w:right w:val="single" w:sz="4" w:space="0" w:color="auto"/>
            </w:tcBorders>
            <w:vAlign w:val="bottom"/>
            <w:hideMark/>
          </w:tcPr>
          <w:p w:rsidR="00AD7610" w:rsidRPr="005D3EDE" w:rsidP="00AD7610" w14:paraId="2BD8CA16" w14:textId="34911771">
            <w:pPr>
              <w:widowControl/>
              <w:autoSpaceDE/>
              <w:autoSpaceDN/>
              <w:adjustRightInd/>
              <w:jc w:val="center"/>
              <w:rPr>
                <w:szCs w:val="20"/>
              </w:rPr>
            </w:pPr>
            <w:r w:rsidRPr="005D3EDE">
              <w:rPr>
                <w:szCs w:val="20"/>
              </w:rPr>
              <w:t>14</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36CD80F0" w14:textId="77777777">
            <w:pPr>
              <w:widowControl/>
              <w:autoSpaceDE/>
              <w:autoSpaceDN/>
              <w:adjustRightInd/>
              <w:jc w:val="center"/>
              <w:rPr>
                <w:color w:val="000000"/>
                <w:szCs w:val="20"/>
              </w:rPr>
            </w:pPr>
            <w:r w:rsidRPr="005D3EDE">
              <w:rPr>
                <w:color w:val="000000"/>
                <w:szCs w:val="20"/>
              </w:rPr>
              <w:t>87,724</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04D853F4"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7A19662B" w14:textId="77777777">
            <w:pPr>
              <w:widowControl/>
              <w:autoSpaceDE/>
              <w:autoSpaceDN/>
              <w:adjustRightInd/>
              <w:jc w:val="right"/>
              <w:rPr>
                <w:color w:val="000000"/>
                <w:szCs w:val="20"/>
              </w:rPr>
            </w:pPr>
            <w:r w:rsidRPr="005D3EDE">
              <w:rPr>
                <w:color w:val="000000"/>
                <w:szCs w:val="20"/>
              </w:rPr>
              <w:t>$28,159,404</w:t>
            </w:r>
          </w:p>
        </w:tc>
      </w:tr>
      <w:tr w14:paraId="4AB704A4"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43CDF8F1" w14:textId="1FC06D55">
            <w:pPr>
              <w:widowControl/>
              <w:autoSpaceDE/>
              <w:autoSpaceDN/>
              <w:adjustRightInd/>
              <w:ind w:right="72"/>
              <w:jc w:val="center"/>
              <w:rPr>
                <w:color w:val="000000"/>
                <w:szCs w:val="20"/>
              </w:rPr>
            </w:pPr>
            <w:r>
              <w:rPr>
                <w:color w:val="000000"/>
                <w:szCs w:val="20"/>
              </w:rPr>
              <w:t>9</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0B1980A6" w14:textId="64C0641F">
            <w:pPr>
              <w:widowControl/>
              <w:autoSpaceDE/>
              <w:autoSpaceDN/>
              <w:adjustRightInd/>
              <w:rPr>
                <w:color w:val="000000"/>
                <w:szCs w:val="20"/>
              </w:rPr>
            </w:pPr>
            <w:r w:rsidRPr="005D3EDE">
              <w:rPr>
                <w:color w:val="000000"/>
                <w:szCs w:val="20"/>
              </w:rPr>
              <w:t>Hospitals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6C6915CD" w14:textId="77777777">
            <w:pPr>
              <w:widowControl/>
              <w:autoSpaceDE/>
              <w:autoSpaceDN/>
              <w:adjustRightInd/>
              <w:rPr>
                <w:color w:val="000000"/>
                <w:szCs w:val="20"/>
              </w:rPr>
            </w:pPr>
            <w:r w:rsidRPr="00C2475B">
              <w:rPr>
                <w:color w:val="000000"/>
                <w:sz w:val="18"/>
                <w:szCs w:val="18"/>
              </w:rPr>
              <w:t>§ 482.15(a)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16764DD7" w14:textId="77777777">
            <w:pPr>
              <w:widowControl/>
              <w:autoSpaceDE/>
              <w:autoSpaceDN/>
              <w:adjustRightInd/>
              <w:jc w:val="center"/>
              <w:rPr>
                <w:color w:val="000000"/>
                <w:szCs w:val="20"/>
              </w:rPr>
            </w:pPr>
            <w:r w:rsidRPr="005D3EDE">
              <w:rPr>
                <w:color w:val="000000"/>
                <w:szCs w:val="20"/>
              </w:rPr>
              <w:t>4,417</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5394E807" w14:textId="77777777">
            <w:pPr>
              <w:widowControl/>
              <w:autoSpaceDE/>
              <w:autoSpaceDN/>
              <w:adjustRightInd/>
              <w:jc w:val="center"/>
              <w:rPr>
                <w:color w:val="000000"/>
                <w:szCs w:val="20"/>
              </w:rPr>
            </w:pPr>
            <w:r w:rsidRPr="005D3EDE">
              <w:rPr>
                <w:color w:val="000000"/>
                <w:szCs w:val="20"/>
              </w:rPr>
              <w:t>4</w:t>
            </w:r>
            <w:r>
              <w:rPr>
                <w:color w:val="000000"/>
                <w:szCs w:val="20"/>
              </w:rPr>
              <w:t>,</w:t>
            </w:r>
            <w:r w:rsidRPr="005D3EDE">
              <w:rPr>
                <w:color w:val="000000"/>
                <w:szCs w:val="20"/>
              </w:rPr>
              <w:t>417</w:t>
            </w:r>
          </w:p>
        </w:tc>
        <w:tc>
          <w:tcPr>
            <w:tcW w:w="1579" w:type="dxa"/>
            <w:tcBorders>
              <w:top w:val="nil"/>
              <w:left w:val="nil"/>
              <w:bottom w:val="single" w:sz="4" w:space="0" w:color="auto"/>
              <w:right w:val="single" w:sz="4" w:space="0" w:color="auto"/>
            </w:tcBorders>
            <w:vAlign w:val="bottom"/>
            <w:hideMark/>
          </w:tcPr>
          <w:p w:rsidR="00AD7610" w:rsidRPr="005D3EDE" w:rsidP="00AD7610" w14:paraId="129633DB" w14:textId="4A928694">
            <w:pPr>
              <w:widowControl/>
              <w:autoSpaceDE/>
              <w:autoSpaceDN/>
              <w:adjustRightInd/>
              <w:jc w:val="center"/>
              <w:rPr>
                <w:szCs w:val="20"/>
              </w:rPr>
            </w:pPr>
            <w:r w:rsidRPr="005D3EDE">
              <w:rPr>
                <w:szCs w:val="20"/>
              </w:rPr>
              <w:t>22</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27500DD6" w14:textId="77777777">
            <w:pPr>
              <w:widowControl/>
              <w:autoSpaceDE/>
              <w:autoSpaceDN/>
              <w:adjustRightInd/>
              <w:jc w:val="center"/>
              <w:rPr>
                <w:color w:val="000000"/>
                <w:szCs w:val="20"/>
              </w:rPr>
            </w:pPr>
            <w:r w:rsidRPr="005D3EDE">
              <w:rPr>
                <w:color w:val="000000"/>
                <w:szCs w:val="20"/>
              </w:rPr>
              <w:t>97,174</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452F83D6"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4AE19251" w14:textId="77777777">
            <w:pPr>
              <w:widowControl/>
              <w:autoSpaceDE/>
              <w:autoSpaceDN/>
              <w:adjustRightInd/>
              <w:jc w:val="right"/>
              <w:rPr>
                <w:color w:val="000000"/>
                <w:szCs w:val="20"/>
              </w:rPr>
            </w:pPr>
            <w:r w:rsidRPr="005D3EDE">
              <w:rPr>
                <w:color w:val="000000"/>
                <w:szCs w:val="20"/>
              </w:rPr>
              <w:t>$31,192,854</w:t>
            </w:r>
          </w:p>
        </w:tc>
      </w:tr>
      <w:tr w14:paraId="4A307A7D"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12966113" w14:textId="7F31239C">
            <w:pPr>
              <w:widowControl/>
              <w:autoSpaceDE/>
              <w:autoSpaceDN/>
              <w:adjustRightInd/>
              <w:ind w:right="72"/>
              <w:jc w:val="center"/>
              <w:rPr>
                <w:color w:val="000000"/>
                <w:szCs w:val="20"/>
              </w:rPr>
            </w:pPr>
            <w:r w:rsidRPr="002266BF">
              <w:rPr>
                <w:color w:val="000000"/>
                <w:szCs w:val="20"/>
              </w:rPr>
              <w:t>1</w:t>
            </w:r>
            <w:r>
              <w:rPr>
                <w:color w:val="000000"/>
                <w:szCs w:val="20"/>
              </w:rPr>
              <w:t>0</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6A39F1E6" w14:textId="4FD3FCCF">
            <w:pPr>
              <w:widowControl/>
              <w:autoSpaceDE/>
              <w:autoSpaceDN/>
              <w:adjustRightInd/>
              <w:rPr>
                <w:color w:val="000000"/>
                <w:szCs w:val="20"/>
              </w:rPr>
            </w:pPr>
            <w:r w:rsidRPr="005D3EDE">
              <w:rPr>
                <w:color w:val="000000"/>
                <w:szCs w:val="20"/>
              </w:rPr>
              <w:t>ICF/IIDs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4C01FB17" w14:textId="77777777">
            <w:pPr>
              <w:widowControl/>
              <w:autoSpaceDE/>
              <w:autoSpaceDN/>
              <w:adjustRightInd/>
              <w:rPr>
                <w:color w:val="000000"/>
                <w:szCs w:val="20"/>
              </w:rPr>
            </w:pPr>
            <w:r w:rsidRPr="00C2475B">
              <w:rPr>
                <w:color w:val="000000"/>
                <w:sz w:val="18"/>
                <w:szCs w:val="18"/>
              </w:rPr>
              <w:t>§ 483.475(a)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030A88D6" w14:textId="77777777">
            <w:pPr>
              <w:widowControl/>
              <w:autoSpaceDE/>
              <w:autoSpaceDN/>
              <w:adjustRightInd/>
              <w:jc w:val="center"/>
              <w:rPr>
                <w:color w:val="000000"/>
                <w:szCs w:val="20"/>
              </w:rPr>
            </w:pPr>
            <w:r w:rsidRPr="005D3EDE">
              <w:rPr>
                <w:color w:val="000000"/>
                <w:szCs w:val="20"/>
              </w:rPr>
              <w:t>5,520</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4630274C" w14:textId="77777777">
            <w:pPr>
              <w:widowControl/>
              <w:autoSpaceDE/>
              <w:autoSpaceDN/>
              <w:adjustRightInd/>
              <w:jc w:val="center"/>
              <w:rPr>
                <w:color w:val="000000"/>
                <w:szCs w:val="20"/>
              </w:rPr>
            </w:pPr>
            <w:r w:rsidRPr="005D3EDE">
              <w:rPr>
                <w:color w:val="000000"/>
                <w:szCs w:val="20"/>
              </w:rPr>
              <w:t>5</w:t>
            </w:r>
            <w:r>
              <w:rPr>
                <w:color w:val="000000"/>
                <w:szCs w:val="20"/>
              </w:rPr>
              <w:t>,</w:t>
            </w:r>
            <w:r w:rsidRPr="005D3EDE">
              <w:rPr>
                <w:color w:val="000000"/>
                <w:szCs w:val="20"/>
              </w:rPr>
              <w:t>520</w:t>
            </w:r>
          </w:p>
        </w:tc>
        <w:tc>
          <w:tcPr>
            <w:tcW w:w="1579" w:type="dxa"/>
            <w:tcBorders>
              <w:top w:val="nil"/>
              <w:left w:val="nil"/>
              <w:bottom w:val="single" w:sz="4" w:space="0" w:color="auto"/>
              <w:right w:val="single" w:sz="4" w:space="0" w:color="auto"/>
            </w:tcBorders>
            <w:vAlign w:val="bottom"/>
            <w:hideMark/>
          </w:tcPr>
          <w:p w:rsidR="00AD7610" w:rsidRPr="005D3EDE" w:rsidP="00AD7610" w14:paraId="4060793C" w14:textId="1D7AEABD">
            <w:pPr>
              <w:widowControl/>
              <w:autoSpaceDE/>
              <w:autoSpaceDN/>
              <w:adjustRightInd/>
              <w:jc w:val="center"/>
              <w:rPr>
                <w:szCs w:val="20"/>
              </w:rPr>
            </w:pPr>
            <w:r w:rsidRPr="005D3EDE">
              <w:rPr>
                <w:szCs w:val="20"/>
              </w:rPr>
              <w:t>6</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5017CF7C" w14:textId="77777777">
            <w:pPr>
              <w:widowControl/>
              <w:autoSpaceDE/>
              <w:autoSpaceDN/>
              <w:adjustRightInd/>
              <w:jc w:val="center"/>
              <w:rPr>
                <w:color w:val="000000"/>
                <w:szCs w:val="20"/>
              </w:rPr>
            </w:pPr>
            <w:r w:rsidRPr="005D3EDE">
              <w:rPr>
                <w:color w:val="000000"/>
                <w:szCs w:val="20"/>
              </w:rPr>
              <w:t>33,120</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3C7F95F9"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05A947B4" w14:textId="77777777">
            <w:pPr>
              <w:widowControl/>
              <w:autoSpaceDE/>
              <w:autoSpaceDN/>
              <w:adjustRightInd/>
              <w:jc w:val="right"/>
              <w:rPr>
                <w:color w:val="000000"/>
                <w:szCs w:val="20"/>
              </w:rPr>
            </w:pPr>
            <w:r w:rsidRPr="005D3EDE">
              <w:rPr>
                <w:color w:val="000000"/>
                <w:szCs w:val="20"/>
              </w:rPr>
              <w:t>$10,631,520</w:t>
            </w:r>
          </w:p>
        </w:tc>
      </w:tr>
      <w:tr w14:paraId="110BA0B8"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3ED5F645" w14:textId="13388221">
            <w:pPr>
              <w:widowControl/>
              <w:autoSpaceDE/>
              <w:autoSpaceDN/>
              <w:adjustRightInd/>
              <w:ind w:right="72"/>
              <w:jc w:val="center"/>
              <w:rPr>
                <w:color w:val="000000"/>
                <w:szCs w:val="20"/>
              </w:rPr>
            </w:pPr>
            <w:r w:rsidRPr="002266BF">
              <w:rPr>
                <w:color w:val="000000"/>
                <w:szCs w:val="20"/>
              </w:rPr>
              <w:t>1</w:t>
            </w:r>
            <w:r>
              <w:rPr>
                <w:color w:val="000000"/>
                <w:szCs w:val="20"/>
              </w:rPr>
              <w:t>1</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40D7ECCB" w14:textId="2E16E182">
            <w:pPr>
              <w:widowControl/>
              <w:autoSpaceDE/>
              <w:autoSpaceDN/>
              <w:adjustRightInd/>
              <w:rPr>
                <w:color w:val="000000"/>
                <w:szCs w:val="20"/>
              </w:rPr>
            </w:pPr>
            <w:r w:rsidRPr="005D3EDE">
              <w:rPr>
                <w:color w:val="000000"/>
                <w:szCs w:val="20"/>
              </w:rPr>
              <w:t>OPOs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36A40A5A" w14:textId="77777777">
            <w:pPr>
              <w:widowControl/>
              <w:autoSpaceDE/>
              <w:autoSpaceDN/>
              <w:adjustRightInd/>
              <w:rPr>
                <w:color w:val="000000"/>
                <w:szCs w:val="20"/>
              </w:rPr>
            </w:pPr>
            <w:r w:rsidRPr="00C2475B">
              <w:rPr>
                <w:sz w:val="18"/>
                <w:szCs w:val="22"/>
              </w:rPr>
              <w:t>§ 486.360(a)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4E2DFA08" w14:textId="77777777">
            <w:pPr>
              <w:widowControl/>
              <w:autoSpaceDE/>
              <w:autoSpaceDN/>
              <w:adjustRightInd/>
              <w:jc w:val="center"/>
              <w:rPr>
                <w:color w:val="000000"/>
                <w:szCs w:val="20"/>
              </w:rPr>
            </w:pPr>
            <w:r w:rsidRPr="005D3EDE">
              <w:rPr>
                <w:color w:val="000000"/>
                <w:szCs w:val="20"/>
              </w:rPr>
              <w:t>57</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54DDEEDB" w14:textId="77777777">
            <w:pPr>
              <w:widowControl/>
              <w:autoSpaceDE/>
              <w:autoSpaceDN/>
              <w:adjustRightInd/>
              <w:jc w:val="center"/>
              <w:rPr>
                <w:color w:val="000000"/>
                <w:szCs w:val="20"/>
              </w:rPr>
            </w:pPr>
            <w:r w:rsidRPr="005D3EDE">
              <w:rPr>
                <w:color w:val="000000"/>
                <w:szCs w:val="20"/>
              </w:rPr>
              <w:t>57</w:t>
            </w:r>
          </w:p>
        </w:tc>
        <w:tc>
          <w:tcPr>
            <w:tcW w:w="1579" w:type="dxa"/>
            <w:tcBorders>
              <w:top w:val="nil"/>
              <w:left w:val="nil"/>
              <w:bottom w:val="single" w:sz="4" w:space="0" w:color="auto"/>
              <w:right w:val="single" w:sz="4" w:space="0" w:color="auto"/>
            </w:tcBorders>
            <w:vAlign w:val="bottom"/>
            <w:hideMark/>
          </w:tcPr>
          <w:p w:rsidR="00AD7610" w:rsidRPr="005D3EDE" w:rsidP="00AD7610" w14:paraId="61211B40" w14:textId="69AF83C9">
            <w:pPr>
              <w:widowControl/>
              <w:autoSpaceDE/>
              <w:autoSpaceDN/>
              <w:adjustRightInd/>
              <w:jc w:val="center"/>
              <w:rPr>
                <w:szCs w:val="20"/>
              </w:rPr>
            </w:pPr>
            <w:r w:rsidRPr="005D3EDE">
              <w:rPr>
                <w:szCs w:val="20"/>
              </w:rPr>
              <w:t>16</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4E1F6255" w14:textId="77777777">
            <w:pPr>
              <w:widowControl/>
              <w:autoSpaceDE/>
              <w:autoSpaceDN/>
              <w:adjustRightInd/>
              <w:jc w:val="center"/>
              <w:rPr>
                <w:color w:val="000000"/>
                <w:szCs w:val="20"/>
              </w:rPr>
            </w:pPr>
            <w:r w:rsidRPr="005D3EDE">
              <w:rPr>
                <w:color w:val="000000"/>
                <w:szCs w:val="20"/>
              </w:rPr>
              <w:t>912</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250C28ED"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5E8AE1F7" w14:textId="77777777">
            <w:pPr>
              <w:widowControl/>
              <w:autoSpaceDE/>
              <w:autoSpaceDN/>
              <w:adjustRightInd/>
              <w:jc w:val="right"/>
              <w:rPr>
                <w:color w:val="000000"/>
                <w:szCs w:val="20"/>
              </w:rPr>
            </w:pPr>
            <w:r w:rsidRPr="005D3EDE">
              <w:rPr>
                <w:color w:val="000000"/>
                <w:szCs w:val="20"/>
              </w:rPr>
              <w:t>$292,752</w:t>
            </w:r>
          </w:p>
        </w:tc>
      </w:tr>
      <w:tr w14:paraId="5BC83C4B"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P="00AD7610" w14:paraId="36E2D3C9" w14:textId="3B0C9D1C">
            <w:pPr>
              <w:widowControl/>
              <w:autoSpaceDE/>
              <w:autoSpaceDN/>
              <w:adjustRightInd/>
              <w:ind w:right="72"/>
              <w:jc w:val="center"/>
              <w:rPr>
                <w:color w:val="000000"/>
                <w:szCs w:val="20"/>
              </w:rPr>
            </w:pPr>
            <w:r w:rsidRPr="002266BF">
              <w:rPr>
                <w:color w:val="000000"/>
                <w:szCs w:val="20"/>
              </w:rPr>
              <w:t>1</w:t>
            </w:r>
            <w:r>
              <w:rPr>
                <w:color w:val="000000"/>
                <w:szCs w:val="20"/>
              </w:rPr>
              <w:t>2</w:t>
            </w:r>
          </w:p>
        </w:tc>
        <w:tc>
          <w:tcPr>
            <w:tcW w:w="2141"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285A09CD" w14:textId="315577D4">
            <w:pPr>
              <w:widowControl/>
              <w:autoSpaceDE/>
              <w:autoSpaceDN/>
              <w:adjustRightInd/>
              <w:rPr>
                <w:color w:val="000000"/>
                <w:szCs w:val="20"/>
              </w:rPr>
            </w:pPr>
            <w:r>
              <w:rPr>
                <w:color w:val="000000"/>
                <w:szCs w:val="20"/>
              </w:rPr>
              <w:t>“Organizations”</w:t>
            </w:r>
          </w:p>
        </w:tc>
        <w:tc>
          <w:tcPr>
            <w:tcW w:w="1408" w:type="dxa"/>
            <w:tcBorders>
              <w:top w:val="nil"/>
              <w:left w:val="nil"/>
              <w:bottom w:val="single" w:sz="4" w:space="0" w:color="auto"/>
              <w:right w:val="single" w:sz="4" w:space="0" w:color="auto"/>
            </w:tcBorders>
            <w:noWrap/>
            <w:vAlign w:val="bottom"/>
          </w:tcPr>
          <w:p w:rsidR="00AD7610" w:rsidRPr="00C2475B" w:rsidP="00AD7610" w14:paraId="2136CCAD" w14:textId="27362EB2">
            <w:pPr>
              <w:widowControl/>
              <w:autoSpaceDE/>
              <w:autoSpaceDN/>
              <w:adjustRightInd/>
              <w:rPr>
                <w:color w:val="000000"/>
                <w:sz w:val="18"/>
                <w:szCs w:val="18"/>
              </w:rPr>
            </w:pPr>
            <w:r w:rsidRPr="00C2475B">
              <w:rPr>
                <w:sz w:val="18"/>
                <w:szCs w:val="22"/>
              </w:rPr>
              <w:t>§ 485.727(a)</w:t>
            </w:r>
          </w:p>
        </w:tc>
        <w:tc>
          <w:tcPr>
            <w:tcW w:w="1306" w:type="dxa"/>
            <w:tcBorders>
              <w:top w:val="nil"/>
              <w:left w:val="nil"/>
              <w:bottom w:val="single" w:sz="4" w:space="0" w:color="auto"/>
              <w:right w:val="single" w:sz="4" w:space="0" w:color="auto"/>
            </w:tcBorders>
            <w:noWrap/>
            <w:vAlign w:val="bottom"/>
          </w:tcPr>
          <w:p w:rsidR="00AD7610" w:rsidRPr="005D3EDE" w:rsidP="00AD7610" w14:paraId="4E56BC19" w14:textId="64AA226D">
            <w:pPr>
              <w:widowControl/>
              <w:autoSpaceDE/>
              <w:autoSpaceDN/>
              <w:adjustRightInd/>
              <w:jc w:val="center"/>
              <w:rPr>
                <w:color w:val="000000"/>
                <w:szCs w:val="20"/>
              </w:rPr>
            </w:pPr>
            <w:r w:rsidRPr="005D3EDE">
              <w:rPr>
                <w:color w:val="000000"/>
                <w:szCs w:val="20"/>
              </w:rPr>
              <w:t>1,996</w:t>
            </w:r>
          </w:p>
        </w:tc>
        <w:tc>
          <w:tcPr>
            <w:tcW w:w="1516" w:type="dxa"/>
            <w:tcBorders>
              <w:top w:val="nil"/>
              <w:left w:val="nil"/>
              <w:bottom w:val="single" w:sz="4" w:space="0" w:color="auto"/>
              <w:right w:val="single" w:sz="4" w:space="0" w:color="auto"/>
            </w:tcBorders>
            <w:noWrap/>
            <w:vAlign w:val="bottom"/>
          </w:tcPr>
          <w:p w:rsidR="00AD7610" w:rsidRPr="005D3EDE" w:rsidP="00AD7610" w14:paraId="707AEE36" w14:textId="6DF79F8A">
            <w:pPr>
              <w:widowControl/>
              <w:autoSpaceDE/>
              <w:autoSpaceDN/>
              <w:adjustRightInd/>
              <w:jc w:val="center"/>
              <w:rPr>
                <w:color w:val="000000"/>
                <w:szCs w:val="20"/>
              </w:rPr>
            </w:pPr>
            <w:r w:rsidRPr="005D3EDE">
              <w:rPr>
                <w:color w:val="000000"/>
                <w:szCs w:val="20"/>
              </w:rPr>
              <w:t>1</w:t>
            </w:r>
            <w:r>
              <w:rPr>
                <w:color w:val="000000"/>
                <w:szCs w:val="20"/>
              </w:rPr>
              <w:t>,</w:t>
            </w:r>
            <w:r w:rsidRPr="005D3EDE">
              <w:rPr>
                <w:color w:val="000000"/>
                <w:szCs w:val="20"/>
              </w:rPr>
              <w:t>996</w:t>
            </w:r>
          </w:p>
        </w:tc>
        <w:tc>
          <w:tcPr>
            <w:tcW w:w="1579" w:type="dxa"/>
            <w:tcBorders>
              <w:top w:val="nil"/>
              <w:left w:val="nil"/>
              <w:bottom w:val="single" w:sz="4" w:space="0" w:color="auto"/>
              <w:right w:val="single" w:sz="4" w:space="0" w:color="auto"/>
            </w:tcBorders>
            <w:vAlign w:val="bottom"/>
          </w:tcPr>
          <w:p w:rsidR="00AD7610" w:rsidRPr="005D3EDE" w:rsidP="00AD7610" w14:paraId="3711735F" w14:textId="027E9CE3">
            <w:pPr>
              <w:widowControl/>
              <w:autoSpaceDE/>
              <w:autoSpaceDN/>
              <w:adjustRightInd/>
              <w:jc w:val="center"/>
              <w:rPr>
                <w:szCs w:val="20"/>
              </w:rPr>
            </w:pPr>
            <w:r w:rsidRPr="005D3EDE">
              <w:rPr>
                <w:szCs w:val="20"/>
              </w:rPr>
              <w:t>6</w:t>
            </w:r>
          </w:p>
        </w:tc>
        <w:tc>
          <w:tcPr>
            <w:tcW w:w="1598" w:type="dxa"/>
            <w:tcBorders>
              <w:top w:val="nil"/>
              <w:left w:val="nil"/>
              <w:bottom w:val="single" w:sz="4" w:space="0" w:color="auto"/>
              <w:right w:val="single" w:sz="4" w:space="0" w:color="auto"/>
            </w:tcBorders>
            <w:noWrap/>
            <w:vAlign w:val="bottom"/>
          </w:tcPr>
          <w:p w:rsidR="00AD7610" w:rsidRPr="005D3EDE" w:rsidP="00AD7610" w14:paraId="3383D0C4" w14:textId="3B5B2BA2">
            <w:pPr>
              <w:widowControl/>
              <w:autoSpaceDE/>
              <w:autoSpaceDN/>
              <w:adjustRightInd/>
              <w:jc w:val="center"/>
              <w:rPr>
                <w:color w:val="000000"/>
                <w:szCs w:val="20"/>
              </w:rPr>
            </w:pPr>
            <w:r w:rsidRPr="005D3EDE">
              <w:rPr>
                <w:color w:val="000000"/>
                <w:szCs w:val="20"/>
              </w:rPr>
              <w:t>11,976</w:t>
            </w:r>
          </w:p>
        </w:tc>
        <w:tc>
          <w:tcPr>
            <w:tcW w:w="1141" w:type="dxa"/>
            <w:tcBorders>
              <w:top w:val="nil"/>
              <w:left w:val="nil"/>
              <w:bottom w:val="single" w:sz="4" w:space="0" w:color="auto"/>
              <w:right w:val="single" w:sz="4" w:space="0" w:color="auto"/>
            </w:tcBorders>
            <w:noWrap/>
            <w:vAlign w:val="center"/>
          </w:tcPr>
          <w:p w:rsidR="00AD7610" w:rsidRPr="004F6692" w:rsidP="00AD7610" w14:paraId="62ECAD18" w14:textId="33A5B67A">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tcPr>
          <w:p w:rsidR="00AD7610" w:rsidRPr="005D3EDE" w:rsidP="00AD7610" w14:paraId="2CB94CE8" w14:textId="77562AE0">
            <w:pPr>
              <w:widowControl/>
              <w:autoSpaceDE/>
              <w:autoSpaceDN/>
              <w:adjustRightInd/>
              <w:jc w:val="right"/>
              <w:rPr>
                <w:color w:val="000000"/>
                <w:szCs w:val="20"/>
              </w:rPr>
            </w:pPr>
            <w:r w:rsidRPr="005D3EDE">
              <w:rPr>
                <w:color w:val="000000"/>
                <w:szCs w:val="20"/>
              </w:rPr>
              <w:t>$3,844,296</w:t>
            </w:r>
          </w:p>
        </w:tc>
      </w:tr>
      <w:tr w14:paraId="630366D6"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55E5C7AE" w14:textId="1DEEC054">
            <w:pPr>
              <w:widowControl/>
              <w:autoSpaceDE/>
              <w:autoSpaceDN/>
              <w:adjustRightInd/>
              <w:ind w:right="72"/>
              <w:jc w:val="center"/>
              <w:rPr>
                <w:color w:val="000000"/>
                <w:szCs w:val="20"/>
              </w:rPr>
            </w:pPr>
            <w:r w:rsidRPr="002266BF">
              <w:rPr>
                <w:color w:val="000000"/>
                <w:szCs w:val="20"/>
              </w:rPr>
              <w:t>1</w:t>
            </w:r>
            <w:r>
              <w:rPr>
                <w:color w:val="000000"/>
                <w:szCs w:val="20"/>
              </w:rPr>
              <w:t>3</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06215A1C" w14:textId="36E3A2B5">
            <w:pPr>
              <w:widowControl/>
              <w:autoSpaceDE/>
              <w:autoSpaceDN/>
              <w:adjustRightInd/>
              <w:rPr>
                <w:color w:val="000000"/>
                <w:szCs w:val="20"/>
              </w:rPr>
            </w:pPr>
            <w:r w:rsidRPr="005D3EDE">
              <w:rPr>
                <w:color w:val="000000"/>
                <w:szCs w:val="20"/>
              </w:rPr>
              <w:t xml:space="preserve">PACE </w:t>
            </w:r>
            <w:r>
              <w:rPr>
                <w:color w:val="000000"/>
                <w:szCs w:val="20"/>
              </w:rPr>
              <w:t>O</w:t>
            </w:r>
            <w:r w:rsidRPr="005D3EDE">
              <w:rPr>
                <w:color w:val="000000"/>
                <w:szCs w:val="20"/>
              </w:rPr>
              <w:t>rganizations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488A9E8A" w14:textId="77777777">
            <w:pPr>
              <w:widowControl/>
              <w:autoSpaceDE/>
              <w:autoSpaceDN/>
              <w:adjustRightInd/>
              <w:rPr>
                <w:color w:val="000000"/>
                <w:szCs w:val="20"/>
              </w:rPr>
            </w:pPr>
            <w:r w:rsidRPr="00C2475B">
              <w:rPr>
                <w:color w:val="000000"/>
                <w:sz w:val="18"/>
                <w:szCs w:val="18"/>
              </w:rPr>
              <w:t>§ 460.84(a)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08F10115" w14:textId="77777777">
            <w:pPr>
              <w:widowControl/>
              <w:autoSpaceDE/>
              <w:autoSpaceDN/>
              <w:adjustRightInd/>
              <w:jc w:val="center"/>
              <w:rPr>
                <w:color w:val="000000"/>
                <w:szCs w:val="20"/>
              </w:rPr>
            </w:pPr>
            <w:r w:rsidRPr="005D3EDE">
              <w:rPr>
                <w:color w:val="000000"/>
                <w:szCs w:val="20"/>
              </w:rPr>
              <w:t>148</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20C33A27" w14:textId="77777777">
            <w:pPr>
              <w:widowControl/>
              <w:autoSpaceDE/>
              <w:autoSpaceDN/>
              <w:adjustRightInd/>
              <w:jc w:val="center"/>
              <w:rPr>
                <w:color w:val="000000"/>
                <w:szCs w:val="20"/>
              </w:rPr>
            </w:pPr>
            <w:r w:rsidRPr="005D3EDE">
              <w:rPr>
                <w:color w:val="000000"/>
                <w:szCs w:val="20"/>
              </w:rPr>
              <w:t>148</w:t>
            </w:r>
          </w:p>
        </w:tc>
        <w:tc>
          <w:tcPr>
            <w:tcW w:w="1579" w:type="dxa"/>
            <w:tcBorders>
              <w:top w:val="nil"/>
              <w:left w:val="nil"/>
              <w:bottom w:val="single" w:sz="4" w:space="0" w:color="auto"/>
              <w:right w:val="single" w:sz="4" w:space="0" w:color="auto"/>
            </w:tcBorders>
            <w:vAlign w:val="bottom"/>
            <w:hideMark/>
          </w:tcPr>
          <w:p w:rsidR="00AD7610" w:rsidRPr="005D3EDE" w:rsidP="00AD7610" w14:paraId="7C9AB47E" w14:textId="759674BA">
            <w:pPr>
              <w:widowControl/>
              <w:autoSpaceDE/>
              <w:autoSpaceDN/>
              <w:adjustRightInd/>
              <w:jc w:val="center"/>
              <w:rPr>
                <w:szCs w:val="20"/>
              </w:rPr>
            </w:pPr>
            <w:r w:rsidRPr="005D3EDE">
              <w:rPr>
                <w:szCs w:val="20"/>
              </w:rPr>
              <w:t>12</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560B4D2B" w14:textId="77777777">
            <w:pPr>
              <w:widowControl/>
              <w:autoSpaceDE/>
              <w:autoSpaceDN/>
              <w:adjustRightInd/>
              <w:jc w:val="center"/>
              <w:rPr>
                <w:color w:val="000000"/>
                <w:szCs w:val="20"/>
              </w:rPr>
            </w:pPr>
            <w:r w:rsidRPr="005D3EDE">
              <w:rPr>
                <w:color w:val="000000"/>
                <w:szCs w:val="20"/>
              </w:rPr>
              <w:t>1,776</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0A9C4D28"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2948A58A" w14:textId="77777777">
            <w:pPr>
              <w:widowControl/>
              <w:autoSpaceDE/>
              <w:autoSpaceDN/>
              <w:adjustRightInd/>
              <w:jc w:val="right"/>
              <w:rPr>
                <w:color w:val="000000"/>
                <w:szCs w:val="20"/>
              </w:rPr>
            </w:pPr>
            <w:r w:rsidRPr="005D3EDE">
              <w:rPr>
                <w:color w:val="000000"/>
                <w:szCs w:val="20"/>
              </w:rPr>
              <w:t>$570,096</w:t>
            </w:r>
          </w:p>
        </w:tc>
      </w:tr>
      <w:tr w14:paraId="0F4FF349" w14:textId="77777777" w:rsidTr="00577E9B">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4D2B229A" w14:textId="35745B1A">
            <w:pPr>
              <w:widowControl/>
              <w:autoSpaceDE/>
              <w:autoSpaceDN/>
              <w:adjustRightInd/>
              <w:ind w:right="72"/>
              <w:jc w:val="center"/>
              <w:rPr>
                <w:szCs w:val="20"/>
              </w:rPr>
            </w:pPr>
            <w:r w:rsidRPr="002266BF">
              <w:rPr>
                <w:color w:val="000000"/>
                <w:szCs w:val="20"/>
              </w:rPr>
              <w:t>1</w:t>
            </w:r>
            <w:r>
              <w:rPr>
                <w:color w:val="000000"/>
                <w:szCs w:val="20"/>
              </w:rPr>
              <w:t>4</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148D196E" w14:textId="6B2A3473">
            <w:pPr>
              <w:widowControl/>
              <w:autoSpaceDE/>
              <w:autoSpaceDN/>
              <w:adjustRightInd/>
              <w:rPr>
                <w:szCs w:val="20"/>
              </w:rPr>
            </w:pPr>
            <w:r w:rsidRPr="005D3EDE">
              <w:rPr>
                <w:szCs w:val="20"/>
              </w:rPr>
              <w:t>PRTFs</w:t>
            </w:r>
          </w:p>
        </w:tc>
        <w:tc>
          <w:tcPr>
            <w:tcW w:w="1408" w:type="dxa"/>
            <w:tcBorders>
              <w:top w:val="nil"/>
              <w:left w:val="nil"/>
              <w:bottom w:val="single" w:sz="4" w:space="0" w:color="auto"/>
              <w:right w:val="single" w:sz="4" w:space="0" w:color="auto"/>
            </w:tcBorders>
            <w:noWrap/>
            <w:vAlign w:val="bottom"/>
            <w:hideMark/>
          </w:tcPr>
          <w:p w:rsidR="00AD7610" w:rsidRPr="005D3EDE" w:rsidP="00AD7610" w14:paraId="041543D7" w14:textId="77777777">
            <w:pPr>
              <w:widowControl/>
              <w:autoSpaceDE/>
              <w:autoSpaceDN/>
              <w:adjustRightInd/>
              <w:rPr>
                <w:color w:val="000000"/>
                <w:szCs w:val="20"/>
              </w:rPr>
            </w:pPr>
            <w:r w:rsidRPr="00C2475B">
              <w:rPr>
                <w:color w:val="000000"/>
                <w:sz w:val="18"/>
                <w:szCs w:val="18"/>
              </w:rPr>
              <w:t>§ 441.184(a)</w:t>
            </w:r>
          </w:p>
        </w:tc>
        <w:tc>
          <w:tcPr>
            <w:tcW w:w="1306" w:type="dxa"/>
            <w:tcBorders>
              <w:top w:val="nil"/>
              <w:left w:val="nil"/>
              <w:bottom w:val="single" w:sz="4" w:space="0" w:color="auto"/>
              <w:right w:val="single" w:sz="4" w:space="0" w:color="auto"/>
            </w:tcBorders>
            <w:noWrap/>
            <w:vAlign w:val="bottom"/>
            <w:hideMark/>
          </w:tcPr>
          <w:p w:rsidR="00AD7610" w:rsidRPr="005D3EDE" w:rsidP="00AD7610" w14:paraId="3ED84F65" w14:textId="77777777">
            <w:pPr>
              <w:widowControl/>
              <w:autoSpaceDE/>
              <w:autoSpaceDN/>
              <w:adjustRightInd/>
              <w:jc w:val="center"/>
              <w:rPr>
                <w:color w:val="000000"/>
                <w:szCs w:val="20"/>
              </w:rPr>
            </w:pPr>
            <w:r w:rsidRPr="005D3EDE">
              <w:rPr>
                <w:color w:val="000000"/>
                <w:szCs w:val="20"/>
              </w:rPr>
              <w:t>345</w:t>
            </w:r>
          </w:p>
        </w:tc>
        <w:tc>
          <w:tcPr>
            <w:tcW w:w="1516" w:type="dxa"/>
            <w:tcBorders>
              <w:top w:val="nil"/>
              <w:left w:val="nil"/>
              <w:bottom w:val="single" w:sz="4" w:space="0" w:color="auto"/>
              <w:right w:val="single" w:sz="4" w:space="0" w:color="auto"/>
            </w:tcBorders>
            <w:noWrap/>
            <w:vAlign w:val="bottom"/>
            <w:hideMark/>
          </w:tcPr>
          <w:p w:rsidR="00AD7610" w:rsidRPr="005D3EDE" w:rsidP="00AD7610" w14:paraId="0B6AA9B1" w14:textId="77777777">
            <w:pPr>
              <w:widowControl/>
              <w:autoSpaceDE/>
              <w:autoSpaceDN/>
              <w:adjustRightInd/>
              <w:jc w:val="center"/>
              <w:rPr>
                <w:color w:val="000000"/>
                <w:szCs w:val="20"/>
              </w:rPr>
            </w:pPr>
            <w:r w:rsidRPr="005D3EDE">
              <w:rPr>
                <w:color w:val="000000"/>
                <w:szCs w:val="20"/>
              </w:rPr>
              <w:t>345</w:t>
            </w:r>
          </w:p>
        </w:tc>
        <w:tc>
          <w:tcPr>
            <w:tcW w:w="1579" w:type="dxa"/>
            <w:tcBorders>
              <w:top w:val="nil"/>
              <w:left w:val="nil"/>
              <w:bottom w:val="single" w:sz="4" w:space="0" w:color="auto"/>
              <w:right w:val="single" w:sz="4" w:space="0" w:color="auto"/>
            </w:tcBorders>
            <w:vAlign w:val="bottom"/>
            <w:hideMark/>
          </w:tcPr>
          <w:p w:rsidR="00AD7610" w:rsidRPr="005D3EDE" w:rsidP="00AD7610" w14:paraId="15FC902B" w14:textId="1AF1A5A6">
            <w:pPr>
              <w:widowControl/>
              <w:autoSpaceDE/>
              <w:autoSpaceDN/>
              <w:adjustRightInd/>
              <w:jc w:val="center"/>
              <w:rPr>
                <w:szCs w:val="20"/>
              </w:rPr>
            </w:pPr>
            <w:r w:rsidRPr="005D3EDE">
              <w:rPr>
                <w:szCs w:val="20"/>
              </w:rPr>
              <w:t>12</w:t>
            </w:r>
          </w:p>
        </w:tc>
        <w:tc>
          <w:tcPr>
            <w:tcW w:w="1598" w:type="dxa"/>
            <w:tcBorders>
              <w:top w:val="nil"/>
              <w:left w:val="nil"/>
              <w:bottom w:val="single" w:sz="4" w:space="0" w:color="auto"/>
              <w:right w:val="single" w:sz="4" w:space="0" w:color="auto"/>
            </w:tcBorders>
            <w:noWrap/>
            <w:vAlign w:val="bottom"/>
            <w:hideMark/>
          </w:tcPr>
          <w:p w:rsidR="00AD7610" w:rsidRPr="005D3EDE" w:rsidP="00AD7610" w14:paraId="15338330" w14:textId="77777777">
            <w:pPr>
              <w:widowControl/>
              <w:autoSpaceDE/>
              <w:autoSpaceDN/>
              <w:adjustRightInd/>
              <w:jc w:val="center"/>
              <w:rPr>
                <w:color w:val="000000"/>
                <w:szCs w:val="20"/>
              </w:rPr>
            </w:pPr>
            <w:r w:rsidRPr="005D3EDE">
              <w:rPr>
                <w:color w:val="000000"/>
                <w:szCs w:val="20"/>
              </w:rPr>
              <w:t>4,140</w:t>
            </w:r>
          </w:p>
        </w:tc>
        <w:tc>
          <w:tcPr>
            <w:tcW w:w="1141" w:type="dxa"/>
            <w:tcBorders>
              <w:top w:val="nil"/>
              <w:left w:val="nil"/>
              <w:bottom w:val="single" w:sz="4" w:space="0" w:color="auto"/>
              <w:right w:val="single" w:sz="4" w:space="0" w:color="auto"/>
            </w:tcBorders>
            <w:noWrap/>
            <w:vAlign w:val="center"/>
            <w:hideMark/>
          </w:tcPr>
          <w:p w:rsidR="00AD7610" w:rsidRPr="005D3EDE" w:rsidP="00AD7610" w14:paraId="743C7970" w14:textId="77777777">
            <w:pPr>
              <w:widowControl/>
              <w:autoSpaceDE/>
              <w:autoSpaceDN/>
              <w:adjustRightInd/>
              <w:jc w:val="center"/>
              <w:rPr>
                <w:color w:val="000000"/>
                <w:szCs w:val="20"/>
              </w:rPr>
            </w:pPr>
            <w:r w:rsidRPr="004F6692">
              <w:rPr>
                <w:color w:val="000000"/>
                <w:szCs w:val="20"/>
              </w:rPr>
              <w:t>**</w:t>
            </w:r>
          </w:p>
        </w:tc>
        <w:tc>
          <w:tcPr>
            <w:tcW w:w="1802" w:type="dxa"/>
            <w:tcBorders>
              <w:top w:val="nil"/>
              <w:left w:val="nil"/>
              <w:bottom w:val="single" w:sz="4" w:space="0" w:color="auto"/>
              <w:right w:val="single" w:sz="4" w:space="0" w:color="auto"/>
            </w:tcBorders>
            <w:noWrap/>
            <w:vAlign w:val="bottom"/>
            <w:hideMark/>
          </w:tcPr>
          <w:p w:rsidR="00AD7610" w:rsidRPr="005D3EDE" w:rsidP="00AD7610" w14:paraId="4F0BB5F2" w14:textId="77777777">
            <w:pPr>
              <w:widowControl/>
              <w:autoSpaceDE/>
              <w:autoSpaceDN/>
              <w:adjustRightInd/>
              <w:jc w:val="right"/>
              <w:rPr>
                <w:color w:val="000000"/>
                <w:szCs w:val="20"/>
              </w:rPr>
            </w:pPr>
            <w:r w:rsidRPr="005D3EDE">
              <w:rPr>
                <w:color w:val="000000"/>
                <w:szCs w:val="20"/>
              </w:rPr>
              <w:t>$1,328,940</w:t>
            </w:r>
          </w:p>
        </w:tc>
      </w:tr>
      <w:tr w14:paraId="07879D66" w14:textId="77777777" w:rsidTr="00C3039C">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1A3831DE" w14:textId="36FB15BD">
            <w:pPr>
              <w:widowControl/>
              <w:autoSpaceDE/>
              <w:autoSpaceDN/>
              <w:adjustRightInd/>
              <w:ind w:right="72"/>
              <w:jc w:val="center"/>
              <w:rPr>
                <w:color w:val="000000"/>
                <w:szCs w:val="20"/>
              </w:rPr>
            </w:pPr>
            <w:r w:rsidRPr="002266BF">
              <w:rPr>
                <w:color w:val="000000"/>
                <w:szCs w:val="20"/>
              </w:rPr>
              <w:t>1</w:t>
            </w:r>
            <w:r>
              <w:rPr>
                <w:color w:val="000000"/>
                <w:szCs w:val="20"/>
              </w:rPr>
              <w:t>5</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23641EAE" w14:textId="0ADB4D7C">
            <w:pPr>
              <w:widowControl/>
              <w:autoSpaceDE/>
              <w:autoSpaceDN/>
              <w:adjustRightInd/>
              <w:rPr>
                <w:color w:val="000000"/>
                <w:szCs w:val="20"/>
              </w:rPr>
            </w:pPr>
            <w:r w:rsidRPr="005D3EDE">
              <w:rPr>
                <w:color w:val="000000"/>
                <w:szCs w:val="20"/>
              </w:rPr>
              <w:t>REHs</w:t>
            </w:r>
          </w:p>
        </w:tc>
        <w:tc>
          <w:tcPr>
            <w:tcW w:w="1408" w:type="dxa"/>
            <w:tcBorders>
              <w:top w:val="single" w:sz="4" w:space="0" w:color="auto"/>
              <w:left w:val="nil"/>
              <w:bottom w:val="single" w:sz="4" w:space="0" w:color="auto"/>
              <w:right w:val="single" w:sz="4" w:space="0" w:color="auto"/>
            </w:tcBorders>
            <w:noWrap/>
            <w:vAlign w:val="bottom"/>
            <w:hideMark/>
          </w:tcPr>
          <w:p w:rsidR="00AD7610" w:rsidRPr="005D3EDE" w:rsidP="00AD7610" w14:paraId="52F9D12D" w14:textId="77777777">
            <w:pPr>
              <w:widowControl/>
              <w:autoSpaceDE/>
              <w:autoSpaceDN/>
              <w:adjustRightInd/>
              <w:rPr>
                <w:color w:val="000000"/>
                <w:szCs w:val="20"/>
              </w:rPr>
            </w:pPr>
            <w:r w:rsidRPr="003673CA">
              <w:rPr>
                <w:color w:val="000000"/>
                <w:sz w:val="18"/>
                <w:szCs w:val="18"/>
              </w:rPr>
              <w:t>§ 485.542</w:t>
            </w:r>
            <w:r w:rsidRPr="00C2475B">
              <w:rPr>
                <w:color w:val="000000"/>
                <w:sz w:val="18"/>
                <w:szCs w:val="18"/>
              </w:rPr>
              <w:t>(a)</w:t>
            </w:r>
          </w:p>
        </w:tc>
        <w:tc>
          <w:tcPr>
            <w:tcW w:w="1306" w:type="dxa"/>
            <w:tcBorders>
              <w:top w:val="single" w:sz="4" w:space="0" w:color="auto"/>
              <w:left w:val="nil"/>
              <w:bottom w:val="single" w:sz="4" w:space="0" w:color="auto"/>
              <w:right w:val="single" w:sz="4" w:space="0" w:color="auto"/>
            </w:tcBorders>
            <w:noWrap/>
            <w:vAlign w:val="bottom"/>
            <w:hideMark/>
          </w:tcPr>
          <w:p w:rsidR="00AD7610" w:rsidRPr="005D3EDE" w:rsidP="00AD7610" w14:paraId="54DA8EA0" w14:textId="77777777">
            <w:pPr>
              <w:widowControl/>
              <w:autoSpaceDE/>
              <w:autoSpaceDN/>
              <w:adjustRightInd/>
              <w:jc w:val="center"/>
              <w:rPr>
                <w:color w:val="000000"/>
                <w:szCs w:val="20"/>
              </w:rPr>
            </w:pPr>
            <w:r w:rsidRPr="005D3EDE">
              <w:rPr>
                <w:color w:val="000000"/>
                <w:szCs w:val="20"/>
              </w:rPr>
              <w:t>19</w:t>
            </w:r>
          </w:p>
        </w:tc>
        <w:tc>
          <w:tcPr>
            <w:tcW w:w="1516" w:type="dxa"/>
            <w:tcBorders>
              <w:top w:val="single" w:sz="4" w:space="0" w:color="auto"/>
              <w:left w:val="nil"/>
              <w:bottom w:val="single" w:sz="4" w:space="0" w:color="auto"/>
              <w:right w:val="single" w:sz="4" w:space="0" w:color="auto"/>
            </w:tcBorders>
            <w:noWrap/>
            <w:vAlign w:val="bottom"/>
            <w:hideMark/>
          </w:tcPr>
          <w:p w:rsidR="00AD7610" w:rsidRPr="005D3EDE" w:rsidP="00AD7610" w14:paraId="5F9E83D0" w14:textId="77777777">
            <w:pPr>
              <w:widowControl/>
              <w:autoSpaceDE/>
              <w:autoSpaceDN/>
              <w:adjustRightInd/>
              <w:jc w:val="center"/>
              <w:rPr>
                <w:color w:val="000000"/>
                <w:szCs w:val="20"/>
              </w:rPr>
            </w:pPr>
            <w:r w:rsidRPr="005D3EDE">
              <w:rPr>
                <w:color w:val="000000"/>
                <w:szCs w:val="20"/>
              </w:rPr>
              <w:t>19</w:t>
            </w:r>
          </w:p>
        </w:tc>
        <w:tc>
          <w:tcPr>
            <w:tcW w:w="1579" w:type="dxa"/>
            <w:tcBorders>
              <w:top w:val="single" w:sz="4" w:space="0" w:color="auto"/>
              <w:left w:val="nil"/>
              <w:bottom w:val="single" w:sz="4" w:space="0" w:color="auto"/>
              <w:right w:val="single" w:sz="4" w:space="0" w:color="auto"/>
            </w:tcBorders>
            <w:vAlign w:val="bottom"/>
            <w:hideMark/>
          </w:tcPr>
          <w:p w:rsidR="00AD7610" w:rsidRPr="005D3EDE" w:rsidP="00AD7610" w14:paraId="5F33ADC9" w14:textId="1F5B6D9F">
            <w:pPr>
              <w:widowControl/>
              <w:autoSpaceDE/>
              <w:autoSpaceDN/>
              <w:adjustRightInd/>
              <w:jc w:val="center"/>
              <w:rPr>
                <w:szCs w:val="20"/>
              </w:rPr>
            </w:pPr>
            <w:r>
              <w:rPr>
                <w:szCs w:val="20"/>
              </w:rPr>
              <w:t>12</w:t>
            </w:r>
          </w:p>
        </w:tc>
        <w:tc>
          <w:tcPr>
            <w:tcW w:w="1598" w:type="dxa"/>
            <w:tcBorders>
              <w:top w:val="single" w:sz="4" w:space="0" w:color="auto"/>
              <w:left w:val="nil"/>
              <w:bottom w:val="single" w:sz="4" w:space="0" w:color="auto"/>
              <w:right w:val="single" w:sz="4" w:space="0" w:color="auto"/>
            </w:tcBorders>
            <w:noWrap/>
            <w:vAlign w:val="bottom"/>
            <w:hideMark/>
          </w:tcPr>
          <w:p w:rsidR="00AD7610" w:rsidRPr="005D3EDE" w:rsidP="00AD7610" w14:paraId="5C9ECF16" w14:textId="234CA3B1">
            <w:pPr>
              <w:widowControl/>
              <w:autoSpaceDE/>
              <w:autoSpaceDN/>
              <w:adjustRightInd/>
              <w:jc w:val="center"/>
              <w:rPr>
                <w:color w:val="000000"/>
                <w:szCs w:val="20"/>
              </w:rPr>
            </w:pPr>
            <w:r>
              <w:rPr>
                <w:color w:val="000000"/>
                <w:szCs w:val="20"/>
              </w:rPr>
              <w:t>228</w:t>
            </w:r>
          </w:p>
        </w:tc>
        <w:tc>
          <w:tcPr>
            <w:tcW w:w="1141" w:type="dxa"/>
            <w:tcBorders>
              <w:top w:val="single" w:sz="4" w:space="0" w:color="auto"/>
              <w:left w:val="nil"/>
              <w:bottom w:val="single" w:sz="4" w:space="0" w:color="auto"/>
              <w:right w:val="single" w:sz="4" w:space="0" w:color="auto"/>
            </w:tcBorders>
            <w:noWrap/>
            <w:vAlign w:val="center"/>
            <w:hideMark/>
          </w:tcPr>
          <w:p w:rsidR="00AD7610" w:rsidRPr="005D3EDE" w:rsidP="00AD7610" w14:paraId="537B5B61" w14:textId="77777777">
            <w:pPr>
              <w:widowControl/>
              <w:autoSpaceDE/>
              <w:autoSpaceDN/>
              <w:adjustRightInd/>
              <w:jc w:val="center"/>
              <w:rPr>
                <w:color w:val="000000"/>
                <w:szCs w:val="20"/>
              </w:rPr>
            </w:pPr>
            <w:r w:rsidRPr="004F6692">
              <w:rPr>
                <w:color w:val="000000"/>
                <w:szCs w:val="20"/>
              </w:rPr>
              <w:t>**</w:t>
            </w:r>
          </w:p>
        </w:tc>
        <w:tc>
          <w:tcPr>
            <w:tcW w:w="1802" w:type="dxa"/>
            <w:tcBorders>
              <w:top w:val="single" w:sz="4" w:space="0" w:color="auto"/>
              <w:left w:val="nil"/>
              <w:bottom w:val="single" w:sz="4" w:space="0" w:color="auto"/>
              <w:right w:val="single" w:sz="4" w:space="0" w:color="auto"/>
            </w:tcBorders>
            <w:noWrap/>
            <w:vAlign w:val="bottom"/>
            <w:hideMark/>
          </w:tcPr>
          <w:p w:rsidR="00AD7610" w:rsidRPr="005D3EDE" w:rsidP="00AD7610" w14:paraId="3E6D70A7" w14:textId="730EFBF3">
            <w:pPr>
              <w:widowControl/>
              <w:autoSpaceDE/>
              <w:autoSpaceDN/>
              <w:adjustRightInd/>
              <w:jc w:val="right"/>
              <w:rPr>
                <w:color w:val="000000"/>
                <w:szCs w:val="20"/>
              </w:rPr>
            </w:pPr>
            <w:r w:rsidRPr="005D3EDE">
              <w:rPr>
                <w:color w:val="000000"/>
                <w:szCs w:val="20"/>
              </w:rPr>
              <w:t>$</w:t>
            </w:r>
            <w:r w:rsidR="005B6C39">
              <w:rPr>
                <w:color w:val="000000"/>
                <w:szCs w:val="20"/>
              </w:rPr>
              <w:t>73,188</w:t>
            </w:r>
          </w:p>
        </w:tc>
      </w:tr>
      <w:tr w14:paraId="74F815F2" w14:textId="77777777" w:rsidTr="00F03863">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6DDD79EF" w14:textId="5C26A59F">
            <w:pPr>
              <w:widowControl/>
              <w:autoSpaceDE/>
              <w:autoSpaceDN/>
              <w:adjustRightInd/>
              <w:ind w:right="72"/>
              <w:jc w:val="center"/>
              <w:rPr>
                <w:color w:val="000000"/>
                <w:szCs w:val="20"/>
              </w:rPr>
            </w:pPr>
            <w:r w:rsidRPr="002266BF">
              <w:rPr>
                <w:color w:val="000000"/>
                <w:szCs w:val="20"/>
              </w:rPr>
              <w:t>1</w:t>
            </w:r>
            <w:r>
              <w:rPr>
                <w:color w:val="000000"/>
                <w:szCs w:val="20"/>
              </w:rPr>
              <w:t>6</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78AE06A7" w14:textId="78DDBE61">
            <w:pPr>
              <w:widowControl/>
              <w:autoSpaceDE/>
              <w:autoSpaceDN/>
              <w:adjustRightInd/>
              <w:rPr>
                <w:color w:val="000000"/>
                <w:szCs w:val="20"/>
              </w:rPr>
            </w:pPr>
            <w:r w:rsidRPr="005D3EDE">
              <w:rPr>
                <w:color w:val="000000"/>
                <w:szCs w:val="20"/>
              </w:rPr>
              <w:t>RHCs</w:t>
            </w:r>
          </w:p>
        </w:tc>
        <w:tc>
          <w:tcPr>
            <w:tcW w:w="1408" w:type="dxa"/>
            <w:tcBorders>
              <w:top w:val="single" w:sz="4" w:space="0" w:color="auto"/>
              <w:left w:val="nil"/>
              <w:bottom w:val="single" w:sz="4" w:space="0" w:color="auto"/>
              <w:right w:val="single" w:sz="4" w:space="0" w:color="auto"/>
            </w:tcBorders>
            <w:noWrap/>
            <w:vAlign w:val="bottom"/>
            <w:hideMark/>
          </w:tcPr>
          <w:p w:rsidR="00AD7610" w:rsidRPr="005D3EDE" w:rsidP="00AD7610" w14:paraId="47422223" w14:textId="77777777">
            <w:pPr>
              <w:widowControl/>
              <w:autoSpaceDE/>
              <w:autoSpaceDN/>
              <w:adjustRightInd/>
              <w:rPr>
                <w:color w:val="000000"/>
                <w:szCs w:val="20"/>
              </w:rPr>
            </w:pPr>
            <w:r w:rsidRPr="00C2475B">
              <w:rPr>
                <w:sz w:val="18"/>
                <w:szCs w:val="22"/>
              </w:rPr>
              <w:t>§ 491.12(a)</w:t>
            </w:r>
          </w:p>
        </w:tc>
        <w:tc>
          <w:tcPr>
            <w:tcW w:w="1306" w:type="dxa"/>
            <w:tcBorders>
              <w:top w:val="single" w:sz="4" w:space="0" w:color="auto"/>
              <w:left w:val="nil"/>
              <w:bottom w:val="single" w:sz="4" w:space="0" w:color="auto"/>
              <w:right w:val="single" w:sz="4" w:space="0" w:color="auto"/>
            </w:tcBorders>
            <w:noWrap/>
            <w:vAlign w:val="bottom"/>
            <w:hideMark/>
          </w:tcPr>
          <w:p w:rsidR="00AD7610" w:rsidRPr="005D3EDE" w:rsidP="00AD7610" w14:paraId="4F248117" w14:textId="77777777">
            <w:pPr>
              <w:widowControl/>
              <w:autoSpaceDE/>
              <w:autoSpaceDN/>
              <w:adjustRightInd/>
              <w:jc w:val="center"/>
              <w:rPr>
                <w:color w:val="000000"/>
                <w:szCs w:val="20"/>
              </w:rPr>
            </w:pPr>
            <w:r w:rsidRPr="005D3EDE">
              <w:rPr>
                <w:color w:val="000000"/>
                <w:szCs w:val="20"/>
              </w:rPr>
              <w:t>5,545</w:t>
            </w:r>
          </w:p>
        </w:tc>
        <w:tc>
          <w:tcPr>
            <w:tcW w:w="1516" w:type="dxa"/>
            <w:tcBorders>
              <w:top w:val="single" w:sz="4" w:space="0" w:color="auto"/>
              <w:left w:val="nil"/>
              <w:bottom w:val="single" w:sz="4" w:space="0" w:color="auto"/>
              <w:right w:val="single" w:sz="4" w:space="0" w:color="auto"/>
            </w:tcBorders>
            <w:noWrap/>
            <w:vAlign w:val="bottom"/>
            <w:hideMark/>
          </w:tcPr>
          <w:p w:rsidR="00AD7610" w:rsidRPr="005D3EDE" w:rsidP="00AD7610" w14:paraId="46792A2B" w14:textId="77777777">
            <w:pPr>
              <w:widowControl/>
              <w:autoSpaceDE/>
              <w:autoSpaceDN/>
              <w:adjustRightInd/>
              <w:jc w:val="center"/>
              <w:rPr>
                <w:color w:val="000000"/>
                <w:szCs w:val="20"/>
              </w:rPr>
            </w:pPr>
            <w:r w:rsidRPr="005D3EDE">
              <w:rPr>
                <w:color w:val="000000"/>
                <w:szCs w:val="20"/>
              </w:rPr>
              <w:t>5</w:t>
            </w:r>
            <w:r>
              <w:rPr>
                <w:color w:val="000000"/>
                <w:szCs w:val="20"/>
              </w:rPr>
              <w:t>,</w:t>
            </w:r>
            <w:r w:rsidRPr="005D3EDE">
              <w:rPr>
                <w:color w:val="000000"/>
                <w:szCs w:val="20"/>
              </w:rPr>
              <w:t>545</w:t>
            </w:r>
          </w:p>
        </w:tc>
        <w:tc>
          <w:tcPr>
            <w:tcW w:w="1579" w:type="dxa"/>
            <w:tcBorders>
              <w:top w:val="single" w:sz="4" w:space="0" w:color="auto"/>
              <w:left w:val="nil"/>
              <w:bottom w:val="single" w:sz="4" w:space="0" w:color="auto"/>
              <w:right w:val="single" w:sz="4" w:space="0" w:color="auto"/>
            </w:tcBorders>
            <w:vAlign w:val="bottom"/>
            <w:hideMark/>
          </w:tcPr>
          <w:p w:rsidR="00AD7610" w:rsidRPr="005D3EDE" w:rsidP="00AD7610" w14:paraId="31539328" w14:textId="45384C73">
            <w:pPr>
              <w:widowControl/>
              <w:autoSpaceDE/>
              <w:autoSpaceDN/>
              <w:adjustRightInd/>
              <w:jc w:val="center"/>
              <w:rPr>
                <w:szCs w:val="20"/>
              </w:rPr>
            </w:pPr>
            <w:r w:rsidRPr="005D3EDE">
              <w:rPr>
                <w:szCs w:val="20"/>
              </w:rPr>
              <w:t>8</w:t>
            </w:r>
          </w:p>
        </w:tc>
        <w:tc>
          <w:tcPr>
            <w:tcW w:w="1598" w:type="dxa"/>
            <w:tcBorders>
              <w:top w:val="single" w:sz="4" w:space="0" w:color="auto"/>
              <w:left w:val="nil"/>
              <w:bottom w:val="single" w:sz="4" w:space="0" w:color="auto"/>
              <w:right w:val="single" w:sz="4" w:space="0" w:color="auto"/>
            </w:tcBorders>
            <w:noWrap/>
            <w:vAlign w:val="bottom"/>
            <w:hideMark/>
          </w:tcPr>
          <w:p w:rsidR="00AD7610" w:rsidRPr="005D3EDE" w:rsidP="00AD7610" w14:paraId="6E412FB5" w14:textId="77777777">
            <w:pPr>
              <w:widowControl/>
              <w:autoSpaceDE/>
              <w:autoSpaceDN/>
              <w:adjustRightInd/>
              <w:jc w:val="center"/>
              <w:rPr>
                <w:color w:val="000000"/>
                <w:szCs w:val="20"/>
              </w:rPr>
            </w:pPr>
            <w:r w:rsidRPr="005D3EDE">
              <w:rPr>
                <w:color w:val="000000"/>
                <w:szCs w:val="20"/>
              </w:rPr>
              <w:t>44,360</w:t>
            </w:r>
          </w:p>
        </w:tc>
        <w:tc>
          <w:tcPr>
            <w:tcW w:w="1141" w:type="dxa"/>
            <w:tcBorders>
              <w:top w:val="single" w:sz="4" w:space="0" w:color="auto"/>
              <w:left w:val="nil"/>
              <w:bottom w:val="single" w:sz="4" w:space="0" w:color="auto"/>
              <w:right w:val="single" w:sz="4" w:space="0" w:color="auto"/>
            </w:tcBorders>
            <w:noWrap/>
            <w:vAlign w:val="center"/>
            <w:hideMark/>
          </w:tcPr>
          <w:p w:rsidR="00AD7610" w:rsidRPr="005D3EDE" w:rsidP="00AD7610" w14:paraId="55D02C36" w14:textId="77777777">
            <w:pPr>
              <w:widowControl/>
              <w:autoSpaceDE/>
              <w:autoSpaceDN/>
              <w:adjustRightInd/>
              <w:jc w:val="center"/>
              <w:rPr>
                <w:color w:val="000000"/>
                <w:szCs w:val="20"/>
              </w:rPr>
            </w:pPr>
            <w:r w:rsidRPr="004F6692">
              <w:rPr>
                <w:color w:val="000000"/>
                <w:szCs w:val="20"/>
              </w:rPr>
              <w:t>**</w:t>
            </w:r>
          </w:p>
        </w:tc>
        <w:tc>
          <w:tcPr>
            <w:tcW w:w="1802" w:type="dxa"/>
            <w:tcBorders>
              <w:top w:val="single" w:sz="4" w:space="0" w:color="auto"/>
              <w:left w:val="nil"/>
              <w:bottom w:val="single" w:sz="4" w:space="0" w:color="auto"/>
              <w:right w:val="single" w:sz="4" w:space="0" w:color="auto"/>
            </w:tcBorders>
            <w:noWrap/>
            <w:vAlign w:val="bottom"/>
            <w:hideMark/>
          </w:tcPr>
          <w:p w:rsidR="00AD7610" w:rsidRPr="005D3EDE" w:rsidP="00AD7610" w14:paraId="2E3CFE64" w14:textId="77777777">
            <w:pPr>
              <w:widowControl/>
              <w:autoSpaceDE/>
              <w:autoSpaceDN/>
              <w:adjustRightInd/>
              <w:jc w:val="right"/>
              <w:rPr>
                <w:color w:val="000000"/>
                <w:szCs w:val="20"/>
              </w:rPr>
            </w:pPr>
            <w:r w:rsidRPr="005D3EDE">
              <w:rPr>
                <w:color w:val="000000"/>
                <w:szCs w:val="20"/>
              </w:rPr>
              <w:t>$14,239,560</w:t>
            </w:r>
          </w:p>
        </w:tc>
      </w:tr>
      <w:tr w14:paraId="735E0245" w14:textId="77777777" w:rsidTr="00F03863">
        <w:tblPrEx>
          <w:tblW w:w="13050" w:type="dxa"/>
          <w:tblInd w:w="-5" w:type="dxa"/>
          <w:tblLook w:val="04A0"/>
        </w:tblPrEx>
        <w:trPr>
          <w:trHeight w:val="318"/>
        </w:trPr>
        <w:tc>
          <w:tcPr>
            <w:tcW w:w="559" w:type="dxa"/>
            <w:tcBorders>
              <w:top w:val="single" w:sz="4" w:space="0" w:color="auto"/>
              <w:left w:val="single" w:sz="4" w:space="0" w:color="auto"/>
              <w:bottom w:val="single" w:sz="4" w:space="0" w:color="auto"/>
              <w:right w:val="single" w:sz="4" w:space="0" w:color="auto"/>
            </w:tcBorders>
            <w:vAlign w:val="bottom"/>
          </w:tcPr>
          <w:p w:rsidR="00AD7610" w:rsidRPr="005D3EDE" w:rsidP="00AD7610" w14:paraId="450EE30D" w14:textId="5A7ACB2C">
            <w:pPr>
              <w:widowControl/>
              <w:autoSpaceDE/>
              <w:autoSpaceDN/>
              <w:adjustRightInd/>
              <w:ind w:right="72"/>
              <w:jc w:val="center"/>
              <w:rPr>
                <w:color w:val="000000"/>
                <w:szCs w:val="20"/>
              </w:rPr>
            </w:pPr>
            <w:r w:rsidRPr="002266BF">
              <w:rPr>
                <w:color w:val="000000"/>
                <w:szCs w:val="20"/>
              </w:rPr>
              <w:t>1</w:t>
            </w:r>
            <w:r>
              <w:rPr>
                <w:color w:val="000000"/>
                <w:szCs w:val="20"/>
              </w:rPr>
              <w:t>7</w:t>
            </w:r>
          </w:p>
        </w:tc>
        <w:tc>
          <w:tcPr>
            <w:tcW w:w="2141"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6C6EDA06" w14:textId="649BB8D6">
            <w:pPr>
              <w:widowControl/>
              <w:autoSpaceDE/>
              <w:autoSpaceDN/>
              <w:adjustRightInd/>
              <w:rPr>
                <w:color w:val="000000"/>
                <w:szCs w:val="20"/>
              </w:rPr>
            </w:pPr>
            <w:r w:rsidRPr="005D3EDE">
              <w:rPr>
                <w:color w:val="000000"/>
                <w:szCs w:val="20"/>
              </w:rPr>
              <w:t>RNHCIs</w:t>
            </w:r>
          </w:p>
        </w:tc>
        <w:tc>
          <w:tcPr>
            <w:tcW w:w="1408" w:type="dxa"/>
            <w:tcBorders>
              <w:top w:val="single" w:sz="4" w:space="0" w:color="auto"/>
              <w:left w:val="single" w:sz="4" w:space="0" w:color="auto"/>
              <w:bottom w:val="single" w:sz="4" w:space="0" w:color="auto"/>
              <w:right w:val="single" w:sz="4" w:space="0" w:color="auto"/>
            </w:tcBorders>
            <w:noWrap/>
            <w:vAlign w:val="bottom"/>
            <w:hideMark/>
          </w:tcPr>
          <w:p w:rsidR="00AD7610" w:rsidRPr="005D3EDE" w:rsidP="00AD7610" w14:paraId="73AF14C8" w14:textId="77777777">
            <w:pPr>
              <w:widowControl/>
              <w:autoSpaceDE/>
              <w:autoSpaceDN/>
              <w:adjustRightInd/>
              <w:rPr>
                <w:color w:val="000000"/>
                <w:szCs w:val="20"/>
              </w:rPr>
            </w:pPr>
            <w:r w:rsidRPr="00C2475B">
              <w:rPr>
                <w:color w:val="000000"/>
                <w:sz w:val="18"/>
                <w:szCs w:val="18"/>
              </w:rPr>
              <w:t>§ 403.748(a)</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AD7610" w:rsidRPr="005D3EDE" w:rsidP="00AD7610" w14:paraId="1EBD3F8F" w14:textId="77777777">
            <w:pPr>
              <w:widowControl/>
              <w:autoSpaceDE/>
              <w:autoSpaceDN/>
              <w:adjustRightInd/>
              <w:jc w:val="center"/>
              <w:rPr>
                <w:color w:val="000000"/>
                <w:szCs w:val="20"/>
              </w:rPr>
            </w:pPr>
            <w:r w:rsidRPr="005D3EDE">
              <w:rPr>
                <w:color w:val="000000"/>
                <w:szCs w:val="20"/>
              </w:rPr>
              <w:t>3</w:t>
            </w:r>
          </w:p>
        </w:tc>
        <w:tc>
          <w:tcPr>
            <w:tcW w:w="1516" w:type="dxa"/>
            <w:tcBorders>
              <w:top w:val="single" w:sz="4" w:space="0" w:color="auto"/>
              <w:left w:val="single" w:sz="4" w:space="0" w:color="auto"/>
              <w:bottom w:val="single" w:sz="4" w:space="0" w:color="auto"/>
              <w:right w:val="single" w:sz="4" w:space="0" w:color="auto"/>
            </w:tcBorders>
            <w:noWrap/>
            <w:vAlign w:val="bottom"/>
            <w:hideMark/>
          </w:tcPr>
          <w:p w:rsidR="00AD7610" w:rsidRPr="005D3EDE" w:rsidP="00AD7610" w14:paraId="5D3C1103" w14:textId="77777777">
            <w:pPr>
              <w:widowControl/>
              <w:autoSpaceDE/>
              <w:autoSpaceDN/>
              <w:adjustRightInd/>
              <w:jc w:val="center"/>
              <w:rPr>
                <w:color w:val="000000"/>
                <w:szCs w:val="20"/>
              </w:rPr>
            </w:pPr>
            <w:r w:rsidRPr="005D3EDE">
              <w:rPr>
                <w:color w:val="000000"/>
                <w:szCs w:val="20"/>
              </w:rPr>
              <w:t>3</w:t>
            </w:r>
          </w:p>
        </w:tc>
        <w:tc>
          <w:tcPr>
            <w:tcW w:w="1579" w:type="dxa"/>
            <w:tcBorders>
              <w:top w:val="single" w:sz="4" w:space="0" w:color="auto"/>
              <w:left w:val="single" w:sz="4" w:space="0" w:color="auto"/>
              <w:bottom w:val="single" w:sz="4" w:space="0" w:color="auto"/>
              <w:right w:val="single" w:sz="4" w:space="0" w:color="auto"/>
            </w:tcBorders>
            <w:vAlign w:val="bottom"/>
            <w:hideMark/>
          </w:tcPr>
          <w:p w:rsidR="00AD7610" w:rsidRPr="005D3EDE" w:rsidP="00AD7610" w14:paraId="6465858A" w14:textId="77777777">
            <w:pPr>
              <w:widowControl/>
              <w:autoSpaceDE/>
              <w:autoSpaceDN/>
              <w:adjustRightInd/>
              <w:jc w:val="center"/>
              <w:rPr>
                <w:szCs w:val="20"/>
              </w:rPr>
            </w:pPr>
            <w:r w:rsidRPr="005D3EDE">
              <w:rPr>
                <w:szCs w:val="20"/>
              </w:rPr>
              <w:t>6.5</w:t>
            </w:r>
          </w:p>
        </w:tc>
        <w:tc>
          <w:tcPr>
            <w:tcW w:w="1598" w:type="dxa"/>
            <w:tcBorders>
              <w:top w:val="single" w:sz="4" w:space="0" w:color="auto"/>
              <w:left w:val="single" w:sz="4" w:space="0" w:color="auto"/>
              <w:bottom w:val="single" w:sz="4" w:space="0" w:color="auto"/>
              <w:right w:val="single" w:sz="4" w:space="0" w:color="auto"/>
            </w:tcBorders>
            <w:noWrap/>
            <w:vAlign w:val="bottom"/>
            <w:hideMark/>
          </w:tcPr>
          <w:p w:rsidR="00AD7610" w:rsidRPr="005D3EDE" w:rsidP="00AD7610" w14:paraId="25C0FD17" w14:textId="3F13EE8A">
            <w:pPr>
              <w:widowControl/>
              <w:autoSpaceDE/>
              <w:autoSpaceDN/>
              <w:adjustRightInd/>
              <w:jc w:val="center"/>
              <w:rPr>
                <w:color w:val="000000"/>
                <w:szCs w:val="20"/>
              </w:rPr>
            </w:pPr>
            <w:r w:rsidRPr="005D3EDE">
              <w:rPr>
                <w:color w:val="000000"/>
                <w:szCs w:val="20"/>
              </w:rPr>
              <w:t>20</w:t>
            </w:r>
            <w:r w:rsidRPr="00A9420D" w:rsidR="00A9420D">
              <w:rPr>
                <w:color w:val="000000"/>
                <w:szCs w:val="20"/>
                <w:vertAlign w:val="superscript"/>
              </w:rPr>
              <w:t>***</w:t>
            </w:r>
          </w:p>
        </w:tc>
        <w:tc>
          <w:tcPr>
            <w:tcW w:w="1141" w:type="dxa"/>
            <w:tcBorders>
              <w:top w:val="single" w:sz="4" w:space="0" w:color="auto"/>
              <w:left w:val="single" w:sz="4" w:space="0" w:color="auto"/>
              <w:bottom w:val="single" w:sz="4" w:space="0" w:color="auto"/>
              <w:right w:val="single" w:sz="4" w:space="0" w:color="auto"/>
            </w:tcBorders>
            <w:noWrap/>
            <w:vAlign w:val="center"/>
            <w:hideMark/>
          </w:tcPr>
          <w:p w:rsidR="00AD7610" w:rsidRPr="005D3EDE" w:rsidP="00AD7610" w14:paraId="77BA1BCA" w14:textId="77777777">
            <w:pPr>
              <w:widowControl/>
              <w:autoSpaceDE/>
              <w:autoSpaceDN/>
              <w:adjustRightInd/>
              <w:jc w:val="center"/>
              <w:rPr>
                <w:color w:val="000000"/>
                <w:szCs w:val="20"/>
              </w:rPr>
            </w:pPr>
            <w:r w:rsidRPr="00C3770B">
              <w:rPr>
                <w:color w:val="000000"/>
                <w:szCs w:val="20"/>
              </w:rPr>
              <w:t>*</w:t>
            </w:r>
            <w:r>
              <w:rPr>
                <w:color w:val="000000"/>
                <w:szCs w:val="20"/>
              </w:rPr>
              <w:t>*</w:t>
            </w:r>
          </w:p>
        </w:tc>
        <w:tc>
          <w:tcPr>
            <w:tcW w:w="1802" w:type="dxa"/>
            <w:tcBorders>
              <w:top w:val="single" w:sz="4" w:space="0" w:color="auto"/>
              <w:left w:val="single" w:sz="4" w:space="0" w:color="auto"/>
              <w:bottom w:val="single" w:sz="4" w:space="0" w:color="auto"/>
              <w:right w:val="single" w:sz="4" w:space="0" w:color="auto"/>
            </w:tcBorders>
            <w:noWrap/>
            <w:vAlign w:val="bottom"/>
            <w:hideMark/>
          </w:tcPr>
          <w:p w:rsidR="00AD7610" w:rsidRPr="005D3EDE" w:rsidP="00AD7610" w14:paraId="39C91CAE" w14:textId="77777777">
            <w:pPr>
              <w:widowControl/>
              <w:autoSpaceDE/>
              <w:autoSpaceDN/>
              <w:adjustRightInd/>
              <w:jc w:val="right"/>
              <w:rPr>
                <w:color w:val="000000"/>
                <w:szCs w:val="20"/>
              </w:rPr>
            </w:pPr>
            <w:r w:rsidRPr="005D3EDE">
              <w:rPr>
                <w:color w:val="000000"/>
                <w:szCs w:val="20"/>
              </w:rPr>
              <w:t>$6,260</w:t>
            </w:r>
          </w:p>
        </w:tc>
      </w:tr>
      <w:tr w14:paraId="72DF29C8" w14:textId="77777777" w:rsidTr="00F03863">
        <w:tblPrEx>
          <w:tblW w:w="13050" w:type="dxa"/>
          <w:tblInd w:w="-5" w:type="dxa"/>
          <w:tblLook w:val="04A0"/>
        </w:tblPrEx>
        <w:trPr>
          <w:trHeight w:val="318"/>
        </w:trPr>
        <w:tc>
          <w:tcPr>
            <w:tcW w:w="410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F03863" w:rsidRPr="00C2475B" w:rsidP="00F03863" w14:paraId="1D2287C3" w14:textId="3BCDD938">
            <w:pPr>
              <w:widowControl/>
              <w:autoSpaceDE/>
              <w:autoSpaceDN/>
              <w:adjustRightInd/>
              <w:jc w:val="right"/>
              <w:rPr>
                <w:color w:val="000000"/>
                <w:sz w:val="18"/>
                <w:szCs w:val="18"/>
              </w:rPr>
            </w:pPr>
            <w:r w:rsidRPr="005D3EDE">
              <w:rPr>
                <w:b/>
                <w:bCs/>
                <w:color w:val="000000"/>
                <w:szCs w:val="20"/>
              </w:rPr>
              <w:t>Total Annual Burden/Costs</w:t>
            </w:r>
          </w:p>
        </w:tc>
        <w:tc>
          <w:tcPr>
            <w:tcW w:w="13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5D3EDE" w:rsidP="00F03863" w14:paraId="50BF0BFF" w14:textId="099A391D">
            <w:pPr>
              <w:widowControl/>
              <w:autoSpaceDE/>
              <w:autoSpaceDN/>
              <w:adjustRightInd/>
              <w:jc w:val="center"/>
              <w:rPr>
                <w:color w:val="000000"/>
                <w:szCs w:val="20"/>
              </w:rPr>
            </w:pPr>
            <w:r w:rsidRPr="005D3EDE">
              <w:rPr>
                <w:b/>
                <w:bCs/>
                <w:color w:val="000000"/>
                <w:szCs w:val="20"/>
              </w:rPr>
              <w:t>60,712</w:t>
            </w:r>
          </w:p>
        </w:tc>
        <w:tc>
          <w:tcPr>
            <w:tcW w:w="151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5D3EDE" w:rsidP="00F03863" w14:paraId="4C3C0C67" w14:textId="7C8DB625">
            <w:pPr>
              <w:widowControl/>
              <w:autoSpaceDE/>
              <w:autoSpaceDN/>
              <w:adjustRightInd/>
              <w:jc w:val="center"/>
              <w:rPr>
                <w:color w:val="000000"/>
                <w:szCs w:val="20"/>
              </w:rPr>
            </w:pPr>
            <w:r w:rsidRPr="005D3EDE">
              <w:rPr>
                <w:b/>
                <w:bCs/>
                <w:color w:val="000000"/>
                <w:szCs w:val="20"/>
              </w:rPr>
              <w:t>60,712</w:t>
            </w:r>
          </w:p>
        </w:tc>
        <w:tc>
          <w:tcPr>
            <w:tcW w:w="1579"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F03863" w:rsidRPr="005D3EDE" w:rsidP="00F03863" w14:paraId="36B4B24C" w14:textId="6391A003">
            <w:pPr>
              <w:widowControl/>
              <w:autoSpaceDE/>
              <w:autoSpaceDN/>
              <w:adjustRightInd/>
              <w:jc w:val="center"/>
              <w:rPr>
                <w:szCs w:val="20"/>
              </w:rPr>
            </w:pPr>
            <w:r w:rsidRPr="005D3EDE">
              <w:rPr>
                <w:b/>
                <w:bCs/>
                <w:color w:val="000000"/>
                <w:szCs w:val="20"/>
              </w:rPr>
              <w:t>1</w:t>
            </w:r>
            <w:r>
              <w:rPr>
                <w:b/>
                <w:bCs/>
                <w:color w:val="000000"/>
                <w:szCs w:val="20"/>
              </w:rPr>
              <w:t>90</w:t>
            </w:r>
            <w:r w:rsidRPr="005D3EDE">
              <w:rPr>
                <w:b/>
                <w:bCs/>
                <w:color w:val="000000"/>
                <w:szCs w:val="20"/>
              </w:rPr>
              <w:t>.5</w:t>
            </w:r>
          </w:p>
        </w:tc>
        <w:tc>
          <w:tcPr>
            <w:tcW w:w="15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5D3EDE" w:rsidP="00F03863" w14:paraId="4D28D025" w14:textId="64B49158">
            <w:pPr>
              <w:widowControl/>
              <w:autoSpaceDE/>
              <w:autoSpaceDN/>
              <w:adjustRightInd/>
              <w:jc w:val="center"/>
              <w:rPr>
                <w:color w:val="000000"/>
                <w:szCs w:val="20"/>
              </w:rPr>
            </w:pPr>
            <w:r w:rsidRPr="005D3EDE">
              <w:rPr>
                <w:b/>
                <w:bCs/>
                <w:color w:val="000000"/>
                <w:szCs w:val="20"/>
              </w:rPr>
              <w:t>675,</w:t>
            </w:r>
            <w:r>
              <w:rPr>
                <w:b/>
                <w:bCs/>
                <w:color w:val="000000"/>
                <w:szCs w:val="20"/>
              </w:rPr>
              <w:t>696</w:t>
            </w:r>
          </w:p>
        </w:tc>
        <w:tc>
          <w:tcPr>
            <w:tcW w:w="114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C3770B" w:rsidP="00F03863" w14:paraId="31C600AC" w14:textId="7E38B947">
            <w:pPr>
              <w:widowControl/>
              <w:autoSpaceDE/>
              <w:autoSpaceDN/>
              <w:adjustRightInd/>
              <w:jc w:val="center"/>
              <w:rPr>
                <w:color w:val="000000"/>
                <w:szCs w:val="20"/>
              </w:rPr>
            </w:pPr>
            <w:r w:rsidRPr="005D3EDE">
              <w:rPr>
                <w:b/>
                <w:bCs/>
                <w:color w:val="000000"/>
                <w:szCs w:val="20"/>
              </w:rPr>
              <w:t>n/a</w:t>
            </w:r>
          </w:p>
        </w:tc>
        <w:tc>
          <w:tcPr>
            <w:tcW w:w="1802"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5D3EDE" w:rsidP="00F03863" w14:paraId="1414892C" w14:textId="6128D09A">
            <w:pPr>
              <w:widowControl/>
              <w:autoSpaceDE/>
              <w:autoSpaceDN/>
              <w:adjustRightInd/>
              <w:jc w:val="right"/>
              <w:rPr>
                <w:color w:val="000000"/>
                <w:szCs w:val="20"/>
              </w:rPr>
            </w:pPr>
            <w:r w:rsidRPr="005D3EDE">
              <w:rPr>
                <w:b/>
                <w:bCs/>
                <w:color w:val="000000"/>
                <w:szCs w:val="20"/>
              </w:rPr>
              <w:t>$216,8</w:t>
            </w:r>
            <w:r>
              <w:rPr>
                <w:b/>
                <w:bCs/>
                <w:color w:val="000000"/>
                <w:szCs w:val="20"/>
              </w:rPr>
              <w:t>98,256</w:t>
            </w:r>
          </w:p>
        </w:tc>
      </w:tr>
    </w:tbl>
    <w:p w:rsidR="00817B25" w:rsidRPr="00490905" w:rsidP="00817B25" w14:paraId="55F678FB" w14:textId="4321AF07">
      <w:pPr>
        <w:widowControl/>
        <w:autoSpaceDE/>
        <w:autoSpaceDN/>
        <w:adjustRightInd/>
      </w:pPr>
      <w:r w:rsidRPr="00490905">
        <w:t>*</w:t>
      </w:r>
      <w:r>
        <w:t xml:space="preserve"> </w:t>
      </w:r>
      <w:r w:rsidRPr="00F745BB">
        <w:rPr>
          <w:szCs w:val="20"/>
        </w:rPr>
        <w:t xml:space="preserve">Based on </w:t>
      </w:r>
      <w:hyperlink r:id="rId12" w:history="1">
        <w:r w:rsidRPr="00CA1EF5">
          <w:rPr>
            <w:rStyle w:val="Hyperlink"/>
            <w:szCs w:val="20"/>
          </w:rPr>
          <w:t>2019 Final Rule</w:t>
        </w:r>
      </w:hyperlink>
    </w:p>
    <w:p w:rsidR="00817B25" w:rsidP="00817B25" w14:paraId="6B8C0727" w14:textId="77777777">
      <w:pPr>
        <w:widowControl/>
        <w:autoSpaceDE/>
        <w:autoSpaceDN/>
        <w:adjustRightInd/>
        <w:rPr>
          <w:szCs w:val="20"/>
        </w:rPr>
      </w:pPr>
      <w:r w:rsidRPr="594C7449">
        <w:t>** The hourly labor cost is blended between the wages for multiple staffing levels</w:t>
      </w:r>
      <w:r w:rsidRPr="00910C42">
        <w:rPr>
          <w:szCs w:val="20"/>
        </w:rPr>
        <w:t>.</w:t>
      </w:r>
    </w:p>
    <w:p w:rsidR="005D3EDE" w:rsidP="00C3039C" w14:paraId="7D474697" w14:textId="2773040C">
      <w:pPr>
        <w:widowControl/>
        <w:autoSpaceDE/>
        <w:autoSpaceDN/>
        <w:adjustRightInd/>
        <w:rPr>
          <w:szCs w:val="20"/>
        </w:rPr>
      </w:pPr>
      <w:r>
        <w:rPr>
          <w:szCs w:val="20"/>
        </w:rPr>
        <w:t xml:space="preserve">*** Rounded to nearest </w:t>
      </w:r>
      <w:r w:rsidR="00A9420D">
        <w:rPr>
          <w:szCs w:val="20"/>
        </w:rPr>
        <w:t>zero</w:t>
      </w:r>
    </w:p>
    <w:p w:rsidR="00C3039C" w:rsidP="00C3039C" w14:paraId="396845B3" w14:textId="77777777">
      <w:pPr>
        <w:widowControl/>
        <w:autoSpaceDE/>
        <w:autoSpaceDN/>
        <w:adjustRightInd/>
        <w:rPr>
          <w:szCs w:val="20"/>
        </w:rPr>
        <w:sectPr w:rsidSect="00C3039C">
          <w:endnotePr>
            <w:numFmt w:val="decimal"/>
          </w:endnotePr>
          <w:pgSz w:w="15840" w:h="12240" w:orient="landscape"/>
          <w:pgMar w:top="1440" w:right="1440" w:bottom="1440" w:left="1440" w:header="1440" w:footer="1440" w:gutter="0"/>
          <w:cols w:space="720"/>
          <w:noEndnote/>
          <w:docGrid w:linePitch="272"/>
        </w:sectPr>
      </w:pPr>
    </w:p>
    <w:p w:rsidR="00A55126" w:rsidRPr="00F86481" w:rsidP="00431554" w14:paraId="778B4849" w14:textId="2D539874">
      <w:pPr>
        <w:pStyle w:val="Heading5"/>
      </w:pPr>
      <w:r>
        <w:t>IC-</w:t>
      </w:r>
      <w:r w:rsidR="00B547F2">
        <w:t>2</w:t>
      </w:r>
      <w:r>
        <w:t xml:space="preserve">: </w:t>
      </w:r>
      <w:r w:rsidR="00992EB5">
        <w:t xml:space="preserve">Develop </w:t>
      </w:r>
      <w:r w:rsidR="00821ECC">
        <w:t xml:space="preserve">EP </w:t>
      </w:r>
      <w:r w:rsidRPr="00F86481" w:rsidR="00AA0385">
        <w:t>Policies and procedures</w:t>
      </w:r>
    </w:p>
    <w:p w:rsidR="00290E79" w:rsidRPr="005C5DE3" w:rsidP="00122DAE" w14:paraId="7C4591B5" w14:textId="2766458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requirement to develop emergency preparedness policies and procedures are applicable to the following providers:</w:t>
      </w:r>
      <w:r>
        <w:rPr>
          <w:sz w:val="24"/>
        </w:rPr>
        <w:t xml:space="preserve"> </w:t>
      </w:r>
      <w:r w:rsidRPr="008A1272">
        <w:rPr>
          <w:sz w:val="24"/>
        </w:rPr>
        <w:t xml:space="preserve">RNHCIs at </w:t>
      </w:r>
      <w:r w:rsidRPr="008A1272">
        <w:rPr>
          <w:sz w:val="24"/>
          <w:u w:val="single"/>
        </w:rPr>
        <w:t>§403.748(</w:t>
      </w:r>
      <w:r>
        <w:rPr>
          <w:sz w:val="24"/>
          <w:u w:val="single"/>
        </w:rPr>
        <w:t>b</w:t>
      </w:r>
      <w:r w:rsidRPr="008A1272">
        <w:rPr>
          <w:sz w:val="24"/>
          <w:u w:val="single"/>
        </w:rPr>
        <w:t>); ASCs at §416.54(</w:t>
      </w:r>
      <w:r>
        <w:rPr>
          <w:sz w:val="24"/>
          <w:u w:val="single"/>
        </w:rPr>
        <w:t>b</w:t>
      </w:r>
      <w:r w:rsidRPr="008A1272">
        <w:rPr>
          <w:sz w:val="24"/>
          <w:u w:val="single"/>
        </w:rPr>
        <w:t>); Hospices at §418.113(</w:t>
      </w:r>
      <w:r>
        <w:rPr>
          <w:sz w:val="24"/>
          <w:u w:val="single"/>
        </w:rPr>
        <w:t>b</w:t>
      </w:r>
      <w:r w:rsidRPr="008A1272">
        <w:rPr>
          <w:sz w:val="24"/>
          <w:u w:val="single"/>
        </w:rPr>
        <w:t>); PRTFs at §441.184(</w:t>
      </w:r>
      <w:r>
        <w:rPr>
          <w:sz w:val="24"/>
          <w:u w:val="single"/>
        </w:rPr>
        <w:t>b</w:t>
      </w:r>
      <w:r w:rsidRPr="008A1272">
        <w:rPr>
          <w:sz w:val="24"/>
          <w:u w:val="single"/>
        </w:rPr>
        <w:t>); PACE at §460.84(</w:t>
      </w:r>
      <w:r>
        <w:rPr>
          <w:sz w:val="24"/>
          <w:u w:val="single"/>
        </w:rPr>
        <w:t>b</w:t>
      </w:r>
      <w:r w:rsidRPr="008A1272">
        <w:rPr>
          <w:sz w:val="24"/>
          <w:u w:val="single"/>
        </w:rPr>
        <w:t>); Hospitals at §482.15(</w:t>
      </w:r>
      <w:r>
        <w:rPr>
          <w:sz w:val="24"/>
          <w:u w:val="single"/>
        </w:rPr>
        <w:t>b</w:t>
      </w:r>
      <w:r w:rsidRPr="008A1272">
        <w:rPr>
          <w:sz w:val="24"/>
          <w:u w:val="single"/>
        </w:rPr>
        <w:t>); Transplant Programs §482.78(</w:t>
      </w:r>
      <w:r>
        <w:rPr>
          <w:sz w:val="24"/>
          <w:u w:val="single"/>
        </w:rPr>
        <w:t>b</w:t>
      </w:r>
      <w:r w:rsidRPr="008A1272">
        <w:rPr>
          <w:sz w:val="24"/>
          <w:u w:val="single"/>
        </w:rPr>
        <w:t>); ICF/IIDs at §483.475(</w:t>
      </w:r>
      <w:r>
        <w:rPr>
          <w:sz w:val="24"/>
          <w:u w:val="single"/>
        </w:rPr>
        <w:t>b</w:t>
      </w:r>
      <w:r w:rsidRPr="008A1272">
        <w:rPr>
          <w:sz w:val="24"/>
          <w:u w:val="single"/>
        </w:rPr>
        <w:t>); HHAs at §484.102(</w:t>
      </w:r>
      <w:r>
        <w:rPr>
          <w:sz w:val="24"/>
          <w:u w:val="single"/>
        </w:rPr>
        <w:t>b</w:t>
      </w:r>
      <w:r w:rsidRPr="008A1272">
        <w:rPr>
          <w:sz w:val="24"/>
          <w:u w:val="single"/>
        </w:rPr>
        <w:t>); REHs at §485.542(</w:t>
      </w:r>
      <w:r>
        <w:rPr>
          <w:sz w:val="24"/>
          <w:u w:val="single"/>
        </w:rPr>
        <w:t>b</w:t>
      </w:r>
      <w:r w:rsidRPr="008A1272">
        <w:rPr>
          <w:sz w:val="24"/>
          <w:u w:val="single"/>
        </w:rPr>
        <w:t>); CAHs at §485.625(</w:t>
      </w:r>
      <w:r>
        <w:rPr>
          <w:sz w:val="24"/>
          <w:u w:val="single"/>
        </w:rPr>
        <w:t>b</w:t>
      </w:r>
      <w:r w:rsidRPr="008A1272">
        <w:rPr>
          <w:sz w:val="24"/>
          <w:u w:val="single"/>
        </w:rPr>
        <w:t>); CORFs at §485.68(</w:t>
      </w:r>
      <w:r>
        <w:rPr>
          <w:sz w:val="24"/>
          <w:u w:val="single"/>
        </w:rPr>
        <w:t>b</w:t>
      </w:r>
      <w:r w:rsidRPr="008A1272">
        <w:rPr>
          <w:sz w:val="24"/>
          <w:u w:val="single"/>
        </w:rPr>
        <w:t xml:space="preserve">); </w:t>
      </w:r>
      <w:r w:rsidR="00405371">
        <w:rPr>
          <w:sz w:val="24"/>
          <w:u w:val="single"/>
        </w:rPr>
        <w:t>“Organizations”</w:t>
      </w:r>
      <w:r w:rsidRPr="008A1272">
        <w:rPr>
          <w:sz w:val="24"/>
          <w:u w:val="single"/>
        </w:rPr>
        <w:t xml:space="preserve"> at §485.727(</w:t>
      </w:r>
      <w:r>
        <w:rPr>
          <w:sz w:val="24"/>
          <w:u w:val="single"/>
        </w:rPr>
        <w:t>b</w:t>
      </w:r>
      <w:r w:rsidRPr="008A1272">
        <w:rPr>
          <w:sz w:val="24"/>
          <w:u w:val="single"/>
        </w:rPr>
        <w:t>); CMHCs at §485.920(</w:t>
      </w:r>
      <w:r>
        <w:rPr>
          <w:sz w:val="24"/>
          <w:u w:val="single"/>
        </w:rPr>
        <w:t>b</w:t>
      </w:r>
      <w:r w:rsidRPr="008A1272">
        <w:rPr>
          <w:sz w:val="24"/>
          <w:u w:val="single"/>
        </w:rPr>
        <w:t>); OPOs at §486.360(</w:t>
      </w:r>
      <w:r>
        <w:rPr>
          <w:sz w:val="24"/>
          <w:u w:val="single"/>
        </w:rPr>
        <w:t>b</w:t>
      </w:r>
      <w:r w:rsidRPr="008A1272">
        <w:rPr>
          <w:sz w:val="24"/>
          <w:u w:val="single"/>
        </w:rPr>
        <w:t>); RHCs/FQHCs at §491.12(</w:t>
      </w:r>
      <w:r>
        <w:rPr>
          <w:sz w:val="24"/>
          <w:u w:val="single"/>
        </w:rPr>
        <w:t>b</w:t>
      </w:r>
      <w:r w:rsidRPr="008A1272">
        <w:rPr>
          <w:sz w:val="24"/>
          <w:u w:val="single"/>
        </w:rPr>
        <w:t>); ESRD facilities at §494.62(</w:t>
      </w:r>
      <w:r>
        <w:rPr>
          <w:sz w:val="24"/>
          <w:u w:val="single"/>
        </w:rPr>
        <w:t>b</w:t>
      </w:r>
      <w:r w:rsidRPr="008A1272">
        <w:rPr>
          <w:sz w:val="24"/>
          <w:u w:val="single"/>
        </w:rPr>
        <w:t>).</w:t>
      </w:r>
      <w:r w:rsidRPr="005C5DE3">
        <w:rPr>
          <w:sz w:val="24"/>
        </w:rPr>
        <w:t xml:space="preserve"> </w:t>
      </w:r>
    </w:p>
    <w:p w:rsidR="00B547F2" w:rsidP="00122DAE" w14:paraId="6D0C3E7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0373A" w:rsidP="00122DAE" w14:paraId="68FB6328" w14:textId="25C27E1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Newly certified facilities must develop</w:t>
      </w:r>
      <w:r>
        <w:rPr>
          <w:sz w:val="24"/>
        </w:rPr>
        <w:t xml:space="preserve"> emergency preparedness policies and procedures in accordance with their emergency </w:t>
      </w:r>
      <w:r>
        <w:rPr>
          <w:sz w:val="24"/>
        </w:rPr>
        <w:t xml:space="preserve">preparedness </w:t>
      </w:r>
      <w:r>
        <w:rPr>
          <w:sz w:val="24"/>
        </w:rPr>
        <w:t xml:space="preserve">plan, risk assessment, and communication plan. </w:t>
      </w:r>
      <w:r>
        <w:rPr>
          <w:sz w:val="24"/>
        </w:rPr>
        <w:t xml:space="preserve">Facilities who are not already subject to this requirement due to their accreditation must </w:t>
      </w:r>
      <w:r w:rsidRPr="000F335A" w:rsidR="00070F26">
        <w:rPr>
          <w:sz w:val="24"/>
        </w:rPr>
        <w:t xml:space="preserve">develop new policies and procedures that would ensure that the emergency preparedness plans address the specific </w:t>
      </w:r>
      <w:r w:rsidR="004953BF">
        <w:rPr>
          <w:sz w:val="24"/>
        </w:rPr>
        <w:t xml:space="preserve">requirements of </w:t>
      </w:r>
      <w:r w:rsidR="00BE1B0E">
        <w:rPr>
          <w:sz w:val="24"/>
        </w:rPr>
        <w:t xml:space="preserve">the </w:t>
      </w:r>
      <w:r w:rsidR="004953BF">
        <w:rPr>
          <w:sz w:val="24"/>
        </w:rPr>
        <w:t>regulation</w:t>
      </w:r>
      <w:r w:rsidR="00BE1B0E">
        <w:rPr>
          <w:sz w:val="24"/>
        </w:rPr>
        <w:t>s</w:t>
      </w:r>
      <w:r w:rsidRPr="000F335A" w:rsidR="00936BE1">
        <w:rPr>
          <w:sz w:val="24"/>
        </w:rPr>
        <w:t xml:space="preserve">. </w:t>
      </w:r>
    </w:p>
    <w:p w:rsidR="00096687" w:rsidP="00096687" w14:paraId="4854801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32"/>
        </w:rPr>
      </w:pPr>
    </w:p>
    <w:p w:rsidR="00096687" w:rsidP="00096687" w14:paraId="17605B3A" w14:textId="16BAF08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A5C2E">
        <w:rPr>
          <w:sz w:val="24"/>
          <w:szCs w:val="32"/>
        </w:rPr>
        <w:t xml:space="preserve">Per </w:t>
      </w:r>
      <w:r w:rsidRPr="001A5C2E">
        <w:rPr>
          <w:bCs/>
          <w:sz w:val="24"/>
        </w:rPr>
        <w:t xml:space="preserve">the </w:t>
      </w:r>
      <w:hyperlink r:id="rId10" w:history="1">
        <w:r w:rsidRPr="001A5C2E">
          <w:rPr>
            <w:rStyle w:val="Hyperlink"/>
            <w:sz w:val="24"/>
          </w:rPr>
          <w:t>2016 Final Rule</w:t>
        </w:r>
      </w:hyperlink>
      <w:r w:rsidRPr="001A5C2E">
        <w:rPr>
          <w:sz w:val="24"/>
          <w:szCs w:val="32"/>
        </w:rPr>
        <w:t xml:space="preserve">, </w:t>
      </w:r>
      <w:r>
        <w:rPr>
          <w:sz w:val="24"/>
          <w:szCs w:val="32"/>
        </w:rPr>
        <w:t>the emergency preparedness policies and procedures</w:t>
      </w:r>
      <w:r w:rsidRPr="001A5C2E">
        <w:rPr>
          <w:sz w:val="24"/>
          <w:szCs w:val="32"/>
        </w:rPr>
        <w:t xml:space="preserve"> </w:t>
      </w:r>
      <w:r>
        <w:rPr>
          <w:sz w:val="24"/>
          <w:szCs w:val="32"/>
        </w:rPr>
        <w:t xml:space="preserve">initially developed by </w:t>
      </w:r>
      <w:r w:rsidRPr="001A5C2E">
        <w:rPr>
          <w:sz w:val="24"/>
          <w:szCs w:val="32"/>
        </w:rPr>
        <w:t>TJC-accredited ASCs me</w:t>
      </w:r>
      <w:r>
        <w:rPr>
          <w:sz w:val="24"/>
          <w:szCs w:val="32"/>
        </w:rPr>
        <w:t>e</w:t>
      </w:r>
      <w:r w:rsidRPr="001A5C2E">
        <w:rPr>
          <w:sz w:val="24"/>
          <w:szCs w:val="32"/>
        </w:rPr>
        <w:t xml:space="preserve">t the required standards of this CoP, and thus the burden for </w:t>
      </w:r>
      <w:r>
        <w:rPr>
          <w:sz w:val="24"/>
          <w:szCs w:val="32"/>
        </w:rPr>
        <w:t xml:space="preserve">ASCs for </w:t>
      </w:r>
      <w:r w:rsidRPr="001A5C2E">
        <w:rPr>
          <w:sz w:val="24"/>
          <w:szCs w:val="32"/>
        </w:rPr>
        <w:t xml:space="preserve">this CoP is seen as usual and customary practice </w:t>
      </w:r>
      <w:r>
        <w:rPr>
          <w:sz w:val="24"/>
          <w:szCs w:val="32"/>
        </w:rPr>
        <w:t>and is</w:t>
      </w:r>
      <w:r w:rsidRPr="001A5C2E">
        <w:rPr>
          <w:sz w:val="24"/>
          <w:szCs w:val="32"/>
        </w:rPr>
        <w:t xml:space="preserve"> exempt from the PRA under </w:t>
      </w:r>
      <w:r w:rsidRPr="001A5C2E">
        <w:rPr>
          <w:sz w:val="24"/>
        </w:rPr>
        <w:t>CFR §1320.3(b)(2).</w:t>
      </w:r>
      <w:r>
        <w:rPr>
          <w:rStyle w:val="FootnoteReference"/>
          <w:sz w:val="24"/>
          <w:vertAlign w:val="superscript"/>
        </w:rPr>
        <w:footnoteReference w:id="10"/>
      </w:r>
      <w:r w:rsidRPr="001A5C2E">
        <w:rPr>
          <w:sz w:val="24"/>
        </w:rPr>
        <w:t xml:space="preserve"> </w:t>
      </w:r>
      <w:r>
        <w:rPr>
          <w:sz w:val="24"/>
        </w:rPr>
        <w:t xml:space="preserve">However, the policies and procedures developed by TJC-accredited CAHs, HHAs, and hospitals do not meet the standards required by this CoP and are included in the burden analysis below. </w:t>
      </w:r>
      <w:r w:rsidRPr="001A5C2E">
        <w:rPr>
          <w:sz w:val="24"/>
        </w:rPr>
        <w:t xml:space="preserve">In addition, the burden for </w:t>
      </w:r>
      <w:r>
        <w:rPr>
          <w:sz w:val="24"/>
          <w:szCs w:val="32"/>
        </w:rPr>
        <w:t xml:space="preserve">the development of the policies and procedures varies for accredited and non-accredited CAHs and hospitals and </w:t>
      </w:r>
      <w:r w:rsidRPr="001A5C2E">
        <w:rPr>
          <w:sz w:val="24"/>
        </w:rPr>
        <w:t>is different for inpatient v. outpatient hospices.</w:t>
      </w:r>
      <w:r>
        <w:rPr>
          <w:rStyle w:val="FootnoteReference"/>
          <w:sz w:val="24"/>
          <w:vertAlign w:val="superscript"/>
        </w:rPr>
        <w:footnoteReference w:id="11"/>
      </w:r>
      <w:r w:rsidRPr="001A5C2E">
        <w:rPr>
          <w:sz w:val="24"/>
          <w:vertAlign w:val="superscript"/>
        </w:rPr>
        <w:t xml:space="preserve"> </w:t>
      </w:r>
      <w:r w:rsidRPr="001A5C2E">
        <w:rPr>
          <w:sz w:val="24"/>
        </w:rPr>
        <w:t xml:space="preserve">  </w:t>
      </w:r>
    </w:p>
    <w:p w:rsidR="001F627B" w:rsidP="00122DAE" w14:paraId="705C4A74" w14:textId="2A72192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F369B" w:rsidP="00122DAE" w14:paraId="6438047C" w14:textId="14FEBFF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every new Medicare certified </w:t>
      </w:r>
      <w:r w:rsidR="005115B5">
        <w:rPr>
          <w:sz w:val="24"/>
        </w:rPr>
        <w:t>provider that is not exempt from this information collection</w:t>
      </w:r>
      <w:r>
        <w:rPr>
          <w:sz w:val="24"/>
        </w:rPr>
        <w:t>, w</w:t>
      </w:r>
      <w:r w:rsidRPr="00026C64">
        <w:rPr>
          <w:sz w:val="24"/>
        </w:rPr>
        <w:t>e estimate that a</w:t>
      </w:r>
      <w:r>
        <w:rPr>
          <w:sz w:val="24"/>
        </w:rPr>
        <w:t xml:space="preserve">n </w:t>
      </w:r>
      <w:r w:rsidRPr="00026C64">
        <w:rPr>
          <w:sz w:val="24"/>
        </w:rPr>
        <w:t xml:space="preserve">Administrator </w:t>
      </w:r>
      <w:r>
        <w:rPr>
          <w:sz w:val="24"/>
        </w:rPr>
        <w:t>(</w:t>
      </w:r>
      <w:r w:rsidRPr="002A333C">
        <w:rPr>
          <w:sz w:val="24"/>
        </w:rPr>
        <w:t>Medical and Health Services Manager</w:t>
      </w:r>
      <w:r>
        <w:rPr>
          <w:sz w:val="24"/>
        </w:rPr>
        <w:t xml:space="preserve"> - BLS Occupation Code 11-9111) at a loaded hourly rate of $129, a Registered Nurse (BLS Occupation Code 29-1141) at a loaded hourly rate of $91 and a Facility Director (</w:t>
      </w:r>
      <w:r w:rsidRPr="002A333C">
        <w:rPr>
          <w:sz w:val="24"/>
        </w:rPr>
        <w:t>Administrative Services &amp; Facilities Manager</w:t>
      </w:r>
      <w:r>
        <w:rPr>
          <w:sz w:val="24"/>
        </w:rPr>
        <w:t xml:space="preserve"> – BLS Occupation Code 11-3010) </w:t>
      </w:r>
      <w:r w:rsidRPr="00026C64">
        <w:rPr>
          <w:sz w:val="24"/>
        </w:rPr>
        <w:t xml:space="preserve">at </w:t>
      </w:r>
      <w:r>
        <w:rPr>
          <w:sz w:val="24"/>
        </w:rPr>
        <w:t>a loaded hourly rate of $101</w:t>
      </w:r>
      <w:r w:rsidR="00B547F2">
        <w:rPr>
          <w:sz w:val="24"/>
        </w:rPr>
        <w:t xml:space="preserve">, </w:t>
      </w:r>
      <w:r w:rsidRPr="00026C64">
        <w:rPr>
          <w:sz w:val="24"/>
        </w:rPr>
        <w:t xml:space="preserve">would </w:t>
      </w:r>
      <w:r w:rsidR="00790185">
        <w:rPr>
          <w:sz w:val="24"/>
        </w:rPr>
        <w:t xml:space="preserve">all </w:t>
      </w:r>
      <w:r w:rsidRPr="00026C64">
        <w:rPr>
          <w:sz w:val="24"/>
        </w:rPr>
        <w:t xml:space="preserve">be responsible for </w:t>
      </w:r>
      <w:r>
        <w:rPr>
          <w:sz w:val="24"/>
        </w:rPr>
        <w:t>the initial development of</w:t>
      </w:r>
      <w:r w:rsidRPr="00026C64">
        <w:rPr>
          <w:sz w:val="24"/>
        </w:rPr>
        <w:t xml:space="preserve"> the emergency </w:t>
      </w:r>
      <w:r>
        <w:rPr>
          <w:sz w:val="24"/>
        </w:rPr>
        <w:t xml:space="preserve">preparedness policies and procedures. </w:t>
      </w:r>
    </w:p>
    <w:p w:rsidR="008727D0" w:rsidP="00122DAE" w14:paraId="5B3FA72A" w14:textId="5410FB2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F369B" w:rsidP="00122DAE" w14:paraId="37DE0D19" w14:textId="003553D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5 below lays out the one-time burden hours and cost for newly certified </w:t>
      </w:r>
      <w:r w:rsidR="00B949D1">
        <w:rPr>
          <w:sz w:val="24"/>
        </w:rPr>
        <w:t>providers</w:t>
      </w:r>
      <w:r>
        <w:rPr>
          <w:sz w:val="24"/>
        </w:rPr>
        <w:t xml:space="preserve"> – wh</w:t>
      </w:r>
      <w:r w:rsidR="00B949D1">
        <w:rPr>
          <w:sz w:val="24"/>
        </w:rPr>
        <w:t>o</w:t>
      </w:r>
      <w:r>
        <w:rPr>
          <w:sz w:val="24"/>
        </w:rPr>
        <w:t xml:space="preserve"> are not </w:t>
      </w:r>
      <w:r w:rsidR="00C319E3">
        <w:rPr>
          <w:sz w:val="24"/>
        </w:rPr>
        <w:t>exempt</w:t>
      </w:r>
      <w:r>
        <w:rPr>
          <w:sz w:val="24"/>
        </w:rPr>
        <w:t xml:space="preserve"> - to develop </w:t>
      </w:r>
      <w:r w:rsidRPr="00026C64">
        <w:rPr>
          <w:sz w:val="24"/>
        </w:rPr>
        <w:t xml:space="preserve">the </w:t>
      </w:r>
      <w:r>
        <w:rPr>
          <w:sz w:val="24"/>
        </w:rPr>
        <w:t xml:space="preserve">required </w:t>
      </w:r>
      <w:r w:rsidRPr="00026C64">
        <w:rPr>
          <w:sz w:val="24"/>
        </w:rPr>
        <w:t xml:space="preserve">emergency </w:t>
      </w:r>
      <w:r>
        <w:rPr>
          <w:sz w:val="24"/>
        </w:rPr>
        <w:t xml:space="preserve">preparedness policies and procedures. </w:t>
      </w:r>
      <w:r w:rsidRPr="000938A3">
        <w:rPr>
          <w:sz w:val="24"/>
        </w:rPr>
        <w:t xml:space="preserve">We estimate the total collection of information burden impacting the </w:t>
      </w:r>
      <w:r>
        <w:rPr>
          <w:sz w:val="24"/>
        </w:rPr>
        <w:t>2,686 newly certified</w:t>
      </w:r>
      <w:r w:rsidR="005115B5">
        <w:rPr>
          <w:sz w:val="24"/>
        </w:rPr>
        <w:t>, non-exempt</w:t>
      </w:r>
      <w:r>
        <w:rPr>
          <w:sz w:val="24"/>
        </w:rPr>
        <w:t xml:space="preserve"> </w:t>
      </w:r>
      <w:r w:rsidRPr="000938A3">
        <w:rPr>
          <w:sz w:val="24"/>
        </w:rPr>
        <w:t xml:space="preserve">providers and suppliers is </w:t>
      </w:r>
      <w:r>
        <w:rPr>
          <w:sz w:val="24"/>
        </w:rPr>
        <w:t>29,386</w:t>
      </w:r>
      <w:r w:rsidRPr="000938A3">
        <w:rPr>
          <w:sz w:val="24"/>
        </w:rPr>
        <w:t xml:space="preserve"> burden hours at an annual cost of </w:t>
      </w:r>
      <w:r w:rsidRPr="00914449">
        <w:rPr>
          <w:sz w:val="24"/>
        </w:rPr>
        <w:t>$</w:t>
      </w:r>
      <w:r>
        <w:rPr>
          <w:sz w:val="24"/>
        </w:rPr>
        <w:t>9,432,906, see Table 5.</w:t>
      </w:r>
    </w:p>
    <w:p w:rsidR="00AE4CE9" w:rsidP="00122DAE" w14:paraId="4A1BB1A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E4CE9" w14:paraId="2C98C46D" w14:textId="77777777">
      <w:pPr>
        <w:widowControl/>
        <w:autoSpaceDE/>
        <w:autoSpaceDN/>
        <w:adjustRightInd/>
        <w:rPr>
          <w:b/>
          <w:bCs/>
          <w:color w:val="000000"/>
          <w:szCs w:val="20"/>
        </w:rPr>
        <w:sectPr w:rsidSect="00730469">
          <w:endnotePr>
            <w:numFmt w:val="decimal"/>
          </w:endnotePr>
          <w:pgSz w:w="12240" w:h="15840"/>
          <w:pgMar w:top="1440" w:right="1440" w:bottom="1440" w:left="1440" w:header="1440" w:footer="720" w:gutter="0"/>
          <w:cols w:space="720"/>
          <w:noEndnote/>
          <w:docGrid w:linePitch="272"/>
        </w:sectPr>
      </w:pPr>
    </w:p>
    <w:p w:rsidR="001502D5" w:rsidRPr="007E1B2C" w:rsidP="00431554" w14:paraId="0CC3C2DA" w14:textId="0BDF268A">
      <w:pPr>
        <w:pStyle w:val="Heading6"/>
      </w:pPr>
      <w:r w:rsidRPr="007E1B2C">
        <w:t>Table</w:t>
      </w:r>
      <w:r w:rsidRPr="007E1B2C" w:rsidR="00D45A76">
        <w:t xml:space="preserve"> 5</w:t>
      </w:r>
      <w:r w:rsidRPr="007E1B2C" w:rsidR="005F369B">
        <w:t xml:space="preserve"> – IC-2</w:t>
      </w:r>
      <w:r w:rsidRPr="007E1B2C" w:rsidR="00D45A76">
        <w:t xml:space="preserve"> - </w:t>
      </w:r>
      <w:r w:rsidRPr="007E1B2C">
        <w:t xml:space="preserve">Burden Hours and Cost Estimates for </w:t>
      </w:r>
      <w:r w:rsidRPr="007E1B2C" w:rsidR="000A6DB5">
        <w:t xml:space="preserve">Newly Certified Facilities </w:t>
      </w:r>
      <w:r w:rsidRPr="007E1B2C">
        <w:t>to Develop Emergency Preparedness Policies and Procedures</w:t>
      </w:r>
    </w:p>
    <w:tbl>
      <w:tblPr>
        <w:tblW w:w="12426" w:type="dxa"/>
        <w:tblInd w:w="260" w:type="dxa"/>
        <w:tblLayout w:type="fixed"/>
        <w:tblLook w:val="04A0"/>
      </w:tblPr>
      <w:tblGrid>
        <w:gridCol w:w="629"/>
        <w:gridCol w:w="3417"/>
        <w:gridCol w:w="1174"/>
        <w:gridCol w:w="1433"/>
        <w:gridCol w:w="6"/>
        <w:gridCol w:w="1163"/>
        <w:gridCol w:w="6"/>
        <w:gridCol w:w="1262"/>
        <w:gridCol w:w="1082"/>
        <w:gridCol w:w="6"/>
        <w:gridCol w:w="893"/>
        <w:gridCol w:w="6"/>
        <w:gridCol w:w="1337"/>
        <w:gridCol w:w="12"/>
      </w:tblGrid>
      <w:tr w14:paraId="2B1336C4" w14:textId="77777777" w:rsidTr="00577E9B">
        <w:tblPrEx>
          <w:tblW w:w="12426" w:type="dxa"/>
          <w:tblInd w:w="260" w:type="dxa"/>
          <w:tblLayout w:type="fixed"/>
          <w:tblLook w:val="04A0"/>
        </w:tblPrEx>
        <w:trPr>
          <w:trHeight w:val="840"/>
        </w:trPr>
        <w:tc>
          <w:tcPr>
            <w:tcW w:w="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7610" w:rsidRPr="005D3EDE" w:rsidP="00AD7610" w14:paraId="31F71DA2" w14:textId="7E8EDFE4">
            <w:pPr>
              <w:widowControl/>
              <w:autoSpaceDE/>
              <w:autoSpaceDN/>
              <w:adjustRightInd/>
              <w:ind w:right="48"/>
              <w:jc w:val="center"/>
              <w:rPr>
                <w:b/>
                <w:bCs/>
                <w:color w:val="000000"/>
                <w:szCs w:val="20"/>
              </w:rPr>
            </w:pPr>
            <w:r>
              <w:rPr>
                <w:b/>
                <w:bCs/>
                <w:color w:val="000000"/>
                <w:szCs w:val="20"/>
              </w:rPr>
              <w:t>No.</w:t>
            </w:r>
          </w:p>
        </w:tc>
        <w:tc>
          <w:tcPr>
            <w:tcW w:w="3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RPr="005D3EDE" w:rsidP="00504F85" w14:paraId="5A7E27B9" w14:textId="27D50394">
            <w:pPr>
              <w:widowControl/>
              <w:autoSpaceDE/>
              <w:autoSpaceDN/>
              <w:adjustRightInd/>
              <w:jc w:val="center"/>
              <w:rPr>
                <w:b/>
                <w:bCs/>
                <w:color w:val="000000"/>
                <w:szCs w:val="20"/>
              </w:rPr>
            </w:pPr>
            <w:r w:rsidRPr="005D3EDE">
              <w:rPr>
                <w:b/>
                <w:bCs/>
                <w:color w:val="000000"/>
                <w:szCs w:val="20"/>
              </w:rPr>
              <w:t>Provider or Supplier Type </w:t>
            </w:r>
          </w:p>
        </w:tc>
        <w:tc>
          <w:tcPr>
            <w:tcW w:w="11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P="00504F85" w14:paraId="34C6C0AB" w14:textId="77777777">
            <w:pPr>
              <w:widowControl/>
              <w:autoSpaceDE/>
              <w:autoSpaceDN/>
              <w:adjustRightInd/>
              <w:jc w:val="center"/>
              <w:rPr>
                <w:b/>
                <w:bCs/>
                <w:szCs w:val="20"/>
              </w:rPr>
            </w:pPr>
            <w:r>
              <w:rPr>
                <w:b/>
                <w:bCs/>
                <w:szCs w:val="20"/>
              </w:rPr>
              <w:t>42</w:t>
            </w:r>
          </w:p>
          <w:p w:rsidR="00AD7610" w:rsidRPr="005D3EDE" w:rsidP="00504F85" w14:paraId="47DA3F81" w14:textId="77777777">
            <w:pPr>
              <w:widowControl/>
              <w:autoSpaceDE/>
              <w:autoSpaceDN/>
              <w:adjustRightInd/>
              <w:jc w:val="center"/>
              <w:rPr>
                <w:b/>
                <w:bCs/>
                <w:szCs w:val="20"/>
              </w:rPr>
            </w:pPr>
            <w:r w:rsidRPr="00DA22C6">
              <w:rPr>
                <w:b/>
                <w:bCs/>
                <w:szCs w:val="20"/>
              </w:rPr>
              <w:t>CFR</w:t>
            </w:r>
          </w:p>
        </w:tc>
        <w:tc>
          <w:tcPr>
            <w:tcW w:w="14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RPr="005D3EDE" w:rsidP="00504F85" w14:paraId="1AC31A79" w14:textId="77777777">
            <w:pPr>
              <w:widowControl/>
              <w:autoSpaceDE/>
              <w:autoSpaceDN/>
              <w:adjustRightInd/>
              <w:jc w:val="center"/>
              <w:rPr>
                <w:b/>
                <w:bCs/>
                <w:szCs w:val="20"/>
              </w:rPr>
            </w:pPr>
            <w:r w:rsidRPr="005D3EDE">
              <w:rPr>
                <w:b/>
                <w:bCs/>
                <w:szCs w:val="20"/>
              </w:rPr>
              <w:t>Newly Certified Facilities/# of Respondents</w:t>
            </w:r>
          </w:p>
          <w:p w:rsidR="00321166" w:rsidP="00A46CC0" w14:paraId="239150F8" w14:textId="77777777">
            <w:pPr>
              <w:widowControl/>
              <w:autoSpaceDE/>
              <w:autoSpaceDN/>
              <w:adjustRightInd/>
              <w:jc w:val="center"/>
              <w:rPr>
                <w:szCs w:val="20"/>
              </w:rPr>
            </w:pPr>
          </w:p>
          <w:p w:rsidR="00AD7610" w:rsidRPr="00A46CC0" w:rsidP="00A46CC0" w14:paraId="49DB48EE" w14:textId="42ED4588">
            <w:pPr>
              <w:widowControl/>
              <w:autoSpaceDE/>
              <w:autoSpaceDN/>
              <w:adjustRightInd/>
              <w:jc w:val="center"/>
              <w:rPr>
                <w:szCs w:val="20"/>
              </w:rPr>
            </w:pPr>
            <w:r w:rsidRPr="00A46CC0">
              <w:rPr>
                <w:szCs w:val="20"/>
              </w:rPr>
              <w:t>(a)</w:t>
            </w:r>
          </w:p>
        </w:tc>
        <w:tc>
          <w:tcPr>
            <w:tcW w:w="11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P="00504F85" w14:paraId="7C89BC68" w14:textId="77777777">
            <w:pPr>
              <w:widowControl/>
              <w:autoSpaceDE/>
              <w:autoSpaceDN/>
              <w:adjustRightInd/>
              <w:jc w:val="center"/>
              <w:rPr>
                <w:b/>
                <w:bCs/>
                <w:szCs w:val="20"/>
              </w:rPr>
            </w:pPr>
          </w:p>
          <w:p w:rsidR="00AD7610" w:rsidP="00504F85" w14:paraId="4B0DDBD7" w14:textId="77777777">
            <w:pPr>
              <w:widowControl/>
              <w:autoSpaceDE/>
              <w:autoSpaceDN/>
              <w:adjustRightInd/>
              <w:jc w:val="center"/>
              <w:rPr>
                <w:b/>
                <w:bCs/>
                <w:szCs w:val="20"/>
              </w:rPr>
            </w:pPr>
            <w:r w:rsidRPr="005D3EDE">
              <w:rPr>
                <w:b/>
                <w:bCs/>
                <w:szCs w:val="20"/>
              </w:rPr>
              <w:t xml:space="preserve"># of Responses </w:t>
            </w:r>
          </w:p>
          <w:p w:rsidR="00AD7610" w:rsidP="00504F85" w14:paraId="6DB79CE5" w14:textId="77777777">
            <w:pPr>
              <w:widowControl/>
              <w:autoSpaceDE/>
              <w:autoSpaceDN/>
              <w:adjustRightInd/>
              <w:jc w:val="center"/>
              <w:rPr>
                <w:b/>
                <w:bCs/>
                <w:szCs w:val="20"/>
              </w:rPr>
            </w:pPr>
          </w:p>
          <w:p w:rsidR="00AD7610" w:rsidRPr="005D3EDE" w:rsidP="00504F85" w14:paraId="380AFC92" w14:textId="77777777">
            <w:pPr>
              <w:widowControl/>
              <w:autoSpaceDE/>
              <w:autoSpaceDN/>
              <w:adjustRightInd/>
              <w:jc w:val="center"/>
              <w:rPr>
                <w:b/>
                <w:bCs/>
                <w:szCs w:val="20"/>
              </w:rPr>
            </w:pPr>
          </w:p>
          <w:p w:rsidR="00AD7610" w:rsidRPr="00A46CC0" w:rsidP="00A46CC0" w14:paraId="18883ECA" w14:textId="77777777">
            <w:pPr>
              <w:widowControl/>
              <w:autoSpaceDE/>
              <w:autoSpaceDN/>
              <w:adjustRightInd/>
              <w:jc w:val="center"/>
              <w:rPr>
                <w:szCs w:val="20"/>
              </w:rPr>
            </w:pPr>
            <w:r w:rsidRPr="00A46CC0">
              <w:rPr>
                <w:szCs w:val="20"/>
              </w:rPr>
              <w:t>(b = a x 1)</w:t>
            </w:r>
          </w:p>
        </w:tc>
        <w:tc>
          <w:tcPr>
            <w:tcW w:w="1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P="00504F85" w14:paraId="3DDD8561" w14:textId="77777777">
            <w:pPr>
              <w:widowControl/>
              <w:autoSpaceDE/>
              <w:autoSpaceDN/>
              <w:adjustRightInd/>
              <w:jc w:val="center"/>
              <w:rPr>
                <w:b/>
                <w:bCs/>
                <w:szCs w:val="20"/>
              </w:rPr>
            </w:pPr>
            <w:r w:rsidRPr="005D3EDE">
              <w:rPr>
                <w:b/>
                <w:bCs/>
                <w:szCs w:val="20"/>
              </w:rPr>
              <w:t xml:space="preserve">Burden </w:t>
            </w:r>
            <w:r w:rsidRPr="005D3EDE">
              <w:rPr>
                <w:b/>
                <w:bCs/>
                <w:szCs w:val="20"/>
              </w:rPr>
              <w:t>Hrs</w:t>
            </w:r>
            <w:r w:rsidRPr="005D3EDE">
              <w:rPr>
                <w:b/>
                <w:bCs/>
                <w:szCs w:val="20"/>
              </w:rPr>
              <w:t xml:space="preserve"> Per Response</w:t>
            </w:r>
          </w:p>
          <w:p w:rsidR="00AD7610" w:rsidRPr="00A46CC0" w:rsidP="00504F85" w14:paraId="7652A457" w14:textId="77777777">
            <w:pPr>
              <w:widowControl/>
              <w:autoSpaceDE/>
              <w:autoSpaceDN/>
              <w:adjustRightInd/>
              <w:jc w:val="center"/>
              <w:rPr>
                <w:b/>
                <w:bCs/>
                <w:szCs w:val="20"/>
              </w:rPr>
            </w:pPr>
            <w:r w:rsidRPr="00A46CC0">
              <w:rPr>
                <w:b/>
                <w:bCs/>
                <w:szCs w:val="20"/>
              </w:rPr>
              <w:t>*</w:t>
            </w:r>
          </w:p>
          <w:p w:rsidR="00AD7610" w:rsidRPr="005D3EDE" w:rsidP="00504F85" w14:paraId="5B779018" w14:textId="77777777">
            <w:pPr>
              <w:widowControl/>
              <w:autoSpaceDE/>
              <w:autoSpaceDN/>
              <w:adjustRightInd/>
              <w:jc w:val="center"/>
              <w:rPr>
                <w:b/>
                <w:bCs/>
                <w:szCs w:val="20"/>
              </w:rPr>
            </w:pPr>
          </w:p>
          <w:p w:rsidR="00AD7610" w:rsidRPr="00A46CC0" w:rsidP="00A46CC0" w14:paraId="14DFD78A" w14:textId="77777777">
            <w:pPr>
              <w:widowControl/>
              <w:autoSpaceDE/>
              <w:autoSpaceDN/>
              <w:adjustRightInd/>
              <w:jc w:val="center"/>
              <w:rPr>
                <w:szCs w:val="20"/>
              </w:rPr>
            </w:pPr>
            <w:r w:rsidRPr="00A46CC0">
              <w:rPr>
                <w:szCs w:val="20"/>
              </w:rPr>
              <w:t xml:space="preserve">(c) </w:t>
            </w: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RPr="005D3EDE" w:rsidP="00504F85" w14:paraId="6A5C9568" w14:textId="77777777">
            <w:pPr>
              <w:widowControl/>
              <w:autoSpaceDE/>
              <w:autoSpaceDN/>
              <w:adjustRightInd/>
              <w:jc w:val="center"/>
              <w:rPr>
                <w:b/>
                <w:bCs/>
                <w:szCs w:val="20"/>
              </w:rPr>
            </w:pPr>
            <w:r w:rsidRPr="005D3EDE">
              <w:rPr>
                <w:b/>
                <w:bCs/>
                <w:szCs w:val="20"/>
              </w:rPr>
              <w:t>Total Burden Hours</w:t>
            </w:r>
          </w:p>
          <w:p w:rsidR="00AD7610" w:rsidRPr="00A46CC0" w:rsidP="00A46CC0" w14:paraId="7CDCB389" w14:textId="77777777">
            <w:pPr>
              <w:widowControl/>
              <w:autoSpaceDE/>
              <w:autoSpaceDN/>
              <w:adjustRightInd/>
              <w:jc w:val="center"/>
              <w:rPr>
                <w:b/>
                <w:bCs/>
                <w:szCs w:val="20"/>
              </w:rPr>
            </w:pPr>
          </w:p>
          <w:p w:rsidR="00321166" w:rsidP="00A46CC0" w14:paraId="1ACB21EE" w14:textId="77777777">
            <w:pPr>
              <w:widowControl/>
              <w:autoSpaceDE/>
              <w:autoSpaceDN/>
              <w:adjustRightInd/>
              <w:jc w:val="center"/>
              <w:rPr>
                <w:szCs w:val="20"/>
              </w:rPr>
            </w:pPr>
          </w:p>
          <w:p w:rsidR="00AD7610" w:rsidRPr="00A46CC0" w:rsidP="00A46CC0" w14:paraId="39E0792B" w14:textId="5DC99E4F">
            <w:pPr>
              <w:widowControl/>
              <w:autoSpaceDE/>
              <w:autoSpaceDN/>
              <w:adjustRightInd/>
              <w:jc w:val="center"/>
              <w:rPr>
                <w:szCs w:val="20"/>
              </w:rPr>
            </w:pPr>
            <w:r w:rsidRPr="00A46CC0">
              <w:rPr>
                <w:szCs w:val="20"/>
              </w:rPr>
              <w:t>(d = b x c)</w:t>
            </w:r>
          </w:p>
        </w:tc>
        <w:tc>
          <w:tcPr>
            <w:tcW w:w="8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P="00504F85" w14:paraId="2261D126" w14:textId="77777777">
            <w:pPr>
              <w:widowControl/>
              <w:autoSpaceDE/>
              <w:autoSpaceDN/>
              <w:adjustRightInd/>
              <w:jc w:val="center"/>
              <w:rPr>
                <w:b/>
                <w:bCs/>
                <w:szCs w:val="20"/>
              </w:rPr>
            </w:pPr>
          </w:p>
          <w:p w:rsidR="00AD7610" w:rsidP="00504F85" w14:paraId="73953DC3" w14:textId="1DAA1E87">
            <w:pPr>
              <w:widowControl/>
              <w:autoSpaceDE/>
              <w:autoSpaceDN/>
              <w:adjustRightInd/>
              <w:jc w:val="center"/>
              <w:rPr>
                <w:b/>
                <w:bCs/>
                <w:szCs w:val="20"/>
              </w:rPr>
            </w:pPr>
            <w:r w:rsidRPr="005D3EDE">
              <w:rPr>
                <w:b/>
                <w:bCs/>
                <w:szCs w:val="20"/>
              </w:rPr>
              <w:t>Hourly Wage</w:t>
            </w:r>
          </w:p>
          <w:p w:rsidR="00AD7610" w:rsidP="00504F85" w14:paraId="3F6F4532" w14:textId="77777777">
            <w:pPr>
              <w:widowControl/>
              <w:autoSpaceDE/>
              <w:autoSpaceDN/>
              <w:adjustRightInd/>
              <w:jc w:val="center"/>
              <w:rPr>
                <w:b/>
                <w:bCs/>
                <w:szCs w:val="20"/>
              </w:rPr>
            </w:pPr>
            <w:r>
              <w:rPr>
                <w:b/>
                <w:bCs/>
                <w:szCs w:val="20"/>
              </w:rPr>
              <w:t>**</w:t>
            </w:r>
          </w:p>
          <w:p w:rsidR="00AD7610" w:rsidRPr="005D3EDE" w:rsidP="00504F85" w14:paraId="65002658" w14:textId="77777777">
            <w:pPr>
              <w:widowControl/>
              <w:autoSpaceDE/>
              <w:autoSpaceDN/>
              <w:adjustRightInd/>
              <w:jc w:val="center"/>
              <w:rPr>
                <w:b/>
                <w:bCs/>
                <w:szCs w:val="20"/>
              </w:rPr>
            </w:pPr>
          </w:p>
          <w:p w:rsidR="00AD7610" w:rsidRPr="00A46CC0" w:rsidP="00A46CC0" w14:paraId="51CBF388" w14:textId="77777777">
            <w:pPr>
              <w:widowControl/>
              <w:autoSpaceDE/>
              <w:autoSpaceDN/>
              <w:adjustRightInd/>
              <w:jc w:val="center"/>
              <w:rPr>
                <w:szCs w:val="20"/>
              </w:rPr>
            </w:pPr>
            <w:r w:rsidRPr="00A46CC0">
              <w:rPr>
                <w:szCs w:val="20"/>
              </w:rPr>
              <w:t>(e)</w:t>
            </w:r>
          </w:p>
        </w:tc>
        <w:tc>
          <w:tcPr>
            <w:tcW w:w="1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7610" w:rsidP="00504F85" w14:paraId="2F8D242A" w14:textId="77777777">
            <w:pPr>
              <w:widowControl/>
              <w:autoSpaceDE/>
              <w:autoSpaceDN/>
              <w:adjustRightInd/>
              <w:jc w:val="center"/>
              <w:rPr>
                <w:b/>
                <w:bCs/>
                <w:szCs w:val="20"/>
              </w:rPr>
            </w:pPr>
          </w:p>
          <w:p w:rsidR="00AD7610" w:rsidP="00504F85" w14:paraId="184A8206" w14:textId="4C107CB6">
            <w:pPr>
              <w:widowControl/>
              <w:autoSpaceDE/>
              <w:autoSpaceDN/>
              <w:adjustRightInd/>
              <w:jc w:val="center"/>
              <w:rPr>
                <w:b/>
                <w:bCs/>
                <w:szCs w:val="20"/>
              </w:rPr>
            </w:pPr>
            <w:r w:rsidRPr="005D3EDE">
              <w:rPr>
                <w:b/>
                <w:bCs/>
                <w:szCs w:val="20"/>
              </w:rPr>
              <w:t>Total Cost Estimate</w:t>
            </w:r>
          </w:p>
          <w:p w:rsidR="00AD7610" w:rsidP="00504F85" w14:paraId="07AB15AC" w14:textId="77777777">
            <w:pPr>
              <w:widowControl/>
              <w:autoSpaceDE/>
              <w:autoSpaceDN/>
              <w:adjustRightInd/>
              <w:jc w:val="center"/>
              <w:rPr>
                <w:b/>
                <w:bCs/>
                <w:szCs w:val="20"/>
              </w:rPr>
            </w:pPr>
          </w:p>
          <w:p w:rsidR="00AD7610" w:rsidRPr="005D3EDE" w:rsidP="00504F85" w14:paraId="165A68F2" w14:textId="77777777">
            <w:pPr>
              <w:widowControl/>
              <w:autoSpaceDE/>
              <w:autoSpaceDN/>
              <w:adjustRightInd/>
              <w:jc w:val="center"/>
              <w:rPr>
                <w:b/>
                <w:bCs/>
                <w:szCs w:val="20"/>
              </w:rPr>
            </w:pPr>
          </w:p>
          <w:p w:rsidR="00AD7610" w:rsidRPr="00A46CC0" w:rsidP="00A46CC0" w14:paraId="496B0E5F" w14:textId="1056BB7F">
            <w:pPr>
              <w:widowControl/>
              <w:autoSpaceDE/>
              <w:autoSpaceDN/>
              <w:adjustRightInd/>
              <w:jc w:val="center"/>
              <w:rPr>
                <w:szCs w:val="20"/>
              </w:rPr>
            </w:pPr>
            <w:r w:rsidRPr="00A46CC0">
              <w:rPr>
                <w:szCs w:val="20"/>
              </w:rPr>
              <w:t>(f</w:t>
            </w:r>
            <w:r>
              <w:rPr>
                <w:szCs w:val="20"/>
              </w:rPr>
              <w:t xml:space="preserve"> </w:t>
            </w:r>
            <w:r w:rsidRPr="00A46CC0">
              <w:rPr>
                <w:szCs w:val="20"/>
              </w:rPr>
              <w:t>= d x e )</w:t>
            </w:r>
          </w:p>
        </w:tc>
      </w:tr>
      <w:tr w14:paraId="5AB27D14"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4585A2FF" w14:textId="26AA6CD9">
            <w:pPr>
              <w:widowControl/>
              <w:autoSpaceDE/>
              <w:autoSpaceDN/>
              <w:adjustRightInd/>
              <w:ind w:right="48"/>
              <w:jc w:val="center"/>
              <w:rPr>
                <w:color w:val="000000"/>
                <w:szCs w:val="20"/>
              </w:rPr>
            </w:pPr>
            <w:r>
              <w:rPr>
                <w:color w:val="000000"/>
                <w:szCs w:val="20"/>
              </w:rPr>
              <w:t>1</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46CC0" w14:paraId="32075E69" w14:textId="703893A9">
            <w:pPr>
              <w:widowControl/>
              <w:autoSpaceDE/>
              <w:autoSpaceDN/>
              <w:adjustRightInd/>
              <w:rPr>
                <w:color w:val="000000"/>
                <w:szCs w:val="20"/>
              </w:rPr>
            </w:pPr>
            <w:r w:rsidRPr="00122DAE">
              <w:rPr>
                <w:color w:val="000000"/>
                <w:szCs w:val="20"/>
              </w:rPr>
              <w:t>ASCs</w:t>
            </w:r>
            <w:r>
              <w:rPr>
                <w:color w:val="000000"/>
                <w:szCs w:val="20"/>
              </w:rPr>
              <w:t xml:space="preserve"> - </w:t>
            </w:r>
            <w:r w:rsidRPr="00122DAE">
              <w:rPr>
                <w:color w:val="000000"/>
                <w:szCs w:val="20"/>
              </w:rPr>
              <w:t>Non-TJC Accredited</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46CC0" w14:paraId="5FBDBFE1" w14:textId="77777777">
            <w:pPr>
              <w:widowControl/>
              <w:autoSpaceDE/>
              <w:autoSpaceDN/>
              <w:adjustRightInd/>
              <w:rPr>
                <w:color w:val="000000"/>
                <w:sz w:val="18"/>
                <w:szCs w:val="18"/>
              </w:rPr>
            </w:pPr>
            <w:r w:rsidRPr="00FE183A">
              <w:rPr>
                <w:color w:val="000000"/>
                <w:sz w:val="18"/>
                <w:szCs w:val="18"/>
              </w:rPr>
              <w:t>§ 416.54(b)</w:t>
            </w:r>
          </w:p>
        </w:tc>
        <w:tc>
          <w:tcPr>
            <w:tcW w:w="1433" w:type="dxa"/>
            <w:tcBorders>
              <w:top w:val="single" w:sz="4" w:space="0" w:color="auto"/>
              <w:left w:val="nil"/>
              <w:bottom w:val="single" w:sz="4" w:space="0" w:color="auto"/>
              <w:right w:val="single" w:sz="4" w:space="0" w:color="auto"/>
            </w:tcBorders>
            <w:noWrap/>
            <w:vAlign w:val="bottom"/>
            <w:hideMark/>
          </w:tcPr>
          <w:p w:rsidR="00AD7610" w:rsidRPr="00122DAE" w:rsidP="00A46CC0" w14:paraId="0D76FD7F" w14:textId="77777777">
            <w:pPr>
              <w:widowControl/>
              <w:autoSpaceDE/>
              <w:autoSpaceDN/>
              <w:adjustRightInd/>
              <w:jc w:val="center"/>
              <w:rPr>
                <w:szCs w:val="20"/>
              </w:rPr>
            </w:pPr>
            <w:r w:rsidRPr="00122DAE">
              <w:rPr>
                <w:szCs w:val="20"/>
              </w:rPr>
              <w:t>191</w:t>
            </w:r>
          </w:p>
        </w:tc>
        <w:tc>
          <w:tcPr>
            <w:tcW w:w="1169" w:type="dxa"/>
            <w:gridSpan w:val="2"/>
            <w:tcBorders>
              <w:top w:val="single" w:sz="4" w:space="0" w:color="auto"/>
              <w:left w:val="nil"/>
              <w:bottom w:val="single" w:sz="4" w:space="0" w:color="auto"/>
              <w:right w:val="single" w:sz="4" w:space="0" w:color="auto"/>
            </w:tcBorders>
            <w:noWrap/>
            <w:vAlign w:val="bottom"/>
            <w:hideMark/>
          </w:tcPr>
          <w:p w:rsidR="00AD7610" w:rsidRPr="00122DAE" w:rsidP="00A46CC0" w14:paraId="28E7B40D" w14:textId="77777777">
            <w:pPr>
              <w:widowControl/>
              <w:autoSpaceDE/>
              <w:autoSpaceDN/>
              <w:adjustRightInd/>
              <w:jc w:val="center"/>
              <w:rPr>
                <w:color w:val="000000"/>
                <w:szCs w:val="20"/>
              </w:rPr>
            </w:pPr>
            <w:r w:rsidRPr="00122DAE">
              <w:rPr>
                <w:color w:val="000000"/>
                <w:szCs w:val="20"/>
              </w:rPr>
              <w:t>191</w:t>
            </w:r>
          </w:p>
        </w:tc>
        <w:tc>
          <w:tcPr>
            <w:tcW w:w="1268" w:type="dxa"/>
            <w:gridSpan w:val="2"/>
            <w:tcBorders>
              <w:top w:val="single" w:sz="4" w:space="0" w:color="auto"/>
              <w:left w:val="nil"/>
              <w:bottom w:val="single" w:sz="4" w:space="0" w:color="auto"/>
              <w:right w:val="single" w:sz="4" w:space="0" w:color="auto"/>
            </w:tcBorders>
            <w:vAlign w:val="bottom"/>
            <w:hideMark/>
          </w:tcPr>
          <w:p w:rsidR="00AD7610" w:rsidRPr="00122DAE" w:rsidP="00A46CC0" w14:paraId="5BF31211" w14:textId="7A9C1086">
            <w:pPr>
              <w:widowControl/>
              <w:autoSpaceDE/>
              <w:autoSpaceDN/>
              <w:adjustRightInd/>
              <w:jc w:val="center"/>
              <w:rPr>
                <w:szCs w:val="20"/>
              </w:rPr>
            </w:pPr>
            <w:r w:rsidRPr="00122DAE">
              <w:rPr>
                <w:szCs w:val="20"/>
              </w:rPr>
              <w:t>9</w:t>
            </w:r>
          </w:p>
        </w:tc>
        <w:tc>
          <w:tcPr>
            <w:tcW w:w="1088" w:type="dxa"/>
            <w:gridSpan w:val="2"/>
            <w:tcBorders>
              <w:top w:val="single" w:sz="4" w:space="0" w:color="auto"/>
              <w:left w:val="nil"/>
              <w:bottom w:val="single" w:sz="4" w:space="0" w:color="auto"/>
              <w:right w:val="single" w:sz="4" w:space="0" w:color="auto"/>
            </w:tcBorders>
            <w:noWrap/>
            <w:vAlign w:val="bottom"/>
            <w:hideMark/>
          </w:tcPr>
          <w:p w:rsidR="00AD7610" w:rsidRPr="00122DAE" w:rsidP="00A46CC0" w14:paraId="1708EA9F" w14:textId="77777777">
            <w:pPr>
              <w:widowControl/>
              <w:autoSpaceDE/>
              <w:autoSpaceDN/>
              <w:adjustRightInd/>
              <w:jc w:val="center"/>
              <w:rPr>
                <w:color w:val="000000"/>
                <w:szCs w:val="20"/>
              </w:rPr>
            </w:pPr>
            <w:r w:rsidRPr="00122DAE">
              <w:rPr>
                <w:color w:val="000000"/>
                <w:szCs w:val="20"/>
              </w:rPr>
              <w:t>1,719</w:t>
            </w:r>
          </w:p>
        </w:tc>
        <w:tc>
          <w:tcPr>
            <w:tcW w:w="899" w:type="dxa"/>
            <w:gridSpan w:val="2"/>
            <w:tcBorders>
              <w:top w:val="single" w:sz="4" w:space="0" w:color="auto"/>
              <w:left w:val="nil"/>
              <w:bottom w:val="single" w:sz="4" w:space="0" w:color="auto"/>
              <w:right w:val="single" w:sz="4" w:space="0" w:color="auto"/>
            </w:tcBorders>
            <w:noWrap/>
            <w:vAlign w:val="center"/>
            <w:hideMark/>
          </w:tcPr>
          <w:p w:rsidR="00AD7610" w:rsidRPr="00122DAE" w:rsidP="00A46CC0" w14:paraId="4C1DA470"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single" w:sz="4" w:space="0" w:color="auto"/>
              <w:left w:val="nil"/>
              <w:bottom w:val="single" w:sz="4" w:space="0" w:color="auto"/>
              <w:right w:val="single" w:sz="4" w:space="0" w:color="auto"/>
            </w:tcBorders>
            <w:noWrap/>
            <w:vAlign w:val="bottom"/>
            <w:hideMark/>
          </w:tcPr>
          <w:p w:rsidR="00AD7610" w:rsidRPr="00122DAE" w:rsidP="00A46CC0" w14:paraId="283A2BE3" w14:textId="77777777">
            <w:pPr>
              <w:widowControl/>
              <w:autoSpaceDE/>
              <w:autoSpaceDN/>
              <w:adjustRightInd/>
              <w:jc w:val="right"/>
              <w:rPr>
                <w:color w:val="000000"/>
                <w:szCs w:val="20"/>
              </w:rPr>
            </w:pPr>
            <w:r w:rsidRPr="00122DAE">
              <w:rPr>
                <w:color w:val="000000"/>
                <w:szCs w:val="20"/>
              </w:rPr>
              <w:t>$551,799</w:t>
            </w:r>
          </w:p>
        </w:tc>
      </w:tr>
      <w:tr w14:paraId="40F26E56"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2B19B872" w14:textId="7E49F5EF">
            <w:pPr>
              <w:widowControl/>
              <w:autoSpaceDE/>
              <w:autoSpaceDN/>
              <w:adjustRightInd/>
              <w:ind w:right="48"/>
              <w:jc w:val="center"/>
              <w:rPr>
                <w:szCs w:val="20"/>
              </w:rPr>
            </w:pPr>
            <w:r>
              <w:rPr>
                <w:szCs w:val="20"/>
              </w:rPr>
              <w:t>2</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46CC0" w14:paraId="0C754B66" w14:textId="32CAD9FE">
            <w:pPr>
              <w:widowControl/>
              <w:autoSpaceDE/>
              <w:autoSpaceDN/>
              <w:adjustRightInd/>
              <w:rPr>
                <w:szCs w:val="20"/>
              </w:rPr>
            </w:pPr>
            <w:r w:rsidRPr="00122DAE">
              <w:rPr>
                <w:szCs w:val="20"/>
              </w:rPr>
              <w:t>CAHs</w:t>
            </w:r>
            <w:r>
              <w:rPr>
                <w:szCs w:val="20"/>
              </w:rPr>
              <w:t xml:space="preserve"> -</w:t>
            </w:r>
            <w:r w:rsidRPr="00122DAE">
              <w:rPr>
                <w:szCs w:val="20"/>
              </w:rPr>
              <w:t xml:space="preserve"> Non-TJC Accredited</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46CC0" w14:paraId="0ADA4773" w14:textId="77777777">
            <w:pPr>
              <w:widowControl/>
              <w:autoSpaceDE/>
              <w:autoSpaceDN/>
              <w:adjustRightInd/>
              <w:rPr>
                <w:color w:val="000000"/>
                <w:sz w:val="18"/>
                <w:szCs w:val="18"/>
              </w:rPr>
            </w:pPr>
            <w:r w:rsidRPr="00FE183A">
              <w:rPr>
                <w:color w:val="000000"/>
                <w:sz w:val="18"/>
                <w:szCs w:val="18"/>
              </w:rPr>
              <w:t>§ 485.625(b)</w:t>
            </w:r>
          </w:p>
        </w:tc>
        <w:tc>
          <w:tcPr>
            <w:tcW w:w="1433" w:type="dxa"/>
            <w:tcBorders>
              <w:top w:val="nil"/>
              <w:left w:val="nil"/>
              <w:bottom w:val="single" w:sz="4" w:space="0" w:color="auto"/>
              <w:right w:val="single" w:sz="4" w:space="0" w:color="auto"/>
            </w:tcBorders>
            <w:noWrap/>
            <w:vAlign w:val="bottom"/>
            <w:hideMark/>
          </w:tcPr>
          <w:p w:rsidR="00AD7610" w:rsidRPr="00122DAE" w:rsidP="00A46CC0" w14:paraId="72F3AD83" w14:textId="77777777">
            <w:pPr>
              <w:widowControl/>
              <w:autoSpaceDE/>
              <w:autoSpaceDN/>
              <w:adjustRightInd/>
              <w:jc w:val="center"/>
              <w:rPr>
                <w:szCs w:val="20"/>
              </w:rPr>
            </w:pPr>
            <w:r w:rsidRPr="00122DAE">
              <w:rPr>
                <w:szCs w:val="20"/>
              </w:rPr>
              <w:t>14</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46CC0" w14:paraId="09547746" w14:textId="77777777">
            <w:pPr>
              <w:widowControl/>
              <w:autoSpaceDE/>
              <w:autoSpaceDN/>
              <w:adjustRightInd/>
              <w:jc w:val="center"/>
              <w:rPr>
                <w:color w:val="000000"/>
                <w:szCs w:val="20"/>
              </w:rPr>
            </w:pPr>
            <w:r w:rsidRPr="00122DAE">
              <w:rPr>
                <w:color w:val="000000"/>
                <w:szCs w:val="20"/>
              </w:rPr>
              <w:t>14</w:t>
            </w:r>
          </w:p>
        </w:tc>
        <w:tc>
          <w:tcPr>
            <w:tcW w:w="1268" w:type="dxa"/>
            <w:gridSpan w:val="2"/>
            <w:tcBorders>
              <w:top w:val="nil"/>
              <w:left w:val="nil"/>
              <w:bottom w:val="single" w:sz="4" w:space="0" w:color="auto"/>
              <w:right w:val="single" w:sz="4" w:space="0" w:color="auto"/>
            </w:tcBorders>
            <w:vAlign w:val="bottom"/>
            <w:hideMark/>
          </w:tcPr>
          <w:p w:rsidR="00AD7610" w:rsidRPr="00122DAE" w:rsidP="00A46CC0" w14:paraId="08707580" w14:textId="0786E8D3">
            <w:pPr>
              <w:widowControl/>
              <w:autoSpaceDE/>
              <w:autoSpaceDN/>
              <w:adjustRightInd/>
              <w:jc w:val="center"/>
              <w:rPr>
                <w:szCs w:val="20"/>
              </w:rPr>
            </w:pPr>
            <w:r w:rsidRPr="00122DAE">
              <w:rPr>
                <w:szCs w:val="20"/>
              </w:rPr>
              <w:t>10</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46CC0" w14:paraId="5D586466" w14:textId="77777777">
            <w:pPr>
              <w:widowControl/>
              <w:autoSpaceDE/>
              <w:autoSpaceDN/>
              <w:adjustRightInd/>
              <w:jc w:val="center"/>
              <w:rPr>
                <w:color w:val="000000"/>
                <w:szCs w:val="20"/>
              </w:rPr>
            </w:pPr>
            <w:r w:rsidRPr="00122DAE">
              <w:rPr>
                <w:color w:val="000000"/>
                <w:szCs w:val="20"/>
              </w:rPr>
              <w:t>140</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46CC0" w14:paraId="23108009"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46CC0" w14:paraId="4B0CB116" w14:textId="77777777">
            <w:pPr>
              <w:widowControl/>
              <w:autoSpaceDE/>
              <w:autoSpaceDN/>
              <w:adjustRightInd/>
              <w:jc w:val="right"/>
              <w:rPr>
                <w:color w:val="000000"/>
                <w:szCs w:val="20"/>
              </w:rPr>
            </w:pPr>
            <w:r w:rsidRPr="00122DAE">
              <w:rPr>
                <w:color w:val="000000"/>
                <w:szCs w:val="20"/>
              </w:rPr>
              <w:t>$44,940</w:t>
            </w:r>
          </w:p>
        </w:tc>
      </w:tr>
      <w:tr w14:paraId="6D11F23A"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004C3361" w14:textId="77A17DED">
            <w:pPr>
              <w:widowControl/>
              <w:autoSpaceDE/>
              <w:autoSpaceDN/>
              <w:adjustRightInd/>
              <w:ind w:right="48"/>
              <w:jc w:val="center"/>
              <w:rPr>
                <w:szCs w:val="20"/>
              </w:rPr>
            </w:pPr>
            <w:r>
              <w:rPr>
                <w:szCs w:val="20"/>
              </w:rPr>
              <w:t>3</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46CC0" w14:paraId="2F7FAED0" w14:textId="14C5B8B8">
            <w:pPr>
              <w:widowControl/>
              <w:autoSpaceDE/>
              <w:autoSpaceDN/>
              <w:adjustRightInd/>
              <w:rPr>
                <w:szCs w:val="20"/>
              </w:rPr>
            </w:pPr>
            <w:r w:rsidRPr="00122DAE">
              <w:rPr>
                <w:szCs w:val="20"/>
              </w:rPr>
              <w:t>CAHs</w:t>
            </w:r>
            <w:r>
              <w:rPr>
                <w:szCs w:val="20"/>
              </w:rPr>
              <w:t xml:space="preserve"> -</w:t>
            </w:r>
            <w:r w:rsidRPr="00122DAE">
              <w:rPr>
                <w:szCs w:val="20"/>
              </w:rPr>
              <w:t xml:space="preserve"> TJC-Accredited</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46CC0" w14:paraId="506225AC" w14:textId="77777777">
            <w:pPr>
              <w:widowControl/>
              <w:autoSpaceDE/>
              <w:autoSpaceDN/>
              <w:adjustRightInd/>
              <w:rPr>
                <w:color w:val="000000"/>
                <w:sz w:val="18"/>
                <w:szCs w:val="18"/>
              </w:rPr>
            </w:pPr>
            <w:r w:rsidRPr="00FE183A">
              <w:rPr>
                <w:color w:val="000000"/>
                <w:sz w:val="18"/>
                <w:szCs w:val="18"/>
              </w:rPr>
              <w:t>§ 485.625(b)</w:t>
            </w:r>
          </w:p>
        </w:tc>
        <w:tc>
          <w:tcPr>
            <w:tcW w:w="1433" w:type="dxa"/>
            <w:tcBorders>
              <w:top w:val="nil"/>
              <w:left w:val="nil"/>
              <w:bottom w:val="single" w:sz="4" w:space="0" w:color="auto"/>
              <w:right w:val="single" w:sz="4" w:space="0" w:color="auto"/>
            </w:tcBorders>
            <w:noWrap/>
            <w:vAlign w:val="bottom"/>
            <w:hideMark/>
          </w:tcPr>
          <w:p w:rsidR="00AD7610" w:rsidRPr="00122DAE" w:rsidP="00A46CC0" w14:paraId="604C1598" w14:textId="77777777">
            <w:pPr>
              <w:widowControl/>
              <w:autoSpaceDE/>
              <w:autoSpaceDN/>
              <w:adjustRightInd/>
              <w:jc w:val="center"/>
              <w:rPr>
                <w:szCs w:val="20"/>
              </w:rPr>
            </w:pPr>
            <w:r w:rsidRPr="00122DAE">
              <w:rPr>
                <w:szCs w:val="20"/>
              </w:rPr>
              <w:t>4</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46CC0" w14:paraId="61E54773" w14:textId="77777777">
            <w:pPr>
              <w:widowControl/>
              <w:autoSpaceDE/>
              <w:autoSpaceDN/>
              <w:adjustRightInd/>
              <w:jc w:val="center"/>
              <w:rPr>
                <w:color w:val="000000"/>
                <w:szCs w:val="20"/>
              </w:rPr>
            </w:pPr>
            <w:r w:rsidRPr="00122DAE">
              <w:rPr>
                <w:color w:val="000000"/>
                <w:szCs w:val="20"/>
              </w:rPr>
              <w:t>4</w:t>
            </w:r>
          </w:p>
        </w:tc>
        <w:tc>
          <w:tcPr>
            <w:tcW w:w="1268" w:type="dxa"/>
            <w:gridSpan w:val="2"/>
            <w:tcBorders>
              <w:top w:val="nil"/>
              <w:left w:val="nil"/>
              <w:bottom w:val="single" w:sz="4" w:space="0" w:color="auto"/>
              <w:right w:val="single" w:sz="4" w:space="0" w:color="auto"/>
            </w:tcBorders>
            <w:vAlign w:val="bottom"/>
            <w:hideMark/>
          </w:tcPr>
          <w:p w:rsidR="00AD7610" w:rsidRPr="00122DAE" w:rsidP="00A46CC0" w14:paraId="33F301D0" w14:textId="3138205C">
            <w:pPr>
              <w:widowControl/>
              <w:autoSpaceDE/>
              <w:autoSpaceDN/>
              <w:adjustRightInd/>
              <w:jc w:val="center"/>
              <w:rPr>
                <w:szCs w:val="20"/>
              </w:rPr>
            </w:pPr>
            <w:r w:rsidRPr="00122DAE">
              <w:rPr>
                <w:szCs w:val="20"/>
              </w:rPr>
              <w:t>14</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46CC0" w14:paraId="0C9945C8" w14:textId="77777777">
            <w:pPr>
              <w:widowControl/>
              <w:autoSpaceDE/>
              <w:autoSpaceDN/>
              <w:adjustRightInd/>
              <w:jc w:val="center"/>
              <w:rPr>
                <w:color w:val="000000"/>
                <w:szCs w:val="20"/>
              </w:rPr>
            </w:pPr>
            <w:r w:rsidRPr="00122DAE">
              <w:rPr>
                <w:color w:val="000000"/>
                <w:szCs w:val="20"/>
              </w:rPr>
              <w:t>56</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46CC0" w14:paraId="6F16CC7D"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46CC0" w14:paraId="58AFD883" w14:textId="77777777">
            <w:pPr>
              <w:widowControl/>
              <w:autoSpaceDE/>
              <w:autoSpaceDN/>
              <w:adjustRightInd/>
              <w:jc w:val="right"/>
              <w:rPr>
                <w:color w:val="000000"/>
                <w:szCs w:val="20"/>
              </w:rPr>
            </w:pPr>
            <w:r w:rsidRPr="00122DAE">
              <w:rPr>
                <w:color w:val="000000"/>
                <w:szCs w:val="20"/>
              </w:rPr>
              <w:t>$17,976</w:t>
            </w:r>
          </w:p>
        </w:tc>
      </w:tr>
      <w:tr w14:paraId="770813A0"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0873208A" w14:textId="1E89FAFB">
            <w:pPr>
              <w:widowControl/>
              <w:autoSpaceDE/>
              <w:autoSpaceDN/>
              <w:adjustRightInd/>
              <w:ind w:right="48"/>
              <w:jc w:val="center"/>
              <w:rPr>
                <w:color w:val="000000"/>
                <w:szCs w:val="20"/>
              </w:rPr>
            </w:pPr>
            <w:r>
              <w:rPr>
                <w:color w:val="000000"/>
                <w:szCs w:val="20"/>
              </w:rPr>
              <w:t>4</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46CC0" w14:paraId="648696B3" w14:textId="065BBD20">
            <w:pPr>
              <w:widowControl/>
              <w:autoSpaceDE/>
              <w:autoSpaceDN/>
              <w:adjustRightInd/>
              <w:rPr>
                <w:color w:val="000000"/>
                <w:szCs w:val="20"/>
              </w:rPr>
            </w:pPr>
            <w:r w:rsidRPr="00122DAE">
              <w:rPr>
                <w:color w:val="000000"/>
                <w:szCs w:val="20"/>
              </w:rPr>
              <w:t>CMHCs</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46CC0" w14:paraId="1A504625" w14:textId="77777777">
            <w:pPr>
              <w:widowControl/>
              <w:autoSpaceDE/>
              <w:autoSpaceDN/>
              <w:adjustRightInd/>
              <w:rPr>
                <w:color w:val="000000"/>
                <w:sz w:val="18"/>
                <w:szCs w:val="18"/>
              </w:rPr>
            </w:pPr>
            <w:r w:rsidRPr="00FE183A">
              <w:rPr>
                <w:color w:val="000000"/>
                <w:sz w:val="18"/>
                <w:szCs w:val="18"/>
              </w:rPr>
              <w:t>§ 485.920(b)</w:t>
            </w:r>
          </w:p>
        </w:tc>
        <w:tc>
          <w:tcPr>
            <w:tcW w:w="1433" w:type="dxa"/>
            <w:tcBorders>
              <w:top w:val="nil"/>
              <w:left w:val="nil"/>
              <w:bottom w:val="single" w:sz="4" w:space="0" w:color="auto"/>
              <w:right w:val="single" w:sz="4" w:space="0" w:color="auto"/>
            </w:tcBorders>
            <w:noWrap/>
            <w:vAlign w:val="bottom"/>
            <w:hideMark/>
          </w:tcPr>
          <w:p w:rsidR="00AD7610" w:rsidRPr="00122DAE" w:rsidP="00A46CC0" w14:paraId="149FA940" w14:textId="77777777">
            <w:pPr>
              <w:widowControl/>
              <w:autoSpaceDE/>
              <w:autoSpaceDN/>
              <w:adjustRightInd/>
              <w:jc w:val="center"/>
              <w:rPr>
                <w:szCs w:val="20"/>
              </w:rPr>
            </w:pPr>
            <w:r w:rsidRPr="00122DAE">
              <w:rPr>
                <w:szCs w:val="20"/>
              </w:rPr>
              <w:t>9</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46CC0" w14:paraId="4C2CAB61" w14:textId="77777777">
            <w:pPr>
              <w:widowControl/>
              <w:autoSpaceDE/>
              <w:autoSpaceDN/>
              <w:adjustRightInd/>
              <w:jc w:val="center"/>
              <w:rPr>
                <w:color w:val="000000"/>
                <w:szCs w:val="20"/>
              </w:rPr>
            </w:pPr>
            <w:r w:rsidRPr="00122DAE">
              <w:rPr>
                <w:color w:val="000000"/>
                <w:szCs w:val="20"/>
              </w:rPr>
              <w:t>9</w:t>
            </w:r>
          </w:p>
        </w:tc>
        <w:tc>
          <w:tcPr>
            <w:tcW w:w="1268" w:type="dxa"/>
            <w:gridSpan w:val="2"/>
            <w:tcBorders>
              <w:top w:val="nil"/>
              <w:left w:val="nil"/>
              <w:bottom w:val="single" w:sz="4" w:space="0" w:color="auto"/>
              <w:right w:val="single" w:sz="4" w:space="0" w:color="auto"/>
            </w:tcBorders>
            <w:vAlign w:val="bottom"/>
            <w:hideMark/>
          </w:tcPr>
          <w:p w:rsidR="00AD7610" w:rsidRPr="00122DAE" w:rsidP="00A46CC0" w14:paraId="68B78BBE" w14:textId="735A0E1D">
            <w:pPr>
              <w:widowControl/>
              <w:autoSpaceDE/>
              <w:autoSpaceDN/>
              <w:adjustRightInd/>
              <w:jc w:val="center"/>
              <w:rPr>
                <w:szCs w:val="20"/>
              </w:rPr>
            </w:pPr>
            <w:r w:rsidRPr="00122DAE">
              <w:rPr>
                <w:szCs w:val="20"/>
              </w:rPr>
              <w:t>12</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46CC0" w14:paraId="6478DA41" w14:textId="77777777">
            <w:pPr>
              <w:widowControl/>
              <w:autoSpaceDE/>
              <w:autoSpaceDN/>
              <w:adjustRightInd/>
              <w:jc w:val="center"/>
              <w:rPr>
                <w:color w:val="000000"/>
                <w:szCs w:val="20"/>
              </w:rPr>
            </w:pPr>
            <w:r w:rsidRPr="00122DAE">
              <w:rPr>
                <w:color w:val="000000"/>
                <w:szCs w:val="20"/>
              </w:rPr>
              <w:t>108</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46CC0" w14:paraId="0B59CE7A"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46CC0" w14:paraId="0F52D027" w14:textId="77777777">
            <w:pPr>
              <w:widowControl/>
              <w:autoSpaceDE/>
              <w:autoSpaceDN/>
              <w:adjustRightInd/>
              <w:jc w:val="right"/>
              <w:rPr>
                <w:color w:val="000000"/>
                <w:szCs w:val="20"/>
              </w:rPr>
            </w:pPr>
            <w:r w:rsidRPr="00122DAE">
              <w:rPr>
                <w:color w:val="000000"/>
                <w:szCs w:val="20"/>
              </w:rPr>
              <w:t>$34,668</w:t>
            </w:r>
          </w:p>
        </w:tc>
      </w:tr>
      <w:tr w14:paraId="02CC6C31"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6A9FD185" w14:textId="1203CE7A">
            <w:pPr>
              <w:widowControl/>
              <w:autoSpaceDE/>
              <w:autoSpaceDN/>
              <w:adjustRightInd/>
              <w:ind w:right="48"/>
              <w:jc w:val="center"/>
              <w:rPr>
                <w:szCs w:val="20"/>
              </w:rPr>
            </w:pPr>
            <w:r>
              <w:rPr>
                <w:color w:val="000000"/>
                <w:szCs w:val="20"/>
              </w:rPr>
              <w:t>5</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D7610" w14:paraId="0BE5C874" w14:textId="43B3FA8D">
            <w:pPr>
              <w:widowControl/>
              <w:autoSpaceDE/>
              <w:autoSpaceDN/>
              <w:adjustRightInd/>
              <w:rPr>
                <w:szCs w:val="20"/>
              </w:rPr>
            </w:pPr>
            <w:r w:rsidRPr="00122DAE">
              <w:rPr>
                <w:szCs w:val="20"/>
              </w:rPr>
              <w:t>CORFs</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D7610" w14:paraId="0947D034" w14:textId="77777777">
            <w:pPr>
              <w:widowControl/>
              <w:autoSpaceDE/>
              <w:autoSpaceDN/>
              <w:adjustRightInd/>
              <w:rPr>
                <w:color w:val="000000"/>
                <w:sz w:val="18"/>
                <w:szCs w:val="18"/>
              </w:rPr>
            </w:pPr>
            <w:r w:rsidRPr="00FE183A">
              <w:rPr>
                <w:color w:val="000000"/>
                <w:sz w:val="18"/>
                <w:szCs w:val="18"/>
              </w:rPr>
              <w:t>§ 485.68(b)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230B0800" w14:textId="77777777">
            <w:pPr>
              <w:widowControl/>
              <w:autoSpaceDE/>
              <w:autoSpaceDN/>
              <w:adjustRightInd/>
              <w:jc w:val="center"/>
              <w:rPr>
                <w:szCs w:val="20"/>
              </w:rPr>
            </w:pPr>
            <w:r w:rsidRPr="00122DAE">
              <w:rPr>
                <w:szCs w:val="20"/>
              </w:rPr>
              <w:t>3</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793EA8CF" w14:textId="77777777">
            <w:pPr>
              <w:widowControl/>
              <w:autoSpaceDE/>
              <w:autoSpaceDN/>
              <w:adjustRightInd/>
              <w:jc w:val="center"/>
              <w:rPr>
                <w:color w:val="000000"/>
                <w:szCs w:val="20"/>
              </w:rPr>
            </w:pPr>
            <w:r w:rsidRPr="00122DAE">
              <w:rPr>
                <w:color w:val="000000"/>
                <w:szCs w:val="20"/>
              </w:rPr>
              <w:t>3</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73DF11F8" w14:textId="3E89E12A">
            <w:pPr>
              <w:widowControl/>
              <w:autoSpaceDE/>
              <w:autoSpaceDN/>
              <w:adjustRightInd/>
              <w:jc w:val="center"/>
              <w:rPr>
                <w:szCs w:val="20"/>
              </w:rPr>
            </w:pPr>
            <w:r w:rsidRPr="00122DAE">
              <w:rPr>
                <w:szCs w:val="20"/>
              </w:rPr>
              <w:t>9</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4FC15233" w14:textId="77777777">
            <w:pPr>
              <w:widowControl/>
              <w:autoSpaceDE/>
              <w:autoSpaceDN/>
              <w:adjustRightInd/>
              <w:jc w:val="center"/>
              <w:rPr>
                <w:color w:val="000000"/>
                <w:szCs w:val="20"/>
              </w:rPr>
            </w:pPr>
            <w:r w:rsidRPr="00122DAE">
              <w:rPr>
                <w:color w:val="000000"/>
                <w:szCs w:val="20"/>
              </w:rPr>
              <w:t>27</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467B5926"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0517F2DB" w14:textId="77777777">
            <w:pPr>
              <w:widowControl/>
              <w:autoSpaceDE/>
              <w:autoSpaceDN/>
              <w:adjustRightInd/>
              <w:jc w:val="right"/>
              <w:rPr>
                <w:color w:val="000000"/>
                <w:szCs w:val="20"/>
              </w:rPr>
            </w:pPr>
            <w:r w:rsidRPr="00122DAE">
              <w:rPr>
                <w:color w:val="000000"/>
                <w:szCs w:val="20"/>
              </w:rPr>
              <w:t>$8,667</w:t>
            </w:r>
          </w:p>
        </w:tc>
      </w:tr>
      <w:tr w14:paraId="458F49B3"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122DAE" w:rsidP="00AD7610" w14:paraId="78006ADD" w14:textId="3714DA90">
            <w:pPr>
              <w:widowControl/>
              <w:autoSpaceDE/>
              <w:autoSpaceDN/>
              <w:adjustRightInd/>
              <w:ind w:right="48"/>
              <w:jc w:val="center"/>
              <w:rPr>
                <w:color w:val="000000"/>
                <w:szCs w:val="20"/>
              </w:rPr>
            </w:pPr>
            <w:r>
              <w:rPr>
                <w:color w:val="000000"/>
                <w:szCs w:val="20"/>
              </w:rPr>
              <w:t>6</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775F42DA" w14:textId="1035B8D5">
            <w:pPr>
              <w:widowControl/>
              <w:autoSpaceDE/>
              <w:autoSpaceDN/>
              <w:adjustRightInd/>
              <w:rPr>
                <w:color w:val="000000"/>
                <w:szCs w:val="20"/>
              </w:rPr>
            </w:pPr>
            <w:r w:rsidRPr="00122DAE">
              <w:rPr>
                <w:color w:val="000000"/>
                <w:szCs w:val="20"/>
              </w:rPr>
              <w:t>ESRD Facilities</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1C94A81A" w14:textId="77777777">
            <w:pPr>
              <w:widowControl/>
              <w:autoSpaceDE/>
              <w:autoSpaceDN/>
              <w:adjustRightInd/>
              <w:rPr>
                <w:color w:val="000000"/>
                <w:sz w:val="18"/>
                <w:szCs w:val="18"/>
              </w:rPr>
            </w:pPr>
            <w:r w:rsidRPr="00FE183A">
              <w:rPr>
                <w:color w:val="000000"/>
                <w:sz w:val="18"/>
                <w:szCs w:val="18"/>
              </w:rPr>
              <w:t>§ 494.62(b)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0E019E14" w14:textId="77777777">
            <w:pPr>
              <w:widowControl/>
              <w:autoSpaceDE/>
              <w:autoSpaceDN/>
              <w:adjustRightInd/>
              <w:jc w:val="center"/>
              <w:rPr>
                <w:szCs w:val="20"/>
              </w:rPr>
            </w:pPr>
            <w:r w:rsidRPr="00122DAE">
              <w:rPr>
                <w:szCs w:val="20"/>
              </w:rPr>
              <w:t>102</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6F1A1451" w14:textId="77777777">
            <w:pPr>
              <w:widowControl/>
              <w:autoSpaceDE/>
              <w:autoSpaceDN/>
              <w:adjustRightInd/>
              <w:jc w:val="center"/>
              <w:rPr>
                <w:color w:val="000000"/>
                <w:szCs w:val="20"/>
              </w:rPr>
            </w:pPr>
            <w:r w:rsidRPr="00122DAE">
              <w:rPr>
                <w:color w:val="000000"/>
                <w:szCs w:val="20"/>
              </w:rPr>
              <w:t>102</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568A6A53" w14:textId="035942A0">
            <w:pPr>
              <w:widowControl/>
              <w:autoSpaceDE/>
              <w:autoSpaceDN/>
              <w:adjustRightInd/>
              <w:jc w:val="center"/>
              <w:rPr>
                <w:szCs w:val="20"/>
              </w:rPr>
            </w:pPr>
            <w:r w:rsidRPr="00122DAE">
              <w:rPr>
                <w:szCs w:val="20"/>
              </w:rPr>
              <w:t>10</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171DD895" w14:textId="77777777">
            <w:pPr>
              <w:widowControl/>
              <w:autoSpaceDE/>
              <w:autoSpaceDN/>
              <w:adjustRightInd/>
              <w:jc w:val="center"/>
              <w:rPr>
                <w:color w:val="000000"/>
                <w:szCs w:val="20"/>
              </w:rPr>
            </w:pPr>
            <w:r w:rsidRPr="00122DAE">
              <w:rPr>
                <w:color w:val="000000"/>
                <w:szCs w:val="20"/>
              </w:rPr>
              <w:t>1,020</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6F0A8B37"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028BBAF0" w14:textId="77777777">
            <w:pPr>
              <w:widowControl/>
              <w:autoSpaceDE/>
              <w:autoSpaceDN/>
              <w:adjustRightInd/>
              <w:jc w:val="right"/>
              <w:rPr>
                <w:color w:val="000000"/>
                <w:szCs w:val="20"/>
              </w:rPr>
            </w:pPr>
            <w:r w:rsidRPr="00122DAE">
              <w:rPr>
                <w:color w:val="000000"/>
                <w:szCs w:val="20"/>
              </w:rPr>
              <w:t>$327,420</w:t>
            </w:r>
          </w:p>
        </w:tc>
      </w:tr>
      <w:tr w14:paraId="0C85B619"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122DAE" w:rsidP="00AD7610" w14:paraId="6E545F77" w14:textId="3611A1A7">
            <w:pPr>
              <w:widowControl/>
              <w:autoSpaceDE/>
              <w:autoSpaceDN/>
              <w:adjustRightInd/>
              <w:ind w:right="48"/>
              <w:jc w:val="center"/>
              <w:rPr>
                <w:color w:val="000000"/>
                <w:szCs w:val="20"/>
              </w:rPr>
            </w:pPr>
            <w:r>
              <w:rPr>
                <w:color w:val="000000"/>
                <w:szCs w:val="20"/>
              </w:rPr>
              <w:t>7</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250B40EE" w14:textId="431095EC">
            <w:pPr>
              <w:widowControl/>
              <w:autoSpaceDE/>
              <w:autoSpaceDN/>
              <w:adjustRightInd/>
              <w:rPr>
                <w:color w:val="000000"/>
                <w:szCs w:val="20"/>
              </w:rPr>
            </w:pPr>
            <w:r w:rsidRPr="00122DAE">
              <w:rPr>
                <w:color w:val="000000"/>
                <w:szCs w:val="20"/>
              </w:rPr>
              <w:t>FQHCs</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3BC6C054" w14:textId="77777777">
            <w:pPr>
              <w:widowControl/>
              <w:autoSpaceDE/>
              <w:autoSpaceDN/>
              <w:adjustRightInd/>
              <w:rPr>
                <w:color w:val="000000"/>
                <w:sz w:val="18"/>
                <w:szCs w:val="18"/>
              </w:rPr>
            </w:pPr>
            <w:r w:rsidRPr="00FE183A">
              <w:rPr>
                <w:color w:val="000000"/>
                <w:sz w:val="18"/>
                <w:szCs w:val="18"/>
              </w:rPr>
              <w:t>§ 491.12(b)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52CD367F" w14:textId="77777777">
            <w:pPr>
              <w:widowControl/>
              <w:autoSpaceDE/>
              <w:autoSpaceDN/>
              <w:adjustRightInd/>
              <w:jc w:val="center"/>
              <w:rPr>
                <w:szCs w:val="20"/>
              </w:rPr>
            </w:pPr>
            <w:r w:rsidRPr="00122DAE">
              <w:rPr>
                <w:szCs w:val="20"/>
              </w:rPr>
              <w:t>771</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25B09A21" w14:textId="77777777">
            <w:pPr>
              <w:widowControl/>
              <w:autoSpaceDE/>
              <w:autoSpaceDN/>
              <w:adjustRightInd/>
              <w:jc w:val="center"/>
              <w:rPr>
                <w:color w:val="000000"/>
                <w:szCs w:val="20"/>
              </w:rPr>
            </w:pPr>
            <w:r w:rsidRPr="00122DAE">
              <w:rPr>
                <w:color w:val="000000"/>
                <w:szCs w:val="20"/>
              </w:rPr>
              <w:t>771</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03159E5D" w14:textId="3A938755">
            <w:pPr>
              <w:widowControl/>
              <w:autoSpaceDE/>
              <w:autoSpaceDN/>
              <w:adjustRightInd/>
              <w:jc w:val="center"/>
              <w:rPr>
                <w:szCs w:val="20"/>
              </w:rPr>
            </w:pPr>
            <w:r w:rsidRPr="00122DAE">
              <w:rPr>
                <w:szCs w:val="20"/>
              </w:rPr>
              <w:t>8</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6F68F600" w14:textId="77777777">
            <w:pPr>
              <w:widowControl/>
              <w:autoSpaceDE/>
              <w:autoSpaceDN/>
              <w:adjustRightInd/>
              <w:jc w:val="center"/>
              <w:rPr>
                <w:color w:val="000000"/>
                <w:szCs w:val="20"/>
              </w:rPr>
            </w:pPr>
            <w:r w:rsidRPr="00122DAE">
              <w:rPr>
                <w:color w:val="000000"/>
                <w:szCs w:val="20"/>
              </w:rPr>
              <w:t>6,168</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28B26241"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5E701295" w14:textId="77777777">
            <w:pPr>
              <w:widowControl/>
              <w:autoSpaceDE/>
              <w:autoSpaceDN/>
              <w:adjustRightInd/>
              <w:jc w:val="right"/>
              <w:rPr>
                <w:color w:val="000000"/>
                <w:szCs w:val="20"/>
              </w:rPr>
            </w:pPr>
            <w:r w:rsidRPr="00122DAE">
              <w:rPr>
                <w:color w:val="000000"/>
                <w:szCs w:val="20"/>
              </w:rPr>
              <w:t>$1,979,928</w:t>
            </w:r>
          </w:p>
        </w:tc>
      </w:tr>
      <w:tr w14:paraId="159444F1"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122DAE" w:rsidP="00AD7610" w14:paraId="516DAD62" w14:textId="5D734740">
            <w:pPr>
              <w:widowControl/>
              <w:autoSpaceDE/>
              <w:autoSpaceDN/>
              <w:adjustRightInd/>
              <w:ind w:right="48"/>
              <w:jc w:val="center"/>
              <w:rPr>
                <w:szCs w:val="20"/>
              </w:rPr>
            </w:pPr>
            <w:r>
              <w:rPr>
                <w:color w:val="000000"/>
                <w:szCs w:val="20"/>
              </w:rPr>
              <w:t>8</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00A79A01" w14:textId="35DF452D">
            <w:pPr>
              <w:widowControl/>
              <w:autoSpaceDE/>
              <w:autoSpaceDN/>
              <w:adjustRightInd/>
              <w:rPr>
                <w:szCs w:val="20"/>
              </w:rPr>
            </w:pPr>
            <w:r w:rsidRPr="00122DAE">
              <w:rPr>
                <w:szCs w:val="20"/>
              </w:rPr>
              <w:t>HHAs</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38CBBF54" w14:textId="77777777">
            <w:pPr>
              <w:widowControl/>
              <w:autoSpaceDE/>
              <w:autoSpaceDN/>
              <w:adjustRightInd/>
              <w:rPr>
                <w:color w:val="000000"/>
                <w:sz w:val="18"/>
                <w:szCs w:val="18"/>
              </w:rPr>
            </w:pPr>
            <w:r w:rsidRPr="00FE183A">
              <w:rPr>
                <w:color w:val="000000"/>
                <w:sz w:val="18"/>
                <w:szCs w:val="18"/>
              </w:rPr>
              <w:t>§ 484.102(b)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7B77BE5F" w14:textId="77777777">
            <w:pPr>
              <w:widowControl/>
              <w:autoSpaceDE/>
              <w:autoSpaceDN/>
              <w:adjustRightInd/>
              <w:jc w:val="center"/>
              <w:rPr>
                <w:color w:val="000000"/>
                <w:szCs w:val="20"/>
              </w:rPr>
            </w:pPr>
            <w:r w:rsidRPr="00122DAE">
              <w:rPr>
                <w:color w:val="000000"/>
                <w:szCs w:val="20"/>
              </w:rPr>
              <w:t>361</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3BCF4B68" w14:textId="77777777">
            <w:pPr>
              <w:widowControl/>
              <w:autoSpaceDE/>
              <w:autoSpaceDN/>
              <w:adjustRightInd/>
              <w:jc w:val="center"/>
              <w:rPr>
                <w:color w:val="000000"/>
                <w:szCs w:val="20"/>
              </w:rPr>
            </w:pPr>
            <w:r w:rsidRPr="00122DAE">
              <w:rPr>
                <w:color w:val="000000"/>
                <w:szCs w:val="20"/>
              </w:rPr>
              <w:t>361</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1A8CA93A" w14:textId="53015DFD">
            <w:pPr>
              <w:widowControl/>
              <w:autoSpaceDE/>
              <w:autoSpaceDN/>
              <w:adjustRightInd/>
              <w:jc w:val="center"/>
              <w:rPr>
                <w:szCs w:val="20"/>
              </w:rPr>
            </w:pPr>
            <w:r w:rsidRPr="00122DAE">
              <w:rPr>
                <w:szCs w:val="20"/>
              </w:rPr>
              <w:t>18</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2144E4BF" w14:textId="77777777">
            <w:pPr>
              <w:widowControl/>
              <w:autoSpaceDE/>
              <w:autoSpaceDN/>
              <w:adjustRightInd/>
              <w:jc w:val="center"/>
              <w:rPr>
                <w:color w:val="000000"/>
                <w:szCs w:val="20"/>
              </w:rPr>
            </w:pPr>
            <w:r w:rsidRPr="00122DAE">
              <w:rPr>
                <w:color w:val="000000"/>
                <w:szCs w:val="20"/>
              </w:rPr>
              <w:t>6,498</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6B084295"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36EF4E1B" w14:textId="77777777">
            <w:pPr>
              <w:widowControl/>
              <w:autoSpaceDE/>
              <w:autoSpaceDN/>
              <w:adjustRightInd/>
              <w:jc w:val="right"/>
              <w:rPr>
                <w:color w:val="000000"/>
                <w:szCs w:val="20"/>
              </w:rPr>
            </w:pPr>
            <w:r w:rsidRPr="00122DAE">
              <w:rPr>
                <w:color w:val="000000"/>
                <w:szCs w:val="20"/>
              </w:rPr>
              <w:t>$2,085,858</w:t>
            </w:r>
          </w:p>
        </w:tc>
      </w:tr>
      <w:tr w14:paraId="5A64200A"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P="00AD7610" w14:paraId="050DFD71" w14:textId="2A815C4F">
            <w:pPr>
              <w:widowControl/>
              <w:autoSpaceDE/>
              <w:autoSpaceDN/>
              <w:adjustRightInd/>
              <w:ind w:right="48"/>
              <w:jc w:val="center"/>
              <w:rPr>
                <w:color w:val="000000"/>
                <w:szCs w:val="20"/>
              </w:rPr>
            </w:pPr>
            <w:r>
              <w:rPr>
                <w:color w:val="000000"/>
                <w:szCs w:val="20"/>
              </w:rPr>
              <w:t>9</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742590F0" w14:textId="77A160DD">
            <w:pPr>
              <w:widowControl/>
              <w:autoSpaceDE/>
              <w:autoSpaceDN/>
              <w:adjustRightInd/>
              <w:rPr>
                <w:color w:val="000000"/>
                <w:szCs w:val="20"/>
              </w:rPr>
            </w:pPr>
            <w:r>
              <w:rPr>
                <w:color w:val="000000"/>
                <w:szCs w:val="20"/>
              </w:rPr>
              <w:t>Hospices - Inpatient</w:t>
            </w:r>
            <w:r w:rsidRPr="003673CA">
              <w:rPr>
                <w:color w:val="000000"/>
                <w:szCs w:val="20"/>
              </w:rPr>
              <w:t xml:space="preserve"> </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60363AA6" w14:textId="77777777">
            <w:pPr>
              <w:widowControl/>
              <w:autoSpaceDE/>
              <w:autoSpaceDN/>
              <w:adjustRightInd/>
              <w:rPr>
                <w:color w:val="000000"/>
                <w:sz w:val="18"/>
                <w:szCs w:val="18"/>
              </w:rPr>
            </w:pPr>
            <w:r w:rsidRPr="00FE183A">
              <w:rPr>
                <w:color w:val="000000"/>
                <w:sz w:val="18"/>
                <w:szCs w:val="18"/>
              </w:rPr>
              <w:t>§ 418.113(b)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1B74EF10" w14:textId="77777777">
            <w:pPr>
              <w:widowControl/>
              <w:autoSpaceDE/>
              <w:autoSpaceDN/>
              <w:adjustRightInd/>
              <w:jc w:val="center"/>
              <w:rPr>
                <w:szCs w:val="20"/>
              </w:rPr>
            </w:pPr>
            <w:r w:rsidRPr="00122DAE">
              <w:rPr>
                <w:szCs w:val="20"/>
              </w:rPr>
              <w:t>0</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7003FCD8" w14:textId="77777777">
            <w:pPr>
              <w:widowControl/>
              <w:autoSpaceDE/>
              <w:autoSpaceDN/>
              <w:adjustRightInd/>
              <w:jc w:val="center"/>
              <w:rPr>
                <w:color w:val="000000"/>
                <w:szCs w:val="20"/>
              </w:rPr>
            </w:pPr>
            <w:r w:rsidRPr="00122DAE">
              <w:rPr>
                <w:color w:val="000000"/>
                <w:szCs w:val="20"/>
              </w:rPr>
              <w:t>0</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6407E7F9" w14:textId="551DA51B">
            <w:pPr>
              <w:widowControl/>
              <w:autoSpaceDE/>
              <w:autoSpaceDN/>
              <w:adjustRightInd/>
              <w:jc w:val="center"/>
              <w:rPr>
                <w:szCs w:val="20"/>
              </w:rPr>
            </w:pPr>
            <w:r w:rsidRPr="00122DAE">
              <w:rPr>
                <w:szCs w:val="20"/>
              </w:rPr>
              <w:t>8</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1E5B1EE4" w14:textId="77777777">
            <w:pPr>
              <w:widowControl/>
              <w:autoSpaceDE/>
              <w:autoSpaceDN/>
              <w:adjustRightInd/>
              <w:jc w:val="center"/>
              <w:rPr>
                <w:color w:val="000000"/>
                <w:szCs w:val="20"/>
              </w:rPr>
            </w:pPr>
            <w:r w:rsidRPr="00122DAE">
              <w:rPr>
                <w:color w:val="000000"/>
                <w:szCs w:val="20"/>
              </w:rPr>
              <w:t>0</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28BCC5BB"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6CFA538C" w14:textId="77777777">
            <w:pPr>
              <w:widowControl/>
              <w:autoSpaceDE/>
              <w:autoSpaceDN/>
              <w:adjustRightInd/>
              <w:jc w:val="right"/>
              <w:rPr>
                <w:color w:val="000000"/>
                <w:szCs w:val="20"/>
              </w:rPr>
            </w:pPr>
            <w:r w:rsidRPr="00122DAE">
              <w:rPr>
                <w:color w:val="000000"/>
                <w:szCs w:val="20"/>
              </w:rPr>
              <w:t>$0</w:t>
            </w:r>
          </w:p>
        </w:tc>
      </w:tr>
      <w:tr w14:paraId="0FBDE5A8"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3A1C85" w:rsidP="00AD7610" w14:paraId="6B1FBB6B" w14:textId="3FBF186B">
            <w:pPr>
              <w:widowControl/>
              <w:autoSpaceDE/>
              <w:autoSpaceDN/>
              <w:adjustRightInd/>
              <w:ind w:right="48"/>
              <w:jc w:val="center"/>
              <w:rPr>
                <w:color w:val="000000"/>
                <w:szCs w:val="20"/>
              </w:rPr>
            </w:pPr>
            <w:r w:rsidRPr="002266BF">
              <w:rPr>
                <w:color w:val="000000"/>
                <w:szCs w:val="20"/>
              </w:rPr>
              <w:t>1</w:t>
            </w:r>
            <w:r>
              <w:rPr>
                <w:color w:val="000000"/>
                <w:szCs w:val="20"/>
              </w:rPr>
              <w:t>0</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4E2DF4FA" w14:textId="04C094F9">
            <w:pPr>
              <w:widowControl/>
              <w:autoSpaceDE/>
              <w:autoSpaceDN/>
              <w:adjustRightInd/>
              <w:rPr>
                <w:color w:val="000000"/>
                <w:szCs w:val="20"/>
              </w:rPr>
            </w:pPr>
            <w:r w:rsidRPr="003A1C85">
              <w:rPr>
                <w:color w:val="000000"/>
                <w:szCs w:val="20"/>
              </w:rPr>
              <w:t>Hospices</w:t>
            </w:r>
            <w:r>
              <w:rPr>
                <w:color w:val="000000"/>
                <w:szCs w:val="20"/>
              </w:rPr>
              <w:t xml:space="preserve"> - </w:t>
            </w:r>
            <w:r w:rsidRPr="003A1C85">
              <w:rPr>
                <w:color w:val="000000"/>
                <w:szCs w:val="20"/>
              </w:rPr>
              <w:t>Outpatient</w:t>
            </w:r>
            <w:r>
              <w:rPr>
                <w:color w:val="000000"/>
                <w:szCs w:val="20"/>
              </w:rPr>
              <w:t xml:space="preserve"> </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541BF063" w14:textId="77777777">
            <w:pPr>
              <w:widowControl/>
              <w:autoSpaceDE/>
              <w:autoSpaceDN/>
              <w:adjustRightInd/>
              <w:rPr>
                <w:color w:val="000000"/>
                <w:sz w:val="18"/>
                <w:szCs w:val="18"/>
              </w:rPr>
            </w:pPr>
            <w:r w:rsidRPr="00FE183A">
              <w:rPr>
                <w:color w:val="000000"/>
                <w:sz w:val="18"/>
                <w:szCs w:val="18"/>
              </w:rPr>
              <w:t>§ 418.113(b)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4EE1F070" w14:textId="77777777">
            <w:pPr>
              <w:widowControl/>
              <w:autoSpaceDE/>
              <w:autoSpaceDN/>
              <w:adjustRightInd/>
              <w:jc w:val="center"/>
              <w:rPr>
                <w:szCs w:val="20"/>
              </w:rPr>
            </w:pPr>
            <w:r w:rsidRPr="00122DAE">
              <w:rPr>
                <w:szCs w:val="20"/>
              </w:rPr>
              <w:t>685</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4CD1D6CC" w14:textId="77777777">
            <w:pPr>
              <w:widowControl/>
              <w:autoSpaceDE/>
              <w:autoSpaceDN/>
              <w:adjustRightInd/>
              <w:jc w:val="center"/>
              <w:rPr>
                <w:color w:val="000000"/>
                <w:szCs w:val="20"/>
              </w:rPr>
            </w:pPr>
            <w:r w:rsidRPr="00122DAE">
              <w:rPr>
                <w:color w:val="000000"/>
                <w:szCs w:val="20"/>
              </w:rPr>
              <w:t>685</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292A2F58" w14:textId="201DA3DF">
            <w:pPr>
              <w:widowControl/>
              <w:autoSpaceDE/>
              <w:autoSpaceDN/>
              <w:adjustRightInd/>
              <w:jc w:val="center"/>
              <w:rPr>
                <w:szCs w:val="20"/>
              </w:rPr>
            </w:pPr>
            <w:r w:rsidRPr="00122DAE">
              <w:rPr>
                <w:szCs w:val="20"/>
              </w:rPr>
              <w:t>9</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526717A3" w14:textId="77777777">
            <w:pPr>
              <w:widowControl/>
              <w:autoSpaceDE/>
              <w:autoSpaceDN/>
              <w:adjustRightInd/>
              <w:jc w:val="center"/>
              <w:rPr>
                <w:color w:val="000000"/>
                <w:szCs w:val="20"/>
              </w:rPr>
            </w:pPr>
            <w:r w:rsidRPr="00122DAE">
              <w:rPr>
                <w:color w:val="000000"/>
                <w:szCs w:val="20"/>
              </w:rPr>
              <w:t>6,165</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5802ABCB"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798573F1" w14:textId="77777777">
            <w:pPr>
              <w:widowControl/>
              <w:autoSpaceDE/>
              <w:autoSpaceDN/>
              <w:adjustRightInd/>
              <w:jc w:val="right"/>
              <w:rPr>
                <w:color w:val="000000"/>
                <w:szCs w:val="20"/>
              </w:rPr>
            </w:pPr>
            <w:r w:rsidRPr="00122DAE">
              <w:rPr>
                <w:color w:val="000000"/>
                <w:szCs w:val="20"/>
              </w:rPr>
              <w:t>$1,978,965</w:t>
            </w:r>
          </w:p>
        </w:tc>
      </w:tr>
      <w:tr w14:paraId="34FC0AD9"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122DAE" w:rsidP="00AD7610" w14:paraId="4EC5E6DC" w14:textId="211892EB">
            <w:pPr>
              <w:widowControl/>
              <w:autoSpaceDE/>
              <w:autoSpaceDN/>
              <w:adjustRightInd/>
              <w:ind w:right="48"/>
              <w:jc w:val="center"/>
              <w:rPr>
                <w:szCs w:val="20"/>
              </w:rPr>
            </w:pPr>
            <w:r w:rsidRPr="002266BF">
              <w:rPr>
                <w:color w:val="000000"/>
                <w:szCs w:val="20"/>
              </w:rPr>
              <w:t>1</w:t>
            </w:r>
            <w:r>
              <w:rPr>
                <w:color w:val="000000"/>
                <w:szCs w:val="20"/>
              </w:rPr>
              <w:t>1</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03201050" w14:textId="3B65E318">
            <w:pPr>
              <w:widowControl/>
              <w:autoSpaceDE/>
              <w:autoSpaceDN/>
              <w:adjustRightInd/>
              <w:rPr>
                <w:szCs w:val="20"/>
              </w:rPr>
            </w:pPr>
            <w:r w:rsidRPr="00122DAE">
              <w:rPr>
                <w:szCs w:val="20"/>
              </w:rPr>
              <w:t>Hospitals</w:t>
            </w:r>
            <w:r>
              <w:rPr>
                <w:szCs w:val="20"/>
              </w:rPr>
              <w:t xml:space="preserve"> -</w:t>
            </w:r>
            <w:r w:rsidRPr="00122DAE">
              <w:rPr>
                <w:szCs w:val="20"/>
              </w:rPr>
              <w:t xml:space="preserve"> Non-TJC Accredited</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001E7BF9" w14:textId="77777777">
            <w:pPr>
              <w:widowControl/>
              <w:autoSpaceDE/>
              <w:autoSpaceDN/>
              <w:adjustRightInd/>
              <w:rPr>
                <w:color w:val="000000"/>
                <w:sz w:val="18"/>
                <w:szCs w:val="18"/>
              </w:rPr>
            </w:pPr>
            <w:r w:rsidRPr="00FE183A">
              <w:rPr>
                <w:color w:val="000000"/>
                <w:sz w:val="18"/>
                <w:szCs w:val="18"/>
              </w:rPr>
              <w:t>§ 482.15(b)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2C86A7B3" w14:textId="77777777">
            <w:pPr>
              <w:widowControl/>
              <w:autoSpaceDE/>
              <w:autoSpaceDN/>
              <w:adjustRightInd/>
              <w:jc w:val="center"/>
              <w:rPr>
                <w:szCs w:val="20"/>
              </w:rPr>
            </w:pPr>
            <w:r w:rsidRPr="00122DAE">
              <w:rPr>
                <w:szCs w:val="20"/>
              </w:rPr>
              <w:t>45</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44DC36E4" w14:textId="77777777">
            <w:pPr>
              <w:widowControl/>
              <w:autoSpaceDE/>
              <w:autoSpaceDN/>
              <w:adjustRightInd/>
              <w:jc w:val="center"/>
              <w:rPr>
                <w:color w:val="000000"/>
                <w:szCs w:val="20"/>
              </w:rPr>
            </w:pPr>
            <w:r w:rsidRPr="00122DAE">
              <w:rPr>
                <w:color w:val="000000"/>
                <w:szCs w:val="20"/>
              </w:rPr>
              <w:t>45</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4F32B39A" w14:textId="30FC1035">
            <w:pPr>
              <w:widowControl/>
              <w:autoSpaceDE/>
              <w:autoSpaceDN/>
              <w:adjustRightInd/>
              <w:jc w:val="center"/>
              <w:rPr>
                <w:szCs w:val="20"/>
              </w:rPr>
            </w:pPr>
            <w:r w:rsidRPr="00122DAE">
              <w:rPr>
                <w:szCs w:val="20"/>
              </w:rPr>
              <w:t>33</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6720EE90" w14:textId="77777777">
            <w:pPr>
              <w:widowControl/>
              <w:autoSpaceDE/>
              <w:autoSpaceDN/>
              <w:adjustRightInd/>
              <w:jc w:val="center"/>
              <w:rPr>
                <w:color w:val="000000"/>
                <w:szCs w:val="20"/>
              </w:rPr>
            </w:pPr>
            <w:r w:rsidRPr="00122DAE">
              <w:rPr>
                <w:color w:val="000000"/>
                <w:szCs w:val="20"/>
              </w:rPr>
              <w:t>1,485</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756CFF6C"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718FCEC3" w14:textId="77777777">
            <w:pPr>
              <w:widowControl/>
              <w:autoSpaceDE/>
              <w:autoSpaceDN/>
              <w:adjustRightInd/>
              <w:jc w:val="right"/>
              <w:rPr>
                <w:color w:val="000000"/>
                <w:szCs w:val="20"/>
              </w:rPr>
            </w:pPr>
            <w:r w:rsidRPr="00122DAE">
              <w:rPr>
                <w:color w:val="000000"/>
                <w:szCs w:val="20"/>
              </w:rPr>
              <w:t>$476,685</w:t>
            </w:r>
          </w:p>
        </w:tc>
      </w:tr>
      <w:tr w14:paraId="57216038"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122DAE" w:rsidP="00AD7610" w14:paraId="57719D16" w14:textId="46C9173D">
            <w:pPr>
              <w:widowControl/>
              <w:autoSpaceDE/>
              <w:autoSpaceDN/>
              <w:adjustRightInd/>
              <w:ind w:right="48"/>
              <w:jc w:val="center"/>
              <w:rPr>
                <w:szCs w:val="20"/>
              </w:rPr>
            </w:pPr>
            <w:r w:rsidRPr="002266BF">
              <w:rPr>
                <w:color w:val="000000"/>
                <w:szCs w:val="20"/>
              </w:rPr>
              <w:t>1</w:t>
            </w:r>
            <w:r>
              <w:rPr>
                <w:color w:val="000000"/>
                <w:szCs w:val="20"/>
              </w:rPr>
              <w:t>2</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4438F1FC" w14:textId="19366948">
            <w:pPr>
              <w:widowControl/>
              <w:autoSpaceDE/>
              <w:autoSpaceDN/>
              <w:adjustRightInd/>
              <w:rPr>
                <w:szCs w:val="20"/>
              </w:rPr>
            </w:pPr>
            <w:r w:rsidRPr="00122DAE">
              <w:rPr>
                <w:szCs w:val="20"/>
              </w:rPr>
              <w:t>Hospitals</w:t>
            </w:r>
            <w:r>
              <w:rPr>
                <w:szCs w:val="20"/>
              </w:rPr>
              <w:t xml:space="preserve"> - </w:t>
            </w:r>
            <w:r w:rsidRPr="00122DAE">
              <w:rPr>
                <w:szCs w:val="20"/>
              </w:rPr>
              <w:t>TJC Accredited</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57A83181" w14:textId="77777777">
            <w:pPr>
              <w:widowControl/>
              <w:autoSpaceDE/>
              <w:autoSpaceDN/>
              <w:adjustRightInd/>
              <w:rPr>
                <w:color w:val="000000"/>
                <w:sz w:val="18"/>
                <w:szCs w:val="18"/>
              </w:rPr>
            </w:pPr>
            <w:r w:rsidRPr="00FE183A">
              <w:rPr>
                <w:color w:val="000000"/>
                <w:sz w:val="18"/>
                <w:szCs w:val="18"/>
              </w:rPr>
              <w:t>§ 482.15(b)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6A7FFD59" w14:textId="77777777">
            <w:pPr>
              <w:widowControl/>
              <w:autoSpaceDE/>
              <w:autoSpaceDN/>
              <w:adjustRightInd/>
              <w:jc w:val="center"/>
              <w:rPr>
                <w:color w:val="000000"/>
                <w:szCs w:val="20"/>
              </w:rPr>
            </w:pPr>
            <w:r w:rsidRPr="00122DAE">
              <w:rPr>
                <w:color w:val="000000"/>
                <w:szCs w:val="20"/>
              </w:rPr>
              <w:t>49</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4B273738" w14:textId="77777777">
            <w:pPr>
              <w:widowControl/>
              <w:autoSpaceDE/>
              <w:autoSpaceDN/>
              <w:adjustRightInd/>
              <w:jc w:val="center"/>
              <w:rPr>
                <w:color w:val="000000"/>
                <w:szCs w:val="20"/>
              </w:rPr>
            </w:pPr>
            <w:r w:rsidRPr="00122DAE">
              <w:rPr>
                <w:color w:val="000000"/>
                <w:szCs w:val="20"/>
              </w:rPr>
              <w:t>49</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3A7E2ACC" w14:textId="233F8F0C">
            <w:pPr>
              <w:widowControl/>
              <w:autoSpaceDE/>
              <w:autoSpaceDN/>
              <w:adjustRightInd/>
              <w:jc w:val="center"/>
              <w:rPr>
                <w:szCs w:val="20"/>
              </w:rPr>
            </w:pPr>
            <w:r w:rsidRPr="00122DAE">
              <w:rPr>
                <w:szCs w:val="20"/>
              </w:rPr>
              <w:t>17</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153CAA94" w14:textId="77777777">
            <w:pPr>
              <w:widowControl/>
              <w:autoSpaceDE/>
              <w:autoSpaceDN/>
              <w:adjustRightInd/>
              <w:jc w:val="center"/>
              <w:rPr>
                <w:color w:val="000000"/>
                <w:szCs w:val="20"/>
              </w:rPr>
            </w:pPr>
            <w:r w:rsidRPr="00122DAE">
              <w:rPr>
                <w:color w:val="000000"/>
                <w:szCs w:val="20"/>
              </w:rPr>
              <w:t>833</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5368BAC5"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73D1EA96" w14:textId="77777777">
            <w:pPr>
              <w:widowControl/>
              <w:autoSpaceDE/>
              <w:autoSpaceDN/>
              <w:adjustRightInd/>
              <w:jc w:val="right"/>
              <w:rPr>
                <w:color w:val="000000"/>
                <w:szCs w:val="20"/>
              </w:rPr>
            </w:pPr>
            <w:r w:rsidRPr="00122DAE">
              <w:rPr>
                <w:color w:val="000000"/>
                <w:szCs w:val="20"/>
              </w:rPr>
              <w:t>$267,393</w:t>
            </w:r>
          </w:p>
        </w:tc>
      </w:tr>
      <w:tr w14:paraId="7CC148BA"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122DAE" w:rsidP="00AD7610" w14:paraId="03A23C2A" w14:textId="2B8D5F25">
            <w:pPr>
              <w:widowControl/>
              <w:autoSpaceDE/>
              <w:autoSpaceDN/>
              <w:adjustRightInd/>
              <w:ind w:right="48"/>
              <w:jc w:val="center"/>
              <w:rPr>
                <w:szCs w:val="20"/>
              </w:rPr>
            </w:pPr>
            <w:r w:rsidRPr="002266BF">
              <w:rPr>
                <w:color w:val="000000"/>
                <w:szCs w:val="20"/>
              </w:rPr>
              <w:t>1</w:t>
            </w:r>
            <w:r>
              <w:rPr>
                <w:color w:val="000000"/>
                <w:szCs w:val="20"/>
              </w:rPr>
              <w:t>3</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36753B8E" w14:textId="3CA43C18">
            <w:pPr>
              <w:widowControl/>
              <w:autoSpaceDE/>
              <w:autoSpaceDN/>
              <w:adjustRightInd/>
              <w:rPr>
                <w:szCs w:val="20"/>
              </w:rPr>
            </w:pPr>
            <w:r w:rsidRPr="00122DAE">
              <w:rPr>
                <w:szCs w:val="20"/>
              </w:rPr>
              <w:t>ICF/IIDs</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4A7A900D" w14:textId="77777777">
            <w:pPr>
              <w:widowControl/>
              <w:autoSpaceDE/>
              <w:autoSpaceDN/>
              <w:adjustRightInd/>
              <w:rPr>
                <w:color w:val="000000"/>
                <w:sz w:val="18"/>
                <w:szCs w:val="18"/>
              </w:rPr>
            </w:pPr>
            <w:r w:rsidRPr="00FE183A">
              <w:rPr>
                <w:color w:val="000000"/>
                <w:sz w:val="18"/>
                <w:szCs w:val="18"/>
              </w:rPr>
              <w:t>§ 483.475(b)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5AF517EA" w14:textId="77777777">
            <w:pPr>
              <w:widowControl/>
              <w:autoSpaceDE/>
              <w:autoSpaceDN/>
              <w:adjustRightInd/>
              <w:jc w:val="center"/>
              <w:rPr>
                <w:szCs w:val="20"/>
              </w:rPr>
            </w:pPr>
            <w:r w:rsidRPr="00122DAE">
              <w:rPr>
                <w:szCs w:val="20"/>
              </w:rPr>
              <w:t>24</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07A35A02" w14:textId="77777777">
            <w:pPr>
              <w:widowControl/>
              <w:autoSpaceDE/>
              <w:autoSpaceDN/>
              <w:adjustRightInd/>
              <w:jc w:val="center"/>
              <w:rPr>
                <w:color w:val="000000"/>
                <w:szCs w:val="20"/>
              </w:rPr>
            </w:pPr>
            <w:r w:rsidRPr="00122DAE">
              <w:rPr>
                <w:color w:val="000000"/>
                <w:szCs w:val="20"/>
              </w:rPr>
              <w:t>24</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20C0A4B8" w14:textId="0301019F">
            <w:pPr>
              <w:widowControl/>
              <w:autoSpaceDE/>
              <w:autoSpaceDN/>
              <w:adjustRightInd/>
              <w:jc w:val="center"/>
              <w:rPr>
                <w:szCs w:val="20"/>
              </w:rPr>
            </w:pPr>
            <w:r w:rsidRPr="00122DAE">
              <w:rPr>
                <w:szCs w:val="20"/>
              </w:rPr>
              <w:t>9</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197BDDD8" w14:textId="77777777">
            <w:pPr>
              <w:widowControl/>
              <w:autoSpaceDE/>
              <w:autoSpaceDN/>
              <w:adjustRightInd/>
              <w:jc w:val="center"/>
              <w:rPr>
                <w:color w:val="000000"/>
                <w:szCs w:val="20"/>
              </w:rPr>
            </w:pPr>
            <w:r w:rsidRPr="00122DAE">
              <w:rPr>
                <w:color w:val="000000"/>
                <w:szCs w:val="20"/>
              </w:rPr>
              <w:t>216</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3FFA6762"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045CF21F" w14:textId="77777777">
            <w:pPr>
              <w:widowControl/>
              <w:autoSpaceDE/>
              <w:autoSpaceDN/>
              <w:adjustRightInd/>
              <w:jc w:val="right"/>
              <w:rPr>
                <w:color w:val="000000"/>
                <w:szCs w:val="20"/>
              </w:rPr>
            </w:pPr>
            <w:r w:rsidRPr="00122DAE">
              <w:rPr>
                <w:color w:val="000000"/>
                <w:szCs w:val="20"/>
              </w:rPr>
              <w:t>$69,336</w:t>
            </w:r>
          </w:p>
        </w:tc>
      </w:tr>
      <w:tr w14:paraId="23CA62D8"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RPr="00122DAE" w:rsidP="00AD7610" w14:paraId="274B01A7" w14:textId="6987DC11">
            <w:pPr>
              <w:widowControl/>
              <w:autoSpaceDE/>
              <w:autoSpaceDN/>
              <w:adjustRightInd/>
              <w:ind w:right="48"/>
              <w:jc w:val="center"/>
              <w:rPr>
                <w:color w:val="000000"/>
                <w:szCs w:val="20"/>
              </w:rPr>
            </w:pPr>
            <w:r w:rsidRPr="002266BF">
              <w:rPr>
                <w:color w:val="000000"/>
                <w:szCs w:val="20"/>
              </w:rPr>
              <w:t>1</w:t>
            </w:r>
            <w:r>
              <w:rPr>
                <w:color w:val="000000"/>
                <w:szCs w:val="20"/>
              </w:rPr>
              <w:t>4</w:t>
            </w:r>
          </w:p>
        </w:tc>
        <w:tc>
          <w:tcPr>
            <w:tcW w:w="3417" w:type="dxa"/>
            <w:tcBorders>
              <w:top w:val="nil"/>
              <w:left w:val="single" w:sz="8" w:space="0" w:color="auto"/>
              <w:bottom w:val="single" w:sz="4" w:space="0" w:color="auto"/>
              <w:right w:val="single" w:sz="4" w:space="0" w:color="auto"/>
            </w:tcBorders>
            <w:vAlign w:val="bottom"/>
            <w:hideMark/>
          </w:tcPr>
          <w:p w:rsidR="00AD7610" w:rsidRPr="00122DAE" w:rsidP="00AD7610" w14:paraId="1E1013FD" w14:textId="01EAC9C3">
            <w:pPr>
              <w:widowControl/>
              <w:autoSpaceDE/>
              <w:autoSpaceDN/>
              <w:adjustRightInd/>
              <w:rPr>
                <w:color w:val="000000"/>
                <w:szCs w:val="20"/>
              </w:rPr>
            </w:pPr>
            <w:r w:rsidRPr="00122DAE">
              <w:rPr>
                <w:color w:val="000000"/>
                <w:szCs w:val="20"/>
              </w:rPr>
              <w:t>OPOs</w:t>
            </w:r>
          </w:p>
        </w:tc>
        <w:tc>
          <w:tcPr>
            <w:tcW w:w="1174" w:type="dxa"/>
            <w:tcBorders>
              <w:top w:val="nil"/>
              <w:left w:val="nil"/>
              <w:bottom w:val="single" w:sz="4" w:space="0" w:color="auto"/>
              <w:right w:val="single" w:sz="4" w:space="0" w:color="auto"/>
            </w:tcBorders>
            <w:noWrap/>
            <w:vAlign w:val="bottom"/>
            <w:hideMark/>
          </w:tcPr>
          <w:p w:rsidR="00AD7610" w:rsidRPr="00122DAE" w:rsidP="00AD7610" w14:paraId="69DB93AB" w14:textId="77777777">
            <w:pPr>
              <w:widowControl/>
              <w:autoSpaceDE/>
              <w:autoSpaceDN/>
              <w:adjustRightInd/>
              <w:rPr>
                <w:color w:val="000000"/>
                <w:sz w:val="18"/>
                <w:szCs w:val="18"/>
              </w:rPr>
            </w:pPr>
            <w:r w:rsidRPr="00FE183A">
              <w:rPr>
                <w:color w:val="000000"/>
                <w:sz w:val="18"/>
                <w:szCs w:val="18"/>
              </w:rPr>
              <w:t>§ 486.360(b)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27BD0142" w14:textId="77777777">
            <w:pPr>
              <w:widowControl/>
              <w:autoSpaceDE/>
              <w:autoSpaceDN/>
              <w:adjustRightInd/>
              <w:jc w:val="center"/>
              <w:rPr>
                <w:szCs w:val="20"/>
              </w:rPr>
            </w:pPr>
            <w:r w:rsidRPr="00122DAE">
              <w:rPr>
                <w:szCs w:val="20"/>
              </w:rPr>
              <w:t>0</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18E5F74D" w14:textId="77777777">
            <w:pPr>
              <w:widowControl/>
              <w:autoSpaceDE/>
              <w:autoSpaceDN/>
              <w:adjustRightInd/>
              <w:jc w:val="center"/>
              <w:rPr>
                <w:color w:val="000000"/>
                <w:szCs w:val="20"/>
              </w:rPr>
            </w:pPr>
            <w:r w:rsidRPr="00122DAE">
              <w:rPr>
                <w:color w:val="000000"/>
                <w:szCs w:val="20"/>
              </w:rPr>
              <w:t>0</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494D12E6" w14:textId="2BE87E53">
            <w:pPr>
              <w:widowControl/>
              <w:autoSpaceDE/>
              <w:autoSpaceDN/>
              <w:adjustRightInd/>
              <w:jc w:val="center"/>
              <w:rPr>
                <w:szCs w:val="20"/>
              </w:rPr>
            </w:pPr>
            <w:r w:rsidRPr="00122DAE">
              <w:rPr>
                <w:szCs w:val="20"/>
              </w:rPr>
              <w:t>20</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2CDAD7CC" w14:textId="77777777">
            <w:pPr>
              <w:widowControl/>
              <w:autoSpaceDE/>
              <w:autoSpaceDN/>
              <w:adjustRightInd/>
              <w:jc w:val="center"/>
              <w:rPr>
                <w:color w:val="000000"/>
                <w:szCs w:val="20"/>
              </w:rPr>
            </w:pPr>
            <w:r w:rsidRPr="00122DAE">
              <w:rPr>
                <w:color w:val="000000"/>
                <w:szCs w:val="20"/>
              </w:rPr>
              <w:t>0</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62958992"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1DCB856D" w14:textId="77777777">
            <w:pPr>
              <w:widowControl/>
              <w:autoSpaceDE/>
              <w:autoSpaceDN/>
              <w:adjustRightInd/>
              <w:jc w:val="right"/>
              <w:rPr>
                <w:color w:val="000000"/>
                <w:szCs w:val="20"/>
              </w:rPr>
            </w:pPr>
            <w:r w:rsidRPr="00122DAE">
              <w:rPr>
                <w:color w:val="000000"/>
                <w:szCs w:val="20"/>
              </w:rPr>
              <w:t>$0</w:t>
            </w:r>
          </w:p>
        </w:tc>
      </w:tr>
      <w:tr w14:paraId="05FB626C" w14:textId="77777777" w:rsidTr="00577E9B">
        <w:tblPrEx>
          <w:tblW w:w="12426" w:type="dxa"/>
          <w:tblInd w:w="260" w:type="dxa"/>
          <w:tblLayout w:type="fixed"/>
          <w:tblLook w:val="04A0"/>
        </w:tblPrEx>
        <w:trPr>
          <w:trHeight w:val="318"/>
        </w:trPr>
        <w:tc>
          <w:tcPr>
            <w:tcW w:w="629" w:type="dxa"/>
            <w:tcBorders>
              <w:top w:val="nil"/>
              <w:left w:val="single" w:sz="4" w:space="0" w:color="auto"/>
              <w:bottom w:val="single" w:sz="4" w:space="0" w:color="auto"/>
              <w:right w:val="single" w:sz="4" w:space="0" w:color="auto"/>
            </w:tcBorders>
            <w:vAlign w:val="bottom"/>
          </w:tcPr>
          <w:p w:rsidR="00AD7610" w:rsidP="00AD7610" w14:paraId="0C3A15A4" w14:textId="1C1258E9">
            <w:pPr>
              <w:widowControl/>
              <w:autoSpaceDE/>
              <w:autoSpaceDN/>
              <w:adjustRightInd/>
              <w:ind w:right="48"/>
              <w:jc w:val="center"/>
              <w:rPr>
                <w:szCs w:val="20"/>
              </w:rPr>
            </w:pPr>
            <w:r w:rsidRPr="002266BF">
              <w:rPr>
                <w:color w:val="000000"/>
                <w:szCs w:val="20"/>
              </w:rPr>
              <w:t>1</w:t>
            </w:r>
            <w:r>
              <w:rPr>
                <w:color w:val="000000"/>
                <w:szCs w:val="20"/>
              </w:rPr>
              <w:t>5</w:t>
            </w:r>
          </w:p>
        </w:tc>
        <w:tc>
          <w:tcPr>
            <w:tcW w:w="3417" w:type="dxa"/>
            <w:tcBorders>
              <w:top w:val="nil"/>
              <w:left w:val="single" w:sz="8" w:space="0" w:color="auto"/>
              <w:bottom w:val="single" w:sz="4" w:space="0" w:color="auto"/>
              <w:right w:val="single" w:sz="4" w:space="0" w:color="auto"/>
            </w:tcBorders>
            <w:vAlign w:val="bottom"/>
          </w:tcPr>
          <w:p w:rsidR="00AD7610" w:rsidRPr="00122DAE" w:rsidP="00AD7610" w14:paraId="7DA1A278" w14:textId="038B25E9">
            <w:pPr>
              <w:widowControl/>
              <w:autoSpaceDE/>
              <w:autoSpaceDN/>
              <w:adjustRightInd/>
              <w:rPr>
                <w:color w:val="000000"/>
                <w:szCs w:val="20"/>
              </w:rPr>
            </w:pPr>
            <w:r>
              <w:rPr>
                <w:szCs w:val="20"/>
              </w:rPr>
              <w:t>“Organizations”</w:t>
            </w:r>
          </w:p>
        </w:tc>
        <w:tc>
          <w:tcPr>
            <w:tcW w:w="1174" w:type="dxa"/>
            <w:tcBorders>
              <w:top w:val="nil"/>
              <w:left w:val="nil"/>
              <w:bottom w:val="single" w:sz="4" w:space="0" w:color="auto"/>
              <w:right w:val="single" w:sz="4" w:space="0" w:color="auto"/>
            </w:tcBorders>
            <w:noWrap/>
            <w:vAlign w:val="bottom"/>
          </w:tcPr>
          <w:p w:rsidR="00AD7610" w:rsidRPr="00FE183A" w:rsidP="00AD7610" w14:paraId="3CE2D220" w14:textId="4D6AD9BE">
            <w:pPr>
              <w:widowControl/>
              <w:autoSpaceDE/>
              <w:autoSpaceDN/>
              <w:adjustRightInd/>
              <w:rPr>
                <w:color w:val="000000"/>
                <w:sz w:val="18"/>
                <w:szCs w:val="18"/>
              </w:rPr>
            </w:pPr>
            <w:r w:rsidRPr="00FE183A">
              <w:rPr>
                <w:color w:val="000000"/>
                <w:sz w:val="18"/>
                <w:szCs w:val="18"/>
              </w:rPr>
              <w:t>§ 485.727(b)</w:t>
            </w:r>
          </w:p>
        </w:tc>
        <w:tc>
          <w:tcPr>
            <w:tcW w:w="1433" w:type="dxa"/>
            <w:tcBorders>
              <w:top w:val="nil"/>
              <w:left w:val="nil"/>
              <w:bottom w:val="single" w:sz="4" w:space="0" w:color="auto"/>
              <w:right w:val="single" w:sz="4" w:space="0" w:color="auto"/>
            </w:tcBorders>
            <w:noWrap/>
            <w:vAlign w:val="bottom"/>
          </w:tcPr>
          <w:p w:rsidR="00AD7610" w:rsidRPr="00122DAE" w:rsidP="00AD7610" w14:paraId="64A3EB44" w14:textId="173030DB">
            <w:pPr>
              <w:widowControl/>
              <w:autoSpaceDE/>
              <w:autoSpaceDN/>
              <w:adjustRightInd/>
              <w:jc w:val="center"/>
              <w:rPr>
                <w:szCs w:val="20"/>
              </w:rPr>
            </w:pPr>
            <w:r w:rsidRPr="00122DAE">
              <w:rPr>
                <w:szCs w:val="20"/>
              </w:rPr>
              <w:t>60</w:t>
            </w:r>
          </w:p>
        </w:tc>
        <w:tc>
          <w:tcPr>
            <w:tcW w:w="1169" w:type="dxa"/>
            <w:gridSpan w:val="2"/>
            <w:tcBorders>
              <w:top w:val="nil"/>
              <w:left w:val="nil"/>
              <w:bottom w:val="single" w:sz="4" w:space="0" w:color="auto"/>
              <w:right w:val="single" w:sz="4" w:space="0" w:color="auto"/>
            </w:tcBorders>
            <w:noWrap/>
            <w:vAlign w:val="bottom"/>
          </w:tcPr>
          <w:p w:rsidR="00AD7610" w:rsidRPr="00122DAE" w:rsidP="00AD7610" w14:paraId="7F858124" w14:textId="2ECF0B70">
            <w:pPr>
              <w:widowControl/>
              <w:autoSpaceDE/>
              <w:autoSpaceDN/>
              <w:adjustRightInd/>
              <w:jc w:val="center"/>
              <w:rPr>
                <w:color w:val="000000"/>
                <w:szCs w:val="20"/>
              </w:rPr>
            </w:pPr>
            <w:r w:rsidRPr="00122DAE">
              <w:rPr>
                <w:color w:val="000000"/>
                <w:szCs w:val="20"/>
              </w:rPr>
              <w:t>60</w:t>
            </w:r>
          </w:p>
        </w:tc>
        <w:tc>
          <w:tcPr>
            <w:tcW w:w="1268" w:type="dxa"/>
            <w:gridSpan w:val="2"/>
            <w:tcBorders>
              <w:top w:val="nil"/>
              <w:left w:val="nil"/>
              <w:bottom w:val="single" w:sz="4" w:space="0" w:color="auto"/>
              <w:right w:val="single" w:sz="4" w:space="0" w:color="auto"/>
            </w:tcBorders>
            <w:vAlign w:val="bottom"/>
          </w:tcPr>
          <w:p w:rsidR="00AD7610" w:rsidRPr="00122DAE" w:rsidP="00AD7610" w14:paraId="3FB8426E" w14:textId="57F6A546">
            <w:pPr>
              <w:widowControl/>
              <w:autoSpaceDE/>
              <w:autoSpaceDN/>
              <w:adjustRightInd/>
              <w:jc w:val="center"/>
              <w:rPr>
                <w:szCs w:val="20"/>
              </w:rPr>
            </w:pPr>
            <w:r w:rsidRPr="00122DAE">
              <w:rPr>
                <w:szCs w:val="20"/>
              </w:rPr>
              <w:t>10</w:t>
            </w:r>
          </w:p>
        </w:tc>
        <w:tc>
          <w:tcPr>
            <w:tcW w:w="1088" w:type="dxa"/>
            <w:gridSpan w:val="2"/>
            <w:tcBorders>
              <w:top w:val="nil"/>
              <w:left w:val="nil"/>
              <w:bottom w:val="single" w:sz="4" w:space="0" w:color="auto"/>
              <w:right w:val="single" w:sz="4" w:space="0" w:color="auto"/>
            </w:tcBorders>
            <w:noWrap/>
            <w:vAlign w:val="bottom"/>
          </w:tcPr>
          <w:p w:rsidR="00AD7610" w:rsidRPr="00122DAE" w:rsidP="00AD7610" w14:paraId="1AD955A6" w14:textId="2C2F4340">
            <w:pPr>
              <w:widowControl/>
              <w:autoSpaceDE/>
              <w:autoSpaceDN/>
              <w:adjustRightInd/>
              <w:jc w:val="center"/>
              <w:rPr>
                <w:color w:val="000000"/>
                <w:szCs w:val="20"/>
              </w:rPr>
            </w:pPr>
            <w:r w:rsidRPr="00122DAE">
              <w:rPr>
                <w:color w:val="000000"/>
                <w:szCs w:val="20"/>
              </w:rPr>
              <w:t>600</w:t>
            </w:r>
          </w:p>
        </w:tc>
        <w:tc>
          <w:tcPr>
            <w:tcW w:w="899" w:type="dxa"/>
            <w:gridSpan w:val="2"/>
            <w:tcBorders>
              <w:top w:val="nil"/>
              <w:left w:val="nil"/>
              <w:bottom w:val="single" w:sz="4" w:space="0" w:color="auto"/>
              <w:right w:val="single" w:sz="4" w:space="0" w:color="auto"/>
            </w:tcBorders>
            <w:noWrap/>
            <w:vAlign w:val="center"/>
          </w:tcPr>
          <w:p w:rsidR="00AD7610" w:rsidRPr="00782FF7" w:rsidP="00AD7610" w14:paraId="1EB7730F" w14:textId="2C33B968">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tcPr>
          <w:p w:rsidR="00AD7610" w:rsidRPr="00122DAE" w:rsidP="00AD7610" w14:paraId="7EC5D14D" w14:textId="575C8560">
            <w:pPr>
              <w:widowControl/>
              <w:autoSpaceDE/>
              <w:autoSpaceDN/>
              <w:adjustRightInd/>
              <w:jc w:val="right"/>
              <w:rPr>
                <w:color w:val="000000"/>
                <w:szCs w:val="20"/>
              </w:rPr>
            </w:pPr>
            <w:r w:rsidRPr="00122DAE">
              <w:rPr>
                <w:color w:val="000000"/>
                <w:szCs w:val="20"/>
              </w:rPr>
              <w:t>$192,600</w:t>
            </w:r>
          </w:p>
        </w:tc>
      </w:tr>
      <w:tr w14:paraId="58ED0B93"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29A34BB4" w14:textId="06E9A93B">
            <w:pPr>
              <w:widowControl/>
              <w:autoSpaceDE/>
              <w:autoSpaceDN/>
              <w:adjustRightInd/>
              <w:ind w:right="48"/>
              <w:jc w:val="center"/>
              <w:rPr>
                <w:color w:val="000000"/>
                <w:szCs w:val="20"/>
              </w:rPr>
            </w:pPr>
            <w:r w:rsidRPr="002266BF">
              <w:rPr>
                <w:color w:val="000000"/>
                <w:szCs w:val="20"/>
              </w:rPr>
              <w:t>1</w:t>
            </w:r>
            <w:r>
              <w:rPr>
                <w:color w:val="000000"/>
                <w:szCs w:val="20"/>
              </w:rPr>
              <w:t>6</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D7610" w14:paraId="263EAD72" w14:textId="2B5CFEAF">
            <w:pPr>
              <w:widowControl/>
              <w:autoSpaceDE/>
              <w:autoSpaceDN/>
              <w:adjustRightInd/>
              <w:rPr>
                <w:color w:val="000000"/>
                <w:szCs w:val="20"/>
              </w:rPr>
            </w:pPr>
            <w:r w:rsidRPr="00122DAE">
              <w:rPr>
                <w:color w:val="000000"/>
                <w:szCs w:val="20"/>
              </w:rPr>
              <w:t xml:space="preserve">PACE </w:t>
            </w:r>
            <w:r>
              <w:rPr>
                <w:color w:val="000000"/>
                <w:szCs w:val="20"/>
              </w:rPr>
              <w:t>O</w:t>
            </w:r>
            <w:r w:rsidRPr="00122DAE">
              <w:rPr>
                <w:color w:val="000000"/>
                <w:szCs w:val="20"/>
              </w:rPr>
              <w:t>rganizations</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D7610" w14:paraId="4D90B200" w14:textId="77777777">
            <w:pPr>
              <w:widowControl/>
              <w:autoSpaceDE/>
              <w:autoSpaceDN/>
              <w:adjustRightInd/>
              <w:rPr>
                <w:color w:val="000000"/>
                <w:sz w:val="18"/>
                <w:szCs w:val="18"/>
              </w:rPr>
            </w:pPr>
            <w:r w:rsidRPr="00FE183A">
              <w:rPr>
                <w:color w:val="000000"/>
                <w:sz w:val="18"/>
                <w:szCs w:val="18"/>
              </w:rPr>
              <w:t>§ 460.84(b)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43097DB2" w14:textId="77777777">
            <w:pPr>
              <w:widowControl/>
              <w:autoSpaceDE/>
              <w:autoSpaceDN/>
              <w:adjustRightInd/>
              <w:jc w:val="center"/>
              <w:rPr>
                <w:szCs w:val="20"/>
              </w:rPr>
            </w:pPr>
            <w:r w:rsidRPr="00122DAE">
              <w:rPr>
                <w:szCs w:val="20"/>
              </w:rPr>
              <w:t>1</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5E27EB61" w14:textId="77777777">
            <w:pPr>
              <w:widowControl/>
              <w:autoSpaceDE/>
              <w:autoSpaceDN/>
              <w:adjustRightInd/>
              <w:jc w:val="center"/>
              <w:rPr>
                <w:color w:val="000000"/>
                <w:szCs w:val="20"/>
              </w:rPr>
            </w:pPr>
            <w:r w:rsidRPr="00122DAE">
              <w:rPr>
                <w:color w:val="000000"/>
                <w:szCs w:val="20"/>
              </w:rPr>
              <w:t>1</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3C7DE0A6" w14:textId="3567E126">
            <w:pPr>
              <w:widowControl/>
              <w:autoSpaceDE/>
              <w:autoSpaceDN/>
              <w:adjustRightInd/>
              <w:jc w:val="center"/>
              <w:rPr>
                <w:szCs w:val="20"/>
              </w:rPr>
            </w:pPr>
            <w:r w:rsidRPr="00122DAE">
              <w:rPr>
                <w:szCs w:val="20"/>
              </w:rPr>
              <w:t>12</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4420162C" w14:textId="77777777">
            <w:pPr>
              <w:widowControl/>
              <w:autoSpaceDE/>
              <w:autoSpaceDN/>
              <w:adjustRightInd/>
              <w:jc w:val="center"/>
              <w:rPr>
                <w:color w:val="000000"/>
                <w:szCs w:val="20"/>
              </w:rPr>
            </w:pPr>
            <w:r w:rsidRPr="00122DAE">
              <w:rPr>
                <w:color w:val="000000"/>
                <w:szCs w:val="20"/>
              </w:rPr>
              <w:t>12</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1DFF75F8"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6C5D78B8" w14:textId="77777777">
            <w:pPr>
              <w:widowControl/>
              <w:autoSpaceDE/>
              <w:autoSpaceDN/>
              <w:adjustRightInd/>
              <w:jc w:val="right"/>
              <w:rPr>
                <w:color w:val="000000"/>
                <w:szCs w:val="20"/>
              </w:rPr>
            </w:pPr>
            <w:r w:rsidRPr="00122DAE">
              <w:rPr>
                <w:color w:val="000000"/>
                <w:szCs w:val="20"/>
              </w:rPr>
              <w:t>$3,852</w:t>
            </w:r>
          </w:p>
        </w:tc>
      </w:tr>
      <w:tr w14:paraId="7DC0E7A8"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13D9511D" w14:textId="4D0DF3F4">
            <w:pPr>
              <w:widowControl/>
              <w:autoSpaceDE/>
              <w:autoSpaceDN/>
              <w:adjustRightInd/>
              <w:ind w:right="48"/>
              <w:jc w:val="center"/>
              <w:rPr>
                <w:color w:val="000000"/>
                <w:szCs w:val="20"/>
              </w:rPr>
            </w:pPr>
            <w:r w:rsidRPr="002266BF">
              <w:rPr>
                <w:color w:val="000000"/>
                <w:szCs w:val="20"/>
              </w:rPr>
              <w:t>1</w:t>
            </w:r>
            <w:r>
              <w:rPr>
                <w:color w:val="000000"/>
                <w:szCs w:val="20"/>
              </w:rPr>
              <w:t>7</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D7610" w14:paraId="18E1F36D" w14:textId="789C00D8">
            <w:pPr>
              <w:widowControl/>
              <w:autoSpaceDE/>
              <w:autoSpaceDN/>
              <w:adjustRightInd/>
              <w:rPr>
                <w:color w:val="000000"/>
                <w:szCs w:val="20"/>
              </w:rPr>
            </w:pPr>
            <w:r w:rsidRPr="00122DAE">
              <w:rPr>
                <w:color w:val="000000"/>
                <w:szCs w:val="20"/>
              </w:rPr>
              <w:t>PRTFs</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D7610" w14:paraId="2F445B17" w14:textId="77777777">
            <w:pPr>
              <w:widowControl/>
              <w:autoSpaceDE/>
              <w:autoSpaceDN/>
              <w:adjustRightInd/>
              <w:rPr>
                <w:color w:val="000000"/>
                <w:sz w:val="18"/>
                <w:szCs w:val="18"/>
              </w:rPr>
            </w:pPr>
            <w:r w:rsidRPr="00FE183A">
              <w:rPr>
                <w:color w:val="000000"/>
                <w:sz w:val="18"/>
                <w:szCs w:val="18"/>
              </w:rPr>
              <w:t>§ 441.184(b)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6C674790" w14:textId="77777777">
            <w:pPr>
              <w:widowControl/>
              <w:autoSpaceDE/>
              <w:autoSpaceDN/>
              <w:adjustRightInd/>
              <w:jc w:val="center"/>
              <w:rPr>
                <w:szCs w:val="20"/>
              </w:rPr>
            </w:pPr>
            <w:r w:rsidRPr="00122DAE">
              <w:rPr>
                <w:szCs w:val="20"/>
              </w:rPr>
              <w:t>9</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513140B8" w14:textId="77777777">
            <w:pPr>
              <w:widowControl/>
              <w:autoSpaceDE/>
              <w:autoSpaceDN/>
              <w:adjustRightInd/>
              <w:jc w:val="center"/>
              <w:rPr>
                <w:color w:val="000000"/>
                <w:szCs w:val="20"/>
              </w:rPr>
            </w:pPr>
            <w:r w:rsidRPr="00122DAE">
              <w:rPr>
                <w:color w:val="000000"/>
                <w:szCs w:val="20"/>
              </w:rPr>
              <w:t>9</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698CB1C7" w14:textId="7431AEEC">
            <w:pPr>
              <w:widowControl/>
              <w:autoSpaceDE/>
              <w:autoSpaceDN/>
              <w:adjustRightInd/>
              <w:jc w:val="center"/>
              <w:rPr>
                <w:szCs w:val="20"/>
              </w:rPr>
            </w:pPr>
            <w:r w:rsidRPr="00122DAE">
              <w:rPr>
                <w:szCs w:val="20"/>
              </w:rPr>
              <w:t>9</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558CFE73" w14:textId="77777777">
            <w:pPr>
              <w:widowControl/>
              <w:autoSpaceDE/>
              <w:autoSpaceDN/>
              <w:adjustRightInd/>
              <w:jc w:val="center"/>
              <w:rPr>
                <w:color w:val="000000"/>
                <w:szCs w:val="20"/>
              </w:rPr>
            </w:pPr>
            <w:r w:rsidRPr="00122DAE">
              <w:rPr>
                <w:color w:val="000000"/>
                <w:szCs w:val="20"/>
              </w:rPr>
              <w:t>81</w:t>
            </w:r>
          </w:p>
        </w:tc>
        <w:tc>
          <w:tcPr>
            <w:tcW w:w="899" w:type="dxa"/>
            <w:gridSpan w:val="2"/>
            <w:tcBorders>
              <w:top w:val="nil"/>
              <w:left w:val="nil"/>
              <w:bottom w:val="single" w:sz="4" w:space="0" w:color="auto"/>
              <w:right w:val="single" w:sz="4" w:space="0" w:color="auto"/>
            </w:tcBorders>
            <w:noWrap/>
            <w:vAlign w:val="center"/>
            <w:hideMark/>
          </w:tcPr>
          <w:p w:rsidR="00AD7610" w:rsidRPr="00122DAE" w:rsidP="00AD7610" w14:paraId="1D0A75D8"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3557A0CF" w14:textId="77777777">
            <w:pPr>
              <w:widowControl/>
              <w:autoSpaceDE/>
              <w:autoSpaceDN/>
              <w:adjustRightInd/>
              <w:jc w:val="right"/>
              <w:rPr>
                <w:color w:val="000000"/>
                <w:szCs w:val="20"/>
              </w:rPr>
            </w:pPr>
            <w:r w:rsidRPr="00122DAE">
              <w:rPr>
                <w:color w:val="000000"/>
                <w:szCs w:val="20"/>
              </w:rPr>
              <w:t>$26,001</w:t>
            </w:r>
          </w:p>
        </w:tc>
      </w:tr>
      <w:tr w14:paraId="0FF5FAE8" w14:textId="77777777" w:rsidTr="00321166">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6CF5BF73" w14:textId="6C220EE4">
            <w:pPr>
              <w:widowControl/>
              <w:autoSpaceDE/>
              <w:autoSpaceDN/>
              <w:adjustRightInd/>
              <w:ind w:right="48"/>
              <w:jc w:val="center"/>
              <w:rPr>
                <w:color w:val="000000"/>
                <w:szCs w:val="20"/>
              </w:rPr>
            </w:pPr>
            <w:r>
              <w:rPr>
                <w:color w:val="000000"/>
                <w:szCs w:val="20"/>
              </w:rPr>
              <w:t>18</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D7610" w14:paraId="6C0D2248" w14:textId="130975B8">
            <w:pPr>
              <w:widowControl/>
              <w:autoSpaceDE/>
              <w:autoSpaceDN/>
              <w:adjustRightInd/>
              <w:rPr>
                <w:color w:val="000000"/>
                <w:szCs w:val="20"/>
              </w:rPr>
            </w:pPr>
            <w:r w:rsidRPr="00122DAE">
              <w:rPr>
                <w:color w:val="000000"/>
                <w:szCs w:val="20"/>
              </w:rPr>
              <w:t>REHs</w:t>
            </w:r>
          </w:p>
        </w:tc>
        <w:tc>
          <w:tcPr>
            <w:tcW w:w="1174" w:type="dxa"/>
            <w:tcBorders>
              <w:top w:val="single" w:sz="4" w:space="0" w:color="auto"/>
              <w:left w:val="nil"/>
              <w:bottom w:val="single" w:sz="4" w:space="0" w:color="auto"/>
              <w:right w:val="single" w:sz="4" w:space="0" w:color="auto"/>
            </w:tcBorders>
            <w:noWrap/>
            <w:vAlign w:val="bottom"/>
            <w:hideMark/>
          </w:tcPr>
          <w:p w:rsidR="00AD7610" w:rsidRPr="00122DAE" w:rsidP="00AD7610" w14:paraId="4EE90557" w14:textId="77777777">
            <w:pPr>
              <w:widowControl/>
              <w:autoSpaceDE/>
              <w:autoSpaceDN/>
              <w:adjustRightInd/>
              <w:rPr>
                <w:color w:val="000000"/>
                <w:sz w:val="18"/>
                <w:szCs w:val="18"/>
              </w:rPr>
            </w:pPr>
            <w:r w:rsidRPr="00FE183A">
              <w:rPr>
                <w:color w:val="000000"/>
                <w:sz w:val="18"/>
                <w:szCs w:val="18"/>
              </w:rPr>
              <w:t>§ 485.542(b)</w:t>
            </w:r>
          </w:p>
        </w:tc>
        <w:tc>
          <w:tcPr>
            <w:tcW w:w="1433" w:type="dxa"/>
            <w:tcBorders>
              <w:top w:val="single" w:sz="4" w:space="0" w:color="auto"/>
              <w:left w:val="nil"/>
              <w:bottom w:val="single" w:sz="4" w:space="0" w:color="auto"/>
              <w:right w:val="single" w:sz="4" w:space="0" w:color="auto"/>
            </w:tcBorders>
            <w:noWrap/>
            <w:vAlign w:val="bottom"/>
            <w:hideMark/>
          </w:tcPr>
          <w:p w:rsidR="00AD7610" w:rsidRPr="00122DAE" w:rsidP="00AD7610" w14:paraId="5C7EB03F" w14:textId="77777777">
            <w:pPr>
              <w:widowControl/>
              <w:autoSpaceDE/>
              <w:autoSpaceDN/>
              <w:adjustRightInd/>
              <w:jc w:val="center"/>
              <w:rPr>
                <w:szCs w:val="20"/>
              </w:rPr>
            </w:pPr>
            <w:r w:rsidRPr="00122DAE">
              <w:rPr>
                <w:szCs w:val="20"/>
              </w:rPr>
              <w:t>19</w:t>
            </w:r>
          </w:p>
        </w:tc>
        <w:tc>
          <w:tcPr>
            <w:tcW w:w="1169" w:type="dxa"/>
            <w:gridSpan w:val="2"/>
            <w:tcBorders>
              <w:top w:val="single" w:sz="4" w:space="0" w:color="auto"/>
              <w:left w:val="nil"/>
              <w:bottom w:val="single" w:sz="4" w:space="0" w:color="auto"/>
              <w:right w:val="single" w:sz="4" w:space="0" w:color="auto"/>
            </w:tcBorders>
            <w:noWrap/>
            <w:vAlign w:val="bottom"/>
            <w:hideMark/>
          </w:tcPr>
          <w:p w:rsidR="00AD7610" w:rsidRPr="00122DAE" w:rsidP="00AD7610" w14:paraId="033C5255" w14:textId="77777777">
            <w:pPr>
              <w:widowControl/>
              <w:autoSpaceDE/>
              <w:autoSpaceDN/>
              <w:adjustRightInd/>
              <w:jc w:val="center"/>
              <w:rPr>
                <w:color w:val="000000"/>
                <w:szCs w:val="20"/>
              </w:rPr>
            </w:pPr>
            <w:r w:rsidRPr="00122DAE">
              <w:rPr>
                <w:color w:val="000000"/>
                <w:szCs w:val="20"/>
              </w:rPr>
              <w:t>19</w:t>
            </w:r>
          </w:p>
        </w:tc>
        <w:tc>
          <w:tcPr>
            <w:tcW w:w="1268" w:type="dxa"/>
            <w:gridSpan w:val="2"/>
            <w:tcBorders>
              <w:top w:val="single" w:sz="4" w:space="0" w:color="auto"/>
              <w:left w:val="nil"/>
              <w:bottom w:val="single" w:sz="4" w:space="0" w:color="auto"/>
              <w:right w:val="single" w:sz="4" w:space="0" w:color="auto"/>
            </w:tcBorders>
            <w:vAlign w:val="bottom"/>
            <w:hideMark/>
          </w:tcPr>
          <w:p w:rsidR="00AD7610" w:rsidRPr="00122DAE" w:rsidP="00AD7610" w14:paraId="3C2F3A81" w14:textId="13F15E44">
            <w:pPr>
              <w:widowControl/>
              <w:autoSpaceDE/>
              <w:autoSpaceDN/>
              <w:adjustRightInd/>
              <w:jc w:val="center"/>
              <w:rPr>
                <w:color w:val="000000"/>
                <w:szCs w:val="20"/>
              </w:rPr>
            </w:pPr>
            <w:r w:rsidRPr="00122DAE">
              <w:rPr>
                <w:color w:val="000000"/>
                <w:szCs w:val="20"/>
              </w:rPr>
              <w:t>10</w:t>
            </w:r>
          </w:p>
        </w:tc>
        <w:tc>
          <w:tcPr>
            <w:tcW w:w="1088" w:type="dxa"/>
            <w:gridSpan w:val="2"/>
            <w:tcBorders>
              <w:top w:val="single" w:sz="4" w:space="0" w:color="auto"/>
              <w:left w:val="nil"/>
              <w:bottom w:val="single" w:sz="4" w:space="0" w:color="auto"/>
              <w:right w:val="single" w:sz="4" w:space="0" w:color="auto"/>
            </w:tcBorders>
            <w:noWrap/>
            <w:vAlign w:val="bottom"/>
            <w:hideMark/>
          </w:tcPr>
          <w:p w:rsidR="00AD7610" w:rsidRPr="00122DAE" w:rsidP="00AD7610" w14:paraId="7AE44679" w14:textId="77777777">
            <w:pPr>
              <w:widowControl/>
              <w:autoSpaceDE/>
              <w:autoSpaceDN/>
              <w:adjustRightInd/>
              <w:jc w:val="center"/>
              <w:rPr>
                <w:color w:val="000000"/>
                <w:szCs w:val="20"/>
              </w:rPr>
            </w:pPr>
            <w:r w:rsidRPr="00122DAE">
              <w:rPr>
                <w:color w:val="000000"/>
                <w:szCs w:val="20"/>
              </w:rPr>
              <w:t>190</w:t>
            </w:r>
          </w:p>
        </w:tc>
        <w:tc>
          <w:tcPr>
            <w:tcW w:w="899" w:type="dxa"/>
            <w:gridSpan w:val="2"/>
            <w:tcBorders>
              <w:top w:val="single" w:sz="4" w:space="0" w:color="auto"/>
              <w:left w:val="nil"/>
              <w:bottom w:val="single" w:sz="4" w:space="0" w:color="auto"/>
              <w:right w:val="single" w:sz="4" w:space="0" w:color="auto"/>
            </w:tcBorders>
            <w:noWrap/>
            <w:vAlign w:val="center"/>
            <w:hideMark/>
          </w:tcPr>
          <w:p w:rsidR="00AD7610" w:rsidRPr="00122DAE" w:rsidP="00AD7610" w14:paraId="2270781C"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single" w:sz="4" w:space="0" w:color="auto"/>
              <w:left w:val="nil"/>
              <w:bottom w:val="single" w:sz="4" w:space="0" w:color="auto"/>
              <w:right w:val="single" w:sz="4" w:space="0" w:color="auto"/>
            </w:tcBorders>
            <w:noWrap/>
            <w:vAlign w:val="bottom"/>
            <w:hideMark/>
          </w:tcPr>
          <w:p w:rsidR="00AD7610" w:rsidRPr="00122DAE" w:rsidP="00AD7610" w14:paraId="4FBC903B" w14:textId="77777777">
            <w:pPr>
              <w:widowControl/>
              <w:autoSpaceDE/>
              <w:autoSpaceDN/>
              <w:adjustRightInd/>
              <w:jc w:val="right"/>
              <w:rPr>
                <w:color w:val="000000"/>
                <w:szCs w:val="20"/>
              </w:rPr>
            </w:pPr>
            <w:r w:rsidRPr="00122DAE">
              <w:rPr>
                <w:color w:val="000000"/>
                <w:szCs w:val="20"/>
              </w:rPr>
              <w:t>$60,990</w:t>
            </w:r>
          </w:p>
        </w:tc>
      </w:tr>
      <w:tr w14:paraId="3A859F73" w14:textId="77777777" w:rsidTr="00321166">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6C4227CF" w14:textId="4B6443F5">
            <w:pPr>
              <w:widowControl/>
              <w:autoSpaceDE/>
              <w:autoSpaceDN/>
              <w:adjustRightInd/>
              <w:ind w:right="48"/>
              <w:jc w:val="center"/>
              <w:rPr>
                <w:color w:val="000000"/>
                <w:szCs w:val="20"/>
              </w:rPr>
            </w:pPr>
            <w:r>
              <w:rPr>
                <w:color w:val="000000"/>
                <w:szCs w:val="20"/>
              </w:rPr>
              <w:t>19</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D7610" w14:paraId="6AA75718" w14:textId="2ABE940B">
            <w:pPr>
              <w:widowControl/>
              <w:autoSpaceDE/>
              <w:autoSpaceDN/>
              <w:adjustRightInd/>
              <w:rPr>
                <w:color w:val="000000"/>
                <w:szCs w:val="20"/>
              </w:rPr>
            </w:pPr>
            <w:r w:rsidRPr="00122DAE">
              <w:rPr>
                <w:color w:val="000000"/>
                <w:szCs w:val="20"/>
              </w:rPr>
              <w:t>RHCs</w:t>
            </w:r>
          </w:p>
        </w:tc>
        <w:tc>
          <w:tcPr>
            <w:tcW w:w="1174" w:type="dxa"/>
            <w:tcBorders>
              <w:top w:val="single" w:sz="4" w:space="0" w:color="auto"/>
              <w:left w:val="nil"/>
              <w:bottom w:val="single" w:sz="4" w:space="0" w:color="auto"/>
              <w:right w:val="single" w:sz="4" w:space="0" w:color="auto"/>
            </w:tcBorders>
            <w:noWrap/>
            <w:vAlign w:val="bottom"/>
            <w:hideMark/>
          </w:tcPr>
          <w:p w:rsidR="00AD7610" w:rsidRPr="00122DAE" w:rsidP="00AD7610" w14:paraId="30C51221" w14:textId="77777777">
            <w:pPr>
              <w:widowControl/>
              <w:autoSpaceDE/>
              <w:autoSpaceDN/>
              <w:adjustRightInd/>
              <w:rPr>
                <w:color w:val="000000"/>
                <w:sz w:val="18"/>
                <w:szCs w:val="18"/>
              </w:rPr>
            </w:pPr>
            <w:r w:rsidRPr="00FE183A">
              <w:rPr>
                <w:color w:val="000000"/>
                <w:sz w:val="18"/>
                <w:szCs w:val="18"/>
              </w:rPr>
              <w:t>§ 491.12(b)</w:t>
            </w:r>
          </w:p>
        </w:tc>
        <w:tc>
          <w:tcPr>
            <w:tcW w:w="1433" w:type="dxa"/>
            <w:tcBorders>
              <w:top w:val="single" w:sz="4" w:space="0" w:color="auto"/>
              <w:left w:val="nil"/>
              <w:bottom w:val="single" w:sz="4" w:space="0" w:color="auto"/>
              <w:right w:val="single" w:sz="4" w:space="0" w:color="auto"/>
            </w:tcBorders>
            <w:noWrap/>
            <w:vAlign w:val="bottom"/>
            <w:hideMark/>
          </w:tcPr>
          <w:p w:rsidR="00AD7610" w:rsidRPr="00122DAE" w:rsidP="00AD7610" w14:paraId="135550BC" w14:textId="77777777">
            <w:pPr>
              <w:widowControl/>
              <w:autoSpaceDE/>
              <w:autoSpaceDN/>
              <w:adjustRightInd/>
              <w:jc w:val="center"/>
              <w:rPr>
                <w:szCs w:val="20"/>
              </w:rPr>
            </w:pPr>
            <w:r w:rsidRPr="00122DAE">
              <w:rPr>
                <w:szCs w:val="20"/>
              </w:rPr>
              <w:t>339</w:t>
            </w:r>
          </w:p>
        </w:tc>
        <w:tc>
          <w:tcPr>
            <w:tcW w:w="1169" w:type="dxa"/>
            <w:gridSpan w:val="2"/>
            <w:tcBorders>
              <w:top w:val="single" w:sz="4" w:space="0" w:color="auto"/>
              <w:left w:val="nil"/>
              <w:bottom w:val="single" w:sz="4" w:space="0" w:color="auto"/>
              <w:right w:val="single" w:sz="4" w:space="0" w:color="auto"/>
            </w:tcBorders>
            <w:noWrap/>
            <w:vAlign w:val="bottom"/>
            <w:hideMark/>
          </w:tcPr>
          <w:p w:rsidR="00AD7610" w:rsidRPr="00122DAE" w:rsidP="00AD7610" w14:paraId="4B07007B" w14:textId="77777777">
            <w:pPr>
              <w:widowControl/>
              <w:autoSpaceDE/>
              <w:autoSpaceDN/>
              <w:adjustRightInd/>
              <w:jc w:val="center"/>
              <w:rPr>
                <w:color w:val="000000"/>
                <w:szCs w:val="20"/>
              </w:rPr>
            </w:pPr>
            <w:r w:rsidRPr="00122DAE">
              <w:rPr>
                <w:color w:val="000000"/>
                <w:szCs w:val="20"/>
              </w:rPr>
              <w:t>339</w:t>
            </w:r>
          </w:p>
        </w:tc>
        <w:tc>
          <w:tcPr>
            <w:tcW w:w="1268" w:type="dxa"/>
            <w:gridSpan w:val="2"/>
            <w:tcBorders>
              <w:top w:val="single" w:sz="4" w:space="0" w:color="auto"/>
              <w:left w:val="nil"/>
              <w:bottom w:val="single" w:sz="4" w:space="0" w:color="auto"/>
              <w:right w:val="single" w:sz="4" w:space="0" w:color="auto"/>
            </w:tcBorders>
            <w:vAlign w:val="bottom"/>
            <w:hideMark/>
          </w:tcPr>
          <w:p w:rsidR="00AD7610" w:rsidRPr="00122DAE" w:rsidP="00AD7610" w14:paraId="66AA53C3" w14:textId="12497162">
            <w:pPr>
              <w:widowControl/>
              <w:autoSpaceDE/>
              <w:autoSpaceDN/>
              <w:adjustRightInd/>
              <w:jc w:val="center"/>
              <w:rPr>
                <w:szCs w:val="20"/>
              </w:rPr>
            </w:pPr>
            <w:r w:rsidRPr="00122DAE">
              <w:rPr>
                <w:szCs w:val="20"/>
              </w:rPr>
              <w:t>12</w:t>
            </w:r>
          </w:p>
        </w:tc>
        <w:tc>
          <w:tcPr>
            <w:tcW w:w="1088" w:type="dxa"/>
            <w:gridSpan w:val="2"/>
            <w:tcBorders>
              <w:top w:val="single" w:sz="4" w:space="0" w:color="auto"/>
              <w:left w:val="nil"/>
              <w:bottom w:val="single" w:sz="4" w:space="0" w:color="auto"/>
              <w:right w:val="single" w:sz="4" w:space="0" w:color="auto"/>
            </w:tcBorders>
            <w:noWrap/>
            <w:vAlign w:val="bottom"/>
            <w:hideMark/>
          </w:tcPr>
          <w:p w:rsidR="00AD7610" w:rsidRPr="00122DAE" w:rsidP="00AD7610" w14:paraId="2F5C3AF4" w14:textId="77777777">
            <w:pPr>
              <w:widowControl/>
              <w:autoSpaceDE/>
              <w:autoSpaceDN/>
              <w:adjustRightInd/>
              <w:jc w:val="center"/>
              <w:rPr>
                <w:color w:val="000000"/>
                <w:szCs w:val="20"/>
              </w:rPr>
            </w:pPr>
            <w:r w:rsidRPr="00122DAE">
              <w:rPr>
                <w:color w:val="000000"/>
                <w:szCs w:val="20"/>
              </w:rPr>
              <w:t>4,068</w:t>
            </w:r>
          </w:p>
        </w:tc>
        <w:tc>
          <w:tcPr>
            <w:tcW w:w="899" w:type="dxa"/>
            <w:gridSpan w:val="2"/>
            <w:tcBorders>
              <w:top w:val="single" w:sz="4" w:space="0" w:color="auto"/>
              <w:left w:val="nil"/>
              <w:bottom w:val="single" w:sz="4" w:space="0" w:color="auto"/>
              <w:right w:val="single" w:sz="4" w:space="0" w:color="auto"/>
            </w:tcBorders>
            <w:noWrap/>
            <w:vAlign w:val="center"/>
            <w:hideMark/>
          </w:tcPr>
          <w:p w:rsidR="00AD7610" w:rsidRPr="00122DAE" w:rsidP="00AD7610" w14:paraId="004E77B0" w14:textId="77777777">
            <w:pPr>
              <w:widowControl/>
              <w:autoSpaceDE/>
              <w:autoSpaceDN/>
              <w:adjustRightInd/>
              <w:jc w:val="center"/>
              <w:rPr>
                <w:color w:val="000000"/>
                <w:szCs w:val="20"/>
              </w:rPr>
            </w:pPr>
            <w:r w:rsidRPr="00782FF7">
              <w:rPr>
                <w:color w:val="000000"/>
                <w:szCs w:val="20"/>
              </w:rPr>
              <w:t>**</w:t>
            </w:r>
          </w:p>
        </w:tc>
        <w:tc>
          <w:tcPr>
            <w:tcW w:w="1349" w:type="dxa"/>
            <w:gridSpan w:val="2"/>
            <w:tcBorders>
              <w:top w:val="single" w:sz="4" w:space="0" w:color="auto"/>
              <w:left w:val="nil"/>
              <w:bottom w:val="single" w:sz="4" w:space="0" w:color="auto"/>
              <w:right w:val="single" w:sz="4" w:space="0" w:color="auto"/>
            </w:tcBorders>
            <w:noWrap/>
            <w:vAlign w:val="bottom"/>
            <w:hideMark/>
          </w:tcPr>
          <w:p w:rsidR="00AD7610" w:rsidRPr="00122DAE" w:rsidP="00AD7610" w14:paraId="5D5254A1" w14:textId="77777777">
            <w:pPr>
              <w:widowControl/>
              <w:autoSpaceDE/>
              <w:autoSpaceDN/>
              <w:adjustRightInd/>
              <w:jc w:val="right"/>
              <w:rPr>
                <w:color w:val="000000"/>
                <w:szCs w:val="20"/>
              </w:rPr>
            </w:pPr>
            <w:r w:rsidRPr="00122DAE">
              <w:rPr>
                <w:color w:val="000000"/>
                <w:szCs w:val="20"/>
              </w:rPr>
              <w:t>$1,305,828</w:t>
            </w:r>
          </w:p>
        </w:tc>
      </w:tr>
      <w:tr w14:paraId="14164702" w14:textId="77777777" w:rsidTr="00577E9B">
        <w:tblPrEx>
          <w:tblW w:w="12426" w:type="dxa"/>
          <w:tblInd w:w="260" w:type="dxa"/>
          <w:tblLayout w:type="fixed"/>
          <w:tblLook w:val="04A0"/>
        </w:tblPrEx>
        <w:trPr>
          <w:trHeight w:val="318"/>
        </w:trPr>
        <w:tc>
          <w:tcPr>
            <w:tcW w:w="629" w:type="dxa"/>
            <w:tcBorders>
              <w:top w:val="single" w:sz="4" w:space="0" w:color="auto"/>
              <w:left w:val="single" w:sz="4" w:space="0" w:color="auto"/>
              <w:bottom w:val="single" w:sz="4" w:space="0" w:color="auto"/>
              <w:right w:val="single" w:sz="4" w:space="0" w:color="auto"/>
            </w:tcBorders>
            <w:vAlign w:val="bottom"/>
          </w:tcPr>
          <w:p w:rsidR="00AD7610" w:rsidRPr="00122DAE" w:rsidP="00AD7610" w14:paraId="71BC1AC9" w14:textId="3294FC83">
            <w:pPr>
              <w:widowControl/>
              <w:autoSpaceDE/>
              <w:autoSpaceDN/>
              <w:adjustRightInd/>
              <w:ind w:right="48"/>
              <w:jc w:val="center"/>
              <w:rPr>
                <w:color w:val="000000"/>
                <w:szCs w:val="20"/>
              </w:rPr>
            </w:pPr>
            <w:r>
              <w:rPr>
                <w:color w:val="000000"/>
                <w:szCs w:val="20"/>
              </w:rPr>
              <w:t>20</w:t>
            </w:r>
          </w:p>
        </w:tc>
        <w:tc>
          <w:tcPr>
            <w:tcW w:w="3417" w:type="dxa"/>
            <w:tcBorders>
              <w:top w:val="single" w:sz="4" w:space="0" w:color="auto"/>
              <w:left w:val="single" w:sz="4" w:space="0" w:color="auto"/>
              <w:bottom w:val="single" w:sz="4" w:space="0" w:color="auto"/>
              <w:right w:val="single" w:sz="4" w:space="0" w:color="auto"/>
            </w:tcBorders>
            <w:vAlign w:val="bottom"/>
            <w:hideMark/>
          </w:tcPr>
          <w:p w:rsidR="00AD7610" w:rsidRPr="00122DAE" w:rsidP="00AD7610" w14:paraId="3342C36A" w14:textId="40FE2AC8">
            <w:pPr>
              <w:widowControl/>
              <w:autoSpaceDE/>
              <w:autoSpaceDN/>
              <w:adjustRightInd/>
              <w:rPr>
                <w:color w:val="000000"/>
                <w:szCs w:val="20"/>
              </w:rPr>
            </w:pPr>
            <w:r w:rsidRPr="00122DAE">
              <w:rPr>
                <w:color w:val="000000"/>
                <w:szCs w:val="20"/>
              </w:rPr>
              <w:t>RNHCIs</w:t>
            </w:r>
          </w:p>
        </w:tc>
        <w:tc>
          <w:tcPr>
            <w:tcW w:w="1174" w:type="dxa"/>
            <w:tcBorders>
              <w:top w:val="single" w:sz="4" w:space="0" w:color="auto"/>
              <w:left w:val="single" w:sz="4" w:space="0" w:color="auto"/>
              <w:bottom w:val="single" w:sz="4" w:space="0" w:color="auto"/>
              <w:right w:val="single" w:sz="4" w:space="0" w:color="auto"/>
            </w:tcBorders>
            <w:noWrap/>
            <w:vAlign w:val="bottom"/>
            <w:hideMark/>
          </w:tcPr>
          <w:p w:rsidR="00AD7610" w:rsidRPr="00122DAE" w:rsidP="00AD7610" w14:paraId="234F7BAC" w14:textId="77777777">
            <w:pPr>
              <w:widowControl/>
              <w:autoSpaceDE/>
              <w:autoSpaceDN/>
              <w:adjustRightInd/>
              <w:rPr>
                <w:color w:val="000000"/>
                <w:sz w:val="18"/>
                <w:szCs w:val="18"/>
              </w:rPr>
            </w:pPr>
            <w:r w:rsidRPr="00FE183A">
              <w:rPr>
                <w:color w:val="000000"/>
                <w:sz w:val="18"/>
                <w:szCs w:val="18"/>
              </w:rPr>
              <w:t>§ 403.748(b)</w:t>
            </w:r>
          </w:p>
        </w:tc>
        <w:tc>
          <w:tcPr>
            <w:tcW w:w="1433" w:type="dxa"/>
            <w:tcBorders>
              <w:top w:val="nil"/>
              <w:left w:val="nil"/>
              <w:bottom w:val="single" w:sz="4" w:space="0" w:color="auto"/>
              <w:right w:val="single" w:sz="4" w:space="0" w:color="auto"/>
            </w:tcBorders>
            <w:noWrap/>
            <w:vAlign w:val="bottom"/>
            <w:hideMark/>
          </w:tcPr>
          <w:p w:rsidR="00AD7610" w:rsidRPr="00122DAE" w:rsidP="00AD7610" w14:paraId="3B4837DF" w14:textId="77777777">
            <w:pPr>
              <w:widowControl/>
              <w:autoSpaceDE/>
              <w:autoSpaceDN/>
              <w:adjustRightInd/>
              <w:jc w:val="center"/>
              <w:rPr>
                <w:szCs w:val="20"/>
              </w:rPr>
            </w:pPr>
            <w:r w:rsidRPr="00122DAE">
              <w:rPr>
                <w:szCs w:val="20"/>
              </w:rPr>
              <w:t>0</w:t>
            </w:r>
          </w:p>
        </w:tc>
        <w:tc>
          <w:tcPr>
            <w:tcW w:w="1169" w:type="dxa"/>
            <w:gridSpan w:val="2"/>
            <w:tcBorders>
              <w:top w:val="nil"/>
              <w:left w:val="nil"/>
              <w:bottom w:val="single" w:sz="4" w:space="0" w:color="auto"/>
              <w:right w:val="single" w:sz="4" w:space="0" w:color="auto"/>
            </w:tcBorders>
            <w:noWrap/>
            <w:vAlign w:val="bottom"/>
            <w:hideMark/>
          </w:tcPr>
          <w:p w:rsidR="00AD7610" w:rsidRPr="00122DAE" w:rsidP="00AD7610" w14:paraId="5C943D4D" w14:textId="77777777">
            <w:pPr>
              <w:widowControl/>
              <w:autoSpaceDE/>
              <w:autoSpaceDN/>
              <w:adjustRightInd/>
              <w:jc w:val="center"/>
              <w:rPr>
                <w:color w:val="000000"/>
                <w:szCs w:val="20"/>
              </w:rPr>
            </w:pPr>
            <w:r w:rsidRPr="00122DAE">
              <w:rPr>
                <w:color w:val="000000"/>
                <w:szCs w:val="20"/>
              </w:rPr>
              <w:t>0</w:t>
            </w:r>
          </w:p>
        </w:tc>
        <w:tc>
          <w:tcPr>
            <w:tcW w:w="1268" w:type="dxa"/>
            <w:gridSpan w:val="2"/>
            <w:tcBorders>
              <w:top w:val="nil"/>
              <w:left w:val="nil"/>
              <w:bottom w:val="single" w:sz="4" w:space="0" w:color="auto"/>
              <w:right w:val="single" w:sz="4" w:space="0" w:color="auto"/>
            </w:tcBorders>
            <w:vAlign w:val="bottom"/>
            <w:hideMark/>
          </w:tcPr>
          <w:p w:rsidR="00AD7610" w:rsidRPr="00122DAE" w:rsidP="00AD7610" w14:paraId="3E00A444" w14:textId="61CFA989">
            <w:pPr>
              <w:widowControl/>
              <w:autoSpaceDE/>
              <w:autoSpaceDN/>
              <w:adjustRightInd/>
              <w:jc w:val="center"/>
              <w:rPr>
                <w:szCs w:val="20"/>
              </w:rPr>
            </w:pPr>
            <w:r w:rsidRPr="00122DAE">
              <w:rPr>
                <w:szCs w:val="20"/>
              </w:rPr>
              <w:t>6</w:t>
            </w:r>
          </w:p>
        </w:tc>
        <w:tc>
          <w:tcPr>
            <w:tcW w:w="1088" w:type="dxa"/>
            <w:gridSpan w:val="2"/>
            <w:tcBorders>
              <w:top w:val="nil"/>
              <w:left w:val="nil"/>
              <w:bottom w:val="single" w:sz="4" w:space="0" w:color="auto"/>
              <w:right w:val="single" w:sz="4" w:space="0" w:color="auto"/>
            </w:tcBorders>
            <w:noWrap/>
            <w:vAlign w:val="bottom"/>
            <w:hideMark/>
          </w:tcPr>
          <w:p w:rsidR="00AD7610" w:rsidRPr="00122DAE" w:rsidP="00AD7610" w14:paraId="39AA90C2" w14:textId="77777777">
            <w:pPr>
              <w:widowControl/>
              <w:autoSpaceDE/>
              <w:autoSpaceDN/>
              <w:adjustRightInd/>
              <w:jc w:val="center"/>
              <w:rPr>
                <w:color w:val="000000"/>
                <w:szCs w:val="20"/>
              </w:rPr>
            </w:pPr>
            <w:r w:rsidRPr="00122DAE">
              <w:rPr>
                <w:color w:val="000000"/>
                <w:szCs w:val="20"/>
              </w:rPr>
              <w:t>0</w:t>
            </w:r>
          </w:p>
        </w:tc>
        <w:tc>
          <w:tcPr>
            <w:tcW w:w="899" w:type="dxa"/>
            <w:gridSpan w:val="2"/>
            <w:tcBorders>
              <w:top w:val="single" w:sz="4" w:space="0" w:color="auto"/>
              <w:left w:val="nil"/>
              <w:bottom w:val="single" w:sz="4" w:space="0" w:color="auto"/>
              <w:right w:val="single" w:sz="4" w:space="0" w:color="auto"/>
            </w:tcBorders>
            <w:noWrap/>
            <w:vAlign w:val="center"/>
            <w:hideMark/>
          </w:tcPr>
          <w:p w:rsidR="00AD7610" w:rsidRPr="00122DAE" w:rsidP="00AD7610" w14:paraId="5F8023F6" w14:textId="77777777">
            <w:pPr>
              <w:widowControl/>
              <w:autoSpaceDE/>
              <w:autoSpaceDN/>
              <w:adjustRightInd/>
              <w:jc w:val="center"/>
              <w:rPr>
                <w:color w:val="000000"/>
                <w:szCs w:val="20"/>
              </w:rPr>
            </w:pPr>
            <w:r w:rsidRPr="008300D1">
              <w:rPr>
                <w:color w:val="000000"/>
                <w:szCs w:val="20"/>
              </w:rPr>
              <w:t>*</w:t>
            </w:r>
            <w:r>
              <w:rPr>
                <w:color w:val="000000"/>
                <w:szCs w:val="20"/>
              </w:rPr>
              <w:t>*</w:t>
            </w:r>
          </w:p>
        </w:tc>
        <w:tc>
          <w:tcPr>
            <w:tcW w:w="1349" w:type="dxa"/>
            <w:gridSpan w:val="2"/>
            <w:tcBorders>
              <w:top w:val="nil"/>
              <w:left w:val="nil"/>
              <w:bottom w:val="single" w:sz="4" w:space="0" w:color="auto"/>
              <w:right w:val="single" w:sz="4" w:space="0" w:color="auto"/>
            </w:tcBorders>
            <w:noWrap/>
            <w:vAlign w:val="bottom"/>
            <w:hideMark/>
          </w:tcPr>
          <w:p w:rsidR="00AD7610" w:rsidRPr="00122DAE" w:rsidP="00AD7610" w14:paraId="51F08B21" w14:textId="77777777">
            <w:pPr>
              <w:widowControl/>
              <w:autoSpaceDE/>
              <w:autoSpaceDN/>
              <w:adjustRightInd/>
              <w:jc w:val="right"/>
              <w:rPr>
                <w:color w:val="000000"/>
                <w:szCs w:val="20"/>
              </w:rPr>
            </w:pPr>
            <w:r w:rsidRPr="00122DAE">
              <w:rPr>
                <w:color w:val="000000"/>
                <w:szCs w:val="20"/>
              </w:rPr>
              <w:t>$0</w:t>
            </w:r>
          </w:p>
        </w:tc>
      </w:tr>
      <w:tr w14:paraId="11A63A14" w14:textId="77777777" w:rsidTr="00F03863">
        <w:tblPrEx>
          <w:tblW w:w="12426" w:type="dxa"/>
          <w:tblInd w:w="260" w:type="dxa"/>
          <w:tblLayout w:type="fixed"/>
          <w:tblLook w:val="04A0"/>
        </w:tblPrEx>
        <w:trPr>
          <w:gridAfter w:val="1"/>
          <w:wAfter w:w="12" w:type="dxa"/>
          <w:trHeight w:val="318"/>
        </w:trPr>
        <w:tc>
          <w:tcPr>
            <w:tcW w:w="5220" w:type="dxa"/>
            <w:gridSpan w:val="3"/>
            <w:tcBorders>
              <w:top w:val="nil"/>
              <w:left w:val="single" w:sz="4" w:space="0" w:color="auto"/>
              <w:bottom w:val="single" w:sz="4" w:space="0" w:color="auto"/>
              <w:right w:val="single" w:sz="4" w:space="0" w:color="auto"/>
            </w:tcBorders>
            <w:shd w:val="clear" w:color="auto" w:fill="E7E6E6" w:themeFill="background2"/>
            <w:vAlign w:val="bottom"/>
          </w:tcPr>
          <w:p w:rsidR="00AD7610" w:rsidRPr="00FE183A" w:rsidP="00AD7610" w14:paraId="36ECD6FC" w14:textId="3F718B85">
            <w:pPr>
              <w:widowControl/>
              <w:autoSpaceDE/>
              <w:autoSpaceDN/>
              <w:adjustRightInd/>
              <w:jc w:val="right"/>
              <w:rPr>
                <w:color w:val="000000"/>
                <w:sz w:val="18"/>
                <w:szCs w:val="18"/>
              </w:rPr>
            </w:pPr>
            <w:r w:rsidRPr="00122DAE">
              <w:rPr>
                <w:b/>
                <w:bCs/>
                <w:color w:val="000000"/>
                <w:szCs w:val="20"/>
              </w:rPr>
              <w:t>Total Annual Burden/Costs</w:t>
            </w:r>
          </w:p>
        </w:tc>
        <w:tc>
          <w:tcPr>
            <w:tcW w:w="1439" w:type="dxa"/>
            <w:gridSpan w:val="2"/>
            <w:tcBorders>
              <w:top w:val="nil"/>
              <w:left w:val="nil"/>
              <w:bottom w:val="single" w:sz="4" w:space="0" w:color="auto"/>
              <w:right w:val="single" w:sz="4" w:space="0" w:color="auto"/>
            </w:tcBorders>
            <w:shd w:val="clear" w:color="auto" w:fill="E7E6E6" w:themeFill="background2"/>
            <w:noWrap/>
            <w:vAlign w:val="bottom"/>
          </w:tcPr>
          <w:p w:rsidR="00AD7610" w:rsidRPr="00122DAE" w:rsidP="00AD7610" w14:paraId="370065A7" w14:textId="353485DE">
            <w:pPr>
              <w:widowControl/>
              <w:autoSpaceDE/>
              <w:autoSpaceDN/>
              <w:adjustRightInd/>
              <w:jc w:val="center"/>
              <w:rPr>
                <w:szCs w:val="20"/>
              </w:rPr>
            </w:pPr>
            <w:r w:rsidRPr="00122DAE">
              <w:rPr>
                <w:b/>
                <w:bCs/>
                <w:color w:val="000000"/>
                <w:szCs w:val="20"/>
              </w:rPr>
              <w:t>2,686</w:t>
            </w:r>
          </w:p>
        </w:tc>
        <w:tc>
          <w:tcPr>
            <w:tcW w:w="1169" w:type="dxa"/>
            <w:gridSpan w:val="2"/>
            <w:tcBorders>
              <w:top w:val="nil"/>
              <w:left w:val="nil"/>
              <w:bottom w:val="single" w:sz="4" w:space="0" w:color="auto"/>
              <w:right w:val="single" w:sz="4" w:space="0" w:color="auto"/>
            </w:tcBorders>
            <w:shd w:val="clear" w:color="auto" w:fill="E7E6E6" w:themeFill="background2"/>
            <w:noWrap/>
            <w:vAlign w:val="bottom"/>
          </w:tcPr>
          <w:p w:rsidR="00AD7610" w:rsidRPr="00122DAE" w:rsidP="00AD7610" w14:paraId="254884EC" w14:textId="3B005BDB">
            <w:pPr>
              <w:widowControl/>
              <w:autoSpaceDE/>
              <w:autoSpaceDN/>
              <w:adjustRightInd/>
              <w:jc w:val="center"/>
              <w:rPr>
                <w:color w:val="000000"/>
                <w:szCs w:val="20"/>
              </w:rPr>
            </w:pPr>
            <w:r w:rsidRPr="00122DAE">
              <w:rPr>
                <w:b/>
                <w:bCs/>
                <w:color w:val="000000"/>
                <w:szCs w:val="20"/>
              </w:rPr>
              <w:t>2,686</w:t>
            </w:r>
          </w:p>
        </w:tc>
        <w:tc>
          <w:tcPr>
            <w:tcW w:w="1262" w:type="dxa"/>
            <w:tcBorders>
              <w:top w:val="nil"/>
              <w:left w:val="nil"/>
              <w:bottom w:val="single" w:sz="4" w:space="0" w:color="auto"/>
              <w:right w:val="single" w:sz="4" w:space="0" w:color="auto"/>
            </w:tcBorders>
            <w:shd w:val="clear" w:color="auto" w:fill="E7E6E6" w:themeFill="background2"/>
            <w:vAlign w:val="bottom"/>
          </w:tcPr>
          <w:p w:rsidR="00AD7610" w:rsidRPr="00122DAE" w:rsidP="00AD7610" w14:paraId="6A200F9F" w14:textId="17D0C1F8">
            <w:pPr>
              <w:widowControl/>
              <w:autoSpaceDE/>
              <w:autoSpaceDN/>
              <w:adjustRightInd/>
              <w:jc w:val="center"/>
              <w:rPr>
                <w:szCs w:val="20"/>
              </w:rPr>
            </w:pPr>
            <w:r w:rsidRPr="00122DAE">
              <w:rPr>
                <w:b/>
                <w:bCs/>
                <w:color w:val="000000"/>
                <w:szCs w:val="20"/>
              </w:rPr>
              <w:t>245</w:t>
            </w:r>
          </w:p>
        </w:tc>
        <w:tc>
          <w:tcPr>
            <w:tcW w:w="1082" w:type="dxa"/>
            <w:tcBorders>
              <w:top w:val="nil"/>
              <w:left w:val="nil"/>
              <w:bottom w:val="single" w:sz="4" w:space="0" w:color="auto"/>
              <w:right w:val="single" w:sz="4" w:space="0" w:color="auto"/>
            </w:tcBorders>
            <w:shd w:val="clear" w:color="auto" w:fill="E7E6E6" w:themeFill="background2"/>
            <w:noWrap/>
            <w:vAlign w:val="bottom"/>
          </w:tcPr>
          <w:p w:rsidR="00AD7610" w:rsidRPr="00122DAE" w:rsidP="00AD7610" w14:paraId="6B04484F" w14:textId="3EADFFAA">
            <w:pPr>
              <w:widowControl/>
              <w:autoSpaceDE/>
              <w:autoSpaceDN/>
              <w:adjustRightInd/>
              <w:jc w:val="center"/>
              <w:rPr>
                <w:color w:val="000000"/>
                <w:szCs w:val="20"/>
              </w:rPr>
            </w:pPr>
            <w:r w:rsidRPr="00122DAE">
              <w:rPr>
                <w:b/>
                <w:bCs/>
                <w:color w:val="000000"/>
                <w:szCs w:val="20"/>
              </w:rPr>
              <w:t>29,386</w:t>
            </w:r>
          </w:p>
        </w:tc>
        <w:tc>
          <w:tcPr>
            <w:tcW w:w="899" w:type="dxa"/>
            <w:gridSpan w:val="2"/>
            <w:tcBorders>
              <w:top w:val="single" w:sz="4" w:space="0" w:color="auto"/>
              <w:left w:val="nil"/>
              <w:bottom w:val="single" w:sz="4" w:space="0" w:color="auto"/>
              <w:right w:val="single" w:sz="4" w:space="0" w:color="auto"/>
            </w:tcBorders>
            <w:shd w:val="clear" w:color="auto" w:fill="E7E6E6" w:themeFill="background2"/>
            <w:noWrap/>
            <w:vAlign w:val="bottom"/>
          </w:tcPr>
          <w:p w:rsidR="00AD7610" w:rsidRPr="008300D1" w:rsidP="00AD7610" w14:paraId="1E570114" w14:textId="3435FBEB">
            <w:pPr>
              <w:widowControl/>
              <w:autoSpaceDE/>
              <w:autoSpaceDN/>
              <w:adjustRightInd/>
              <w:jc w:val="center"/>
              <w:rPr>
                <w:color w:val="000000"/>
                <w:szCs w:val="20"/>
              </w:rPr>
            </w:pPr>
            <w:r w:rsidRPr="00122DAE">
              <w:rPr>
                <w:b/>
                <w:bCs/>
                <w:color w:val="000000"/>
                <w:szCs w:val="20"/>
              </w:rPr>
              <w:t>n/a</w:t>
            </w:r>
          </w:p>
        </w:tc>
        <w:tc>
          <w:tcPr>
            <w:tcW w:w="1343" w:type="dxa"/>
            <w:gridSpan w:val="2"/>
            <w:tcBorders>
              <w:top w:val="nil"/>
              <w:left w:val="nil"/>
              <w:bottom w:val="single" w:sz="4" w:space="0" w:color="auto"/>
              <w:right w:val="single" w:sz="4" w:space="0" w:color="auto"/>
            </w:tcBorders>
            <w:shd w:val="clear" w:color="auto" w:fill="E7E6E6" w:themeFill="background2"/>
            <w:noWrap/>
            <w:vAlign w:val="bottom"/>
          </w:tcPr>
          <w:p w:rsidR="00AD7610" w:rsidRPr="00122DAE" w:rsidP="00AD7610" w14:paraId="0AD111D8" w14:textId="160E3413">
            <w:pPr>
              <w:widowControl/>
              <w:autoSpaceDE/>
              <w:autoSpaceDN/>
              <w:adjustRightInd/>
              <w:jc w:val="right"/>
              <w:rPr>
                <w:color w:val="000000"/>
                <w:szCs w:val="20"/>
              </w:rPr>
            </w:pPr>
            <w:r w:rsidRPr="00122DAE">
              <w:rPr>
                <w:b/>
                <w:bCs/>
                <w:color w:val="000000"/>
                <w:szCs w:val="20"/>
              </w:rPr>
              <w:t>$9,432,906</w:t>
            </w:r>
          </w:p>
        </w:tc>
      </w:tr>
    </w:tbl>
    <w:p w:rsidR="00122DAE" w:rsidP="001F4FCE" w14:paraId="49933777" w14:textId="1A7D9FE1">
      <w:pPr>
        <w:ind w:left="720"/>
      </w:pPr>
      <w:r>
        <w:rPr>
          <w:szCs w:val="20"/>
        </w:rPr>
        <w:t xml:space="preserve">* </w:t>
      </w:r>
      <w:r w:rsidRPr="00F745BB">
        <w:rPr>
          <w:szCs w:val="20"/>
        </w:rPr>
        <w:t>Based on</w:t>
      </w:r>
      <w:r>
        <w:rPr>
          <w:szCs w:val="20"/>
        </w:rPr>
        <w:t xml:space="preserve"> </w:t>
      </w:r>
      <w:hyperlink r:id="rId10" w:history="1">
        <w:r w:rsidRPr="00CA1EF5">
          <w:rPr>
            <w:rStyle w:val="Hyperlink"/>
            <w:szCs w:val="20"/>
          </w:rPr>
          <w:t>2016 Final Rule</w:t>
        </w:r>
      </w:hyperlink>
    </w:p>
    <w:p w:rsidR="00AE4CE9" w:rsidP="001F4FCE" w14:paraId="5FB217C6" w14:textId="77777777">
      <w:pPr>
        <w:widowControl/>
        <w:autoSpaceDE/>
        <w:autoSpaceDN/>
        <w:adjustRightInd/>
        <w:ind w:left="720"/>
        <w:rPr>
          <w:szCs w:val="20"/>
        </w:rPr>
      </w:pPr>
      <w:r w:rsidRPr="00490905">
        <w:rPr>
          <w:szCs w:val="20"/>
        </w:rPr>
        <w:t>** The hourly labor cost is blended between the wages for multiple staffing levels.</w:t>
      </w:r>
    </w:p>
    <w:p w:rsidR="00AE4CE9" w:rsidP="00AE4CE9" w14:paraId="7704381E" w14:textId="200EA59A">
      <w:pPr>
        <w:widowControl/>
        <w:autoSpaceDE/>
        <w:autoSpaceDN/>
        <w:adjustRightInd/>
        <w:rPr>
          <w:szCs w:val="20"/>
        </w:rPr>
        <w:sectPr w:rsidSect="00730469">
          <w:endnotePr>
            <w:numFmt w:val="decimal"/>
          </w:endnotePr>
          <w:pgSz w:w="15840" w:h="12240" w:orient="landscape"/>
          <w:pgMar w:top="1440" w:right="1440" w:bottom="1440" w:left="1440" w:header="1440" w:footer="720" w:gutter="0"/>
          <w:cols w:space="720"/>
          <w:noEndnote/>
          <w:docGrid w:linePitch="272"/>
        </w:sectPr>
      </w:pPr>
    </w:p>
    <w:p w:rsidR="00992EB5" w:rsidRPr="007E1B2C" w:rsidP="00431554" w14:paraId="2A4A7113" w14:textId="7900D468">
      <w:pPr>
        <w:pStyle w:val="Heading6"/>
      </w:pPr>
      <w:r w:rsidRPr="007E1B2C">
        <w:t xml:space="preserve">Biennial </w:t>
      </w:r>
      <w:r w:rsidRPr="007E1B2C">
        <w:t>Review of EP Policies and Procedures</w:t>
      </w:r>
    </w:p>
    <w:p w:rsidR="001F627B" w:rsidRPr="008241F6" w:rsidP="00DA22C6" w14:paraId="125D9036" w14:textId="49614D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W</w:t>
      </w:r>
      <w:r w:rsidRPr="001F627B">
        <w:rPr>
          <w:sz w:val="24"/>
        </w:rPr>
        <w:t xml:space="preserve">e believe that the requirement for providers to review and update their </w:t>
      </w:r>
      <w:r w:rsidR="0080082D">
        <w:rPr>
          <w:sz w:val="24"/>
        </w:rPr>
        <w:t>policies and procedures</w:t>
      </w:r>
      <w:r w:rsidRPr="001F627B">
        <w:rPr>
          <w:sz w:val="24"/>
        </w:rPr>
        <w:t xml:space="preserve"> </w:t>
      </w:r>
      <w:r w:rsidR="001F5474">
        <w:rPr>
          <w:sz w:val="24"/>
        </w:rPr>
        <w:t xml:space="preserve">every two years (biennially) </w:t>
      </w:r>
      <w:r w:rsidRPr="001F627B">
        <w:rPr>
          <w:sz w:val="24"/>
        </w:rPr>
        <w:t>constitutes a usual and customary business practice</w:t>
      </w:r>
      <w:r w:rsidR="00992EB5">
        <w:rPr>
          <w:sz w:val="24"/>
        </w:rPr>
        <w:t>.</w:t>
      </w:r>
      <w:r>
        <w:rPr>
          <w:rStyle w:val="Style"/>
          <w:sz w:val="24"/>
          <w:szCs w:val="36"/>
        </w:rPr>
        <w:footnoteReference w:id="12"/>
      </w:r>
      <w:r w:rsidR="00992EB5">
        <w:rPr>
          <w:sz w:val="24"/>
        </w:rPr>
        <w:t xml:space="preserve"> Thus</w:t>
      </w:r>
      <w:r w:rsidR="00F86481">
        <w:rPr>
          <w:sz w:val="24"/>
        </w:rPr>
        <w:t xml:space="preserve"> this </w:t>
      </w:r>
      <w:r w:rsidR="000938A3">
        <w:rPr>
          <w:sz w:val="24"/>
        </w:rPr>
        <w:t>IC</w:t>
      </w:r>
      <w:r w:rsidR="007E1B2C">
        <w:rPr>
          <w:sz w:val="24"/>
        </w:rPr>
        <w:t xml:space="preserve"> </w:t>
      </w:r>
      <w:r w:rsidRPr="001F627B">
        <w:rPr>
          <w:sz w:val="24"/>
        </w:rPr>
        <w:t>is not subject to the PRA in accordance with 5 CFR §1320.3(b)(2).</w:t>
      </w:r>
    </w:p>
    <w:p w:rsidR="002E2936" w:rsidP="00DA22C6" w14:paraId="04B9DCC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A0385" w:rsidRPr="00F86481" w:rsidP="00431554" w14:paraId="6956AB48" w14:textId="12E5CC21">
      <w:pPr>
        <w:pStyle w:val="Heading5"/>
      </w:pPr>
      <w:r w:rsidRPr="00F86481">
        <w:t>IC-</w:t>
      </w:r>
      <w:r w:rsidR="005F369B">
        <w:t>3</w:t>
      </w:r>
      <w:r w:rsidRPr="00F86481">
        <w:t xml:space="preserve">: </w:t>
      </w:r>
      <w:r w:rsidR="00821ECC">
        <w:t xml:space="preserve">Develop </w:t>
      </w:r>
      <w:r w:rsidRPr="00F86481">
        <w:t>Communication plan</w:t>
      </w:r>
    </w:p>
    <w:p w:rsidR="00290E79" w:rsidRPr="005C5DE3" w:rsidP="00DA22C6" w14:paraId="5C62655E" w14:textId="6A3E6FC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requirement to develop an emergency preparedness communication plan </w:t>
      </w:r>
      <w:r>
        <w:rPr>
          <w:sz w:val="24"/>
        </w:rPr>
        <w:t>is</w:t>
      </w:r>
      <w:r>
        <w:rPr>
          <w:sz w:val="24"/>
        </w:rPr>
        <w:t xml:space="preserve"> applicable to the following providers:</w:t>
      </w:r>
      <w:r>
        <w:rPr>
          <w:sz w:val="24"/>
        </w:rPr>
        <w:t xml:space="preserve"> </w:t>
      </w:r>
      <w:r w:rsidRPr="008A1272">
        <w:rPr>
          <w:sz w:val="24"/>
        </w:rPr>
        <w:t xml:space="preserve">RNHCIs at </w:t>
      </w:r>
      <w:r w:rsidRPr="008A1272">
        <w:rPr>
          <w:sz w:val="24"/>
          <w:u w:val="single"/>
        </w:rPr>
        <w:t>§403.748(</w:t>
      </w:r>
      <w:r>
        <w:rPr>
          <w:sz w:val="24"/>
          <w:u w:val="single"/>
        </w:rPr>
        <w:t>c</w:t>
      </w:r>
      <w:r w:rsidRPr="008A1272">
        <w:rPr>
          <w:sz w:val="24"/>
          <w:u w:val="single"/>
        </w:rPr>
        <w:t>); ASCs at §416.54(</w:t>
      </w:r>
      <w:r>
        <w:rPr>
          <w:sz w:val="24"/>
          <w:u w:val="single"/>
        </w:rPr>
        <w:t>c</w:t>
      </w:r>
      <w:r w:rsidRPr="008A1272">
        <w:rPr>
          <w:sz w:val="24"/>
          <w:u w:val="single"/>
        </w:rPr>
        <w:t>); Hospices at §418.113(</w:t>
      </w:r>
      <w:r>
        <w:rPr>
          <w:sz w:val="24"/>
          <w:u w:val="single"/>
        </w:rPr>
        <w:t>c</w:t>
      </w:r>
      <w:r w:rsidRPr="008A1272">
        <w:rPr>
          <w:sz w:val="24"/>
          <w:u w:val="single"/>
        </w:rPr>
        <w:t>); PRTFs at §441.184(</w:t>
      </w:r>
      <w:r>
        <w:rPr>
          <w:sz w:val="24"/>
          <w:u w:val="single"/>
        </w:rPr>
        <w:t>c</w:t>
      </w:r>
      <w:r w:rsidRPr="008A1272">
        <w:rPr>
          <w:sz w:val="24"/>
          <w:u w:val="single"/>
        </w:rPr>
        <w:t>); PACE at §460.84(</w:t>
      </w:r>
      <w:r>
        <w:rPr>
          <w:sz w:val="24"/>
          <w:u w:val="single"/>
        </w:rPr>
        <w:t>c</w:t>
      </w:r>
      <w:r w:rsidRPr="008A1272">
        <w:rPr>
          <w:sz w:val="24"/>
          <w:u w:val="single"/>
        </w:rPr>
        <w:t>); Hospitals at §482.15(</w:t>
      </w:r>
      <w:r>
        <w:rPr>
          <w:sz w:val="24"/>
          <w:u w:val="single"/>
        </w:rPr>
        <w:t>c</w:t>
      </w:r>
      <w:r w:rsidRPr="008A1272">
        <w:rPr>
          <w:sz w:val="24"/>
          <w:u w:val="single"/>
        </w:rPr>
        <w:t>); Transplant Programs §482.78(</w:t>
      </w:r>
      <w:r>
        <w:rPr>
          <w:sz w:val="24"/>
          <w:u w:val="single"/>
        </w:rPr>
        <w:t>c</w:t>
      </w:r>
      <w:r w:rsidRPr="008A1272">
        <w:rPr>
          <w:sz w:val="24"/>
          <w:u w:val="single"/>
        </w:rPr>
        <w:t>); ICF/IIDs at §483.475(</w:t>
      </w:r>
      <w:r>
        <w:rPr>
          <w:sz w:val="24"/>
          <w:u w:val="single"/>
        </w:rPr>
        <w:t>c</w:t>
      </w:r>
      <w:r w:rsidRPr="008A1272">
        <w:rPr>
          <w:sz w:val="24"/>
          <w:u w:val="single"/>
        </w:rPr>
        <w:t>); HHAs at §484.102(</w:t>
      </w:r>
      <w:r>
        <w:rPr>
          <w:sz w:val="24"/>
          <w:u w:val="single"/>
        </w:rPr>
        <w:t>c</w:t>
      </w:r>
      <w:r w:rsidRPr="008A1272">
        <w:rPr>
          <w:sz w:val="24"/>
          <w:u w:val="single"/>
        </w:rPr>
        <w:t>); REHs at §485.542(</w:t>
      </w:r>
      <w:r>
        <w:rPr>
          <w:sz w:val="24"/>
          <w:u w:val="single"/>
        </w:rPr>
        <w:t>c</w:t>
      </w:r>
      <w:r w:rsidRPr="008A1272">
        <w:rPr>
          <w:sz w:val="24"/>
          <w:u w:val="single"/>
        </w:rPr>
        <w:t>); CAHs at §485.625(</w:t>
      </w:r>
      <w:r>
        <w:rPr>
          <w:sz w:val="24"/>
          <w:u w:val="single"/>
        </w:rPr>
        <w:t>c</w:t>
      </w:r>
      <w:r w:rsidRPr="008A1272">
        <w:rPr>
          <w:sz w:val="24"/>
          <w:u w:val="single"/>
        </w:rPr>
        <w:t>); CORFs at §485.68(</w:t>
      </w:r>
      <w:r>
        <w:rPr>
          <w:sz w:val="24"/>
          <w:u w:val="single"/>
        </w:rPr>
        <w:t>c</w:t>
      </w:r>
      <w:r w:rsidRPr="008A1272">
        <w:rPr>
          <w:sz w:val="24"/>
          <w:u w:val="single"/>
        </w:rPr>
        <w:t xml:space="preserve">); </w:t>
      </w:r>
      <w:r w:rsidR="00405371">
        <w:rPr>
          <w:sz w:val="24"/>
          <w:u w:val="single"/>
        </w:rPr>
        <w:t>“Organizations”</w:t>
      </w:r>
      <w:r w:rsidRPr="008A1272">
        <w:rPr>
          <w:sz w:val="24"/>
          <w:u w:val="single"/>
        </w:rPr>
        <w:t xml:space="preserve"> at §485.727(</w:t>
      </w:r>
      <w:r>
        <w:rPr>
          <w:sz w:val="24"/>
          <w:u w:val="single"/>
        </w:rPr>
        <w:t>c</w:t>
      </w:r>
      <w:r w:rsidRPr="008A1272">
        <w:rPr>
          <w:sz w:val="24"/>
          <w:u w:val="single"/>
        </w:rPr>
        <w:t>); CMHCs at §485.920(</w:t>
      </w:r>
      <w:r>
        <w:rPr>
          <w:sz w:val="24"/>
          <w:u w:val="single"/>
        </w:rPr>
        <w:t>c</w:t>
      </w:r>
      <w:r w:rsidRPr="008A1272">
        <w:rPr>
          <w:sz w:val="24"/>
          <w:u w:val="single"/>
        </w:rPr>
        <w:t>); OPOs at §486.360(</w:t>
      </w:r>
      <w:r>
        <w:rPr>
          <w:sz w:val="24"/>
          <w:u w:val="single"/>
        </w:rPr>
        <w:t>c</w:t>
      </w:r>
      <w:r w:rsidRPr="008A1272">
        <w:rPr>
          <w:sz w:val="24"/>
          <w:u w:val="single"/>
        </w:rPr>
        <w:t>); RHCs/FQHCs at §491.12(</w:t>
      </w:r>
      <w:r>
        <w:rPr>
          <w:sz w:val="24"/>
          <w:u w:val="single"/>
        </w:rPr>
        <w:t>c</w:t>
      </w:r>
      <w:r w:rsidRPr="008A1272">
        <w:rPr>
          <w:sz w:val="24"/>
          <w:u w:val="single"/>
        </w:rPr>
        <w:t>); ESRD facilities at §494.62(</w:t>
      </w:r>
      <w:r>
        <w:rPr>
          <w:sz w:val="24"/>
          <w:u w:val="single"/>
        </w:rPr>
        <w:t>c</w:t>
      </w:r>
      <w:r w:rsidRPr="008A1272">
        <w:rPr>
          <w:sz w:val="24"/>
          <w:u w:val="single"/>
        </w:rPr>
        <w:t>).</w:t>
      </w:r>
      <w:r w:rsidRPr="005C5DE3">
        <w:rPr>
          <w:sz w:val="24"/>
        </w:rPr>
        <w:t xml:space="preserve"> </w:t>
      </w:r>
    </w:p>
    <w:p w:rsidR="005F369B" w:rsidP="00A0373A" w14:paraId="425DD41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D65EAF" w:rsidP="007E1B2C" w14:paraId="3493A871" w14:textId="733E2B9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Newly certified facilities must </w:t>
      </w:r>
      <w:r w:rsidR="00A0373A">
        <w:rPr>
          <w:sz w:val="24"/>
        </w:rPr>
        <w:t xml:space="preserve">develop </w:t>
      </w:r>
      <w:r w:rsidRPr="000F335A" w:rsidR="00A0373A">
        <w:rPr>
          <w:sz w:val="24"/>
        </w:rPr>
        <w:t>an emergency preparedness communication plan that complies with both federal and state law</w:t>
      </w:r>
      <w:r>
        <w:rPr>
          <w:sz w:val="24"/>
        </w:rPr>
        <w:t>.</w:t>
      </w:r>
      <w:r w:rsidR="007E1B2C">
        <w:rPr>
          <w:sz w:val="24"/>
        </w:rPr>
        <w:t xml:space="preserve"> </w:t>
      </w:r>
      <w:r>
        <w:rPr>
          <w:sz w:val="24"/>
        </w:rPr>
        <w:t xml:space="preserve">Per </w:t>
      </w:r>
      <w:r w:rsidRPr="00E778A9">
        <w:rPr>
          <w:sz w:val="24"/>
        </w:rPr>
        <w:t xml:space="preserve">the </w:t>
      </w:r>
      <w:hyperlink r:id="rId10" w:history="1">
        <w:r w:rsidRPr="00E778A9">
          <w:rPr>
            <w:rStyle w:val="Hyperlink"/>
            <w:sz w:val="24"/>
          </w:rPr>
          <w:t>2016 Final Rule</w:t>
        </w:r>
      </w:hyperlink>
      <w:r>
        <w:rPr>
          <w:sz w:val="24"/>
        </w:rPr>
        <w:t xml:space="preserve">, </w:t>
      </w:r>
      <w:r>
        <w:rPr>
          <w:sz w:val="24"/>
          <w:szCs w:val="32"/>
        </w:rPr>
        <w:t>the emergency preparedness communication plan</w:t>
      </w:r>
      <w:r w:rsidRPr="001A5C2E">
        <w:rPr>
          <w:sz w:val="24"/>
          <w:szCs w:val="32"/>
        </w:rPr>
        <w:t xml:space="preserve"> </w:t>
      </w:r>
      <w:r>
        <w:rPr>
          <w:sz w:val="24"/>
          <w:szCs w:val="32"/>
        </w:rPr>
        <w:t xml:space="preserve">initially developed by </w:t>
      </w:r>
      <w:r w:rsidRPr="001A5C2E">
        <w:rPr>
          <w:sz w:val="24"/>
          <w:szCs w:val="32"/>
        </w:rPr>
        <w:t xml:space="preserve">TJC-accredited ASCs </w:t>
      </w:r>
      <w:r>
        <w:rPr>
          <w:sz w:val="24"/>
          <w:szCs w:val="32"/>
        </w:rPr>
        <w:t xml:space="preserve">and hospitals </w:t>
      </w:r>
      <w:r w:rsidRPr="001A5C2E">
        <w:rPr>
          <w:sz w:val="24"/>
          <w:szCs w:val="32"/>
        </w:rPr>
        <w:t>me</w:t>
      </w:r>
      <w:r>
        <w:rPr>
          <w:sz w:val="24"/>
          <w:szCs w:val="32"/>
        </w:rPr>
        <w:t>e</w:t>
      </w:r>
      <w:r w:rsidRPr="001A5C2E">
        <w:rPr>
          <w:sz w:val="24"/>
          <w:szCs w:val="32"/>
        </w:rPr>
        <w:t xml:space="preserve">t the required standards of this CoP, and thus the burden </w:t>
      </w:r>
      <w:r>
        <w:rPr>
          <w:sz w:val="24"/>
          <w:szCs w:val="32"/>
        </w:rPr>
        <w:t xml:space="preserve">for </w:t>
      </w:r>
      <w:r w:rsidRPr="001A5C2E">
        <w:rPr>
          <w:sz w:val="24"/>
          <w:szCs w:val="32"/>
        </w:rPr>
        <w:t xml:space="preserve">this CoP is seen as usual and customary practice </w:t>
      </w:r>
      <w:r>
        <w:rPr>
          <w:sz w:val="24"/>
          <w:szCs w:val="32"/>
        </w:rPr>
        <w:t>for these providers and is</w:t>
      </w:r>
      <w:r w:rsidRPr="001A5C2E">
        <w:rPr>
          <w:sz w:val="24"/>
          <w:szCs w:val="32"/>
        </w:rPr>
        <w:t xml:space="preserve"> exempt from the PRA under </w:t>
      </w:r>
      <w:r w:rsidRPr="001A5C2E">
        <w:rPr>
          <w:sz w:val="24"/>
        </w:rPr>
        <w:t xml:space="preserve">CFR §1320.3(b)(2). </w:t>
      </w:r>
      <w:r>
        <w:rPr>
          <w:sz w:val="24"/>
        </w:rPr>
        <w:t>However, the communication plan developed by TJC-accredited CAHs and HHAs do not meet the standards required by this CoP and are included in the burden analysis below</w:t>
      </w:r>
      <w:r w:rsidRPr="001A5C2E">
        <w:rPr>
          <w:sz w:val="24"/>
        </w:rPr>
        <w:t>.</w:t>
      </w:r>
      <w:r>
        <w:rPr>
          <w:rStyle w:val="FootnoteReference"/>
          <w:sz w:val="24"/>
          <w:vertAlign w:val="superscript"/>
        </w:rPr>
        <w:footnoteReference w:id="13"/>
      </w:r>
      <w:r w:rsidRPr="001A5C2E">
        <w:rPr>
          <w:sz w:val="24"/>
          <w:vertAlign w:val="superscript"/>
        </w:rPr>
        <w:t xml:space="preserve"> </w:t>
      </w:r>
      <w:r w:rsidRPr="001A5C2E">
        <w:rPr>
          <w:sz w:val="24"/>
        </w:rPr>
        <w:t xml:space="preserve">  </w:t>
      </w:r>
    </w:p>
    <w:p w:rsidR="00D65EAF" w:rsidP="00DA22C6" w14:paraId="5560D37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727D0" w:rsidP="00DA22C6" w14:paraId="567F1751" w14:textId="6B4AA33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w:t>
      </w:r>
      <w:r w:rsidR="005115B5">
        <w:rPr>
          <w:sz w:val="24"/>
        </w:rPr>
        <w:t>every</w:t>
      </w:r>
      <w:r w:rsidR="00906607">
        <w:rPr>
          <w:sz w:val="24"/>
        </w:rPr>
        <w:t xml:space="preserve"> </w:t>
      </w:r>
      <w:r>
        <w:rPr>
          <w:sz w:val="24"/>
        </w:rPr>
        <w:t xml:space="preserve">new Medicare certified </w:t>
      </w:r>
      <w:r w:rsidR="00906607">
        <w:rPr>
          <w:sz w:val="24"/>
        </w:rPr>
        <w:t xml:space="preserve">provider </w:t>
      </w:r>
      <w:r w:rsidR="00B949D1">
        <w:rPr>
          <w:sz w:val="24"/>
        </w:rPr>
        <w:t>that</w:t>
      </w:r>
      <w:r w:rsidR="00906607">
        <w:rPr>
          <w:sz w:val="24"/>
        </w:rPr>
        <w:t xml:space="preserve"> </w:t>
      </w:r>
      <w:r w:rsidR="005115B5">
        <w:rPr>
          <w:sz w:val="24"/>
        </w:rPr>
        <w:t>is</w:t>
      </w:r>
      <w:r w:rsidR="00906607">
        <w:rPr>
          <w:sz w:val="24"/>
        </w:rPr>
        <w:t xml:space="preserve"> not exempt from this information collection</w:t>
      </w:r>
      <w:r>
        <w:rPr>
          <w:sz w:val="24"/>
        </w:rPr>
        <w:t>, w</w:t>
      </w:r>
      <w:r w:rsidRPr="00026C64">
        <w:rPr>
          <w:sz w:val="24"/>
        </w:rPr>
        <w:t>e estimate that a</w:t>
      </w:r>
      <w:r>
        <w:rPr>
          <w:sz w:val="24"/>
        </w:rPr>
        <w:t xml:space="preserve">n </w:t>
      </w:r>
      <w:r w:rsidRPr="00026C64">
        <w:rPr>
          <w:sz w:val="24"/>
        </w:rPr>
        <w:t xml:space="preserve">Administrator </w:t>
      </w:r>
      <w:r>
        <w:rPr>
          <w:sz w:val="24"/>
        </w:rPr>
        <w:t>(</w:t>
      </w:r>
      <w:r w:rsidRPr="002A333C">
        <w:rPr>
          <w:sz w:val="24"/>
        </w:rPr>
        <w:t>Medical and Health Services Manager</w:t>
      </w:r>
      <w:r>
        <w:rPr>
          <w:sz w:val="24"/>
        </w:rPr>
        <w:t xml:space="preserve"> - BLS Occupation Code 11-9111) at a loaded hourly rate of $129, a Registered Nurse (BLS Occupation Code 29-1141) at a loaded hourly rate of $91 and a Facility Director (</w:t>
      </w:r>
      <w:r w:rsidRPr="002A333C">
        <w:rPr>
          <w:sz w:val="24"/>
        </w:rPr>
        <w:t>Administrative Services &amp; Facilities Manager</w:t>
      </w:r>
      <w:r>
        <w:rPr>
          <w:sz w:val="24"/>
        </w:rPr>
        <w:t xml:space="preserve"> – BLS Occupation Code 11-3010) </w:t>
      </w:r>
      <w:r w:rsidRPr="00026C64">
        <w:rPr>
          <w:sz w:val="24"/>
        </w:rPr>
        <w:t xml:space="preserve">at </w:t>
      </w:r>
      <w:r>
        <w:rPr>
          <w:sz w:val="24"/>
        </w:rPr>
        <w:t>a loaded hourly rate of $101</w:t>
      </w:r>
      <w:r w:rsidR="005F369B">
        <w:rPr>
          <w:sz w:val="24"/>
        </w:rPr>
        <w:t xml:space="preserve">, </w:t>
      </w:r>
      <w:r w:rsidRPr="00026C64">
        <w:rPr>
          <w:sz w:val="24"/>
        </w:rPr>
        <w:t xml:space="preserve">would </w:t>
      </w:r>
      <w:r w:rsidR="002555AF">
        <w:rPr>
          <w:sz w:val="24"/>
        </w:rPr>
        <w:t xml:space="preserve">all </w:t>
      </w:r>
      <w:r w:rsidRPr="00026C64">
        <w:rPr>
          <w:sz w:val="24"/>
        </w:rPr>
        <w:t xml:space="preserve">be responsible for </w:t>
      </w:r>
      <w:r>
        <w:rPr>
          <w:sz w:val="24"/>
        </w:rPr>
        <w:t>the initial development of</w:t>
      </w:r>
      <w:r w:rsidRPr="00026C64">
        <w:rPr>
          <w:sz w:val="24"/>
        </w:rPr>
        <w:t xml:space="preserve"> the emergency </w:t>
      </w:r>
      <w:r>
        <w:rPr>
          <w:sz w:val="24"/>
        </w:rPr>
        <w:t xml:space="preserve">preparedness communication plan. </w:t>
      </w:r>
    </w:p>
    <w:p w:rsidR="00C942D6" w:rsidP="00DA22C6" w14:paraId="5776013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F369B" w:rsidP="00DA22C6" w14:paraId="278918C4" w14:textId="1ACCB8C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6 below lays out the one-time burden hours and cost for </w:t>
      </w:r>
      <w:r w:rsidR="00906607">
        <w:rPr>
          <w:sz w:val="24"/>
        </w:rPr>
        <w:t xml:space="preserve">the </w:t>
      </w:r>
      <w:r>
        <w:rPr>
          <w:sz w:val="24"/>
        </w:rPr>
        <w:t>newly certified</w:t>
      </w:r>
      <w:r w:rsidR="00B949D1">
        <w:rPr>
          <w:sz w:val="24"/>
        </w:rPr>
        <w:t xml:space="preserve"> providers</w:t>
      </w:r>
      <w:r w:rsidR="00906607">
        <w:rPr>
          <w:sz w:val="24"/>
        </w:rPr>
        <w:t xml:space="preserve"> </w:t>
      </w:r>
      <w:r w:rsidR="00C319E3">
        <w:rPr>
          <w:sz w:val="24"/>
        </w:rPr>
        <w:t xml:space="preserve">– who are not exempt - </w:t>
      </w:r>
      <w:r>
        <w:rPr>
          <w:sz w:val="24"/>
        </w:rPr>
        <w:t xml:space="preserve">to develop </w:t>
      </w:r>
      <w:r w:rsidRPr="00026C64">
        <w:rPr>
          <w:sz w:val="24"/>
        </w:rPr>
        <w:t xml:space="preserve">the </w:t>
      </w:r>
      <w:r>
        <w:rPr>
          <w:sz w:val="24"/>
        </w:rPr>
        <w:t xml:space="preserve">initial </w:t>
      </w:r>
      <w:r w:rsidRPr="00026C64">
        <w:rPr>
          <w:sz w:val="24"/>
        </w:rPr>
        <w:t xml:space="preserve">emergency </w:t>
      </w:r>
      <w:r>
        <w:rPr>
          <w:sz w:val="24"/>
        </w:rPr>
        <w:t xml:space="preserve">preparedness communication plan. </w:t>
      </w:r>
      <w:r w:rsidRPr="000938A3">
        <w:rPr>
          <w:sz w:val="24"/>
        </w:rPr>
        <w:t xml:space="preserve">We estimate the total collection of information burden impacting the </w:t>
      </w:r>
      <w:r>
        <w:rPr>
          <w:sz w:val="24"/>
        </w:rPr>
        <w:t>2,86</w:t>
      </w:r>
      <w:r w:rsidR="00FB7A4F">
        <w:rPr>
          <w:sz w:val="24"/>
        </w:rPr>
        <w:t>4</w:t>
      </w:r>
      <w:r>
        <w:rPr>
          <w:sz w:val="24"/>
        </w:rPr>
        <w:t xml:space="preserve"> newly certified</w:t>
      </w:r>
      <w:r w:rsidR="00B949D1">
        <w:rPr>
          <w:sz w:val="24"/>
        </w:rPr>
        <w:t>, non-exempt</w:t>
      </w:r>
      <w:r>
        <w:rPr>
          <w:sz w:val="24"/>
        </w:rPr>
        <w:t xml:space="preserve"> </w:t>
      </w:r>
      <w:r w:rsidRPr="000938A3">
        <w:rPr>
          <w:sz w:val="24"/>
        </w:rPr>
        <w:t xml:space="preserve">providers and suppliers is </w:t>
      </w:r>
      <w:r w:rsidR="00FB7A4F">
        <w:rPr>
          <w:sz w:val="24"/>
        </w:rPr>
        <w:t>16</w:t>
      </w:r>
      <w:r>
        <w:rPr>
          <w:sz w:val="24"/>
        </w:rPr>
        <w:t>,3</w:t>
      </w:r>
      <w:r w:rsidR="00FB7A4F">
        <w:rPr>
          <w:sz w:val="24"/>
        </w:rPr>
        <w:t>1</w:t>
      </w:r>
      <w:r>
        <w:rPr>
          <w:sz w:val="24"/>
        </w:rPr>
        <w:t>8</w:t>
      </w:r>
      <w:r w:rsidRPr="000938A3">
        <w:rPr>
          <w:sz w:val="24"/>
        </w:rPr>
        <w:t xml:space="preserve"> burden hours at an annual cost of </w:t>
      </w:r>
      <w:r w:rsidRPr="00914449">
        <w:rPr>
          <w:sz w:val="24"/>
        </w:rPr>
        <w:t>$</w:t>
      </w:r>
      <w:r w:rsidR="00FB7A4F">
        <w:rPr>
          <w:sz w:val="24"/>
        </w:rPr>
        <w:t>5,238,078</w:t>
      </w:r>
      <w:r>
        <w:rPr>
          <w:sz w:val="24"/>
        </w:rPr>
        <w:t>, see Table 6.</w:t>
      </w:r>
    </w:p>
    <w:p w:rsidR="001502D5" w:rsidP="00DA22C6" w14:paraId="5E86E11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E1B2C" w:rsidP="00321166" w14:paraId="62FA532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Cs w:val="20"/>
        </w:rPr>
      </w:pPr>
      <w:r>
        <w:rPr>
          <w:b/>
          <w:bCs/>
          <w:color w:val="000000"/>
          <w:szCs w:val="20"/>
        </w:rPr>
        <w:br w:type="page"/>
      </w:r>
    </w:p>
    <w:p w:rsidR="001502D5" w:rsidRPr="007E1B2C" w:rsidP="00431554" w14:paraId="777730EF" w14:textId="1918AEE5">
      <w:pPr>
        <w:pStyle w:val="Heading6"/>
      </w:pPr>
      <w:r w:rsidRPr="007E1B2C">
        <w:t>Table</w:t>
      </w:r>
      <w:r w:rsidRPr="007E1B2C" w:rsidR="005A6F5A">
        <w:t xml:space="preserve"> 6</w:t>
      </w:r>
      <w:r w:rsidRPr="007E1B2C" w:rsidR="005F369B">
        <w:t xml:space="preserve"> - IC-3</w:t>
      </w:r>
      <w:r w:rsidRPr="007E1B2C" w:rsidR="005A6F5A">
        <w:t xml:space="preserve"> - </w:t>
      </w:r>
      <w:r w:rsidRPr="007E1B2C">
        <w:t xml:space="preserve">Burden Hours and Cost Estimates for </w:t>
      </w:r>
      <w:r w:rsidRPr="007E1B2C" w:rsidR="000A6DB5">
        <w:t xml:space="preserve">Newly Certified Facilities </w:t>
      </w:r>
      <w:r w:rsidRPr="007E1B2C">
        <w:t>to Develop Emergency Preparedness Communication Plan</w:t>
      </w:r>
    </w:p>
    <w:tbl>
      <w:tblPr>
        <w:tblW w:w="10170" w:type="dxa"/>
        <w:tblInd w:w="-100" w:type="dxa"/>
        <w:tblLayout w:type="fixed"/>
        <w:tblLook w:val="04A0"/>
      </w:tblPr>
      <w:tblGrid>
        <w:gridCol w:w="540"/>
        <w:gridCol w:w="2160"/>
        <w:gridCol w:w="1170"/>
        <w:gridCol w:w="1080"/>
        <w:gridCol w:w="1170"/>
        <w:gridCol w:w="1080"/>
        <w:gridCol w:w="900"/>
        <w:gridCol w:w="900"/>
        <w:gridCol w:w="1170"/>
      </w:tblGrid>
      <w:tr w14:paraId="11B5B5DD" w14:textId="77777777" w:rsidTr="00F03863">
        <w:tblPrEx>
          <w:tblW w:w="10170" w:type="dxa"/>
          <w:tblInd w:w="-100" w:type="dxa"/>
          <w:tblLayout w:type="fixed"/>
          <w:tblLook w:val="04A0"/>
        </w:tblPrEx>
        <w:trPr>
          <w:trHeight w:val="804"/>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F4FCE" w:rsidRPr="005D3EDE" w:rsidP="00504F85" w14:paraId="41A083DA" w14:textId="24F2FADE">
            <w:pPr>
              <w:widowControl/>
              <w:autoSpaceDE/>
              <w:autoSpaceDN/>
              <w:adjustRightInd/>
              <w:jc w:val="center"/>
              <w:rPr>
                <w:b/>
                <w:bCs/>
                <w:color w:val="000000"/>
                <w:szCs w:val="20"/>
              </w:rPr>
            </w:pPr>
            <w:r>
              <w:rPr>
                <w:b/>
                <w:bCs/>
                <w:color w:val="000000"/>
                <w:szCs w:val="20"/>
              </w:rPr>
              <w:t>No.</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RPr="005D3EDE" w:rsidP="00504F85" w14:paraId="35D46F63" w14:textId="544DA42F">
            <w:pPr>
              <w:widowControl/>
              <w:autoSpaceDE/>
              <w:autoSpaceDN/>
              <w:adjustRightInd/>
              <w:jc w:val="center"/>
              <w:rPr>
                <w:b/>
                <w:bCs/>
                <w:color w:val="000000"/>
                <w:szCs w:val="20"/>
              </w:rPr>
            </w:pPr>
            <w:r w:rsidRPr="005D3EDE">
              <w:rPr>
                <w:b/>
                <w:bCs/>
                <w:color w:val="000000"/>
                <w:szCs w:val="20"/>
              </w:rPr>
              <w:t>Provider or Supplier Type </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31C1E8CE" w14:textId="77777777">
            <w:pPr>
              <w:widowControl/>
              <w:autoSpaceDE/>
              <w:autoSpaceDN/>
              <w:adjustRightInd/>
              <w:jc w:val="center"/>
              <w:rPr>
                <w:b/>
                <w:bCs/>
                <w:szCs w:val="20"/>
              </w:rPr>
            </w:pPr>
            <w:r>
              <w:rPr>
                <w:b/>
                <w:bCs/>
                <w:szCs w:val="20"/>
              </w:rPr>
              <w:t>42</w:t>
            </w:r>
          </w:p>
          <w:p w:rsidR="001F4FCE" w:rsidRPr="005D3EDE" w:rsidP="00504F85" w14:paraId="770CF761" w14:textId="77777777">
            <w:pPr>
              <w:widowControl/>
              <w:autoSpaceDE/>
              <w:autoSpaceDN/>
              <w:adjustRightInd/>
              <w:jc w:val="center"/>
              <w:rPr>
                <w:b/>
                <w:bCs/>
                <w:szCs w:val="20"/>
              </w:rPr>
            </w:pPr>
            <w:r w:rsidRPr="00DA22C6">
              <w:rPr>
                <w:b/>
                <w:bCs/>
                <w:szCs w:val="20"/>
              </w:rPr>
              <w:t>CFR</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RPr="005D3EDE" w:rsidP="00504F85" w14:paraId="477B4E8E" w14:textId="77777777">
            <w:pPr>
              <w:widowControl/>
              <w:autoSpaceDE/>
              <w:autoSpaceDN/>
              <w:adjustRightInd/>
              <w:jc w:val="center"/>
              <w:rPr>
                <w:b/>
                <w:bCs/>
                <w:szCs w:val="20"/>
              </w:rPr>
            </w:pPr>
            <w:r w:rsidRPr="005D3EDE">
              <w:rPr>
                <w:b/>
                <w:bCs/>
                <w:szCs w:val="20"/>
              </w:rPr>
              <w:t>Newly Certified Facilities/# of Respondents</w:t>
            </w:r>
          </w:p>
          <w:p w:rsidR="001F4FCE" w:rsidRPr="00F527CD" w:rsidP="00504F85" w14:paraId="60818369" w14:textId="77777777">
            <w:pPr>
              <w:widowControl/>
              <w:autoSpaceDE/>
              <w:autoSpaceDN/>
              <w:adjustRightInd/>
              <w:jc w:val="center"/>
              <w:rPr>
                <w:szCs w:val="20"/>
              </w:rPr>
            </w:pPr>
            <w:r w:rsidRPr="00F527CD">
              <w:rPr>
                <w:szCs w:val="20"/>
              </w:rPr>
              <w:t>(a)</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639B4D93" w14:textId="77777777">
            <w:pPr>
              <w:widowControl/>
              <w:autoSpaceDE/>
              <w:autoSpaceDN/>
              <w:adjustRightInd/>
              <w:jc w:val="center"/>
              <w:rPr>
                <w:b/>
                <w:bCs/>
                <w:szCs w:val="20"/>
              </w:rPr>
            </w:pPr>
          </w:p>
          <w:p w:rsidR="001F4FCE" w:rsidP="00504F85" w14:paraId="7DD557D8" w14:textId="77777777">
            <w:pPr>
              <w:widowControl/>
              <w:autoSpaceDE/>
              <w:autoSpaceDN/>
              <w:adjustRightInd/>
              <w:jc w:val="center"/>
              <w:rPr>
                <w:b/>
                <w:bCs/>
                <w:szCs w:val="20"/>
              </w:rPr>
            </w:pPr>
          </w:p>
          <w:p w:rsidR="001F4FCE" w:rsidP="00504F85" w14:paraId="57FBF8F6" w14:textId="77777777">
            <w:pPr>
              <w:widowControl/>
              <w:autoSpaceDE/>
              <w:autoSpaceDN/>
              <w:adjustRightInd/>
              <w:jc w:val="center"/>
              <w:rPr>
                <w:b/>
                <w:bCs/>
                <w:szCs w:val="20"/>
              </w:rPr>
            </w:pPr>
            <w:r w:rsidRPr="005D3EDE">
              <w:rPr>
                <w:b/>
                <w:bCs/>
                <w:szCs w:val="20"/>
              </w:rPr>
              <w:t xml:space="preserve"># of Responses </w:t>
            </w:r>
          </w:p>
          <w:p w:rsidR="001F4FCE" w:rsidP="00504F85" w14:paraId="01BA44BB" w14:textId="77777777">
            <w:pPr>
              <w:widowControl/>
              <w:autoSpaceDE/>
              <w:autoSpaceDN/>
              <w:adjustRightInd/>
              <w:jc w:val="center"/>
              <w:rPr>
                <w:b/>
                <w:bCs/>
                <w:szCs w:val="20"/>
              </w:rPr>
            </w:pPr>
          </w:p>
          <w:p w:rsidR="001F4FCE" w:rsidRPr="005D3EDE" w:rsidP="00504F85" w14:paraId="2B8DCD80" w14:textId="77777777">
            <w:pPr>
              <w:widowControl/>
              <w:autoSpaceDE/>
              <w:autoSpaceDN/>
              <w:adjustRightInd/>
              <w:jc w:val="center"/>
              <w:rPr>
                <w:b/>
                <w:bCs/>
                <w:szCs w:val="20"/>
              </w:rPr>
            </w:pPr>
          </w:p>
          <w:p w:rsidR="001F4FCE" w:rsidRPr="00F527CD" w:rsidP="00504F85" w14:paraId="61EB6205" w14:textId="77777777">
            <w:pPr>
              <w:widowControl/>
              <w:autoSpaceDE/>
              <w:autoSpaceDN/>
              <w:adjustRightInd/>
              <w:jc w:val="center"/>
              <w:rPr>
                <w:szCs w:val="20"/>
              </w:rPr>
            </w:pPr>
            <w:r w:rsidRPr="00F527CD">
              <w:rPr>
                <w:szCs w:val="20"/>
              </w:rPr>
              <w:t>(b = a x 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64383EF2" w14:textId="77777777">
            <w:pPr>
              <w:widowControl/>
              <w:autoSpaceDE/>
              <w:autoSpaceDN/>
              <w:adjustRightInd/>
              <w:jc w:val="center"/>
              <w:rPr>
                <w:b/>
                <w:bCs/>
                <w:szCs w:val="20"/>
              </w:rPr>
            </w:pPr>
          </w:p>
          <w:p w:rsidR="001F4FCE" w:rsidP="00504F85" w14:paraId="1E1C3A7B" w14:textId="337D2D1B">
            <w:pPr>
              <w:widowControl/>
              <w:autoSpaceDE/>
              <w:autoSpaceDN/>
              <w:adjustRightInd/>
              <w:jc w:val="center"/>
              <w:rPr>
                <w:b/>
                <w:bCs/>
                <w:szCs w:val="20"/>
              </w:rPr>
            </w:pPr>
            <w:r w:rsidRPr="005D3EDE">
              <w:rPr>
                <w:b/>
                <w:bCs/>
                <w:szCs w:val="20"/>
              </w:rPr>
              <w:t xml:space="preserve">Burden </w:t>
            </w:r>
            <w:r w:rsidRPr="005D3EDE">
              <w:rPr>
                <w:b/>
                <w:bCs/>
                <w:szCs w:val="20"/>
              </w:rPr>
              <w:t>Hrs</w:t>
            </w:r>
            <w:r w:rsidRPr="005D3EDE">
              <w:rPr>
                <w:b/>
                <w:bCs/>
                <w:szCs w:val="20"/>
              </w:rPr>
              <w:t xml:space="preserve"> Per Response</w:t>
            </w:r>
          </w:p>
          <w:p w:rsidR="001F4FCE" w:rsidRPr="00A46CC0" w:rsidP="00504F85" w14:paraId="3BFC30F0" w14:textId="77777777">
            <w:pPr>
              <w:widowControl/>
              <w:autoSpaceDE/>
              <w:autoSpaceDN/>
              <w:adjustRightInd/>
              <w:jc w:val="center"/>
              <w:rPr>
                <w:b/>
                <w:bCs/>
                <w:szCs w:val="20"/>
              </w:rPr>
            </w:pPr>
            <w:r w:rsidRPr="00A46CC0">
              <w:rPr>
                <w:b/>
                <w:bCs/>
                <w:szCs w:val="20"/>
              </w:rPr>
              <w:t>*</w:t>
            </w:r>
          </w:p>
          <w:p w:rsidR="001F4FCE" w:rsidP="00504F85" w14:paraId="22228B06" w14:textId="77777777">
            <w:pPr>
              <w:widowControl/>
              <w:autoSpaceDE/>
              <w:autoSpaceDN/>
              <w:adjustRightInd/>
              <w:jc w:val="center"/>
              <w:rPr>
                <w:szCs w:val="20"/>
              </w:rPr>
            </w:pPr>
          </w:p>
          <w:p w:rsidR="001F4FCE" w:rsidRPr="00F527CD" w:rsidP="00504F85" w14:paraId="531EFCC4" w14:textId="709F162C">
            <w:pPr>
              <w:widowControl/>
              <w:autoSpaceDE/>
              <w:autoSpaceDN/>
              <w:adjustRightInd/>
              <w:jc w:val="center"/>
              <w:rPr>
                <w:szCs w:val="20"/>
              </w:rPr>
            </w:pPr>
            <w:r w:rsidRPr="00F527CD">
              <w:rPr>
                <w:szCs w:val="20"/>
              </w:rPr>
              <w:t xml:space="preserve">(c)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55C39FEC" w14:textId="77777777">
            <w:pPr>
              <w:widowControl/>
              <w:autoSpaceDE/>
              <w:autoSpaceDN/>
              <w:adjustRightInd/>
              <w:jc w:val="center"/>
              <w:rPr>
                <w:b/>
                <w:bCs/>
                <w:szCs w:val="20"/>
              </w:rPr>
            </w:pPr>
          </w:p>
          <w:p w:rsidR="001F4FCE" w:rsidRPr="005D3EDE" w:rsidP="00504F85" w14:paraId="66D3CFAE" w14:textId="14FD5571">
            <w:pPr>
              <w:widowControl/>
              <w:autoSpaceDE/>
              <w:autoSpaceDN/>
              <w:adjustRightInd/>
              <w:jc w:val="center"/>
              <w:rPr>
                <w:b/>
                <w:bCs/>
                <w:szCs w:val="20"/>
              </w:rPr>
            </w:pPr>
            <w:r w:rsidRPr="005D3EDE">
              <w:rPr>
                <w:b/>
                <w:bCs/>
                <w:szCs w:val="20"/>
              </w:rPr>
              <w:t>Total Burden Hours</w:t>
            </w:r>
          </w:p>
          <w:p w:rsidR="001F4FCE" w:rsidP="00504F85" w14:paraId="12C829CC" w14:textId="77777777">
            <w:pPr>
              <w:widowControl/>
              <w:autoSpaceDE/>
              <w:autoSpaceDN/>
              <w:adjustRightInd/>
              <w:jc w:val="center"/>
              <w:rPr>
                <w:szCs w:val="20"/>
              </w:rPr>
            </w:pPr>
          </w:p>
          <w:p w:rsidR="001F4FCE" w:rsidRPr="00F527CD" w:rsidP="00504F85" w14:paraId="4FD71DFC" w14:textId="4AA76485">
            <w:pPr>
              <w:widowControl/>
              <w:autoSpaceDE/>
              <w:autoSpaceDN/>
              <w:adjustRightInd/>
              <w:jc w:val="center"/>
              <w:rPr>
                <w:szCs w:val="20"/>
              </w:rPr>
            </w:pPr>
            <w:r w:rsidRPr="00F527CD">
              <w:rPr>
                <w:szCs w:val="20"/>
              </w:rPr>
              <w:t>(d = b x c)</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0AA6299D" w14:textId="77777777">
            <w:pPr>
              <w:widowControl/>
              <w:autoSpaceDE/>
              <w:autoSpaceDN/>
              <w:adjustRightInd/>
              <w:jc w:val="center"/>
              <w:rPr>
                <w:b/>
                <w:bCs/>
                <w:szCs w:val="20"/>
              </w:rPr>
            </w:pPr>
          </w:p>
          <w:p w:rsidR="001F4FCE" w:rsidP="00504F85" w14:paraId="1B6E969A" w14:textId="77777777">
            <w:pPr>
              <w:widowControl/>
              <w:autoSpaceDE/>
              <w:autoSpaceDN/>
              <w:adjustRightInd/>
              <w:jc w:val="center"/>
              <w:rPr>
                <w:b/>
                <w:bCs/>
                <w:szCs w:val="20"/>
              </w:rPr>
            </w:pPr>
          </w:p>
          <w:p w:rsidR="001F4FCE" w:rsidP="00504F85" w14:paraId="23971014" w14:textId="77777777">
            <w:pPr>
              <w:widowControl/>
              <w:autoSpaceDE/>
              <w:autoSpaceDN/>
              <w:adjustRightInd/>
              <w:jc w:val="center"/>
              <w:rPr>
                <w:b/>
                <w:bCs/>
                <w:szCs w:val="20"/>
              </w:rPr>
            </w:pPr>
            <w:r w:rsidRPr="005D3EDE">
              <w:rPr>
                <w:b/>
                <w:bCs/>
                <w:szCs w:val="20"/>
              </w:rPr>
              <w:t>Hourly Wage</w:t>
            </w:r>
          </w:p>
          <w:p w:rsidR="001F4FCE" w:rsidP="00504F85" w14:paraId="755090E6" w14:textId="77777777">
            <w:pPr>
              <w:widowControl/>
              <w:autoSpaceDE/>
              <w:autoSpaceDN/>
              <w:adjustRightInd/>
              <w:jc w:val="center"/>
              <w:rPr>
                <w:b/>
                <w:bCs/>
                <w:szCs w:val="20"/>
              </w:rPr>
            </w:pPr>
            <w:r>
              <w:rPr>
                <w:b/>
                <w:bCs/>
                <w:szCs w:val="20"/>
              </w:rPr>
              <w:t>**</w:t>
            </w:r>
          </w:p>
          <w:p w:rsidR="001F4FCE" w:rsidP="00504F85" w14:paraId="1E0B5D5C" w14:textId="77777777">
            <w:pPr>
              <w:widowControl/>
              <w:autoSpaceDE/>
              <w:autoSpaceDN/>
              <w:adjustRightInd/>
              <w:jc w:val="center"/>
              <w:rPr>
                <w:szCs w:val="20"/>
              </w:rPr>
            </w:pPr>
          </w:p>
          <w:p w:rsidR="001F4FCE" w:rsidRPr="00F527CD" w:rsidP="00504F85" w14:paraId="0E4FA778" w14:textId="7F168579">
            <w:pPr>
              <w:widowControl/>
              <w:autoSpaceDE/>
              <w:autoSpaceDN/>
              <w:adjustRightInd/>
              <w:jc w:val="center"/>
              <w:rPr>
                <w:szCs w:val="20"/>
              </w:rPr>
            </w:pPr>
            <w:r w:rsidRPr="00F527CD">
              <w:rPr>
                <w:szCs w:val="20"/>
              </w:rPr>
              <w:t>(e)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20D84F82" w14:textId="77777777">
            <w:pPr>
              <w:widowControl/>
              <w:autoSpaceDE/>
              <w:autoSpaceDN/>
              <w:adjustRightInd/>
              <w:jc w:val="center"/>
              <w:rPr>
                <w:b/>
                <w:bCs/>
                <w:szCs w:val="20"/>
              </w:rPr>
            </w:pPr>
          </w:p>
          <w:p w:rsidR="001F4FCE" w:rsidP="00504F85" w14:paraId="0B757103" w14:textId="77777777">
            <w:pPr>
              <w:widowControl/>
              <w:autoSpaceDE/>
              <w:autoSpaceDN/>
              <w:adjustRightInd/>
              <w:jc w:val="center"/>
              <w:rPr>
                <w:b/>
                <w:bCs/>
                <w:szCs w:val="20"/>
              </w:rPr>
            </w:pPr>
          </w:p>
          <w:p w:rsidR="001F4FCE" w:rsidP="00504F85" w14:paraId="256EE873" w14:textId="77777777">
            <w:pPr>
              <w:widowControl/>
              <w:autoSpaceDE/>
              <w:autoSpaceDN/>
              <w:adjustRightInd/>
              <w:jc w:val="center"/>
              <w:rPr>
                <w:b/>
                <w:bCs/>
                <w:szCs w:val="20"/>
              </w:rPr>
            </w:pPr>
            <w:r w:rsidRPr="005D3EDE">
              <w:rPr>
                <w:b/>
                <w:bCs/>
                <w:szCs w:val="20"/>
              </w:rPr>
              <w:t>Total Cost Estimate</w:t>
            </w:r>
          </w:p>
          <w:p w:rsidR="001F4FCE" w:rsidP="00504F85" w14:paraId="4492E15D" w14:textId="77777777">
            <w:pPr>
              <w:widowControl/>
              <w:autoSpaceDE/>
              <w:autoSpaceDN/>
              <w:adjustRightInd/>
              <w:jc w:val="center"/>
              <w:rPr>
                <w:b/>
                <w:bCs/>
                <w:szCs w:val="20"/>
              </w:rPr>
            </w:pPr>
          </w:p>
          <w:p w:rsidR="001F4FCE" w:rsidRPr="005D3EDE" w:rsidP="00504F85" w14:paraId="7D07E145" w14:textId="77777777">
            <w:pPr>
              <w:widowControl/>
              <w:autoSpaceDE/>
              <w:autoSpaceDN/>
              <w:adjustRightInd/>
              <w:jc w:val="center"/>
              <w:rPr>
                <w:b/>
                <w:bCs/>
                <w:szCs w:val="20"/>
              </w:rPr>
            </w:pPr>
          </w:p>
          <w:p w:rsidR="001F4FCE" w:rsidRPr="00F527CD" w:rsidP="00504F85" w14:paraId="51DC765D" w14:textId="320F5A95">
            <w:pPr>
              <w:widowControl/>
              <w:autoSpaceDE/>
              <w:autoSpaceDN/>
              <w:adjustRightInd/>
              <w:jc w:val="center"/>
              <w:rPr>
                <w:szCs w:val="20"/>
              </w:rPr>
            </w:pPr>
            <w:r w:rsidRPr="00F527CD">
              <w:rPr>
                <w:szCs w:val="20"/>
              </w:rPr>
              <w:t>(f</w:t>
            </w:r>
            <w:r>
              <w:rPr>
                <w:szCs w:val="20"/>
              </w:rPr>
              <w:t xml:space="preserve"> </w:t>
            </w:r>
            <w:r w:rsidRPr="00F527CD">
              <w:rPr>
                <w:szCs w:val="20"/>
              </w:rPr>
              <w:t>= d x e )</w:t>
            </w:r>
          </w:p>
        </w:tc>
      </w:tr>
      <w:tr w14:paraId="7B3B90F9"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122DAE" w:rsidP="001F4FCE" w14:paraId="02D6A2A4" w14:textId="0C34F80C">
            <w:pPr>
              <w:widowControl/>
              <w:autoSpaceDE/>
              <w:autoSpaceDN/>
              <w:adjustRightInd/>
              <w:jc w:val="center"/>
              <w:rPr>
                <w:color w:val="000000"/>
                <w:szCs w:val="20"/>
              </w:rPr>
            </w:pPr>
            <w:r>
              <w:rPr>
                <w:color w:val="000000"/>
                <w:szCs w:val="20"/>
              </w:rPr>
              <w:t>1</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09150004" w14:textId="45EF27CC">
            <w:pPr>
              <w:widowControl/>
              <w:autoSpaceDE/>
              <w:autoSpaceDN/>
              <w:adjustRightInd/>
              <w:rPr>
                <w:color w:val="000000"/>
                <w:szCs w:val="20"/>
              </w:rPr>
            </w:pPr>
            <w:r w:rsidRPr="00122DAE">
              <w:rPr>
                <w:color w:val="000000"/>
                <w:szCs w:val="20"/>
              </w:rPr>
              <w:t>ASCs</w:t>
            </w:r>
            <w:r>
              <w:rPr>
                <w:color w:val="000000"/>
                <w:szCs w:val="20"/>
              </w:rPr>
              <w:t xml:space="preserve"> - </w:t>
            </w:r>
            <w:r w:rsidRPr="00122DAE">
              <w:rPr>
                <w:color w:val="000000"/>
                <w:szCs w:val="20"/>
              </w:rPr>
              <w:t>Non-TJC Accredited</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05AE4451" w14:textId="77777777">
            <w:pPr>
              <w:widowControl/>
              <w:autoSpaceDE/>
              <w:autoSpaceDN/>
              <w:adjustRightInd/>
              <w:rPr>
                <w:color w:val="000000"/>
                <w:sz w:val="18"/>
                <w:szCs w:val="22"/>
              </w:rPr>
            </w:pPr>
            <w:r w:rsidRPr="00FE183A">
              <w:rPr>
                <w:sz w:val="18"/>
                <w:szCs w:val="22"/>
              </w:rPr>
              <w:t>§ 416.54(c)</w:t>
            </w:r>
          </w:p>
        </w:tc>
        <w:tc>
          <w:tcPr>
            <w:tcW w:w="1080" w:type="dxa"/>
            <w:tcBorders>
              <w:top w:val="single" w:sz="4" w:space="0" w:color="auto"/>
              <w:left w:val="nil"/>
              <w:bottom w:val="single" w:sz="4" w:space="0" w:color="auto"/>
              <w:right w:val="single" w:sz="4" w:space="0" w:color="auto"/>
            </w:tcBorders>
            <w:noWrap/>
            <w:vAlign w:val="bottom"/>
            <w:hideMark/>
          </w:tcPr>
          <w:p w:rsidR="001F4FCE" w:rsidRPr="00DA22C6" w:rsidP="00D72EFC" w14:paraId="097F8702" w14:textId="77777777">
            <w:pPr>
              <w:widowControl/>
              <w:autoSpaceDE/>
              <w:autoSpaceDN/>
              <w:adjustRightInd/>
              <w:jc w:val="center"/>
              <w:rPr>
                <w:szCs w:val="20"/>
              </w:rPr>
            </w:pPr>
            <w:r w:rsidRPr="00DA22C6">
              <w:rPr>
                <w:szCs w:val="20"/>
              </w:rPr>
              <w:t>191</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D72EFC" w14:paraId="7C6B1850" w14:textId="77777777">
            <w:pPr>
              <w:widowControl/>
              <w:autoSpaceDE/>
              <w:autoSpaceDN/>
              <w:adjustRightInd/>
              <w:jc w:val="center"/>
              <w:rPr>
                <w:color w:val="000000"/>
                <w:szCs w:val="20"/>
              </w:rPr>
            </w:pPr>
            <w:r w:rsidRPr="00DA22C6">
              <w:rPr>
                <w:color w:val="000000"/>
                <w:szCs w:val="20"/>
              </w:rPr>
              <w:t>191</w:t>
            </w:r>
          </w:p>
        </w:tc>
        <w:tc>
          <w:tcPr>
            <w:tcW w:w="1080" w:type="dxa"/>
            <w:tcBorders>
              <w:top w:val="single" w:sz="4" w:space="0" w:color="auto"/>
              <w:left w:val="nil"/>
              <w:bottom w:val="single" w:sz="4" w:space="0" w:color="auto"/>
              <w:right w:val="single" w:sz="4" w:space="0" w:color="auto"/>
            </w:tcBorders>
            <w:vAlign w:val="bottom"/>
            <w:hideMark/>
          </w:tcPr>
          <w:p w:rsidR="001F4FCE" w:rsidRPr="00DA22C6" w:rsidP="00D72EFC" w14:paraId="3390A4EE" w14:textId="29150374">
            <w:pPr>
              <w:widowControl/>
              <w:autoSpaceDE/>
              <w:autoSpaceDN/>
              <w:adjustRightInd/>
              <w:jc w:val="center"/>
              <w:rPr>
                <w:szCs w:val="20"/>
              </w:rPr>
            </w:pPr>
            <w:r w:rsidRPr="00DA22C6">
              <w:rPr>
                <w:szCs w:val="20"/>
              </w:rPr>
              <w:t>4</w:t>
            </w:r>
          </w:p>
        </w:tc>
        <w:tc>
          <w:tcPr>
            <w:tcW w:w="900" w:type="dxa"/>
            <w:tcBorders>
              <w:top w:val="single" w:sz="4" w:space="0" w:color="auto"/>
              <w:left w:val="nil"/>
              <w:bottom w:val="single" w:sz="4" w:space="0" w:color="auto"/>
              <w:right w:val="single" w:sz="4" w:space="0" w:color="auto"/>
            </w:tcBorders>
            <w:noWrap/>
            <w:vAlign w:val="bottom"/>
            <w:hideMark/>
          </w:tcPr>
          <w:p w:rsidR="001F4FCE" w:rsidRPr="00DA22C6" w:rsidP="00D72EFC" w14:paraId="4F141FA4" w14:textId="77777777">
            <w:pPr>
              <w:widowControl/>
              <w:autoSpaceDE/>
              <w:autoSpaceDN/>
              <w:adjustRightInd/>
              <w:jc w:val="center"/>
              <w:rPr>
                <w:color w:val="000000"/>
                <w:szCs w:val="20"/>
              </w:rPr>
            </w:pPr>
            <w:r w:rsidRPr="00DA22C6">
              <w:rPr>
                <w:color w:val="000000"/>
                <w:szCs w:val="20"/>
              </w:rPr>
              <w:t>764</w:t>
            </w:r>
          </w:p>
        </w:tc>
        <w:tc>
          <w:tcPr>
            <w:tcW w:w="900" w:type="dxa"/>
            <w:tcBorders>
              <w:top w:val="single" w:sz="4" w:space="0" w:color="auto"/>
              <w:left w:val="nil"/>
              <w:bottom w:val="single" w:sz="4" w:space="0" w:color="auto"/>
              <w:right w:val="single" w:sz="4" w:space="0" w:color="auto"/>
            </w:tcBorders>
            <w:noWrap/>
            <w:vAlign w:val="center"/>
            <w:hideMark/>
          </w:tcPr>
          <w:p w:rsidR="001F4FCE" w:rsidRPr="00DA22C6" w:rsidP="00D72EFC" w14:paraId="520EC6F8" w14:textId="77777777">
            <w:pPr>
              <w:widowControl/>
              <w:autoSpaceDE/>
              <w:autoSpaceDN/>
              <w:adjustRightInd/>
              <w:jc w:val="center"/>
              <w:rPr>
                <w:color w:val="000000"/>
                <w:szCs w:val="20"/>
              </w:rPr>
            </w:pPr>
            <w:r w:rsidRPr="00EC2D57">
              <w:rPr>
                <w:color w:val="000000"/>
                <w:szCs w:val="20"/>
              </w:rPr>
              <w:t>**</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D72EFC" w14:paraId="1BF4039E" w14:textId="77777777">
            <w:pPr>
              <w:widowControl/>
              <w:autoSpaceDE/>
              <w:autoSpaceDN/>
              <w:adjustRightInd/>
              <w:jc w:val="right"/>
              <w:rPr>
                <w:color w:val="000000"/>
                <w:szCs w:val="20"/>
              </w:rPr>
            </w:pPr>
            <w:r w:rsidRPr="00DA22C6">
              <w:rPr>
                <w:color w:val="000000"/>
                <w:szCs w:val="20"/>
              </w:rPr>
              <w:t>$245,244</w:t>
            </w:r>
          </w:p>
        </w:tc>
      </w:tr>
      <w:tr w14:paraId="4FA51D3C"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0EF7FF9E" w14:textId="0C7DBF28">
            <w:pPr>
              <w:widowControl/>
              <w:autoSpaceDE/>
              <w:autoSpaceDN/>
              <w:adjustRightInd/>
              <w:jc w:val="center"/>
              <w:rPr>
                <w:szCs w:val="20"/>
              </w:rPr>
            </w:pPr>
            <w:r>
              <w:rPr>
                <w:szCs w:val="20"/>
              </w:rPr>
              <w:t>2</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373592B9" w14:textId="7F2A25C5">
            <w:pPr>
              <w:widowControl/>
              <w:autoSpaceDE/>
              <w:autoSpaceDN/>
              <w:adjustRightInd/>
              <w:rPr>
                <w:szCs w:val="20"/>
              </w:rPr>
            </w:pPr>
            <w:r w:rsidRPr="00DA22C6">
              <w:rPr>
                <w:szCs w:val="20"/>
              </w:rPr>
              <w:t>CAHs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1D4A9D33" w14:textId="77777777">
            <w:pPr>
              <w:widowControl/>
              <w:autoSpaceDE/>
              <w:autoSpaceDN/>
              <w:adjustRightInd/>
              <w:rPr>
                <w:color w:val="000000"/>
                <w:sz w:val="18"/>
                <w:szCs w:val="22"/>
              </w:rPr>
            </w:pPr>
            <w:r w:rsidRPr="00FE183A">
              <w:rPr>
                <w:sz w:val="18"/>
                <w:szCs w:val="22"/>
              </w:rPr>
              <w:t>§ 485.625(c)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527D66C6" w14:textId="77777777">
            <w:pPr>
              <w:widowControl/>
              <w:autoSpaceDE/>
              <w:autoSpaceDN/>
              <w:adjustRightInd/>
              <w:jc w:val="center"/>
              <w:rPr>
                <w:color w:val="000000"/>
                <w:szCs w:val="20"/>
              </w:rPr>
            </w:pPr>
            <w:r w:rsidRPr="00DA22C6">
              <w:rPr>
                <w:color w:val="000000"/>
                <w:szCs w:val="20"/>
              </w:rPr>
              <w:t>18</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2FDC8B14" w14:textId="77777777">
            <w:pPr>
              <w:widowControl/>
              <w:autoSpaceDE/>
              <w:autoSpaceDN/>
              <w:adjustRightInd/>
              <w:jc w:val="center"/>
              <w:rPr>
                <w:color w:val="000000"/>
                <w:szCs w:val="20"/>
              </w:rPr>
            </w:pPr>
            <w:r w:rsidRPr="00DA22C6">
              <w:rPr>
                <w:color w:val="000000"/>
                <w:szCs w:val="20"/>
              </w:rPr>
              <w:t>18</w:t>
            </w:r>
          </w:p>
        </w:tc>
        <w:tc>
          <w:tcPr>
            <w:tcW w:w="1080" w:type="dxa"/>
            <w:tcBorders>
              <w:top w:val="nil"/>
              <w:left w:val="nil"/>
              <w:bottom w:val="single" w:sz="4" w:space="0" w:color="auto"/>
              <w:right w:val="single" w:sz="4" w:space="0" w:color="auto"/>
            </w:tcBorders>
            <w:vAlign w:val="bottom"/>
            <w:hideMark/>
          </w:tcPr>
          <w:p w:rsidR="001F4FCE" w:rsidRPr="00DA22C6" w:rsidP="00D72EFC" w14:paraId="3AD04D3E" w14:textId="10FB5A41">
            <w:pPr>
              <w:widowControl/>
              <w:autoSpaceDE/>
              <w:autoSpaceDN/>
              <w:adjustRightInd/>
              <w:jc w:val="center"/>
              <w:rPr>
                <w:szCs w:val="20"/>
              </w:rPr>
            </w:pPr>
            <w:r w:rsidRPr="00DA22C6">
              <w:rPr>
                <w:szCs w:val="20"/>
              </w:rPr>
              <w:t>9</w:t>
            </w:r>
          </w:p>
        </w:tc>
        <w:tc>
          <w:tcPr>
            <w:tcW w:w="900" w:type="dxa"/>
            <w:tcBorders>
              <w:top w:val="nil"/>
              <w:left w:val="nil"/>
              <w:bottom w:val="single" w:sz="4" w:space="0" w:color="auto"/>
              <w:right w:val="single" w:sz="4" w:space="0" w:color="auto"/>
            </w:tcBorders>
            <w:noWrap/>
            <w:vAlign w:val="bottom"/>
            <w:hideMark/>
          </w:tcPr>
          <w:p w:rsidR="001F4FCE" w:rsidRPr="00DA22C6" w:rsidP="00D72EFC" w14:paraId="6430083B" w14:textId="77777777">
            <w:pPr>
              <w:widowControl/>
              <w:autoSpaceDE/>
              <w:autoSpaceDN/>
              <w:adjustRightInd/>
              <w:jc w:val="center"/>
              <w:rPr>
                <w:color w:val="000000"/>
                <w:szCs w:val="20"/>
              </w:rPr>
            </w:pPr>
            <w:r w:rsidRPr="00DA22C6">
              <w:rPr>
                <w:color w:val="000000"/>
                <w:szCs w:val="20"/>
              </w:rPr>
              <w:t>162</w:t>
            </w:r>
          </w:p>
        </w:tc>
        <w:tc>
          <w:tcPr>
            <w:tcW w:w="900" w:type="dxa"/>
            <w:tcBorders>
              <w:top w:val="nil"/>
              <w:left w:val="nil"/>
              <w:bottom w:val="single" w:sz="4" w:space="0" w:color="auto"/>
              <w:right w:val="single" w:sz="4" w:space="0" w:color="auto"/>
            </w:tcBorders>
            <w:noWrap/>
            <w:vAlign w:val="center"/>
            <w:hideMark/>
          </w:tcPr>
          <w:p w:rsidR="001F4FCE" w:rsidRPr="00DA22C6" w:rsidP="00D72EFC" w14:paraId="21B8AEEE"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451B9EBA" w14:textId="77777777">
            <w:pPr>
              <w:widowControl/>
              <w:autoSpaceDE/>
              <w:autoSpaceDN/>
              <w:adjustRightInd/>
              <w:jc w:val="right"/>
              <w:rPr>
                <w:color w:val="000000"/>
                <w:szCs w:val="20"/>
              </w:rPr>
            </w:pPr>
            <w:r w:rsidRPr="00DA22C6">
              <w:rPr>
                <w:color w:val="000000"/>
                <w:szCs w:val="20"/>
              </w:rPr>
              <w:t>$52,002</w:t>
            </w:r>
          </w:p>
        </w:tc>
      </w:tr>
      <w:tr w14:paraId="55C1D928"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759705F1" w14:textId="64849C2F">
            <w:pPr>
              <w:widowControl/>
              <w:autoSpaceDE/>
              <w:autoSpaceDN/>
              <w:adjustRightInd/>
              <w:jc w:val="center"/>
              <w:rPr>
                <w:color w:val="000000"/>
                <w:szCs w:val="20"/>
              </w:rPr>
            </w:pPr>
            <w:r>
              <w:rPr>
                <w:color w:val="000000"/>
                <w:szCs w:val="20"/>
              </w:rPr>
              <w:t>3</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0C5F7492" w14:textId="5B15FCFB">
            <w:pPr>
              <w:widowControl/>
              <w:autoSpaceDE/>
              <w:autoSpaceDN/>
              <w:adjustRightInd/>
              <w:rPr>
                <w:color w:val="000000"/>
                <w:szCs w:val="20"/>
              </w:rPr>
            </w:pPr>
            <w:r w:rsidRPr="00DA22C6">
              <w:rPr>
                <w:color w:val="000000"/>
                <w:szCs w:val="20"/>
              </w:rPr>
              <w:t>CMHCs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4507BC7C" w14:textId="77777777">
            <w:pPr>
              <w:widowControl/>
              <w:autoSpaceDE/>
              <w:autoSpaceDN/>
              <w:adjustRightInd/>
              <w:rPr>
                <w:color w:val="000000"/>
                <w:sz w:val="18"/>
                <w:szCs w:val="22"/>
              </w:rPr>
            </w:pPr>
            <w:r w:rsidRPr="00FE183A">
              <w:rPr>
                <w:sz w:val="18"/>
                <w:szCs w:val="22"/>
              </w:rPr>
              <w:t>§ 485.920(c)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54D6CAC5" w14:textId="77777777">
            <w:pPr>
              <w:widowControl/>
              <w:autoSpaceDE/>
              <w:autoSpaceDN/>
              <w:adjustRightInd/>
              <w:jc w:val="center"/>
              <w:rPr>
                <w:szCs w:val="20"/>
              </w:rPr>
            </w:pPr>
            <w:r w:rsidRPr="00DA22C6">
              <w:rPr>
                <w:szCs w:val="20"/>
              </w:rPr>
              <w:t>9</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4F2DCCB8" w14:textId="77777777">
            <w:pPr>
              <w:widowControl/>
              <w:autoSpaceDE/>
              <w:autoSpaceDN/>
              <w:adjustRightInd/>
              <w:jc w:val="center"/>
              <w:rPr>
                <w:color w:val="000000"/>
                <w:szCs w:val="20"/>
              </w:rPr>
            </w:pPr>
            <w:r w:rsidRPr="00DA22C6">
              <w:rPr>
                <w:color w:val="000000"/>
                <w:szCs w:val="20"/>
              </w:rPr>
              <w:t>9</w:t>
            </w:r>
          </w:p>
        </w:tc>
        <w:tc>
          <w:tcPr>
            <w:tcW w:w="1080" w:type="dxa"/>
            <w:tcBorders>
              <w:top w:val="nil"/>
              <w:left w:val="nil"/>
              <w:bottom w:val="single" w:sz="4" w:space="0" w:color="auto"/>
              <w:right w:val="single" w:sz="4" w:space="0" w:color="auto"/>
            </w:tcBorders>
            <w:vAlign w:val="bottom"/>
            <w:hideMark/>
          </w:tcPr>
          <w:p w:rsidR="001F4FCE" w:rsidRPr="00DA22C6" w:rsidP="00D72EFC" w14:paraId="2B1390ED" w14:textId="5354358E">
            <w:pPr>
              <w:widowControl/>
              <w:autoSpaceDE/>
              <w:autoSpaceDN/>
              <w:adjustRightInd/>
              <w:jc w:val="center"/>
              <w:rPr>
                <w:szCs w:val="20"/>
              </w:rPr>
            </w:pPr>
            <w:r w:rsidRPr="00DA22C6">
              <w:rPr>
                <w:szCs w:val="20"/>
              </w:rPr>
              <w:t>8</w:t>
            </w:r>
          </w:p>
        </w:tc>
        <w:tc>
          <w:tcPr>
            <w:tcW w:w="900" w:type="dxa"/>
            <w:tcBorders>
              <w:top w:val="nil"/>
              <w:left w:val="nil"/>
              <w:bottom w:val="single" w:sz="4" w:space="0" w:color="auto"/>
              <w:right w:val="single" w:sz="4" w:space="0" w:color="auto"/>
            </w:tcBorders>
            <w:noWrap/>
            <w:vAlign w:val="bottom"/>
            <w:hideMark/>
          </w:tcPr>
          <w:p w:rsidR="001F4FCE" w:rsidRPr="00DA22C6" w:rsidP="00D72EFC" w14:paraId="28ABA506" w14:textId="77777777">
            <w:pPr>
              <w:widowControl/>
              <w:autoSpaceDE/>
              <w:autoSpaceDN/>
              <w:adjustRightInd/>
              <w:jc w:val="center"/>
              <w:rPr>
                <w:color w:val="000000"/>
                <w:szCs w:val="20"/>
              </w:rPr>
            </w:pPr>
            <w:r w:rsidRPr="00DA22C6">
              <w:rPr>
                <w:color w:val="000000"/>
                <w:szCs w:val="20"/>
              </w:rPr>
              <w:t>72</w:t>
            </w:r>
          </w:p>
        </w:tc>
        <w:tc>
          <w:tcPr>
            <w:tcW w:w="900" w:type="dxa"/>
            <w:tcBorders>
              <w:top w:val="nil"/>
              <w:left w:val="nil"/>
              <w:bottom w:val="single" w:sz="4" w:space="0" w:color="auto"/>
              <w:right w:val="single" w:sz="4" w:space="0" w:color="auto"/>
            </w:tcBorders>
            <w:noWrap/>
            <w:vAlign w:val="center"/>
            <w:hideMark/>
          </w:tcPr>
          <w:p w:rsidR="001F4FCE" w:rsidRPr="00DA22C6" w:rsidP="00D72EFC" w14:paraId="5BE6913F"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375F1553" w14:textId="77777777">
            <w:pPr>
              <w:widowControl/>
              <w:autoSpaceDE/>
              <w:autoSpaceDN/>
              <w:adjustRightInd/>
              <w:jc w:val="right"/>
              <w:rPr>
                <w:color w:val="000000"/>
                <w:szCs w:val="20"/>
              </w:rPr>
            </w:pPr>
            <w:r w:rsidRPr="00DA22C6">
              <w:rPr>
                <w:color w:val="000000"/>
                <w:szCs w:val="20"/>
              </w:rPr>
              <w:t>$23,112</w:t>
            </w:r>
          </w:p>
        </w:tc>
      </w:tr>
      <w:tr w14:paraId="4066C98D"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52D57C65" w14:textId="3AC7C04E">
            <w:pPr>
              <w:widowControl/>
              <w:autoSpaceDE/>
              <w:autoSpaceDN/>
              <w:adjustRightInd/>
              <w:jc w:val="center"/>
              <w:rPr>
                <w:szCs w:val="20"/>
              </w:rPr>
            </w:pPr>
            <w:r>
              <w:rPr>
                <w:szCs w:val="20"/>
              </w:rPr>
              <w:t>4</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08B4C2BB" w14:textId="3DCBE9CF">
            <w:pPr>
              <w:widowControl/>
              <w:autoSpaceDE/>
              <w:autoSpaceDN/>
              <w:adjustRightInd/>
              <w:rPr>
                <w:szCs w:val="20"/>
              </w:rPr>
            </w:pPr>
            <w:r w:rsidRPr="00DA22C6">
              <w:rPr>
                <w:szCs w:val="20"/>
              </w:rPr>
              <w:t>CORFs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199F2254" w14:textId="77777777">
            <w:pPr>
              <w:widowControl/>
              <w:autoSpaceDE/>
              <w:autoSpaceDN/>
              <w:adjustRightInd/>
              <w:rPr>
                <w:color w:val="000000"/>
                <w:sz w:val="18"/>
                <w:szCs w:val="22"/>
              </w:rPr>
            </w:pPr>
            <w:r w:rsidRPr="00FE183A">
              <w:rPr>
                <w:sz w:val="18"/>
                <w:szCs w:val="22"/>
              </w:rPr>
              <w:t>§ 485.68(c)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08F4B24E" w14:textId="77777777">
            <w:pPr>
              <w:widowControl/>
              <w:autoSpaceDE/>
              <w:autoSpaceDN/>
              <w:adjustRightInd/>
              <w:jc w:val="center"/>
              <w:rPr>
                <w:szCs w:val="20"/>
              </w:rPr>
            </w:pPr>
            <w:r w:rsidRPr="00DA22C6">
              <w:rPr>
                <w:szCs w:val="20"/>
              </w:rPr>
              <w:t>3</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2E69203F" w14:textId="77777777">
            <w:pPr>
              <w:widowControl/>
              <w:autoSpaceDE/>
              <w:autoSpaceDN/>
              <w:adjustRightInd/>
              <w:jc w:val="center"/>
              <w:rPr>
                <w:color w:val="000000"/>
                <w:szCs w:val="20"/>
              </w:rPr>
            </w:pPr>
            <w:r w:rsidRPr="00DA22C6">
              <w:rPr>
                <w:color w:val="000000"/>
                <w:szCs w:val="20"/>
              </w:rPr>
              <w:t>3</w:t>
            </w:r>
          </w:p>
        </w:tc>
        <w:tc>
          <w:tcPr>
            <w:tcW w:w="1080" w:type="dxa"/>
            <w:tcBorders>
              <w:top w:val="nil"/>
              <w:left w:val="nil"/>
              <w:bottom w:val="single" w:sz="4" w:space="0" w:color="auto"/>
              <w:right w:val="single" w:sz="4" w:space="0" w:color="auto"/>
            </w:tcBorders>
            <w:vAlign w:val="bottom"/>
            <w:hideMark/>
          </w:tcPr>
          <w:p w:rsidR="001F4FCE" w:rsidRPr="00DA22C6" w:rsidP="00D72EFC" w14:paraId="1206D66C" w14:textId="246AEA9F">
            <w:pPr>
              <w:widowControl/>
              <w:autoSpaceDE/>
              <w:autoSpaceDN/>
              <w:adjustRightInd/>
              <w:jc w:val="center"/>
              <w:rPr>
                <w:szCs w:val="20"/>
              </w:rPr>
            </w:pPr>
            <w:r w:rsidRPr="00DA22C6">
              <w:rPr>
                <w:szCs w:val="20"/>
              </w:rPr>
              <w:t>8</w:t>
            </w:r>
          </w:p>
        </w:tc>
        <w:tc>
          <w:tcPr>
            <w:tcW w:w="900" w:type="dxa"/>
            <w:tcBorders>
              <w:top w:val="nil"/>
              <w:left w:val="nil"/>
              <w:bottom w:val="single" w:sz="4" w:space="0" w:color="auto"/>
              <w:right w:val="single" w:sz="4" w:space="0" w:color="auto"/>
            </w:tcBorders>
            <w:noWrap/>
            <w:vAlign w:val="bottom"/>
            <w:hideMark/>
          </w:tcPr>
          <w:p w:rsidR="001F4FCE" w:rsidRPr="00DA22C6" w:rsidP="00D72EFC" w14:paraId="2B5CB64B" w14:textId="77777777">
            <w:pPr>
              <w:widowControl/>
              <w:autoSpaceDE/>
              <w:autoSpaceDN/>
              <w:adjustRightInd/>
              <w:jc w:val="center"/>
              <w:rPr>
                <w:color w:val="000000"/>
                <w:szCs w:val="20"/>
              </w:rPr>
            </w:pPr>
            <w:r w:rsidRPr="00DA22C6">
              <w:rPr>
                <w:color w:val="000000"/>
                <w:szCs w:val="20"/>
              </w:rPr>
              <w:t>24</w:t>
            </w:r>
          </w:p>
        </w:tc>
        <w:tc>
          <w:tcPr>
            <w:tcW w:w="900" w:type="dxa"/>
            <w:tcBorders>
              <w:top w:val="nil"/>
              <w:left w:val="nil"/>
              <w:bottom w:val="single" w:sz="4" w:space="0" w:color="auto"/>
              <w:right w:val="single" w:sz="4" w:space="0" w:color="auto"/>
            </w:tcBorders>
            <w:noWrap/>
            <w:vAlign w:val="center"/>
            <w:hideMark/>
          </w:tcPr>
          <w:p w:rsidR="001F4FCE" w:rsidRPr="00DA22C6" w:rsidP="00D72EFC" w14:paraId="1ECA128C"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49363A48" w14:textId="77777777">
            <w:pPr>
              <w:widowControl/>
              <w:autoSpaceDE/>
              <w:autoSpaceDN/>
              <w:adjustRightInd/>
              <w:jc w:val="right"/>
              <w:rPr>
                <w:color w:val="000000"/>
                <w:szCs w:val="20"/>
              </w:rPr>
            </w:pPr>
            <w:r w:rsidRPr="00DA22C6">
              <w:rPr>
                <w:color w:val="000000"/>
                <w:szCs w:val="20"/>
              </w:rPr>
              <w:t>$7,704</w:t>
            </w:r>
          </w:p>
        </w:tc>
      </w:tr>
      <w:tr w14:paraId="0C07552E"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475C69E1" w14:textId="5F7F9579">
            <w:pPr>
              <w:widowControl/>
              <w:autoSpaceDE/>
              <w:autoSpaceDN/>
              <w:adjustRightInd/>
              <w:jc w:val="center"/>
              <w:rPr>
                <w:color w:val="000000"/>
                <w:szCs w:val="20"/>
              </w:rPr>
            </w:pPr>
            <w:r>
              <w:rPr>
                <w:color w:val="000000"/>
                <w:szCs w:val="20"/>
              </w:rPr>
              <w:t>5</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424F078E" w14:textId="6312127E">
            <w:pPr>
              <w:widowControl/>
              <w:autoSpaceDE/>
              <w:autoSpaceDN/>
              <w:adjustRightInd/>
              <w:rPr>
                <w:color w:val="000000"/>
                <w:szCs w:val="20"/>
              </w:rPr>
            </w:pPr>
            <w:r w:rsidRPr="00DA22C6">
              <w:rPr>
                <w:color w:val="000000"/>
                <w:szCs w:val="20"/>
              </w:rPr>
              <w:t>ESRD Facilities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6CE1AA8D" w14:textId="77777777">
            <w:pPr>
              <w:widowControl/>
              <w:autoSpaceDE/>
              <w:autoSpaceDN/>
              <w:adjustRightInd/>
              <w:rPr>
                <w:color w:val="000000"/>
                <w:sz w:val="18"/>
                <w:szCs w:val="22"/>
              </w:rPr>
            </w:pPr>
            <w:r w:rsidRPr="00FE183A">
              <w:rPr>
                <w:sz w:val="18"/>
                <w:szCs w:val="22"/>
              </w:rPr>
              <w:t>§ 494.62(c)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2858C681" w14:textId="77777777">
            <w:pPr>
              <w:widowControl/>
              <w:autoSpaceDE/>
              <w:autoSpaceDN/>
              <w:adjustRightInd/>
              <w:jc w:val="center"/>
              <w:rPr>
                <w:szCs w:val="20"/>
              </w:rPr>
            </w:pPr>
            <w:r w:rsidRPr="00DA22C6">
              <w:rPr>
                <w:szCs w:val="20"/>
              </w:rPr>
              <w:t>102</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70C41043" w14:textId="77777777">
            <w:pPr>
              <w:widowControl/>
              <w:autoSpaceDE/>
              <w:autoSpaceDN/>
              <w:adjustRightInd/>
              <w:jc w:val="center"/>
              <w:rPr>
                <w:color w:val="000000"/>
                <w:szCs w:val="20"/>
              </w:rPr>
            </w:pPr>
            <w:r w:rsidRPr="00DA22C6">
              <w:rPr>
                <w:color w:val="000000"/>
                <w:szCs w:val="20"/>
              </w:rPr>
              <w:t>102</w:t>
            </w:r>
          </w:p>
        </w:tc>
        <w:tc>
          <w:tcPr>
            <w:tcW w:w="1080" w:type="dxa"/>
            <w:tcBorders>
              <w:top w:val="nil"/>
              <w:left w:val="nil"/>
              <w:bottom w:val="single" w:sz="4" w:space="0" w:color="auto"/>
              <w:right w:val="single" w:sz="4" w:space="0" w:color="auto"/>
            </w:tcBorders>
            <w:vAlign w:val="bottom"/>
            <w:hideMark/>
          </w:tcPr>
          <w:p w:rsidR="001F4FCE" w:rsidRPr="00DA22C6" w:rsidP="00D72EFC" w14:paraId="2CB0CC88" w14:textId="6C9392B9">
            <w:pPr>
              <w:widowControl/>
              <w:autoSpaceDE/>
              <w:autoSpaceDN/>
              <w:adjustRightInd/>
              <w:jc w:val="center"/>
              <w:rPr>
                <w:szCs w:val="20"/>
              </w:rPr>
            </w:pPr>
            <w:r w:rsidRPr="00DA22C6">
              <w:rPr>
                <w:szCs w:val="20"/>
              </w:rPr>
              <w:t>4</w:t>
            </w:r>
          </w:p>
        </w:tc>
        <w:tc>
          <w:tcPr>
            <w:tcW w:w="900" w:type="dxa"/>
            <w:tcBorders>
              <w:top w:val="nil"/>
              <w:left w:val="nil"/>
              <w:bottom w:val="single" w:sz="4" w:space="0" w:color="auto"/>
              <w:right w:val="single" w:sz="4" w:space="0" w:color="auto"/>
            </w:tcBorders>
            <w:noWrap/>
            <w:vAlign w:val="bottom"/>
            <w:hideMark/>
          </w:tcPr>
          <w:p w:rsidR="001F4FCE" w:rsidRPr="00DA22C6" w:rsidP="00D72EFC" w14:paraId="15A3505B" w14:textId="77777777">
            <w:pPr>
              <w:widowControl/>
              <w:autoSpaceDE/>
              <w:autoSpaceDN/>
              <w:adjustRightInd/>
              <w:jc w:val="center"/>
              <w:rPr>
                <w:color w:val="000000"/>
                <w:szCs w:val="20"/>
              </w:rPr>
            </w:pPr>
            <w:r w:rsidRPr="00DA22C6">
              <w:rPr>
                <w:color w:val="000000"/>
                <w:szCs w:val="20"/>
              </w:rPr>
              <w:t>408</w:t>
            </w:r>
          </w:p>
        </w:tc>
        <w:tc>
          <w:tcPr>
            <w:tcW w:w="900" w:type="dxa"/>
            <w:tcBorders>
              <w:top w:val="nil"/>
              <w:left w:val="nil"/>
              <w:bottom w:val="single" w:sz="4" w:space="0" w:color="auto"/>
              <w:right w:val="single" w:sz="4" w:space="0" w:color="auto"/>
            </w:tcBorders>
            <w:noWrap/>
            <w:vAlign w:val="center"/>
            <w:hideMark/>
          </w:tcPr>
          <w:p w:rsidR="001F4FCE" w:rsidRPr="00DA22C6" w:rsidP="00D72EFC" w14:paraId="354E6975"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1C308266" w14:textId="77777777">
            <w:pPr>
              <w:widowControl/>
              <w:autoSpaceDE/>
              <w:autoSpaceDN/>
              <w:adjustRightInd/>
              <w:jc w:val="right"/>
              <w:rPr>
                <w:color w:val="000000"/>
                <w:szCs w:val="20"/>
              </w:rPr>
            </w:pPr>
            <w:r w:rsidRPr="00DA22C6">
              <w:rPr>
                <w:color w:val="000000"/>
                <w:szCs w:val="20"/>
              </w:rPr>
              <w:t>$130,968</w:t>
            </w:r>
          </w:p>
        </w:tc>
      </w:tr>
      <w:tr w14:paraId="26066387"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7AEF5139" w14:textId="5D594038">
            <w:pPr>
              <w:widowControl/>
              <w:autoSpaceDE/>
              <w:autoSpaceDN/>
              <w:adjustRightInd/>
              <w:jc w:val="center"/>
              <w:rPr>
                <w:color w:val="000000"/>
                <w:szCs w:val="20"/>
              </w:rPr>
            </w:pPr>
            <w:r>
              <w:rPr>
                <w:color w:val="000000"/>
                <w:szCs w:val="20"/>
              </w:rPr>
              <w:t>6</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105B7C30" w14:textId="3F56AB1D">
            <w:pPr>
              <w:widowControl/>
              <w:autoSpaceDE/>
              <w:autoSpaceDN/>
              <w:adjustRightInd/>
              <w:rPr>
                <w:color w:val="000000"/>
                <w:szCs w:val="20"/>
              </w:rPr>
            </w:pPr>
            <w:r w:rsidRPr="00DA22C6">
              <w:rPr>
                <w:color w:val="000000"/>
                <w:szCs w:val="20"/>
              </w:rPr>
              <w:t>FQHCs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20B7F2F0" w14:textId="77777777">
            <w:pPr>
              <w:widowControl/>
              <w:autoSpaceDE/>
              <w:autoSpaceDN/>
              <w:adjustRightInd/>
              <w:rPr>
                <w:color w:val="000000"/>
                <w:sz w:val="18"/>
                <w:szCs w:val="22"/>
              </w:rPr>
            </w:pPr>
            <w:r w:rsidRPr="00FE183A">
              <w:rPr>
                <w:sz w:val="18"/>
                <w:szCs w:val="22"/>
              </w:rPr>
              <w:t>§ 491.12(c)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4BEFAF30" w14:textId="77777777">
            <w:pPr>
              <w:widowControl/>
              <w:autoSpaceDE/>
              <w:autoSpaceDN/>
              <w:adjustRightInd/>
              <w:jc w:val="center"/>
              <w:rPr>
                <w:szCs w:val="20"/>
              </w:rPr>
            </w:pPr>
            <w:r w:rsidRPr="00DA22C6">
              <w:rPr>
                <w:szCs w:val="20"/>
              </w:rPr>
              <w:t>771</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4520A1A6" w14:textId="77777777">
            <w:pPr>
              <w:widowControl/>
              <w:autoSpaceDE/>
              <w:autoSpaceDN/>
              <w:adjustRightInd/>
              <w:jc w:val="center"/>
              <w:rPr>
                <w:color w:val="000000"/>
                <w:szCs w:val="20"/>
              </w:rPr>
            </w:pPr>
            <w:r w:rsidRPr="00DA22C6">
              <w:rPr>
                <w:color w:val="000000"/>
                <w:szCs w:val="20"/>
              </w:rPr>
              <w:t>771</w:t>
            </w:r>
          </w:p>
        </w:tc>
        <w:tc>
          <w:tcPr>
            <w:tcW w:w="1080" w:type="dxa"/>
            <w:tcBorders>
              <w:top w:val="nil"/>
              <w:left w:val="nil"/>
              <w:bottom w:val="single" w:sz="4" w:space="0" w:color="auto"/>
              <w:right w:val="single" w:sz="4" w:space="0" w:color="auto"/>
            </w:tcBorders>
            <w:vAlign w:val="bottom"/>
            <w:hideMark/>
          </w:tcPr>
          <w:p w:rsidR="001F4FCE" w:rsidRPr="00DA22C6" w:rsidP="00D72EFC" w14:paraId="0FE635A6" w14:textId="1B9DB7B4">
            <w:pPr>
              <w:widowControl/>
              <w:autoSpaceDE/>
              <w:autoSpaceDN/>
              <w:adjustRightInd/>
              <w:jc w:val="center"/>
              <w:rPr>
                <w:szCs w:val="20"/>
              </w:rPr>
            </w:pPr>
            <w:r w:rsidRPr="00DA22C6">
              <w:rPr>
                <w:szCs w:val="20"/>
              </w:rPr>
              <w:t>5</w:t>
            </w:r>
          </w:p>
        </w:tc>
        <w:tc>
          <w:tcPr>
            <w:tcW w:w="900" w:type="dxa"/>
            <w:tcBorders>
              <w:top w:val="nil"/>
              <w:left w:val="nil"/>
              <w:bottom w:val="single" w:sz="4" w:space="0" w:color="auto"/>
              <w:right w:val="single" w:sz="4" w:space="0" w:color="auto"/>
            </w:tcBorders>
            <w:noWrap/>
            <w:vAlign w:val="bottom"/>
            <w:hideMark/>
          </w:tcPr>
          <w:p w:rsidR="001F4FCE" w:rsidRPr="00DA22C6" w:rsidP="00D72EFC" w14:paraId="0DA4DAB4" w14:textId="77777777">
            <w:pPr>
              <w:widowControl/>
              <w:autoSpaceDE/>
              <w:autoSpaceDN/>
              <w:adjustRightInd/>
              <w:jc w:val="center"/>
              <w:rPr>
                <w:color w:val="000000"/>
                <w:szCs w:val="20"/>
              </w:rPr>
            </w:pPr>
            <w:r w:rsidRPr="00DA22C6">
              <w:rPr>
                <w:color w:val="000000"/>
                <w:szCs w:val="20"/>
              </w:rPr>
              <w:t>3,855</w:t>
            </w:r>
          </w:p>
        </w:tc>
        <w:tc>
          <w:tcPr>
            <w:tcW w:w="900" w:type="dxa"/>
            <w:tcBorders>
              <w:top w:val="nil"/>
              <w:left w:val="nil"/>
              <w:bottom w:val="single" w:sz="4" w:space="0" w:color="auto"/>
              <w:right w:val="single" w:sz="4" w:space="0" w:color="auto"/>
            </w:tcBorders>
            <w:noWrap/>
            <w:vAlign w:val="center"/>
            <w:hideMark/>
          </w:tcPr>
          <w:p w:rsidR="001F4FCE" w:rsidRPr="00DA22C6" w:rsidP="00D72EFC" w14:paraId="0866E41D"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6E49F344" w14:textId="77777777">
            <w:pPr>
              <w:widowControl/>
              <w:autoSpaceDE/>
              <w:autoSpaceDN/>
              <w:adjustRightInd/>
              <w:jc w:val="right"/>
              <w:rPr>
                <w:color w:val="000000"/>
                <w:szCs w:val="20"/>
              </w:rPr>
            </w:pPr>
            <w:r w:rsidRPr="00DA22C6">
              <w:rPr>
                <w:color w:val="000000"/>
                <w:szCs w:val="20"/>
              </w:rPr>
              <w:t>$1,237,455</w:t>
            </w:r>
          </w:p>
        </w:tc>
      </w:tr>
      <w:tr w14:paraId="559095A5"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44E27D78" w14:textId="067BD5EB">
            <w:pPr>
              <w:widowControl/>
              <w:autoSpaceDE/>
              <w:autoSpaceDN/>
              <w:adjustRightInd/>
              <w:jc w:val="center"/>
              <w:rPr>
                <w:szCs w:val="20"/>
              </w:rPr>
            </w:pPr>
            <w:r>
              <w:rPr>
                <w:szCs w:val="20"/>
              </w:rPr>
              <w:t>7</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5E24F434" w14:textId="4A0BE1CE">
            <w:pPr>
              <w:widowControl/>
              <w:autoSpaceDE/>
              <w:autoSpaceDN/>
              <w:adjustRightInd/>
              <w:rPr>
                <w:szCs w:val="20"/>
              </w:rPr>
            </w:pPr>
            <w:r w:rsidRPr="00DA22C6">
              <w:rPr>
                <w:szCs w:val="20"/>
              </w:rPr>
              <w:t>HHAs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4AB957A4" w14:textId="77777777">
            <w:pPr>
              <w:widowControl/>
              <w:autoSpaceDE/>
              <w:autoSpaceDN/>
              <w:adjustRightInd/>
              <w:rPr>
                <w:color w:val="000000"/>
                <w:sz w:val="18"/>
                <w:szCs w:val="22"/>
              </w:rPr>
            </w:pPr>
            <w:r w:rsidRPr="00FE183A">
              <w:rPr>
                <w:sz w:val="18"/>
                <w:szCs w:val="22"/>
              </w:rPr>
              <w:t>§ 484.102(c)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436405DF" w14:textId="77777777">
            <w:pPr>
              <w:widowControl/>
              <w:autoSpaceDE/>
              <w:autoSpaceDN/>
              <w:adjustRightInd/>
              <w:jc w:val="center"/>
              <w:rPr>
                <w:color w:val="000000"/>
                <w:szCs w:val="20"/>
              </w:rPr>
            </w:pPr>
            <w:r w:rsidRPr="00DA22C6">
              <w:rPr>
                <w:color w:val="000000"/>
                <w:szCs w:val="20"/>
              </w:rPr>
              <w:t>361</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6F4206F0" w14:textId="77777777">
            <w:pPr>
              <w:widowControl/>
              <w:autoSpaceDE/>
              <w:autoSpaceDN/>
              <w:adjustRightInd/>
              <w:jc w:val="center"/>
              <w:rPr>
                <w:color w:val="000000"/>
                <w:szCs w:val="20"/>
              </w:rPr>
            </w:pPr>
            <w:r w:rsidRPr="00DA22C6">
              <w:rPr>
                <w:color w:val="000000"/>
                <w:szCs w:val="20"/>
              </w:rPr>
              <w:t>361</w:t>
            </w:r>
          </w:p>
        </w:tc>
        <w:tc>
          <w:tcPr>
            <w:tcW w:w="1080" w:type="dxa"/>
            <w:tcBorders>
              <w:top w:val="nil"/>
              <w:left w:val="nil"/>
              <w:bottom w:val="single" w:sz="4" w:space="0" w:color="auto"/>
              <w:right w:val="single" w:sz="4" w:space="0" w:color="auto"/>
            </w:tcBorders>
            <w:vAlign w:val="bottom"/>
            <w:hideMark/>
          </w:tcPr>
          <w:p w:rsidR="001F4FCE" w:rsidRPr="00DA22C6" w:rsidP="00D72EFC" w14:paraId="5311179A" w14:textId="0D0DC0C3">
            <w:pPr>
              <w:widowControl/>
              <w:autoSpaceDE/>
              <w:autoSpaceDN/>
              <w:adjustRightInd/>
              <w:jc w:val="center"/>
              <w:rPr>
                <w:szCs w:val="20"/>
              </w:rPr>
            </w:pPr>
            <w:r w:rsidRPr="00DA22C6">
              <w:rPr>
                <w:szCs w:val="20"/>
              </w:rPr>
              <w:t>10</w:t>
            </w:r>
          </w:p>
        </w:tc>
        <w:tc>
          <w:tcPr>
            <w:tcW w:w="900" w:type="dxa"/>
            <w:tcBorders>
              <w:top w:val="nil"/>
              <w:left w:val="nil"/>
              <w:bottom w:val="single" w:sz="4" w:space="0" w:color="auto"/>
              <w:right w:val="single" w:sz="4" w:space="0" w:color="auto"/>
            </w:tcBorders>
            <w:noWrap/>
            <w:vAlign w:val="bottom"/>
            <w:hideMark/>
          </w:tcPr>
          <w:p w:rsidR="001F4FCE" w:rsidRPr="00DA22C6" w:rsidP="00D72EFC" w14:paraId="51C356DF" w14:textId="77777777">
            <w:pPr>
              <w:widowControl/>
              <w:autoSpaceDE/>
              <w:autoSpaceDN/>
              <w:adjustRightInd/>
              <w:jc w:val="center"/>
              <w:rPr>
                <w:color w:val="000000"/>
                <w:szCs w:val="20"/>
              </w:rPr>
            </w:pPr>
            <w:r w:rsidRPr="00DA22C6">
              <w:rPr>
                <w:color w:val="000000"/>
                <w:szCs w:val="20"/>
              </w:rPr>
              <w:t>3,610</w:t>
            </w:r>
          </w:p>
        </w:tc>
        <w:tc>
          <w:tcPr>
            <w:tcW w:w="900" w:type="dxa"/>
            <w:tcBorders>
              <w:top w:val="nil"/>
              <w:left w:val="nil"/>
              <w:bottom w:val="single" w:sz="4" w:space="0" w:color="auto"/>
              <w:right w:val="single" w:sz="4" w:space="0" w:color="auto"/>
            </w:tcBorders>
            <w:noWrap/>
            <w:vAlign w:val="center"/>
            <w:hideMark/>
          </w:tcPr>
          <w:p w:rsidR="001F4FCE" w:rsidRPr="00DA22C6" w:rsidP="00D72EFC" w14:paraId="4DE88061"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6B91DB22" w14:textId="77777777">
            <w:pPr>
              <w:widowControl/>
              <w:autoSpaceDE/>
              <w:autoSpaceDN/>
              <w:adjustRightInd/>
              <w:jc w:val="right"/>
              <w:rPr>
                <w:color w:val="000000"/>
                <w:szCs w:val="20"/>
              </w:rPr>
            </w:pPr>
            <w:r w:rsidRPr="00DA22C6">
              <w:rPr>
                <w:color w:val="000000"/>
                <w:szCs w:val="20"/>
              </w:rPr>
              <w:t>$1,158,810</w:t>
            </w:r>
          </w:p>
        </w:tc>
      </w:tr>
      <w:tr w14:paraId="5AA28F63"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1631AF56" w14:textId="6631E60E">
            <w:pPr>
              <w:widowControl/>
              <w:autoSpaceDE/>
              <w:autoSpaceDN/>
              <w:adjustRightInd/>
              <w:jc w:val="center"/>
              <w:rPr>
                <w:szCs w:val="20"/>
              </w:rPr>
            </w:pPr>
            <w:r>
              <w:rPr>
                <w:szCs w:val="20"/>
              </w:rPr>
              <w:t>8</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26C9C32B" w14:textId="3FF43212">
            <w:pPr>
              <w:widowControl/>
              <w:autoSpaceDE/>
              <w:autoSpaceDN/>
              <w:adjustRightInd/>
              <w:rPr>
                <w:szCs w:val="20"/>
              </w:rPr>
            </w:pPr>
            <w:r w:rsidRPr="00DA22C6">
              <w:rPr>
                <w:szCs w:val="20"/>
              </w:rPr>
              <w:t>Hospices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25511580" w14:textId="77777777">
            <w:pPr>
              <w:widowControl/>
              <w:autoSpaceDE/>
              <w:autoSpaceDN/>
              <w:adjustRightInd/>
              <w:rPr>
                <w:color w:val="000000"/>
                <w:sz w:val="18"/>
                <w:szCs w:val="22"/>
              </w:rPr>
            </w:pPr>
            <w:r w:rsidRPr="00FE183A">
              <w:rPr>
                <w:sz w:val="18"/>
                <w:szCs w:val="22"/>
              </w:rPr>
              <w:t>§ 418.113(c)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32B290EA" w14:textId="77777777">
            <w:pPr>
              <w:widowControl/>
              <w:autoSpaceDE/>
              <w:autoSpaceDN/>
              <w:adjustRightInd/>
              <w:jc w:val="center"/>
              <w:rPr>
                <w:szCs w:val="20"/>
              </w:rPr>
            </w:pPr>
            <w:r w:rsidRPr="00DA22C6">
              <w:rPr>
                <w:szCs w:val="20"/>
              </w:rPr>
              <w:t>912</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076E2A71" w14:textId="77777777">
            <w:pPr>
              <w:widowControl/>
              <w:autoSpaceDE/>
              <w:autoSpaceDN/>
              <w:adjustRightInd/>
              <w:jc w:val="center"/>
              <w:rPr>
                <w:color w:val="000000"/>
                <w:szCs w:val="20"/>
              </w:rPr>
            </w:pPr>
            <w:r w:rsidRPr="00DA22C6">
              <w:rPr>
                <w:color w:val="000000"/>
                <w:szCs w:val="20"/>
              </w:rPr>
              <w:t>912</w:t>
            </w:r>
          </w:p>
        </w:tc>
        <w:tc>
          <w:tcPr>
            <w:tcW w:w="1080" w:type="dxa"/>
            <w:tcBorders>
              <w:top w:val="nil"/>
              <w:left w:val="nil"/>
              <w:bottom w:val="single" w:sz="4" w:space="0" w:color="auto"/>
              <w:right w:val="single" w:sz="4" w:space="0" w:color="auto"/>
            </w:tcBorders>
            <w:vAlign w:val="bottom"/>
            <w:hideMark/>
          </w:tcPr>
          <w:p w:rsidR="001F4FCE" w:rsidRPr="00DA22C6" w:rsidP="00D72EFC" w14:paraId="285EE4D4" w14:textId="2BF4E037">
            <w:pPr>
              <w:widowControl/>
              <w:autoSpaceDE/>
              <w:autoSpaceDN/>
              <w:adjustRightInd/>
              <w:jc w:val="center"/>
              <w:rPr>
                <w:szCs w:val="20"/>
              </w:rPr>
            </w:pPr>
            <w:r w:rsidRPr="00DA22C6">
              <w:rPr>
                <w:szCs w:val="20"/>
              </w:rPr>
              <w:t>3</w:t>
            </w:r>
          </w:p>
        </w:tc>
        <w:tc>
          <w:tcPr>
            <w:tcW w:w="900" w:type="dxa"/>
            <w:tcBorders>
              <w:top w:val="nil"/>
              <w:left w:val="nil"/>
              <w:bottom w:val="single" w:sz="4" w:space="0" w:color="auto"/>
              <w:right w:val="single" w:sz="4" w:space="0" w:color="auto"/>
            </w:tcBorders>
            <w:noWrap/>
            <w:vAlign w:val="bottom"/>
            <w:hideMark/>
          </w:tcPr>
          <w:p w:rsidR="001F4FCE" w:rsidRPr="00DA22C6" w:rsidP="00D72EFC" w14:paraId="5B7D6032" w14:textId="77777777">
            <w:pPr>
              <w:widowControl/>
              <w:autoSpaceDE/>
              <w:autoSpaceDN/>
              <w:adjustRightInd/>
              <w:jc w:val="center"/>
              <w:rPr>
                <w:color w:val="000000"/>
                <w:szCs w:val="20"/>
              </w:rPr>
            </w:pPr>
            <w:r w:rsidRPr="00DA22C6">
              <w:rPr>
                <w:color w:val="000000"/>
                <w:szCs w:val="20"/>
              </w:rPr>
              <w:t>2,736</w:t>
            </w:r>
          </w:p>
        </w:tc>
        <w:tc>
          <w:tcPr>
            <w:tcW w:w="900" w:type="dxa"/>
            <w:tcBorders>
              <w:top w:val="nil"/>
              <w:left w:val="nil"/>
              <w:bottom w:val="single" w:sz="4" w:space="0" w:color="auto"/>
              <w:right w:val="single" w:sz="4" w:space="0" w:color="auto"/>
            </w:tcBorders>
            <w:noWrap/>
            <w:vAlign w:val="center"/>
            <w:hideMark/>
          </w:tcPr>
          <w:p w:rsidR="001F4FCE" w:rsidRPr="00DA22C6" w:rsidP="00D72EFC" w14:paraId="73E04D6E"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7F076B0B" w14:textId="77777777">
            <w:pPr>
              <w:widowControl/>
              <w:autoSpaceDE/>
              <w:autoSpaceDN/>
              <w:adjustRightInd/>
              <w:jc w:val="right"/>
              <w:rPr>
                <w:color w:val="000000"/>
                <w:szCs w:val="20"/>
              </w:rPr>
            </w:pPr>
            <w:r w:rsidRPr="00DA22C6">
              <w:rPr>
                <w:color w:val="000000"/>
                <w:szCs w:val="20"/>
              </w:rPr>
              <w:t>$878,256</w:t>
            </w:r>
          </w:p>
        </w:tc>
      </w:tr>
      <w:tr w14:paraId="5D295E4E"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122DAE" w:rsidP="001F4FCE" w14:paraId="70067A4F" w14:textId="20837204">
            <w:pPr>
              <w:widowControl/>
              <w:autoSpaceDE/>
              <w:autoSpaceDN/>
              <w:adjustRightInd/>
              <w:jc w:val="center"/>
              <w:rPr>
                <w:szCs w:val="20"/>
              </w:rPr>
            </w:pPr>
            <w:r>
              <w:rPr>
                <w:szCs w:val="20"/>
              </w:rPr>
              <w:t>9</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2963B5B0" w14:textId="0B204512">
            <w:pPr>
              <w:widowControl/>
              <w:autoSpaceDE/>
              <w:autoSpaceDN/>
              <w:adjustRightInd/>
              <w:rPr>
                <w:color w:val="000000"/>
                <w:szCs w:val="20"/>
              </w:rPr>
            </w:pPr>
            <w:r w:rsidRPr="00122DAE">
              <w:rPr>
                <w:szCs w:val="20"/>
              </w:rPr>
              <w:t>Hospitals</w:t>
            </w:r>
            <w:r>
              <w:rPr>
                <w:szCs w:val="20"/>
              </w:rPr>
              <w:t xml:space="preserve"> -</w:t>
            </w:r>
            <w:r w:rsidRPr="00122DAE">
              <w:rPr>
                <w:szCs w:val="20"/>
              </w:rPr>
              <w:t xml:space="preserve"> Non-TJC Accredited</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713DE9EA" w14:textId="77777777">
            <w:pPr>
              <w:widowControl/>
              <w:autoSpaceDE/>
              <w:autoSpaceDN/>
              <w:adjustRightInd/>
              <w:rPr>
                <w:color w:val="000000"/>
                <w:sz w:val="18"/>
                <w:szCs w:val="22"/>
              </w:rPr>
            </w:pPr>
            <w:r w:rsidRPr="00FE183A">
              <w:rPr>
                <w:sz w:val="18"/>
                <w:szCs w:val="22"/>
              </w:rPr>
              <w:t>§ 482.15(c)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6F43B310" w14:textId="77777777">
            <w:pPr>
              <w:widowControl/>
              <w:autoSpaceDE/>
              <w:autoSpaceDN/>
              <w:adjustRightInd/>
              <w:jc w:val="center"/>
              <w:rPr>
                <w:szCs w:val="20"/>
              </w:rPr>
            </w:pPr>
            <w:r w:rsidRPr="00DA22C6">
              <w:rPr>
                <w:szCs w:val="20"/>
              </w:rPr>
              <w:t>45</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13394CCC" w14:textId="77777777">
            <w:pPr>
              <w:widowControl/>
              <w:autoSpaceDE/>
              <w:autoSpaceDN/>
              <w:adjustRightInd/>
              <w:jc w:val="center"/>
              <w:rPr>
                <w:color w:val="000000"/>
                <w:szCs w:val="20"/>
              </w:rPr>
            </w:pPr>
            <w:r w:rsidRPr="00DA22C6">
              <w:rPr>
                <w:color w:val="000000"/>
                <w:szCs w:val="20"/>
              </w:rPr>
              <w:t>45</w:t>
            </w:r>
          </w:p>
        </w:tc>
        <w:tc>
          <w:tcPr>
            <w:tcW w:w="1080" w:type="dxa"/>
            <w:tcBorders>
              <w:top w:val="nil"/>
              <w:left w:val="nil"/>
              <w:bottom w:val="single" w:sz="4" w:space="0" w:color="auto"/>
              <w:right w:val="single" w:sz="4" w:space="0" w:color="auto"/>
            </w:tcBorders>
            <w:vAlign w:val="bottom"/>
            <w:hideMark/>
          </w:tcPr>
          <w:p w:rsidR="001F4FCE" w:rsidRPr="00DA22C6" w:rsidP="00D72EFC" w14:paraId="1843FBD0" w14:textId="06D7162E">
            <w:pPr>
              <w:widowControl/>
              <w:autoSpaceDE/>
              <w:autoSpaceDN/>
              <w:adjustRightInd/>
              <w:jc w:val="center"/>
              <w:rPr>
                <w:szCs w:val="20"/>
              </w:rPr>
            </w:pPr>
            <w:r w:rsidRPr="00DA22C6">
              <w:rPr>
                <w:szCs w:val="20"/>
              </w:rPr>
              <w:t>10</w:t>
            </w:r>
          </w:p>
        </w:tc>
        <w:tc>
          <w:tcPr>
            <w:tcW w:w="900" w:type="dxa"/>
            <w:tcBorders>
              <w:top w:val="nil"/>
              <w:left w:val="nil"/>
              <w:bottom w:val="single" w:sz="4" w:space="0" w:color="auto"/>
              <w:right w:val="single" w:sz="4" w:space="0" w:color="auto"/>
            </w:tcBorders>
            <w:noWrap/>
            <w:vAlign w:val="bottom"/>
            <w:hideMark/>
          </w:tcPr>
          <w:p w:rsidR="001F4FCE" w:rsidRPr="00DA22C6" w:rsidP="00D72EFC" w14:paraId="03201BE7" w14:textId="77777777">
            <w:pPr>
              <w:widowControl/>
              <w:autoSpaceDE/>
              <w:autoSpaceDN/>
              <w:adjustRightInd/>
              <w:jc w:val="center"/>
              <w:rPr>
                <w:color w:val="000000"/>
                <w:szCs w:val="20"/>
              </w:rPr>
            </w:pPr>
            <w:r w:rsidRPr="00DA22C6">
              <w:rPr>
                <w:color w:val="000000"/>
                <w:szCs w:val="20"/>
              </w:rPr>
              <w:t>450</w:t>
            </w:r>
          </w:p>
        </w:tc>
        <w:tc>
          <w:tcPr>
            <w:tcW w:w="900" w:type="dxa"/>
            <w:tcBorders>
              <w:top w:val="nil"/>
              <w:left w:val="nil"/>
              <w:bottom w:val="single" w:sz="4" w:space="0" w:color="auto"/>
              <w:right w:val="single" w:sz="4" w:space="0" w:color="auto"/>
            </w:tcBorders>
            <w:noWrap/>
            <w:vAlign w:val="center"/>
            <w:hideMark/>
          </w:tcPr>
          <w:p w:rsidR="001F4FCE" w:rsidRPr="00DA22C6" w:rsidP="00D72EFC" w14:paraId="01DB2F62"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50B57A80" w14:textId="77777777">
            <w:pPr>
              <w:widowControl/>
              <w:autoSpaceDE/>
              <w:autoSpaceDN/>
              <w:adjustRightInd/>
              <w:jc w:val="right"/>
              <w:rPr>
                <w:color w:val="000000"/>
                <w:szCs w:val="20"/>
              </w:rPr>
            </w:pPr>
            <w:r w:rsidRPr="00DA22C6">
              <w:rPr>
                <w:color w:val="000000"/>
                <w:szCs w:val="20"/>
              </w:rPr>
              <w:t>$144,450</w:t>
            </w:r>
          </w:p>
        </w:tc>
      </w:tr>
      <w:tr w14:paraId="38A5265C"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64DC265A" w14:textId="34DE6313">
            <w:pPr>
              <w:widowControl/>
              <w:autoSpaceDE/>
              <w:autoSpaceDN/>
              <w:adjustRightInd/>
              <w:jc w:val="center"/>
              <w:rPr>
                <w:color w:val="000000"/>
                <w:szCs w:val="20"/>
              </w:rPr>
            </w:pPr>
            <w:r>
              <w:rPr>
                <w:color w:val="000000"/>
                <w:szCs w:val="20"/>
              </w:rPr>
              <w:t>10</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1713B86B" w14:textId="438F206F">
            <w:pPr>
              <w:widowControl/>
              <w:autoSpaceDE/>
              <w:autoSpaceDN/>
              <w:adjustRightInd/>
              <w:rPr>
                <w:color w:val="000000"/>
                <w:szCs w:val="20"/>
              </w:rPr>
            </w:pPr>
            <w:r w:rsidRPr="00DA22C6">
              <w:rPr>
                <w:color w:val="000000"/>
                <w:szCs w:val="20"/>
              </w:rPr>
              <w:t>ICF/IIDs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6A96B1CB" w14:textId="77777777">
            <w:pPr>
              <w:widowControl/>
              <w:autoSpaceDE/>
              <w:autoSpaceDN/>
              <w:adjustRightInd/>
              <w:rPr>
                <w:color w:val="000000"/>
                <w:sz w:val="18"/>
                <w:szCs w:val="22"/>
              </w:rPr>
            </w:pPr>
            <w:r w:rsidRPr="00FE183A">
              <w:rPr>
                <w:sz w:val="18"/>
                <w:szCs w:val="22"/>
              </w:rPr>
              <w:t>§ 483.475(c)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322F992E" w14:textId="77777777">
            <w:pPr>
              <w:widowControl/>
              <w:autoSpaceDE/>
              <w:autoSpaceDN/>
              <w:adjustRightInd/>
              <w:jc w:val="center"/>
              <w:rPr>
                <w:szCs w:val="20"/>
              </w:rPr>
            </w:pPr>
            <w:r w:rsidRPr="00DA22C6">
              <w:rPr>
                <w:szCs w:val="20"/>
              </w:rPr>
              <w:t>24</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67144AC8" w14:textId="77777777">
            <w:pPr>
              <w:widowControl/>
              <w:autoSpaceDE/>
              <w:autoSpaceDN/>
              <w:adjustRightInd/>
              <w:jc w:val="center"/>
              <w:rPr>
                <w:color w:val="000000"/>
                <w:szCs w:val="20"/>
              </w:rPr>
            </w:pPr>
            <w:r w:rsidRPr="00DA22C6">
              <w:rPr>
                <w:color w:val="000000"/>
                <w:szCs w:val="20"/>
              </w:rPr>
              <w:t>24</w:t>
            </w:r>
          </w:p>
        </w:tc>
        <w:tc>
          <w:tcPr>
            <w:tcW w:w="1080" w:type="dxa"/>
            <w:tcBorders>
              <w:top w:val="nil"/>
              <w:left w:val="nil"/>
              <w:bottom w:val="single" w:sz="4" w:space="0" w:color="auto"/>
              <w:right w:val="single" w:sz="4" w:space="0" w:color="auto"/>
            </w:tcBorders>
            <w:vAlign w:val="bottom"/>
            <w:hideMark/>
          </w:tcPr>
          <w:p w:rsidR="001F4FCE" w:rsidRPr="00DA22C6" w:rsidP="00D72EFC" w14:paraId="1085C907" w14:textId="328F9207">
            <w:pPr>
              <w:widowControl/>
              <w:autoSpaceDE/>
              <w:autoSpaceDN/>
              <w:adjustRightInd/>
              <w:jc w:val="center"/>
              <w:rPr>
                <w:szCs w:val="20"/>
              </w:rPr>
            </w:pPr>
            <w:r w:rsidRPr="00DA22C6">
              <w:rPr>
                <w:szCs w:val="20"/>
              </w:rPr>
              <w:t>6</w:t>
            </w:r>
          </w:p>
        </w:tc>
        <w:tc>
          <w:tcPr>
            <w:tcW w:w="900" w:type="dxa"/>
            <w:tcBorders>
              <w:top w:val="nil"/>
              <w:left w:val="nil"/>
              <w:bottom w:val="single" w:sz="4" w:space="0" w:color="auto"/>
              <w:right w:val="single" w:sz="4" w:space="0" w:color="auto"/>
            </w:tcBorders>
            <w:noWrap/>
            <w:vAlign w:val="bottom"/>
            <w:hideMark/>
          </w:tcPr>
          <w:p w:rsidR="001F4FCE" w:rsidRPr="00DA22C6" w:rsidP="00D72EFC" w14:paraId="777DDA5F" w14:textId="77777777">
            <w:pPr>
              <w:widowControl/>
              <w:autoSpaceDE/>
              <w:autoSpaceDN/>
              <w:adjustRightInd/>
              <w:jc w:val="center"/>
              <w:rPr>
                <w:color w:val="000000"/>
                <w:szCs w:val="20"/>
              </w:rPr>
            </w:pPr>
            <w:r w:rsidRPr="00DA22C6">
              <w:rPr>
                <w:color w:val="000000"/>
                <w:szCs w:val="20"/>
              </w:rPr>
              <w:t>144</w:t>
            </w:r>
          </w:p>
        </w:tc>
        <w:tc>
          <w:tcPr>
            <w:tcW w:w="900" w:type="dxa"/>
            <w:tcBorders>
              <w:top w:val="nil"/>
              <w:left w:val="nil"/>
              <w:bottom w:val="single" w:sz="4" w:space="0" w:color="auto"/>
              <w:right w:val="single" w:sz="4" w:space="0" w:color="auto"/>
            </w:tcBorders>
            <w:noWrap/>
            <w:vAlign w:val="center"/>
            <w:hideMark/>
          </w:tcPr>
          <w:p w:rsidR="001F4FCE" w:rsidRPr="00DA22C6" w:rsidP="00D72EFC" w14:paraId="322F5DA2"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5E27D1B6" w14:textId="77777777">
            <w:pPr>
              <w:widowControl/>
              <w:autoSpaceDE/>
              <w:autoSpaceDN/>
              <w:adjustRightInd/>
              <w:jc w:val="right"/>
              <w:rPr>
                <w:color w:val="000000"/>
                <w:szCs w:val="20"/>
              </w:rPr>
            </w:pPr>
            <w:r w:rsidRPr="00DA22C6">
              <w:rPr>
                <w:color w:val="000000"/>
                <w:szCs w:val="20"/>
              </w:rPr>
              <w:t>$46,224</w:t>
            </w:r>
          </w:p>
        </w:tc>
      </w:tr>
      <w:tr w14:paraId="32FF9435"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722FECFA" w14:textId="0765B1A7">
            <w:pPr>
              <w:widowControl/>
              <w:autoSpaceDE/>
              <w:autoSpaceDN/>
              <w:adjustRightInd/>
              <w:jc w:val="center"/>
              <w:rPr>
                <w:color w:val="000000"/>
                <w:szCs w:val="20"/>
              </w:rPr>
            </w:pPr>
            <w:r>
              <w:rPr>
                <w:color w:val="000000"/>
                <w:szCs w:val="20"/>
              </w:rPr>
              <w:t>11</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D72EFC" w14:paraId="32BD58D6" w14:textId="6CB83757">
            <w:pPr>
              <w:widowControl/>
              <w:autoSpaceDE/>
              <w:autoSpaceDN/>
              <w:adjustRightInd/>
              <w:rPr>
                <w:color w:val="000000"/>
                <w:szCs w:val="20"/>
              </w:rPr>
            </w:pPr>
            <w:r w:rsidRPr="00DA22C6">
              <w:rPr>
                <w:color w:val="000000"/>
                <w:szCs w:val="20"/>
              </w:rPr>
              <w:t>OPOs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D72EFC" w14:paraId="2505D32D" w14:textId="77777777">
            <w:pPr>
              <w:widowControl/>
              <w:autoSpaceDE/>
              <w:autoSpaceDN/>
              <w:adjustRightInd/>
              <w:rPr>
                <w:color w:val="000000"/>
                <w:sz w:val="18"/>
                <w:szCs w:val="22"/>
              </w:rPr>
            </w:pPr>
            <w:r w:rsidRPr="00FE183A">
              <w:rPr>
                <w:sz w:val="18"/>
                <w:szCs w:val="22"/>
              </w:rPr>
              <w:t>§ 486.360(c)</w:t>
            </w:r>
          </w:p>
        </w:tc>
        <w:tc>
          <w:tcPr>
            <w:tcW w:w="1080" w:type="dxa"/>
            <w:tcBorders>
              <w:top w:val="nil"/>
              <w:left w:val="nil"/>
              <w:bottom w:val="single" w:sz="4" w:space="0" w:color="auto"/>
              <w:right w:val="single" w:sz="4" w:space="0" w:color="auto"/>
            </w:tcBorders>
            <w:noWrap/>
            <w:vAlign w:val="bottom"/>
            <w:hideMark/>
          </w:tcPr>
          <w:p w:rsidR="001F4FCE" w:rsidRPr="00DA22C6" w:rsidP="00D72EFC" w14:paraId="6B83191F" w14:textId="77777777">
            <w:pPr>
              <w:widowControl/>
              <w:autoSpaceDE/>
              <w:autoSpaceDN/>
              <w:adjustRightInd/>
              <w:jc w:val="center"/>
              <w:rPr>
                <w:szCs w:val="20"/>
              </w:rPr>
            </w:pPr>
            <w:r w:rsidRPr="00DA22C6">
              <w:rPr>
                <w:szCs w:val="20"/>
              </w:rPr>
              <w:t>0</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1F67A7CF" w14:textId="77777777">
            <w:pPr>
              <w:widowControl/>
              <w:autoSpaceDE/>
              <w:autoSpaceDN/>
              <w:adjustRightInd/>
              <w:jc w:val="center"/>
              <w:rPr>
                <w:color w:val="000000"/>
                <w:szCs w:val="20"/>
              </w:rPr>
            </w:pPr>
            <w:r w:rsidRPr="00DA22C6">
              <w:rPr>
                <w:color w:val="000000"/>
                <w:szCs w:val="20"/>
              </w:rPr>
              <w:t>0</w:t>
            </w:r>
          </w:p>
        </w:tc>
        <w:tc>
          <w:tcPr>
            <w:tcW w:w="1080" w:type="dxa"/>
            <w:tcBorders>
              <w:top w:val="nil"/>
              <w:left w:val="nil"/>
              <w:bottom w:val="single" w:sz="4" w:space="0" w:color="auto"/>
              <w:right w:val="single" w:sz="4" w:space="0" w:color="auto"/>
            </w:tcBorders>
            <w:vAlign w:val="bottom"/>
            <w:hideMark/>
          </w:tcPr>
          <w:p w:rsidR="001F4FCE" w:rsidRPr="00DA22C6" w:rsidP="00D72EFC" w14:paraId="669D7941" w14:textId="6D669714">
            <w:pPr>
              <w:widowControl/>
              <w:autoSpaceDE/>
              <w:autoSpaceDN/>
              <w:adjustRightInd/>
              <w:jc w:val="center"/>
              <w:rPr>
                <w:szCs w:val="20"/>
              </w:rPr>
            </w:pPr>
            <w:r w:rsidRPr="00DA22C6">
              <w:rPr>
                <w:szCs w:val="20"/>
              </w:rPr>
              <w:t>14</w:t>
            </w:r>
          </w:p>
        </w:tc>
        <w:tc>
          <w:tcPr>
            <w:tcW w:w="900" w:type="dxa"/>
            <w:tcBorders>
              <w:top w:val="nil"/>
              <w:left w:val="nil"/>
              <w:bottom w:val="single" w:sz="4" w:space="0" w:color="auto"/>
              <w:right w:val="single" w:sz="4" w:space="0" w:color="auto"/>
            </w:tcBorders>
            <w:noWrap/>
            <w:vAlign w:val="bottom"/>
            <w:hideMark/>
          </w:tcPr>
          <w:p w:rsidR="001F4FCE" w:rsidRPr="00DA22C6" w:rsidP="00D72EFC" w14:paraId="42419046" w14:textId="77777777">
            <w:pPr>
              <w:widowControl/>
              <w:autoSpaceDE/>
              <w:autoSpaceDN/>
              <w:adjustRightInd/>
              <w:jc w:val="center"/>
              <w:rPr>
                <w:color w:val="000000"/>
                <w:szCs w:val="20"/>
              </w:rPr>
            </w:pPr>
            <w:r w:rsidRPr="00DA22C6">
              <w:rPr>
                <w:color w:val="000000"/>
                <w:szCs w:val="20"/>
              </w:rPr>
              <w:t>0</w:t>
            </w:r>
          </w:p>
        </w:tc>
        <w:tc>
          <w:tcPr>
            <w:tcW w:w="900" w:type="dxa"/>
            <w:tcBorders>
              <w:top w:val="nil"/>
              <w:left w:val="nil"/>
              <w:bottom w:val="single" w:sz="4" w:space="0" w:color="auto"/>
              <w:right w:val="single" w:sz="4" w:space="0" w:color="auto"/>
            </w:tcBorders>
            <w:noWrap/>
            <w:vAlign w:val="center"/>
            <w:hideMark/>
          </w:tcPr>
          <w:p w:rsidR="001F4FCE" w:rsidRPr="00DA22C6" w:rsidP="00D72EFC" w14:paraId="6848A937"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D72EFC" w14:paraId="46909060" w14:textId="77777777">
            <w:pPr>
              <w:widowControl/>
              <w:autoSpaceDE/>
              <w:autoSpaceDN/>
              <w:adjustRightInd/>
              <w:jc w:val="right"/>
              <w:rPr>
                <w:color w:val="000000"/>
                <w:szCs w:val="20"/>
              </w:rPr>
            </w:pPr>
            <w:r w:rsidRPr="00DA22C6">
              <w:rPr>
                <w:color w:val="000000"/>
                <w:szCs w:val="20"/>
              </w:rPr>
              <w:t>$0</w:t>
            </w:r>
          </w:p>
        </w:tc>
      </w:tr>
      <w:tr w14:paraId="4848FD24"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P="001F4FCE" w14:paraId="17117D1E" w14:textId="1945D04F">
            <w:pPr>
              <w:widowControl/>
              <w:autoSpaceDE/>
              <w:autoSpaceDN/>
              <w:adjustRightInd/>
              <w:jc w:val="center"/>
              <w:rPr>
                <w:szCs w:val="20"/>
              </w:rPr>
            </w:pPr>
            <w:r>
              <w:rPr>
                <w:szCs w:val="20"/>
              </w:rPr>
              <w:t>12</w:t>
            </w:r>
          </w:p>
        </w:tc>
        <w:tc>
          <w:tcPr>
            <w:tcW w:w="2160" w:type="dxa"/>
            <w:tcBorders>
              <w:top w:val="single" w:sz="4" w:space="0" w:color="auto"/>
              <w:left w:val="single" w:sz="4" w:space="0" w:color="auto"/>
              <w:bottom w:val="single" w:sz="4" w:space="0" w:color="auto"/>
              <w:right w:val="single" w:sz="4" w:space="0" w:color="auto"/>
            </w:tcBorders>
            <w:vAlign w:val="bottom"/>
          </w:tcPr>
          <w:p w:rsidR="001F4FCE" w:rsidRPr="00DA22C6" w:rsidP="001F4FCE" w14:paraId="3C071252" w14:textId="33A33413">
            <w:pPr>
              <w:widowControl/>
              <w:autoSpaceDE/>
              <w:autoSpaceDN/>
              <w:adjustRightInd/>
              <w:rPr>
                <w:color w:val="000000"/>
                <w:szCs w:val="20"/>
              </w:rPr>
            </w:pPr>
            <w:r>
              <w:rPr>
                <w:szCs w:val="20"/>
              </w:rPr>
              <w:t>“Organizations”</w:t>
            </w:r>
          </w:p>
        </w:tc>
        <w:tc>
          <w:tcPr>
            <w:tcW w:w="1170" w:type="dxa"/>
            <w:tcBorders>
              <w:top w:val="single" w:sz="4" w:space="0" w:color="auto"/>
              <w:left w:val="single" w:sz="4" w:space="0" w:color="auto"/>
              <w:bottom w:val="single" w:sz="4" w:space="0" w:color="auto"/>
              <w:right w:val="single" w:sz="4" w:space="0" w:color="auto"/>
            </w:tcBorders>
            <w:noWrap/>
            <w:vAlign w:val="bottom"/>
          </w:tcPr>
          <w:p w:rsidR="001F4FCE" w:rsidRPr="00FE183A" w:rsidP="001F4FCE" w14:paraId="765698CC" w14:textId="40EA467A">
            <w:pPr>
              <w:widowControl/>
              <w:autoSpaceDE/>
              <w:autoSpaceDN/>
              <w:adjustRightInd/>
              <w:rPr>
                <w:sz w:val="18"/>
                <w:szCs w:val="22"/>
              </w:rPr>
            </w:pPr>
            <w:r w:rsidRPr="00FE183A">
              <w:rPr>
                <w:sz w:val="18"/>
                <w:szCs w:val="22"/>
              </w:rPr>
              <w:t>§ 485.727(c)</w:t>
            </w:r>
          </w:p>
        </w:tc>
        <w:tc>
          <w:tcPr>
            <w:tcW w:w="1080" w:type="dxa"/>
            <w:tcBorders>
              <w:top w:val="nil"/>
              <w:left w:val="nil"/>
              <w:bottom w:val="single" w:sz="4" w:space="0" w:color="auto"/>
              <w:right w:val="single" w:sz="4" w:space="0" w:color="auto"/>
            </w:tcBorders>
            <w:noWrap/>
            <w:vAlign w:val="bottom"/>
          </w:tcPr>
          <w:p w:rsidR="001F4FCE" w:rsidRPr="00DA22C6" w:rsidP="001F4FCE" w14:paraId="7330AF1C" w14:textId="769E9C72">
            <w:pPr>
              <w:widowControl/>
              <w:autoSpaceDE/>
              <w:autoSpaceDN/>
              <w:adjustRightInd/>
              <w:jc w:val="center"/>
              <w:rPr>
                <w:szCs w:val="20"/>
              </w:rPr>
            </w:pPr>
            <w:r w:rsidRPr="00DA22C6">
              <w:rPr>
                <w:szCs w:val="20"/>
              </w:rPr>
              <w:t>60</w:t>
            </w:r>
          </w:p>
        </w:tc>
        <w:tc>
          <w:tcPr>
            <w:tcW w:w="1170" w:type="dxa"/>
            <w:tcBorders>
              <w:top w:val="nil"/>
              <w:left w:val="nil"/>
              <w:bottom w:val="single" w:sz="4" w:space="0" w:color="auto"/>
              <w:right w:val="single" w:sz="4" w:space="0" w:color="auto"/>
            </w:tcBorders>
            <w:noWrap/>
            <w:vAlign w:val="bottom"/>
          </w:tcPr>
          <w:p w:rsidR="001F4FCE" w:rsidRPr="00DA22C6" w:rsidP="001F4FCE" w14:paraId="2DBABFAE" w14:textId="3DE4B15B">
            <w:pPr>
              <w:widowControl/>
              <w:autoSpaceDE/>
              <w:autoSpaceDN/>
              <w:adjustRightInd/>
              <w:jc w:val="center"/>
              <w:rPr>
                <w:color w:val="000000"/>
                <w:szCs w:val="20"/>
              </w:rPr>
            </w:pPr>
            <w:r w:rsidRPr="00DA22C6">
              <w:rPr>
                <w:color w:val="000000"/>
                <w:szCs w:val="20"/>
              </w:rPr>
              <w:t>60</w:t>
            </w:r>
          </w:p>
        </w:tc>
        <w:tc>
          <w:tcPr>
            <w:tcW w:w="1080" w:type="dxa"/>
            <w:tcBorders>
              <w:top w:val="nil"/>
              <w:left w:val="nil"/>
              <w:bottom w:val="single" w:sz="4" w:space="0" w:color="auto"/>
              <w:right w:val="single" w:sz="4" w:space="0" w:color="auto"/>
            </w:tcBorders>
            <w:vAlign w:val="bottom"/>
          </w:tcPr>
          <w:p w:rsidR="001F4FCE" w:rsidRPr="00DA22C6" w:rsidP="001F4FCE" w14:paraId="70584F73" w14:textId="4305EE6D">
            <w:pPr>
              <w:widowControl/>
              <w:autoSpaceDE/>
              <w:autoSpaceDN/>
              <w:adjustRightInd/>
              <w:jc w:val="center"/>
              <w:rPr>
                <w:szCs w:val="20"/>
              </w:rPr>
            </w:pPr>
            <w:r w:rsidRPr="00DA22C6">
              <w:rPr>
                <w:szCs w:val="20"/>
              </w:rPr>
              <w:t>8</w:t>
            </w:r>
          </w:p>
        </w:tc>
        <w:tc>
          <w:tcPr>
            <w:tcW w:w="900" w:type="dxa"/>
            <w:tcBorders>
              <w:top w:val="nil"/>
              <w:left w:val="nil"/>
              <w:bottom w:val="single" w:sz="4" w:space="0" w:color="auto"/>
              <w:right w:val="single" w:sz="4" w:space="0" w:color="auto"/>
            </w:tcBorders>
            <w:noWrap/>
            <w:vAlign w:val="bottom"/>
          </w:tcPr>
          <w:p w:rsidR="001F4FCE" w:rsidRPr="00DA22C6" w:rsidP="001F4FCE" w14:paraId="06ECD56F" w14:textId="629A3565">
            <w:pPr>
              <w:widowControl/>
              <w:autoSpaceDE/>
              <w:autoSpaceDN/>
              <w:adjustRightInd/>
              <w:jc w:val="center"/>
              <w:rPr>
                <w:color w:val="000000"/>
                <w:szCs w:val="20"/>
              </w:rPr>
            </w:pPr>
            <w:r w:rsidRPr="00DA22C6">
              <w:rPr>
                <w:color w:val="000000"/>
                <w:szCs w:val="20"/>
              </w:rPr>
              <w:t>480</w:t>
            </w:r>
          </w:p>
        </w:tc>
        <w:tc>
          <w:tcPr>
            <w:tcW w:w="900" w:type="dxa"/>
            <w:tcBorders>
              <w:top w:val="nil"/>
              <w:left w:val="nil"/>
              <w:bottom w:val="single" w:sz="4" w:space="0" w:color="auto"/>
              <w:right w:val="single" w:sz="4" w:space="0" w:color="auto"/>
            </w:tcBorders>
            <w:noWrap/>
            <w:vAlign w:val="center"/>
          </w:tcPr>
          <w:p w:rsidR="001F4FCE" w:rsidRPr="00EC2D57" w:rsidP="001F4FCE" w14:paraId="46C4B11B" w14:textId="50FF4B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tcPr>
          <w:p w:rsidR="001F4FCE" w:rsidRPr="00DA22C6" w:rsidP="001F4FCE" w14:paraId="02CB31FA" w14:textId="6CFF0405">
            <w:pPr>
              <w:widowControl/>
              <w:autoSpaceDE/>
              <w:autoSpaceDN/>
              <w:adjustRightInd/>
              <w:jc w:val="right"/>
              <w:rPr>
                <w:color w:val="000000"/>
                <w:szCs w:val="20"/>
              </w:rPr>
            </w:pPr>
            <w:r w:rsidRPr="00DA22C6">
              <w:rPr>
                <w:color w:val="000000"/>
                <w:szCs w:val="20"/>
              </w:rPr>
              <w:t>$154,080</w:t>
            </w:r>
          </w:p>
        </w:tc>
      </w:tr>
      <w:tr w14:paraId="266B9193"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4A9EB772" w14:textId="66A5DBE6">
            <w:pPr>
              <w:widowControl/>
              <w:autoSpaceDE/>
              <w:autoSpaceDN/>
              <w:adjustRightInd/>
              <w:jc w:val="center"/>
              <w:rPr>
                <w:color w:val="000000"/>
                <w:szCs w:val="20"/>
              </w:rPr>
            </w:pPr>
            <w:r>
              <w:rPr>
                <w:color w:val="000000"/>
                <w:szCs w:val="20"/>
              </w:rPr>
              <w:t>13</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11E58D39" w14:textId="14F9B4ED">
            <w:pPr>
              <w:widowControl/>
              <w:autoSpaceDE/>
              <w:autoSpaceDN/>
              <w:adjustRightInd/>
              <w:rPr>
                <w:color w:val="000000"/>
                <w:szCs w:val="20"/>
              </w:rPr>
            </w:pPr>
            <w:r w:rsidRPr="00DA22C6">
              <w:rPr>
                <w:color w:val="000000"/>
                <w:szCs w:val="20"/>
              </w:rPr>
              <w:t xml:space="preserve">PACE </w:t>
            </w:r>
            <w:r>
              <w:rPr>
                <w:color w:val="000000"/>
                <w:szCs w:val="20"/>
              </w:rPr>
              <w:t>O</w:t>
            </w:r>
            <w:r w:rsidRPr="00DA22C6">
              <w:rPr>
                <w:color w:val="000000"/>
                <w:szCs w:val="20"/>
              </w:rPr>
              <w:t>rganizations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2E6780A0" w14:textId="77777777">
            <w:pPr>
              <w:widowControl/>
              <w:autoSpaceDE/>
              <w:autoSpaceDN/>
              <w:adjustRightInd/>
              <w:rPr>
                <w:color w:val="000000"/>
                <w:sz w:val="18"/>
                <w:szCs w:val="22"/>
              </w:rPr>
            </w:pPr>
            <w:r w:rsidRPr="00FE183A">
              <w:rPr>
                <w:sz w:val="18"/>
                <w:szCs w:val="22"/>
              </w:rPr>
              <w:t>§ 460.84(c)</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53BE4773" w14:textId="77777777">
            <w:pPr>
              <w:widowControl/>
              <w:autoSpaceDE/>
              <w:autoSpaceDN/>
              <w:adjustRightInd/>
              <w:jc w:val="center"/>
              <w:rPr>
                <w:szCs w:val="20"/>
              </w:rPr>
            </w:pPr>
            <w:r w:rsidRPr="00DA22C6">
              <w:rPr>
                <w:szCs w:val="20"/>
              </w:rPr>
              <w:t>1</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45C7F200" w14:textId="77777777">
            <w:pPr>
              <w:widowControl/>
              <w:autoSpaceDE/>
              <w:autoSpaceDN/>
              <w:adjustRightInd/>
              <w:jc w:val="center"/>
              <w:rPr>
                <w:color w:val="000000"/>
                <w:szCs w:val="20"/>
              </w:rPr>
            </w:pPr>
            <w:r w:rsidRPr="00DA22C6">
              <w:rPr>
                <w:color w:val="000000"/>
                <w:szCs w:val="20"/>
              </w:rPr>
              <w:t>1</w:t>
            </w:r>
          </w:p>
        </w:tc>
        <w:tc>
          <w:tcPr>
            <w:tcW w:w="1080" w:type="dxa"/>
            <w:tcBorders>
              <w:top w:val="nil"/>
              <w:left w:val="nil"/>
              <w:bottom w:val="single" w:sz="4" w:space="0" w:color="auto"/>
              <w:right w:val="single" w:sz="4" w:space="0" w:color="auto"/>
            </w:tcBorders>
            <w:vAlign w:val="bottom"/>
            <w:hideMark/>
          </w:tcPr>
          <w:p w:rsidR="001F4FCE" w:rsidRPr="00DA22C6" w:rsidP="001F4FCE" w14:paraId="229BC112" w14:textId="07A62011">
            <w:pPr>
              <w:widowControl/>
              <w:autoSpaceDE/>
              <w:autoSpaceDN/>
              <w:adjustRightInd/>
              <w:jc w:val="center"/>
              <w:rPr>
                <w:szCs w:val="20"/>
              </w:rPr>
            </w:pPr>
            <w:r w:rsidRPr="00DA22C6">
              <w:rPr>
                <w:szCs w:val="20"/>
              </w:rPr>
              <w:t>7</w:t>
            </w:r>
          </w:p>
        </w:tc>
        <w:tc>
          <w:tcPr>
            <w:tcW w:w="900" w:type="dxa"/>
            <w:tcBorders>
              <w:top w:val="nil"/>
              <w:left w:val="nil"/>
              <w:bottom w:val="single" w:sz="4" w:space="0" w:color="auto"/>
              <w:right w:val="single" w:sz="4" w:space="0" w:color="auto"/>
            </w:tcBorders>
            <w:noWrap/>
            <w:vAlign w:val="bottom"/>
            <w:hideMark/>
          </w:tcPr>
          <w:p w:rsidR="001F4FCE" w:rsidRPr="00DA22C6" w:rsidP="001F4FCE" w14:paraId="4C4A8590" w14:textId="77777777">
            <w:pPr>
              <w:widowControl/>
              <w:autoSpaceDE/>
              <w:autoSpaceDN/>
              <w:adjustRightInd/>
              <w:jc w:val="center"/>
              <w:rPr>
                <w:color w:val="000000"/>
                <w:szCs w:val="20"/>
              </w:rPr>
            </w:pPr>
            <w:r w:rsidRPr="00DA22C6">
              <w:rPr>
                <w:color w:val="000000"/>
                <w:szCs w:val="20"/>
              </w:rPr>
              <w:t>7</w:t>
            </w:r>
          </w:p>
        </w:tc>
        <w:tc>
          <w:tcPr>
            <w:tcW w:w="900" w:type="dxa"/>
            <w:tcBorders>
              <w:top w:val="nil"/>
              <w:left w:val="nil"/>
              <w:bottom w:val="single" w:sz="4" w:space="0" w:color="auto"/>
              <w:right w:val="single" w:sz="4" w:space="0" w:color="auto"/>
            </w:tcBorders>
            <w:noWrap/>
            <w:vAlign w:val="center"/>
            <w:hideMark/>
          </w:tcPr>
          <w:p w:rsidR="001F4FCE" w:rsidRPr="00DA22C6" w:rsidP="001F4FCE" w14:paraId="61F2BDBA"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38656F4C" w14:textId="77777777">
            <w:pPr>
              <w:widowControl/>
              <w:autoSpaceDE/>
              <w:autoSpaceDN/>
              <w:adjustRightInd/>
              <w:jc w:val="right"/>
              <w:rPr>
                <w:color w:val="000000"/>
                <w:szCs w:val="20"/>
              </w:rPr>
            </w:pPr>
            <w:r w:rsidRPr="00DA22C6">
              <w:rPr>
                <w:color w:val="000000"/>
                <w:szCs w:val="20"/>
              </w:rPr>
              <w:t>$2,247</w:t>
            </w:r>
          </w:p>
        </w:tc>
      </w:tr>
      <w:tr w14:paraId="0E7A1FF6"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3537199F" w14:textId="3F334EE5">
            <w:pPr>
              <w:widowControl/>
              <w:autoSpaceDE/>
              <w:autoSpaceDN/>
              <w:adjustRightInd/>
              <w:jc w:val="center"/>
              <w:rPr>
                <w:color w:val="000000"/>
                <w:szCs w:val="20"/>
              </w:rPr>
            </w:pPr>
            <w:r>
              <w:rPr>
                <w:color w:val="000000"/>
                <w:szCs w:val="20"/>
              </w:rPr>
              <w:t>14</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07BC7B83" w14:textId="45F077F7">
            <w:pPr>
              <w:widowControl/>
              <w:autoSpaceDE/>
              <w:autoSpaceDN/>
              <w:adjustRightInd/>
              <w:rPr>
                <w:color w:val="000000"/>
                <w:szCs w:val="20"/>
              </w:rPr>
            </w:pPr>
            <w:r w:rsidRPr="00DA22C6">
              <w:rPr>
                <w:color w:val="000000"/>
                <w:szCs w:val="20"/>
              </w:rPr>
              <w:t>PRTFs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64DB1286" w14:textId="77777777">
            <w:pPr>
              <w:widowControl/>
              <w:autoSpaceDE/>
              <w:autoSpaceDN/>
              <w:adjustRightInd/>
              <w:rPr>
                <w:color w:val="000000"/>
                <w:sz w:val="18"/>
                <w:szCs w:val="22"/>
              </w:rPr>
            </w:pPr>
            <w:r w:rsidRPr="00FE183A">
              <w:rPr>
                <w:sz w:val="18"/>
                <w:szCs w:val="22"/>
              </w:rPr>
              <w:t>§ 441.184(c)</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436298E3" w14:textId="77777777">
            <w:pPr>
              <w:widowControl/>
              <w:autoSpaceDE/>
              <w:autoSpaceDN/>
              <w:adjustRightInd/>
              <w:jc w:val="center"/>
              <w:rPr>
                <w:szCs w:val="20"/>
              </w:rPr>
            </w:pPr>
            <w:r w:rsidRPr="00DA22C6">
              <w:rPr>
                <w:szCs w:val="20"/>
              </w:rPr>
              <w:t>9</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3890201F" w14:textId="77777777">
            <w:pPr>
              <w:widowControl/>
              <w:autoSpaceDE/>
              <w:autoSpaceDN/>
              <w:adjustRightInd/>
              <w:jc w:val="center"/>
              <w:rPr>
                <w:color w:val="000000"/>
                <w:szCs w:val="20"/>
              </w:rPr>
            </w:pPr>
            <w:r w:rsidRPr="00DA22C6">
              <w:rPr>
                <w:color w:val="000000"/>
                <w:szCs w:val="20"/>
              </w:rPr>
              <w:t>9</w:t>
            </w:r>
          </w:p>
        </w:tc>
        <w:tc>
          <w:tcPr>
            <w:tcW w:w="1080" w:type="dxa"/>
            <w:tcBorders>
              <w:top w:val="nil"/>
              <w:left w:val="nil"/>
              <w:bottom w:val="single" w:sz="4" w:space="0" w:color="auto"/>
              <w:right w:val="single" w:sz="4" w:space="0" w:color="auto"/>
            </w:tcBorders>
            <w:vAlign w:val="bottom"/>
            <w:hideMark/>
          </w:tcPr>
          <w:p w:rsidR="001F4FCE" w:rsidRPr="00DA22C6" w:rsidP="001F4FCE" w14:paraId="0C2D0F12" w14:textId="53AA2124">
            <w:pPr>
              <w:widowControl/>
              <w:autoSpaceDE/>
              <w:autoSpaceDN/>
              <w:adjustRightInd/>
              <w:jc w:val="center"/>
              <w:rPr>
                <w:szCs w:val="20"/>
              </w:rPr>
            </w:pPr>
            <w:r w:rsidRPr="00DA22C6">
              <w:rPr>
                <w:szCs w:val="20"/>
              </w:rPr>
              <w:t>5</w:t>
            </w:r>
          </w:p>
        </w:tc>
        <w:tc>
          <w:tcPr>
            <w:tcW w:w="900" w:type="dxa"/>
            <w:tcBorders>
              <w:top w:val="nil"/>
              <w:left w:val="nil"/>
              <w:bottom w:val="single" w:sz="4" w:space="0" w:color="auto"/>
              <w:right w:val="single" w:sz="4" w:space="0" w:color="auto"/>
            </w:tcBorders>
            <w:noWrap/>
            <w:vAlign w:val="bottom"/>
            <w:hideMark/>
          </w:tcPr>
          <w:p w:rsidR="001F4FCE" w:rsidRPr="00DA22C6" w:rsidP="001F4FCE" w14:paraId="37A7D5CB" w14:textId="77777777">
            <w:pPr>
              <w:widowControl/>
              <w:autoSpaceDE/>
              <w:autoSpaceDN/>
              <w:adjustRightInd/>
              <w:jc w:val="center"/>
              <w:rPr>
                <w:color w:val="000000"/>
                <w:szCs w:val="20"/>
              </w:rPr>
            </w:pPr>
            <w:r w:rsidRPr="00DA22C6">
              <w:rPr>
                <w:color w:val="000000"/>
                <w:szCs w:val="20"/>
              </w:rPr>
              <w:t>45</w:t>
            </w:r>
          </w:p>
        </w:tc>
        <w:tc>
          <w:tcPr>
            <w:tcW w:w="900" w:type="dxa"/>
            <w:tcBorders>
              <w:top w:val="nil"/>
              <w:left w:val="nil"/>
              <w:bottom w:val="single" w:sz="4" w:space="0" w:color="auto"/>
              <w:right w:val="single" w:sz="4" w:space="0" w:color="auto"/>
            </w:tcBorders>
            <w:noWrap/>
            <w:vAlign w:val="center"/>
            <w:hideMark/>
          </w:tcPr>
          <w:p w:rsidR="001F4FCE" w:rsidRPr="00DA22C6" w:rsidP="001F4FCE" w14:paraId="3CC1A5B0"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6BFE1BB7" w14:textId="77777777">
            <w:pPr>
              <w:widowControl/>
              <w:autoSpaceDE/>
              <w:autoSpaceDN/>
              <w:adjustRightInd/>
              <w:jc w:val="right"/>
              <w:rPr>
                <w:color w:val="000000"/>
                <w:szCs w:val="20"/>
              </w:rPr>
            </w:pPr>
            <w:r w:rsidRPr="00DA22C6">
              <w:rPr>
                <w:color w:val="000000"/>
                <w:szCs w:val="20"/>
              </w:rPr>
              <w:t>$14,445</w:t>
            </w:r>
          </w:p>
        </w:tc>
      </w:tr>
      <w:tr w14:paraId="2F30EA98"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02026BFB" w14:textId="72776E10">
            <w:pPr>
              <w:widowControl/>
              <w:autoSpaceDE/>
              <w:autoSpaceDN/>
              <w:adjustRightInd/>
              <w:jc w:val="center"/>
              <w:rPr>
                <w:color w:val="000000"/>
                <w:szCs w:val="20"/>
              </w:rPr>
            </w:pPr>
            <w:r>
              <w:rPr>
                <w:color w:val="000000"/>
                <w:szCs w:val="20"/>
              </w:rPr>
              <w:t>15</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2DE8974C" w14:textId="1DDEA8E7">
            <w:pPr>
              <w:widowControl/>
              <w:autoSpaceDE/>
              <w:autoSpaceDN/>
              <w:adjustRightInd/>
              <w:rPr>
                <w:color w:val="000000"/>
                <w:szCs w:val="20"/>
              </w:rPr>
            </w:pPr>
            <w:r w:rsidRPr="00DA22C6">
              <w:rPr>
                <w:color w:val="000000"/>
                <w:szCs w:val="20"/>
              </w:rPr>
              <w:t>REHs</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4F01190C" w14:textId="77777777">
            <w:pPr>
              <w:widowControl/>
              <w:autoSpaceDE/>
              <w:autoSpaceDN/>
              <w:adjustRightInd/>
              <w:rPr>
                <w:color w:val="000000"/>
                <w:sz w:val="18"/>
                <w:szCs w:val="22"/>
              </w:rPr>
            </w:pPr>
            <w:r w:rsidRPr="00FE183A">
              <w:rPr>
                <w:sz w:val="18"/>
                <w:szCs w:val="22"/>
              </w:rPr>
              <w:t>§ 485.542(c)</w:t>
            </w:r>
          </w:p>
        </w:tc>
        <w:tc>
          <w:tcPr>
            <w:tcW w:w="1080" w:type="dxa"/>
            <w:tcBorders>
              <w:top w:val="single" w:sz="4" w:space="0" w:color="auto"/>
              <w:left w:val="nil"/>
              <w:bottom w:val="single" w:sz="4" w:space="0" w:color="auto"/>
              <w:right w:val="single" w:sz="4" w:space="0" w:color="auto"/>
            </w:tcBorders>
            <w:noWrap/>
            <w:vAlign w:val="bottom"/>
            <w:hideMark/>
          </w:tcPr>
          <w:p w:rsidR="001F4FCE" w:rsidRPr="00DA22C6" w:rsidP="001F4FCE" w14:paraId="782AC469" w14:textId="77777777">
            <w:pPr>
              <w:widowControl/>
              <w:autoSpaceDE/>
              <w:autoSpaceDN/>
              <w:adjustRightInd/>
              <w:jc w:val="center"/>
              <w:rPr>
                <w:szCs w:val="20"/>
              </w:rPr>
            </w:pPr>
            <w:r w:rsidRPr="00DA22C6">
              <w:rPr>
                <w:szCs w:val="20"/>
              </w:rPr>
              <w:t>19</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1BBDF54B" w14:textId="77777777">
            <w:pPr>
              <w:widowControl/>
              <w:autoSpaceDE/>
              <w:autoSpaceDN/>
              <w:adjustRightInd/>
              <w:jc w:val="center"/>
              <w:rPr>
                <w:color w:val="000000"/>
                <w:szCs w:val="20"/>
              </w:rPr>
            </w:pPr>
            <w:r w:rsidRPr="00DA22C6">
              <w:rPr>
                <w:color w:val="000000"/>
                <w:szCs w:val="20"/>
              </w:rPr>
              <w:t>19</w:t>
            </w:r>
          </w:p>
        </w:tc>
        <w:tc>
          <w:tcPr>
            <w:tcW w:w="1080" w:type="dxa"/>
            <w:tcBorders>
              <w:top w:val="single" w:sz="4" w:space="0" w:color="auto"/>
              <w:left w:val="nil"/>
              <w:bottom w:val="single" w:sz="4" w:space="0" w:color="auto"/>
              <w:right w:val="single" w:sz="4" w:space="0" w:color="auto"/>
            </w:tcBorders>
            <w:vAlign w:val="bottom"/>
            <w:hideMark/>
          </w:tcPr>
          <w:p w:rsidR="001F4FCE" w:rsidRPr="00DA22C6" w:rsidP="001F4FCE" w14:paraId="61780F8B" w14:textId="6B9ECB5A">
            <w:pPr>
              <w:widowControl/>
              <w:autoSpaceDE/>
              <w:autoSpaceDN/>
              <w:adjustRightInd/>
              <w:jc w:val="center"/>
              <w:rPr>
                <w:color w:val="000000"/>
                <w:szCs w:val="20"/>
              </w:rPr>
            </w:pPr>
            <w:r w:rsidRPr="00DA22C6">
              <w:rPr>
                <w:color w:val="000000"/>
                <w:szCs w:val="20"/>
              </w:rPr>
              <w:t>9</w:t>
            </w:r>
          </w:p>
        </w:tc>
        <w:tc>
          <w:tcPr>
            <w:tcW w:w="900" w:type="dxa"/>
            <w:tcBorders>
              <w:top w:val="single" w:sz="4" w:space="0" w:color="auto"/>
              <w:left w:val="nil"/>
              <w:bottom w:val="single" w:sz="4" w:space="0" w:color="auto"/>
              <w:right w:val="single" w:sz="4" w:space="0" w:color="auto"/>
            </w:tcBorders>
            <w:noWrap/>
            <w:vAlign w:val="bottom"/>
            <w:hideMark/>
          </w:tcPr>
          <w:p w:rsidR="001F4FCE" w:rsidRPr="00DA22C6" w:rsidP="001F4FCE" w14:paraId="55F92468" w14:textId="77777777">
            <w:pPr>
              <w:widowControl/>
              <w:autoSpaceDE/>
              <w:autoSpaceDN/>
              <w:adjustRightInd/>
              <w:jc w:val="center"/>
              <w:rPr>
                <w:color w:val="000000"/>
                <w:szCs w:val="20"/>
              </w:rPr>
            </w:pPr>
            <w:r w:rsidRPr="00DA22C6">
              <w:rPr>
                <w:color w:val="000000"/>
                <w:szCs w:val="20"/>
              </w:rPr>
              <w:t>171</w:t>
            </w:r>
          </w:p>
        </w:tc>
        <w:tc>
          <w:tcPr>
            <w:tcW w:w="900" w:type="dxa"/>
            <w:tcBorders>
              <w:top w:val="single" w:sz="4" w:space="0" w:color="auto"/>
              <w:left w:val="nil"/>
              <w:bottom w:val="single" w:sz="4" w:space="0" w:color="auto"/>
              <w:right w:val="single" w:sz="4" w:space="0" w:color="auto"/>
            </w:tcBorders>
            <w:noWrap/>
            <w:vAlign w:val="center"/>
            <w:hideMark/>
          </w:tcPr>
          <w:p w:rsidR="001F4FCE" w:rsidRPr="00DA22C6" w:rsidP="001F4FCE" w14:paraId="51F68C9C"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7A7D2CE9" w14:textId="77777777">
            <w:pPr>
              <w:widowControl/>
              <w:autoSpaceDE/>
              <w:autoSpaceDN/>
              <w:adjustRightInd/>
              <w:jc w:val="right"/>
              <w:rPr>
                <w:color w:val="000000"/>
                <w:szCs w:val="20"/>
              </w:rPr>
            </w:pPr>
            <w:r w:rsidRPr="00DA22C6">
              <w:rPr>
                <w:color w:val="000000"/>
                <w:szCs w:val="20"/>
              </w:rPr>
              <w:t>$54,891</w:t>
            </w:r>
          </w:p>
        </w:tc>
      </w:tr>
      <w:tr w14:paraId="3A4C595F"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253DE310" w14:textId="4B109292">
            <w:pPr>
              <w:widowControl/>
              <w:autoSpaceDE/>
              <w:autoSpaceDN/>
              <w:adjustRightInd/>
              <w:jc w:val="center"/>
              <w:rPr>
                <w:color w:val="000000"/>
                <w:szCs w:val="20"/>
              </w:rPr>
            </w:pPr>
            <w:r>
              <w:rPr>
                <w:color w:val="000000"/>
                <w:szCs w:val="20"/>
              </w:rPr>
              <w:t>16</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02A49E1E" w14:textId="31F5294B">
            <w:pPr>
              <w:widowControl/>
              <w:autoSpaceDE/>
              <w:autoSpaceDN/>
              <w:adjustRightInd/>
              <w:rPr>
                <w:color w:val="000000"/>
                <w:szCs w:val="20"/>
              </w:rPr>
            </w:pPr>
            <w:r w:rsidRPr="00DA22C6">
              <w:rPr>
                <w:color w:val="000000"/>
                <w:szCs w:val="20"/>
              </w:rPr>
              <w:t>RHCs</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005290A9" w14:textId="77777777">
            <w:pPr>
              <w:widowControl/>
              <w:autoSpaceDE/>
              <w:autoSpaceDN/>
              <w:adjustRightInd/>
              <w:rPr>
                <w:color w:val="000000"/>
                <w:sz w:val="18"/>
                <w:szCs w:val="22"/>
              </w:rPr>
            </w:pPr>
            <w:r w:rsidRPr="00FE183A">
              <w:rPr>
                <w:sz w:val="18"/>
                <w:szCs w:val="22"/>
              </w:rPr>
              <w:t>§ 491.12(c)</w:t>
            </w:r>
          </w:p>
        </w:tc>
        <w:tc>
          <w:tcPr>
            <w:tcW w:w="1080" w:type="dxa"/>
            <w:tcBorders>
              <w:top w:val="single" w:sz="4" w:space="0" w:color="auto"/>
              <w:left w:val="nil"/>
              <w:bottom w:val="single" w:sz="4" w:space="0" w:color="auto"/>
              <w:right w:val="single" w:sz="4" w:space="0" w:color="auto"/>
            </w:tcBorders>
            <w:noWrap/>
            <w:vAlign w:val="bottom"/>
            <w:hideMark/>
          </w:tcPr>
          <w:p w:rsidR="001F4FCE" w:rsidRPr="00DA22C6" w:rsidP="001F4FCE" w14:paraId="7A8459DE" w14:textId="77777777">
            <w:pPr>
              <w:widowControl/>
              <w:autoSpaceDE/>
              <w:autoSpaceDN/>
              <w:adjustRightInd/>
              <w:jc w:val="center"/>
              <w:rPr>
                <w:szCs w:val="20"/>
              </w:rPr>
            </w:pPr>
            <w:r w:rsidRPr="00DA22C6">
              <w:rPr>
                <w:szCs w:val="20"/>
              </w:rPr>
              <w:t>339</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42788C82" w14:textId="77777777">
            <w:pPr>
              <w:widowControl/>
              <w:autoSpaceDE/>
              <w:autoSpaceDN/>
              <w:adjustRightInd/>
              <w:jc w:val="center"/>
              <w:rPr>
                <w:color w:val="000000"/>
                <w:szCs w:val="20"/>
              </w:rPr>
            </w:pPr>
            <w:r w:rsidRPr="00DA22C6">
              <w:rPr>
                <w:color w:val="000000"/>
                <w:szCs w:val="20"/>
              </w:rPr>
              <w:t>339</w:t>
            </w:r>
          </w:p>
        </w:tc>
        <w:tc>
          <w:tcPr>
            <w:tcW w:w="1080" w:type="dxa"/>
            <w:tcBorders>
              <w:top w:val="single" w:sz="4" w:space="0" w:color="auto"/>
              <w:left w:val="nil"/>
              <w:bottom w:val="single" w:sz="4" w:space="0" w:color="auto"/>
              <w:right w:val="single" w:sz="4" w:space="0" w:color="auto"/>
            </w:tcBorders>
            <w:vAlign w:val="bottom"/>
            <w:hideMark/>
          </w:tcPr>
          <w:p w:rsidR="001F4FCE" w:rsidRPr="00DA22C6" w:rsidP="001F4FCE" w14:paraId="25B3326B" w14:textId="38B9818F">
            <w:pPr>
              <w:widowControl/>
              <w:autoSpaceDE/>
              <w:autoSpaceDN/>
              <w:adjustRightInd/>
              <w:jc w:val="center"/>
              <w:rPr>
                <w:szCs w:val="20"/>
              </w:rPr>
            </w:pPr>
            <w:r w:rsidRPr="00DA22C6">
              <w:rPr>
                <w:szCs w:val="20"/>
              </w:rPr>
              <w:t>10</w:t>
            </w:r>
          </w:p>
        </w:tc>
        <w:tc>
          <w:tcPr>
            <w:tcW w:w="900" w:type="dxa"/>
            <w:tcBorders>
              <w:top w:val="single" w:sz="4" w:space="0" w:color="auto"/>
              <w:left w:val="nil"/>
              <w:bottom w:val="single" w:sz="4" w:space="0" w:color="auto"/>
              <w:right w:val="single" w:sz="4" w:space="0" w:color="auto"/>
            </w:tcBorders>
            <w:noWrap/>
            <w:vAlign w:val="bottom"/>
            <w:hideMark/>
          </w:tcPr>
          <w:p w:rsidR="001F4FCE" w:rsidRPr="00DA22C6" w:rsidP="001F4FCE" w14:paraId="66A1E885" w14:textId="77777777">
            <w:pPr>
              <w:widowControl/>
              <w:autoSpaceDE/>
              <w:autoSpaceDN/>
              <w:adjustRightInd/>
              <w:jc w:val="center"/>
              <w:rPr>
                <w:color w:val="000000"/>
                <w:szCs w:val="20"/>
              </w:rPr>
            </w:pPr>
            <w:r w:rsidRPr="00DA22C6">
              <w:rPr>
                <w:color w:val="000000"/>
                <w:szCs w:val="20"/>
              </w:rPr>
              <w:t>3,390</w:t>
            </w:r>
          </w:p>
        </w:tc>
        <w:tc>
          <w:tcPr>
            <w:tcW w:w="900" w:type="dxa"/>
            <w:tcBorders>
              <w:top w:val="single" w:sz="4" w:space="0" w:color="auto"/>
              <w:left w:val="nil"/>
              <w:bottom w:val="single" w:sz="4" w:space="0" w:color="auto"/>
              <w:right w:val="single" w:sz="4" w:space="0" w:color="auto"/>
            </w:tcBorders>
            <w:noWrap/>
            <w:vAlign w:val="center"/>
            <w:hideMark/>
          </w:tcPr>
          <w:p w:rsidR="001F4FCE" w:rsidRPr="00DA22C6" w:rsidP="001F4FCE" w14:paraId="6C621240" w14:textId="77777777">
            <w:pPr>
              <w:widowControl/>
              <w:autoSpaceDE/>
              <w:autoSpaceDN/>
              <w:adjustRightInd/>
              <w:jc w:val="center"/>
              <w:rPr>
                <w:color w:val="000000"/>
                <w:szCs w:val="20"/>
              </w:rPr>
            </w:pPr>
            <w:r w:rsidRPr="00EC2D5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09631C96" w14:textId="77777777">
            <w:pPr>
              <w:widowControl/>
              <w:autoSpaceDE/>
              <w:autoSpaceDN/>
              <w:adjustRightInd/>
              <w:jc w:val="right"/>
              <w:rPr>
                <w:color w:val="000000"/>
                <w:szCs w:val="20"/>
              </w:rPr>
            </w:pPr>
            <w:r w:rsidRPr="00DA22C6">
              <w:rPr>
                <w:color w:val="000000"/>
                <w:szCs w:val="20"/>
              </w:rPr>
              <w:t>$1,088,190</w:t>
            </w:r>
          </w:p>
        </w:tc>
      </w:tr>
      <w:tr w14:paraId="21F9FBF1" w14:textId="77777777" w:rsidTr="00F03863">
        <w:tblPrEx>
          <w:tblW w:w="10170" w:type="dxa"/>
          <w:tblInd w:w="-10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7C9A08F6" w14:textId="0F92AEB5">
            <w:pPr>
              <w:widowControl/>
              <w:autoSpaceDE/>
              <w:autoSpaceDN/>
              <w:adjustRightInd/>
              <w:jc w:val="center"/>
              <w:rPr>
                <w:color w:val="000000"/>
                <w:szCs w:val="20"/>
              </w:rPr>
            </w:pPr>
            <w:r>
              <w:rPr>
                <w:color w:val="000000"/>
                <w:szCs w:val="20"/>
              </w:rPr>
              <w:t>17</w:t>
            </w:r>
          </w:p>
        </w:tc>
        <w:tc>
          <w:tcPr>
            <w:tcW w:w="216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1E0D51CD" w14:textId="523CABDC">
            <w:pPr>
              <w:widowControl/>
              <w:autoSpaceDE/>
              <w:autoSpaceDN/>
              <w:adjustRightInd/>
              <w:rPr>
                <w:color w:val="000000"/>
                <w:szCs w:val="20"/>
              </w:rPr>
            </w:pPr>
            <w:r w:rsidRPr="00DA22C6">
              <w:rPr>
                <w:color w:val="000000"/>
                <w:szCs w:val="20"/>
              </w:rPr>
              <w:t>RNHCIs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0007F979" w14:textId="77777777">
            <w:pPr>
              <w:widowControl/>
              <w:autoSpaceDE/>
              <w:autoSpaceDN/>
              <w:adjustRightInd/>
              <w:rPr>
                <w:color w:val="000000"/>
                <w:sz w:val="18"/>
                <w:szCs w:val="22"/>
              </w:rPr>
            </w:pPr>
            <w:r w:rsidRPr="00FE183A">
              <w:rPr>
                <w:sz w:val="18"/>
                <w:szCs w:val="22"/>
              </w:rPr>
              <w:t>§ 403.748(c)</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4CFA3BD2" w14:textId="77777777">
            <w:pPr>
              <w:widowControl/>
              <w:autoSpaceDE/>
              <w:autoSpaceDN/>
              <w:adjustRightInd/>
              <w:jc w:val="center"/>
              <w:rPr>
                <w:szCs w:val="20"/>
              </w:rPr>
            </w:pPr>
            <w:r w:rsidRPr="00DA22C6">
              <w:rPr>
                <w:szCs w:val="20"/>
              </w:rPr>
              <w:t>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36D5CF38" w14:textId="77777777">
            <w:pPr>
              <w:widowControl/>
              <w:autoSpaceDE/>
              <w:autoSpaceDN/>
              <w:adjustRightInd/>
              <w:jc w:val="center"/>
              <w:rPr>
                <w:color w:val="000000"/>
                <w:szCs w:val="20"/>
              </w:rPr>
            </w:pPr>
            <w:r w:rsidRPr="00DA22C6">
              <w:rPr>
                <w:color w:val="000000"/>
                <w:szCs w:val="20"/>
              </w:rPr>
              <w:t>0</w:t>
            </w:r>
          </w:p>
        </w:tc>
        <w:tc>
          <w:tcPr>
            <w:tcW w:w="108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437B55FC" w14:textId="2442DAFD">
            <w:pPr>
              <w:widowControl/>
              <w:autoSpaceDE/>
              <w:autoSpaceDN/>
              <w:adjustRightInd/>
              <w:jc w:val="center"/>
              <w:rPr>
                <w:szCs w:val="20"/>
              </w:rPr>
            </w:pPr>
            <w:r w:rsidRPr="00603DBD">
              <w:t>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6D9E78B0" w14:textId="77777777">
            <w:pPr>
              <w:widowControl/>
              <w:autoSpaceDE/>
              <w:autoSpaceDN/>
              <w:adjustRightInd/>
              <w:jc w:val="center"/>
              <w:rPr>
                <w:color w:val="000000"/>
                <w:szCs w:val="20"/>
              </w:rPr>
            </w:pPr>
            <w:r w:rsidRPr="00DA22C6">
              <w:rPr>
                <w:color w:val="000000"/>
                <w:szCs w:val="20"/>
              </w:rPr>
              <w:t>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F4FCE" w:rsidRPr="00DA22C6" w:rsidP="001F4FCE" w14:paraId="7388F776" w14:textId="77777777">
            <w:pPr>
              <w:widowControl/>
              <w:autoSpaceDE/>
              <w:autoSpaceDN/>
              <w:adjustRightInd/>
              <w:jc w:val="center"/>
              <w:rPr>
                <w:color w:val="000000"/>
                <w:szCs w:val="20"/>
              </w:rPr>
            </w:pPr>
            <w:r w:rsidRPr="008300D1">
              <w:rPr>
                <w:color w:val="000000"/>
                <w:szCs w:val="20"/>
              </w:rPr>
              <w:t>*</w:t>
            </w:r>
            <w:r>
              <w:rPr>
                <w:color w:val="000000"/>
                <w:szCs w:val="20"/>
              </w:rPr>
              <w: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688A7010" w14:textId="77777777">
            <w:pPr>
              <w:widowControl/>
              <w:autoSpaceDE/>
              <w:autoSpaceDN/>
              <w:adjustRightInd/>
              <w:jc w:val="right"/>
              <w:rPr>
                <w:color w:val="000000"/>
                <w:szCs w:val="20"/>
              </w:rPr>
            </w:pPr>
            <w:r w:rsidRPr="00DA22C6">
              <w:rPr>
                <w:color w:val="000000"/>
                <w:szCs w:val="20"/>
              </w:rPr>
              <w:t>$0</w:t>
            </w:r>
          </w:p>
        </w:tc>
      </w:tr>
      <w:tr w14:paraId="0B501859" w14:textId="77777777" w:rsidTr="00F03863">
        <w:tblPrEx>
          <w:tblW w:w="10170" w:type="dxa"/>
          <w:tblInd w:w="-100" w:type="dxa"/>
          <w:tblLayout w:type="fixed"/>
          <w:tblLook w:val="04A0"/>
        </w:tblPrEx>
        <w:trPr>
          <w:trHeight w:val="318"/>
        </w:trPr>
        <w:tc>
          <w:tcPr>
            <w:tcW w:w="387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F03863" w:rsidRPr="00FE183A" w:rsidP="00F03863" w14:paraId="5D9888E4" w14:textId="2A8106B1">
            <w:pPr>
              <w:widowControl/>
              <w:autoSpaceDE/>
              <w:autoSpaceDN/>
              <w:adjustRightInd/>
              <w:jc w:val="right"/>
              <w:rPr>
                <w:sz w:val="18"/>
                <w:szCs w:val="22"/>
              </w:rPr>
            </w:pPr>
            <w:r w:rsidRPr="00DA22C6">
              <w:rPr>
                <w:b/>
                <w:bCs/>
                <w:color w:val="000000"/>
                <w:szCs w:val="20"/>
              </w:rPr>
              <w:t>Total Annual Burden/Costs</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DA22C6" w:rsidP="00F03863" w14:paraId="3FC86E51" w14:textId="2C483C06">
            <w:pPr>
              <w:widowControl/>
              <w:autoSpaceDE/>
              <w:autoSpaceDN/>
              <w:adjustRightInd/>
              <w:jc w:val="center"/>
              <w:rPr>
                <w:szCs w:val="20"/>
              </w:rPr>
            </w:pPr>
            <w:r w:rsidRPr="00DA22C6">
              <w:rPr>
                <w:b/>
                <w:bCs/>
                <w:color w:val="000000"/>
                <w:szCs w:val="20"/>
              </w:rPr>
              <w:t>2,864</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DA22C6" w:rsidP="00F03863" w14:paraId="073CEAF4" w14:textId="6A338E30">
            <w:pPr>
              <w:widowControl/>
              <w:autoSpaceDE/>
              <w:autoSpaceDN/>
              <w:adjustRightInd/>
              <w:jc w:val="center"/>
              <w:rPr>
                <w:color w:val="000000"/>
                <w:szCs w:val="20"/>
              </w:rPr>
            </w:pPr>
            <w:r w:rsidRPr="00DA22C6">
              <w:rPr>
                <w:b/>
                <w:bCs/>
                <w:color w:val="000000"/>
                <w:szCs w:val="20"/>
              </w:rPr>
              <w:t>2,864</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F03863" w:rsidRPr="00603DBD" w:rsidP="00F03863" w14:paraId="470E37BB" w14:textId="56E2C9BD">
            <w:pPr>
              <w:widowControl/>
              <w:autoSpaceDE/>
              <w:autoSpaceDN/>
              <w:adjustRightInd/>
              <w:jc w:val="center"/>
            </w:pPr>
            <w:r w:rsidRPr="00DA22C6">
              <w:rPr>
                <w:b/>
                <w:bCs/>
                <w:color w:val="000000"/>
                <w:szCs w:val="20"/>
              </w:rPr>
              <w:t>124</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DA22C6" w:rsidP="00F03863" w14:paraId="077CD768" w14:textId="55622CA1">
            <w:pPr>
              <w:widowControl/>
              <w:autoSpaceDE/>
              <w:autoSpaceDN/>
              <w:adjustRightInd/>
              <w:jc w:val="center"/>
              <w:rPr>
                <w:color w:val="000000"/>
                <w:szCs w:val="20"/>
              </w:rPr>
            </w:pPr>
            <w:r w:rsidRPr="00DA22C6">
              <w:rPr>
                <w:b/>
                <w:bCs/>
                <w:color w:val="000000"/>
                <w:szCs w:val="20"/>
              </w:rPr>
              <w:t>16,318</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8300D1" w:rsidP="00F03863" w14:paraId="5B60556B" w14:textId="3256F594">
            <w:pPr>
              <w:widowControl/>
              <w:autoSpaceDE/>
              <w:autoSpaceDN/>
              <w:adjustRightInd/>
              <w:jc w:val="center"/>
              <w:rPr>
                <w:color w:val="000000"/>
                <w:szCs w:val="20"/>
              </w:rPr>
            </w:pPr>
            <w:r w:rsidRPr="00DA22C6">
              <w:rPr>
                <w:b/>
                <w:bCs/>
                <w:color w:val="000000"/>
                <w:szCs w:val="20"/>
              </w:rPr>
              <w:t>n/a</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F03863" w:rsidRPr="00DA22C6" w:rsidP="00F03863" w14:paraId="19B9E342" w14:textId="4D18077B">
            <w:pPr>
              <w:widowControl/>
              <w:autoSpaceDE/>
              <w:autoSpaceDN/>
              <w:adjustRightInd/>
              <w:jc w:val="right"/>
              <w:rPr>
                <w:color w:val="000000"/>
                <w:szCs w:val="20"/>
              </w:rPr>
            </w:pPr>
            <w:r w:rsidRPr="00DA22C6">
              <w:rPr>
                <w:b/>
                <w:bCs/>
                <w:color w:val="000000"/>
                <w:szCs w:val="20"/>
              </w:rPr>
              <w:t>$5,238,078</w:t>
            </w:r>
          </w:p>
        </w:tc>
      </w:tr>
    </w:tbl>
    <w:p w:rsidR="00DA22C6" w:rsidRPr="00172208" w:rsidP="00DA22C6" w14:paraId="6F2BFF5E" w14:textId="473867C7">
      <w:pPr>
        <w:rPr>
          <w:sz w:val="24"/>
        </w:rPr>
      </w:pPr>
      <w:r>
        <w:rPr>
          <w:szCs w:val="20"/>
        </w:rPr>
        <w:t xml:space="preserve">* </w:t>
      </w:r>
      <w:r w:rsidRPr="00F745BB">
        <w:rPr>
          <w:szCs w:val="20"/>
        </w:rPr>
        <w:t>Based on</w:t>
      </w:r>
      <w:r>
        <w:rPr>
          <w:szCs w:val="20"/>
        </w:rPr>
        <w:t xml:space="preserve"> </w:t>
      </w:r>
      <w:hyperlink r:id="rId10" w:history="1">
        <w:r w:rsidRPr="00CA1EF5">
          <w:rPr>
            <w:rStyle w:val="Hyperlink"/>
            <w:szCs w:val="20"/>
          </w:rPr>
          <w:t>2016 Final Rule</w:t>
        </w:r>
      </w:hyperlink>
    </w:p>
    <w:p w:rsidR="00F527CD" w:rsidRPr="00490905" w:rsidP="00F527CD" w14:paraId="59F4469F" w14:textId="77777777">
      <w:pPr>
        <w:widowControl/>
        <w:autoSpaceDE/>
        <w:autoSpaceDN/>
        <w:adjustRightInd/>
        <w:rPr>
          <w:szCs w:val="20"/>
        </w:rPr>
      </w:pPr>
      <w:r w:rsidRPr="00490905">
        <w:rPr>
          <w:szCs w:val="20"/>
        </w:rPr>
        <w:t>** The hourly labor cost is blended between the wages for multiple staffing levels.</w:t>
      </w:r>
      <w:r w:rsidRPr="00490905">
        <w:rPr>
          <w:szCs w:val="20"/>
        </w:rPr>
        <w:t xml:space="preserve"> </w:t>
      </w:r>
    </w:p>
    <w:p w:rsidR="007E1B2C" w:rsidP="00DA22C6" w14:paraId="3013AB91" w14:textId="77777777">
      <w:pPr>
        <w:rPr>
          <w:b/>
          <w:bCs/>
          <w:sz w:val="24"/>
        </w:rPr>
      </w:pPr>
    </w:p>
    <w:p w:rsidR="007E1B2C" w:rsidP="00DA22C6" w14:paraId="72196378" w14:textId="77777777">
      <w:pPr>
        <w:rPr>
          <w:b/>
          <w:bCs/>
          <w:sz w:val="24"/>
        </w:rPr>
      </w:pPr>
    </w:p>
    <w:p w:rsidR="007E1B2C" w:rsidP="00DA22C6" w14:paraId="1080C029" w14:textId="77777777">
      <w:pPr>
        <w:rPr>
          <w:b/>
          <w:bCs/>
          <w:sz w:val="24"/>
        </w:rPr>
      </w:pPr>
    </w:p>
    <w:p w:rsidR="008876AF" w:rsidP="00431554" w14:paraId="5F85729D" w14:textId="77777777">
      <w:pPr>
        <w:pStyle w:val="Heading6"/>
      </w:pPr>
      <w:r w:rsidRPr="007E1B2C">
        <w:t xml:space="preserve">Biennial </w:t>
      </w:r>
      <w:r w:rsidRPr="007E1B2C" w:rsidR="00512F1C">
        <w:t xml:space="preserve">Review and Update of Communication Plan </w:t>
      </w:r>
    </w:p>
    <w:p w:rsidR="001F627B" w:rsidP="00DA22C6" w14:paraId="54CA2070" w14:textId="1D8ADA3D">
      <w:pPr>
        <w:rPr>
          <w:sz w:val="24"/>
        </w:rPr>
      </w:pPr>
      <w:r>
        <w:rPr>
          <w:sz w:val="24"/>
        </w:rPr>
        <w:t>Consistent with the</w:t>
      </w:r>
      <w:r w:rsidR="00CC22A0">
        <w:rPr>
          <w:sz w:val="24"/>
        </w:rPr>
        <w:t xml:space="preserve"> </w:t>
      </w:r>
      <w:hyperlink r:id="rId10" w:history="1">
        <w:r w:rsidRPr="00172208" w:rsidR="00CC22A0">
          <w:rPr>
            <w:rStyle w:val="Hyperlink"/>
            <w:sz w:val="24"/>
          </w:rPr>
          <w:t>2016 Final Rule</w:t>
        </w:r>
      </w:hyperlink>
      <w:r w:rsidR="00CC22A0">
        <w:rPr>
          <w:sz w:val="24"/>
        </w:rPr>
        <w:t xml:space="preserve"> and </w:t>
      </w:r>
      <w:hyperlink r:id="rId12" w:history="1">
        <w:r w:rsidRPr="00172208" w:rsidR="00CC22A0">
          <w:rPr>
            <w:rStyle w:val="Hyperlink"/>
            <w:sz w:val="24"/>
          </w:rPr>
          <w:t>2019 Final Rule</w:t>
        </w:r>
      </w:hyperlink>
      <w:r>
        <w:rPr>
          <w:sz w:val="24"/>
        </w:rPr>
        <w:t xml:space="preserve">, the </w:t>
      </w:r>
      <w:r w:rsidR="00512F1C">
        <w:rPr>
          <w:sz w:val="24"/>
        </w:rPr>
        <w:t>CoP</w:t>
      </w:r>
      <w:r>
        <w:rPr>
          <w:sz w:val="24"/>
        </w:rPr>
        <w:t xml:space="preserve"> for </w:t>
      </w:r>
      <w:r w:rsidR="00D311E6">
        <w:rPr>
          <w:sz w:val="24"/>
        </w:rPr>
        <w:t xml:space="preserve">accredited and non-accredited </w:t>
      </w:r>
      <w:r>
        <w:rPr>
          <w:sz w:val="24"/>
        </w:rPr>
        <w:t xml:space="preserve">providers to </w:t>
      </w:r>
      <w:r w:rsidR="001A4FF0">
        <w:rPr>
          <w:sz w:val="24"/>
        </w:rPr>
        <w:t>biennially</w:t>
      </w:r>
      <w:r w:rsidR="00F86481">
        <w:rPr>
          <w:sz w:val="24"/>
        </w:rPr>
        <w:t xml:space="preserve"> </w:t>
      </w:r>
      <w:r>
        <w:rPr>
          <w:sz w:val="24"/>
        </w:rPr>
        <w:t xml:space="preserve">review and update their emergency preparedness communication plans constitutes a usual and customary business practice and is not subject to the PRA in accordance with 5 CFR </w:t>
      </w:r>
      <w:r w:rsidRPr="00586BFD">
        <w:rPr>
          <w:sz w:val="24"/>
        </w:rPr>
        <w:t>§</w:t>
      </w:r>
      <w:r>
        <w:rPr>
          <w:sz w:val="24"/>
        </w:rPr>
        <w:t>1320.3(b)(2).</w:t>
      </w:r>
      <w:bookmarkStart w:id="1" w:name="_Hlk188793074"/>
      <w:r>
        <w:rPr>
          <w:rStyle w:val="FootnoteReference"/>
          <w:sz w:val="24"/>
          <w:vertAlign w:val="superscript"/>
        </w:rPr>
        <w:footnoteReference w:id="14"/>
      </w:r>
      <w:bookmarkEnd w:id="1"/>
    </w:p>
    <w:p w:rsidR="000348D0" w:rsidP="00DA22C6" w14:paraId="6A93B069" w14:textId="77777777">
      <w:pPr>
        <w:rPr>
          <w:sz w:val="24"/>
        </w:rPr>
      </w:pPr>
    </w:p>
    <w:p w:rsidR="007E1B2C" w:rsidP="00DA22C6" w14:paraId="539B733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r>
        <w:rPr>
          <w:b/>
          <w:bCs/>
          <w:sz w:val="24"/>
          <w:u w:val="single"/>
        </w:rPr>
        <w:br w:type="page"/>
      </w:r>
    </w:p>
    <w:p w:rsidR="00AA0385" w:rsidRPr="00F86481" w:rsidP="00431554" w14:paraId="105F26B6" w14:textId="285157A1">
      <w:pPr>
        <w:pStyle w:val="Heading5"/>
      </w:pPr>
      <w:r w:rsidRPr="00F86481">
        <w:t>IC-</w:t>
      </w:r>
      <w:r w:rsidR="00FB7A4F">
        <w:t>4</w:t>
      </w:r>
      <w:r w:rsidR="00290E79">
        <w:t>a</w:t>
      </w:r>
      <w:r w:rsidRPr="00F86481">
        <w:t xml:space="preserve">: </w:t>
      </w:r>
      <w:r w:rsidR="00821ECC">
        <w:t xml:space="preserve">Develop </w:t>
      </w:r>
      <w:r w:rsidRPr="00F86481">
        <w:t>Training</w:t>
      </w:r>
      <w:r w:rsidR="00821ECC">
        <w:t xml:space="preserve"> Program</w:t>
      </w:r>
      <w:r w:rsidRPr="00F86481">
        <w:t xml:space="preserve"> </w:t>
      </w:r>
    </w:p>
    <w:p w:rsidR="00290E79" w:rsidRPr="005C5DE3" w:rsidP="00DA22C6" w14:paraId="2BE3EB0C" w14:textId="6707878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requirement to develop an emergency preparedness </w:t>
      </w:r>
      <w:r>
        <w:rPr>
          <w:sz w:val="24"/>
        </w:rPr>
        <w:t>training program is</w:t>
      </w:r>
      <w:r>
        <w:rPr>
          <w:sz w:val="24"/>
        </w:rPr>
        <w:t xml:space="preserve"> applicable to the following providers:</w:t>
      </w:r>
      <w:r>
        <w:rPr>
          <w:sz w:val="24"/>
        </w:rPr>
        <w:t xml:space="preserve"> </w:t>
      </w:r>
      <w:r w:rsidRPr="008A1272">
        <w:rPr>
          <w:sz w:val="24"/>
        </w:rPr>
        <w:t xml:space="preserve">RNHCIs at </w:t>
      </w:r>
      <w:r w:rsidRPr="008A1272">
        <w:rPr>
          <w:sz w:val="24"/>
          <w:u w:val="single"/>
        </w:rPr>
        <w:t>§403.748(</w:t>
      </w:r>
      <w:r>
        <w:rPr>
          <w:sz w:val="24"/>
          <w:u w:val="single"/>
        </w:rPr>
        <w:t>d</w:t>
      </w:r>
      <w:r w:rsidRPr="008A1272">
        <w:rPr>
          <w:sz w:val="24"/>
          <w:u w:val="single"/>
        </w:rPr>
        <w:t>); ASCs at §416.54(</w:t>
      </w:r>
      <w:r>
        <w:rPr>
          <w:sz w:val="24"/>
          <w:u w:val="single"/>
        </w:rPr>
        <w:t>d</w:t>
      </w:r>
      <w:r w:rsidRPr="008A1272">
        <w:rPr>
          <w:sz w:val="24"/>
          <w:u w:val="single"/>
        </w:rPr>
        <w:t>); Hospices at §418.113(</w:t>
      </w:r>
      <w:r>
        <w:rPr>
          <w:sz w:val="24"/>
          <w:u w:val="single"/>
        </w:rPr>
        <w:t>d</w:t>
      </w:r>
      <w:r w:rsidRPr="008A1272">
        <w:rPr>
          <w:sz w:val="24"/>
          <w:u w:val="single"/>
        </w:rPr>
        <w:t>); PRTFs at §441.184(</w:t>
      </w:r>
      <w:r>
        <w:rPr>
          <w:sz w:val="24"/>
          <w:u w:val="single"/>
        </w:rPr>
        <w:t>d</w:t>
      </w:r>
      <w:r w:rsidRPr="008A1272">
        <w:rPr>
          <w:sz w:val="24"/>
          <w:u w:val="single"/>
        </w:rPr>
        <w:t>); PACE at §460.84(</w:t>
      </w:r>
      <w:r>
        <w:rPr>
          <w:sz w:val="24"/>
          <w:u w:val="single"/>
        </w:rPr>
        <w:t>d</w:t>
      </w:r>
      <w:r w:rsidRPr="008A1272">
        <w:rPr>
          <w:sz w:val="24"/>
          <w:u w:val="single"/>
        </w:rPr>
        <w:t>); Hospitals at §482.15(</w:t>
      </w:r>
      <w:r>
        <w:rPr>
          <w:sz w:val="24"/>
          <w:u w:val="single"/>
        </w:rPr>
        <w:t>d</w:t>
      </w:r>
      <w:r w:rsidRPr="008A1272">
        <w:rPr>
          <w:sz w:val="24"/>
          <w:u w:val="single"/>
        </w:rPr>
        <w:t>); Transplant Programs §482.78(</w:t>
      </w:r>
      <w:r>
        <w:rPr>
          <w:sz w:val="24"/>
          <w:u w:val="single"/>
        </w:rPr>
        <w:t>d</w:t>
      </w:r>
      <w:r w:rsidRPr="008A1272">
        <w:rPr>
          <w:sz w:val="24"/>
          <w:u w:val="single"/>
        </w:rPr>
        <w:t>); ICF/IIDs at §483.475(</w:t>
      </w:r>
      <w:r>
        <w:rPr>
          <w:sz w:val="24"/>
          <w:u w:val="single"/>
        </w:rPr>
        <w:t>d</w:t>
      </w:r>
      <w:r w:rsidRPr="008A1272">
        <w:rPr>
          <w:sz w:val="24"/>
          <w:u w:val="single"/>
        </w:rPr>
        <w:t>); HHAs at §484.102(</w:t>
      </w:r>
      <w:r>
        <w:rPr>
          <w:sz w:val="24"/>
          <w:u w:val="single"/>
        </w:rPr>
        <w:t>d</w:t>
      </w:r>
      <w:r w:rsidRPr="008A1272">
        <w:rPr>
          <w:sz w:val="24"/>
          <w:u w:val="single"/>
        </w:rPr>
        <w:t>); REHs at §485.542(</w:t>
      </w:r>
      <w:r>
        <w:rPr>
          <w:sz w:val="24"/>
          <w:u w:val="single"/>
        </w:rPr>
        <w:t>d</w:t>
      </w:r>
      <w:r w:rsidRPr="008A1272">
        <w:rPr>
          <w:sz w:val="24"/>
          <w:u w:val="single"/>
        </w:rPr>
        <w:t>); CAHs at §485.625(</w:t>
      </w:r>
      <w:r>
        <w:rPr>
          <w:sz w:val="24"/>
          <w:u w:val="single"/>
        </w:rPr>
        <w:t>d</w:t>
      </w:r>
      <w:r w:rsidRPr="008A1272">
        <w:rPr>
          <w:sz w:val="24"/>
          <w:u w:val="single"/>
        </w:rPr>
        <w:t>); CORFs at §485.68(</w:t>
      </w:r>
      <w:r>
        <w:rPr>
          <w:sz w:val="24"/>
          <w:u w:val="single"/>
        </w:rPr>
        <w:t>d</w:t>
      </w:r>
      <w:r w:rsidRPr="008A1272">
        <w:rPr>
          <w:sz w:val="24"/>
          <w:u w:val="single"/>
        </w:rPr>
        <w:t xml:space="preserve">); </w:t>
      </w:r>
      <w:r w:rsidR="00405371">
        <w:rPr>
          <w:sz w:val="24"/>
          <w:u w:val="single"/>
        </w:rPr>
        <w:t>“Organizations”</w:t>
      </w:r>
      <w:r w:rsidRPr="008A1272">
        <w:rPr>
          <w:sz w:val="24"/>
          <w:u w:val="single"/>
        </w:rPr>
        <w:t xml:space="preserve"> at §485.727(</w:t>
      </w:r>
      <w:r>
        <w:rPr>
          <w:sz w:val="24"/>
          <w:u w:val="single"/>
        </w:rPr>
        <w:t>d</w:t>
      </w:r>
      <w:r w:rsidRPr="008A1272">
        <w:rPr>
          <w:sz w:val="24"/>
          <w:u w:val="single"/>
        </w:rPr>
        <w:t>); CMHCs at §485.920(</w:t>
      </w:r>
      <w:r>
        <w:rPr>
          <w:sz w:val="24"/>
          <w:u w:val="single"/>
        </w:rPr>
        <w:t>d</w:t>
      </w:r>
      <w:r w:rsidRPr="008A1272">
        <w:rPr>
          <w:sz w:val="24"/>
          <w:u w:val="single"/>
        </w:rPr>
        <w:t>); OPOs at §486.360(</w:t>
      </w:r>
      <w:r>
        <w:rPr>
          <w:sz w:val="24"/>
          <w:u w:val="single"/>
        </w:rPr>
        <w:t>d</w:t>
      </w:r>
      <w:r w:rsidRPr="008A1272">
        <w:rPr>
          <w:sz w:val="24"/>
          <w:u w:val="single"/>
        </w:rPr>
        <w:t>); RHCs/FQHCs at §491.12(</w:t>
      </w:r>
      <w:r>
        <w:rPr>
          <w:sz w:val="24"/>
          <w:u w:val="single"/>
        </w:rPr>
        <w:t>d</w:t>
      </w:r>
      <w:r w:rsidRPr="008A1272">
        <w:rPr>
          <w:sz w:val="24"/>
          <w:u w:val="single"/>
        </w:rPr>
        <w:t>); ESRD facilities at §494.62(</w:t>
      </w:r>
      <w:r>
        <w:rPr>
          <w:sz w:val="24"/>
          <w:u w:val="single"/>
        </w:rPr>
        <w:t>d</w:t>
      </w:r>
      <w:r w:rsidRPr="008A1272">
        <w:rPr>
          <w:sz w:val="24"/>
          <w:u w:val="single"/>
        </w:rPr>
        <w:t>).</w:t>
      </w:r>
      <w:r w:rsidRPr="005C5DE3">
        <w:rPr>
          <w:sz w:val="24"/>
        </w:rPr>
        <w:t xml:space="preserve"> </w:t>
      </w:r>
    </w:p>
    <w:p w:rsidR="000A0171" w:rsidP="00DA22C6" w14:paraId="1AF8843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0346A" w:rsidP="00DA22C6" w14:paraId="4223D54A" w14:textId="08936E3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P</w:t>
      </w:r>
      <w:r w:rsidR="008E4227">
        <w:rPr>
          <w:sz w:val="24"/>
        </w:rPr>
        <w:t xml:space="preserve">roviders and suppliers </w:t>
      </w:r>
      <w:r>
        <w:rPr>
          <w:sz w:val="24"/>
        </w:rPr>
        <w:t xml:space="preserve">are required </w:t>
      </w:r>
      <w:r w:rsidR="008E4227">
        <w:rPr>
          <w:sz w:val="24"/>
        </w:rPr>
        <w:t xml:space="preserve">to </w:t>
      </w:r>
      <w:r w:rsidR="00A0373A">
        <w:rPr>
          <w:sz w:val="24"/>
        </w:rPr>
        <w:t>develop an emergency preparedness training and testing program.</w:t>
      </w:r>
      <w:r w:rsidR="000B3DF5">
        <w:rPr>
          <w:sz w:val="24"/>
        </w:rPr>
        <w:t xml:space="preserve"> </w:t>
      </w:r>
      <w:r w:rsidR="00B111D4">
        <w:rPr>
          <w:sz w:val="24"/>
        </w:rPr>
        <w:t xml:space="preserve">The </w:t>
      </w:r>
      <w:r w:rsidR="00A0373A">
        <w:rPr>
          <w:sz w:val="24"/>
        </w:rPr>
        <w:t xml:space="preserve">training </w:t>
      </w:r>
      <w:r w:rsidR="00B111D4">
        <w:rPr>
          <w:sz w:val="24"/>
        </w:rPr>
        <w:t xml:space="preserve">program must include </w:t>
      </w:r>
      <w:r w:rsidRPr="000F335A" w:rsidR="00A0373A">
        <w:rPr>
          <w:sz w:val="24"/>
        </w:rPr>
        <w:t xml:space="preserve">initial training in emergency preparedness policies and procedures </w:t>
      </w:r>
      <w:r w:rsidR="00A0373A">
        <w:rPr>
          <w:sz w:val="24"/>
        </w:rPr>
        <w:t xml:space="preserve">for </w:t>
      </w:r>
      <w:r w:rsidRPr="000F335A" w:rsidR="00A0373A">
        <w:rPr>
          <w:sz w:val="24"/>
        </w:rPr>
        <w:t>all new and existing staff, individuals providing services under arrangement, and volunteers, consi</w:t>
      </w:r>
      <w:r w:rsidR="00A0373A">
        <w:rPr>
          <w:sz w:val="24"/>
        </w:rPr>
        <w:t>stent with their expected roles and must be documented.</w:t>
      </w:r>
      <w:r w:rsidR="00B111D4">
        <w:rPr>
          <w:sz w:val="24"/>
        </w:rPr>
        <w:t xml:space="preserve"> </w:t>
      </w:r>
    </w:p>
    <w:p w:rsidR="00751311" w:rsidP="00DA22C6" w14:paraId="537BD6C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A0E04" w:rsidP="00AA0E04" w14:paraId="624E527E" w14:textId="1F6BAFB0">
      <w:pPr>
        <w:rPr>
          <w:sz w:val="24"/>
        </w:rPr>
      </w:pPr>
      <w:r>
        <w:rPr>
          <w:sz w:val="24"/>
        </w:rPr>
        <w:t xml:space="preserve">Per </w:t>
      </w:r>
      <w:r w:rsidRPr="00E778A9">
        <w:rPr>
          <w:sz w:val="24"/>
        </w:rPr>
        <w:t xml:space="preserve">the </w:t>
      </w:r>
      <w:hyperlink r:id="rId10" w:history="1">
        <w:r w:rsidRPr="00E778A9">
          <w:rPr>
            <w:rStyle w:val="Hyperlink"/>
            <w:sz w:val="24"/>
          </w:rPr>
          <w:t>2016 Final Rule</w:t>
        </w:r>
      </w:hyperlink>
      <w:r>
        <w:rPr>
          <w:sz w:val="24"/>
        </w:rPr>
        <w:t xml:space="preserve">, </w:t>
      </w:r>
      <w:r>
        <w:rPr>
          <w:sz w:val="24"/>
          <w:szCs w:val="32"/>
        </w:rPr>
        <w:t>the emergency preparedness training</w:t>
      </w:r>
      <w:r w:rsidRPr="001A5C2E">
        <w:rPr>
          <w:sz w:val="24"/>
          <w:szCs w:val="32"/>
        </w:rPr>
        <w:t xml:space="preserve"> </w:t>
      </w:r>
      <w:r>
        <w:rPr>
          <w:sz w:val="24"/>
          <w:szCs w:val="32"/>
        </w:rPr>
        <w:t xml:space="preserve">program initially developed by </w:t>
      </w:r>
      <w:r w:rsidRPr="001A5C2E">
        <w:rPr>
          <w:sz w:val="24"/>
          <w:szCs w:val="32"/>
        </w:rPr>
        <w:t xml:space="preserve">TJC-accredited </w:t>
      </w:r>
      <w:r>
        <w:rPr>
          <w:sz w:val="24"/>
          <w:szCs w:val="32"/>
        </w:rPr>
        <w:t xml:space="preserve">hospitals </w:t>
      </w:r>
      <w:r w:rsidRPr="001A5C2E">
        <w:rPr>
          <w:sz w:val="24"/>
          <w:szCs w:val="32"/>
        </w:rPr>
        <w:t>me</w:t>
      </w:r>
      <w:r>
        <w:rPr>
          <w:sz w:val="24"/>
          <w:szCs w:val="32"/>
        </w:rPr>
        <w:t>e</w:t>
      </w:r>
      <w:r w:rsidRPr="001A5C2E">
        <w:rPr>
          <w:sz w:val="24"/>
          <w:szCs w:val="32"/>
        </w:rPr>
        <w:t xml:space="preserve">t the required standards of this CoP, and thus the burden </w:t>
      </w:r>
      <w:r>
        <w:rPr>
          <w:sz w:val="24"/>
          <w:szCs w:val="32"/>
        </w:rPr>
        <w:t xml:space="preserve">for </w:t>
      </w:r>
      <w:r w:rsidRPr="001A5C2E">
        <w:rPr>
          <w:sz w:val="24"/>
          <w:szCs w:val="32"/>
        </w:rPr>
        <w:t xml:space="preserve">this CoP is seen as usual and customary practice </w:t>
      </w:r>
      <w:r>
        <w:rPr>
          <w:sz w:val="24"/>
          <w:szCs w:val="32"/>
        </w:rPr>
        <w:t>and is</w:t>
      </w:r>
      <w:r w:rsidRPr="001A5C2E">
        <w:rPr>
          <w:sz w:val="24"/>
          <w:szCs w:val="32"/>
        </w:rPr>
        <w:t xml:space="preserve"> exempt from the PRA under </w:t>
      </w:r>
      <w:r w:rsidRPr="001A5C2E">
        <w:rPr>
          <w:sz w:val="24"/>
        </w:rPr>
        <w:t>CFR §1320.3(b)(2).</w:t>
      </w:r>
      <w:r>
        <w:rPr>
          <w:rStyle w:val="FootnoteReference"/>
          <w:sz w:val="24"/>
          <w:vertAlign w:val="superscript"/>
        </w:rPr>
        <w:footnoteReference w:id="15"/>
      </w:r>
      <w:r w:rsidRPr="001A5C2E">
        <w:rPr>
          <w:sz w:val="24"/>
        </w:rPr>
        <w:t xml:space="preserve"> </w:t>
      </w:r>
      <w:r>
        <w:rPr>
          <w:sz w:val="24"/>
        </w:rPr>
        <w:t xml:space="preserve">However, the </w:t>
      </w:r>
      <w:r>
        <w:rPr>
          <w:sz w:val="24"/>
          <w:szCs w:val="32"/>
        </w:rPr>
        <w:t>training</w:t>
      </w:r>
      <w:r w:rsidRPr="001A5C2E">
        <w:rPr>
          <w:sz w:val="24"/>
          <w:szCs w:val="32"/>
        </w:rPr>
        <w:t xml:space="preserve"> </w:t>
      </w:r>
      <w:r>
        <w:rPr>
          <w:sz w:val="24"/>
          <w:szCs w:val="32"/>
        </w:rPr>
        <w:t>program</w:t>
      </w:r>
      <w:r>
        <w:rPr>
          <w:sz w:val="24"/>
        </w:rPr>
        <w:t xml:space="preserve"> developed by TJC-accredited ASCs, CAHs and HHAs do not meet the standards required by this CoP and are included in the burden analysis below</w:t>
      </w:r>
      <w:r w:rsidRPr="001A5C2E">
        <w:rPr>
          <w:sz w:val="24"/>
        </w:rPr>
        <w:t>.</w:t>
      </w:r>
      <w:r>
        <w:rPr>
          <w:rStyle w:val="FootnoteReference"/>
          <w:sz w:val="24"/>
          <w:vertAlign w:val="superscript"/>
        </w:rPr>
        <w:footnoteReference w:id="16"/>
      </w:r>
      <w:r w:rsidRPr="001A5C2E">
        <w:rPr>
          <w:sz w:val="24"/>
          <w:vertAlign w:val="superscript"/>
        </w:rPr>
        <w:t xml:space="preserve"> </w:t>
      </w:r>
      <w:r w:rsidRPr="001A5C2E">
        <w:rPr>
          <w:sz w:val="24"/>
        </w:rPr>
        <w:t xml:space="preserve">  </w:t>
      </w:r>
    </w:p>
    <w:p w:rsidR="006A16C6" w:rsidP="00DA22C6" w14:paraId="61E7E84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6F5A" w:rsidP="00DA22C6" w14:paraId="2ACB3EBA" w14:textId="042C76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every new Medicare certified </w:t>
      </w:r>
      <w:r w:rsidR="00B949D1">
        <w:rPr>
          <w:sz w:val="24"/>
        </w:rPr>
        <w:t>provider that is not exempt from this information collection</w:t>
      </w:r>
      <w:r>
        <w:rPr>
          <w:sz w:val="24"/>
        </w:rPr>
        <w:t>, w</w:t>
      </w:r>
      <w:r w:rsidRPr="00026C64">
        <w:rPr>
          <w:sz w:val="24"/>
        </w:rPr>
        <w:t>e estimate that a</w:t>
      </w:r>
      <w:r>
        <w:rPr>
          <w:sz w:val="24"/>
        </w:rPr>
        <w:t xml:space="preserve">n </w:t>
      </w:r>
      <w:r w:rsidRPr="00026C64">
        <w:rPr>
          <w:sz w:val="24"/>
        </w:rPr>
        <w:t xml:space="preserve">Administrator </w:t>
      </w:r>
      <w:r>
        <w:rPr>
          <w:sz w:val="24"/>
        </w:rPr>
        <w:t>(</w:t>
      </w:r>
      <w:r w:rsidRPr="002A333C">
        <w:rPr>
          <w:sz w:val="24"/>
        </w:rPr>
        <w:t>Medical and Health Services Manager</w:t>
      </w:r>
      <w:r>
        <w:rPr>
          <w:sz w:val="24"/>
        </w:rPr>
        <w:t xml:space="preserve"> - BLS Occupation Code 11-9111) at a loaded hourly rate of $129, a Registered Nurse (BLS Occupation Code 29-1141) at a loaded hourly rate of $91 and a Facility Director (</w:t>
      </w:r>
      <w:r w:rsidRPr="002A333C">
        <w:rPr>
          <w:sz w:val="24"/>
        </w:rPr>
        <w:t>Administrative Services &amp; Facilities Manager</w:t>
      </w:r>
      <w:r>
        <w:rPr>
          <w:sz w:val="24"/>
        </w:rPr>
        <w:t xml:space="preserve"> – BLS Occupation Code 11-3010) </w:t>
      </w:r>
      <w:r w:rsidRPr="00026C64">
        <w:rPr>
          <w:sz w:val="24"/>
        </w:rPr>
        <w:t xml:space="preserve">at </w:t>
      </w:r>
      <w:r>
        <w:rPr>
          <w:sz w:val="24"/>
        </w:rPr>
        <w:t>a loaded hourly rate of $101</w:t>
      </w:r>
      <w:r w:rsidR="00FB7A4F">
        <w:rPr>
          <w:sz w:val="24"/>
        </w:rPr>
        <w:t xml:space="preserve">, </w:t>
      </w:r>
      <w:r w:rsidRPr="00026C64">
        <w:rPr>
          <w:sz w:val="24"/>
        </w:rPr>
        <w:t xml:space="preserve">would </w:t>
      </w:r>
      <w:r w:rsidR="00FB7A4F">
        <w:rPr>
          <w:sz w:val="24"/>
        </w:rPr>
        <w:t xml:space="preserve">all </w:t>
      </w:r>
      <w:r w:rsidRPr="00026C64">
        <w:rPr>
          <w:sz w:val="24"/>
        </w:rPr>
        <w:t xml:space="preserve">be responsible for </w:t>
      </w:r>
      <w:r>
        <w:rPr>
          <w:sz w:val="24"/>
        </w:rPr>
        <w:t>the initial development of</w:t>
      </w:r>
      <w:r w:rsidRPr="00026C64">
        <w:rPr>
          <w:sz w:val="24"/>
        </w:rPr>
        <w:t xml:space="preserve"> </w:t>
      </w:r>
      <w:r>
        <w:rPr>
          <w:sz w:val="24"/>
        </w:rPr>
        <w:t>an</w:t>
      </w:r>
      <w:r w:rsidRPr="00026C64">
        <w:rPr>
          <w:sz w:val="24"/>
        </w:rPr>
        <w:t xml:space="preserve"> emergency </w:t>
      </w:r>
      <w:r>
        <w:rPr>
          <w:sz w:val="24"/>
        </w:rPr>
        <w:t>preparedness training program communication plan.</w:t>
      </w:r>
    </w:p>
    <w:p w:rsidR="005A6F5A" w:rsidP="00DA22C6" w14:paraId="5232287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B7A4F" w:rsidP="00DA22C6" w14:paraId="1F5E9748" w14:textId="42ADF2A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7 below lays out the one-time burden hours and cost for newly certified </w:t>
      </w:r>
      <w:r w:rsidR="00B949D1">
        <w:rPr>
          <w:sz w:val="24"/>
        </w:rPr>
        <w:t>providers</w:t>
      </w:r>
      <w:r>
        <w:rPr>
          <w:sz w:val="24"/>
        </w:rPr>
        <w:t xml:space="preserve"> – </w:t>
      </w:r>
      <w:r w:rsidR="00C319E3">
        <w:rPr>
          <w:sz w:val="24"/>
        </w:rPr>
        <w:t>who</w:t>
      </w:r>
      <w:r>
        <w:rPr>
          <w:sz w:val="24"/>
        </w:rPr>
        <w:t xml:space="preserve"> are not </w:t>
      </w:r>
      <w:r w:rsidR="00AA0E04">
        <w:rPr>
          <w:sz w:val="24"/>
        </w:rPr>
        <w:t>exempt</w:t>
      </w:r>
      <w:r>
        <w:rPr>
          <w:sz w:val="24"/>
        </w:rPr>
        <w:t xml:space="preserve"> - to develop </w:t>
      </w:r>
      <w:r w:rsidRPr="00026C64">
        <w:rPr>
          <w:sz w:val="24"/>
        </w:rPr>
        <w:t xml:space="preserve">the </w:t>
      </w:r>
      <w:r>
        <w:rPr>
          <w:sz w:val="24"/>
        </w:rPr>
        <w:t xml:space="preserve">initial </w:t>
      </w:r>
      <w:r w:rsidRPr="00026C64">
        <w:rPr>
          <w:sz w:val="24"/>
        </w:rPr>
        <w:t xml:space="preserve">emergency </w:t>
      </w:r>
      <w:r>
        <w:rPr>
          <w:sz w:val="24"/>
        </w:rPr>
        <w:t>preparedness training program.</w:t>
      </w:r>
      <w:r>
        <w:rPr>
          <w:sz w:val="24"/>
        </w:rPr>
        <w:t xml:space="preserve"> </w:t>
      </w:r>
      <w:r w:rsidRPr="000938A3">
        <w:rPr>
          <w:sz w:val="24"/>
        </w:rPr>
        <w:t xml:space="preserve">We estimate the total collection of information burden impacting the </w:t>
      </w:r>
      <w:r>
        <w:rPr>
          <w:sz w:val="24"/>
        </w:rPr>
        <w:t>2,927 newly certified</w:t>
      </w:r>
      <w:r w:rsidR="00B949D1">
        <w:rPr>
          <w:sz w:val="24"/>
        </w:rPr>
        <w:t>, non-exempt</w:t>
      </w:r>
      <w:r>
        <w:rPr>
          <w:sz w:val="24"/>
        </w:rPr>
        <w:t xml:space="preserve"> </w:t>
      </w:r>
      <w:r w:rsidRPr="000938A3">
        <w:rPr>
          <w:sz w:val="24"/>
        </w:rPr>
        <w:t xml:space="preserve">providers and suppliers is </w:t>
      </w:r>
      <w:r>
        <w:rPr>
          <w:sz w:val="24"/>
        </w:rPr>
        <w:t>27,768</w:t>
      </w:r>
      <w:r w:rsidRPr="000938A3">
        <w:rPr>
          <w:sz w:val="24"/>
        </w:rPr>
        <w:t xml:space="preserve"> burden hours at an annual cost of </w:t>
      </w:r>
      <w:r w:rsidRPr="00914449">
        <w:rPr>
          <w:sz w:val="24"/>
        </w:rPr>
        <w:t>$</w:t>
      </w:r>
      <w:r>
        <w:rPr>
          <w:sz w:val="24"/>
        </w:rPr>
        <w:t>8,913,528, see Table 7.</w:t>
      </w:r>
    </w:p>
    <w:p w:rsidR="007E1B2C" w:rsidP="00DA22C6" w14:paraId="7348B5A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E1B2C" w:rsidP="00321166" w14:paraId="79B2FF5C" w14:textId="77777777">
      <w:pPr>
        <w:widowControl/>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jc w:val="center"/>
        <w:rPr>
          <w:b/>
          <w:bCs/>
          <w:color w:val="000000"/>
          <w:szCs w:val="20"/>
        </w:rPr>
      </w:pPr>
      <w:r>
        <w:rPr>
          <w:b/>
          <w:bCs/>
          <w:color w:val="000000"/>
          <w:szCs w:val="20"/>
        </w:rPr>
        <w:br w:type="page"/>
      </w:r>
    </w:p>
    <w:p w:rsidR="006A16C6" w:rsidRPr="007E1B2C" w:rsidP="00431554" w14:paraId="32A7F331" w14:textId="7E00A47B">
      <w:pPr>
        <w:pStyle w:val="Heading6"/>
      </w:pPr>
      <w:r w:rsidRPr="007E1B2C">
        <w:t>Table</w:t>
      </w:r>
      <w:r w:rsidRPr="007E1B2C" w:rsidR="005A6F5A">
        <w:t xml:space="preserve"> 7</w:t>
      </w:r>
      <w:r w:rsidRPr="007E1B2C" w:rsidR="00FB7A4F">
        <w:t xml:space="preserve"> </w:t>
      </w:r>
      <w:r w:rsidRPr="007E1B2C" w:rsidR="001A73F7">
        <w:t>–</w:t>
      </w:r>
      <w:r w:rsidRPr="007E1B2C" w:rsidR="00FB7A4F">
        <w:t xml:space="preserve"> IC</w:t>
      </w:r>
      <w:r w:rsidRPr="007E1B2C" w:rsidR="001A73F7">
        <w:t>-</w:t>
      </w:r>
      <w:r w:rsidRPr="007E1B2C" w:rsidR="00FB7A4F">
        <w:t>4</w:t>
      </w:r>
      <w:r w:rsidRPr="007E1B2C" w:rsidR="003A5E68">
        <w:t>a</w:t>
      </w:r>
      <w:r w:rsidRPr="007E1B2C" w:rsidR="005A6F5A">
        <w:t xml:space="preserve"> - </w:t>
      </w:r>
      <w:r w:rsidRPr="007E1B2C">
        <w:t xml:space="preserve">Burden Hours and Cost Estimates for </w:t>
      </w:r>
      <w:r w:rsidRPr="007E1B2C" w:rsidR="000A6DB5">
        <w:t>Newly Certified Facilities</w:t>
      </w:r>
      <w:r w:rsidRPr="007E1B2C">
        <w:t xml:space="preserve"> to Develop Emergency Preparedness Training Program</w:t>
      </w:r>
    </w:p>
    <w:tbl>
      <w:tblPr>
        <w:tblW w:w="10350" w:type="dxa"/>
        <w:tblInd w:w="-280" w:type="dxa"/>
        <w:tblLayout w:type="fixed"/>
        <w:tblLook w:val="04A0"/>
      </w:tblPr>
      <w:tblGrid>
        <w:gridCol w:w="540"/>
        <w:gridCol w:w="2340"/>
        <w:gridCol w:w="1170"/>
        <w:gridCol w:w="1080"/>
        <w:gridCol w:w="1170"/>
        <w:gridCol w:w="1080"/>
        <w:gridCol w:w="900"/>
        <w:gridCol w:w="900"/>
        <w:gridCol w:w="1170"/>
      </w:tblGrid>
      <w:tr w14:paraId="687E9B47" w14:textId="77777777" w:rsidTr="00577E9B">
        <w:tblPrEx>
          <w:tblW w:w="10350" w:type="dxa"/>
          <w:tblInd w:w="-280" w:type="dxa"/>
          <w:tblLayout w:type="fixed"/>
          <w:tblLook w:val="04A0"/>
        </w:tblPrEx>
        <w:trPr>
          <w:trHeight w:val="888"/>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F4FCE" w:rsidRPr="005D3EDE" w:rsidP="00504F85" w14:paraId="7D45D41B" w14:textId="463CA3C4">
            <w:pPr>
              <w:widowControl/>
              <w:autoSpaceDE/>
              <w:autoSpaceDN/>
              <w:adjustRightInd/>
              <w:jc w:val="center"/>
              <w:rPr>
                <w:b/>
                <w:bCs/>
                <w:color w:val="000000"/>
                <w:szCs w:val="20"/>
              </w:rPr>
            </w:pPr>
            <w:r>
              <w:rPr>
                <w:b/>
                <w:bCs/>
                <w:color w:val="000000"/>
                <w:szCs w:val="20"/>
              </w:rPr>
              <w:t>No.</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RPr="005D3EDE" w:rsidP="00504F85" w14:paraId="6AF5365A" w14:textId="6E2E321F">
            <w:pPr>
              <w:widowControl/>
              <w:autoSpaceDE/>
              <w:autoSpaceDN/>
              <w:adjustRightInd/>
              <w:jc w:val="center"/>
              <w:rPr>
                <w:b/>
                <w:bCs/>
                <w:color w:val="000000"/>
                <w:szCs w:val="20"/>
              </w:rPr>
            </w:pPr>
            <w:r w:rsidRPr="005D3EDE">
              <w:rPr>
                <w:b/>
                <w:bCs/>
                <w:color w:val="000000"/>
                <w:szCs w:val="20"/>
              </w:rPr>
              <w:t>Provider or Supplier Type </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5C3316DA" w14:textId="77777777">
            <w:pPr>
              <w:widowControl/>
              <w:autoSpaceDE/>
              <w:autoSpaceDN/>
              <w:adjustRightInd/>
              <w:jc w:val="center"/>
              <w:rPr>
                <w:b/>
                <w:bCs/>
                <w:szCs w:val="20"/>
              </w:rPr>
            </w:pPr>
            <w:r>
              <w:rPr>
                <w:b/>
                <w:bCs/>
                <w:szCs w:val="20"/>
              </w:rPr>
              <w:t>42</w:t>
            </w:r>
          </w:p>
          <w:p w:rsidR="001F4FCE" w:rsidRPr="005D3EDE" w:rsidP="00504F85" w14:paraId="2F008249" w14:textId="77777777">
            <w:pPr>
              <w:widowControl/>
              <w:autoSpaceDE/>
              <w:autoSpaceDN/>
              <w:adjustRightInd/>
              <w:jc w:val="center"/>
              <w:rPr>
                <w:b/>
                <w:bCs/>
                <w:szCs w:val="20"/>
              </w:rPr>
            </w:pPr>
            <w:r w:rsidRPr="00DA22C6">
              <w:rPr>
                <w:b/>
                <w:bCs/>
                <w:szCs w:val="20"/>
              </w:rPr>
              <w:t>CFR</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RPr="005D3EDE" w:rsidP="00504F85" w14:paraId="4193033C" w14:textId="77777777">
            <w:pPr>
              <w:widowControl/>
              <w:autoSpaceDE/>
              <w:autoSpaceDN/>
              <w:adjustRightInd/>
              <w:jc w:val="center"/>
              <w:rPr>
                <w:b/>
                <w:bCs/>
                <w:szCs w:val="20"/>
              </w:rPr>
            </w:pPr>
            <w:r w:rsidRPr="005D3EDE">
              <w:rPr>
                <w:b/>
                <w:bCs/>
                <w:szCs w:val="20"/>
              </w:rPr>
              <w:t>Newly Certified Facilities/# of Respondents</w:t>
            </w:r>
          </w:p>
          <w:p w:rsidR="001F4FCE" w:rsidRPr="00F527CD" w:rsidP="00504F85" w14:paraId="3FEFF109" w14:textId="77777777">
            <w:pPr>
              <w:widowControl/>
              <w:autoSpaceDE/>
              <w:autoSpaceDN/>
              <w:adjustRightInd/>
              <w:jc w:val="center"/>
              <w:rPr>
                <w:szCs w:val="20"/>
              </w:rPr>
            </w:pPr>
            <w:r w:rsidRPr="00F527CD">
              <w:rPr>
                <w:szCs w:val="20"/>
              </w:rPr>
              <w:t>(a)</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72FEB0BF" w14:textId="77777777">
            <w:pPr>
              <w:widowControl/>
              <w:autoSpaceDE/>
              <w:autoSpaceDN/>
              <w:adjustRightInd/>
              <w:jc w:val="center"/>
              <w:rPr>
                <w:b/>
                <w:bCs/>
                <w:szCs w:val="20"/>
              </w:rPr>
            </w:pPr>
          </w:p>
          <w:p w:rsidR="001F4FCE" w:rsidP="00504F85" w14:paraId="2FCF7E5B" w14:textId="77777777">
            <w:pPr>
              <w:widowControl/>
              <w:autoSpaceDE/>
              <w:autoSpaceDN/>
              <w:adjustRightInd/>
              <w:jc w:val="center"/>
              <w:rPr>
                <w:b/>
                <w:bCs/>
                <w:szCs w:val="20"/>
              </w:rPr>
            </w:pPr>
            <w:r w:rsidRPr="005D3EDE">
              <w:rPr>
                <w:b/>
                <w:bCs/>
                <w:szCs w:val="20"/>
              </w:rPr>
              <w:t xml:space="preserve"># of Responses </w:t>
            </w:r>
          </w:p>
          <w:p w:rsidR="001F4FCE" w:rsidP="00504F85" w14:paraId="2BC51954" w14:textId="77777777">
            <w:pPr>
              <w:widowControl/>
              <w:autoSpaceDE/>
              <w:autoSpaceDN/>
              <w:adjustRightInd/>
              <w:jc w:val="center"/>
              <w:rPr>
                <w:szCs w:val="20"/>
              </w:rPr>
            </w:pPr>
          </w:p>
          <w:p w:rsidR="001F4FCE" w:rsidP="00504F85" w14:paraId="00A4C133" w14:textId="77777777">
            <w:pPr>
              <w:widowControl/>
              <w:autoSpaceDE/>
              <w:autoSpaceDN/>
              <w:adjustRightInd/>
              <w:jc w:val="center"/>
              <w:rPr>
                <w:szCs w:val="20"/>
              </w:rPr>
            </w:pPr>
          </w:p>
          <w:p w:rsidR="001F4FCE" w:rsidP="00504F85" w14:paraId="410DF9D9" w14:textId="77777777">
            <w:pPr>
              <w:widowControl/>
              <w:autoSpaceDE/>
              <w:autoSpaceDN/>
              <w:adjustRightInd/>
              <w:jc w:val="center"/>
              <w:rPr>
                <w:szCs w:val="20"/>
              </w:rPr>
            </w:pPr>
          </w:p>
          <w:p w:rsidR="001F4FCE" w:rsidRPr="00F527CD" w:rsidP="00504F85" w14:paraId="52945CCE" w14:textId="1B665D17">
            <w:pPr>
              <w:widowControl/>
              <w:autoSpaceDE/>
              <w:autoSpaceDN/>
              <w:adjustRightInd/>
              <w:jc w:val="center"/>
              <w:rPr>
                <w:szCs w:val="20"/>
              </w:rPr>
            </w:pPr>
            <w:r w:rsidRPr="00F527CD">
              <w:rPr>
                <w:szCs w:val="20"/>
              </w:rPr>
              <w:t>(b = a x 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5ACDFD15" w14:textId="77777777">
            <w:pPr>
              <w:widowControl/>
              <w:autoSpaceDE/>
              <w:autoSpaceDN/>
              <w:adjustRightInd/>
              <w:jc w:val="center"/>
              <w:rPr>
                <w:b/>
                <w:bCs/>
                <w:szCs w:val="20"/>
              </w:rPr>
            </w:pPr>
          </w:p>
          <w:p w:rsidR="001F4FCE" w:rsidP="00504F85" w14:paraId="20B91B50" w14:textId="76E8C4AC">
            <w:pPr>
              <w:widowControl/>
              <w:autoSpaceDE/>
              <w:autoSpaceDN/>
              <w:adjustRightInd/>
              <w:jc w:val="center"/>
              <w:rPr>
                <w:b/>
                <w:bCs/>
                <w:szCs w:val="20"/>
              </w:rPr>
            </w:pPr>
            <w:r w:rsidRPr="005D3EDE">
              <w:rPr>
                <w:b/>
                <w:bCs/>
                <w:szCs w:val="20"/>
              </w:rPr>
              <w:t xml:space="preserve">Burden </w:t>
            </w:r>
            <w:r w:rsidRPr="005D3EDE">
              <w:rPr>
                <w:b/>
                <w:bCs/>
                <w:szCs w:val="20"/>
              </w:rPr>
              <w:t>Hrs</w:t>
            </w:r>
            <w:r w:rsidRPr="005D3EDE">
              <w:rPr>
                <w:b/>
                <w:bCs/>
                <w:szCs w:val="20"/>
              </w:rPr>
              <w:t xml:space="preserve"> Per Response</w:t>
            </w:r>
          </w:p>
          <w:p w:rsidR="001F4FCE" w:rsidRPr="00A46CC0" w:rsidP="00504F85" w14:paraId="785982AF" w14:textId="77777777">
            <w:pPr>
              <w:widowControl/>
              <w:autoSpaceDE/>
              <w:autoSpaceDN/>
              <w:adjustRightInd/>
              <w:jc w:val="center"/>
              <w:rPr>
                <w:b/>
                <w:bCs/>
                <w:szCs w:val="20"/>
              </w:rPr>
            </w:pPr>
            <w:r w:rsidRPr="00A46CC0">
              <w:rPr>
                <w:b/>
                <w:bCs/>
                <w:szCs w:val="20"/>
              </w:rPr>
              <w:t>*</w:t>
            </w:r>
          </w:p>
          <w:p w:rsidR="001F4FCE" w:rsidP="00504F85" w14:paraId="30934FC5" w14:textId="77777777">
            <w:pPr>
              <w:widowControl/>
              <w:autoSpaceDE/>
              <w:autoSpaceDN/>
              <w:adjustRightInd/>
              <w:jc w:val="center"/>
              <w:rPr>
                <w:szCs w:val="20"/>
              </w:rPr>
            </w:pPr>
          </w:p>
          <w:p w:rsidR="001F4FCE" w:rsidRPr="00F527CD" w:rsidP="00504F85" w14:paraId="58C5F1A2" w14:textId="20EC9EC3">
            <w:pPr>
              <w:widowControl/>
              <w:autoSpaceDE/>
              <w:autoSpaceDN/>
              <w:adjustRightInd/>
              <w:jc w:val="center"/>
              <w:rPr>
                <w:szCs w:val="20"/>
              </w:rPr>
            </w:pPr>
            <w:r w:rsidRPr="00F527CD">
              <w:rPr>
                <w:szCs w:val="20"/>
              </w:rPr>
              <w:t xml:space="preserve">(c)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4BDF27F1" w14:textId="77777777">
            <w:pPr>
              <w:widowControl/>
              <w:autoSpaceDE/>
              <w:autoSpaceDN/>
              <w:adjustRightInd/>
              <w:jc w:val="center"/>
              <w:rPr>
                <w:b/>
                <w:bCs/>
                <w:szCs w:val="20"/>
              </w:rPr>
            </w:pPr>
          </w:p>
          <w:p w:rsidR="001F4FCE" w:rsidRPr="005D3EDE" w:rsidP="00504F85" w14:paraId="3CD3B1D0" w14:textId="6E6C4D52">
            <w:pPr>
              <w:widowControl/>
              <w:autoSpaceDE/>
              <w:autoSpaceDN/>
              <w:adjustRightInd/>
              <w:jc w:val="center"/>
              <w:rPr>
                <w:b/>
                <w:bCs/>
                <w:szCs w:val="20"/>
              </w:rPr>
            </w:pPr>
            <w:r w:rsidRPr="005D3EDE">
              <w:rPr>
                <w:b/>
                <w:bCs/>
                <w:szCs w:val="20"/>
              </w:rPr>
              <w:t>Total Burden Hours</w:t>
            </w:r>
          </w:p>
          <w:p w:rsidR="001F4FCE" w:rsidP="00504F85" w14:paraId="0D828F0E" w14:textId="77777777">
            <w:pPr>
              <w:widowControl/>
              <w:autoSpaceDE/>
              <w:autoSpaceDN/>
              <w:adjustRightInd/>
              <w:jc w:val="center"/>
              <w:rPr>
                <w:szCs w:val="20"/>
              </w:rPr>
            </w:pPr>
          </w:p>
          <w:p w:rsidR="001F4FCE" w:rsidRPr="00F527CD" w:rsidP="00504F85" w14:paraId="1C7359D6" w14:textId="3D47FB5A">
            <w:pPr>
              <w:widowControl/>
              <w:autoSpaceDE/>
              <w:autoSpaceDN/>
              <w:adjustRightInd/>
              <w:jc w:val="center"/>
              <w:rPr>
                <w:szCs w:val="20"/>
              </w:rPr>
            </w:pPr>
            <w:r w:rsidRPr="00F527CD">
              <w:rPr>
                <w:szCs w:val="20"/>
              </w:rPr>
              <w:t>(d = b x c)</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104A2336" w14:textId="77777777">
            <w:pPr>
              <w:widowControl/>
              <w:autoSpaceDE/>
              <w:autoSpaceDN/>
              <w:adjustRightInd/>
              <w:jc w:val="center"/>
              <w:rPr>
                <w:b/>
                <w:bCs/>
                <w:szCs w:val="20"/>
              </w:rPr>
            </w:pPr>
          </w:p>
          <w:p w:rsidR="001F4FCE" w:rsidP="00504F85" w14:paraId="07359880" w14:textId="77777777">
            <w:pPr>
              <w:widowControl/>
              <w:autoSpaceDE/>
              <w:autoSpaceDN/>
              <w:adjustRightInd/>
              <w:jc w:val="center"/>
              <w:rPr>
                <w:b/>
                <w:bCs/>
                <w:szCs w:val="20"/>
              </w:rPr>
            </w:pPr>
            <w:r w:rsidRPr="005D3EDE">
              <w:rPr>
                <w:b/>
                <w:bCs/>
                <w:szCs w:val="20"/>
              </w:rPr>
              <w:t>Hourly Wage</w:t>
            </w:r>
          </w:p>
          <w:p w:rsidR="001F4FCE" w:rsidP="00504F85" w14:paraId="2E281DB9" w14:textId="77777777">
            <w:pPr>
              <w:widowControl/>
              <w:autoSpaceDE/>
              <w:autoSpaceDN/>
              <w:adjustRightInd/>
              <w:jc w:val="center"/>
              <w:rPr>
                <w:b/>
                <w:bCs/>
                <w:szCs w:val="20"/>
              </w:rPr>
            </w:pPr>
            <w:r>
              <w:rPr>
                <w:b/>
                <w:bCs/>
                <w:szCs w:val="20"/>
              </w:rPr>
              <w:t>**</w:t>
            </w:r>
          </w:p>
          <w:p w:rsidR="001F4FCE" w:rsidP="00504F85" w14:paraId="4291FE33" w14:textId="77777777">
            <w:pPr>
              <w:widowControl/>
              <w:autoSpaceDE/>
              <w:autoSpaceDN/>
              <w:adjustRightInd/>
              <w:jc w:val="center"/>
              <w:rPr>
                <w:szCs w:val="20"/>
              </w:rPr>
            </w:pPr>
          </w:p>
          <w:p w:rsidR="001F4FCE" w:rsidP="00504F85" w14:paraId="706ADA7A" w14:textId="77777777">
            <w:pPr>
              <w:widowControl/>
              <w:autoSpaceDE/>
              <w:autoSpaceDN/>
              <w:adjustRightInd/>
              <w:jc w:val="center"/>
              <w:rPr>
                <w:szCs w:val="20"/>
              </w:rPr>
            </w:pPr>
          </w:p>
          <w:p w:rsidR="001F4FCE" w:rsidRPr="00F527CD" w:rsidP="00504F85" w14:paraId="7BC532B1" w14:textId="4AF20AB7">
            <w:pPr>
              <w:widowControl/>
              <w:autoSpaceDE/>
              <w:autoSpaceDN/>
              <w:adjustRightInd/>
              <w:jc w:val="center"/>
              <w:rPr>
                <w:szCs w:val="20"/>
              </w:rPr>
            </w:pPr>
            <w:r w:rsidRPr="00F527CD">
              <w:rPr>
                <w:szCs w:val="20"/>
              </w:rPr>
              <w:t>(e)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4FCE" w:rsidP="00504F85" w14:paraId="5736B79F" w14:textId="77777777">
            <w:pPr>
              <w:widowControl/>
              <w:autoSpaceDE/>
              <w:autoSpaceDN/>
              <w:adjustRightInd/>
              <w:jc w:val="center"/>
              <w:rPr>
                <w:b/>
                <w:bCs/>
                <w:szCs w:val="20"/>
              </w:rPr>
            </w:pPr>
          </w:p>
          <w:p w:rsidR="001F4FCE" w:rsidP="00504F85" w14:paraId="692F2A66" w14:textId="77777777">
            <w:pPr>
              <w:widowControl/>
              <w:autoSpaceDE/>
              <w:autoSpaceDN/>
              <w:adjustRightInd/>
              <w:jc w:val="center"/>
              <w:rPr>
                <w:b/>
                <w:bCs/>
                <w:szCs w:val="20"/>
              </w:rPr>
            </w:pPr>
            <w:r w:rsidRPr="005D3EDE">
              <w:rPr>
                <w:b/>
                <w:bCs/>
                <w:szCs w:val="20"/>
              </w:rPr>
              <w:t>Total Cost Estimate</w:t>
            </w:r>
          </w:p>
          <w:p w:rsidR="001F4FCE" w:rsidP="00504F85" w14:paraId="517A6A83" w14:textId="77777777">
            <w:pPr>
              <w:widowControl/>
              <w:autoSpaceDE/>
              <w:autoSpaceDN/>
              <w:adjustRightInd/>
              <w:jc w:val="center"/>
              <w:rPr>
                <w:b/>
                <w:bCs/>
                <w:szCs w:val="20"/>
              </w:rPr>
            </w:pPr>
          </w:p>
          <w:p w:rsidR="001F4FCE" w:rsidP="00504F85" w14:paraId="60550D2A" w14:textId="77777777">
            <w:pPr>
              <w:widowControl/>
              <w:autoSpaceDE/>
              <w:autoSpaceDN/>
              <w:adjustRightInd/>
              <w:jc w:val="center"/>
              <w:rPr>
                <w:b/>
                <w:bCs/>
                <w:szCs w:val="20"/>
              </w:rPr>
            </w:pPr>
          </w:p>
          <w:p w:rsidR="001F4FCE" w:rsidRPr="005D3EDE" w:rsidP="00504F85" w14:paraId="36440DFE" w14:textId="77777777">
            <w:pPr>
              <w:widowControl/>
              <w:autoSpaceDE/>
              <w:autoSpaceDN/>
              <w:adjustRightInd/>
              <w:jc w:val="center"/>
              <w:rPr>
                <w:b/>
                <w:bCs/>
                <w:szCs w:val="20"/>
              </w:rPr>
            </w:pPr>
          </w:p>
          <w:p w:rsidR="001F4FCE" w:rsidRPr="00F527CD" w:rsidP="00504F85" w14:paraId="39E6DB7A" w14:textId="274BEAA5">
            <w:pPr>
              <w:widowControl/>
              <w:autoSpaceDE/>
              <w:autoSpaceDN/>
              <w:adjustRightInd/>
              <w:jc w:val="center"/>
              <w:rPr>
                <w:szCs w:val="20"/>
              </w:rPr>
            </w:pPr>
            <w:r w:rsidRPr="00F527CD">
              <w:rPr>
                <w:szCs w:val="20"/>
              </w:rPr>
              <w:t>(f</w:t>
            </w:r>
            <w:r>
              <w:rPr>
                <w:szCs w:val="20"/>
              </w:rPr>
              <w:t xml:space="preserve"> </w:t>
            </w:r>
            <w:r w:rsidRPr="00F527CD">
              <w:rPr>
                <w:szCs w:val="20"/>
              </w:rPr>
              <w:t>= d x e )</w:t>
            </w:r>
          </w:p>
        </w:tc>
      </w:tr>
      <w:tr w14:paraId="5A1F38D1"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0DA8D17A" w14:textId="71197BD9">
            <w:pPr>
              <w:widowControl/>
              <w:autoSpaceDE/>
              <w:autoSpaceDN/>
              <w:adjustRightInd/>
              <w:jc w:val="center"/>
              <w:rPr>
                <w:szCs w:val="20"/>
              </w:rPr>
            </w:pPr>
            <w:r>
              <w:rPr>
                <w:color w:val="000000"/>
                <w:szCs w:val="20"/>
              </w:rPr>
              <w:t>1</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1EC7B24F" w14:textId="7AE711F5">
            <w:pPr>
              <w:widowControl/>
              <w:autoSpaceDE/>
              <w:autoSpaceDN/>
              <w:adjustRightInd/>
              <w:rPr>
                <w:szCs w:val="20"/>
              </w:rPr>
            </w:pPr>
            <w:r w:rsidRPr="00DA22C6">
              <w:rPr>
                <w:szCs w:val="20"/>
              </w:rPr>
              <w:t>ASCs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6E104B1A" w14:textId="77777777">
            <w:pPr>
              <w:widowControl/>
              <w:autoSpaceDE/>
              <w:autoSpaceDN/>
              <w:adjustRightInd/>
              <w:jc w:val="both"/>
              <w:rPr>
                <w:color w:val="000000"/>
                <w:sz w:val="18"/>
                <w:szCs w:val="18"/>
              </w:rPr>
            </w:pPr>
            <w:r w:rsidRPr="00530E98">
              <w:rPr>
                <w:color w:val="000000"/>
                <w:sz w:val="18"/>
                <w:szCs w:val="18"/>
              </w:rPr>
              <w:t>§ 416.54(d)</w:t>
            </w:r>
          </w:p>
        </w:tc>
        <w:tc>
          <w:tcPr>
            <w:tcW w:w="1080" w:type="dxa"/>
            <w:tcBorders>
              <w:top w:val="single" w:sz="4" w:space="0" w:color="auto"/>
              <w:left w:val="nil"/>
              <w:bottom w:val="single" w:sz="4" w:space="0" w:color="auto"/>
              <w:right w:val="single" w:sz="4" w:space="0" w:color="auto"/>
            </w:tcBorders>
            <w:noWrap/>
            <w:vAlign w:val="bottom"/>
            <w:hideMark/>
          </w:tcPr>
          <w:p w:rsidR="001F4FCE" w:rsidRPr="00DA22C6" w:rsidP="001F4FCE" w14:paraId="021E0C73" w14:textId="77777777">
            <w:pPr>
              <w:widowControl/>
              <w:autoSpaceDE/>
              <w:autoSpaceDN/>
              <w:adjustRightInd/>
              <w:jc w:val="center"/>
              <w:rPr>
                <w:color w:val="000000"/>
                <w:szCs w:val="20"/>
              </w:rPr>
            </w:pPr>
            <w:r w:rsidRPr="00DA22C6">
              <w:rPr>
                <w:color w:val="000000"/>
                <w:szCs w:val="20"/>
              </w:rPr>
              <w:t>254</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55D04FBF" w14:textId="77777777">
            <w:pPr>
              <w:widowControl/>
              <w:autoSpaceDE/>
              <w:autoSpaceDN/>
              <w:adjustRightInd/>
              <w:jc w:val="center"/>
              <w:rPr>
                <w:color w:val="000000"/>
                <w:szCs w:val="20"/>
              </w:rPr>
            </w:pPr>
            <w:r w:rsidRPr="00DA22C6">
              <w:rPr>
                <w:color w:val="000000"/>
                <w:szCs w:val="20"/>
              </w:rPr>
              <w:t>254</w:t>
            </w:r>
          </w:p>
        </w:tc>
        <w:tc>
          <w:tcPr>
            <w:tcW w:w="1080" w:type="dxa"/>
            <w:tcBorders>
              <w:top w:val="single" w:sz="4" w:space="0" w:color="auto"/>
              <w:left w:val="nil"/>
              <w:bottom w:val="single" w:sz="4" w:space="0" w:color="auto"/>
              <w:right w:val="single" w:sz="4" w:space="0" w:color="auto"/>
            </w:tcBorders>
            <w:vAlign w:val="bottom"/>
            <w:hideMark/>
          </w:tcPr>
          <w:p w:rsidR="001F4FCE" w:rsidRPr="00DA22C6" w:rsidP="001F4FCE" w14:paraId="33904687" w14:textId="3328C19A">
            <w:pPr>
              <w:widowControl/>
              <w:autoSpaceDE/>
              <w:autoSpaceDN/>
              <w:adjustRightInd/>
              <w:jc w:val="center"/>
              <w:rPr>
                <w:color w:val="000000"/>
                <w:szCs w:val="20"/>
              </w:rPr>
            </w:pPr>
            <w:r w:rsidRPr="00DA22C6">
              <w:rPr>
                <w:color w:val="000000"/>
                <w:szCs w:val="20"/>
              </w:rPr>
              <w:t>6</w:t>
            </w:r>
          </w:p>
        </w:tc>
        <w:tc>
          <w:tcPr>
            <w:tcW w:w="900" w:type="dxa"/>
            <w:tcBorders>
              <w:top w:val="single" w:sz="4" w:space="0" w:color="auto"/>
              <w:left w:val="nil"/>
              <w:bottom w:val="single" w:sz="4" w:space="0" w:color="auto"/>
              <w:right w:val="single" w:sz="4" w:space="0" w:color="auto"/>
            </w:tcBorders>
            <w:noWrap/>
            <w:vAlign w:val="bottom"/>
            <w:hideMark/>
          </w:tcPr>
          <w:p w:rsidR="001F4FCE" w:rsidRPr="00DA22C6" w:rsidP="001F4FCE" w14:paraId="40EE885A" w14:textId="77777777">
            <w:pPr>
              <w:widowControl/>
              <w:autoSpaceDE/>
              <w:autoSpaceDN/>
              <w:adjustRightInd/>
              <w:jc w:val="center"/>
              <w:rPr>
                <w:color w:val="000000"/>
                <w:szCs w:val="20"/>
              </w:rPr>
            </w:pPr>
            <w:r w:rsidRPr="00DA22C6">
              <w:rPr>
                <w:color w:val="000000"/>
                <w:szCs w:val="20"/>
              </w:rPr>
              <w:t>1,524</w:t>
            </w:r>
          </w:p>
        </w:tc>
        <w:tc>
          <w:tcPr>
            <w:tcW w:w="900" w:type="dxa"/>
            <w:tcBorders>
              <w:top w:val="single" w:sz="4" w:space="0" w:color="auto"/>
              <w:left w:val="nil"/>
              <w:bottom w:val="single" w:sz="4" w:space="0" w:color="auto"/>
              <w:right w:val="single" w:sz="4" w:space="0" w:color="auto"/>
            </w:tcBorders>
            <w:noWrap/>
            <w:vAlign w:val="center"/>
            <w:hideMark/>
          </w:tcPr>
          <w:p w:rsidR="001F4FCE" w:rsidRPr="00DA22C6" w:rsidP="001F4FCE" w14:paraId="19F1C056" w14:textId="77777777">
            <w:pPr>
              <w:widowControl/>
              <w:autoSpaceDE/>
              <w:autoSpaceDN/>
              <w:adjustRightInd/>
              <w:jc w:val="center"/>
              <w:rPr>
                <w:color w:val="000000"/>
                <w:szCs w:val="20"/>
              </w:rPr>
            </w:pPr>
            <w:r w:rsidRPr="00E824E1">
              <w:rPr>
                <w:color w:val="000000"/>
                <w:szCs w:val="20"/>
              </w:rPr>
              <w:t>**</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6A6C5C56" w14:textId="77777777">
            <w:pPr>
              <w:widowControl/>
              <w:autoSpaceDE/>
              <w:autoSpaceDN/>
              <w:adjustRightInd/>
              <w:jc w:val="right"/>
              <w:rPr>
                <w:color w:val="000000"/>
                <w:szCs w:val="20"/>
              </w:rPr>
            </w:pPr>
            <w:r w:rsidRPr="00DA22C6">
              <w:rPr>
                <w:color w:val="000000"/>
                <w:szCs w:val="20"/>
              </w:rPr>
              <w:t>$489,204</w:t>
            </w:r>
          </w:p>
        </w:tc>
      </w:tr>
      <w:tr w14:paraId="630506A8"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5BB552B1" w14:textId="79B125DF">
            <w:pPr>
              <w:widowControl/>
              <w:autoSpaceDE/>
              <w:autoSpaceDN/>
              <w:adjustRightInd/>
              <w:jc w:val="center"/>
              <w:rPr>
                <w:color w:val="000000"/>
                <w:szCs w:val="20"/>
              </w:rPr>
            </w:pPr>
            <w:r>
              <w:rPr>
                <w:szCs w:val="20"/>
              </w:rPr>
              <w:t>2</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7AD38124" w14:textId="2078F756">
            <w:pPr>
              <w:widowControl/>
              <w:autoSpaceDE/>
              <w:autoSpaceDN/>
              <w:adjustRightInd/>
              <w:rPr>
                <w:color w:val="000000"/>
                <w:szCs w:val="20"/>
              </w:rPr>
            </w:pPr>
            <w:r w:rsidRPr="00DA22C6">
              <w:rPr>
                <w:color w:val="000000"/>
                <w:szCs w:val="20"/>
              </w:rPr>
              <w:t>CAHs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1F0E2C67" w14:textId="77777777">
            <w:pPr>
              <w:widowControl/>
              <w:autoSpaceDE/>
              <w:autoSpaceDN/>
              <w:adjustRightInd/>
              <w:rPr>
                <w:color w:val="000000"/>
                <w:sz w:val="18"/>
                <w:szCs w:val="18"/>
              </w:rPr>
            </w:pPr>
            <w:r>
              <w:rPr>
                <w:color w:val="000000"/>
                <w:sz w:val="18"/>
                <w:szCs w:val="18"/>
              </w:rPr>
              <w:t>§ 485.625(d)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7DCA3BAA" w14:textId="77777777">
            <w:pPr>
              <w:widowControl/>
              <w:autoSpaceDE/>
              <w:autoSpaceDN/>
              <w:adjustRightInd/>
              <w:jc w:val="center"/>
              <w:rPr>
                <w:color w:val="000000"/>
                <w:szCs w:val="20"/>
              </w:rPr>
            </w:pPr>
            <w:r w:rsidRPr="00DA22C6">
              <w:rPr>
                <w:color w:val="000000"/>
                <w:szCs w:val="20"/>
              </w:rPr>
              <w:t>18</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525FD734" w14:textId="77777777">
            <w:pPr>
              <w:widowControl/>
              <w:autoSpaceDE/>
              <w:autoSpaceDN/>
              <w:adjustRightInd/>
              <w:jc w:val="center"/>
              <w:rPr>
                <w:color w:val="000000"/>
                <w:szCs w:val="20"/>
              </w:rPr>
            </w:pPr>
            <w:r w:rsidRPr="00DA22C6">
              <w:rPr>
                <w:color w:val="000000"/>
                <w:szCs w:val="20"/>
              </w:rPr>
              <w:t>18</w:t>
            </w:r>
          </w:p>
        </w:tc>
        <w:tc>
          <w:tcPr>
            <w:tcW w:w="1080" w:type="dxa"/>
            <w:tcBorders>
              <w:top w:val="nil"/>
              <w:left w:val="nil"/>
              <w:bottom w:val="single" w:sz="4" w:space="0" w:color="auto"/>
              <w:right w:val="single" w:sz="4" w:space="0" w:color="auto"/>
            </w:tcBorders>
            <w:vAlign w:val="bottom"/>
            <w:hideMark/>
          </w:tcPr>
          <w:p w:rsidR="001F4FCE" w:rsidRPr="00DA22C6" w:rsidP="001F4FCE" w14:paraId="41CFB5D7" w14:textId="4FC4D781">
            <w:pPr>
              <w:widowControl/>
              <w:autoSpaceDE/>
              <w:autoSpaceDN/>
              <w:adjustRightInd/>
              <w:jc w:val="center"/>
              <w:rPr>
                <w:color w:val="000000"/>
                <w:szCs w:val="20"/>
              </w:rPr>
            </w:pPr>
            <w:r w:rsidRPr="00DA22C6">
              <w:rPr>
                <w:color w:val="000000"/>
                <w:szCs w:val="20"/>
              </w:rPr>
              <w:t>14</w:t>
            </w:r>
          </w:p>
        </w:tc>
        <w:tc>
          <w:tcPr>
            <w:tcW w:w="900" w:type="dxa"/>
            <w:tcBorders>
              <w:top w:val="nil"/>
              <w:left w:val="nil"/>
              <w:bottom w:val="single" w:sz="4" w:space="0" w:color="auto"/>
              <w:right w:val="single" w:sz="4" w:space="0" w:color="auto"/>
            </w:tcBorders>
            <w:noWrap/>
            <w:vAlign w:val="bottom"/>
            <w:hideMark/>
          </w:tcPr>
          <w:p w:rsidR="001F4FCE" w:rsidRPr="00DA22C6" w:rsidP="001F4FCE" w14:paraId="587FCBAD" w14:textId="77777777">
            <w:pPr>
              <w:widowControl/>
              <w:autoSpaceDE/>
              <w:autoSpaceDN/>
              <w:adjustRightInd/>
              <w:jc w:val="center"/>
              <w:rPr>
                <w:color w:val="000000"/>
                <w:szCs w:val="20"/>
              </w:rPr>
            </w:pPr>
            <w:r w:rsidRPr="00DA22C6">
              <w:rPr>
                <w:color w:val="000000"/>
                <w:szCs w:val="20"/>
              </w:rPr>
              <w:t>252</w:t>
            </w:r>
          </w:p>
        </w:tc>
        <w:tc>
          <w:tcPr>
            <w:tcW w:w="900" w:type="dxa"/>
            <w:tcBorders>
              <w:top w:val="nil"/>
              <w:left w:val="nil"/>
              <w:bottom w:val="single" w:sz="4" w:space="0" w:color="auto"/>
              <w:right w:val="single" w:sz="4" w:space="0" w:color="auto"/>
            </w:tcBorders>
            <w:noWrap/>
            <w:vAlign w:val="center"/>
            <w:hideMark/>
          </w:tcPr>
          <w:p w:rsidR="001F4FCE" w:rsidRPr="00DA22C6" w:rsidP="001F4FCE" w14:paraId="39B58C22"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04CDB77E" w14:textId="77777777">
            <w:pPr>
              <w:widowControl/>
              <w:autoSpaceDE/>
              <w:autoSpaceDN/>
              <w:adjustRightInd/>
              <w:jc w:val="right"/>
              <w:rPr>
                <w:color w:val="000000"/>
                <w:szCs w:val="20"/>
              </w:rPr>
            </w:pPr>
            <w:r w:rsidRPr="00DA22C6">
              <w:rPr>
                <w:color w:val="000000"/>
                <w:szCs w:val="20"/>
              </w:rPr>
              <w:t>$80,892</w:t>
            </w:r>
          </w:p>
        </w:tc>
      </w:tr>
      <w:tr w14:paraId="44B7DE71"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5E61EEEB" w14:textId="1C06C789">
            <w:pPr>
              <w:widowControl/>
              <w:autoSpaceDE/>
              <w:autoSpaceDN/>
              <w:adjustRightInd/>
              <w:jc w:val="center"/>
              <w:rPr>
                <w:color w:val="000000"/>
                <w:szCs w:val="20"/>
              </w:rPr>
            </w:pPr>
            <w:r>
              <w:rPr>
                <w:color w:val="000000"/>
                <w:szCs w:val="20"/>
              </w:rPr>
              <w:t>3</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52DD497A" w14:textId="56322FD5">
            <w:pPr>
              <w:widowControl/>
              <w:autoSpaceDE/>
              <w:autoSpaceDN/>
              <w:adjustRightInd/>
              <w:rPr>
                <w:color w:val="000000"/>
                <w:szCs w:val="20"/>
              </w:rPr>
            </w:pPr>
            <w:r w:rsidRPr="00DA22C6">
              <w:rPr>
                <w:color w:val="000000"/>
                <w:szCs w:val="20"/>
              </w:rPr>
              <w:t>CMHCs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0E589D1F" w14:textId="77777777">
            <w:pPr>
              <w:widowControl/>
              <w:autoSpaceDE/>
              <w:autoSpaceDN/>
              <w:adjustRightInd/>
              <w:rPr>
                <w:color w:val="000000"/>
                <w:sz w:val="18"/>
                <w:szCs w:val="18"/>
              </w:rPr>
            </w:pPr>
            <w:r>
              <w:rPr>
                <w:color w:val="000000"/>
                <w:sz w:val="18"/>
                <w:szCs w:val="18"/>
              </w:rPr>
              <w:t>§ 485.920(d)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789072E5" w14:textId="77777777">
            <w:pPr>
              <w:widowControl/>
              <w:autoSpaceDE/>
              <w:autoSpaceDN/>
              <w:adjustRightInd/>
              <w:jc w:val="center"/>
              <w:rPr>
                <w:szCs w:val="20"/>
              </w:rPr>
            </w:pPr>
            <w:r w:rsidRPr="00DA22C6">
              <w:rPr>
                <w:szCs w:val="20"/>
              </w:rPr>
              <w:t>9</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5894A3B7" w14:textId="77777777">
            <w:pPr>
              <w:widowControl/>
              <w:autoSpaceDE/>
              <w:autoSpaceDN/>
              <w:adjustRightInd/>
              <w:jc w:val="center"/>
              <w:rPr>
                <w:color w:val="000000"/>
                <w:szCs w:val="20"/>
              </w:rPr>
            </w:pPr>
            <w:r w:rsidRPr="00DA22C6">
              <w:rPr>
                <w:color w:val="000000"/>
                <w:szCs w:val="20"/>
              </w:rPr>
              <w:t>9</w:t>
            </w:r>
          </w:p>
        </w:tc>
        <w:tc>
          <w:tcPr>
            <w:tcW w:w="1080" w:type="dxa"/>
            <w:tcBorders>
              <w:top w:val="nil"/>
              <w:left w:val="nil"/>
              <w:bottom w:val="single" w:sz="4" w:space="0" w:color="auto"/>
              <w:right w:val="single" w:sz="4" w:space="0" w:color="auto"/>
            </w:tcBorders>
            <w:vAlign w:val="bottom"/>
            <w:hideMark/>
          </w:tcPr>
          <w:p w:rsidR="001F4FCE" w:rsidRPr="00DA22C6" w:rsidP="001F4FCE" w14:paraId="59598C4E" w14:textId="0E12983A">
            <w:pPr>
              <w:widowControl/>
              <w:autoSpaceDE/>
              <w:autoSpaceDN/>
              <w:adjustRightInd/>
              <w:jc w:val="center"/>
              <w:rPr>
                <w:color w:val="000000"/>
                <w:szCs w:val="20"/>
              </w:rPr>
            </w:pPr>
            <w:r w:rsidRPr="00DA22C6">
              <w:rPr>
                <w:color w:val="000000"/>
                <w:szCs w:val="20"/>
              </w:rPr>
              <w:t>10</w:t>
            </w:r>
          </w:p>
        </w:tc>
        <w:tc>
          <w:tcPr>
            <w:tcW w:w="900" w:type="dxa"/>
            <w:tcBorders>
              <w:top w:val="nil"/>
              <w:left w:val="nil"/>
              <w:bottom w:val="single" w:sz="4" w:space="0" w:color="auto"/>
              <w:right w:val="single" w:sz="4" w:space="0" w:color="auto"/>
            </w:tcBorders>
            <w:noWrap/>
            <w:vAlign w:val="bottom"/>
            <w:hideMark/>
          </w:tcPr>
          <w:p w:rsidR="001F4FCE" w:rsidRPr="00DA22C6" w:rsidP="001F4FCE" w14:paraId="5B686A98" w14:textId="77777777">
            <w:pPr>
              <w:widowControl/>
              <w:autoSpaceDE/>
              <w:autoSpaceDN/>
              <w:adjustRightInd/>
              <w:jc w:val="center"/>
              <w:rPr>
                <w:color w:val="000000"/>
                <w:szCs w:val="20"/>
              </w:rPr>
            </w:pPr>
            <w:r w:rsidRPr="00DA22C6">
              <w:rPr>
                <w:color w:val="000000"/>
                <w:szCs w:val="20"/>
              </w:rPr>
              <w:t>90</w:t>
            </w:r>
          </w:p>
        </w:tc>
        <w:tc>
          <w:tcPr>
            <w:tcW w:w="900" w:type="dxa"/>
            <w:tcBorders>
              <w:top w:val="nil"/>
              <w:left w:val="nil"/>
              <w:bottom w:val="single" w:sz="4" w:space="0" w:color="auto"/>
              <w:right w:val="single" w:sz="4" w:space="0" w:color="auto"/>
            </w:tcBorders>
            <w:noWrap/>
            <w:vAlign w:val="center"/>
            <w:hideMark/>
          </w:tcPr>
          <w:p w:rsidR="001F4FCE" w:rsidRPr="00DA22C6" w:rsidP="001F4FCE" w14:paraId="4FCE3663"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350966C2" w14:textId="77777777">
            <w:pPr>
              <w:widowControl/>
              <w:autoSpaceDE/>
              <w:autoSpaceDN/>
              <w:adjustRightInd/>
              <w:jc w:val="right"/>
              <w:rPr>
                <w:color w:val="000000"/>
                <w:szCs w:val="20"/>
              </w:rPr>
            </w:pPr>
            <w:r w:rsidRPr="00DA22C6">
              <w:rPr>
                <w:color w:val="000000"/>
                <w:szCs w:val="20"/>
              </w:rPr>
              <w:t>$28,890</w:t>
            </w:r>
          </w:p>
        </w:tc>
      </w:tr>
      <w:tr w14:paraId="6469855F"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1C67FDB7" w14:textId="4B219F6C">
            <w:pPr>
              <w:widowControl/>
              <w:autoSpaceDE/>
              <w:autoSpaceDN/>
              <w:adjustRightInd/>
              <w:jc w:val="center"/>
              <w:rPr>
                <w:szCs w:val="20"/>
              </w:rPr>
            </w:pPr>
            <w:r>
              <w:rPr>
                <w:szCs w:val="20"/>
              </w:rPr>
              <w:t>4</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5CDD7735" w14:textId="6E17A6D4">
            <w:pPr>
              <w:widowControl/>
              <w:autoSpaceDE/>
              <w:autoSpaceDN/>
              <w:adjustRightInd/>
              <w:rPr>
                <w:szCs w:val="20"/>
              </w:rPr>
            </w:pPr>
            <w:r w:rsidRPr="00DA22C6">
              <w:rPr>
                <w:szCs w:val="20"/>
              </w:rPr>
              <w:t>CORFs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37330425" w14:textId="77777777">
            <w:pPr>
              <w:widowControl/>
              <w:autoSpaceDE/>
              <w:autoSpaceDN/>
              <w:adjustRightInd/>
              <w:rPr>
                <w:color w:val="000000"/>
                <w:sz w:val="18"/>
                <w:szCs w:val="18"/>
              </w:rPr>
            </w:pPr>
            <w:r>
              <w:rPr>
                <w:color w:val="000000"/>
                <w:sz w:val="18"/>
                <w:szCs w:val="18"/>
              </w:rPr>
              <w:t>§ 485.68(d)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3B32DBC1" w14:textId="77777777">
            <w:pPr>
              <w:widowControl/>
              <w:autoSpaceDE/>
              <w:autoSpaceDN/>
              <w:adjustRightInd/>
              <w:jc w:val="center"/>
              <w:rPr>
                <w:szCs w:val="20"/>
              </w:rPr>
            </w:pPr>
            <w:r w:rsidRPr="00DA22C6">
              <w:rPr>
                <w:szCs w:val="20"/>
              </w:rPr>
              <w:t>3</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29254C90" w14:textId="77777777">
            <w:pPr>
              <w:widowControl/>
              <w:autoSpaceDE/>
              <w:autoSpaceDN/>
              <w:adjustRightInd/>
              <w:jc w:val="center"/>
              <w:rPr>
                <w:color w:val="000000"/>
                <w:szCs w:val="20"/>
              </w:rPr>
            </w:pPr>
            <w:r w:rsidRPr="00DA22C6">
              <w:rPr>
                <w:color w:val="000000"/>
                <w:szCs w:val="20"/>
              </w:rPr>
              <w:t>3</w:t>
            </w:r>
          </w:p>
        </w:tc>
        <w:tc>
          <w:tcPr>
            <w:tcW w:w="1080" w:type="dxa"/>
            <w:tcBorders>
              <w:top w:val="nil"/>
              <w:left w:val="nil"/>
              <w:bottom w:val="single" w:sz="4" w:space="0" w:color="auto"/>
              <w:right w:val="single" w:sz="4" w:space="0" w:color="auto"/>
            </w:tcBorders>
            <w:vAlign w:val="bottom"/>
            <w:hideMark/>
          </w:tcPr>
          <w:p w:rsidR="001F4FCE" w:rsidRPr="00DA22C6" w:rsidP="001F4FCE" w14:paraId="16F6F4CD" w14:textId="7B7F7B39">
            <w:pPr>
              <w:widowControl/>
              <w:autoSpaceDE/>
              <w:autoSpaceDN/>
              <w:adjustRightInd/>
              <w:jc w:val="center"/>
              <w:rPr>
                <w:color w:val="000000"/>
                <w:szCs w:val="20"/>
              </w:rPr>
            </w:pPr>
            <w:r w:rsidRPr="00DA22C6">
              <w:rPr>
                <w:color w:val="000000"/>
                <w:szCs w:val="20"/>
              </w:rPr>
              <w:t>8</w:t>
            </w:r>
          </w:p>
        </w:tc>
        <w:tc>
          <w:tcPr>
            <w:tcW w:w="900" w:type="dxa"/>
            <w:tcBorders>
              <w:top w:val="nil"/>
              <w:left w:val="nil"/>
              <w:bottom w:val="single" w:sz="4" w:space="0" w:color="auto"/>
              <w:right w:val="single" w:sz="4" w:space="0" w:color="auto"/>
            </w:tcBorders>
            <w:noWrap/>
            <w:vAlign w:val="bottom"/>
            <w:hideMark/>
          </w:tcPr>
          <w:p w:rsidR="001F4FCE" w:rsidRPr="00DA22C6" w:rsidP="001F4FCE" w14:paraId="1B1A10B3" w14:textId="77777777">
            <w:pPr>
              <w:widowControl/>
              <w:autoSpaceDE/>
              <w:autoSpaceDN/>
              <w:adjustRightInd/>
              <w:jc w:val="center"/>
              <w:rPr>
                <w:color w:val="000000"/>
                <w:szCs w:val="20"/>
              </w:rPr>
            </w:pPr>
            <w:r w:rsidRPr="00DA22C6">
              <w:rPr>
                <w:color w:val="000000"/>
                <w:szCs w:val="20"/>
              </w:rPr>
              <w:t>24</w:t>
            </w:r>
          </w:p>
        </w:tc>
        <w:tc>
          <w:tcPr>
            <w:tcW w:w="900" w:type="dxa"/>
            <w:tcBorders>
              <w:top w:val="nil"/>
              <w:left w:val="nil"/>
              <w:bottom w:val="single" w:sz="4" w:space="0" w:color="auto"/>
              <w:right w:val="single" w:sz="4" w:space="0" w:color="auto"/>
            </w:tcBorders>
            <w:noWrap/>
            <w:vAlign w:val="center"/>
            <w:hideMark/>
          </w:tcPr>
          <w:p w:rsidR="001F4FCE" w:rsidRPr="00DA22C6" w:rsidP="001F4FCE" w14:paraId="51FF6DA8"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4F1E9C93" w14:textId="77777777">
            <w:pPr>
              <w:widowControl/>
              <w:autoSpaceDE/>
              <w:autoSpaceDN/>
              <w:adjustRightInd/>
              <w:jc w:val="right"/>
              <w:rPr>
                <w:color w:val="000000"/>
                <w:szCs w:val="20"/>
              </w:rPr>
            </w:pPr>
            <w:r w:rsidRPr="00DA22C6">
              <w:rPr>
                <w:color w:val="000000"/>
                <w:szCs w:val="20"/>
              </w:rPr>
              <w:t>$7,704</w:t>
            </w:r>
          </w:p>
        </w:tc>
      </w:tr>
      <w:tr w14:paraId="498CE129"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47934539" w14:textId="63EDC51A">
            <w:pPr>
              <w:widowControl/>
              <w:autoSpaceDE/>
              <w:autoSpaceDN/>
              <w:adjustRightInd/>
              <w:jc w:val="center"/>
              <w:rPr>
                <w:color w:val="000000"/>
                <w:szCs w:val="20"/>
              </w:rPr>
            </w:pPr>
            <w:r>
              <w:rPr>
                <w:color w:val="000000"/>
                <w:szCs w:val="20"/>
              </w:rPr>
              <w:t>5</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3F2E82C6" w14:textId="5C7D2221">
            <w:pPr>
              <w:widowControl/>
              <w:autoSpaceDE/>
              <w:autoSpaceDN/>
              <w:adjustRightInd/>
              <w:rPr>
                <w:color w:val="000000"/>
                <w:szCs w:val="20"/>
              </w:rPr>
            </w:pPr>
            <w:r w:rsidRPr="00DA22C6">
              <w:rPr>
                <w:color w:val="000000"/>
                <w:szCs w:val="20"/>
              </w:rPr>
              <w:t>ESRD Facilities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765BCA08" w14:textId="77777777">
            <w:pPr>
              <w:widowControl/>
              <w:autoSpaceDE/>
              <w:autoSpaceDN/>
              <w:adjustRightInd/>
              <w:rPr>
                <w:color w:val="000000"/>
                <w:sz w:val="18"/>
                <w:szCs w:val="18"/>
              </w:rPr>
            </w:pPr>
            <w:r>
              <w:rPr>
                <w:color w:val="000000"/>
                <w:sz w:val="18"/>
                <w:szCs w:val="18"/>
              </w:rPr>
              <w:t>§ 494.62(d)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3A628885" w14:textId="77777777">
            <w:pPr>
              <w:widowControl/>
              <w:autoSpaceDE/>
              <w:autoSpaceDN/>
              <w:adjustRightInd/>
              <w:jc w:val="center"/>
              <w:rPr>
                <w:szCs w:val="20"/>
              </w:rPr>
            </w:pPr>
            <w:r w:rsidRPr="00DA22C6">
              <w:rPr>
                <w:szCs w:val="20"/>
              </w:rPr>
              <w:t>102</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711C3AA5" w14:textId="77777777">
            <w:pPr>
              <w:widowControl/>
              <w:autoSpaceDE/>
              <w:autoSpaceDN/>
              <w:adjustRightInd/>
              <w:jc w:val="center"/>
              <w:rPr>
                <w:color w:val="000000"/>
                <w:szCs w:val="20"/>
              </w:rPr>
            </w:pPr>
            <w:r w:rsidRPr="00DA22C6">
              <w:rPr>
                <w:color w:val="000000"/>
                <w:szCs w:val="20"/>
              </w:rPr>
              <w:t>102</w:t>
            </w:r>
          </w:p>
        </w:tc>
        <w:tc>
          <w:tcPr>
            <w:tcW w:w="1080" w:type="dxa"/>
            <w:tcBorders>
              <w:top w:val="nil"/>
              <w:left w:val="nil"/>
              <w:bottom w:val="single" w:sz="4" w:space="0" w:color="auto"/>
              <w:right w:val="single" w:sz="4" w:space="0" w:color="auto"/>
            </w:tcBorders>
            <w:vAlign w:val="bottom"/>
            <w:hideMark/>
          </w:tcPr>
          <w:p w:rsidR="001F4FCE" w:rsidRPr="00DA22C6" w:rsidP="001F4FCE" w14:paraId="6302AE18" w14:textId="3DC6B8C8">
            <w:pPr>
              <w:widowControl/>
              <w:autoSpaceDE/>
              <w:autoSpaceDN/>
              <w:adjustRightInd/>
              <w:jc w:val="center"/>
              <w:rPr>
                <w:color w:val="000000"/>
                <w:szCs w:val="20"/>
              </w:rPr>
            </w:pPr>
            <w:r w:rsidRPr="00DA22C6">
              <w:rPr>
                <w:color w:val="000000"/>
                <w:szCs w:val="20"/>
              </w:rPr>
              <w:t>7</w:t>
            </w:r>
          </w:p>
        </w:tc>
        <w:tc>
          <w:tcPr>
            <w:tcW w:w="900" w:type="dxa"/>
            <w:tcBorders>
              <w:top w:val="nil"/>
              <w:left w:val="nil"/>
              <w:bottom w:val="single" w:sz="4" w:space="0" w:color="auto"/>
              <w:right w:val="single" w:sz="4" w:space="0" w:color="auto"/>
            </w:tcBorders>
            <w:noWrap/>
            <w:vAlign w:val="bottom"/>
            <w:hideMark/>
          </w:tcPr>
          <w:p w:rsidR="001F4FCE" w:rsidRPr="00DA22C6" w:rsidP="001F4FCE" w14:paraId="78DDCD1F" w14:textId="77777777">
            <w:pPr>
              <w:widowControl/>
              <w:autoSpaceDE/>
              <w:autoSpaceDN/>
              <w:adjustRightInd/>
              <w:jc w:val="center"/>
              <w:rPr>
                <w:color w:val="000000"/>
                <w:szCs w:val="20"/>
              </w:rPr>
            </w:pPr>
            <w:r w:rsidRPr="00DA22C6">
              <w:rPr>
                <w:color w:val="000000"/>
                <w:szCs w:val="20"/>
              </w:rPr>
              <w:t>714</w:t>
            </w:r>
          </w:p>
        </w:tc>
        <w:tc>
          <w:tcPr>
            <w:tcW w:w="900" w:type="dxa"/>
            <w:tcBorders>
              <w:top w:val="nil"/>
              <w:left w:val="nil"/>
              <w:bottom w:val="single" w:sz="4" w:space="0" w:color="auto"/>
              <w:right w:val="single" w:sz="4" w:space="0" w:color="auto"/>
            </w:tcBorders>
            <w:noWrap/>
            <w:vAlign w:val="center"/>
            <w:hideMark/>
          </w:tcPr>
          <w:p w:rsidR="001F4FCE" w:rsidRPr="00DA22C6" w:rsidP="001F4FCE" w14:paraId="70130882"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253A52F2" w14:textId="77777777">
            <w:pPr>
              <w:widowControl/>
              <w:autoSpaceDE/>
              <w:autoSpaceDN/>
              <w:adjustRightInd/>
              <w:jc w:val="right"/>
              <w:rPr>
                <w:color w:val="000000"/>
                <w:szCs w:val="20"/>
              </w:rPr>
            </w:pPr>
            <w:r w:rsidRPr="00DA22C6">
              <w:rPr>
                <w:color w:val="000000"/>
                <w:szCs w:val="20"/>
              </w:rPr>
              <w:t>$229,194</w:t>
            </w:r>
          </w:p>
        </w:tc>
      </w:tr>
      <w:tr w14:paraId="171E7341"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05B61485" w14:textId="33AF729A">
            <w:pPr>
              <w:widowControl/>
              <w:autoSpaceDE/>
              <w:autoSpaceDN/>
              <w:adjustRightInd/>
              <w:jc w:val="center"/>
              <w:rPr>
                <w:szCs w:val="20"/>
              </w:rPr>
            </w:pPr>
            <w:r>
              <w:rPr>
                <w:color w:val="000000"/>
                <w:szCs w:val="20"/>
              </w:rPr>
              <w:t>6</w:t>
            </w:r>
          </w:p>
        </w:tc>
        <w:tc>
          <w:tcPr>
            <w:tcW w:w="2340" w:type="dxa"/>
            <w:tcBorders>
              <w:top w:val="single" w:sz="4" w:space="0" w:color="auto"/>
              <w:left w:val="single" w:sz="4" w:space="0" w:color="auto"/>
              <w:bottom w:val="single" w:sz="4" w:space="0" w:color="auto"/>
              <w:right w:val="nil"/>
            </w:tcBorders>
            <w:vAlign w:val="bottom"/>
          </w:tcPr>
          <w:p w:rsidR="001F4FCE" w:rsidRPr="00DA22C6" w:rsidP="001F4FCE" w14:paraId="4B95772A" w14:textId="77D3717F">
            <w:pPr>
              <w:widowControl/>
              <w:autoSpaceDE/>
              <w:autoSpaceDN/>
              <w:adjustRightInd/>
              <w:rPr>
                <w:szCs w:val="20"/>
              </w:rPr>
            </w:pPr>
            <w:r w:rsidRPr="00DA22C6">
              <w:rPr>
                <w:szCs w:val="20"/>
              </w:rPr>
              <w:t>FQHCs</w:t>
            </w:r>
            <w:r>
              <w:rPr>
                <w:szCs w:val="20"/>
              </w:rPr>
              <w:t>/</w:t>
            </w:r>
            <w:r w:rsidRPr="00DA22C6">
              <w:rPr>
                <w:szCs w:val="20"/>
              </w:rPr>
              <w:t xml:space="preserve"> RHCs</w:t>
            </w:r>
          </w:p>
        </w:tc>
        <w:tc>
          <w:tcPr>
            <w:tcW w:w="1170" w:type="dxa"/>
            <w:tcBorders>
              <w:top w:val="nil"/>
              <w:left w:val="single" w:sz="4" w:space="0" w:color="auto"/>
              <w:bottom w:val="single" w:sz="4" w:space="0" w:color="auto"/>
              <w:right w:val="single" w:sz="4" w:space="0" w:color="auto"/>
            </w:tcBorders>
            <w:noWrap/>
            <w:vAlign w:val="bottom"/>
          </w:tcPr>
          <w:p w:rsidR="001F4FCE" w:rsidP="001F4FCE" w14:paraId="40096411" w14:textId="6CB14515">
            <w:pPr>
              <w:widowControl/>
              <w:autoSpaceDE/>
              <w:autoSpaceDN/>
              <w:adjustRightInd/>
              <w:rPr>
                <w:color w:val="000000"/>
                <w:sz w:val="18"/>
                <w:szCs w:val="18"/>
              </w:rPr>
            </w:pPr>
            <w:r>
              <w:rPr>
                <w:color w:val="000000"/>
                <w:sz w:val="18"/>
                <w:szCs w:val="18"/>
              </w:rPr>
              <w:t>§ 491.12(d)</w:t>
            </w:r>
          </w:p>
        </w:tc>
        <w:tc>
          <w:tcPr>
            <w:tcW w:w="1080" w:type="dxa"/>
            <w:tcBorders>
              <w:top w:val="nil"/>
              <w:left w:val="nil"/>
              <w:bottom w:val="single" w:sz="4" w:space="0" w:color="auto"/>
              <w:right w:val="single" w:sz="4" w:space="0" w:color="auto"/>
            </w:tcBorders>
            <w:noWrap/>
            <w:vAlign w:val="bottom"/>
          </w:tcPr>
          <w:p w:rsidR="001F4FCE" w:rsidRPr="00DA22C6" w:rsidP="001F4FCE" w14:paraId="4350C9E6" w14:textId="67B42D03">
            <w:pPr>
              <w:widowControl/>
              <w:autoSpaceDE/>
              <w:autoSpaceDN/>
              <w:adjustRightInd/>
              <w:jc w:val="center"/>
              <w:rPr>
                <w:color w:val="000000"/>
                <w:szCs w:val="20"/>
              </w:rPr>
            </w:pPr>
            <w:r w:rsidRPr="00DA22C6">
              <w:rPr>
                <w:szCs w:val="20"/>
              </w:rPr>
              <w:t>1,110</w:t>
            </w:r>
          </w:p>
        </w:tc>
        <w:tc>
          <w:tcPr>
            <w:tcW w:w="1170" w:type="dxa"/>
            <w:tcBorders>
              <w:top w:val="nil"/>
              <w:left w:val="nil"/>
              <w:bottom w:val="single" w:sz="4" w:space="0" w:color="auto"/>
              <w:right w:val="single" w:sz="4" w:space="0" w:color="auto"/>
            </w:tcBorders>
            <w:noWrap/>
            <w:vAlign w:val="bottom"/>
          </w:tcPr>
          <w:p w:rsidR="001F4FCE" w:rsidRPr="00DA22C6" w:rsidP="001F4FCE" w14:paraId="0D5E61B6" w14:textId="062FCBFF">
            <w:pPr>
              <w:widowControl/>
              <w:autoSpaceDE/>
              <w:autoSpaceDN/>
              <w:adjustRightInd/>
              <w:jc w:val="center"/>
              <w:rPr>
                <w:color w:val="000000"/>
                <w:szCs w:val="20"/>
              </w:rPr>
            </w:pPr>
            <w:r w:rsidRPr="00DA22C6">
              <w:rPr>
                <w:color w:val="000000"/>
                <w:szCs w:val="20"/>
              </w:rPr>
              <w:t>1</w:t>
            </w:r>
            <w:r>
              <w:rPr>
                <w:color w:val="000000"/>
                <w:szCs w:val="20"/>
              </w:rPr>
              <w:t>,</w:t>
            </w:r>
            <w:r w:rsidRPr="00DA22C6">
              <w:rPr>
                <w:color w:val="000000"/>
                <w:szCs w:val="20"/>
              </w:rPr>
              <w:t>110</w:t>
            </w:r>
          </w:p>
        </w:tc>
        <w:tc>
          <w:tcPr>
            <w:tcW w:w="1080" w:type="dxa"/>
            <w:tcBorders>
              <w:top w:val="nil"/>
              <w:left w:val="nil"/>
              <w:bottom w:val="single" w:sz="4" w:space="0" w:color="auto"/>
              <w:right w:val="single" w:sz="4" w:space="0" w:color="auto"/>
            </w:tcBorders>
            <w:vAlign w:val="bottom"/>
          </w:tcPr>
          <w:p w:rsidR="001F4FCE" w:rsidRPr="00DA22C6" w:rsidP="001F4FCE" w14:paraId="78D73ED5" w14:textId="51628DCD">
            <w:pPr>
              <w:widowControl/>
              <w:autoSpaceDE/>
              <w:autoSpaceDN/>
              <w:adjustRightInd/>
              <w:jc w:val="center"/>
              <w:rPr>
                <w:color w:val="000000"/>
                <w:szCs w:val="20"/>
              </w:rPr>
            </w:pPr>
            <w:r w:rsidRPr="00DA22C6">
              <w:rPr>
                <w:color w:val="000000"/>
                <w:szCs w:val="20"/>
              </w:rPr>
              <w:t>10</w:t>
            </w:r>
          </w:p>
        </w:tc>
        <w:tc>
          <w:tcPr>
            <w:tcW w:w="900" w:type="dxa"/>
            <w:tcBorders>
              <w:top w:val="nil"/>
              <w:left w:val="nil"/>
              <w:bottom w:val="single" w:sz="4" w:space="0" w:color="auto"/>
              <w:right w:val="single" w:sz="4" w:space="0" w:color="auto"/>
            </w:tcBorders>
            <w:noWrap/>
            <w:vAlign w:val="bottom"/>
          </w:tcPr>
          <w:p w:rsidR="001F4FCE" w:rsidRPr="00DA22C6" w:rsidP="001F4FCE" w14:paraId="749268A9" w14:textId="250AAB33">
            <w:pPr>
              <w:widowControl/>
              <w:autoSpaceDE/>
              <w:autoSpaceDN/>
              <w:adjustRightInd/>
              <w:jc w:val="center"/>
              <w:rPr>
                <w:color w:val="000000"/>
                <w:szCs w:val="20"/>
              </w:rPr>
            </w:pPr>
            <w:r w:rsidRPr="00DA22C6">
              <w:rPr>
                <w:color w:val="000000"/>
                <w:szCs w:val="20"/>
              </w:rPr>
              <w:t>11,100</w:t>
            </w:r>
          </w:p>
        </w:tc>
        <w:tc>
          <w:tcPr>
            <w:tcW w:w="900" w:type="dxa"/>
            <w:tcBorders>
              <w:top w:val="nil"/>
              <w:left w:val="nil"/>
              <w:bottom w:val="single" w:sz="4" w:space="0" w:color="auto"/>
              <w:right w:val="single" w:sz="4" w:space="0" w:color="auto"/>
            </w:tcBorders>
            <w:noWrap/>
            <w:vAlign w:val="center"/>
          </w:tcPr>
          <w:p w:rsidR="001F4FCE" w:rsidRPr="00472037" w:rsidP="001F4FCE" w14:paraId="2FC62231" w14:textId="25569055">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tcPr>
          <w:p w:rsidR="001F4FCE" w:rsidRPr="00DA22C6" w:rsidP="001F4FCE" w14:paraId="5F1A82F2" w14:textId="04EBC754">
            <w:pPr>
              <w:widowControl/>
              <w:autoSpaceDE/>
              <w:autoSpaceDN/>
              <w:adjustRightInd/>
              <w:jc w:val="right"/>
              <w:rPr>
                <w:color w:val="000000"/>
                <w:szCs w:val="20"/>
              </w:rPr>
            </w:pPr>
            <w:r w:rsidRPr="00DA22C6">
              <w:rPr>
                <w:color w:val="000000"/>
                <w:szCs w:val="20"/>
              </w:rPr>
              <w:t>$3,563,100</w:t>
            </w:r>
          </w:p>
        </w:tc>
      </w:tr>
      <w:tr w14:paraId="2D02CC14"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216EFC63" w14:textId="6CCC56F5">
            <w:pPr>
              <w:widowControl/>
              <w:autoSpaceDE/>
              <w:autoSpaceDN/>
              <w:adjustRightInd/>
              <w:jc w:val="center"/>
              <w:rPr>
                <w:szCs w:val="20"/>
              </w:rPr>
            </w:pPr>
            <w:r>
              <w:rPr>
                <w:szCs w:val="20"/>
              </w:rPr>
              <w:t>7</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3CA6B42B" w14:textId="353DDDB3">
            <w:pPr>
              <w:widowControl/>
              <w:autoSpaceDE/>
              <w:autoSpaceDN/>
              <w:adjustRightInd/>
              <w:rPr>
                <w:szCs w:val="20"/>
              </w:rPr>
            </w:pPr>
            <w:r w:rsidRPr="00DA22C6">
              <w:rPr>
                <w:szCs w:val="20"/>
              </w:rPr>
              <w:t>HHAs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625A9A07" w14:textId="77777777">
            <w:pPr>
              <w:widowControl/>
              <w:autoSpaceDE/>
              <w:autoSpaceDN/>
              <w:adjustRightInd/>
              <w:rPr>
                <w:color w:val="000000"/>
                <w:sz w:val="18"/>
                <w:szCs w:val="18"/>
              </w:rPr>
            </w:pPr>
            <w:r>
              <w:rPr>
                <w:color w:val="000000"/>
                <w:sz w:val="18"/>
                <w:szCs w:val="18"/>
              </w:rPr>
              <w:t>§ 484.102(d)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48D3F887" w14:textId="77777777">
            <w:pPr>
              <w:widowControl/>
              <w:autoSpaceDE/>
              <w:autoSpaceDN/>
              <w:adjustRightInd/>
              <w:jc w:val="center"/>
              <w:rPr>
                <w:color w:val="000000"/>
                <w:szCs w:val="20"/>
              </w:rPr>
            </w:pPr>
            <w:r w:rsidRPr="00DA22C6">
              <w:rPr>
                <w:color w:val="000000"/>
                <w:szCs w:val="20"/>
              </w:rPr>
              <w:t>361</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06F221CC" w14:textId="77777777">
            <w:pPr>
              <w:widowControl/>
              <w:autoSpaceDE/>
              <w:autoSpaceDN/>
              <w:adjustRightInd/>
              <w:jc w:val="center"/>
              <w:rPr>
                <w:color w:val="000000"/>
                <w:szCs w:val="20"/>
              </w:rPr>
            </w:pPr>
            <w:r w:rsidRPr="00DA22C6">
              <w:rPr>
                <w:color w:val="000000"/>
                <w:szCs w:val="20"/>
              </w:rPr>
              <w:t>361</w:t>
            </w:r>
          </w:p>
        </w:tc>
        <w:tc>
          <w:tcPr>
            <w:tcW w:w="1080" w:type="dxa"/>
            <w:tcBorders>
              <w:top w:val="nil"/>
              <w:left w:val="nil"/>
              <w:bottom w:val="single" w:sz="4" w:space="0" w:color="auto"/>
              <w:right w:val="single" w:sz="4" w:space="0" w:color="auto"/>
            </w:tcBorders>
            <w:vAlign w:val="bottom"/>
            <w:hideMark/>
          </w:tcPr>
          <w:p w:rsidR="001F4FCE" w:rsidRPr="00DA22C6" w:rsidP="001F4FCE" w14:paraId="12073EEB" w14:textId="66F8670F">
            <w:pPr>
              <w:widowControl/>
              <w:autoSpaceDE/>
              <w:autoSpaceDN/>
              <w:adjustRightInd/>
              <w:jc w:val="center"/>
              <w:rPr>
                <w:color w:val="000000"/>
                <w:szCs w:val="20"/>
              </w:rPr>
            </w:pPr>
            <w:r w:rsidRPr="00DA22C6">
              <w:rPr>
                <w:color w:val="000000"/>
                <w:szCs w:val="20"/>
              </w:rPr>
              <w:t>16</w:t>
            </w:r>
          </w:p>
        </w:tc>
        <w:tc>
          <w:tcPr>
            <w:tcW w:w="900" w:type="dxa"/>
            <w:tcBorders>
              <w:top w:val="nil"/>
              <w:left w:val="nil"/>
              <w:bottom w:val="single" w:sz="4" w:space="0" w:color="auto"/>
              <w:right w:val="single" w:sz="4" w:space="0" w:color="auto"/>
            </w:tcBorders>
            <w:noWrap/>
            <w:vAlign w:val="bottom"/>
            <w:hideMark/>
          </w:tcPr>
          <w:p w:rsidR="001F4FCE" w:rsidRPr="00DA22C6" w:rsidP="001F4FCE" w14:paraId="3B056C80" w14:textId="77777777">
            <w:pPr>
              <w:widowControl/>
              <w:autoSpaceDE/>
              <w:autoSpaceDN/>
              <w:adjustRightInd/>
              <w:jc w:val="center"/>
              <w:rPr>
                <w:color w:val="000000"/>
                <w:szCs w:val="20"/>
              </w:rPr>
            </w:pPr>
            <w:r w:rsidRPr="00DA22C6">
              <w:rPr>
                <w:color w:val="000000"/>
                <w:szCs w:val="20"/>
              </w:rPr>
              <w:t>5,776</w:t>
            </w:r>
          </w:p>
        </w:tc>
        <w:tc>
          <w:tcPr>
            <w:tcW w:w="900" w:type="dxa"/>
            <w:tcBorders>
              <w:top w:val="nil"/>
              <w:left w:val="nil"/>
              <w:bottom w:val="single" w:sz="4" w:space="0" w:color="auto"/>
              <w:right w:val="single" w:sz="4" w:space="0" w:color="auto"/>
            </w:tcBorders>
            <w:noWrap/>
            <w:vAlign w:val="center"/>
            <w:hideMark/>
          </w:tcPr>
          <w:p w:rsidR="001F4FCE" w:rsidRPr="00DA22C6" w:rsidP="001F4FCE" w14:paraId="5A204E01"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245D5E99" w14:textId="77777777">
            <w:pPr>
              <w:widowControl/>
              <w:autoSpaceDE/>
              <w:autoSpaceDN/>
              <w:adjustRightInd/>
              <w:jc w:val="right"/>
              <w:rPr>
                <w:color w:val="000000"/>
                <w:szCs w:val="20"/>
              </w:rPr>
            </w:pPr>
            <w:r w:rsidRPr="00DA22C6">
              <w:rPr>
                <w:color w:val="000000"/>
                <w:szCs w:val="20"/>
              </w:rPr>
              <w:t>$1,854,096</w:t>
            </w:r>
          </w:p>
        </w:tc>
      </w:tr>
      <w:tr w14:paraId="6115F300"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42087AAB" w14:textId="7630ED1C">
            <w:pPr>
              <w:widowControl/>
              <w:autoSpaceDE/>
              <w:autoSpaceDN/>
              <w:adjustRightInd/>
              <w:jc w:val="center"/>
              <w:rPr>
                <w:szCs w:val="20"/>
              </w:rPr>
            </w:pPr>
            <w:r>
              <w:rPr>
                <w:szCs w:val="20"/>
              </w:rPr>
              <w:t>8</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5F5BF374" w14:textId="39D52C12">
            <w:pPr>
              <w:widowControl/>
              <w:autoSpaceDE/>
              <w:autoSpaceDN/>
              <w:adjustRightInd/>
              <w:rPr>
                <w:szCs w:val="20"/>
              </w:rPr>
            </w:pPr>
            <w:r w:rsidRPr="00DA22C6">
              <w:rPr>
                <w:szCs w:val="20"/>
              </w:rPr>
              <w:t>Hospices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6597A153" w14:textId="77777777">
            <w:pPr>
              <w:widowControl/>
              <w:autoSpaceDE/>
              <w:autoSpaceDN/>
              <w:adjustRightInd/>
              <w:jc w:val="both"/>
              <w:rPr>
                <w:color w:val="000000"/>
                <w:sz w:val="18"/>
                <w:szCs w:val="18"/>
              </w:rPr>
            </w:pPr>
            <w:r w:rsidRPr="00530E98">
              <w:rPr>
                <w:color w:val="000000"/>
                <w:sz w:val="18"/>
                <w:szCs w:val="18"/>
              </w:rPr>
              <w:t>§ 418.113(d)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0514D47B" w14:textId="77777777">
            <w:pPr>
              <w:widowControl/>
              <w:autoSpaceDE/>
              <w:autoSpaceDN/>
              <w:adjustRightInd/>
              <w:jc w:val="center"/>
              <w:rPr>
                <w:szCs w:val="20"/>
              </w:rPr>
            </w:pPr>
            <w:r w:rsidRPr="00DA22C6">
              <w:rPr>
                <w:szCs w:val="20"/>
              </w:rPr>
              <w:t>912</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0B2838AC" w14:textId="77777777">
            <w:pPr>
              <w:widowControl/>
              <w:autoSpaceDE/>
              <w:autoSpaceDN/>
              <w:adjustRightInd/>
              <w:jc w:val="center"/>
              <w:rPr>
                <w:color w:val="000000"/>
                <w:szCs w:val="20"/>
              </w:rPr>
            </w:pPr>
            <w:r w:rsidRPr="00DA22C6">
              <w:rPr>
                <w:color w:val="000000"/>
                <w:szCs w:val="20"/>
              </w:rPr>
              <w:t>912</w:t>
            </w:r>
          </w:p>
        </w:tc>
        <w:tc>
          <w:tcPr>
            <w:tcW w:w="1080" w:type="dxa"/>
            <w:tcBorders>
              <w:top w:val="nil"/>
              <w:left w:val="nil"/>
              <w:bottom w:val="single" w:sz="4" w:space="0" w:color="auto"/>
              <w:right w:val="single" w:sz="4" w:space="0" w:color="auto"/>
            </w:tcBorders>
            <w:vAlign w:val="bottom"/>
            <w:hideMark/>
          </w:tcPr>
          <w:p w:rsidR="001F4FCE" w:rsidRPr="00DA22C6" w:rsidP="001F4FCE" w14:paraId="2112C4A0" w14:textId="501434D0">
            <w:pPr>
              <w:widowControl/>
              <w:autoSpaceDE/>
              <w:autoSpaceDN/>
              <w:adjustRightInd/>
              <w:jc w:val="center"/>
              <w:rPr>
                <w:color w:val="000000"/>
                <w:szCs w:val="20"/>
              </w:rPr>
            </w:pPr>
            <w:r w:rsidRPr="00DA22C6">
              <w:rPr>
                <w:color w:val="000000"/>
                <w:szCs w:val="20"/>
              </w:rPr>
              <w:t>6</w:t>
            </w:r>
          </w:p>
        </w:tc>
        <w:tc>
          <w:tcPr>
            <w:tcW w:w="900" w:type="dxa"/>
            <w:tcBorders>
              <w:top w:val="nil"/>
              <w:left w:val="nil"/>
              <w:bottom w:val="single" w:sz="4" w:space="0" w:color="auto"/>
              <w:right w:val="single" w:sz="4" w:space="0" w:color="auto"/>
            </w:tcBorders>
            <w:noWrap/>
            <w:vAlign w:val="bottom"/>
            <w:hideMark/>
          </w:tcPr>
          <w:p w:rsidR="001F4FCE" w:rsidRPr="00DA22C6" w:rsidP="001F4FCE" w14:paraId="680DF30F" w14:textId="77777777">
            <w:pPr>
              <w:widowControl/>
              <w:autoSpaceDE/>
              <w:autoSpaceDN/>
              <w:adjustRightInd/>
              <w:jc w:val="center"/>
              <w:rPr>
                <w:color w:val="000000"/>
                <w:szCs w:val="20"/>
              </w:rPr>
            </w:pPr>
            <w:r w:rsidRPr="00DA22C6">
              <w:rPr>
                <w:color w:val="000000"/>
                <w:szCs w:val="20"/>
              </w:rPr>
              <w:t>5,472</w:t>
            </w:r>
          </w:p>
        </w:tc>
        <w:tc>
          <w:tcPr>
            <w:tcW w:w="900" w:type="dxa"/>
            <w:tcBorders>
              <w:top w:val="nil"/>
              <w:left w:val="nil"/>
              <w:bottom w:val="single" w:sz="4" w:space="0" w:color="auto"/>
              <w:right w:val="single" w:sz="4" w:space="0" w:color="auto"/>
            </w:tcBorders>
            <w:noWrap/>
            <w:vAlign w:val="center"/>
            <w:hideMark/>
          </w:tcPr>
          <w:p w:rsidR="001F4FCE" w:rsidRPr="00DA22C6" w:rsidP="001F4FCE" w14:paraId="7A32647B" w14:textId="77777777">
            <w:pPr>
              <w:widowControl/>
              <w:autoSpaceDE/>
              <w:autoSpaceDN/>
              <w:adjustRightInd/>
              <w:jc w:val="center"/>
              <w:rPr>
                <w:color w:val="000000"/>
                <w:szCs w:val="20"/>
              </w:rPr>
            </w:pPr>
            <w:r w:rsidRPr="00E824E1">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7A45C14F" w14:textId="77777777">
            <w:pPr>
              <w:widowControl/>
              <w:autoSpaceDE/>
              <w:autoSpaceDN/>
              <w:adjustRightInd/>
              <w:jc w:val="right"/>
              <w:rPr>
                <w:color w:val="000000"/>
                <w:szCs w:val="20"/>
              </w:rPr>
            </w:pPr>
            <w:r w:rsidRPr="00DA22C6">
              <w:rPr>
                <w:color w:val="000000"/>
                <w:szCs w:val="20"/>
              </w:rPr>
              <w:t>$1,756,512</w:t>
            </w:r>
          </w:p>
        </w:tc>
      </w:tr>
      <w:tr w14:paraId="3C70B87E"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4C408C0B" w14:textId="4E0551F8">
            <w:pPr>
              <w:widowControl/>
              <w:autoSpaceDE/>
              <w:autoSpaceDN/>
              <w:adjustRightInd/>
              <w:jc w:val="center"/>
              <w:rPr>
                <w:color w:val="000000"/>
                <w:szCs w:val="20"/>
              </w:rPr>
            </w:pPr>
            <w:r>
              <w:rPr>
                <w:szCs w:val="20"/>
              </w:rPr>
              <w:t>9</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22183838" w14:textId="5A56BA93">
            <w:pPr>
              <w:widowControl/>
              <w:autoSpaceDE/>
              <w:autoSpaceDN/>
              <w:adjustRightInd/>
              <w:rPr>
                <w:color w:val="000000"/>
                <w:szCs w:val="20"/>
              </w:rPr>
            </w:pPr>
            <w:r w:rsidRPr="00DA22C6">
              <w:rPr>
                <w:color w:val="000000"/>
                <w:szCs w:val="20"/>
              </w:rPr>
              <w:t>Hospitals</w:t>
            </w:r>
            <w:r>
              <w:rPr>
                <w:color w:val="000000"/>
                <w:szCs w:val="20"/>
              </w:rPr>
              <w:t xml:space="preserve"> - </w:t>
            </w:r>
            <w:r w:rsidRPr="00DA22C6">
              <w:rPr>
                <w:color w:val="000000"/>
                <w:szCs w:val="20"/>
              </w:rPr>
              <w:t>Non-TJC Accredited</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1631816E" w14:textId="77777777">
            <w:pPr>
              <w:widowControl/>
              <w:autoSpaceDE/>
              <w:autoSpaceDN/>
              <w:adjustRightInd/>
              <w:rPr>
                <w:color w:val="000000"/>
                <w:sz w:val="18"/>
                <w:szCs w:val="18"/>
              </w:rPr>
            </w:pPr>
            <w:r>
              <w:rPr>
                <w:color w:val="000000"/>
                <w:sz w:val="18"/>
                <w:szCs w:val="18"/>
              </w:rPr>
              <w:t>§ 482.15(d)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043F1E93" w14:textId="77777777">
            <w:pPr>
              <w:widowControl/>
              <w:autoSpaceDE/>
              <w:autoSpaceDN/>
              <w:adjustRightInd/>
              <w:jc w:val="center"/>
              <w:rPr>
                <w:szCs w:val="20"/>
              </w:rPr>
            </w:pPr>
            <w:r w:rsidRPr="00DA22C6">
              <w:rPr>
                <w:szCs w:val="20"/>
              </w:rPr>
              <w:t>45</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04849711" w14:textId="77777777">
            <w:pPr>
              <w:widowControl/>
              <w:autoSpaceDE/>
              <w:autoSpaceDN/>
              <w:adjustRightInd/>
              <w:jc w:val="center"/>
              <w:rPr>
                <w:color w:val="000000"/>
                <w:szCs w:val="20"/>
              </w:rPr>
            </w:pPr>
            <w:r w:rsidRPr="00DA22C6">
              <w:rPr>
                <w:color w:val="000000"/>
                <w:szCs w:val="20"/>
              </w:rPr>
              <w:t>45</w:t>
            </w:r>
          </w:p>
        </w:tc>
        <w:tc>
          <w:tcPr>
            <w:tcW w:w="1080" w:type="dxa"/>
            <w:tcBorders>
              <w:top w:val="nil"/>
              <w:left w:val="nil"/>
              <w:bottom w:val="single" w:sz="4" w:space="0" w:color="auto"/>
              <w:right w:val="single" w:sz="4" w:space="0" w:color="auto"/>
            </w:tcBorders>
            <w:vAlign w:val="bottom"/>
            <w:hideMark/>
          </w:tcPr>
          <w:p w:rsidR="001F4FCE" w:rsidRPr="00DA22C6" w:rsidP="001F4FCE" w14:paraId="6DA41A59" w14:textId="4DE8762C">
            <w:pPr>
              <w:widowControl/>
              <w:autoSpaceDE/>
              <w:autoSpaceDN/>
              <w:adjustRightInd/>
              <w:jc w:val="center"/>
              <w:rPr>
                <w:color w:val="000000"/>
                <w:szCs w:val="20"/>
              </w:rPr>
            </w:pPr>
            <w:r w:rsidRPr="00DA22C6">
              <w:rPr>
                <w:color w:val="000000"/>
                <w:szCs w:val="20"/>
              </w:rPr>
              <w:t>40</w:t>
            </w:r>
          </w:p>
        </w:tc>
        <w:tc>
          <w:tcPr>
            <w:tcW w:w="900" w:type="dxa"/>
            <w:tcBorders>
              <w:top w:val="nil"/>
              <w:left w:val="nil"/>
              <w:bottom w:val="single" w:sz="4" w:space="0" w:color="auto"/>
              <w:right w:val="single" w:sz="4" w:space="0" w:color="auto"/>
            </w:tcBorders>
            <w:noWrap/>
            <w:vAlign w:val="bottom"/>
            <w:hideMark/>
          </w:tcPr>
          <w:p w:rsidR="001F4FCE" w:rsidRPr="00DA22C6" w:rsidP="001F4FCE" w14:paraId="4B93CADB" w14:textId="77777777">
            <w:pPr>
              <w:widowControl/>
              <w:autoSpaceDE/>
              <w:autoSpaceDN/>
              <w:adjustRightInd/>
              <w:jc w:val="center"/>
              <w:rPr>
                <w:color w:val="000000"/>
                <w:szCs w:val="20"/>
              </w:rPr>
            </w:pPr>
            <w:r w:rsidRPr="00DA22C6">
              <w:rPr>
                <w:color w:val="000000"/>
                <w:szCs w:val="20"/>
              </w:rPr>
              <w:t>1,800</w:t>
            </w:r>
          </w:p>
        </w:tc>
        <w:tc>
          <w:tcPr>
            <w:tcW w:w="900" w:type="dxa"/>
            <w:tcBorders>
              <w:top w:val="nil"/>
              <w:left w:val="nil"/>
              <w:bottom w:val="single" w:sz="4" w:space="0" w:color="auto"/>
              <w:right w:val="single" w:sz="4" w:space="0" w:color="auto"/>
            </w:tcBorders>
            <w:noWrap/>
            <w:vAlign w:val="center"/>
            <w:hideMark/>
          </w:tcPr>
          <w:p w:rsidR="001F4FCE" w:rsidRPr="00DA22C6" w:rsidP="001F4FCE" w14:paraId="7FDA1D94"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6DADB7CA" w14:textId="77777777">
            <w:pPr>
              <w:widowControl/>
              <w:autoSpaceDE/>
              <w:autoSpaceDN/>
              <w:adjustRightInd/>
              <w:jc w:val="right"/>
              <w:rPr>
                <w:color w:val="000000"/>
                <w:szCs w:val="20"/>
              </w:rPr>
            </w:pPr>
            <w:r w:rsidRPr="00DA22C6">
              <w:rPr>
                <w:color w:val="000000"/>
                <w:szCs w:val="20"/>
              </w:rPr>
              <w:t>$577,800</w:t>
            </w:r>
          </w:p>
        </w:tc>
      </w:tr>
      <w:tr w14:paraId="3B666093"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0FD0B85E" w14:textId="3D26683E">
            <w:pPr>
              <w:widowControl/>
              <w:autoSpaceDE/>
              <w:autoSpaceDN/>
              <w:adjustRightInd/>
              <w:jc w:val="center"/>
              <w:rPr>
                <w:color w:val="000000"/>
                <w:szCs w:val="20"/>
              </w:rPr>
            </w:pPr>
            <w:r>
              <w:rPr>
                <w:color w:val="000000"/>
                <w:szCs w:val="20"/>
              </w:rPr>
              <w:t>10</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4B629A35" w14:textId="63495863">
            <w:pPr>
              <w:widowControl/>
              <w:autoSpaceDE/>
              <w:autoSpaceDN/>
              <w:adjustRightInd/>
              <w:rPr>
                <w:color w:val="000000"/>
                <w:szCs w:val="20"/>
              </w:rPr>
            </w:pPr>
            <w:r w:rsidRPr="00DA22C6">
              <w:rPr>
                <w:color w:val="000000"/>
                <w:szCs w:val="20"/>
              </w:rPr>
              <w:t>ICF/IIDs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20C2B454" w14:textId="77777777">
            <w:pPr>
              <w:widowControl/>
              <w:autoSpaceDE/>
              <w:autoSpaceDN/>
              <w:adjustRightInd/>
              <w:rPr>
                <w:color w:val="000000"/>
                <w:sz w:val="18"/>
                <w:szCs w:val="18"/>
              </w:rPr>
            </w:pPr>
            <w:r>
              <w:rPr>
                <w:color w:val="000000"/>
                <w:sz w:val="18"/>
                <w:szCs w:val="18"/>
              </w:rPr>
              <w:t>§ 483.475(d)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688CC285" w14:textId="77777777">
            <w:pPr>
              <w:widowControl/>
              <w:autoSpaceDE/>
              <w:autoSpaceDN/>
              <w:adjustRightInd/>
              <w:jc w:val="center"/>
              <w:rPr>
                <w:szCs w:val="20"/>
              </w:rPr>
            </w:pPr>
            <w:r w:rsidRPr="00DA22C6">
              <w:rPr>
                <w:szCs w:val="20"/>
              </w:rPr>
              <w:t>24</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7B0F5782" w14:textId="77777777">
            <w:pPr>
              <w:widowControl/>
              <w:autoSpaceDE/>
              <w:autoSpaceDN/>
              <w:adjustRightInd/>
              <w:jc w:val="center"/>
              <w:rPr>
                <w:color w:val="000000"/>
                <w:szCs w:val="20"/>
              </w:rPr>
            </w:pPr>
            <w:r w:rsidRPr="00DA22C6">
              <w:rPr>
                <w:color w:val="000000"/>
                <w:szCs w:val="20"/>
              </w:rPr>
              <w:t>24</w:t>
            </w:r>
          </w:p>
        </w:tc>
        <w:tc>
          <w:tcPr>
            <w:tcW w:w="1080" w:type="dxa"/>
            <w:tcBorders>
              <w:top w:val="nil"/>
              <w:left w:val="nil"/>
              <w:bottom w:val="single" w:sz="4" w:space="0" w:color="auto"/>
              <w:right w:val="single" w:sz="4" w:space="0" w:color="auto"/>
            </w:tcBorders>
            <w:vAlign w:val="bottom"/>
            <w:hideMark/>
          </w:tcPr>
          <w:p w:rsidR="001F4FCE" w:rsidRPr="00DA22C6" w:rsidP="001F4FCE" w14:paraId="169D0559" w14:textId="62AFE217">
            <w:pPr>
              <w:widowControl/>
              <w:autoSpaceDE/>
              <w:autoSpaceDN/>
              <w:adjustRightInd/>
              <w:jc w:val="center"/>
              <w:rPr>
                <w:color w:val="000000"/>
                <w:szCs w:val="20"/>
              </w:rPr>
            </w:pPr>
            <w:r w:rsidRPr="00DA22C6">
              <w:rPr>
                <w:color w:val="000000"/>
                <w:szCs w:val="20"/>
              </w:rPr>
              <w:t>7</w:t>
            </w:r>
          </w:p>
        </w:tc>
        <w:tc>
          <w:tcPr>
            <w:tcW w:w="900" w:type="dxa"/>
            <w:tcBorders>
              <w:top w:val="nil"/>
              <w:left w:val="nil"/>
              <w:bottom w:val="single" w:sz="4" w:space="0" w:color="auto"/>
              <w:right w:val="single" w:sz="4" w:space="0" w:color="auto"/>
            </w:tcBorders>
            <w:noWrap/>
            <w:vAlign w:val="bottom"/>
            <w:hideMark/>
          </w:tcPr>
          <w:p w:rsidR="001F4FCE" w:rsidRPr="00DA22C6" w:rsidP="001F4FCE" w14:paraId="20E2E932" w14:textId="77777777">
            <w:pPr>
              <w:widowControl/>
              <w:autoSpaceDE/>
              <w:autoSpaceDN/>
              <w:adjustRightInd/>
              <w:jc w:val="center"/>
              <w:rPr>
                <w:color w:val="000000"/>
                <w:szCs w:val="20"/>
              </w:rPr>
            </w:pPr>
            <w:r w:rsidRPr="00DA22C6">
              <w:rPr>
                <w:color w:val="000000"/>
                <w:szCs w:val="20"/>
              </w:rPr>
              <w:t>168</w:t>
            </w:r>
          </w:p>
        </w:tc>
        <w:tc>
          <w:tcPr>
            <w:tcW w:w="900" w:type="dxa"/>
            <w:tcBorders>
              <w:top w:val="nil"/>
              <w:left w:val="nil"/>
              <w:bottom w:val="single" w:sz="4" w:space="0" w:color="auto"/>
              <w:right w:val="single" w:sz="4" w:space="0" w:color="auto"/>
            </w:tcBorders>
            <w:noWrap/>
            <w:vAlign w:val="center"/>
            <w:hideMark/>
          </w:tcPr>
          <w:p w:rsidR="001F4FCE" w:rsidRPr="00DA22C6" w:rsidP="001F4FCE" w14:paraId="3C18F00B"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23BD9769" w14:textId="77777777">
            <w:pPr>
              <w:widowControl/>
              <w:autoSpaceDE/>
              <w:autoSpaceDN/>
              <w:adjustRightInd/>
              <w:jc w:val="right"/>
              <w:rPr>
                <w:color w:val="000000"/>
                <w:szCs w:val="20"/>
              </w:rPr>
            </w:pPr>
            <w:r w:rsidRPr="00DA22C6">
              <w:rPr>
                <w:color w:val="000000"/>
                <w:szCs w:val="20"/>
              </w:rPr>
              <w:t>$53,928</w:t>
            </w:r>
          </w:p>
        </w:tc>
      </w:tr>
      <w:tr w14:paraId="3FB1E08E"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3806CD74" w14:textId="0579E180">
            <w:pPr>
              <w:widowControl/>
              <w:autoSpaceDE/>
              <w:autoSpaceDN/>
              <w:adjustRightInd/>
              <w:jc w:val="center"/>
              <w:rPr>
                <w:color w:val="000000"/>
                <w:szCs w:val="20"/>
              </w:rPr>
            </w:pPr>
            <w:r>
              <w:rPr>
                <w:color w:val="000000"/>
                <w:szCs w:val="20"/>
              </w:rPr>
              <w:t>11</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6193C18A" w14:textId="553D9EED">
            <w:pPr>
              <w:widowControl/>
              <w:autoSpaceDE/>
              <w:autoSpaceDN/>
              <w:adjustRightInd/>
              <w:rPr>
                <w:color w:val="000000"/>
                <w:szCs w:val="20"/>
              </w:rPr>
            </w:pPr>
            <w:r w:rsidRPr="00DA22C6">
              <w:rPr>
                <w:color w:val="000000"/>
                <w:szCs w:val="20"/>
              </w:rPr>
              <w:t>OPOs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7C74B8AD" w14:textId="77777777">
            <w:pPr>
              <w:widowControl/>
              <w:autoSpaceDE/>
              <w:autoSpaceDN/>
              <w:adjustRightInd/>
              <w:rPr>
                <w:color w:val="000000"/>
                <w:sz w:val="18"/>
                <w:szCs w:val="18"/>
              </w:rPr>
            </w:pPr>
            <w:r>
              <w:rPr>
                <w:color w:val="000000"/>
                <w:sz w:val="18"/>
                <w:szCs w:val="18"/>
              </w:rPr>
              <w:t>§ 486.360(d)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24DDB41E" w14:textId="77777777">
            <w:pPr>
              <w:widowControl/>
              <w:autoSpaceDE/>
              <w:autoSpaceDN/>
              <w:adjustRightInd/>
              <w:jc w:val="center"/>
              <w:rPr>
                <w:szCs w:val="20"/>
              </w:rPr>
            </w:pPr>
            <w:r w:rsidRPr="00DA22C6">
              <w:rPr>
                <w:szCs w:val="20"/>
              </w:rPr>
              <w:t>0</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6853B2B2" w14:textId="77777777">
            <w:pPr>
              <w:widowControl/>
              <w:autoSpaceDE/>
              <w:autoSpaceDN/>
              <w:adjustRightInd/>
              <w:jc w:val="center"/>
              <w:rPr>
                <w:color w:val="000000"/>
                <w:szCs w:val="20"/>
              </w:rPr>
            </w:pPr>
            <w:r w:rsidRPr="00DA22C6">
              <w:rPr>
                <w:color w:val="000000"/>
                <w:szCs w:val="20"/>
              </w:rPr>
              <w:t>0</w:t>
            </w:r>
          </w:p>
        </w:tc>
        <w:tc>
          <w:tcPr>
            <w:tcW w:w="1080" w:type="dxa"/>
            <w:tcBorders>
              <w:top w:val="nil"/>
              <w:left w:val="nil"/>
              <w:bottom w:val="single" w:sz="4" w:space="0" w:color="auto"/>
              <w:right w:val="single" w:sz="4" w:space="0" w:color="auto"/>
            </w:tcBorders>
            <w:vAlign w:val="bottom"/>
            <w:hideMark/>
          </w:tcPr>
          <w:p w:rsidR="001F4FCE" w:rsidRPr="00DA22C6" w:rsidP="001F4FCE" w14:paraId="6DFB41A9" w14:textId="115CD794">
            <w:pPr>
              <w:widowControl/>
              <w:autoSpaceDE/>
              <w:autoSpaceDN/>
              <w:adjustRightInd/>
              <w:jc w:val="center"/>
              <w:rPr>
                <w:color w:val="000000"/>
                <w:szCs w:val="20"/>
              </w:rPr>
            </w:pPr>
            <w:r w:rsidRPr="00DA22C6">
              <w:rPr>
                <w:color w:val="000000"/>
                <w:szCs w:val="20"/>
              </w:rPr>
              <w:t>40</w:t>
            </w:r>
          </w:p>
        </w:tc>
        <w:tc>
          <w:tcPr>
            <w:tcW w:w="900" w:type="dxa"/>
            <w:tcBorders>
              <w:top w:val="nil"/>
              <w:left w:val="nil"/>
              <w:bottom w:val="single" w:sz="4" w:space="0" w:color="auto"/>
              <w:right w:val="single" w:sz="4" w:space="0" w:color="auto"/>
            </w:tcBorders>
            <w:noWrap/>
            <w:vAlign w:val="bottom"/>
            <w:hideMark/>
          </w:tcPr>
          <w:p w:rsidR="001F4FCE" w:rsidRPr="00DA22C6" w:rsidP="001F4FCE" w14:paraId="5B12D8EB" w14:textId="77777777">
            <w:pPr>
              <w:widowControl/>
              <w:autoSpaceDE/>
              <w:autoSpaceDN/>
              <w:adjustRightInd/>
              <w:jc w:val="center"/>
              <w:rPr>
                <w:color w:val="000000"/>
                <w:szCs w:val="20"/>
              </w:rPr>
            </w:pPr>
            <w:r w:rsidRPr="00DA22C6">
              <w:rPr>
                <w:color w:val="000000"/>
                <w:szCs w:val="20"/>
              </w:rPr>
              <w:t>0</w:t>
            </w:r>
          </w:p>
        </w:tc>
        <w:tc>
          <w:tcPr>
            <w:tcW w:w="900" w:type="dxa"/>
            <w:tcBorders>
              <w:top w:val="nil"/>
              <w:left w:val="nil"/>
              <w:bottom w:val="single" w:sz="4" w:space="0" w:color="auto"/>
              <w:right w:val="single" w:sz="4" w:space="0" w:color="auto"/>
            </w:tcBorders>
            <w:noWrap/>
            <w:vAlign w:val="center"/>
            <w:hideMark/>
          </w:tcPr>
          <w:p w:rsidR="001F4FCE" w:rsidRPr="00DA22C6" w:rsidP="001F4FCE" w14:paraId="7D189831"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3393946D" w14:textId="77777777">
            <w:pPr>
              <w:widowControl/>
              <w:autoSpaceDE/>
              <w:autoSpaceDN/>
              <w:adjustRightInd/>
              <w:jc w:val="right"/>
              <w:rPr>
                <w:color w:val="000000"/>
                <w:szCs w:val="20"/>
              </w:rPr>
            </w:pPr>
            <w:r w:rsidRPr="00DA22C6">
              <w:rPr>
                <w:color w:val="000000"/>
                <w:szCs w:val="20"/>
              </w:rPr>
              <w:t>$0</w:t>
            </w:r>
          </w:p>
        </w:tc>
      </w:tr>
      <w:tr w14:paraId="7AA3123C"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P="001F4FCE" w14:paraId="66CB1C6C" w14:textId="2FCCB036">
            <w:pPr>
              <w:widowControl/>
              <w:autoSpaceDE/>
              <w:autoSpaceDN/>
              <w:adjustRightInd/>
              <w:jc w:val="center"/>
              <w:rPr>
                <w:color w:val="000000"/>
                <w:szCs w:val="20"/>
              </w:rPr>
            </w:pPr>
            <w:r>
              <w:rPr>
                <w:szCs w:val="20"/>
              </w:rPr>
              <w:t>12</w:t>
            </w:r>
          </w:p>
        </w:tc>
        <w:tc>
          <w:tcPr>
            <w:tcW w:w="2340" w:type="dxa"/>
            <w:tcBorders>
              <w:top w:val="single" w:sz="4" w:space="0" w:color="auto"/>
              <w:left w:val="single" w:sz="4" w:space="0" w:color="auto"/>
              <w:bottom w:val="single" w:sz="4" w:space="0" w:color="auto"/>
              <w:right w:val="nil"/>
            </w:tcBorders>
            <w:vAlign w:val="bottom"/>
          </w:tcPr>
          <w:p w:rsidR="001F4FCE" w:rsidRPr="00DA22C6" w:rsidP="001F4FCE" w14:paraId="7B7D210D" w14:textId="7804AF6F">
            <w:pPr>
              <w:widowControl/>
              <w:autoSpaceDE/>
              <w:autoSpaceDN/>
              <w:adjustRightInd/>
              <w:rPr>
                <w:color w:val="000000"/>
                <w:szCs w:val="20"/>
              </w:rPr>
            </w:pPr>
            <w:r>
              <w:rPr>
                <w:color w:val="000000"/>
                <w:szCs w:val="20"/>
              </w:rPr>
              <w:t>“Organizations”</w:t>
            </w:r>
          </w:p>
        </w:tc>
        <w:tc>
          <w:tcPr>
            <w:tcW w:w="1170" w:type="dxa"/>
            <w:tcBorders>
              <w:top w:val="nil"/>
              <w:left w:val="single" w:sz="4" w:space="0" w:color="auto"/>
              <w:bottom w:val="single" w:sz="4" w:space="0" w:color="auto"/>
              <w:right w:val="single" w:sz="4" w:space="0" w:color="auto"/>
            </w:tcBorders>
            <w:noWrap/>
            <w:vAlign w:val="bottom"/>
          </w:tcPr>
          <w:p w:rsidR="001F4FCE" w:rsidP="001F4FCE" w14:paraId="0A69F7A5" w14:textId="3624A357">
            <w:pPr>
              <w:widowControl/>
              <w:autoSpaceDE/>
              <w:autoSpaceDN/>
              <w:adjustRightInd/>
              <w:rPr>
                <w:color w:val="000000"/>
                <w:sz w:val="18"/>
                <w:szCs w:val="18"/>
              </w:rPr>
            </w:pPr>
            <w:r>
              <w:rPr>
                <w:color w:val="000000"/>
                <w:sz w:val="18"/>
                <w:szCs w:val="18"/>
              </w:rPr>
              <w:t>§ 485.727(d)</w:t>
            </w:r>
          </w:p>
        </w:tc>
        <w:tc>
          <w:tcPr>
            <w:tcW w:w="1080" w:type="dxa"/>
            <w:tcBorders>
              <w:top w:val="nil"/>
              <w:left w:val="nil"/>
              <w:bottom w:val="single" w:sz="4" w:space="0" w:color="auto"/>
              <w:right w:val="single" w:sz="4" w:space="0" w:color="auto"/>
            </w:tcBorders>
            <w:noWrap/>
            <w:vAlign w:val="bottom"/>
          </w:tcPr>
          <w:p w:rsidR="001F4FCE" w:rsidRPr="00DA22C6" w:rsidP="001F4FCE" w14:paraId="1E4E3B9A" w14:textId="369B199F">
            <w:pPr>
              <w:widowControl/>
              <w:autoSpaceDE/>
              <w:autoSpaceDN/>
              <w:adjustRightInd/>
              <w:jc w:val="center"/>
              <w:rPr>
                <w:szCs w:val="20"/>
              </w:rPr>
            </w:pPr>
            <w:r w:rsidRPr="00DA22C6">
              <w:rPr>
                <w:szCs w:val="20"/>
              </w:rPr>
              <w:t>60</w:t>
            </w:r>
          </w:p>
        </w:tc>
        <w:tc>
          <w:tcPr>
            <w:tcW w:w="1170" w:type="dxa"/>
            <w:tcBorders>
              <w:top w:val="nil"/>
              <w:left w:val="nil"/>
              <w:bottom w:val="single" w:sz="4" w:space="0" w:color="auto"/>
              <w:right w:val="single" w:sz="4" w:space="0" w:color="auto"/>
            </w:tcBorders>
            <w:noWrap/>
            <w:vAlign w:val="bottom"/>
          </w:tcPr>
          <w:p w:rsidR="001F4FCE" w:rsidRPr="00DA22C6" w:rsidP="001F4FCE" w14:paraId="3A514170" w14:textId="7732BA81">
            <w:pPr>
              <w:widowControl/>
              <w:autoSpaceDE/>
              <w:autoSpaceDN/>
              <w:adjustRightInd/>
              <w:jc w:val="center"/>
              <w:rPr>
                <w:color w:val="000000"/>
                <w:szCs w:val="20"/>
              </w:rPr>
            </w:pPr>
            <w:r w:rsidRPr="00DA22C6">
              <w:rPr>
                <w:color w:val="000000"/>
                <w:szCs w:val="20"/>
              </w:rPr>
              <w:t>60</w:t>
            </w:r>
          </w:p>
        </w:tc>
        <w:tc>
          <w:tcPr>
            <w:tcW w:w="1080" w:type="dxa"/>
            <w:tcBorders>
              <w:top w:val="nil"/>
              <w:left w:val="nil"/>
              <w:bottom w:val="single" w:sz="4" w:space="0" w:color="auto"/>
              <w:right w:val="single" w:sz="4" w:space="0" w:color="auto"/>
            </w:tcBorders>
            <w:vAlign w:val="bottom"/>
          </w:tcPr>
          <w:p w:rsidR="001F4FCE" w:rsidRPr="00DA22C6" w:rsidP="001F4FCE" w14:paraId="5A482BE5" w14:textId="7029ED95">
            <w:pPr>
              <w:widowControl/>
              <w:autoSpaceDE/>
              <w:autoSpaceDN/>
              <w:adjustRightInd/>
              <w:jc w:val="center"/>
              <w:rPr>
                <w:color w:val="000000"/>
                <w:szCs w:val="20"/>
              </w:rPr>
            </w:pPr>
            <w:r w:rsidRPr="00DA22C6">
              <w:rPr>
                <w:color w:val="000000"/>
                <w:szCs w:val="20"/>
              </w:rPr>
              <w:t>8</w:t>
            </w:r>
          </w:p>
        </w:tc>
        <w:tc>
          <w:tcPr>
            <w:tcW w:w="900" w:type="dxa"/>
            <w:tcBorders>
              <w:top w:val="nil"/>
              <w:left w:val="nil"/>
              <w:bottom w:val="single" w:sz="4" w:space="0" w:color="auto"/>
              <w:right w:val="single" w:sz="4" w:space="0" w:color="auto"/>
            </w:tcBorders>
            <w:noWrap/>
            <w:vAlign w:val="bottom"/>
          </w:tcPr>
          <w:p w:rsidR="001F4FCE" w:rsidRPr="00DA22C6" w:rsidP="001F4FCE" w14:paraId="1DC8D19A" w14:textId="138C5DC0">
            <w:pPr>
              <w:widowControl/>
              <w:autoSpaceDE/>
              <w:autoSpaceDN/>
              <w:adjustRightInd/>
              <w:jc w:val="center"/>
              <w:rPr>
                <w:color w:val="000000"/>
                <w:szCs w:val="20"/>
              </w:rPr>
            </w:pPr>
            <w:r w:rsidRPr="00DA22C6">
              <w:rPr>
                <w:color w:val="000000"/>
                <w:szCs w:val="20"/>
              </w:rPr>
              <w:t>480</w:t>
            </w:r>
          </w:p>
        </w:tc>
        <w:tc>
          <w:tcPr>
            <w:tcW w:w="900" w:type="dxa"/>
            <w:tcBorders>
              <w:top w:val="nil"/>
              <w:left w:val="nil"/>
              <w:bottom w:val="single" w:sz="4" w:space="0" w:color="auto"/>
              <w:right w:val="single" w:sz="4" w:space="0" w:color="auto"/>
            </w:tcBorders>
            <w:noWrap/>
            <w:vAlign w:val="center"/>
          </w:tcPr>
          <w:p w:rsidR="001F4FCE" w:rsidRPr="00472037" w:rsidP="001F4FCE" w14:paraId="3C1DB984" w14:textId="0AF5428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tcPr>
          <w:p w:rsidR="001F4FCE" w:rsidRPr="00DA22C6" w:rsidP="001F4FCE" w14:paraId="5B62DC1C" w14:textId="7E05FC39">
            <w:pPr>
              <w:widowControl/>
              <w:autoSpaceDE/>
              <w:autoSpaceDN/>
              <w:adjustRightInd/>
              <w:jc w:val="right"/>
              <w:rPr>
                <w:color w:val="000000"/>
                <w:szCs w:val="20"/>
              </w:rPr>
            </w:pPr>
            <w:r w:rsidRPr="00DA22C6">
              <w:rPr>
                <w:color w:val="000000"/>
                <w:szCs w:val="20"/>
              </w:rPr>
              <w:t>$154,080</w:t>
            </w:r>
          </w:p>
        </w:tc>
      </w:tr>
      <w:tr w14:paraId="1DFF6A90"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567AAD7F" w14:textId="5A90D0BF">
            <w:pPr>
              <w:widowControl/>
              <w:autoSpaceDE/>
              <w:autoSpaceDN/>
              <w:adjustRightInd/>
              <w:jc w:val="center"/>
              <w:rPr>
                <w:color w:val="000000"/>
                <w:szCs w:val="20"/>
              </w:rPr>
            </w:pPr>
            <w:r>
              <w:rPr>
                <w:color w:val="000000"/>
                <w:szCs w:val="20"/>
              </w:rPr>
              <w:t>13</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260081F4" w14:textId="190E590B">
            <w:pPr>
              <w:widowControl/>
              <w:autoSpaceDE/>
              <w:autoSpaceDN/>
              <w:adjustRightInd/>
              <w:rPr>
                <w:color w:val="000000"/>
                <w:szCs w:val="20"/>
              </w:rPr>
            </w:pPr>
            <w:r w:rsidRPr="00DA22C6">
              <w:rPr>
                <w:color w:val="000000"/>
                <w:szCs w:val="20"/>
              </w:rPr>
              <w:t xml:space="preserve">PACE </w:t>
            </w:r>
            <w:r>
              <w:rPr>
                <w:color w:val="000000"/>
                <w:szCs w:val="20"/>
              </w:rPr>
              <w:t>O</w:t>
            </w:r>
            <w:r w:rsidRPr="00DA22C6">
              <w:rPr>
                <w:color w:val="000000"/>
                <w:szCs w:val="20"/>
              </w:rPr>
              <w:t>rganizations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7C86235C" w14:textId="77777777">
            <w:pPr>
              <w:widowControl/>
              <w:autoSpaceDE/>
              <w:autoSpaceDN/>
              <w:adjustRightInd/>
              <w:rPr>
                <w:color w:val="000000"/>
                <w:sz w:val="18"/>
                <w:szCs w:val="18"/>
              </w:rPr>
            </w:pPr>
            <w:r>
              <w:rPr>
                <w:color w:val="000000"/>
                <w:sz w:val="18"/>
                <w:szCs w:val="18"/>
              </w:rPr>
              <w:t>§ 460.84(d)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410789B1" w14:textId="77777777">
            <w:pPr>
              <w:widowControl/>
              <w:autoSpaceDE/>
              <w:autoSpaceDN/>
              <w:adjustRightInd/>
              <w:jc w:val="center"/>
              <w:rPr>
                <w:szCs w:val="20"/>
              </w:rPr>
            </w:pPr>
            <w:r w:rsidRPr="00DA22C6">
              <w:rPr>
                <w:szCs w:val="20"/>
              </w:rPr>
              <w:t>1</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593A1C26" w14:textId="77777777">
            <w:pPr>
              <w:widowControl/>
              <w:autoSpaceDE/>
              <w:autoSpaceDN/>
              <w:adjustRightInd/>
              <w:jc w:val="center"/>
              <w:rPr>
                <w:color w:val="000000"/>
                <w:szCs w:val="20"/>
              </w:rPr>
            </w:pPr>
            <w:r w:rsidRPr="00DA22C6">
              <w:rPr>
                <w:color w:val="000000"/>
                <w:szCs w:val="20"/>
              </w:rPr>
              <w:t>1</w:t>
            </w:r>
          </w:p>
        </w:tc>
        <w:tc>
          <w:tcPr>
            <w:tcW w:w="1080" w:type="dxa"/>
            <w:tcBorders>
              <w:top w:val="nil"/>
              <w:left w:val="nil"/>
              <w:bottom w:val="single" w:sz="4" w:space="0" w:color="auto"/>
              <w:right w:val="single" w:sz="4" w:space="0" w:color="auto"/>
            </w:tcBorders>
            <w:vAlign w:val="bottom"/>
            <w:hideMark/>
          </w:tcPr>
          <w:p w:rsidR="001F4FCE" w:rsidRPr="00DA22C6" w:rsidP="001F4FCE" w14:paraId="2556B745" w14:textId="33F7AAB7">
            <w:pPr>
              <w:widowControl/>
              <w:autoSpaceDE/>
              <w:autoSpaceDN/>
              <w:adjustRightInd/>
              <w:jc w:val="center"/>
              <w:rPr>
                <w:color w:val="000000"/>
                <w:szCs w:val="20"/>
              </w:rPr>
            </w:pPr>
            <w:r w:rsidRPr="00DA22C6">
              <w:rPr>
                <w:color w:val="000000"/>
                <w:szCs w:val="20"/>
              </w:rPr>
              <w:t>12</w:t>
            </w:r>
          </w:p>
        </w:tc>
        <w:tc>
          <w:tcPr>
            <w:tcW w:w="900" w:type="dxa"/>
            <w:tcBorders>
              <w:top w:val="nil"/>
              <w:left w:val="nil"/>
              <w:bottom w:val="single" w:sz="4" w:space="0" w:color="auto"/>
              <w:right w:val="single" w:sz="4" w:space="0" w:color="auto"/>
            </w:tcBorders>
            <w:noWrap/>
            <w:vAlign w:val="bottom"/>
            <w:hideMark/>
          </w:tcPr>
          <w:p w:rsidR="001F4FCE" w:rsidRPr="00DA22C6" w:rsidP="001F4FCE" w14:paraId="0AC1A743" w14:textId="77777777">
            <w:pPr>
              <w:widowControl/>
              <w:autoSpaceDE/>
              <w:autoSpaceDN/>
              <w:adjustRightInd/>
              <w:jc w:val="center"/>
              <w:rPr>
                <w:color w:val="000000"/>
                <w:szCs w:val="20"/>
              </w:rPr>
            </w:pPr>
            <w:r w:rsidRPr="00DA22C6">
              <w:rPr>
                <w:color w:val="000000"/>
                <w:szCs w:val="20"/>
              </w:rPr>
              <w:t>12</w:t>
            </w:r>
          </w:p>
        </w:tc>
        <w:tc>
          <w:tcPr>
            <w:tcW w:w="900" w:type="dxa"/>
            <w:tcBorders>
              <w:top w:val="nil"/>
              <w:left w:val="nil"/>
              <w:bottom w:val="single" w:sz="4" w:space="0" w:color="auto"/>
              <w:right w:val="single" w:sz="4" w:space="0" w:color="auto"/>
            </w:tcBorders>
            <w:noWrap/>
            <w:vAlign w:val="center"/>
            <w:hideMark/>
          </w:tcPr>
          <w:p w:rsidR="001F4FCE" w:rsidRPr="00DA22C6" w:rsidP="001F4FCE" w14:paraId="423A7CF9" w14:textId="77777777">
            <w:pPr>
              <w:widowControl/>
              <w:autoSpaceDE/>
              <w:autoSpaceDN/>
              <w:adjustRightInd/>
              <w:jc w:val="center"/>
              <w:rPr>
                <w:color w:val="000000"/>
                <w:szCs w:val="20"/>
              </w:rPr>
            </w:pPr>
            <w:r w:rsidRPr="00472037">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58D928CF" w14:textId="77777777">
            <w:pPr>
              <w:widowControl/>
              <w:autoSpaceDE/>
              <w:autoSpaceDN/>
              <w:adjustRightInd/>
              <w:jc w:val="right"/>
              <w:rPr>
                <w:color w:val="000000"/>
                <w:szCs w:val="20"/>
              </w:rPr>
            </w:pPr>
            <w:r w:rsidRPr="00DA22C6">
              <w:rPr>
                <w:color w:val="000000"/>
                <w:szCs w:val="20"/>
              </w:rPr>
              <w:t>$3,852</w:t>
            </w:r>
          </w:p>
        </w:tc>
      </w:tr>
      <w:tr w14:paraId="0DD81DD9" w14:textId="77777777" w:rsidTr="00577E9B">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3EAA7E4D" w14:textId="00A51405">
            <w:pPr>
              <w:widowControl/>
              <w:autoSpaceDE/>
              <w:autoSpaceDN/>
              <w:adjustRightInd/>
              <w:jc w:val="center"/>
              <w:rPr>
                <w:color w:val="000000"/>
                <w:szCs w:val="20"/>
              </w:rPr>
            </w:pPr>
            <w:r>
              <w:rPr>
                <w:color w:val="000000"/>
                <w:szCs w:val="20"/>
              </w:rPr>
              <w:t>14</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6AA7D639" w14:textId="3B5ECB50">
            <w:pPr>
              <w:widowControl/>
              <w:autoSpaceDE/>
              <w:autoSpaceDN/>
              <w:adjustRightInd/>
              <w:rPr>
                <w:color w:val="000000"/>
                <w:szCs w:val="20"/>
              </w:rPr>
            </w:pPr>
            <w:r w:rsidRPr="00DA22C6">
              <w:rPr>
                <w:color w:val="000000"/>
                <w:szCs w:val="20"/>
              </w:rPr>
              <w:t>PRTFs</w:t>
            </w:r>
          </w:p>
        </w:tc>
        <w:tc>
          <w:tcPr>
            <w:tcW w:w="1170" w:type="dxa"/>
            <w:tcBorders>
              <w:top w:val="nil"/>
              <w:left w:val="single" w:sz="4" w:space="0" w:color="auto"/>
              <w:bottom w:val="single" w:sz="4" w:space="0" w:color="auto"/>
              <w:right w:val="single" w:sz="4" w:space="0" w:color="auto"/>
            </w:tcBorders>
            <w:noWrap/>
            <w:vAlign w:val="bottom"/>
            <w:hideMark/>
          </w:tcPr>
          <w:p w:rsidR="001F4FCE" w:rsidRPr="00DA22C6" w:rsidP="001F4FCE" w14:paraId="43D24696" w14:textId="77777777">
            <w:pPr>
              <w:widowControl/>
              <w:autoSpaceDE/>
              <w:autoSpaceDN/>
              <w:adjustRightInd/>
              <w:jc w:val="both"/>
              <w:rPr>
                <w:color w:val="000000"/>
                <w:sz w:val="18"/>
                <w:szCs w:val="18"/>
              </w:rPr>
            </w:pPr>
            <w:r w:rsidRPr="00530E98">
              <w:rPr>
                <w:color w:val="000000"/>
                <w:sz w:val="18"/>
                <w:szCs w:val="18"/>
              </w:rPr>
              <w:t>§ 441.184(d)</w:t>
            </w:r>
          </w:p>
        </w:tc>
        <w:tc>
          <w:tcPr>
            <w:tcW w:w="1080" w:type="dxa"/>
            <w:tcBorders>
              <w:top w:val="nil"/>
              <w:left w:val="nil"/>
              <w:bottom w:val="single" w:sz="4" w:space="0" w:color="auto"/>
              <w:right w:val="single" w:sz="4" w:space="0" w:color="auto"/>
            </w:tcBorders>
            <w:noWrap/>
            <w:vAlign w:val="bottom"/>
            <w:hideMark/>
          </w:tcPr>
          <w:p w:rsidR="001F4FCE" w:rsidRPr="00DA22C6" w:rsidP="001F4FCE" w14:paraId="74EAC853" w14:textId="77777777">
            <w:pPr>
              <w:widowControl/>
              <w:autoSpaceDE/>
              <w:autoSpaceDN/>
              <w:adjustRightInd/>
              <w:jc w:val="center"/>
              <w:rPr>
                <w:szCs w:val="20"/>
              </w:rPr>
            </w:pPr>
            <w:r w:rsidRPr="00DA22C6">
              <w:rPr>
                <w:szCs w:val="20"/>
              </w:rPr>
              <w:t>9</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6E13FE34" w14:textId="77777777">
            <w:pPr>
              <w:widowControl/>
              <w:autoSpaceDE/>
              <w:autoSpaceDN/>
              <w:adjustRightInd/>
              <w:jc w:val="center"/>
              <w:rPr>
                <w:color w:val="000000"/>
                <w:szCs w:val="20"/>
              </w:rPr>
            </w:pPr>
            <w:r w:rsidRPr="00DA22C6">
              <w:rPr>
                <w:color w:val="000000"/>
                <w:szCs w:val="20"/>
              </w:rPr>
              <w:t>9</w:t>
            </w:r>
          </w:p>
        </w:tc>
        <w:tc>
          <w:tcPr>
            <w:tcW w:w="1080" w:type="dxa"/>
            <w:tcBorders>
              <w:top w:val="nil"/>
              <w:left w:val="nil"/>
              <w:bottom w:val="single" w:sz="4" w:space="0" w:color="auto"/>
              <w:right w:val="single" w:sz="4" w:space="0" w:color="auto"/>
            </w:tcBorders>
            <w:vAlign w:val="bottom"/>
            <w:hideMark/>
          </w:tcPr>
          <w:p w:rsidR="001F4FCE" w:rsidRPr="00DA22C6" w:rsidP="001F4FCE" w14:paraId="100BFA05" w14:textId="4108A4D4">
            <w:pPr>
              <w:widowControl/>
              <w:autoSpaceDE/>
              <w:autoSpaceDN/>
              <w:adjustRightInd/>
              <w:jc w:val="center"/>
              <w:rPr>
                <w:color w:val="000000"/>
                <w:szCs w:val="20"/>
              </w:rPr>
            </w:pPr>
            <w:r w:rsidRPr="00DA22C6">
              <w:rPr>
                <w:color w:val="000000"/>
                <w:szCs w:val="20"/>
              </w:rPr>
              <w:t>10</w:t>
            </w:r>
          </w:p>
        </w:tc>
        <w:tc>
          <w:tcPr>
            <w:tcW w:w="900" w:type="dxa"/>
            <w:tcBorders>
              <w:top w:val="nil"/>
              <w:left w:val="nil"/>
              <w:bottom w:val="single" w:sz="4" w:space="0" w:color="auto"/>
              <w:right w:val="single" w:sz="4" w:space="0" w:color="auto"/>
            </w:tcBorders>
            <w:noWrap/>
            <w:vAlign w:val="bottom"/>
            <w:hideMark/>
          </w:tcPr>
          <w:p w:rsidR="001F4FCE" w:rsidRPr="00DA22C6" w:rsidP="001F4FCE" w14:paraId="36833F4C" w14:textId="77777777">
            <w:pPr>
              <w:widowControl/>
              <w:autoSpaceDE/>
              <w:autoSpaceDN/>
              <w:adjustRightInd/>
              <w:jc w:val="center"/>
              <w:rPr>
                <w:color w:val="000000"/>
                <w:szCs w:val="20"/>
              </w:rPr>
            </w:pPr>
            <w:r w:rsidRPr="00DA22C6">
              <w:rPr>
                <w:color w:val="000000"/>
                <w:szCs w:val="20"/>
              </w:rPr>
              <w:t>90</w:t>
            </w:r>
          </w:p>
        </w:tc>
        <w:tc>
          <w:tcPr>
            <w:tcW w:w="900" w:type="dxa"/>
            <w:tcBorders>
              <w:top w:val="nil"/>
              <w:left w:val="nil"/>
              <w:bottom w:val="single" w:sz="4" w:space="0" w:color="auto"/>
              <w:right w:val="single" w:sz="4" w:space="0" w:color="auto"/>
            </w:tcBorders>
            <w:noWrap/>
            <w:vAlign w:val="center"/>
            <w:hideMark/>
          </w:tcPr>
          <w:p w:rsidR="001F4FCE" w:rsidRPr="00DA22C6" w:rsidP="001F4FCE" w14:paraId="64202A43" w14:textId="77777777">
            <w:pPr>
              <w:widowControl/>
              <w:autoSpaceDE/>
              <w:autoSpaceDN/>
              <w:adjustRightInd/>
              <w:jc w:val="center"/>
              <w:rPr>
                <w:color w:val="000000"/>
                <w:szCs w:val="20"/>
              </w:rPr>
            </w:pPr>
            <w:r w:rsidRPr="00E824E1">
              <w:rPr>
                <w:color w:val="000000"/>
                <w:szCs w:val="20"/>
              </w:rPr>
              <w:t>**</w:t>
            </w:r>
          </w:p>
        </w:tc>
        <w:tc>
          <w:tcPr>
            <w:tcW w:w="1170" w:type="dxa"/>
            <w:tcBorders>
              <w:top w:val="nil"/>
              <w:left w:val="nil"/>
              <w:bottom w:val="single" w:sz="4" w:space="0" w:color="auto"/>
              <w:right w:val="single" w:sz="4" w:space="0" w:color="auto"/>
            </w:tcBorders>
            <w:noWrap/>
            <w:vAlign w:val="bottom"/>
            <w:hideMark/>
          </w:tcPr>
          <w:p w:rsidR="001F4FCE" w:rsidRPr="00DA22C6" w:rsidP="001F4FCE" w14:paraId="41023C82" w14:textId="77777777">
            <w:pPr>
              <w:widowControl/>
              <w:autoSpaceDE/>
              <w:autoSpaceDN/>
              <w:adjustRightInd/>
              <w:jc w:val="right"/>
              <w:rPr>
                <w:color w:val="000000"/>
                <w:szCs w:val="20"/>
              </w:rPr>
            </w:pPr>
            <w:r w:rsidRPr="00DA22C6">
              <w:rPr>
                <w:color w:val="000000"/>
                <w:szCs w:val="20"/>
              </w:rPr>
              <w:t>$28,890</w:t>
            </w:r>
          </w:p>
        </w:tc>
      </w:tr>
      <w:tr w14:paraId="02FCFCE3" w14:textId="77777777" w:rsidTr="00F03863">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nil"/>
            </w:tcBorders>
            <w:vAlign w:val="center"/>
          </w:tcPr>
          <w:p w:rsidR="001F4FCE" w:rsidRPr="00DA22C6" w:rsidP="001F4FCE" w14:paraId="24247EB0" w14:textId="57FDB51E">
            <w:pPr>
              <w:widowControl/>
              <w:autoSpaceDE/>
              <w:autoSpaceDN/>
              <w:adjustRightInd/>
              <w:jc w:val="center"/>
              <w:rPr>
                <w:color w:val="000000"/>
                <w:szCs w:val="20"/>
              </w:rPr>
            </w:pPr>
            <w:r>
              <w:rPr>
                <w:color w:val="000000"/>
                <w:szCs w:val="20"/>
              </w:rPr>
              <w:t>15</w:t>
            </w:r>
          </w:p>
        </w:tc>
        <w:tc>
          <w:tcPr>
            <w:tcW w:w="2340" w:type="dxa"/>
            <w:tcBorders>
              <w:top w:val="single" w:sz="4" w:space="0" w:color="auto"/>
              <w:left w:val="single" w:sz="4" w:space="0" w:color="auto"/>
              <w:bottom w:val="single" w:sz="4" w:space="0" w:color="auto"/>
              <w:right w:val="nil"/>
            </w:tcBorders>
            <w:vAlign w:val="bottom"/>
            <w:hideMark/>
          </w:tcPr>
          <w:p w:rsidR="001F4FCE" w:rsidRPr="00DA22C6" w:rsidP="001F4FCE" w14:paraId="65240A9E" w14:textId="2DBC1954">
            <w:pPr>
              <w:widowControl/>
              <w:autoSpaceDE/>
              <w:autoSpaceDN/>
              <w:adjustRightInd/>
              <w:rPr>
                <w:color w:val="000000"/>
                <w:szCs w:val="20"/>
              </w:rPr>
            </w:pPr>
            <w:r w:rsidRPr="00DA22C6">
              <w:rPr>
                <w:color w:val="000000"/>
                <w:szCs w:val="20"/>
              </w:rPr>
              <w:t>REHs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32B84509" w14:textId="77777777">
            <w:pPr>
              <w:widowControl/>
              <w:autoSpaceDE/>
              <w:autoSpaceDN/>
              <w:adjustRightInd/>
              <w:rPr>
                <w:color w:val="000000"/>
                <w:sz w:val="18"/>
                <w:szCs w:val="18"/>
              </w:rPr>
            </w:pPr>
            <w:r>
              <w:rPr>
                <w:color w:val="000000"/>
                <w:sz w:val="18"/>
                <w:szCs w:val="18"/>
              </w:rPr>
              <w:t>§ 485.542(d)</w:t>
            </w:r>
          </w:p>
        </w:tc>
        <w:tc>
          <w:tcPr>
            <w:tcW w:w="1080" w:type="dxa"/>
            <w:tcBorders>
              <w:top w:val="single" w:sz="4" w:space="0" w:color="auto"/>
              <w:left w:val="nil"/>
              <w:bottom w:val="single" w:sz="4" w:space="0" w:color="auto"/>
              <w:right w:val="single" w:sz="4" w:space="0" w:color="auto"/>
            </w:tcBorders>
            <w:noWrap/>
            <w:vAlign w:val="bottom"/>
            <w:hideMark/>
          </w:tcPr>
          <w:p w:rsidR="001F4FCE" w:rsidRPr="00DA22C6" w:rsidP="001F4FCE" w14:paraId="623D4ADA" w14:textId="77777777">
            <w:pPr>
              <w:widowControl/>
              <w:autoSpaceDE/>
              <w:autoSpaceDN/>
              <w:adjustRightInd/>
              <w:jc w:val="center"/>
              <w:rPr>
                <w:szCs w:val="20"/>
              </w:rPr>
            </w:pPr>
            <w:r w:rsidRPr="00DA22C6">
              <w:rPr>
                <w:szCs w:val="20"/>
              </w:rPr>
              <w:t>19</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646D6C34" w14:textId="77777777">
            <w:pPr>
              <w:widowControl/>
              <w:autoSpaceDE/>
              <w:autoSpaceDN/>
              <w:adjustRightInd/>
              <w:jc w:val="center"/>
              <w:rPr>
                <w:color w:val="000000"/>
                <w:szCs w:val="20"/>
              </w:rPr>
            </w:pPr>
            <w:r w:rsidRPr="00DA22C6">
              <w:rPr>
                <w:color w:val="000000"/>
                <w:szCs w:val="20"/>
              </w:rPr>
              <w:t>19</w:t>
            </w:r>
          </w:p>
        </w:tc>
        <w:tc>
          <w:tcPr>
            <w:tcW w:w="1080" w:type="dxa"/>
            <w:tcBorders>
              <w:top w:val="single" w:sz="4" w:space="0" w:color="auto"/>
              <w:left w:val="nil"/>
              <w:bottom w:val="single" w:sz="4" w:space="0" w:color="auto"/>
              <w:right w:val="single" w:sz="4" w:space="0" w:color="auto"/>
            </w:tcBorders>
            <w:vAlign w:val="bottom"/>
            <w:hideMark/>
          </w:tcPr>
          <w:p w:rsidR="001F4FCE" w:rsidRPr="00DA22C6" w:rsidP="001F4FCE" w14:paraId="54DCED04" w14:textId="49338976">
            <w:pPr>
              <w:widowControl/>
              <w:autoSpaceDE/>
              <w:autoSpaceDN/>
              <w:adjustRightInd/>
              <w:jc w:val="center"/>
              <w:rPr>
                <w:color w:val="000000"/>
                <w:szCs w:val="20"/>
              </w:rPr>
            </w:pPr>
            <w:r w:rsidRPr="00DA22C6">
              <w:rPr>
                <w:color w:val="000000"/>
                <w:szCs w:val="20"/>
              </w:rPr>
              <w:t>14</w:t>
            </w:r>
          </w:p>
        </w:tc>
        <w:tc>
          <w:tcPr>
            <w:tcW w:w="900" w:type="dxa"/>
            <w:tcBorders>
              <w:top w:val="single" w:sz="4" w:space="0" w:color="auto"/>
              <w:left w:val="nil"/>
              <w:bottom w:val="single" w:sz="4" w:space="0" w:color="auto"/>
              <w:right w:val="single" w:sz="4" w:space="0" w:color="auto"/>
            </w:tcBorders>
            <w:noWrap/>
            <w:vAlign w:val="bottom"/>
            <w:hideMark/>
          </w:tcPr>
          <w:p w:rsidR="001F4FCE" w:rsidRPr="00DA22C6" w:rsidP="001F4FCE" w14:paraId="3A7DA266" w14:textId="77777777">
            <w:pPr>
              <w:widowControl/>
              <w:autoSpaceDE/>
              <w:autoSpaceDN/>
              <w:adjustRightInd/>
              <w:jc w:val="center"/>
              <w:rPr>
                <w:color w:val="000000"/>
                <w:szCs w:val="20"/>
              </w:rPr>
            </w:pPr>
            <w:r w:rsidRPr="00DA22C6">
              <w:rPr>
                <w:color w:val="000000"/>
                <w:szCs w:val="20"/>
              </w:rPr>
              <w:t>266</w:t>
            </w:r>
          </w:p>
        </w:tc>
        <w:tc>
          <w:tcPr>
            <w:tcW w:w="900" w:type="dxa"/>
            <w:tcBorders>
              <w:top w:val="single" w:sz="4" w:space="0" w:color="auto"/>
              <w:left w:val="nil"/>
              <w:bottom w:val="single" w:sz="4" w:space="0" w:color="auto"/>
              <w:right w:val="single" w:sz="4" w:space="0" w:color="auto"/>
            </w:tcBorders>
            <w:noWrap/>
            <w:vAlign w:val="center"/>
            <w:hideMark/>
          </w:tcPr>
          <w:p w:rsidR="001F4FCE" w:rsidRPr="00DA22C6" w:rsidP="001F4FCE" w14:paraId="00CBE4C5" w14:textId="77777777">
            <w:pPr>
              <w:widowControl/>
              <w:autoSpaceDE/>
              <w:autoSpaceDN/>
              <w:adjustRightInd/>
              <w:jc w:val="center"/>
              <w:rPr>
                <w:color w:val="000000"/>
                <w:szCs w:val="20"/>
              </w:rPr>
            </w:pPr>
            <w:r w:rsidRPr="00472037">
              <w:rPr>
                <w:color w:val="000000"/>
                <w:szCs w:val="20"/>
              </w:rPr>
              <w:t>**</w:t>
            </w:r>
          </w:p>
        </w:tc>
        <w:tc>
          <w:tcPr>
            <w:tcW w:w="1170" w:type="dxa"/>
            <w:tcBorders>
              <w:top w:val="single" w:sz="4" w:space="0" w:color="auto"/>
              <w:left w:val="nil"/>
              <w:bottom w:val="single" w:sz="4" w:space="0" w:color="auto"/>
              <w:right w:val="single" w:sz="4" w:space="0" w:color="auto"/>
            </w:tcBorders>
            <w:noWrap/>
            <w:vAlign w:val="bottom"/>
            <w:hideMark/>
          </w:tcPr>
          <w:p w:rsidR="001F4FCE" w:rsidRPr="00DA22C6" w:rsidP="001F4FCE" w14:paraId="29141882" w14:textId="77777777">
            <w:pPr>
              <w:widowControl/>
              <w:autoSpaceDE/>
              <w:autoSpaceDN/>
              <w:adjustRightInd/>
              <w:jc w:val="right"/>
              <w:rPr>
                <w:color w:val="000000"/>
                <w:szCs w:val="20"/>
              </w:rPr>
            </w:pPr>
            <w:r w:rsidRPr="00DA22C6">
              <w:rPr>
                <w:color w:val="000000"/>
                <w:szCs w:val="20"/>
              </w:rPr>
              <w:t>$85,386</w:t>
            </w:r>
          </w:p>
        </w:tc>
      </w:tr>
      <w:tr w14:paraId="11ABA5AF" w14:textId="77777777" w:rsidTr="00F03863">
        <w:tblPrEx>
          <w:tblW w:w="10350" w:type="dxa"/>
          <w:tblInd w:w="-280" w:type="dxa"/>
          <w:tblLayout w:type="fixed"/>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1F4FCE" w:rsidRPr="00DA22C6" w:rsidP="001F4FCE" w14:paraId="1C5FA00E" w14:textId="3B1A2DAC">
            <w:pPr>
              <w:widowControl/>
              <w:autoSpaceDE/>
              <w:autoSpaceDN/>
              <w:adjustRightInd/>
              <w:jc w:val="center"/>
              <w:rPr>
                <w:color w:val="000000"/>
                <w:szCs w:val="20"/>
              </w:rPr>
            </w:pPr>
            <w:r>
              <w:rPr>
                <w:color w:val="000000"/>
                <w:szCs w:val="20"/>
              </w:rPr>
              <w:t>16</w:t>
            </w:r>
          </w:p>
        </w:tc>
        <w:tc>
          <w:tcPr>
            <w:tcW w:w="234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468F974C" w14:textId="271CF13E">
            <w:pPr>
              <w:widowControl/>
              <w:autoSpaceDE/>
              <w:autoSpaceDN/>
              <w:adjustRightInd/>
              <w:rPr>
                <w:color w:val="000000"/>
                <w:szCs w:val="20"/>
              </w:rPr>
            </w:pPr>
            <w:r w:rsidRPr="00DA22C6">
              <w:rPr>
                <w:color w:val="000000"/>
                <w:szCs w:val="20"/>
              </w:rPr>
              <w:t>RNHCIs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0DAC0CEA" w14:textId="77777777">
            <w:pPr>
              <w:widowControl/>
              <w:autoSpaceDE/>
              <w:autoSpaceDN/>
              <w:adjustRightInd/>
              <w:jc w:val="both"/>
              <w:rPr>
                <w:color w:val="000000"/>
                <w:sz w:val="18"/>
                <w:szCs w:val="18"/>
              </w:rPr>
            </w:pPr>
            <w:r w:rsidRPr="00530E98">
              <w:rPr>
                <w:color w:val="000000"/>
                <w:sz w:val="18"/>
                <w:szCs w:val="18"/>
              </w:rPr>
              <w:t>§ 403.748(d)</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1C78195E" w14:textId="77777777">
            <w:pPr>
              <w:widowControl/>
              <w:autoSpaceDE/>
              <w:autoSpaceDN/>
              <w:adjustRightInd/>
              <w:jc w:val="center"/>
              <w:rPr>
                <w:szCs w:val="20"/>
              </w:rPr>
            </w:pPr>
            <w:r w:rsidRPr="00DA22C6">
              <w:rPr>
                <w:szCs w:val="20"/>
              </w:rPr>
              <w:t>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4671F301" w14:textId="77777777">
            <w:pPr>
              <w:widowControl/>
              <w:autoSpaceDE/>
              <w:autoSpaceDN/>
              <w:adjustRightInd/>
              <w:jc w:val="center"/>
              <w:rPr>
                <w:color w:val="000000"/>
                <w:szCs w:val="20"/>
              </w:rPr>
            </w:pPr>
            <w:r w:rsidRPr="00DA22C6">
              <w:rPr>
                <w:color w:val="000000"/>
                <w:szCs w:val="20"/>
              </w:rPr>
              <w:t>0</w:t>
            </w:r>
          </w:p>
        </w:tc>
        <w:tc>
          <w:tcPr>
            <w:tcW w:w="1080" w:type="dxa"/>
            <w:tcBorders>
              <w:top w:val="single" w:sz="4" w:space="0" w:color="auto"/>
              <w:left w:val="single" w:sz="4" w:space="0" w:color="auto"/>
              <w:bottom w:val="single" w:sz="4" w:space="0" w:color="auto"/>
              <w:right w:val="single" w:sz="4" w:space="0" w:color="auto"/>
            </w:tcBorders>
            <w:vAlign w:val="bottom"/>
            <w:hideMark/>
          </w:tcPr>
          <w:p w:rsidR="001F4FCE" w:rsidRPr="00DA22C6" w:rsidP="001F4FCE" w14:paraId="1C844E9F" w14:textId="2C06BF34">
            <w:pPr>
              <w:widowControl/>
              <w:autoSpaceDE/>
              <w:autoSpaceDN/>
              <w:adjustRightInd/>
              <w:jc w:val="center"/>
              <w:rPr>
                <w:color w:val="000000"/>
                <w:szCs w:val="20"/>
              </w:rPr>
            </w:pPr>
            <w:r w:rsidRPr="00DA22C6">
              <w:rPr>
                <w:color w:val="000000"/>
                <w:szCs w:val="20"/>
              </w:rPr>
              <w:t>7</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1AC8FAC3" w14:textId="77777777">
            <w:pPr>
              <w:widowControl/>
              <w:autoSpaceDE/>
              <w:autoSpaceDN/>
              <w:adjustRightInd/>
              <w:jc w:val="center"/>
              <w:rPr>
                <w:color w:val="000000"/>
                <w:szCs w:val="20"/>
              </w:rPr>
            </w:pPr>
            <w:r w:rsidRPr="00DA22C6">
              <w:rPr>
                <w:color w:val="000000"/>
                <w:szCs w:val="20"/>
              </w:rPr>
              <w:t>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F4FCE" w:rsidRPr="00DA22C6" w:rsidP="001F4FCE" w14:paraId="2B48CBE1" w14:textId="77777777">
            <w:pPr>
              <w:widowControl/>
              <w:autoSpaceDE/>
              <w:autoSpaceDN/>
              <w:adjustRightInd/>
              <w:jc w:val="center"/>
              <w:rPr>
                <w:color w:val="000000"/>
                <w:szCs w:val="20"/>
              </w:rPr>
            </w:pPr>
            <w:r>
              <w:rPr>
                <w:color w:val="000000"/>
                <w:szCs w:val="20"/>
              </w:rPr>
              <w: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4FCE" w:rsidRPr="00DA22C6" w:rsidP="001F4FCE" w14:paraId="22C243B1" w14:textId="77777777">
            <w:pPr>
              <w:widowControl/>
              <w:autoSpaceDE/>
              <w:autoSpaceDN/>
              <w:adjustRightInd/>
              <w:jc w:val="right"/>
              <w:rPr>
                <w:color w:val="000000"/>
                <w:szCs w:val="20"/>
              </w:rPr>
            </w:pPr>
            <w:r w:rsidRPr="00DA22C6">
              <w:rPr>
                <w:color w:val="000000"/>
                <w:szCs w:val="20"/>
              </w:rPr>
              <w:t>$0</w:t>
            </w:r>
          </w:p>
        </w:tc>
      </w:tr>
      <w:tr w14:paraId="50F80AD7" w14:textId="77777777" w:rsidTr="00F03863">
        <w:tblPrEx>
          <w:tblW w:w="10350" w:type="dxa"/>
          <w:tblInd w:w="-280" w:type="dxa"/>
          <w:tblLayout w:type="fixed"/>
          <w:tblLook w:val="04A0"/>
        </w:tblPrEx>
        <w:trPr>
          <w:trHeight w:val="318"/>
        </w:trPr>
        <w:tc>
          <w:tcPr>
            <w:tcW w:w="405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1F4FCE" w:rsidRPr="00DA22C6" w:rsidP="001F4FCE" w14:paraId="64A91DF4" w14:textId="1B8C0C55">
            <w:pPr>
              <w:widowControl/>
              <w:autoSpaceDE/>
              <w:autoSpaceDN/>
              <w:adjustRightInd/>
              <w:jc w:val="right"/>
              <w:rPr>
                <w:b/>
                <w:bCs/>
                <w:color w:val="000000"/>
                <w:szCs w:val="20"/>
              </w:rPr>
            </w:pPr>
            <w:r w:rsidRPr="00DA22C6">
              <w:rPr>
                <w:b/>
                <w:bCs/>
                <w:color w:val="000000"/>
                <w:szCs w:val="20"/>
              </w:rPr>
              <w:t xml:space="preserve">Total Annual Burden/Costs </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1F4FCE" w:rsidRPr="00DA22C6" w:rsidP="001F4FCE" w14:paraId="46EEF919" w14:textId="77777777">
            <w:pPr>
              <w:widowControl/>
              <w:autoSpaceDE/>
              <w:autoSpaceDN/>
              <w:adjustRightInd/>
              <w:jc w:val="center"/>
              <w:rPr>
                <w:b/>
                <w:bCs/>
                <w:color w:val="000000"/>
                <w:szCs w:val="20"/>
              </w:rPr>
            </w:pPr>
            <w:r w:rsidRPr="00DA22C6">
              <w:rPr>
                <w:b/>
                <w:bCs/>
                <w:color w:val="000000"/>
                <w:szCs w:val="20"/>
              </w:rPr>
              <w:t>2,927</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1F4FCE" w:rsidRPr="00DA22C6" w:rsidP="001F4FCE" w14:paraId="58D71DA8" w14:textId="77777777">
            <w:pPr>
              <w:widowControl/>
              <w:autoSpaceDE/>
              <w:autoSpaceDN/>
              <w:adjustRightInd/>
              <w:jc w:val="center"/>
              <w:rPr>
                <w:b/>
                <w:bCs/>
                <w:color w:val="000000"/>
                <w:szCs w:val="20"/>
              </w:rPr>
            </w:pPr>
            <w:r w:rsidRPr="00DA22C6">
              <w:rPr>
                <w:b/>
                <w:bCs/>
                <w:color w:val="000000"/>
                <w:szCs w:val="20"/>
              </w:rPr>
              <w:t>2,927</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1F4FCE" w:rsidRPr="00DA22C6" w:rsidP="001F4FCE" w14:paraId="4F998D3F" w14:textId="77777777">
            <w:pPr>
              <w:widowControl/>
              <w:autoSpaceDE/>
              <w:autoSpaceDN/>
              <w:adjustRightInd/>
              <w:jc w:val="center"/>
              <w:rPr>
                <w:b/>
                <w:bCs/>
                <w:color w:val="000000"/>
                <w:szCs w:val="20"/>
              </w:rPr>
            </w:pPr>
            <w:r w:rsidRPr="00DA22C6">
              <w:rPr>
                <w:b/>
                <w:bCs/>
                <w:color w:val="000000"/>
                <w:szCs w:val="20"/>
              </w:rPr>
              <w:t>215</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1F4FCE" w:rsidRPr="00DA22C6" w:rsidP="001F4FCE" w14:paraId="50CC9436" w14:textId="77777777">
            <w:pPr>
              <w:widowControl/>
              <w:autoSpaceDE/>
              <w:autoSpaceDN/>
              <w:adjustRightInd/>
              <w:jc w:val="center"/>
              <w:rPr>
                <w:b/>
                <w:bCs/>
                <w:color w:val="000000"/>
                <w:szCs w:val="20"/>
              </w:rPr>
            </w:pPr>
            <w:r w:rsidRPr="00DA22C6">
              <w:rPr>
                <w:b/>
                <w:bCs/>
                <w:color w:val="000000"/>
                <w:szCs w:val="20"/>
              </w:rPr>
              <w:t>27,768</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1F4FCE" w:rsidRPr="00DA22C6" w:rsidP="001F4FCE" w14:paraId="535EABCA" w14:textId="77777777">
            <w:pPr>
              <w:widowControl/>
              <w:autoSpaceDE/>
              <w:autoSpaceDN/>
              <w:adjustRightInd/>
              <w:jc w:val="center"/>
              <w:rPr>
                <w:b/>
                <w:bCs/>
                <w:color w:val="000000"/>
                <w:szCs w:val="20"/>
              </w:rPr>
            </w:pPr>
            <w:r w:rsidRPr="00DA22C6">
              <w:rPr>
                <w:b/>
                <w:bCs/>
                <w:color w:val="000000"/>
                <w:szCs w:val="20"/>
              </w:rPr>
              <w:t>n/a</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1F4FCE" w:rsidRPr="00DA22C6" w:rsidP="001F4FCE" w14:paraId="71F14BDB" w14:textId="77777777">
            <w:pPr>
              <w:widowControl/>
              <w:autoSpaceDE/>
              <w:autoSpaceDN/>
              <w:adjustRightInd/>
              <w:jc w:val="right"/>
              <w:rPr>
                <w:b/>
                <w:bCs/>
                <w:color w:val="000000"/>
                <w:szCs w:val="20"/>
              </w:rPr>
            </w:pPr>
            <w:r w:rsidRPr="00DA22C6">
              <w:rPr>
                <w:b/>
                <w:bCs/>
                <w:color w:val="000000"/>
                <w:szCs w:val="20"/>
              </w:rPr>
              <w:t>$8,913,528</w:t>
            </w:r>
          </w:p>
        </w:tc>
      </w:tr>
    </w:tbl>
    <w:p w:rsidR="00DA22C6" w:rsidRPr="00172208" w:rsidP="00BC3B86" w14:paraId="30A22972" w14:textId="073DD644">
      <w:pPr>
        <w:rPr>
          <w:sz w:val="24"/>
        </w:rPr>
      </w:pPr>
      <w:r>
        <w:rPr>
          <w:szCs w:val="20"/>
        </w:rPr>
        <w:t xml:space="preserve"> * </w:t>
      </w:r>
      <w:r w:rsidRPr="00F745BB">
        <w:rPr>
          <w:szCs w:val="20"/>
        </w:rPr>
        <w:t>Based on</w:t>
      </w:r>
      <w:r>
        <w:rPr>
          <w:szCs w:val="20"/>
        </w:rPr>
        <w:t xml:space="preserve"> </w:t>
      </w:r>
      <w:hyperlink r:id="rId10" w:history="1">
        <w:r w:rsidRPr="00CA1EF5">
          <w:rPr>
            <w:rStyle w:val="Hyperlink"/>
            <w:szCs w:val="20"/>
          </w:rPr>
          <w:t>2016 Final Rule</w:t>
        </w:r>
      </w:hyperlink>
    </w:p>
    <w:p w:rsidR="00F527CD" w:rsidRPr="00490905" w:rsidP="00F527CD" w14:paraId="3F1FCA18" w14:textId="77777777">
      <w:pPr>
        <w:widowControl/>
        <w:autoSpaceDE/>
        <w:autoSpaceDN/>
        <w:adjustRightInd/>
        <w:rPr>
          <w:szCs w:val="20"/>
        </w:rPr>
      </w:pPr>
      <w:r w:rsidRPr="00490905">
        <w:rPr>
          <w:szCs w:val="20"/>
        </w:rPr>
        <w:t>** The hourly labor cost is blended between the wages for multiple staffing levels.</w:t>
      </w:r>
      <w:r w:rsidRPr="00490905">
        <w:rPr>
          <w:szCs w:val="20"/>
        </w:rPr>
        <w:t xml:space="preserve"> </w:t>
      </w:r>
    </w:p>
    <w:p w:rsidR="00F527CD" w:rsidP="00BC3B86" w14:paraId="4295E60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DA22C6" w:rsidP="00DA22C6" w14:paraId="6FB7874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Cs w:val="20"/>
        </w:rPr>
      </w:pPr>
    </w:p>
    <w:p w:rsidR="00730469" w:rsidP="00DA22C6" w14:paraId="606424C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Cs w:val="20"/>
        </w:rPr>
      </w:pPr>
    </w:p>
    <w:p w:rsidR="00730469" w:rsidP="00DA22C6" w14:paraId="30E8378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Cs w:val="20"/>
        </w:rPr>
      </w:pPr>
    </w:p>
    <w:p w:rsidR="00821ECC" w:rsidRPr="007E1B2C" w:rsidP="00431554" w14:paraId="7A8CF3DC" w14:textId="1196B73E">
      <w:pPr>
        <w:pStyle w:val="Heading6"/>
      </w:pPr>
      <w:r w:rsidRPr="007E1B2C">
        <w:t xml:space="preserve">Biennial </w:t>
      </w:r>
      <w:r w:rsidRPr="007E1B2C">
        <w:t>Review of Training Program</w:t>
      </w:r>
    </w:p>
    <w:p w:rsidR="00821ECC" w:rsidP="00BC3B86" w14:paraId="33D1A803" w14:textId="7958348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w:t>
      </w:r>
      <w:r w:rsidR="006A16C6">
        <w:rPr>
          <w:sz w:val="24"/>
        </w:rPr>
        <w:t>xisting</w:t>
      </w:r>
      <w:r>
        <w:rPr>
          <w:sz w:val="24"/>
        </w:rPr>
        <w:t>,</w:t>
      </w:r>
      <w:r w:rsidR="006A16C6">
        <w:rPr>
          <w:sz w:val="24"/>
        </w:rPr>
        <w:t xml:space="preserve"> certified facilities must biennially review </w:t>
      </w:r>
      <w:r w:rsidRPr="00821ECC" w:rsidR="006A16C6">
        <w:rPr>
          <w:sz w:val="24"/>
        </w:rPr>
        <w:t>their current training programs</w:t>
      </w:r>
      <w:r w:rsidR="00B54CEA">
        <w:rPr>
          <w:sz w:val="24"/>
        </w:rPr>
        <w:t xml:space="preserve">, document the training was completed, </w:t>
      </w:r>
      <w:r w:rsidRPr="00821ECC" w:rsidR="006A16C6">
        <w:rPr>
          <w:sz w:val="24"/>
        </w:rPr>
        <w:t xml:space="preserve">and compare them to their risk assessments and emergency preparedness plans, emergency policies and procedures, and emergency communication plans. </w:t>
      </w:r>
      <w:r w:rsidR="006A16C6">
        <w:rPr>
          <w:sz w:val="24"/>
        </w:rPr>
        <w:t xml:space="preserve">Where </w:t>
      </w:r>
      <w:r w:rsidRPr="00821ECC" w:rsidR="006A16C6">
        <w:rPr>
          <w:sz w:val="24"/>
        </w:rPr>
        <w:t xml:space="preserve">necessary, </w:t>
      </w:r>
      <w:r w:rsidR="006A16C6">
        <w:rPr>
          <w:sz w:val="24"/>
        </w:rPr>
        <w:t xml:space="preserve">facilities </w:t>
      </w:r>
      <w:r w:rsidRPr="00821ECC" w:rsidR="006A16C6">
        <w:rPr>
          <w:sz w:val="24"/>
        </w:rPr>
        <w:t xml:space="preserve">will need to revise </w:t>
      </w:r>
      <w:r w:rsidR="006A16C6">
        <w:rPr>
          <w:sz w:val="24"/>
        </w:rPr>
        <w:t>or</w:t>
      </w:r>
      <w:r w:rsidRPr="00821ECC" w:rsidR="006A16C6">
        <w:rPr>
          <w:sz w:val="24"/>
        </w:rPr>
        <w:t xml:space="preserve"> develop new sections or materials</w:t>
      </w:r>
      <w:r w:rsidR="006A16C6">
        <w:rPr>
          <w:sz w:val="24"/>
        </w:rPr>
        <w:t xml:space="preserve">. This </w:t>
      </w:r>
      <w:r w:rsidRPr="001F627B" w:rsidR="006A16C6">
        <w:rPr>
          <w:sz w:val="24"/>
        </w:rPr>
        <w:t>constitutes a usual and customary business practice</w:t>
      </w:r>
      <w:r w:rsidR="006A16C6">
        <w:rPr>
          <w:sz w:val="24"/>
        </w:rPr>
        <w:t xml:space="preserve"> and thus is exempt from the PRA per</w:t>
      </w:r>
      <w:r w:rsidRPr="001F627B" w:rsidR="006A16C6">
        <w:rPr>
          <w:sz w:val="24"/>
        </w:rPr>
        <w:t xml:space="preserve"> 5 CFR §1320.3(b)(2).</w:t>
      </w:r>
    </w:p>
    <w:p w:rsidR="00821ECC" w:rsidP="00BC3B86" w14:paraId="5973F36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E1B2C" w:rsidP="00BC3B86" w14:paraId="266C111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r>
        <w:rPr>
          <w:b/>
          <w:bCs/>
          <w:sz w:val="24"/>
          <w:u w:val="single"/>
        </w:rPr>
        <w:br w:type="page"/>
      </w:r>
    </w:p>
    <w:p w:rsidR="00821ECC" w:rsidP="00431554" w14:paraId="16512C77" w14:textId="470859DB">
      <w:pPr>
        <w:pStyle w:val="Heading5"/>
      </w:pPr>
      <w:r w:rsidRPr="00F86481">
        <w:t>IC-</w:t>
      </w:r>
      <w:r w:rsidR="003A5E68">
        <w:t>4b</w:t>
      </w:r>
      <w:r w:rsidRPr="00F86481">
        <w:t xml:space="preserve">: </w:t>
      </w:r>
      <w:r>
        <w:t xml:space="preserve">Conduct </w:t>
      </w:r>
      <w:r w:rsidRPr="00F86481">
        <w:t>Training</w:t>
      </w:r>
      <w:r w:rsidR="003A5E68">
        <w:t>s</w:t>
      </w:r>
    </w:p>
    <w:p w:rsidR="003A5E68" w:rsidP="00BC3B86" w14:paraId="3DB445A5" w14:textId="139D4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requirement to conduct emergency preparedness training</w:t>
      </w:r>
      <w:r>
        <w:rPr>
          <w:sz w:val="24"/>
        </w:rPr>
        <w:t>s</w:t>
      </w:r>
      <w:r>
        <w:rPr>
          <w:sz w:val="24"/>
        </w:rPr>
        <w:t xml:space="preserve"> is applicable to the following providers:</w:t>
      </w:r>
      <w:r>
        <w:rPr>
          <w:sz w:val="24"/>
        </w:rPr>
        <w:t xml:space="preserve"> </w:t>
      </w:r>
      <w:r w:rsidRPr="008A1272">
        <w:rPr>
          <w:sz w:val="24"/>
        </w:rPr>
        <w:t xml:space="preserve">RNHCIs at </w:t>
      </w:r>
      <w:r w:rsidRPr="008A1272">
        <w:rPr>
          <w:sz w:val="24"/>
          <w:u w:val="single"/>
        </w:rPr>
        <w:t>§403.748(</w:t>
      </w:r>
      <w:r>
        <w:rPr>
          <w:sz w:val="24"/>
          <w:u w:val="single"/>
        </w:rPr>
        <w:t>d</w:t>
      </w:r>
      <w:r w:rsidRPr="008A1272">
        <w:rPr>
          <w:sz w:val="24"/>
          <w:u w:val="single"/>
        </w:rPr>
        <w:t>)</w:t>
      </w:r>
      <w:r>
        <w:rPr>
          <w:sz w:val="24"/>
          <w:u w:val="single"/>
        </w:rPr>
        <w:t>(1)</w:t>
      </w:r>
      <w:r w:rsidRPr="008A1272">
        <w:rPr>
          <w:sz w:val="24"/>
          <w:u w:val="single"/>
        </w:rPr>
        <w:t>; ASCs at §416.54(</w:t>
      </w:r>
      <w:r>
        <w:rPr>
          <w:sz w:val="24"/>
          <w:u w:val="single"/>
        </w:rPr>
        <w:t>d</w:t>
      </w:r>
      <w:r w:rsidRPr="008A1272">
        <w:rPr>
          <w:sz w:val="24"/>
          <w:u w:val="single"/>
        </w:rPr>
        <w:t>)</w:t>
      </w:r>
      <w:r>
        <w:rPr>
          <w:sz w:val="24"/>
          <w:u w:val="single"/>
        </w:rPr>
        <w:t>(1)</w:t>
      </w:r>
      <w:r w:rsidRPr="008A1272">
        <w:rPr>
          <w:sz w:val="24"/>
          <w:u w:val="single"/>
        </w:rPr>
        <w:t>; Hospices at §418.113(</w:t>
      </w:r>
      <w:r>
        <w:rPr>
          <w:sz w:val="24"/>
          <w:u w:val="single"/>
        </w:rPr>
        <w:t>d</w:t>
      </w:r>
      <w:r w:rsidRPr="008A1272">
        <w:rPr>
          <w:sz w:val="24"/>
          <w:u w:val="single"/>
        </w:rPr>
        <w:t>)</w:t>
      </w:r>
      <w:r>
        <w:rPr>
          <w:sz w:val="24"/>
          <w:u w:val="single"/>
        </w:rPr>
        <w:t>(1)</w:t>
      </w:r>
      <w:r w:rsidRPr="008A1272">
        <w:rPr>
          <w:sz w:val="24"/>
          <w:u w:val="single"/>
        </w:rPr>
        <w:t>; PRTFs at §441.184(</w:t>
      </w:r>
      <w:r>
        <w:rPr>
          <w:sz w:val="24"/>
          <w:u w:val="single"/>
        </w:rPr>
        <w:t>d</w:t>
      </w:r>
      <w:r w:rsidRPr="008A1272">
        <w:rPr>
          <w:sz w:val="24"/>
          <w:u w:val="single"/>
        </w:rPr>
        <w:t>)</w:t>
      </w:r>
      <w:r>
        <w:rPr>
          <w:sz w:val="24"/>
          <w:u w:val="single"/>
        </w:rPr>
        <w:t>(1)</w:t>
      </w:r>
      <w:r w:rsidRPr="008A1272">
        <w:rPr>
          <w:sz w:val="24"/>
          <w:u w:val="single"/>
        </w:rPr>
        <w:t>; PACE at §460.84(</w:t>
      </w:r>
      <w:r>
        <w:rPr>
          <w:sz w:val="24"/>
          <w:u w:val="single"/>
        </w:rPr>
        <w:t>d</w:t>
      </w:r>
      <w:r w:rsidRPr="008A1272">
        <w:rPr>
          <w:sz w:val="24"/>
          <w:u w:val="single"/>
        </w:rPr>
        <w:t>)</w:t>
      </w:r>
      <w:r>
        <w:rPr>
          <w:sz w:val="24"/>
          <w:u w:val="single"/>
        </w:rPr>
        <w:t>(1)</w:t>
      </w:r>
      <w:r w:rsidRPr="008A1272">
        <w:rPr>
          <w:sz w:val="24"/>
          <w:u w:val="single"/>
        </w:rPr>
        <w:t>; Hospitals at §482.15(</w:t>
      </w:r>
      <w:r>
        <w:rPr>
          <w:sz w:val="24"/>
          <w:u w:val="single"/>
        </w:rPr>
        <w:t>d</w:t>
      </w:r>
      <w:r w:rsidRPr="008A1272">
        <w:rPr>
          <w:sz w:val="24"/>
          <w:u w:val="single"/>
        </w:rPr>
        <w:t>)</w:t>
      </w:r>
      <w:r>
        <w:rPr>
          <w:sz w:val="24"/>
          <w:u w:val="single"/>
        </w:rPr>
        <w:t>(1)</w:t>
      </w:r>
      <w:r w:rsidRPr="008A1272">
        <w:rPr>
          <w:sz w:val="24"/>
          <w:u w:val="single"/>
        </w:rPr>
        <w:t>; Transplant Programs §482.78(</w:t>
      </w:r>
      <w:r>
        <w:rPr>
          <w:sz w:val="24"/>
          <w:u w:val="single"/>
        </w:rPr>
        <w:t>d</w:t>
      </w:r>
      <w:r w:rsidRPr="008A1272">
        <w:rPr>
          <w:sz w:val="24"/>
          <w:u w:val="single"/>
        </w:rPr>
        <w:t>)</w:t>
      </w:r>
      <w:r>
        <w:rPr>
          <w:sz w:val="24"/>
          <w:u w:val="single"/>
        </w:rPr>
        <w:t>(1)</w:t>
      </w:r>
      <w:r w:rsidRPr="008A1272">
        <w:rPr>
          <w:sz w:val="24"/>
          <w:u w:val="single"/>
        </w:rPr>
        <w:t>; ICF/IIDs at §483.475(</w:t>
      </w:r>
      <w:r>
        <w:rPr>
          <w:sz w:val="24"/>
          <w:u w:val="single"/>
        </w:rPr>
        <w:t>d</w:t>
      </w:r>
      <w:r w:rsidRPr="008A1272">
        <w:rPr>
          <w:sz w:val="24"/>
          <w:u w:val="single"/>
        </w:rPr>
        <w:t>)</w:t>
      </w:r>
      <w:r>
        <w:rPr>
          <w:sz w:val="24"/>
          <w:u w:val="single"/>
        </w:rPr>
        <w:t>(1)</w:t>
      </w:r>
      <w:r w:rsidRPr="008A1272">
        <w:rPr>
          <w:sz w:val="24"/>
          <w:u w:val="single"/>
        </w:rPr>
        <w:t>; HHAs at §484.102(</w:t>
      </w:r>
      <w:r>
        <w:rPr>
          <w:sz w:val="24"/>
          <w:u w:val="single"/>
        </w:rPr>
        <w:t>d</w:t>
      </w:r>
      <w:r w:rsidRPr="008A1272">
        <w:rPr>
          <w:sz w:val="24"/>
          <w:u w:val="single"/>
        </w:rPr>
        <w:t>)</w:t>
      </w:r>
      <w:r>
        <w:rPr>
          <w:sz w:val="24"/>
          <w:u w:val="single"/>
        </w:rPr>
        <w:t>(1)</w:t>
      </w:r>
      <w:r w:rsidRPr="008A1272">
        <w:rPr>
          <w:sz w:val="24"/>
          <w:u w:val="single"/>
        </w:rPr>
        <w:t>; REHs at §485.542(</w:t>
      </w:r>
      <w:r>
        <w:rPr>
          <w:sz w:val="24"/>
          <w:u w:val="single"/>
        </w:rPr>
        <w:t>d</w:t>
      </w:r>
      <w:r w:rsidRPr="008A1272">
        <w:rPr>
          <w:sz w:val="24"/>
          <w:u w:val="single"/>
        </w:rPr>
        <w:t>)</w:t>
      </w:r>
      <w:r>
        <w:rPr>
          <w:sz w:val="24"/>
          <w:u w:val="single"/>
        </w:rPr>
        <w:t>(1)</w:t>
      </w:r>
      <w:r w:rsidRPr="008A1272">
        <w:rPr>
          <w:sz w:val="24"/>
          <w:u w:val="single"/>
        </w:rPr>
        <w:t>; CAHs at §485.625(</w:t>
      </w:r>
      <w:r>
        <w:rPr>
          <w:sz w:val="24"/>
          <w:u w:val="single"/>
        </w:rPr>
        <w:t>d</w:t>
      </w:r>
      <w:r w:rsidRPr="008A1272">
        <w:rPr>
          <w:sz w:val="24"/>
          <w:u w:val="single"/>
        </w:rPr>
        <w:t>)</w:t>
      </w:r>
      <w:r>
        <w:rPr>
          <w:sz w:val="24"/>
          <w:u w:val="single"/>
        </w:rPr>
        <w:t>(1)</w:t>
      </w:r>
      <w:r w:rsidRPr="008A1272">
        <w:rPr>
          <w:sz w:val="24"/>
          <w:u w:val="single"/>
        </w:rPr>
        <w:t>; CORFs at §485.68(</w:t>
      </w:r>
      <w:r>
        <w:rPr>
          <w:sz w:val="24"/>
          <w:u w:val="single"/>
        </w:rPr>
        <w:t>d</w:t>
      </w:r>
      <w:r w:rsidRPr="008A1272">
        <w:rPr>
          <w:sz w:val="24"/>
          <w:u w:val="single"/>
        </w:rPr>
        <w:t>)</w:t>
      </w:r>
      <w:r>
        <w:rPr>
          <w:sz w:val="24"/>
          <w:u w:val="single"/>
        </w:rPr>
        <w:t>(1)</w:t>
      </w:r>
      <w:r w:rsidRPr="008A1272">
        <w:rPr>
          <w:sz w:val="24"/>
          <w:u w:val="single"/>
        </w:rPr>
        <w:t xml:space="preserve">; </w:t>
      </w:r>
      <w:r w:rsidR="00405371">
        <w:rPr>
          <w:sz w:val="24"/>
          <w:u w:val="single"/>
        </w:rPr>
        <w:t>“Organizations”</w:t>
      </w:r>
      <w:r w:rsidRPr="008A1272">
        <w:rPr>
          <w:sz w:val="24"/>
          <w:u w:val="single"/>
        </w:rPr>
        <w:t xml:space="preserve"> at §485.727(</w:t>
      </w:r>
      <w:r>
        <w:rPr>
          <w:sz w:val="24"/>
          <w:u w:val="single"/>
        </w:rPr>
        <w:t>d</w:t>
      </w:r>
      <w:r w:rsidRPr="008A1272">
        <w:rPr>
          <w:sz w:val="24"/>
          <w:u w:val="single"/>
        </w:rPr>
        <w:t>)</w:t>
      </w:r>
      <w:r>
        <w:rPr>
          <w:sz w:val="24"/>
          <w:u w:val="single"/>
        </w:rPr>
        <w:t>(1)</w:t>
      </w:r>
      <w:r w:rsidRPr="008A1272">
        <w:rPr>
          <w:sz w:val="24"/>
          <w:u w:val="single"/>
        </w:rPr>
        <w:t>; CMHCs at §485.920(</w:t>
      </w:r>
      <w:r>
        <w:rPr>
          <w:sz w:val="24"/>
          <w:u w:val="single"/>
        </w:rPr>
        <w:t>d</w:t>
      </w:r>
      <w:r w:rsidRPr="008A1272">
        <w:rPr>
          <w:sz w:val="24"/>
          <w:u w:val="single"/>
        </w:rPr>
        <w:t>)</w:t>
      </w:r>
      <w:r>
        <w:rPr>
          <w:sz w:val="24"/>
          <w:u w:val="single"/>
        </w:rPr>
        <w:t>(1)</w:t>
      </w:r>
      <w:r w:rsidRPr="008A1272">
        <w:rPr>
          <w:sz w:val="24"/>
          <w:u w:val="single"/>
        </w:rPr>
        <w:t>; OPOs at §486.360(</w:t>
      </w:r>
      <w:r>
        <w:rPr>
          <w:sz w:val="24"/>
          <w:u w:val="single"/>
        </w:rPr>
        <w:t>d</w:t>
      </w:r>
      <w:r w:rsidRPr="008A1272">
        <w:rPr>
          <w:sz w:val="24"/>
          <w:u w:val="single"/>
        </w:rPr>
        <w:t>)</w:t>
      </w:r>
      <w:r>
        <w:rPr>
          <w:sz w:val="24"/>
          <w:u w:val="single"/>
        </w:rPr>
        <w:t>(1)</w:t>
      </w:r>
      <w:r w:rsidRPr="008A1272">
        <w:rPr>
          <w:sz w:val="24"/>
          <w:u w:val="single"/>
        </w:rPr>
        <w:t>; RHCs/FQHCs at §491.12(</w:t>
      </w:r>
      <w:r>
        <w:rPr>
          <w:sz w:val="24"/>
          <w:u w:val="single"/>
        </w:rPr>
        <w:t>d</w:t>
      </w:r>
      <w:r w:rsidRPr="008A1272">
        <w:rPr>
          <w:sz w:val="24"/>
          <w:u w:val="single"/>
        </w:rPr>
        <w:t>)</w:t>
      </w:r>
      <w:r>
        <w:rPr>
          <w:sz w:val="24"/>
          <w:u w:val="single"/>
        </w:rPr>
        <w:t>(1)</w:t>
      </w:r>
      <w:r w:rsidRPr="008A1272">
        <w:rPr>
          <w:sz w:val="24"/>
          <w:u w:val="single"/>
        </w:rPr>
        <w:t>; ESRD facilities at §494.62(</w:t>
      </w:r>
      <w:r>
        <w:rPr>
          <w:sz w:val="24"/>
          <w:u w:val="single"/>
        </w:rPr>
        <w:t>d</w:t>
      </w:r>
      <w:r w:rsidRPr="008A1272">
        <w:rPr>
          <w:sz w:val="24"/>
          <w:u w:val="single"/>
        </w:rPr>
        <w:t>)</w:t>
      </w:r>
      <w:r>
        <w:rPr>
          <w:sz w:val="24"/>
          <w:u w:val="single"/>
        </w:rPr>
        <w:t>(1)</w:t>
      </w:r>
      <w:r w:rsidRPr="008A1272">
        <w:rPr>
          <w:sz w:val="24"/>
          <w:u w:val="single"/>
        </w:rPr>
        <w:t>.</w:t>
      </w:r>
    </w:p>
    <w:p w:rsidR="007E1B2C" w:rsidP="00BC3B86" w14:paraId="165C689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E4822" w:rsidP="00BC3B86" w14:paraId="2C1EC1DA" w14:textId="1AD91DE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rPr>
        <w:t>Except for LTC facilities, existing</w:t>
      </w:r>
      <w:r w:rsidR="00FD4E9D">
        <w:rPr>
          <w:sz w:val="24"/>
        </w:rPr>
        <w:t>,</w:t>
      </w:r>
      <w:r>
        <w:rPr>
          <w:sz w:val="24"/>
        </w:rPr>
        <w:t xml:space="preserve"> certified facilities must conduct EP training biennially</w:t>
      </w:r>
      <w:r w:rsidR="00ED35DC">
        <w:rPr>
          <w:sz w:val="24"/>
        </w:rPr>
        <w:t>.</w:t>
      </w:r>
      <w:r w:rsidRPr="00ED35DC" w:rsidR="00ED35DC">
        <w:rPr>
          <w:rStyle w:val="FootnoteReference"/>
          <w:sz w:val="24"/>
          <w:vertAlign w:val="superscript"/>
        </w:rPr>
        <w:t xml:space="preserve"> </w:t>
      </w:r>
      <w:r>
        <w:rPr>
          <w:rStyle w:val="FootnoteReference"/>
          <w:sz w:val="24"/>
          <w:vertAlign w:val="superscript"/>
        </w:rPr>
        <w:footnoteReference w:id="17"/>
      </w:r>
      <w:r w:rsidRPr="00821ECC" w:rsidR="00ED35DC">
        <w:rPr>
          <w:sz w:val="24"/>
        </w:rPr>
        <w:t xml:space="preserve"> </w:t>
      </w:r>
      <w:r>
        <w:rPr>
          <w:sz w:val="24"/>
        </w:rPr>
        <w:t xml:space="preserve">  </w:t>
      </w:r>
      <w:r w:rsidR="00FD4E9D">
        <w:rPr>
          <w:sz w:val="24"/>
        </w:rPr>
        <w:t xml:space="preserve">Facilities must provide an </w:t>
      </w:r>
      <w:r w:rsidRPr="00FD4E9D" w:rsidR="00FD4E9D">
        <w:rPr>
          <w:sz w:val="24"/>
        </w:rPr>
        <w:t>initial training in emergency preparedness policies and procedures to all new and existing staff, individuals providing services under arrangement,</w:t>
      </w:r>
      <w:r w:rsidR="00FD4E9D">
        <w:rPr>
          <w:sz w:val="24"/>
        </w:rPr>
        <w:t xml:space="preserve"> </w:t>
      </w:r>
      <w:r w:rsidRPr="00FD4E9D" w:rsidR="00FD4E9D">
        <w:rPr>
          <w:sz w:val="24"/>
        </w:rPr>
        <w:t xml:space="preserve">and volunteers, and </w:t>
      </w:r>
      <w:r w:rsidR="00FD4E9D">
        <w:rPr>
          <w:sz w:val="24"/>
        </w:rPr>
        <w:t xml:space="preserve">must </w:t>
      </w:r>
      <w:r w:rsidRPr="00FD4E9D" w:rsidR="00FD4E9D">
        <w:rPr>
          <w:sz w:val="24"/>
        </w:rPr>
        <w:t>maintain documentation of the training</w:t>
      </w:r>
      <w:r w:rsidR="00ED35DC">
        <w:rPr>
          <w:sz w:val="24"/>
        </w:rPr>
        <w:t>.</w:t>
      </w:r>
      <w:r w:rsidRPr="00ED35DC" w:rsidR="00ED35DC">
        <w:rPr>
          <w:rStyle w:val="FootnoteReference"/>
          <w:sz w:val="24"/>
          <w:vertAlign w:val="superscript"/>
        </w:rPr>
        <w:t xml:space="preserve"> </w:t>
      </w:r>
    </w:p>
    <w:p w:rsidR="007E1B2C" w:rsidP="00702943" w14:paraId="08854743" w14:textId="77777777">
      <w:pPr>
        <w:rPr>
          <w:sz w:val="24"/>
        </w:rPr>
      </w:pPr>
    </w:p>
    <w:p w:rsidR="00702943" w:rsidP="00702943" w14:paraId="59B63290" w14:textId="7224CACE">
      <w:pPr>
        <w:rPr>
          <w:sz w:val="24"/>
        </w:rPr>
      </w:pPr>
      <w:r>
        <w:rPr>
          <w:sz w:val="24"/>
        </w:rPr>
        <w:t xml:space="preserve">Per </w:t>
      </w:r>
      <w:r w:rsidRPr="00E778A9">
        <w:rPr>
          <w:sz w:val="24"/>
        </w:rPr>
        <w:t xml:space="preserve">the </w:t>
      </w:r>
      <w:hyperlink r:id="rId10" w:history="1">
        <w:r w:rsidRPr="00E778A9">
          <w:rPr>
            <w:rStyle w:val="Hyperlink"/>
            <w:sz w:val="24"/>
          </w:rPr>
          <w:t>2016 Final Rule</w:t>
        </w:r>
      </w:hyperlink>
      <w:r>
        <w:rPr>
          <w:sz w:val="24"/>
        </w:rPr>
        <w:t xml:space="preserve">, </w:t>
      </w:r>
      <w:r w:rsidRPr="001A5C2E">
        <w:rPr>
          <w:sz w:val="24"/>
          <w:szCs w:val="32"/>
        </w:rPr>
        <w:t xml:space="preserve">TJC-accredited </w:t>
      </w:r>
      <w:r>
        <w:rPr>
          <w:sz w:val="24"/>
          <w:szCs w:val="32"/>
        </w:rPr>
        <w:t xml:space="preserve">hospitals </w:t>
      </w:r>
      <w:r w:rsidRPr="001A5C2E">
        <w:rPr>
          <w:sz w:val="24"/>
          <w:szCs w:val="32"/>
        </w:rPr>
        <w:t>me</w:t>
      </w:r>
      <w:r>
        <w:rPr>
          <w:sz w:val="24"/>
          <w:szCs w:val="32"/>
        </w:rPr>
        <w:t>e</w:t>
      </w:r>
      <w:r w:rsidRPr="001A5C2E">
        <w:rPr>
          <w:sz w:val="24"/>
          <w:szCs w:val="32"/>
        </w:rPr>
        <w:t xml:space="preserve">t the required standards of this CoP, and thus the burden </w:t>
      </w:r>
      <w:r>
        <w:rPr>
          <w:sz w:val="24"/>
          <w:szCs w:val="32"/>
        </w:rPr>
        <w:t xml:space="preserve">for </w:t>
      </w:r>
      <w:r w:rsidRPr="001A5C2E">
        <w:rPr>
          <w:sz w:val="24"/>
          <w:szCs w:val="32"/>
        </w:rPr>
        <w:t xml:space="preserve">this CoP is seen as usual and customary practice </w:t>
      </w:r>
      <w:r>
        <w:rPr>
          <w:sz w:val="24"/>
          <w:szCs w:val="32"/>
        </w:rPr>
        <w:t>and is</w:t>
      </w:r>
      <w:r w:rsidRPr="001A5C2E">
        <w:rPr>
          <w:sz w:val="24"/>
          <w:szCs w:val="32"/>
        </w:rPr>
        <w:t xml:space="preserve"> exempt from the PRA under </w:t>
      </w:r>
      <w:r w:rsidRPr="001A5C2E">
        <w:rPr>
          <w:sz w:val="24"/>
        </w:rPr>
        <w:t>CFR §1320.3(b)(2).</w:t>
      </w:r>
      <w:r>
        <w:rPr>
          <w:rStyle w:val="FootnoteReference"/>
          <w:sz w:val="24"/>
          <w:vertAlign w:val="superscript"/>
        </w:rPr>
        <w:footnoteReference w:id="18"/>
      </w:r>
      <w:r w:rsidRPr="001A5C2E">
        <w:rPr>
          <w:sz w:val="24"/>
        </w:rPr>
        <w:t xml:space="preserve"> </w:t>
      </w:r>
      <w:r>
        <w:rPr>
          <w:sz w:val="24"/>
        </w:rPr>
        <w:t xml:space="preserve">However, the </w:t>
      </w:r>
      <w:r>
        <w:rPr>
          <w:sz w:val="24"/>
          <w:szCs w:val="32"/>
        </w:rPr>
        <w:t>training</w:t>
      </w:r>
      <w:r w:rsidRPr="001A5C2E">
        <w:rPr>
          <w:sz w:val="24"/>
          <w:szCs w:val="32"/>
        </w:rPr>
        <w:t xml:space="preserve"> </w:t>
      </w:r>
      <w:r>
        <w:rPr>
          <w:sz w:val="24"/>
          <w:szCs w:val="32"/>
        </w:rPr>
        <w:t>program</w:t>
      </w:r>
      <w:r>
        <w:rPr>
          <w:sz w:val="24"/>
        </w:rPr>
        <w:t xml:space="preserve"> developed by TJC-accredited ASCs, CAHs and HHAs do not meet the standards required by this CoP and are included in the burden analysis below</w:t>
      </w:r>
      <w:r w:rsidRPr="001A5C2E">
        <w:rPr>
          <w:sz w:val="24"/>
        </w:rPr>
        <w:t>.</w:t>
      </w:r>
      <w:r>
        <w:rPr>
          <w:rStyle w:val="FootnoteReference"/>
          <w:sz w:val="24"/>
          <w:vertAlign w:val="superscript"/>
        </w:rPr>
        <w:footnoteReference w:id="19"/>
      </w:r>
      <w:r w:rsidRPr="001A5C2E">
        <w:rPr>
          <w:sz w:val="24"/>
          <w:vertAlign w:val="superscript"/>
        </w:rPr>
        <w:t xml:space="preserve"> </w:t>
      </w:r>
      <w:r w:rsidRPr="001A5C2E">
        <w:rPr>
          <w:sz w:val="24"/>
        </w:rPr>
        <w:t xml:space="preserve">  </w:t>
      </w:r>
    </w:p>
    <w:p w:rsidR="00702943" w:rsidP="00BC3B86" w14:paraId="7DA08F7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1A73F7" w:rsidP="00BC3B86" w14:paraId="3C4A8E91" w14:textId="11BE67D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For existing Medicare certified </w:t>
      </w:r>
      <w:r w:rsidR="00B949D1">
        <w:rPr>
          <w:sz w:val="24"/>
        </w:rPr>
        <w:t xml:space="preserve">providers </w:t>
      </w:r>
      <w:r w:rsidR="005115B5">
        <w:rPr>
          <w:sz w:val="24"/>
        </w:rPr>
        <w:t>that are not exempt from this information collection</w:t>
      </w:r>
      <w:r>
        <w:rPr>
          <w:sz w:val="24"/>
        </w:rPr>
        <w:t>, w</w:t>
      </w:r>
      <w:r w:rsidRPr="00026C64">
        <w:rPr>
          <w:sz w:val="24"/>
        </w:rPr>
        <w:t>e estimate that a</w:t>
      </w:r>
      <w:r>
        <w:rPr>
          <w:sz w:val="24"/>
        </w:rPr>
        <w:t xml:space="preserve">n </w:t>
      </w:r>
      <w:r w:rsidRPr="00026C64">
        <w:rPr>
          <w:sz w:val="24"/>
        </w:rPr>
        <w:t xml:space="preserve">Administrator </w:t>
      </w:r>
      <w:r>
        <w:rPr>
          <w:sz w:val="24"/>
        </w:rPr>
        <w:t>(</w:t>
      </w:r>
      <w:r w:rsidRPr="002A333C">
        <w:rPr>
          <w:sz w:val="24"/>
        </w:rPr>
        <w:t>Medical and Health Services Manager</w:t>
      </w:r>
      <w:r>
        <w:rPr>
          <w:sz w:val="24"/>
        </w:rPr>
        <w:t xml:space="preserve"> - BLS Occupation Code 11-9111) at a loaded hourly rate of $129, a Registered Nurse (BLS Occupation Code 29-1141) at a loaded hourly rate of $91 and a Facility Director (</w:t>
      </w:r>
      <w:r w:rsidRPr="002A333C">
        <w:rPr>
          <w:sz w:val="24"/>
        </w:rPr>
        <w:t>Administrative Services &amp; Facilities Manager</w:t>
      </w:r>
      <w:r>
        <w:rPr>
          <w:sz w:val="24"/>
        </w:rPr>
        <w:t xml:space="preserve"> – BLS Occupation Code 11-3010) </w:t>
      </w:r>
      <w:r w:rsidRPr="00026C64">
        <w:rPr>
          <w:sz w:val="24"/>
        </w:rPr>
        <w:t xml:space="preserve">at </w:t>
      </w:r>
      <w:r>
        <w:rPr>
          <w:sz w:val="24"/>
        </w:rPr>
        <w:t>a loaded hourly rate of $101</w:t>
      </w:r>
      <w:r>
        <w:rPr>
          <w:sz w:val="24"/>
        </w:rPr>
        <w:t xml:space="preserve">, </w:t>
      </w:r>
      <w:r w:rsidRPr="00026C64">
        <w:rPr>
          <w:sz w:val="24"/>
        </w:rPr>
        <w:t xml:space="preserve">would </w:t>
      </w:r>
      <w:r>
        <w:rPr>
          <w:sz w:val="24"/>
        </w:rPr>
        <w:t xml:space="preserve">all </w:t>
      </w:r>
      <w:r w:rsidRPr="00026C64">
        <w:rPr>
          <w:sz w:val="24"/>
        </w:rPr>
        <w:t xml:space="preserve">be responsible </w:t>
      </w:r>
      <w:r>
        <w:rPr>
          <w:sz w:val="24"/>
        </w:rPr>
        <w:t>f</w:t>
      </w:r>
      <w:r w:rsidRPr="00026C64">
        <w:rPr>
          <w:sz w:val="24"/>
        </w:rPr>
        <w:t xml:space="preserve">or </w:t>
      </w:r>
      <w:r>
        <w:rPr>
          <w:sz w:val="24"/>
        </w:rPr>
        <w:t>conducting emergency preparedness training every two years.</w:t>
      </w:r>
    </w:p>
    <w:p w:rsidR="00BA2E90" w:rsidP="00BC3B86" w14:paraId="65D5097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A6F5A" w:rsidP="00BC3B86" w14:paraId="235E90CD" w14:textId="10B0522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8 below lays out the burden hours and cost for existing </w:t>
      </w:r>
      <w:r w:rsidR="00B949D1">
        <w:rPr>
          <w:sz w:val="24"/>
        </w:rPr>
        <w:t>providers</w:t>
      </w:r>
      <w:r w:rsidR="00C319E3">
        <w:rPr>
          <w:sz w:val="24"/>
        </w:rPr>
        <w:t xml:space="preserve"> - who are not exempt - </w:t>
      </w:r>
      <w:r>
        <w:rPr>
          <w:sz w:val="24"/>
        </w:rPr>
        <w:t>to conduct the required emergency preparedness training every two years.</w:t>
      </w:r>
      <w:r w:rsidR="001A73F7">
        <w:rPr>
          <w:sz w:val="24"/>
        </w:rPr>
        <w:t xml:space="preserve"> </w:t>
      </w:r>
      <w:r w:rsidRPr="000938A3" w:rsidR="001A73F7">
        <w:rPr>
          <w:sz w:val="24"/>
        </w:rPr>
        <w:t xml:space="preserve">We estimate the total collection of information burden impacting the </w:t>
      </w:r>
      <w:r w:rsidR="001A73F7">
        <w:rPr>
          <w:sz w:val="24"/>
        </w:rPr>
        <w:t>57,416 existing</w:t>
      </w:r>
      <w:r w:rsidR="00B949D1">
        <w:rPr>
          <w:sz w:val="24"/>
        </w:rPr>
        <w:t>, non-exempt</w:t>
      </w:r>
      <w:r w:rsidR="001A73F7">
        <w:rPr>
          <w:sz w:val="24"/>
        </w:rPr>
        <w:t xml:space="preserve"> </w:t>
      </w:r>
      <w:r w:rsidRPr="000938A3" w:rsidR="001A73F7">
        <w:rPr>
          <w:sz w:val="24"/>
        </w:rPr>
        <w:t xml:space="preserve">providers and suppliers is </w:t>
      </w:r>
      <w:r w:rsidR="001A73F7">
        <w:rPr>
          <w:sz w:val="24"/>
        </w:rPr>
        <w:t>287,326</w:t>
      </w:r>
      <w:r w:rsidRPr="000938A3" w:rsidR="001A73F7">
        <w:rPr>
          <w:sz w:val="24"/>
        </w:rPr>
        <w:t xml:space="preserve"> burden hours at an annual cost of </w:t>
      </w:r>
      <w:r w:rsidRPr="00914449" w:rsidR="001A73F7">
        <w:rPr>
          <w:sz w:val="24"/>
        </w:rPr>
        <w:t>$</w:t>
      </w:r>
      <w:r w:rsidR="001A73F7">
        <w:rPr>
          <w:sz w:val="24"/>
        </w:rPr>
        <w:t>92,231,486, see Table 8.</w:t>
      </w:r>
    </w:p>
    <w:p w:rsidR="00232AE9" w:rsidP="00BC3B86" w14:paraId="73A1412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32AE9" w:rsidP="00BC3B86" w14:paraId="6749A7D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Sect="00730469">
          <w:endnotePr>
            <w:numFmt w:val="decimal"/>
          </w:endnotePr>
          <w:pgSz w:w="12240" w:h="15840"/>
          <w:pgMar w:top="1440" w:right="1440" w:bottom="1440" w:left="1440" w:header="1440" w:footer="720" w:gutter="0"/>
          <w:cols w:space="720"/>
          <w:noEndnote/>
          <w:docGrid w:linePitch="272"/>
        </w:sectPr>
      </w:pPr>
    </w:p>
    <w:p w:rsidR="007E1B2C" w:rsidP="00431554" w14:paraId="3387E249" w14:textId="77777777">
      <w:pPr>
        <w:pStyle w:val="Heading6"/>
      </w:pPr>
      <w:r w:rsidRPr="007E1B2C">
        <w:t>Table 8</w:t>
      </w:r>
      <w:r w:rsidRPr="007E1B2C" w:rsidR="001A73F7">
        <w:t xml:space="preserve"> – IC-</w:t>
      </w:r>
      <w:r w:rsidRPr="007E1B2C" w:rsidR="003A5E68">
        <w:t>4b</w:t>
      </w:r>
      <w:r w:rsidRPr="007E1B2C">
        <w:t xml:space="preserve"> - Burden Hours and Cost Estimates for </w:t>
      </w:r>
      <w:r w:rsidRPr="007E1B2C" w:rsidR="000A6DB5">
        <w:t>Existing Facilities</w:t>
      </w:r>
      <w:r w:rsidRPr="007E1B2C">
        <w:t xml:space="preserve"> to </w:t>
      </w:r>
      <w:r w:rsidRPr="007E1B2C" w:rsidR="001B4F20">
        <w:t>Biennially Conduct</w:t>
      </w:r>
      <w:r w:rsidRPr="007E1B2C">
        <w:t xml:space="preserve"> </w:t>
      </w:r>
    </w:p>
    <w:p w:rsidR="005A6F5A" w:rsidRPr="007E1B2C" w:rsidP="00431554" w14:paraId="00DCE8FF" w14:textId="173A52D1">
      <w:pPr>
        <w:pStyle w:val="Heading6"/>
      </w:pPr>
      <w:r w:rsidRPr="007E1B2C">
        <w:t>Emergency Preparedness Training</w:t>
      </w:r>
    </w:p>
    <w:tbl>
      <w:tblPr>
        <w:tblW w:w="12222" w:type="dxa"/>
        <w:tblInd w:w="-10" w:type="dxa"/>
        <w:tblLook w:val="04A0"/>
      </w:tblPr>
      <w:tblGrid>
        <w:gridCol w:w="540"/>
        <w:gridCol w:w="2880"/>
        <w:gridCol w:w="1500"/>
        <w:gridCol w:w="1494"/>
        <w:gridCol w:w="1274"/>
        <w:gridCol w:w="1080"/>
        <w:gridCol w:w="1260"/>
        <w:gridCol w:w="829"/>
        <w:gridCol w:w="1365"/>
      </w:tblGrid>
      <w:tr w14:paraId="48CC5755" w14:textId="77777777" w:rsidTr="00037F27">
        <w:tblPrEx>
          <w:tblW w:w="12222" w:type="dxa"/>
          <w:tblInd w:w="-10" w:type="dxa"/>
          <w:tblLook w:val="04A0"/>
        </w:tblPrEx>
        <w:trPr>
          <w:trHeight w:val="1080"/>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32AE9" w:rsidRPr="005D3EDE" w:rsidP="00504F85" w14:paraId="476AFA51" w14:textId="7D2AE57C">
            <w:pPr>
              <w:widowControl/>
              <w:autoSpaceDE/>
              <w:autoSpaceDN/>
              <w:adjustRightInd/>
              <w:jc w:val="center"/>
              <w:rPr>
                <w:b/>
                <w:bCs/>
                <w:color w:val="000000"/>
                <w:szCs w:val="20"/>
              </w:rPr>
            </w:pPr>
            <w:r>
              <w:rPr>
                <w:b/>
                <w:bCs/>
                <w:color w:val="000000"/>
                <w:szCs w:val="20"/>
              </w:rPr>
              <w:t>No.</w:t>
            </w: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RPr="005D3EDE" w:rsidP="00504F85" w14:paraId="19D7150E" w14:textId="64C72889">
            <w:pPr>
              <w:widowControl/>
              <w:autoSpaceDE/>
              <w:autoSpaceDN/>
              <w:adjustRightInd/>
              <w:jc w:val="center"/>
              <w:rPr>
                <w:b/>
                <w:bCs/>
                <w:color w:val="000000"/>
                <w:szCs w:val="20"/>
              </w:rPr>
            </w:pPr>
            <w:r w:rsidRPr="005D3EDE">
              <w:rPr>
                <w:b/>
                <w:bCs/>
                <w:color w:val="000000"/>
                <w:szCs w:val="20"/>
              </w:rPr>
              <w:t>Provider or Supplier Type </w:t>
            </w: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P="00504F85" w14:paraId="6B4F7700" w14:textId="77777777">
            <w:pPr>
              <w:widowControl/>
              <w:autoSpaceDE/>
              <w:autoSpaceDN/>
              <w:adjustRightInd/>
              <w:jc w:val="center"/>
              <w:rPr>
                <w:b/>
                <w:bCs/>
                <w:szCs w:val="20"/>
              </w:rPr>
            </w:pPr>
            <w:r>
              <w:rPr>
                <w:b/>
                <w:bCs/>
                <w:szCs w:val="20"/>
              </w:rPr>
              <w:t>42</w:t>
            </w:r>
          </w:p>
          <w:p w:rsidR="00232AE9" w:rsidRPr="005D3EDE" w:rsidP="00504F85" w14:paraId="62952EB0" w14:textId="77777777">
            <w:pPr>
              <w:widowControl/>
              <w:autoSpaceDE/>
              <w:autoSpaceDN/>
              <w:adjustRightInd/>
              <w:jc w:val="center"/>
              <w:rPr>
                <w:b/>
                <w:bCs/>
                <w:szCs w:val="20"/>
              </w:rPr>
            </w:pPr>
            <w:r w:rsidRPr="00DA22C6">
              <w:rPr>
                <w:b/>
                <w:bCs/>
                <w:szCs w:val="20"/>
              </w:rPr>
              <w:t>CFR</w:t>
            </w:r>
          </w:p>
        </w:tc>
        <w:tc>
          <w:tcPr>
            <w:tcW w:w="1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P="00504F85" w14:paraId="102D012A" w14:textId="77777777">
            <w:pPr>
              <w:widowControl/>
              <w:autoSpaceDE/>
              <w:autoSpaceDN/>
              <w:adjustRightInd/>
              <w:jc w:val="center"/>
              <w:rPr>
                <w:b/>
                <w:bCs/>
                <w:szCs w:val="20"/>
              </w:rPr>
            </w:pPr>
            <w:r>
              <w:rPr>
                <w:b/>
                <w:bCs/>
                <w:szCs w:val="20"/>
              </w:rPr>
              <w:t>Existing</w:t>
            </w:r>
            <w:r w:rsidRPr="005D3EDE">
              <w:rPr>
                <w:b/>
                <w:bCs/>
                <w:szCs w:val="20"/>
              </w:rPr>
              <w:t xml:space="preserve"> Certified Facilities/# of Respondents</w:t>
            </w:r>
          </w:p>
          <w:p w:rsidR="00232AE9" w:rsidP="00A46CC0" w14:paraId="035DF9FB" w14:textId="77777777">
            <w:pPr>
              <w:widowControl/>
              <w:autoSpaceDE/>
              <w:autoSpaceDN/>
              <w:adjustRightInd/>
              <w:jc w:val="center"/>
              <w:rPr>
                <w:szCs w:val="20"/>
              </w:rPr>
            </w:pPr>
          </w:p>
          <w:p w:rsidR="00232AE9" w:rsidRPr="00D72EFC" w:rsidP="00A46CC0" w14:paraId="6E6BB1C0" w14:textId="2170E716">
            <w:pPr>
              <w:widowControl/>
              <w:autoSpaceDE/>
              <w:autoSpaceDN/>
              <w:adjustRightInd/>
              <w:jc w:val="center"/>
              <w:rPr>
                <w:szCs w:val="20"/>
              </w:rPr>
            </w:pPr>
            <w:r w:rsidRPr="00D72EFC">
              <w:rPr>
                <w:szCs w:val="20"/>
              </w:rPr>
              <w:t>(a)</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P="00504F85" w14:paraId="348F1188" w14:textId="77777777">
            <w:pPr>
              <w:widowControl/>
              <w:autoSpaceDE/>
              <w:autoSpaceDN/>
              <w:adjustRightInd/>
              <w:jc w:val="center"/>
              <w:rPr>
                <w:b/>
                <w:bCs/>
                <w:szCs w:val="20"/>
              </w:rPr>
            </w:pPr>
          </w:p>
          <w:p w:rsidR="00232AE9" w:rsidP="00504F85" w14:paraId="7CF8A395" w14:textId="77777777">
            <w:pPr>
              <w:widowControl/>
              <w:autoSpaceDE/>
              <w:autoSpaceDN/>
              <w:adjustRightInd/>
              <w:jc w:val="center"/>
              <w:rPr>
                <w:b/>
                <w:bCs/>
                <w:szCs w:val="20"/>
              </w:rPr>
            </w:pPr>
          </w:p>
          <w:p w:rsidR="00232AE9" w:rsidP="00504F85" w14:paraId="6FA04EC4" w14:textId="77777777">
            <w:pPr>
              <w:widowControl/>
              <w:autoSpaceDE/>
              <w:autoSpaceDN/>
              <w:adjustRightInd/>
              <w:jc w:val="center"/>
              <w:rPr>
                <w:b/>
                <w:bCs/>
                <w:szCs w:val="20"/>
              </w:rPr>
            </w:pPr>
            <w:r w:rsidRPr="005D3EDE">
              <w:rPr>
                <w:b/>
                <w:bCs/>
                <w:szCs w:val="20"/>
              </w:rPr>
              <w:t xml:space="preserve"># of Responses </w:t>
            </w:r>
          </w:p>
          <w:p w:rsidR="00232AE9" w:rsidP="00504F85" w14:paraId="0A25C424" w14:textId="77777777">
            <w:pPr>
              <w:widowControl/>
              <w:autoSpaceDE/>
              <w:autoSpaceDN/>
              <w:adjustRightInd/>
              <w:jc w:val="center"/>
              <w:rPr>
                <w:b/>
                <w:bCs/>
                <w:szCs w:val="20"/>
              </w:rPr>
            </w:pPr>
          </w:p>
          <w:p w:rsidR="00232AE9" w:rsidRPr="005D3EDE" w:rsidP="00504F85" w14:paraId="743946A9" w14:textId="77777777">
            <w:pPr>
              <w:widowControl/>
              <w:autoSpaceDE/>
              <w:autoSpaceDN/>
              <w:adjustRightInd/>
              <w:jc w:val="center"/>
              <w:rPr>
                <w:b/>
                <w:bCs/>
                <w:szCs w:val="20"/>
              </w:rPr>
            </w:pPr>
          </w:p>
          <w:p w:rsidR="00232AE9" w:rsidRPr="00D72EFC" w:rsidP="00A46CC0" w14:paraId="5458B7B5" w14:textId="77777777">
            <w:pPr>
              <w:widowControl/>
              <w:autoSpaceDE/>
              <w:autoSpaceDN/>
              <w:adjustRightInd/>
              <w:jc w:val="center"/>
              <w:rPr>
                <w:szCs w:val="20"/>
              </w:rPr>
            </w:pPr>
            <w:r w:rsidRPr="00D72EFC">
              <w:rPr>
                <w:szCs w:val="20"/>
              </w:rPr>
              <w:t>(b = a x 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P="00504F85" w14:paraId="65BE87B8" w14:textId="77777777">
            <w:pPr>
              <w:widowControl/>
              <w:autoSpaceDE/>
              <w:autoSpaceDN/>
              <w:adjustRightInd/>
              <w:jc w:val="center"/>
              <w:rPr>
                <w:b/>
                <w:bCs/>
                <w:szCs w:val="20"/>
              </w:rPr>
            </w:pPr>
          </w:p>
          <w:p w:rsidR="00232AE9" w:rsidP="00504F85" w14:paraId="6A8C6D66" w14:textId="3DAB0A7F">
            <w:pPr>
              <w:widowControl/>
              <w:autoSpaceDE/>
              <w:autoSpaceDN/>
              <w:adjustRightInd/>
              <w:jc w:val="center"/>
              <w:rPr>
                <w:b/>
                <w:bCs/>
                <w:szCs w:val="20"/>
              </w:rPr>
            </w:pPr>
            <w:r w:rsidRPr="005D3EDE">
              <w:rPr>
                <w:b/>
                <w:bCs/>
                <w:szCs w:val="20"/>
              </w:rPr>
              <w:t xml:space="preserve">Burden </w:t>
            </w:r>
            <w:r w:rsidRPr="005D3EDE">
              <w:rPr>
                <w:b/>
                <w:bCs/>
                <w:szCs w:val="20"/>
              </w:rPr>
              <w:t>Hrs</w:t>
            </w:r>
            <w:r w:rsidRPr="005D3EDE">
              <w:rPr>
                <w:b/>
                <w:bCs/>
                <w:szCs w:val="20"/>
              </w:rPr>
              <w:t xml:space="preserve"> Per Response</w:t>
            </w:r>
          </w:p>
          <w:p w:rsidR="00232AE9" w:rsidP="00504F85" w14:paraId="284DC94F" w14:textId="77777777">
            <w:pPr>
              <w:widowControl/>
              <w:autoSpaceDE/>
              <w:autoSpaceDN/>
              <w:adjustRightInd/>
              <w:jc w:val="center"/>
              <w:rPr>
                <w:b/>
                <w:bCs/>
                <w:szCs w:val="20"/>
              </w:rPr>
            </w:pPr>
            <w:r w:rsidRPr="00A46CC0">
              <w:rPr>
                <w:b/>
                <w:bCs/>
                <w:szCs w:val="20"/>
              </w:rPr>
              <w:t>*</w:t>
            </w:r>
          </w:p>
          <w:p w:rsidR="00232AE9" w:rsidRPr="00A46CC0" w:rsidP="00504F85" w14:paraId="4DDEBA91" w14:textId="77777777">
            <w:pPr>
              <w:widowControl/>
              <w:autoSpaceDE/>
              <w:autoSpaceDN/>
              <w:adjustRightInd/>
              <w:jc w:val="center"/>
              <w:rPr>
                <w:b/>
                <w:bCs/>
                <w:szCs w:val="20"/>
              </w:rPr>
            </w:pPr>
          </w:p>
          <w:p w:rsidR="00232AE9" w:rsidRPr="00D72EFC" w:rsidP="00A46CC0" w14:paraId="22AC2F1B" w14:textId="77777777">
            <w:pPr>
              <w:widowControl/>
              <w:autoSpaceDE/>
              <w:autoSpaceDN/>
              <w:adjustRightInd/>
              <w:jc w:val="center"/>
              <w:rPr>
                <w:szCs w:val="20"/>
              </w:rPr>
            </w:pPr>
            <w:r w:rsidRPr="00D72EFC">
              <w:rPr>
                <w:szCs w:val="20"/>
              </w:rPr>
              <w:t xml:space="preserve">(c)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P="00504F85" w14:paraId="3BCF04C9" w14:textId="77777777">
            <w:pPr>
              <w:widowControl/>
              <w:autoSpaceDE/>
              <w:autoSpaceDN/>
              <w:adjustRightInd/>
              <w:jc w:val="center"/>
              <w:rPr>
                <w:b/>
                <w:bCs/>
                <w:szCs w:val="20"/>
              </w:rPr>
            </w:pPr>
          </w:p>
          <w:p w:rsidR="00232AE9" w:rsidP="00504F85" w14:paraId="4297E35E" w14:textId="0A9CC8C6">
            <w:pPr>
              <w:widowControl/>
              <w:autoSpaceDE/>
              <w:autoSpaceDN/>
              <w:adjustRightInd/>
              <w:jc w:val="center"/>
              <w:rPr>
                <w:b/>
                <w:bCs/>
                <w:szCs w:val="20"/>
              </w:rPr>
            </w:pPr>
            <w:r w:rsidRPr="005D3EDE">
              <w:rPr>
                <w:b/>
                <w:bCs/>
                <w:szCs w:val="20"/>
              </w:rPr>
              <w:t>Total Burden Hours</w:t>
            </w:r>
          </w:p>
          <w:p w:rsidR="00232AE9" w:rsidRPr="00A46CC0" w:rsidP="00A46CC0" w14:paraId="57FA6EB4" w14:textId="77777777">
            <w:pPr>
              <w:widowControl/>
              <w:autoSpaceDE/>
              <w:autoSpaceDN/>
              <w:adjustRightInd/>
              <w:jc w:val="center"/>
              <w:rPr>
                <w:b/>
                <w:bCs/>
                <w:szCs w:val="20"/>
              </w:rPr>
            </w:pPr>
          </w:p>
          <w:p w:rsidR="00232AE9" w:rsidRPr="00D72EFC" w:rsidP="00A46CC0" w14:paraId="3D75DC43" w14:textId="77777777">
            <w:pPr>
              <w:widowControl/>
              <w:autoSpaceDE/>
              <w:autoSpaceDN/>
              <w:adjustRightInd/>
              <w:jc w:val="center"/>
              <w:rPr>
                <w:szCs w:val="20"/>
              </w:rPr>
            </w:pPr>
            <w:r w:rsidRPr="00D72EFC">
              <w:rPr>
                <w:szCs w:val="20"/>
              </w:rPr>
              <w:t>(d = b x c)</w:t>
            </w:r>
          </w:p>
        </w:tc>
        <w:tc>
          <w:tcPr>
            <w:tcW w:w="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P="00504F85" w14:paraId="638DCCFD" w14:textId="77777777">
            <w:pPr>
              <w:widowControl/>
              <w:autoSpaceDE/>
              <w:autoSpaceDN/>
              <w:adjustRightInd/>
              <w:jc w:val="center"/>
              <w:rPr>
                <w:b/>
                <w:bCs/>
                <w:szCs w:val="20"/>
              </w:rPr>
            </w:pPr>
          </w:p>
          <w:p w:rsidR="00232AE9" w:rsidP="00504F85" w14:paraId="623EFC12" w14:textId="77777777">
            <w:pPr>
              <w:widowControl/>
              <w:autoSpaceDE/>
              <w:autoSpaceDN/>
              <w:adjustRightInd/>
              <w:jc w:val="center"/>
              <w:rPr>
                <w:b/>
                <w:bCs/>
                <w:szCs w:val="20"/>
              </w:rPr>
            </w:pPr>
          </w:p>
          <w:p w:rsidR="00232AE9" w:rsidP="00504F85" w14:paraId="6D8FCD41" w14:textId="3CCB6FD3">
            <w:pPr>
              <w:widowControl/>
              <w:autoSpaceDE/>
              <w:autoSpaceDN/>
              <w:adjustRightInd/>
              <w:jc w:val="center"/>
              <w:rPr>
                <w:b/>
                <w:bCs/>
                <w:szCs w:val="20"/>
              </w:rPr>
            </w:pPr>
            <w:r w:rsidRPr="005D3EDE">
              <w:rPr>
                <w:b/>
                <w:bCs/>
                <w:szCs w:val="20"/>
              </w:rPr>
              <w:t>Hourly Wage</w:t>
            </w:r>
          </w:p>
          <w:p w:rsidR="00232AE9" w:rsidP="00504F85" w14:paraId="40C22B6D" w14:textId="77777777">
            <w:pPr>
              <w:widowControl/>
              <w:autoSpaceDE/>
              <w:autoSpaceDN/>
              <w:adjustRightInd/>
              <w:jc w:val="center"/>
              <w:rPr>
                <w:b/>
                <w:bCs/>
                <w:szCs w:val="20"/>
              </w:rPr>
            </w:pPr>
            <w:r>
              <w:rPr>
                <w:b/>
                <w:bCs/>
                <w:szCs w:val="20"/>
              </w:rPr>
              <w:t>**</w:t>
            </w:r>
          </w:p>
          <w:p w:rsidR="00232AE9" w:rsidRPr="005D3EDE" w:rsidP="002A5587" w14:paraId="48160DE8" w14:textId="77777777">
            <w:pPr>
              <w:widowControl/>
              <w:autoSpaceDE/>
              <w:autoSpaceDN/>
              <w:adjustRightInd/>
              <w:rPr>
                <w:b/>
                <w:bCs/>
                <w:szCs w:val="20"/>
              </w:rPr>
            </w:pPr>
          </w:p>
          <w:p w:rsidR="00232AE9" w:rsidRPr="00D72EFC" w:rsidP="00A46CC0" w14:paraId="480560E7" w14:textId="77777777">
            <w:pPr>
              <w:widowControl/>
              <w:autoSpaceDE/>
              <w:autoSpaceDN/>
              <w:adjustRightInd/>
              <w:jc w:val="center"/>
              <w:rPr>
                <w:szCs w:val="20"/>
              </w:rPr>
            </w:pPr>
            <w:r w:rsidRPr="00D72EFC">
              <w:rPr>
                <w:szCs w:val="20"/>
              </w:rPr>
              <w:t>(e)</w:t>
            </w:r>
          </w:p>
        </w:tc>
        <w:tc>
          <w:tcPr>
            <w:tcW w:w="1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AE9" w:rsidP="00504F85" w14:paraId="07603F30" w14:textId="77777777">
            <w:pPr>
              <w:widowControl/>
              <w:autoSpaceDE/>
              <w:autoSpaceDN/>
              <w:adjustRightInd/>
              <w:jc w:val="center"/>
              <w:rPr>
                <w:b/>
                <w:bCs/>
                <w:szCs w:val="20"/>
              </w:rPr>
            </w:pPr>
          </w:p>
          <w:p w:rsidR="00232AE9" w:rsidP="00504F85" w14:paraId="0122F26C" w14:textId="77777777">
            <w:pPr>
              <w:widowControl/>
              <w:autoSpaceDE/>
              <w:autoSpaceDN/>
              <w:adjustRightInd/>
              <w:jc w:val="center"/>
              <w:rPr>
                <w:b/>
                <w:bCs/>
                <w:szCs w:val="20"/>
              </w:rPr>
            </w:pPr>
          </w:p>
          <w:p w:rsidR="00232AE9" w:rsidP="00504F85" w14:paraId="11635630" w14:textId="607BC5CD">
            <w:pPr>
              <w:widowControl/>
              <w:autoSpaceDE/>
              <w:autoSpaceDN/>
              <w:adjustRightInd/>
              <w:jc w:val="center"/>
              <w:rPr>
                <w:b/>
                <w:bCs/>
                <w:szCs w:val="20"/>
              </w:rPr>
            </w:pPr>
            <w:r w:rsidRPr="005D3EDE">
              <w:rPr>
                <w:b/>
                <w:bCs/>
                <w:szCs w:val="20"/>
              </w:rPr>
              <w:t>Total Cost Estimate</w:t>
            </w:r>
          </w:p>
          <w:p w:rsidR="00232AE9" w:rsidRPr="005D3EDE" w:rsidP="00504F85" w14:paraId="0EC3DDDD" w14:textId="77777777">
            <w:pPr>
              <w:widowControl/>
              <w:autoSpaceDE/>
              <w:autoSpaceDN/>
              <w:adjustRightInd/>
              <w:jc w:val="center"/>
              <w:rPr>
                <w:b/>
                <w:bCs/>
                <w:szCs w:val="20"/>
              </w:rPr>
            </w:pPr>
          </w:p>
          <w:p w:rsidR="00232AE9" w:rsidP="00A46CC0" w14:paraId="2965A1A4" w14:textId="77777777">
            <w:pPr>
              <w:widowControl/>
              <w:autoSpaceDE/>
              <w:autoSpaceDN/>
              <w:adjustRightInd/>
              <w:jc w:val="center"/>
              <w:rPr>
                <w:szCs w:val="20"/>
              </w:rPr>
            </w:pPr>
          </w:p>
          <w:p w:rsidR="00232AE9" w:rsidRPr="00D72EFC" w:rsidP="00A46CC0" w14:paraId="7150EE21" w14:textId="0DD46CFB">
            <w:pPr>
              <w:widowControl/>
              <w:autoSpaceDE/>
              <w:autoSpaceDN/>
              <w:adjustRightInd/>
              <w:jc w:val="center"/>
              <w:rPr>
                <w:szCs w:val="20"/>
              </w:rPr>
            </w:pPr>
            <w:r w:rsidRPr="00D72EFC">
              <w:rPr>
                <w:szCs w:val="20"/>
              </w:rPr>
              <w:t>(f</w:t>
            </w:r>
            <w:r>
              <w:rPr>
                <w:szCs w:val="20"/>
              </w:rPr>
              <w:t xml:space="preserve"> </w:t>
            </w:r>
            <w:r w:rsidRPr="00D72EFC">
              <w:rPr>
                <w:szCs w:val="20"/>
              </w:rPr>
              <w:t>= d x e )</w:t>
            </w:r>
          </w:p>
        </w:tc>
      </w:tr>
      <w:tr w14:paraId="33ACD1C3"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3DF861FA" w14:textId="05E72A87">
            <w:pPr>
              <w:widowControl/>
              <w:autoSpaceDE/>
              <w:autoSpaceDN/>
              <w:adjustRightInd/>
              <w:jc w:val="center"/>
              <w:rPr>
                <w:color w:val="000000"/>
                <w:szCs w:val="20"/>
              </w:rPr>
            </w:pPr>
            <w:r>
              <w:rPr>
                <w:color w:val="000000"/>
                <w:szCs w:val="20"/>
              </w:rPr>
              <w:t>1</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1CA5DE2A" w14:textId="6E11DA80">
            <w:pPr>
              <w:widowControl/>
              <w:autoSpaceDE/>
              <w:autoSpaceDN/>
              <w:adjustRightInd/>
              <w:rPr>
                <w:color w:val="000000"/>
                <w:szCs w:val="20"/>
              </w:rPr>
            </w:pPr>
            <w:r w:rsidRPr="00BC3B86">
              <w:rPr>
                <w:color w:val="000000"/>
                <w:szCs w:val="20"/>
              </w:rPr>
              <w:t>ASCs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2248C208" w14:textId="77777777">
            <w:pPr>
              <w:widowControl/>
              <w:autoSpaceDE/>
              <w:autoSpaceDN/>
              <w:adjustRightInd/>
              <w:jc w:val="center"/>
              <w:rPr>
                <w:color w:val="000000"/>
                <w:sz w:val="18"/>
                <w:szCs w:val="18"/>
              </w:rPr>
            </w:pPr>
            <w:r w:rsidRPr="00BE2E14">
              <w:rPr>
                <w:color w:val="000000"/>
                <w:sz w:val="18"/>
                <w:szCs w:val="18"/>
              </w:rPr>
              <w:t>§ 416.54(d)(1)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5C487F67" w14:textId="77777777">
            <w:pPr>
              <w:widowControl/>
              <w:autoSpaceDE/>
              <w:autoSpaceDN/>
              <w:adjustRightInd/>
              <w:jc w:val="center"/>
              <w:rPr>
                <w:color w:val="000000"/>
                <w:szCs w:val="20"/>
              </w:rPr>
            </w:pPr>
            <w:r w:rsidRPr="00BC3B86">
              <w:rPr>
                <w:color w:val="000000"/>
                <w:szCs w:val="20"/>
              </w:rPr>
              <w:t>6,170</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644C6BBB" w14:textId="77777777">
            <w:pPr>
              <w:widowControl/>
              <w:autoSpaceDE/>
              <w:autoSpaceDN/>
              <w:adjustRightInd/>
              <w:jc w:val="center"/>
              <w:rPr>
                <w:color w:val="000000"/>
                <w:szCs w:val="20"/>
              </w:rPr>
            </w:pPr>
            <w:r w:rsidRPr="00BC3B86">
              <w:rPr>
                <w:color w:val="000000"/>
                <w:szCs w:val="20"/>
              </w:rPr>
              <w:t>6</w:t>
            </w:r>
            <w:r>
              <w:rPr>
                <w:color w:val="000000"/>
                <w:szCs w:val="20"/>
              </w:rPr>
              <w:t>,</w:t>
            </w:r>
            <w:r w:rsidRPr="00BC3B86">
              <w:rPr>
                <w:color w:val="000000"/>
                <w:szCs w:val="20"/>
              </w:rPr>
              <w:t>170</w:t>
            </w:r>
          </w:p>
        </w:tc>
        <w:tc>
          <w:tcPr>
            <w:tcW w:w="1080" w:type="dxa"/>
            <w:tcBorders>
              <w:top w:val="nil"/>
              <w:left w:val="nil"/>
              <w:bottom w:val="single" w:sz="4" w:space="0" w:color="auto"/>
              <w:right w:val="single" w:sz="4" w:space="0" w:color="auto"/>
            </w:tcBorders>
            <w:vAlign w:val="bottom"/>
            <w:hideMark/>
          </w:tcPr>
          <w:p w:rsidR="00232AE9" w:rsidRPr="00BC3B86" w:rsidP="00232AE9" w14:paraId="62CDD28D" w14:textId="67787D37">
            <w:pPr>
              <w:widowControl/>
              <w:autoSpaceDE/>
              <w:autoSpaceDN/>
              <w:adjustRightInd/>
              <w:jc w:val="center"/>
              <w:rPr>
                <w:color w:val="000000"/>
                <w:szCs w:val="20"/>
              </w:rPr>
            </w:pPr>
            <w:r w:rsidRPr="00BC3B86">
              <w:rPr>
                <w:color w:val="000000"/>
                <w:szCs w:val="20"/>
              </w:rPr>
              <w:t>3</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0D136177" w14:textId="77777777">
            <w:pPr>
              <w:widowControl/>
              <w:autoSpaceDE/>
              <w:autoSpaceDN/>
              <w:adjustRightInd/>
              <w:jc w:val="center"/>
              <w:rPr>
                <w:color w:val="000000"/>
                <w:szCs w:val="20"/>
              </w:rPr>
            </w:pPr>
            <w:r w:rsidRPr="00BC3B86">
              <w:rPr>
                <w:color w:val="000000"/>
                <w:szCs w:val="20"/>
              </w:rPr>
              <w:t>18,510</w:t>
            </w:r>
          </w:p>
        </w:tc>
        <w:tc>
          <w:tcPr>
            <w:tcW w:w="829" w:type="dxa"/>
            <w:tcBorders>
              <w:top w:val="nil"/>
              <w:left w:val="nil"/>
              <w:bottom w:val="single" w:sz="4" w:space="0" w:color="auto"/>
              <w:right w:val="single" w:sz="4" w:space="0" w:color="auto"/>
            </w:tcBorders>
            <w:noWrap/>
            <w:vAlign w:val="center"/>
            <w:hideMark/>
          </w:tcPr>
          <w:p w:rsidR="00232AE9" w:rsidRPr="00BC3B86" w:rsidP="00232AE9" w14:paraId="3B8EB778"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6D215AFF" w14:textId="77777777">
            <w:pPr>
              <w:widowControl/>
              <w:autoSpaceDE/>
              <w:autoSpaceDN/>
              <w:adjustRightInd/>
              <w:jc w:val="right"/>
              <w:rPr>
                <w:color w:val="000000"/>
                <w:szCs w:val="20"/>
              </w:rPr>
            </w:pPr>
            <w:r w:rsidRPr="00BC3B86">
              <w:rPr>
                <w:color w:val="000000"/>
                <w:szCs w:val="20"/>
              </w:rPr>
              <w:t>$5,941,710</w:t>
            </w:r>
          </w:p>
        </w:tc>
      </w:tr>
      <w:tr w14:paraId="65C064F5"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5A366658" w14:textId="105721D6">
            <w:pPr>
              <w:widowControl/>
              <w:autoSpaceDE/>
              <w:autoSpaceDN/>
              <w:adjustRightInd/>
              <w:jc w:val="center"/>
              <w:rPr>
                <w:color w:val="000000"/>
                <w:szCs w:val="20"/>
              </w:rPr>
            </w:pPr>
            <w:r>
              <w:rPr>
                <w:szCs w:val="20"/>
              </w:rPr>
              <w:t>2</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07F7F9B0" w14:textId="7CD388DC">
            <w:pPr>
              <w:widowControl/>
              <w:autoSpaceDE/>
              <w:autoSpaceDN/>
              <w:adjustRightInd/>
              <w:rPr>
                <w:color w:val="000000"/>
                <w:szCs w:val="20"/>
              </w:rPr>
            </w:pPr>
            <w:r w:rsidRPr="00BC3B86">
              <w:rPr>
                <w:color w:val="000000"/>
                <w:szCs w:val="20"/>
              </w:rPr>
              <w:t>CAHs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4F32923A" w14:textId="77777777">
            <w:pPr>
              <w:widowControl/>
              <w:autoSpaceDE/>
              <w:autoSpaceDN/>
              <w:adjustRightInd/>
              <w:jc w:val="center"/>
              <w:rPr>
                <w:color w:val="000000"/>
                <w:sz w:val="18"/>
                <w:szCs w:val="18"/>
              </w:rPr>
            </w:pPr>
            <w:r w:rsidRPr="00BE2E14">
              <w:rPr>
                <w:color w:val="000000"/>
                <w:sz w:val="18"/>
                <w:szCs w:val="18"/>
              </w:rPr>
              <w:t>§ 485.625(d)(1)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6220AB3C" w14:textId="77777777">
            <w:pPr>
              <w:widowControl/>
              <w:autoSpaceDE/>
              <w:autoSpaceDN/>
              <w:adjustRightInd/>
              <w:jc w:val="center"/>
              <w:rPr>
                <w:color w:val="000000"/>
                <w:szCs w:val="20"/>
              </w:rPr>
            </w:pPr>
            <w:r w:rsidRPr="00BC3B86">
              <w:rPr>
                <w:color w:val="000000"/>
                <w:szCs w:val="20"/>
              </w:rPr>
              <w:t>1,341</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1A5619C8" w14:textId="77777777">
            <w:pPr>
              <w:widowControl/>
              <w:autoSpaceDE/>
              <w:autoSpaceDN/>
              <w:adjustRightInd/>
              <w:jc w:val="center"/>
              <w:rPr>
                <w:color w:val="000000"/>
                <w:szCs w:val="20"/>
              </w:rPr>
            </w:pPr>
            <w:r w:rsidRPr="00BC3B86">
              <w:rPr>
                <w:color w:val="000000"/>
                <w:szCs w:val="20"/>
              </w:rPr>
              <w:t>1</w:t>
            </w:r>
            <w:r>
              <w:rPr>
                <w:color w:val="000000"/>
                <w:szCs w:val="20"/>
              </w:rPr>
              <w:t>,</w:t>
            </w:r>
            <w:r w:rsidRPr="00BC3B86">
              <w:rPr>
                <w:color w:val="000000"/>
                <w:szCs w:val="20"/>
              </w:rPr>
              <w:t>341</w:t>
            </w:r>
          </w:p>
        </w:tc>
        <w:tc>
          <w:tcPr>
            <w:tcW w:w="1080" w:type="dxa"/>
            <w:tcBorders>
              <w:top w:val="nil"/>
              <w:left w:val="nil"/>
              <w:bottom w:val="single" w:sz="4" w:space="0" w:color="auto"/>
              <w:right w:val="single" w:sz="4" w:space="0" w:color="auto"/>
            </w:tcBorders>
            <w:vAlign w:val="bottom"/>
            <w:hideMark/>
          </w:tcPr>
          <w:p w:rsidR="00232AE9" w:rsidRPr="00BC3B86" w:rsidP="00232AE9" w14:paraId="7427C03B" w14:textId="31ABDE5A">
            <w:pPr>
              <w:widowControl/>
              <w:autoSpaceDE/>
              <w:autoSpaceDN/>
              <w:adjustRightInd/>
              <w:jc w:val="center"/>
              <w:rPr>
                <w:color w:val="000000"/>
                <w:szCs w:val="20"/>
              </w:rPr>
            </w:pPr>
            <w:r w:rsidRPr="00BC3B86">
              <w:rPr>
                <w:color w:val="000000"/>
                <w:szCs w:val="20"/>
              </w:rPr>
              <w:t>7</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34068894" w14:textId="77777777">
            <w:pPr>
              <w:widowControl/>
              <w:autoSpaceDE/>
              <w:autoSpaceDN/>
              <w:adjustRightInd/>
              <w:jc w:val="center"/>
              <w:rPr>
                <w:color w:val="000000"/>
                <w:szCs w:val="20"/>
              </w:rPr>
            </w:pPr>
            <w:r w:rsidRPr="00BC3B86">
              <w:rPr>
                <w:color w:val="000000"/>
                <w:szCs w:val="20"/>
              </w:rPr>
              <w:t>9,387</w:t>
            </w:r>
          </w:p>
        </w:tc>
        <w:tc>
          <w:tcPr>
            <w:tcW w:w="829" w:type="dxa"/>
            <w:tcBorders>
              <w:top w:val="nil"/>
              <w:left w:val="nil"/>
              <w:bottom w:val="single" w:sz="4" w:space="0" w:color="auto"/>
              <w:right w:val="single" w:sz="4" w:space="0" w:color="auto"/>
            </w:tcBorders>
            <w:noWrap/>
            <w:vAlign w:val="center"/>
            <w:hideMark/>
          </w:tcPr>
          <w:p w:rsidR="00232AE9" w:rsidRPr="00BC3B86" w:rsidP="00232AE9" w14:paraId="79B25407"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494E8E92" w14:textId="77777777">
            <w:pPr>
              <w:widowControl/>
              <w:autoSpaceDE/>
              <w:autoSpaceDN/>
              <w:adjustRightInd/>
              <w:jc w:val="right"/>
              <w:rPr>
                <w:color w:val="000000"/>
                <w:szCs w:val="20"/>
              </w:rPr>
            </w:pPr>
            <w:r w:rsidRPr="00BC3B86">
              <w:rPr>
                <w:color w:val="000000"/>
                <w:szCs w:val="20"/>
              </w:rPr>
              <w:t>$3,013,227</w:t>
            </w:r>
          </w:p>
        </w:tc>
      </w:tr>
      <w:tr w14:paraId="529079F3"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6837BAAA" w14:textId="79B9C955">
            <w:pPr>
              <w:widowControl/>
              <w:autoSpaceDE/>
              <w:autoSpaceDN/>
              <w:adjustRightInd/>
              <w:jc w:val="center"/>
              <w:rPr>
                <w:color w:val="000000"/>
                <w:szCs w:val="20"/>
              </w:rPr>
            </w:pPr>
            <w:r>
              <w:rPr>
                <w:color w:val="000000"/>
                <w:szCs w:val="20"/>
              </w:rPr>
              <w:t>3</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20EDF6C1" w14:textId="740112B6">
            <w:pPr>
              <w:widowControl/>
              <w:autoSpaceDE/>
              <w:autoSpaceDN/>
              <w:adjustRightInd/>
              <w:rPr>
                <w:color w:val="000000"/>
                <w:szCs w:val="20"/>
              </w:rPr>
            </w:pPr>
            <w:r w:rsidRPr="00BC3B86">
              <w:rPr>
                <w:color w:val="000000"/>
                <w:szCs w:val="20"/>
              </w:rPr>
              <w:t>CMHCs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6420053B" w14:textId="77777777">
            <w:pPr>
              <w:widowControl/>
              <w:autoSpaceDE/>
              <w:autoSpaceDN/>
              <w:adjustRightInd/>
              <w:jc w:val="center"/>
              <w:rPr>
                <w:color w:val="000000"/>
                <w:sz w:val="18"/>
                <w:szCs w:val="18"/>
              </w:rPr>
            </w:pPr>
            <w:r w:rsidRPr="00BE2E14">
              <w:rPr>
                <w:color w:val="000000"/>
                <w:sz w:val="18"/>
                <w:szCs w:val="18"/>
              </w:rPr>
              <w:t>§ 485.920(d)(1)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3B758E56" w14:textId="77777777">
            <w:pPr>
              <w:widowControl/>
              <w:autoSpaceDE/>
              <w:autoSpaceDN/>
              <w:adjustRightInd/>
              <w:jc w:val="center"/>
              <w:rPr>
                <w:color w:val="000000"/>
                <w:szCs w:val="20"/>
              </w:rPr>
            </w:pPr>
            <w:r w:rsidRPr="00BC3B86">
              <w:rPr>
                <w:color w:val="000000"/>
                <w:szCs w:val="20"/>
              </w:rPr>
              <w:t>117</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27E25448" w14:textId="77777777">
            <w:pPr>
              <w:widowControl/>
              <w:autoSpaceDE/>
              <w:autoSpaceDN/>
              <w:adjustRightInd/>
              <w:jc w:val="center"/>
              <w:rPr>
                <w:color w:val="000000"/>
                <w:szCs w:val="20"/>
              </w:rPr>
            </w:pPr>
            <w:r w:rsidRPr="00BC3B86">
              <w:rPr>
                <w:color w:val="000000"/>
                <w:szCs w:val="20"/>
              </w:rPr>
              <w:t>117</w:t>
            </w:r>
          </w:p>
        </w:tc>
        <w:tc>
          <w:tcPr>
            <w:tcW w:w="1080" w:type="dxa"/>
            <w:tcBorders>
              <w:top w:val="nil"/>
              <w:left w:val="nil"/>
              <w:bottom w:val="single" w:sz="4" w:space="0" w:color="auto"/>
              <w:right w:val="single" w:sz="4" w:space="0" w:color="auto"/>
            </w:tcBorders>
            <w:vAlign w:val="bottom"/>
            <w:hideMark/>
          </w:tcPr>
          <w:p w:rsidR="00232AE9" w:rsidRPr="00BC3B86" w:rsidP="00232AE9" w14:paraId="30C81C3C" w14:textId="555FB726">
            <w:pPr>
              <w:widowControl/>
              <w:autoSpaceDE/>
              <w:autoSpaceDN/>
              <w:adjustRightInd/>
              <w:jc w:val="center"/>
              <w:rPr>
                <w:color w:val="000000"/>
                <w:szCs w:val="20"/>
              </w:rPr>
            </w:pPr>
            <w:r w:rsidRPr="00BC3B86">
              <w:rPr>
                <w:color w:val="000000"/>
                <w:szCs w:val="20"/>
              </w:rPr>
              <w:t>5</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07EFE79E" w14:textId="77777777">
            <w:pPr>
              <w:widowControl/>
              <w:autoSpaceDE/>
              <w:autoSpaceDN/>
              <w:adjustRightInd/>
              <w:jc w:val="center"/>
              <w:rPr>
                <w:color w:val="000000"/>
                <w:szCs w:val="20"/>
              </w:rPr>
            </w:pPr>
            <w:r w:rsidRPr="00BC3B86">
              <w:rPr>
                <w:color w:val="000000"/>
                <w:szCs w:val="20"/>
              </w:rPr>
              <w:t>585</w:t>
            </w:r>
          </w:p>
        </w:tc>
        <w:tc>
          <w:tcPr>
            <w:tcW w:w="829" w:type="dxa"/>
            <w:tcBorders>
              <w:top w:val="nil"/>
              <w:left w:val="nil"/>
              <w:bottom w:val="single" w:sz="4" w:space="0" w:color="auto"/>
              <w:right w:val="single" w:sz="4" w:space="0" w:color="auto"/>
            </w:tcBorders>
            <w:noWrap/>
            <w:vAlign w:val="center"/>
            <w:hideMark/>
          </w:tcPr>
          <w:p w:rsidR="00232AE9" w:rsidRPr="00BC3B86" w:rsidP="00232AE9" w14:paraId="19954642"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0EB50BC0" w14:textId="77777777">
            <w:pPr>
              <w:widowControl/>
              <w:autoSpaceDE/>
              <w:autoSpaceDN/>
              <w:adjustRightInd/>
              <w:jc w:val="right"/>
              <w:rPr>
                <w:color w:val="000000"/>
                <w:szCs w:val="20"/>
              </w:rPr>
            </w:pPr>
            <w:r w:rsidRPr="00BC3B86">
              <w:rPr>
                <w:color w:val="000000"/>
                <w:szCs w:val="20"/>
              </w:rPr>
              <w:t>$187,785</w:t>
            </w:r>
          </w:p>
        </w:tc>
      </w:tr>
      <w:tr w14:paraId="4C0A86AB"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6829DC98" w14:textId="676DC3BA">
            <w:pPr>
              <w:widowControl/>
              <w:autoSpaceDE/>
              <w:autoSpaceDN/>
              <w:adjustRightInd/>
              <w:jc w:val="center"/>
              <w:rPr>
                <w:color w:val="000000"/>
                <w:szCs w:val="20"/>
              </w:rPr>
            </w:pPr>
            <w:r>
              <w:rPr>
                <w:szCs w:val="20"/>
              </w:rPr>
              <w:t>4</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0BA337C5" w14:textId="3D00F0FD">
            <w:pPr>
              <w:widowControl/>
              <w:autoSpaceDE/>
              <w:autoSpaceDN/>
              <w:adjustRightInd/>
              <w:rPr>
                <w:color w:val="000000"/>
                <w:szCs w:val="20"/>
              </w:rPr>
            </w:pPr>
            <w:r w:rsidRPr="00BC3B86">
              <w:rPr>
                <w:color w:val="000000"/>
                <w:szCs w:val="20"/>
              </w:rPr>
              <w:t>CORFs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0F9F47E7" w14:textId="77777777">
            <w:pPr>
              <w:widowControl/>
              <w:autoSpaceDE/>
              <w:autoSpaceDN/>
              <w:adjustRightInd/>
              <w:jc w:val="center"/>
              <w:rPr>
                <w:color w:val="000000"/>
                <w:sz w:val="18"/>
                <w:szCs w:val="18"/>
              </w:rPr>
            </w:pPr>
            <w:r w:rsidRPr="00BE2E14">
              <w:rPr>
                <w:color w:val="000000"/>
                <w:sz w:val="18"/>
                <w:szCs w:val="18"/>
              </w:rPr>
              <w:t>§ 485.68(d)(1)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6C961965" w14:textId="77777777">
            <w:pPr>
              <w:widowControl/>
              <w:autoSpaceDE/>
              <w:autoSpaceDN/>
              <w:adjustRightInd/>
              <w:jc w:val="center"/>
              <w:rPr>
                <w:color w:val="000000"/>
                <w:szCs w:val="20"/>
              </w:rPr>
            </w:pPr>
            <w:r w:rsidRPr="00BC3B86">
              <w:rPr>
                <w:color w:val="000000"/>
                <w:szCs w:val="20"/>
              </w:rPr>
              <w:t>149</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55592589" w14:textId="77777777">
            <w:pPr>
              <w:widowControl/>
              <w:autoSpaceDE/>
              <w:autoSpaceDN/>
              <w:adjustRightInd/>
              <w:jc w:val="center"/>
              <w:rPr>
                <w:color w:val="000000"/>
                <w:szCs w:val="20"/>
              </w:rPr>
            </w:pPr>
            <w:r w:rsidRPr="00BC3B86">
              <w:rPr>
                <w:color w:val="000000"/>
                <w:szCs w:val="20"/>
              </w:rPr>
              <w:t>149</w:t>
            </w:r>
          </w:p>
        </w:tc>
        <w:tc>
          <w:tcPr>
            <w:tcW w:w="1080" w:type="dxa"/>
            <w:tcBorders>
              <w:top w:val="nil"/>
              <w:left w:val="nil"/>
              <w:bottom w:val="single" w:sz="4" w:space="0" w:color="auto"/>
              <w:right w:val="single" w:sz="4" w:space="0" w:color="auto"/>
            </w:tcBorders>
            <w:vAlign w:val="bottom"/>
            <w:hideMark/>
          </w:tcPr>
          <w:p w:rsidR="00232AE9" w:rsidRPr="00BC3B86" w:rsidP="00232AE9" w14:paraId="5801DDB2" w14:textId="2997E140">
            <w:pPr>
              <w:widowControl/>
              <w:autoSpaceDE/>
              <w:autoSpaceDN/>
              <w:adjustRightInd/>
              <w:jc w:val="center"/>
              <w:rPr>
                <w:color w:val="000000"/>
                <w:szCs w:val="20"/>
              </w:rPr>
            </w:pPr>
            <w:r w:rsidRPr="00BC3B86">
              <w:rPr>
                <w:color w:val="000000"/>
                <w:szCs w:val="20"/>
              </w:rPr>
              <w:t>4</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5AA2E934" w14:textId="77777777">
            <w:pPr>
              <w:widowControl/>
              <w:autoSpaceDE/>
              <w:autoSpaceDN/>
              <w:adjustRightInd/>
              <w:jc w:val="center"/>
              <w:rPr>
                <w:color w:val="000000"/>
                <w:szCs w:val="20"/>
              </w:rPr>
            </w:pPr>
            <w:r w:rsidRPr="00BC3B86">
              <w:rPr>
                <w:color w:val="000000"/>
                <w:szCs w:val="20"/>
              </w:rPr>
              <w:t>596</w:t>
            </w:r>
          </w:p>
        </w:tc>
        <w:tc>
          <w:tcPr>
            <w:tcW w:w="829" w:type="dxa"/>
            <w:tcBorders>
              <w:top w:val="nil"/>
              <w:left w:val="nil"/>
              <w:bottom w:val="single" w:sz="4" w:space="0" w:color="auto"/>
              <w:right w:val="single" w:sz="4" w:space="0" w:color="auto"/>
            </w:tcBorders>
            <w:noWrap/>
            <w:vAlign w:val="center"/>
            <w:hideMark/>
          </w:tcPr>
          <w:p w:rsidR="00232AE9" w:rsidRPr="00BC3B86" w:rsidP="00232AE9" w14:paraId="36D94D2D"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497296A8" w14:textId="77777777">
            <w:pPr>
              <w:widowControl/>
              <w:autoSpaceDE/>
              <w:autoSpaceDN/>
              <w:adjustRightInd/>
              <w:jc w:val="right"/>
              <w:rPr>
                <w:color w:val="000000"/>
                <w:szCs w:val="20"/>
              </w:rPr>
            </w:pPr>
            <w:r w:rsidRPr="00BC3B86">
              <w:rPr>
                <w:color w:val="000000"/>
                <w:szCs w:val="20"/>
              </w:rPr>
              <w:t>$191,316</w:t>
            </w:r>
          </w:p>
        </w:tc>
      </w:tr>
      <w:tr w14:paraId="2D06C568"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18FBDE69" w14:textId="78FAAE87">
            <w:pPr>
              <w:widowControl/>
              <w:autoSpaceDE/>
              <w:autoSpaceDN/>
              <w:adjustRightInd/>
              <w:jc w:val="center"/>
              <w:rPr>
                <w:color w:val="000000"/>
                <w:szCs w:val="20"/>
              </w:rPr>
            </w:pPr>
            <w:r>
              <w:rPr>
                <w:color w:val="000000"/>
                <w:szCs w:val="20"/>
              </w:rPr>
              <w:t>5</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4ADD2D94" w14:textId="2900A663">
            <w:pPr>
              <w:widowControl/>
              <w:autoSpaceDE/>
              <w:autoSpaceDN/>
              <w:adjustRightInd/>
              <w:rPr>
                <w:color w:val="000000"/>
                <w:szCs w:val="20"/>
              </w:rPr>
            </w:pPr>
            <w:r w:rsidRPr="00BC3B86">
              <w:rPr>
                <w:color w:val="000000"/>
                <w:szCs w:val="20"/>
              </w:rPr>
              <w:t>ESRD Facilities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222A7057" w14:textId="77777777">
            <w:pPr>
              <w:widowControl/>
              <w:autoSpaceDE/>
              <w:autoSpaceDN/>
              <w:adjustRightInd/>
              <w:jc w:val="center"/>
              <w:rPr>
                <w:color w:val="000000"/>
                <w:sz w:val="18"/>
                <w:szCs w:val="18"/>
              </w:rPr>
            </w:pPr>
            <w:r w:rsidRPr="00BE2E14">
              <w:rPr>
                <w:color w:val="000000"/>
                <w:sz w:val="18"/>
                <w:szCs w:val="18"/>
              </w:rPr>
              <w:t>§ 494.62(d)(1)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512490D2" w14:textId="77777777">
            <w:pPr>
              <w:widowControl/>
              <w:autoSpaceDE/>
              <w:autoSpaceDN/>
              <w:adjustRightInd/>
              <w:jc w:val="center"/>
              <w:rPr>
                <w:color w:val="000000"/>
                <w:szCs w:val="20"/>
              </w:rPr>
            </w:pPr>
            <w:r w:rsidRPr="00BC3B86">
              <w:rPr>
                <w:color w:val="000000"/>
                <w:szCs w:val="20"/>
              </w:rPr>
              <w:t>7,844</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02D4B29E" w14:textId="77777777">
            <w:pPr>
              <w:widowControl/>
              <w:autoSpaceDE/>
              <w:autoSpaceDN/>
              <w:adjustRightInd/>
              <w:jc w:val="center"/>
              <w:rPr>
                <w:color w:val="000000"/>
                <w:szCs w:val="20"/>
              </w:rPr>
            </w:pPr>
            <w:r w:rsidRPr="00BC3B86">
              <w:rPr>
                <w:color w:val="000000"/>
                <w:szCs w:val="20"/>
              </w:rPr>
              <w:t>7</w:t>
            </w:r>
            <w:r>
              <w:rPr>
                <w:color w:val="000000"/>
                <w:szCs w:val="20"/>
              </w:rPr>
              <w:t>,</w:t>
            </w:r>
            <w:r w:rsidRPr="00BC3B86">
              <w:rPr>
                <w:color w:val="000000"/>
                <w:szCs w:val="20"/>
              </w:rPr>
              <w:t>844</w:t>
            </w:r>
          </w:p>
        </w:tc>
        <w:tc>
          <w:tcPr>
            <w:tcW w:w="1080" w:type="dxa"/>
            <w:tcBorders>
              <w:top w:val="nil"/>
              <w:left w:val="nil"/>
              <w:bottom w:val="single" w:sz="4" w:space="0" w:color="auto"/>
              <w:right w:val="single" w:sz="4" w:space="0" w:color="auto"/>
            </w:tcBorders>
            <w:vAlign w:val="bottom"/>
            <w:hideMark/>
          </w:tcPr>
          <w:p w:rsidR="00232AE9" w:rsidRPr="00BC3B86" w:rsidP="00232AE9" w14:paraId="34D50136" w14:textId="77777777">
            <w:pPr>
              <w:widowControl/>
              <w:autoSpaceDE/>
              <w:autoSpaceDN/>
              <w:adjustRightInd/>
              <w:jc w:val="center"/>
              <w:rPr>
                <w:color w:val="000000"/>
                <w:szCs w:val="20"/>
              </w:rPr>
            </w:pPr>
            <w:r w:rsidRPr="00BC3B86">
              <w:rPr>
                <w:color w:val="000000"/>
                <w:szCs w:val="20"/>
              </w:rPr>
              <w:t>3.5</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6A9C35BB" w14:textId="77777777">
            <w:pPr>
              <w:widowControl/>
              <w:autoSpaceDE/>
              <w:autoSpaceDN/>
              <w:adjustRightInd/>
              <w:jc w:val="center"/>
              <w:rPr>
                <w:color w:val="000000"/>
                <w:szCs w:val="20"/>
              </w:rPr>
            </w:pPr>
            <w:r w:rsidRPr="00BC3B86">
              <w:rPr>
                <w:color w:val="000000"/>
                <w:szCs w:val="20"/>
              </w:rPr>
              <w:t>27,454</w:t>
            </w:r>
          </w:p>
        </w:tc>
        <w:tc>
          <w:tcPr>
            <w:tcW w:w="829" w:type="dxa"/>
            <w:tcBorders>
              <w:top w:val="nil"/>
              <w:left w:val="nil"/>
              <w:bottom w:val="single" w:sz="4" w:space="0" w:color="auto"/>
              <w:right w:val="single" w:sz="4" w:space="0" w:color="auto"/>
            </w:tcBorders>
            <w:noWrap/>
            <w:vAlign w:val="center"/>
            <w:hideMark/>
          </w:tcPr>
          <w:p w:rsidR="00232AE9" w:rsidRPr="00BC3B86" w:rsidP="00232AE9" w14:paraId="05C631DC" w14:textId="77777777">
            <w:pPr>
              <w:widowControl/>
              <w:autoSpaceDE/>
              <w:autoSpaceDN/>
              <w:adjustRightInd/>
              <w:jc w:val="center"/>
              <w:rPr>
                <w:color w:val="000000"/>
                <w:szCs w:val="20"/>
              </w:rPr>
            </w:pPr>
            <w:r w:rsidRPr="00CF6A07">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1F73801E" w14:textId="77777777">
            <w:pPr>
              <w:widowControl/>
              <w:autoSpaceDE/>
              <w:autoSpaceDN/>
              <w:adjustRightInd/>
              <w:jc w:val="right"/>
              <w:rPr>
                <w:color w:val="000000"/>
                <w:szCs w:val="20"/>
              </w:rPr>
            </w:pPr>
            <w:r w:rsidRPr="00BC3B86">
              <w:rPr>
                <w:color w:val="000000"/>
                <w:szCs w:val="20"/>
              </w:rPr>
              <w:t>$8,812,734</w:t>
            </w:r>
          </w:p>
        </w:tc>
      </w:tr>
      <w:tr w14:paraId="7BB6C5EA"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6382996D" w14:textId="440669D4">
            <w:pPr>
              <w:widowControl/>
              <w:autoSpaceDE/>
              <w:autoSpaceDN/>
              <w:adjustRightInd/>
              <w:jc w:val="center"/>
              <w:rPr>
                <w:color w:val="000000"/>
                <w:szCs w:val="20"/>
              </w:rPr>
            </w:pPr>
            <w:r>
              <w:rPr>
                <w:color w:val="000000"/>
                <w:szCs w:val="20"/>
              </w:rPr>
              <w:t>6</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77CFFDB2" w14:textId="11902FB3">
            <w:pPr>
              <w:widowControl/>
              <w:autoSpaceDE/>
              <w:autoSpaceDN/>
              <w:adjustRightInd/>
              <w:rPr>
                <w:color w:val="000000"/>
                <w:szCs w:val="20"/>
              </w:rPr>
            </w:pPr>
            <w:r w:rsidRPr="00BC3B86">
              <w:rPr>
                <w:color w:val="000000"/>
                <w:szCs w:val="20"/>
              </w:rPr>
              <w:t>FQHCs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01448A7B" w14:textId="77777777">
            <w:pPr>
              <w:widowControl/>
              <w:autoSpaceDE/>
              <w:autoSpaceDN/>
              <w:adjustRightInd/>
              <w:jc w:val="center"/>
              <w:rPr>
                <w:color w:val="000000"/>
                <w:sz w:val="18"/>
                <w:szCs w:val="18"/>
              </w:rPr>
            </w:pPr>
            <w:r w:rsidRPr="00BE2E14">
              <w:rPr>
                <w:color w:val="000000"/>
                <w:sz w:val="18"/>
                <w:szCs w:val="18"/>
              </w:rPr>
              <w:t>§ 491.12(d)(1)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3D814B0E" w14:textId="77777777">
            <w:pPr>
              <w:widowControl/>
              <w:autoSpaceDE/>
              <w:autoSpaceDN/>
              <w:adjustRightInd/>
              <w:jc w:val="center"/>
              <w:rPr>
                <w:color w:val="000000"/>
                <w:szCs w:val="20"/>
              </w:rPr>
            </w:pPr>
            <w:r w:rsidRPr="00BC3B86">
              <w:rPr>
                <w:color w:val="000000"/>
                <w:szCs w:val="20"/>
              </w:rPr>
              <w:t>11,850</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24291EAC" w14:textId="77777777">
            <w:pPr>
              <w:widowControl/>
              <w:autoSpaceDE/>
              <w:autoSpaceDN/>
              <w:adjustRightInd/>
              <w:jc w:val="center"/>
              <w:rPr>
                <w:color w:val="000000"/>
                <w:szCs w:val="20"/>
              </w:rPr>
            </w:pPr>
            <w:r w:rsidRPr="00BC3B86">
              <w:rPr>
                <w:color w:val="000000"/>
                <w:szCs w:val="20"/>
              </w:rPr>
              <w:t>11</w:t>
            </w:r>
            <w:r>
              <w:rPr>
                <w:color w:val="000000"/>
                <w:szCs w:val="20"/>
              </w:rPr>
              <w:t>,</w:t>
            </w:r>
            <w:r w:rsidRPr="00BC3B86">
              <w:rPr>
                <w:color w:val="000000"/>
                <w:szCs w:val="20"/>
              </w:rPr>
              <w:t>850</w:t>
            </w:r>
          </w:p>
        </w:tc>
        <w:tc>
          <w:tcPr>
            <w:tcW w:w="1080" w:type="dxa"/>
            <w:tcBorders>
              <w:top w:val="nil"/>
              <w:left w:val="nil"/>
              <w:bottom w:val="single" w:sz="4" w:space="0" w:color="auto"/>
              <w:right w:val="single" w:sz="4" w:space="0" w:color="auto"/>
            </w:tcBorders>
            <w:vAlign w:val="bottom"/>
            <w:hideMark/>
          </w:tcPr>
          <w:p w:rsidR="00232AE9" w:rsidRPr="00BC3B86" w:rsidP="00232AE9" w14:paraId="588A6F78" w14:textId="5BBA50B2">
            <w:pPr>
              <w:widowControl/>
              <w:autoSpaceDE/>
              <w:autoSpaceDN/>
              <w:adjustRightInd/>
              <w:jc w:val="center"/>
              <w:rPr>
                <w:color w:val="000000"/>
                <w:szCs w:val="20"/>
              </w:rPr>
            </w:pPr>
            <w:r w:rsidRPr="00BC3B86">
              <w:rPr>
                <w:color w:val="000000"/>
                <w:szCs w:val="20"/>
              </w:rPr>
              <w:t>5</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51E33745" w14:textId="77777777">
            <w:pPr>
              <w:widowControl/>
              <w:autoSpaceDE/>
              <w:autoSpaceDN/>
              <w:adjustRightInd/>
              <w:jc w:val="center"/>
              <w:rPr>
                <w:color w:val="000000"/>
                <w:szCs w:val="20"/>
              </w:rPr>
            </w:pPr>
            <w:r w:rsidRPr="00BC3B86">
              <w:rPr>
                <w:color w:val="000000"/>
                <w:szCs w:val="20"/>
              </w:rPr>
              <w:t>59,250</w:t>
            </w:r>
          </w:p>
        </w:tc>
        <w:tc>
          <w:tcPr>
            <w:tcW w:w="829" w:type="dxa"/>
            <w:tcBorders>
              <w:top w:val="nil"/>
              <w:left w:val="nil"/>
              <w:bottom w:val="single" w:sz="4" w:space="0" w:color="auto"/>
              <w:right w:val="single" w:sz="4" w:space="0" w:color="auto"/>
            </w:tcBorders>
            <w:noWrap/>
            <w:vAlign w:val="center"/>
            <w:hideMark/>
          </w:tcPr>
          <w:p w:rsidR="00232AE9" w:rsidRPr="00BC3B86" w:rsidP="00232AE9" w14:paraId="14CC2264" w14:textId="77777777">
            <w:pPr>
              <w:widowControl/>
              <w:autoSpaceDE/>
              <w:autoSpaceDN/>
              <w:adjustRightInd/>
              <w:jc w:val="center"/>
              <w:rPr>
                <w:color w:val="000000"/>
                <w:szCs w:val="20"/>
              </w:rPr>
            </w:pPr>
            <w:r w:rsidRPr="00CF6A07">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76502560" w14:textId="77777777">
            <w:pPr>
              <w:widowControl/>
              <w:autoSpaceDE/>
              <w:autoSpaceDN/>
              <w:adjustRightInd/>
              <w:jc w:val="right"/>
              <w:rPr>
                <w:color w:val="000000"/>
                <w:szCs w:val="20"/>
              </w:rPr>
            </w:pPr>
            <w:r w:rsidRPr="00BC3B86">
              <w:rPr>
                <w:color w:val="000000"/>
                <w:szCs w:val="20"/>
              </w:rPr>
              <w:t>$19,019,250</w:t>
            </w:r>
          </w:p>
        </w:tc>
      </w:tr>
      <w:tr w14:paraId="48C19D49"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00ABE646" w14:textId="4516BC5D">
            <w:pPr>
              <w:widowControl/>
              <w:autoSpaceDE/>
              <w:autoSpaceDN/>
              <w:adjustRightInd/>
              <w:jc w:val="center"/>
              <w:rPr>
                <w:color w:val="000000"/>
                <w:szCs w:val="20"/>
              </w:rPr>
            </w:pPr>
            <w:r>
              <w:rPr>
                <w:szCs w:val="20"/>
              </w:rPr>
              <w:t>7</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2DD38D88" w14:textId="2444DBAB">
            <w:pPr>
              <w:widowControl/>
              <w:autoSpaceDE/>
              <w:autoSpaceDN/>
              <w:adjustRightInd/>
              <w:rPr>
                <w:color w:val="000000"/>
                <w:szCs w:val="20"/>
              </w:rPr>
            </w:pPr>
            <w:r w:rsidRPr="00BC3B86">
              <w:rPr>
                <w:color w:val="000000"/>
                <w:szCs w:val="20"/>
              </w:rPr>
              <w:t>HHAs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27E9670F" w14:textId="77777777">
            <w:pPr>
              <w:widowControl/>
              <w:autoSpaceDE/>
              <w:autoSpaceDN/>
              <w:adjustRightInd/>
              <w:jc w:val="center"/>
              <w:rPr>
                <w:color w:val="000000"/>
                <w:sz w:val="18"/>
                <w:szCs w:val="18"/>
              </w:rPr>
            </w:pPr>
            <w:r w:rsidRPr="00BE2E14">
              <w:rPr>
                <w:color w:val="000000"/>
                <w:sz w:val="18"/>
                <w:szCs w:val="18"/>
              </w:rPr>
              <w:t>§ 484.102(d)(1)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40237D52" w14:textId="77777777">
            <w:pPr>
              <w:widowControl/>
              <w:autoSpaceDE/>
              <w:autoSpaceDN/>
              <w:adjustRightInd/>
              <w:jc w:val="center"/>
              <w:rPr>
                <w:color w:val="000000"/>
                <w:szCs w:val="20"/>
              </w:rPr>
            </w:pPr>
            <w:r w:rsidRPr="00BC3B86">
              <w:rPr>
                <w:color w:val="000000"/>
                <w:szCs w:val="20"/>
              </w:rPr>
              <w:t>8,925</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2C8B8895" w14:textId="77777777">
            <w:pPr>
              <w:widowControl/>
              <w:autoSpaceDE/>
              <w:autoSpaceDN/>
              <w:adjustRightInd/>
              <w:jc w:val="center"/>
              <w:rPr>
                <w:color w:val="000000"/>
                <w:szCs w:val="20"/>
              </w:rPr>
            </w:pPr>
            <w:r w:rsidRPr="00BC3B86">
              <w:rPr>
                <w:color w:val="000000"/>
                <w:szCs w:val="20"/>
              </w:rPr>
              <w:t>8</w:t>
            </w:r>
            <w:r>
              <w:rPr>
                <w:color w:val="000000"/>
                <w:szCs w:val="20"/>
              </w:rPr>
              <w:t>,</w:t>
            </w:r>
            <w:r w:rsidRPr="00BC3B86">
              <w:rPr>
                <w:color w:val="000000"/>
                <w:szCs w:val="20"/>
              </w:rPr>
              <w:t>925</w:t>
            </w:r>
          </w:p>
        </w:tc>
        <w:tc>
          <w:tcPr>
            <w:tcW w:w="1080" w:type="dxa"/>
            <w:tcBorders>
              <w:top w:val="nil"/>
              <w:left w:val="nil"/>
              <w:bottom w:val="single" w:sz="4" w:space="0" w:color="auto"/>
              <w:right w:val="single" w:sz="4" w:space="0" w:color="auto"/>
            </w:tcBorders>
            <w:vAlign w:val="bottom"/>
            <w:hideMark/>
          </w:tcPr>
          <w:p w:rsidR="00232AE9" w:rsidRPr="00BC3B86" w:rsidP="00232AE9" w14:paraId="00039526" w14:textId="5CB2CE5F">
            <w:pPr>
              <w:widowControl/>
              <w:autoSpaceDE/>
              <w:autoSpaceDN/>
              <w:adjustRightInd/>
              <w:jc w:val="center"/>
              <w:rPr>
                <w:color w:val="000000"/>
                <w:szCs w:val="20"/>
              </w:rPr>
            </w:pPr>
            <w:r w:rsidRPr="00BC3B86">
              <w:rPr>
                <w:color w:val="000000"/>
                <w:szCs w:val="20"/>
              </w:rPr>
              <w:t>8</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247D7E31" w14:textId="77777777">
            <w:pPr>
              <w:widowControl/>
              <w:autoSpaceDE/>
              <w:autoSpaceDN/>
              <w:adjustRightInd/>
              <w:jc w:val="center"/>
              <w:rPr>
                <w:color w:val="000000"/>
                <w:szCs w:val="20"/>
              </w:rPr>
            </w:pPr>
            <w:r w:rsidRPr="00BC3B86">
              <w:rPr>
                <w:color w:val="000000"/>
                <w:szCs w:val="20"/>
              </w:rPr>
              <w:t>71,400</w:t>
            </w:r>
          </w:p>
        </w:tc>
        <w:tc>
          <w:tcPr>
            <w:tcW w:w="829" w:type="dxa"/>
            <w:tcBorders>
              <w:top w:val="nil"/>
              <w:left w:val="nil"/>
              <w:bottom w:val="single" w:sz="4" w:space="0" w:color="auto"/>
              <w:right w:val="single" w:sz="4" w:space="0" w:color="auto"/>
            </w:tcBorders>
            <w:noWrap/>
            <w:vAlign w:val="center"/>
            <w:hideMark/>
          </w:tcPr>
          <w:p w:rsidR="00232AE9" w:rsidRPr="00BC3B86" w:rsidP="00232AE9" w14:paraId="7D5ED7CB"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3A89850A" w14:textId="77777777">
            <w:pPr>
              <w:widowControl/>
              <w:autoSpaceDE/>
              <w:autoSpaceDN/>
              <w:adjustRightInd/>
              <w:jc w:val="right"/>
              <w:rPr>
                <w:color w:val="000000"/>
                <w:szCs w:val="20"/>
              </w:rPr>
            </w:pPr>
            <w:r w:rsidRPr="00BC3B86">
              <w:rPr>
                <w:color w:val="000000"/>
                <w:szCs w:val="20"/>
              </w:rPr>
              <w:t>$22,919,400</w:t>
            </w:r>
          </w:p>
        </w:tc>
      </w:tr>
      <w:tr w14:paraId="30608D54"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6BB5B0A5" w14:textId="1445072A">
            <w:pPr>
              <w:widowControl/>
              <w:autoSpaceDE/>
              <w:autoSpaceDN/>
              <w:adjustRightInd/>
              <w:jc w:val="center"/>
              <w:rPr>
                <w:color w:val="000000"/>
                <w:szCs w:val="20"/>
              </w:rPr>
            </w:pPr>
            <w:r>
              <w:rPr>
                <w:szCs w:val="20"/>
              </w:rPr>
              <w:t>8</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46BBCC64" w14:textId="5DADB2EA">
            <w:pPr>
              <w:widowControl/>
              <w:autoSpaceDE/>
              <w:autoSpaceDN/>
              <w:adjustRightInd/>
              <w:rPr>
                <w:color w:val="000000"/>
                <w:szCs w:val="20"/>
              </w:rPr>
            </w:pPr>
            <w:r w:rsidRPr="00BC3B86">
              <w:rPr>
                <w:color w:val="000000"/>
                <w:szCs w:val="20"/>
              </w:rPr>
              <w:t>Hospices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2D9CEE1F" w14:textId="77777777">
            <w:pPr>
              <w:widowControl/>
              <w:autoSpaceDE/>
              <w:autoSpaceDN/>
              <w:adjustRightInd/>
              <w:jc w:val="center"/>
              <w:rPr>
                <w:color w:val="000000"/>
                <w:sz w:val="18"/>
                <w:szCs w:val="18"/>
              </w:rPr>
            </w:pPr>
            <w:r w:rsidRPr="00BE2E14">
              <w:rPr>
                <w:color w:val="000000"/>
                <w:sz w:val="18"/>
                <w:szCs w:val="18"/>
              </w:rPr>
              <w:t>§ 418.113(d)(1)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7867F446" w14:textId="77777777">
            <w:pPr>
              <w:widowControl/>
              <w:autoSpaceDE/>
              <w:autoSpaceDN/>
              <w:adjustRightInd/>
              <w:jc w:val="center"/>
              <w:rPr>
                <w:color w:val="000000"/>
                <w:szCs w:val="20"/>
              </w:rPr>
            </w:pPr>
            <w:r w:rsidRPr="00BC3B86">
              <w:rPr>
                <w:color w:val="000000"/>
                <w:szCs w:val="20"/>
              </w:rPr>
              <w:t>6,266</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4713198A" w14:textId="77777777">
            <w:pPr>
              <w:widowControl/>
              <w:autoSpaceDE/>
              <w:autoSpaceDN/>
              <w:adjustRightInd/>
              <w:jc w:val="center"/>
              <w:rPr>
                <w:color w:val="000000"/>
                <w:szCs w:val="20"/>
              </w:rPr>
            </w:pPr>
            <w:r w:rsidRPr="00BC3B86">
              <w:rPr>
                <w:color w:val="000000"/>
                <w:szCs w:val="20"/>
              </w:rPr>
              <w:t>6</w:t>
            </w:r>
            <w:r>
              <w:rPr>
                <w:color w:val="000000"/>
                <w:szCs w:val="20"/>
              </w:rPr>
              <w:t>,</w:t>
            </w:r>
            <w:r w:rsidRPr="00BC3B86">
              <w:rPr>
                <w:color w:val="000000"/>
                <w:szCs w:val="20"/>
              </w:rPr>
              <w:t>266</w:t>
            </w:r>
          </w:p>
        </w:tc>
        <w:tc>
          <w:tcPr>
            <w:tcW w:w="1080" w:type="dxa"/>
            <w:tcBorders>
              <w:top w:val="nil"/>
              <w:left w:val="nil"/>
              <w:bottom w:val="single" w:sz="4" w:space="0" w:color="auto"/>
              <w:right w:val="single" w:sz="4" w:space="0" w:color="auto"/>
            </w:tcBorders>
            <w:vAlign w:val="bottom"/>
            <w:hideMark/>
          </w:tcPr>
          <w:p w:rsidR="00232AE9" w:rsidRPr="00BC3B86" w:rsidP="00232AE9" w14:paraId="42C7A391" w14:textId="43082305">
            <w:pPr>
              <w:widowControl/>
              <w:autoSpaceDE/>
              <w:autoSpaceDN/>
              <w:adjustRightInd/>
              <w:jc w:val="center"/>
              <w:rPr>
                <w:color w:val="000000"/>
                <w:szCs w:val="20"/>
              </w:rPr>
            </w:pPr>
            <w:r w:rsidRPr="00BC3B86">
              <w:rPr>
                <w:color w:val="000000"/>
                <w:szCs w:val="20"/>
              </w:rPr>
              <w:t>3</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7FDAC2BF" w14:textId="77777777">
            <w:pPr>
              <w:widowControl/>
              <w:autoSpaceDE/>
              <w:autoSpaceDN/>
              <w:adjustRightInd/>
              <w:jc w:val="center"/>
              <w:rPr>
                <w:color w:val="000000"/>
                <w:szCs w:val="20"/>
              </w:rPr>
            </w:pPr>
            <w:r w:rsidRPr="00BC3B86">
              <w:rPr>
                <w:color w:val="000000"/>
                <w:szCs w:val="20"/>
              </w:rPr>
              <w:t>18,798</w:t>
            </w:r>
          </w:p>
        </w:tc>
        <w:tc>
          <w:tcPr>
            <w:tcW w:w="829" w:type="dxa"/>
            <w:tcBorders>
              <w:top w:val="nil"/>
              <w:left w:val="nil"/>
              <w:bottom w:val="single" w:sz="4" w:space="0" w:color="auto"/>
              <w:right w:val="single" w:sz="4" w:space="0" w:color="auto"/>
            </w:tcBorders>
            <w:noWrap/>
            <w:vAlign w:val="center"/>
            <w:hideMark/>
          </w:tcPr>
          <w:p w:rsidR="00232AE9" w:rsidRPr="00BC3B86" w:rsidP="00232AE9" w14:paraId="066E07C3"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462C6662" w14:textId="77777777">
            <w:pPr>
              <w:widowControl/>
              <w:autoSpaceDE/>
              <w:autoSpaceDN/>
              <w:adjustRightInd/>
              <w:jc w:val="right"/>
              <w:rPr>
                <w:color w:val="000000"/>
                <w:szCs w:val="20"/>
              </w:rPr>
            </w:pPr>
            <w:r w:rsidRPr="00BC3B86">
              <w:rPr>
                <w:color w:val="000000"/>
                <w:szCs w:val="20"/>
              </w:rPr>
              <w:t>$6,034,158</w:t>
            </w:r>
          </w:p>
        </w:tc>
      </w:tr>
      <w:tr w14:paraId="5087C6F3"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12F4E20E" w14:textId="3730A5C2">
            <w:pPr>
              <w:widowControl/>
              <w:autoSpaceDE/>
              <w:autoSpaceDN/>
              <w:adjustRightInd/>
              <w:jc w:val="center"/>
              <w:rPr>
                <w:szCs w:val="20"/>
              </w:rPr>
            </w:pPr>
            <w:r>
              <w:rPr>
                <w:szCs w:val="20"/>
              </w:rPr>
              <w:t>9</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031A8D30" w14:textId="344695FD">
            <w:pPr>
              <w:widowControl/>
              <w:autoSpaceDE/>
              <w:autoSpaceDN/>
              <w:adjustRightInd/>
              <w:rPr>
                <w:szCs w:val="20"/>
              </w:rPr>
            </w:pPr>
            <w:r w:rsidRPr="00BC3B86">
              <w:rPr>
                <w:szCs w:val="20"/>
              </w:rPr>
              <w:t>Hospitals</w:t>
            </w:r>
            <w:r>
              <w:rPr>
                <w:szCs w:val="20"/>
              </w:rPr>
              <w:t xml:space="preserve"> - </w:t>
            </w:r>
            <w:r w:rsidRPr="00BC3B86">
              <w:rPr>
                <w:szCs w:val="20"/>
              </w:rPr>
              <w:t>Non-TJC Accredited</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2CA70A5C" w14:textId="77777777">
            <w:pPr>
              <w:widowControl/>
              <w:autoSpaceDE/>
              <w:autoSpaceDN/>
              <w:adjustRightInd/>
              <w:jc w:val="center"/>
              <w:rPr>
                <w:color w:val="000000"/>
                <w:sz w:val="18"/>
                <w:szCs w:val="18"/>
              </w:rPr>
            </w:pPr>
            <w:r w:rsidRPr="00BE2E14">
              <w:rPr>
                <w:color w:val="000000"/>
                <w:sz w:val="18"/>
                <w:szCs w:val="18"/>
              </w:rPr>
              <w:t>§ 482.15(d)(1)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1F452D70" w14:textId="77777777">
            <w:pPr>
              <w:widowControl/>
              <w:autoSpaceDE/>
              <w:autoSpaceDN/>
              <w:adjustRightInd/>
              <w:jc w:val="center"/>
              <w:rPr>
                <w:color w:val="000000"/>
                <w:szCs w:val="20"/>
              </w:rPr>
            </w:pPr>
            <w:r w:rsidRPr="00BC3B86">
              <w:rPr>
                <w:color w:val="000000"/>
                <w:szCs w:val="20"/>
              </w:rPr>
              <w:t>1,121</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3BECED24" w14:textId="77777777">
            <w:pPr>
              <w:widowControl/>
              <w:autoSpaceDE/>
              <w:autoSpaceDN/>
              <w:adjustRightInd/>
              <w:jc w:val="center"/>
              <w:rPr>
                <w:color w:val="000000"/>
                <w:szCs w:val="20"/>
              </w:rPr>
            </w:pPr>
            <w:r w:rsidRPr="00BC3B86">
              <w:rPr>
                <w:color w:val="000000"/>
                <w:szCs w:val="20"/>
              </w:rPr>
              <w:t>1</w:t>
            </w:r>
            <w:r>
              <w:rPr>
                <w:color w:val="000000"/>
                <w:szCs w:val="20"/>
              </w:rPr>
              <w:t>,</w:t>
            </w:r>
            <w:r w:rsidRPr="00BC3B86">
              <w:rPr>
                <w:color w:val="000000"/>
                <w:szCs w:val="20"/>
              </w:rPr>
              <w:t>121</w:t>
            </w:r>
          </w:p>
        </w:tc>
        <w:tc>
          <w:tcPr>
            <w:tcW w:w="1080" w:type="dxa"/>
            <w:tcBorders>
              <w:top w:val="nil"/>
              <w:left w:val="nil"/>
              <w:bottom w:val="single" w:sz="4" w:space="0" w:color="auto"/>
              <w:right w:val="single" w:sz="4" w:space="0" w:color="auto"/>
            </w:tcBorders>
            <w:vAlign w:val="bottom"/>
            <w:hideMark/>
          </w:tcPr>
          <w:p w:rsidR="00232AE9" w:rsidRPr="00BC3B86" w:rsidP="00232AE9" w14:paraId="0B52548D" w14:textId="694C5688">
            <w:pPr>
              <w:widowControl/>
              <w:autoSpaceDE/>
              <w:autoSpaceDN/>
              <w:adjustRightInd/>
              <w:jc w:val="center"/>
              <w:rPr>
                <w:color w:val="000000"/>
                <w:szCs w:val="20"/>
              </w:rPr>
            </w:pPr>
            <w:r w:rsidRPr="00BC3B86">
              <w:rPr>
                <w:color w:val="000000"/>
                <w:szCs w:val="20"/>
              </w:rPr>
              <w:t>20</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708249DC" w14:textId="77777777">
            <w:pPr>
              <w:widowControl/>
              <w:autoSpaceDE/>
              <w:autoSpaceDN/>
              <w:adjustRightInd/>
              <w:jc w:val="center"/>
              <w:rPr>
                <w:color w:val="000000"/>
                <w:szCs w:val="20"/>
              </w:rPr>
            </w:pPr>
            <w:r w:rsidRPr="00BC3B86">
              <w:rPr>
                <w:color w:val="000000"/>
                <w:szCs w:val="20"/>
              </w:rPr>
              <w:t>22,420</w:t>
            </w:r>
          </w:p>
        </w:tc>
        <w:tc>
          <w:tcPr>
            <w:tcW w:w="829" w:type="dxa"/>
            <w:tcBorders>
              <w:top w:val="nil"/>
              <w:left w:val="nil"/>
              <w:bottom w:val="single" w:sz="4" w:space="0" w:color="auto"/>
              <w:right w:val="single" w:sz="4" w:space="0" w:color="auto"/>
            </w:tcBorders>
            <w:noWrap/>
            <w:vAlign w:val="center"/>
            <w:hideMark/>
          </w:tcPr>
          <w:p w:rsidR="00232AE9" w:rsidRPr="00BC3B86" w:rsidP="00232AE9" w14:paraId="5158764E"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49BF7211" w14:textId="77777777">
            <w:pPr>
              <w:widowControl/>
              <w:autoSpaceDE/>
              <w:autoSpaceDN/>
              <w:adjustRightInd/>
              <w:jc w:val="right"/>
              <w:rPr>
                <w:color w:val="000000"/>
                <w:szCs w:val="20"/>
              </w:rPr>
            </w:pPr>
            <w:r w:rsidRPr="00BC3B86">
              <w:rPr>
                <w:color w:val="000000"/>
                <w:szCs w:val="20"/>
              </w:rPr>
              <w:t>$7,196,820</w:t>
            </w:r>
          </w:p>
        </w:tc>
      </w:tr>
      <w:tr w14:paraId="509FE403"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6E57038F" w14:textId="6053D299">
            <w:pPr>
              <w:widowControl/>
              <w:autoSpaceDE/>
              <w:autoSpaceDN/>
              <w:adjustRightInd/>
              <w:jc w:val="center"/>
              <w:rPr>
                <w:color w:val="000000"/>
                <w:szCs w:val="20"/>
              </w:rPr>
            </w:pPr>
            <w:r>
              <w:rPr>
                <w:color w:val="000000"/>
                <w:szCs w:val="20"/>
              </w:rPr>
              <w:t>10</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03E82AC7" w14:textId="5790F014">
            <w:pPr>
              <w:widowControl/>
              <w:autoSpaceDE/>
              <w:autoSpaceDN/>
              <w:adjustRightInd/>
              <w:rPr>
                <w:color w:val="000000"/>
                <w:szCs w:val="20"/>
              </w:rPr>
            </w:pPr>
            <w:r w:rsidRPr="00BC3B86">
              <w:rPr>
                <w:color w:val="000000"/>
                <w:szCs w:val="20"/>
              </w:rPr>
              <w:t>ICF/IIDs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7CBDC73E" w14:textId="77777777">
            <w:pPr>
              <w:widowControl/>
              <w:autoSpaceDE/>
              <w:autoSpaceDN/>
              <w:adjustRightInd/>
              <w:jc w:val="center"/>
              <w:rPr>
                <w:color w:val="000000"/>
                <w:sz w:val="18"/>
                <w:szCs w:val="18"/>
              </w:rPr>
            </w:pPr>
            <w:r w:rsidRPr="00BE2E14">
              <w:rPr>
                <w:color w:val="000000"/>
                <w:sz w:val="18"/>
                <w:szCs w:val="18"/>
              </w:rPr>
              <w:t>§ 483.475(d)(1)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17918325" w14:textId="77777777">
            <w:pPr>
              <w:widowControl/>
              <w:autoSpaceDE/>
              <w:autoSpaceDN/>
              <w:adjustRightInd/>
              <w:jc w:val="center"/>
              <w:rPr>
                <w:color w:val="000000"/>
                <w:szCs w:val="20"/>
              </w:rPr>
            </w:pPr>
            <w:r w:rsidRPr="00BC3B86">
              <w:rPr>
                <w:color w:val="000000"/>
                <w:szCs w:val="20"/>
              </w:rPr>
              <w:t>5,520</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4460F264" w14:textId="77777777">
            <w:pPr>
              <w:widowControl/>
              <w:autoSpaceDE/>
              <w:autoSpaceDN/>
              <w:adjustRightInd/>
              <w:jc w:val="center"/>
              <w:rPr>
                <w:color w:val="000000"/>
                <w:szCs w:val="20"/>
              </w:rPr>
            </w:pPr>
            <w:r w:rsidRPr="00BC3B86">
              <w:rPr>
                <w:color w:val="000000"/>
                <w:szCs w:val="20"/>
              </w:rPr>
              <w:t>5</w:t>
            </w:r>
            <w:r>
              <w:rPr>
                <w:color w:val="000000"/>
                <w:szCs w:val="20"/>
              </w:rPr>
              <w:t>,</w:t>
            </w:r>
            <w:r w:rsidRPr="00BC3B86">
              <w:rPr>
                <w:color w:val="000000"/>
                <w:szCs w:val="20"/>
              </w:rPr>
              <w:t>520</w:t>
            </w:r>
          </w:p>
        </w:tc>
        <w:tc>
          <w:tcPr>
            <w:tcW w:w="1080" w:type="dxa"/>
            <w:tcBorders>
              <w:top w:val="nil"/>
              <w:left w:val="nil"/>
              <w:bottom w:val="single" w:sz="4" w:space="0" w:color="auto"/>
              <w:right w:val="single" w:sz="4" w:space="0" w:color="auto"/>
            </w:tcBorders>
            <w:vAlign w:val="bottom"/>
            <w:hideMark/>
          </w:tcPr>
          <w:p w:rsidR="00232AE9" w:rsidRPr="00BC3B86" w:rsidP="00232AE9" w14:paraId="563FB8E6" w14:textId="77777777">
            <w:pPr>
              <w:widowControl/>
              <w:autoSpaceDE/>
              <w:autoSpaceDN/>
              <w:adjustRightInd/>
              <w:jc w:val="center"/>
              <w:rPr>
                <w:color w:val="000000"/>
                <w:szCs w:val="20"/>
              </w:rPr>
            </w:pPr>
            <w:r w:rsidRPr="00BC3B86">
              <w:rPr>
                <w:color w:val="000000"/>
                <w:szCs w:val="20"/>
              </w:rPr>
              <w:t>3.5</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65A52FD6" w14:textId="77777777">
            <w:pPr>
              <w:widowControl/>
              <w:autoSpaceDE/>
              <w:autoSpaceDN/>
              <w:adjustRightInd/>
              <w:jc w:val="center"/>
              <w:rPr>
                <w:color w:val="000000"/>
                <w:szCs w:val="20"/>
              </w:rPr>
            </w:pPr>
            <w:r w:rsidRPr="00BC3B86">
              <w:rPr>
                <w:color w:val="000000"/>
                <w:szCs w:val="20"/>
              </w:rPr>
              <w:t>19,320</w:t>
            </w:r>
          </w:p>
        </w:tc>
        <w:tc>
          <w:tcPr>
            <w:tcW w:w="829" w:type="dxa"/>
            <w:tcBorders>
              <w:top w:val="nil"/>
              <w:left w:val="nil"/>
              <w:bottom w:val="single" w:sz="4" w:space="0" w:color="auto"/>
              <w:right w:val="single" w:sz="4" w:space="0" w:color="auto"/>
            </w:tcBorders>
            <w:noWrap/>
            <w:vAlign w:val="center"/>
            <w:hideMark/>
          </w:tcPr>
          <w:p w:rsidR="00232AE9" w:rsidRPr="00BC3B86" w:rsidP="00232AE9" w14:paraId="0D290E3F"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7B1430C5" w14:textId="77777777">
            <w:pPr>
              <w:widowControl/>
              <w:autoSpaceDE/>
              <w:autoSpaceDN/>
              <w:adjustRightInd/>
              <w:jc w:val="right"/>
              <w:rPr>
                <w:color w:val="000000"/>
                <w:szCs w:val="20"/>
              </w:rPr>
            </w:pPr>
            <w:r w:rsidRPr="00BC3B86">
              <w:rPr>
                <w:color w:val="000000"/>
                <w:szCs w:val="20"/>
              </w:rPr>
              <w:t>$6,201,720</w:t>
            </w:r>
          </w:p>
        </w:tc>
      </w:tr>
      <w:tr w14:paraId="449ACCCA"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2BAE062A" w14:textId="0AC33098">
            <w:pPr>
              <w:widowControl/>
              <w:autoSpaceDE/>
              <w:autoSpaceDN/>
              <w:adjustRightInd/>
              <w:jc w:val="center"/>
              <w:rPr>
                <w:color w:val="000000"/>
                <w:szCs w:val="20"/>
              </w:rPr>
            </w:pPr>
            <w:r>
              <w:rPr>
                <w:color w:val="000000"/>
                <w:szCs w:val="20"/>
              </w:rPr>
              <w:t>11</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20FB170A" w14:textId="1B306C0E">
            <w:pPr>
              <w:widowControl/>
              <w:autoSpaceDE/>
              <w:autoSpaceDN/>
              <w:adjustRightInd/>
              <w:rPr>
                <w:color w:val="000000"/>
                <w:szCs w:val="20"/>
              </w:rPr>
            </w:pPr>
            <w:r w:rsidRPr="00BC3B86">
              <w:rPr>
                <w:color w:val="000000"/>
                <w:szCs w:val="20"/>
              </w:rPr>
              <w:t>OPOs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5BAFAD34" w14:textId="77777777">
            <w:pPr>
              <w:widowControl/>
              <w:autoSpaceDE/>
              <w:autoSpaceDN/>
              <w:adjustRightInd/>
              <w:jc w:val="center"/>
              <w:rPr>
                <w:color w:val="000000"/>
                <w:sz w:val="18"/>
                <w:szCs w:val="18"/>
              </w:rPr>
            </w:pPr>
            <w:r w:rsidRPr="00BE2E14">
              <w:rPr>
                <w:color w:val="000000"/>
                <w:sz w:val="18"/>
                <w:szCs w:val="18"/>
              </w:rPr>
              <w:t>§ 486.360(d)(1)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7D94842C" w14:textId="77777777">
            <w:pPr>
              <w:widowControl/>
              <w:autoSpaceDE/>
              <w:autoSpaceDN/>
              <w:adjustRightInd/>
              <w:jc w:val="center"/>
              <w:rPr>
                <w:color w:val="000000"/>
                <w:szCs w:val="20"/>
              </w:rPr>
            </w:pPr>
            <w:r w:rsidRPr="00BC3B86">
              <w:rPr>
                <w:color w:val="000000"/>
                <w:szCs w:val="20"/>
              </w:rPr>
              <w:t>57</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459F757C" w14:textId="77777777">
            <w:pPr>
              <w:widowControl/>
              <w:autoSpaceDE/>
              <w:autoSpaceDN/>
              <w:adjustRightInd/>
              <w:jc w:val="center"/>
              <w:rPr>
                <w:color w:val="000000"/>
                <w:szCs w:val="20"/>
              </w:rPr>
            </w:pPr>
            <w:r w:rsidRPr="00BC3B86">
              <w:rPr>
                <w:color w:val="000000"/>
                <w:szCs w:val="20"/>
              </w:rPr>
              <w:t>57</w:t>
            </w:r>
          </w:p>
        </w:tc>
        <w:tc>
          <w:tcPr>
            <w:tcW w:w="1080" w:type="dxa"/>
            <w:tcBorders>
              <w:top w:val="nil"/>
              <w:left w:val="nil"/>
              <w:bottom w:val="single" w:sz="4" w:space="0" w:color="auto"/>
              <w:right w:val="single" w:sz="4" w:space="0" w:color="auto"/>
            </w:tcBorders>
            <w:vAlign w:val="bottom"/>
            <w:hideMark/>
          </w:tcPr>
          <w:p w:rsidR="00232AE9" w:rsidRPr="00BC3B86" w:rsidP="00232AE9" w14:paraId="116AE64C" w14:textId="6A6DD77E">
            <w:pPr>
              <w:widowControl/>
              <w:autoSpaceDE/>
              <w:autoSpaceDN/>
              <w:adjustRightInd/>
              <w:jc w:val="center"/>
              <w:rPr>
                <w:color w:val="000000"/>
                <w:szCs w:val="20"/>
              </w:rPr>
            </w:pPr>
            <w:r w:rsidRPr="00BC3B86">
              <w:rPr>
                <w:color w:val="000000"/>
                <w:szCs w:val="20"/>
              </w:rPr>
              <w:t>20</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4D11B9B1" w14:textId="77777777">
            <w:pPr>
              <w:widowControl/>
              <w:autoSpaceDE/>
              <w:autoSpaceDN/>
              <w:adjustRightInd/>
              <w:jc w:val="center"/>
              <w:rPr>
                <w:color w:val="000000"/>
                <w:szCs w:val="20"/>
              </w:rPr>
            </w:pPr>
            <w:r w:rsidRPr="00BC3B86">
              <w:rPr>
                <w:color w:val="000000"/>
                <w:szCs w:val="20"/>
              </w:rPr>
              <w:t>1,140</w:t>
            </w:r>
          </w:p>
        </w:tc>
        <w:tc>
          <w:tcPr>
            <w:tcW w:w="829" w:type="dxa"/>
            <w:tcBorders>
              <w:top w:val="nil"/>
              <w:left w:val="nil"/>
              <w:bottom w:val="single" w:sz="4" w:space="0" w:color="auto"/>
              <w:right w:val="single" w:sz="4" w:space="0" w:color="auto"/>
            </w:tcBorders>
            <w:noWrap/>
            <w:vAlign w:val="center"/>
            <w:hideMark/>
          </w:tcPr>
          <w:p w:rsidR="00232AE9" w:rsidRPr="00BC3B86" w:rsidP="00232AE9" w14:paraId="3C0D8B1A"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6E9E2914" w14:textId="77777777">
            <w:pPr>
              <w:widowControl/>
              <w:autoSpaceDE/>
              <w:autoSpaceDN/>
              <w:adjustRightInd/>
              <w:jc w:val="right"/>
              <w:rPr>
                <w:color w:val="000000"/>
                <w:szCs w:val="20"/>
              </w:rPr>
            </w:pPr>
            <w:r w:rsidRPr="00BC3B86">
              <w:rPr>
                <w:color w:val="000000"/>
                <w:szCs w:val="20"/>
              </w:rPr>
              <w:t>$365,940</w:t>
            </w:r>
          </w:p>
        </w:tc>
      </w:tr>
      <w:tr w14:paraId="61642D2C"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P="00232AE9" w14:paraId="086E5970" w14:textId="7D2BF81A">
            <w:pPr>
              <w:widowControl/>
              <w:autoSpaceDE/>
              <w:autoSpaceDN/>
              <w:adjustRightInd/>
              <w:jc w:val="center"/>
              <w:rPr>
                <w:color w:val="000000"/>
                <w:szCs w:val="20"/>
              </w:rPr>
            </w:pPr>
            <w:r>
              <w:rPr>
                <w:szCs w:val="20"/>
              </w:rPr>
              <w:t>12</w:t>
            </w:r>
          </w:p>
        </w:tc>
        <w:tc>
          <w:tcPr>
            <w:tcW w:w="2880" w:type="dxa"/>
            <w:tcBorders>
              <w:top w:val="single" w:sz="4" w:space="0" w:color="auto"/>
              <w:left w:val="single" w:sz="4" w:space="0" w:color="auto"/>
              <w:bottom w:val="single" w:sz="4" w:space="0" w:color="auto"/>
              <w:right w:val="single" w:sz="4" w:space="0" w:color="auto"/>
            </w:tcBorders>
            <w:vAlign w:val="bottom"/>
          </w:tcPr>
          <w:p w:rsidR="00232AE9" w:rsidRPr="00DA22C6" w:rsidP="00232AE9" w14:paraId="488A414F" w14:textId="4E2F521F">
            <w:pPr>
              <w:widowControl/>
              <w:autoSpaceDE/>
              <w:autoSpaceDN/>
              <w:adjustRightInd/>
              <w:rPr>
                <w:color w:val="000000"/>
                <w:szCs w:val="20"/>
              </w:rPr>
            </w:pPr>
            <w:r>
              <w:rPr>
                <w:color w:val="000000"/>
                <w:szCs w:val="20"/>
              </w:rPr>
              <w:t>“Organizations”</w:t>
            </w:r>
          </w:p>
        </w:tc>
        <w:tc>
          <w:tcPr>
            <w:tcW w:w="1500" w:type="dxa"/>
            <w:tcBorders>
              <w:top w:val="single" w:sz="4" w:space="0" w:color="auto"/>
              <w:left w:val="single" w:sz="4" w:space="0" w:color="auto"/>
              <w:bottom w:val="single" w:sz="4" w:space="0" w:color="auto"/>
              <w:right w:val="single" w:sz="4" w:space="0" w:color="auto"/>
            </w:tcBorders>
            <w:noWrap/>
            <w:vAlign w:val="center"/>
          </w:tcPr>
          <w:p w:rsidR="00232AE9" w:rsidRPr="00BE2E14" w:rsidP="00BE2E14" w14:paraId="7AF85F98" w14:textId="43976CBE">
            <w:pPr>
              <w:widowControl/>
              <w:autoSpaceDE/>
              <w:autoSpaceDN/>
              <w:adjustRightInd/>
              <w:jc w:val="center"/>
              <w:rPr>
                <w:color w:val="000000"/>
                <w:sz w:val="18"/>
                <w:szCs w:val="18"/>
              </w:rPr>
            </w:pPr>
            <w:r w:rsidRPr="00BE2E14">
              <w:rPr>
                <w:color w:val="000000"/>
                <w:sz w:val="18"/>
                <w:szCs w:val="18"/>
              </w:rPr>
              <w:t>§ 485.727(d)(1)</w:t>
            </w:r>
          </w:p>
        </w:tc>
        <w:tc>
          <w:tcPr>
            <w:tcW w:w="1494" w:type="dxa"/>
            <w:tcBorders>
              <w:top w:val="nil"/>
              <w:left w:val="nil"/>
              <w:bottom w:val="single" w:sz="4" w:space="0" w:color="auto"/>
              <w:right w:val="single" w:sz="4" w:space="0" w:color="auto"/>
            </w:tcBorders>
            <w:noWrap/>
            <w:vAlign w:val="bottom"/>
          </w:tcPr>
          <w:p w:rsidR="00232AE9" w:rsidRPr="00BC3B86" w:rsidP="00232AE9" w14:paraId="257839A4" w14:textId="23339888">
            <w:pPr>
              <w:widowControl/>
              <w:autoSpaceDE/>
              <w:autoSpaceDN/>
              <w:adjustRightInd/>
              <w:jc w:val="center"/>
              <w:rPr>
                <w:color w:val="000000"/>
                <w:szCs w:val="20"/>
              </w:rPr>
            </w:pPr>
            <w:r w:rsidRPr="00BC3B86">
              <w:rPr>
                <w:color w:val="000000"/>
                <w:szCs w:val="20"/>
              </w:rPr>
              <w:t>1,996</w:t>
            </w:r>
          </w:p>
        </w:tc>
        <w:tc>
          <w:tcPr>
            <w:tcW w:w="1274" w:type="dxa"/>
            <w:tcBorders>
              <w:top w:val="nil"/>
              <w:left w:val="nil"/>
              <w:bottom w:val="single" w:sz="4" w:space="0" w:color="auto"/>
              <w:right w:val="single" w:sz="4" w:space="0" w:color="auto"/>
            </w:tcBorders>
            <w:noWrap/>
            <w:vAlign w:val="bottom"/>
          </w:tcPr>
          <w:p w:rsidR="00232AE9" w:rsidRPr="00BC3B86" w:rsidP="00232AE9" w14:paraId="1047FFF4" w14:textId="0D6F5547">
            <w:pPr>
              <w:widowControl/>
              <w:autoSpaceDE/>
              <w:autoSpaceDN/>
              <w:adjustRightInd/>
              <w:jc w:val="center"/>
              <w:rPr>
                <w:color w:val="000000"/>
                <w:szCs w:val="20"/>
              </w:rPr>
            </w:pPr>
            <w:r w:rsidRPr="00BC3B86">
              <w:rPr>
                <w:color w:val="000000"/>
                <w:szCs w:val="20"/>
              </w:rPr>
              <w:t>1</w:t>
            </w:r>
            <w:r>
              <w:rPr>
                <w:color w:val="000000"/>
                <w:szCs w:val="20"/>
              </w:rPr>
              <w:t>,</w:t>
            </w:r>
            <w:r w:rsidRPr="00BC3B86">
              <w:rPr>
                <w:color w:val="000000"/>
                <w:szCs w:val="20"/>
              </w:rPr>
              <w:t>996</w:t>
            </w:r>
          </w:p>
        </w:tc>
        <w:tc>
          <w:tcPr>
            <w:tcW w:w="1080" w:type="dxa"/>
            <w:tcBorders>
              <w:top w:val="nil"/>
              <w:left w:val="nil"/>
              <w:bottom w:val="single" w:sz="4" w:space="0" w:color="auto"/>
              <w:right w:val="single" w:sz="4" w:space="0" w:color="auto"/>
            </w:tcBorders>
            <w:vAlign w:val="bottom"/>
          </w:tcPr>
          <w:p w:rsidR="00232AE9" w:rsidRPr="00BC3B86" w:rsidP="00232AE9" w14:paraId="3532F009" w14:textId="67A404FD">
            <w:pPr>
              <w:widowControl/>
              <w:autoSpaceDE/>
              <w:autoSpaceDN/>
              <w:adjustRightInd/>
              <w:jc w:val="center"/>
              <w:rPr>
                <w:color w:val="000000"/>
                <w:szCs w:val="20"/>
              </w:rPr>
            </w:pPr>
            <w:r w:rsidRPr="00BC3B86">
              <w:rPr>
                <w:color w:val="000000"/>
                <w:szCs w:val="20"/>
              </w:rPr>
              <w:t>4</w:t>
            </w:r>
          </w:p>
        </w:tc>
        <w:tc>
          <w:tcPr>
            <w:tcW w:w="1260" w:type="dxa"/>
            <w:tcBorders>
              <w:top w:val="nil"/>
              <w:left w:val="nil"/>
              <w:bottom w:val="single" w:sz="4" w:space="0" w:color="auto"/>
              <w:right w:val="single" w:sz="4" w:space="0" w:color="auto"/>
            </w:tcBorders>
            <w:noWrap/>
            <w:vAlign w:val="bottom"/>
          </w:tcPr>
          <w:p w:rsidR="00232AE9" w:rsidRPr="00BC3B86" w:rsidP="00232AE9" w14:paraId="7E2F4C2D" w14:textId="13671814">
            <w:pPr>
              <w:widowControl/>
              <w:autoSpaceDE/>
              <w:autoSpaceDN/>
              <w:adjustRightInd/>
              <w:jc w:val="center"/>
              <w:rPr>
                <w:color w:val="000000"/>
                <w:szCs w:val="20"/>
              </w:rPr>
            </w:pPr>
            <w:r w:rsidRPr="00BC3B86">
              <w:rPr>
                <w:color w:val="000000"/>
                <w:szCs w:val="20"/>
              </w:rPr>
              <w:t>7,984</w:t>
            </w:r>
          </w:p>
        </w:tc>
        <w:tc>
          <w:tcPr>
            <w:tcW w:w="829" w:type="dxa"/>
            <w:tcBorders>
              <w:top w:val="nil"/>
              <w:left w:val="nil"/>
              <w:bottom w:val="single" w:sz="4" w:space="0" w:color="auto"/>
              <w:right w:val="single" w:sz="4" w:space="0" w:color="auto"/>
            </w:tcBorders>
            <w:noWrap/>
            <w:vAlign w:val="center"/>
          </w:tcPr>
          <w:p w:rsidR="00232AE9" w:rsidRPr="00CC27F1" w:rsidP="00232AE9" w14:paraId="778A626A" w14:textId="751362B9">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tcPr>
          <w:p w:rsidR="00232AE9" w:rsidRPr="00BC3B86" w:rsidP="00232AE9" w14:paraId="12EE7752" w14:textId="03BF518A">
            <w:pPr>
              <w:widowControl/>
              <w:autoSpaceDE/>
              <w:autoSpaceDN/>
              <w:adjustRightInd/>
              <w:jc w:val="right"/>
              <w:rPr>
                <w:color w:val="000000"/>
                <w:szCs w:val="20"/>
              </w:rPr>
            </w:pPr>
            <w:r w:rsidRPr="00BC3B86">
              <w:rPr>
                <w:color w:val="000000"/>
                <w:szCs w:val="20"/>
              </w:rPr>
              <w:t>$2,562,864</w:t>
            </w:r>
          </w:p>
        </w:tc>
      </w:tr>
      <w:tr w14:paraId="36DEB67C"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DA22C6" w:rsidP="00232AE9" w14:paraId="54C05074" w14:textId="1ADA0930">
            <w:pPr>
              <w:widowControl/>
              <w:autoSpaceDE/>
              <w:autoSpaceDN/>
              <w:adjustRightInd/>
              <w:jc w:val="center"/>
              <w:rPr>
                <w:color w:val="000000"/>
                <w:szCs w:val="20"/>
              </w:rPr>
            </w:pPr>
            <w:r>
              <w:rPr>
                <w:color w:val="000000"/>
                <w:szCs w:val="20"/>
              </w:rPr>
              <w:t>13</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01AF4A36" w14:textId="0C69DFED">
            <w:pPr>
              <w:widowControl/>
              <w:autoSpaceDE/>
              <w:autoSpaceDN/>
              <w:adjustRightInd/>
              <w:rPr>
                <w:color w:val="000000"/>
                <w:szCs w:val="20"/>
              </w:rPr>
            </w:pPr>
            <w:r w:rsidRPr="00DA22C6">
              <w:rPr>
                <w:color w:val="000000"/>
                <w:szCs w:val="20"/>
              </w:rPr>
              <w:t xml:space="preserve">PACE </w:t>
            </w:r>
            <w:r>
              <w:rPr>
                <w:color w:val="000000"/>
                <w:szCs w:val="20"/>
              </w:rPr>
              <w:t>O</w:t>
            </w:r>
            <w:r w:rsidRPr="00DA22C6">
              <w:rPr>
                <w:color w:val="000000"/>
                <w:szCs w:val="20"/>
              </w:rPr>
              <w:t>rganizations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3CBEB184" w14:textId="77777777">
            <w:pPr>
              <w:widowControl/>
              <w:autoSpaceDE/>
              <w:autoSpaceDN/>
              <w:adjustRightInd/>
              <w:jc w:val="center"/>
              <w:rPr>
                <w:color w:val="000000"/>
                <w:sz w:val="18"/>
                <w:szCs w:val="18"/>
              </w:rPr>
            </w:pPr>
            <w:r w:rsidRPr="00BE2E14">
              <w:rPr>
                <w:color w:val="000000"/>
                <w:sz w:val="18"/>
                <w:szCs w:val="18"/>
              </w:rPr>
              <w:t>§ 460.84(d)(1)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7AACDBC2" w14:textId="77777777">
            <w:pPr>
              <w:widowControl/>
              <w:autoSpaceDE/>
              <w:autoSpaceDN/>
              <w:adjustRightInd/>
              <w:jc w:val="center"/>
              <w:rPr>
                <w:color w:val="000000"/>
                <w:szCs w:val="20"/>
              </w:rPr>
            </w:pPr>
            <w:r w:rsidRPr="00BC3B86">
              <w:rPr>
                <w:color w:val="000000"/>
                <w:szCs w:val="20"/>
              </w:rPr>
              <w:t>148</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5477AB45" w14:textId="77777777">
            <w:pPr>
              <w:widowControl/>
              <w:autoSpaceDE/>
              <w:autoSpaceDN/>
              <w:adjustRightInd/>
              <w:jc w:val="center"/>
              <w:rPr>
                <w:color w:val="000000"/>
                <w:szCs w:val="20"/>
              </w:rPr>
            </w:pPr>
            <w:r w:rsidRPr="00BC3B86">
              <w:rPr>
                <w:color w:val="000000"/>
                <w:szCs w:val="20"/>
              </w:rPr>
              <w:t>148</w:t>
            </w:r>
          </w:p>
        </w:tc>
        <w:tc>
          <w:tcPr>
            <w:tcW w:w="1080" w:type="dxa"/>
            <w:tcBorders>
              <w:top w:val="nil"/>
              <w:left w:val="nil"/>
              <w:bottom w:val="single" w:sz="4" w:space="0" w:color="auto"/>
              <w:right w:val="single" w:sz="4" w:space="0" w:color="auto"/>
            </w:tcBorders>
            <w:vAlign w:val="bottom"/>
            <w:hideMark/>
          </w:tcPr>
          <w:p w:rsidR="00232AE9" w:rsidRPr="00BC3B86" w:rsidP="00232AE9" w14:paraId="0DF25168" w14:textId="6FD65DDA">
            <w:pPr>
              <w:widowControl/>
              <w:autoSpaceDE/>
              <w:autoSpaceDN/>
              <w:adjustRightInd/>
              <w:jc w:val="center"/>
              <w:rPr>
                <w:color w:val="000000"/>
                <w:szCs w:val="20"/>
              </w:rPr>
            </w:pPr>
            <w:r w:rsidRPr="00BC3B86">
              <w:rPr>
                <w:color w:val="000000"/>
                <w:szCs w:val="20"/>
              </w:rPr>
              <w:t>6</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2429C65E" w14:textId="77777777">
            <w:pPr>
              <w:widowControl/>
              <w:autoSpaceDE/>
              <w:autoSpaceDN/>
              <w:adjustRightInd/>
              <w:jc w:val="center"/>
              <w:rPr>
                <w:color w:val="000000"/>
                <w:szCs w:val="20"/>
              </w:rPr>
            </w:pPr>
            <w:r w:rsidRPr="00BC3B86">
              <w:rPr>
                <w:color w:val="000000"/>
                <w:szCs w:val="20"/>
              </w:rPr>
              <w:t>888</w:t>
            </w:r>
          </w:p>
        </w:tc>
        <w:tc>
          <w:tcPr>
            <w:tcW w:w="829" w:type="dxa"/>
            <w:tcBorders>
              <w:top w:val="nil"/>
              <w:left w:val="nil"/>
              <w:bottom w:val="single" w:sz="4" w:space="0" w:color="auto"/>
              <w:right w:val="single" w:sz="4" w:space="0" w:color="auto"/>
            </w:tcBorders>
            <w:noWrap/>
            <w:vAlign w:val="center"/>
            <w:hideMark/>
          </w:tcPr>
          <w:p w:rsidR="00232AE9" w:rsidRPr="00BC3B86" w:rsidP="00232AE9" w14:paraId="71ABD7D7"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68844F2F" w14:textId="77777777">
            <w:pPr>
              <w:widowControl/>
              <w:autoSpaceDE/>
              <w:autoSpaceDN/>
              <w:adjustRightInd/>
              <w:jc w:val="right"/>
              <w:rPr>
                <w:color w:val="000000"/>
                <w:szCs w:val="20"/>
              </w:rPr>
            </w:pPr>
            <w:r w:rsidRPr="00BC3B86">
              <w:rPr>
                <w:color w:val="000000"/>
                <w:szCs w:val="20"/>
              </w:rPr>
              <w:t>$285,048</w:t>
            </w:r>
          </w:p>
        </w:tc>
      </w:tr>
      <w:tr w14:paraId="607BB40C"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26FED95E" w14:textId="399F4723">
            <w:pPr>
              <w:widowControl/>
              <w:autoSpaceDE/>
              <w:autoSpaceDN/>
              <w:adjustRightInd/>
              <w:jc w:val="center"/>
              <w:rPr>
                <w:color w:val="000000"/>
                <w:szCs w:val="20"/>
              </w:rPr>
            </w:pPr>
            <w:r>
              <w:rPr>
                <w:color w:val="000000"/>
                <w:szCs w:val="20"/>
              </w:rPr>
              <w:t>14</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190B88EB" w14:textId="70DB454F">
            <w:pPr>
              <w:widowControl/>
              <w:autoSpaceDE/>
              <w:autoSpaceDN/>
              <w:adjustRightInd/>
              <w:rPr>
                <w:color w:val="000000"/>
                <w:szCs w:val="20"/>
              </w:rPr>
            </w:pPr>
            <w:r w:rsidRPr="00BC3B86">
              <w:rPr>
                <w:color w:val="000000"/>
                <w:szCs w:val="20"/>
              </w:rPr>
              <w:t>PRTFs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6A9058FD" w14:textId="77777777">
            <w:pPr>
              <w:widowControl/>
              <w:autoSpaceDE/>
              <w:autoSpaceDN/>
              <w:adjustRightInd/>
              <w:jc w:val="center"/>
              <w:rPr>
                <w:color w:val="000000"/>
                <w:sz w:val="18"/>
                <w:szCs w:val="18"/>
              </w:rPr>
            </w:pPr>
            <w:r w:rsidRPr="00BE2E14">
              <w:rPr>
                <w:color w:val="000000"/>
                <w:sz w:val="18"/>
                <w:szCs w:val="18"/>
              </w:rPr>
              <w:t>§ 441.184(d)(1)</w:t>
            </w:r>
          </w:p>
        </w:tc>
        <w:tc>
          <w:tcPr>
            <w:tcW w:w="1494" w:type="dxa"/>
            <w:tcBorders>
              <w:top w:val="nil"/>
              <w:left w:val="nil"/>
              <w:bottom w:val="single" w:sz="4" w:space="0" w:color="auto"/>
              <w:right w:val="single" w:sz="4" w:space="0" w:color="auto"/>
            </w:tcBorders>
            <w:noWrap/>
            <w:vAlign w:val="bottom"/>
            <w:hideMark/>
          </w:tcPr>
          <w:p w:rsidR="00232AE9" w:rsidRPr="00BC3B86" w:rsidP="00232AE9" w14:paraId="3EB2D5E6" w14:textId="77777777">
            <w:pPr>
              <w:widowControl/>
              <w:autoSpaceDE/>
              <w:autoSpaceDN/>
              <w:adjustRightInd/>
              <w:jc w:val="center"/>
              <w:rPr>
                <w:color w:val="000000"/>
                <w:szCs w:val="20"/>
              </w:rPr>
            </w:pPr>
            <w:r w:rsidRPr="00BC3B86">
              <w:rPr>
                <w:color w:val="000000"/>
                <w:szCs w:val="20"/>
              </w:rPr>
              <w:t>345</w:t>
            </w:r>
          </w:p>
        </w:tc>
        <w:tc>
          <w:tcPr>
            <w:tcW w:w="1274" w:type="dxa"/>
            <w:tcBorders>
              <w:top w:val="nil"/>
              <w:left w:val="nil"/>
              <w:bottom w:val="single" w:sz="4" w:space="0" w:color="auto"/>
              <w:right w:val="single" w:sz="4" w:space="0" w:color="auto"/>
            </w:tcBorders>
            <w:noWrap/>
            <w:vAlign w:val="bottom"/>
            <w:hideMark/>
          </w:tcPr>
          <w:p w:rsidR="00232AE9" w:rsidRPr="00BC3B86" w:rsidP="00232AE9" w14:paraId="6DC4B949" w14:textId="77777777">
            <w:pPr>
              <w:widowControl/>
              <w:autoSpaceDE/>
              <w:autoSpaceDN/>
              <w:adjustRightInd/>
              <w:jc w:val="center"/>
              <w:rPr>
                <w:color w:val="000000"/>
                <w:szCs w:val="20"/>
              </w:rPr>
            </w:pPr>
            <w:r w:rsidRPr="00BC3B86">
              <w:rPr>
                <w:color w:val="000000"/>
                <w:szCs w:val="20"/>
              </w:rPr>
              <w:t>345</w:t>
            </w:r>
          </w:p>
        </w:tc>
        <w:tc>
          <w:tcPr>
            <w:tcW w:w="1080" w:type="dxa"/>
            <w:tcBorders>
              <w:top w:val="nil"/>
              <w:left w:val="nil"/>
              <w:bottom w:val="single" w:sz="4" w:space="0" w:color="auto"/>
              <w:right w:val="single" w:sz="4" w:space="0" w:color="auto"/>
            </w:tcBorders>
            <w:vAlign w:val="bottom"/>
            <w:hideMark/>
          </w:tcPr>
          <w:p w:rsidR="00232AE9" w:rsidRPr="00BC3B86" w:rsidP="00232AE9" w14:paraId="2F051277" w14:textId="48DE388D">
            <w:pPr>
              <w:widowControl/>
              <w:autoSpaceDE/>
              <w:autoSpaceDN/>
              <w:adjustRightInd/>
              <w:jc w:val="center"/>
              <w:rPr>
                <w:color w:val="000000"/>
                <w:szCs w:val="20"/>
              </w:rPr>
            </w:pPr>
            <w:r w:rsidRPr="00BC3B86">
              <w:rPr>
                <w:color w:val="000000"/>
                <w:szCs w:val="20"/>
              </w:rPr>
              <w:t>5</w:t>
            </w:r>
          </w:p>
        </w:tc>
        <w:tc>
          <w:tcPr>
            <w:tcW w:w="1260" w:type="dxa"/>
            <w:tcBorders>
              <w:top w:val="nil"/>
              <w:left w:val="nil"/>
              <w:bottom w:val="single" w:sz="4" w:space="0" w:color="auto"/>
              <w:right w:val="single" w:sz="4" w:space="0" w:color="auto"/>
            </w:tcBorders>
            <w:noWrap/>
            <w:vAlign w:val="bottom"/>
            <w:hideMark/>
          </w:tcPr>
          <w:p w:rsidR="00232AE9" w:rsidRPr="00BC3B86" w:rsidP="00232AE9" w14:paraId="70A23D43" w14:textId="77777777">
            <w:pPr>
              <w:widowControl/>
              <w:autoSpaceDE/>
              <w:autoSpaceDN/>
              <w:adjustRightInd/>
              <w:jc w:val="center"/>
              <w:rPr>
                <w:color w:val="000000"/>
                <w:szCs w:val="20"/>
              </w:rPr>
            </w:pPr>
            <w:r w:rsidRPr="00BC3B86">
              <w:rPr>
                <w:color w:val="000000"/>
                <w:szCs w:val="20"/>
              </w:rPr>
              <w:t>1,725</w:t>
            </w:r>
          </w:p>
        </w:tc>
        <w:tc>
          <w:tcPr>
            <w:tcW w:w="829" w:type="dxa"/>
            <w:tcBorders>
              <w:top w:val="nil"/>
              <w:left w:val="nil"/>
              <w:bottom w:val="single" w:sz="4" w:space="0" w:color="auto"/>
              <w:right w:val="single" w:sz="4" w:space="0" w:color="auto"/>
            </w:tcBorders>
            <w:noWrap/>
            <w:vAlign w:val="center"/>
            <w:hideMark/>
          </w:tcPr>
          <w:p w:rsidR="00232AE9" w:rsidRPr="00BC3B86" w:rsidP="00232AE9" w14:paraId="1B1531F9" w14:textId="77777777">
            <w:pPr>
              <w:widowControl/>
              <w:autoSpaceDE/>
              <w:autoSpaceDN/>
              <w:adjustRightInd/>
              <w:jc w:val="center"/>
              <w:rPr>
                <w:color w:val="000000"/>
                <w:szCs w:val="20"/>
              </w:rPr>
            </w:pPr>
            <w:r w:rsidRPr="00CC27F1">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232AE9" w14:paraId="172AD009" w14:textId="77777777">
            <w:pPr>
              <w:widowControl/>
              <w:autoSpaceDE/>
              <w:autoSpaceDN/>
              <w:adjustRightInd/>
              <w:jc w:val="right"/>
              <w:rPr>
                <w:color w:val="000000"/>
                <w:szCs w:val="20"/>
              </w:rPr>
            </w:pPr>
            <w:r w:rsidRPr="00BC3B86">
              <w:rPr>
                <w:color w:val="000000"/>
                <w:szCs w:val="20"/>
              </w:rPr>
              <w:t>$553,725</w:t>
            </w:r>
          </w:p>
        </w:tc>
      </w:tr>
      <w:tr w14:paraId="67FBCA4E"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1C2DCD54" w14:textId="622AE5E5">
            <w:pPr>
              <w:widowControl/>
              <w:autoSpaceDE/>
              <w:autoSpaceDN/>
              <w:adjustRightInd/>
              <w:jc w:val="center"/>
              <w:rPr>
                <w:color w:val="000000"/>
                <w:szCs w:val="20"/>
              </w:rPr>
            </w:pPr>
            <w:r>
              <w:rPr>
                <w:color w:val="000000"/>
                <w:szCs w:val="20"/>
              </w:rPr>
              <w:t>15</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232AE9" w14:paraId="48FCB20E" w14:textId="19E5B3C2">
            <w:pPr>
              <w:widowControl/>
              <w:autoSpaceDE/>
              <w:autoSpaceDN/>
              <w:adjustRightInd/>
              <w:rPr>
                <w:color w:val="000000"/>
                <w:szCs w:val="20"/>
              </w:rPr>
            </w:pPr>
            <w:r w:rsidRPr="00BC3B86">
              <w:rPr>
                <w:color w:val="000000"/>
                <w:szCs w:val="20"/>
              </w:rPr>
              <w:t>REHs</w:t>
            </w:r>
          </w:p>
        </w:tc>
        <w:tc>
          <w:tcPr>
            <w:tcW w:w="1500" w:type="dxa"/>
            <w:tcBorders>
              <w:top w:val="single" w:sz="4" w:space="0" w:color="auto"/>
              <w:left w:val="nil"/>
              <w:bottom w:val="single" w:sz="4" w:space="0" w:color="auto"/>
              <w:right w:val="single" w:sz="4" w:space="0" w:color="auto"/>
            </w:tcBorders>
            <w:noWrap/>
            <w:vAlign w:val="center"/>
            <w:hideMark/>
          </w:tcPr>
          <w:p w:rsidR="00232AE9" w:rsidRPr="00BE2E14" w:rsidP="00BE2E14" w14:paraId="2147998E" w14:textId="77777777">
            <w:pPr>
              <w:widowControl/>
              <w:autoSpaceDE/>
              <w:autoSpaceDN/>
              <w:adjustRightInd/>
              <w:jc w:val="center"/>
              <w:rPr>
                <w:color w:val="000000"/>
                <w:sz w:val="18"/>
                <w:szCs w:val="18"/>
              </w:rPr>
            </w:pPr>
            <w:r w:rsidRPr="00BE2E14">
              <w:rPr>
                <w:color w:val="000000"/>
                <w:sz w:val="18"/>
                <w:szCs w:val="18"/>
              </w:rPr>
              <w:t>§ 485.542(d)(1)</w:t>
            </w:r>
          </w:p>
        </w:tc>
        <w:tc>
          <w:tcPr>
            <w:tcW w:w="1494" w:type="dxa"/>
            <w:tcBorders>
              <w:top w:val="single" w:sz="4" w:space="0" w:color="auto"/>
              <w:left w:val="nil"/>
              <w:bottom w:val="single" w:sz="4" w:space="0" w:color="auto"/>
              <w:right w:val="single" w:sz="4" w:space="0" w:color="auto"/>
            </w:tcBorders>
            <w:noWrap/>
            <w:vAlign w:val="bottom"/>
            <w:hideMark/>
          </w:tcPr>
          <w:p w:rsidR="00232AE9" w:rsidRPr="00BC3B86" w:rsidP="00232AE9" w14:paraId="52DAA797" w14:textId="77777777">
            <w:pPr>
              <w:widowControl/>
              <w:autoSpaceDE/>
              <w:autoSpaceDN/>
              <w:adjustRightInd/>
              <w:jc w:val="center"/>
              <w:rPr>
                <w:color w:val="000000"/>
                <w:szCs w:val="20"/>
              </w:rPr>
            </w:pPr>
            <w:r w:rsidRPr="00BC3B86">
              <w:rPr>
                <w:color w:val="000000"/>
                <w:szCs w:val="20"/>
              </w:rPr>
              <w:t>19</w:t>
            </w:r>
          </w:p>
        </w:tc>
        <w:tc>
          <w:tcPr>
            <w:tcW w:w="1274" w:type="dxa"/>
            <w:tcBorders>
              <w:top w:val="single" w:sz="4" w:space="0" w:color="auto"/>
              <w:left w:val="nil"/>
              <w:bottom w:val="single" w:sz="4" w:space="0" w:color="auto"/>
              <w:right w:val="single" w:sz="4" w:space="0" w:color="auto"/>
            </w:tcBorders>
            <w:noWrap/>
            <w:vAlign w:val="bottom"/>
            <w:hideMark/>
          </w:tcPr>
          <w:p w:rsidR="00232AE9" w:rsidRPr="00BC3B86" w:rsidP="00232AE9" w14:paraId="295C1EE1" w14:textId="77777777">
            <w:pPr>
              <w:widowControl/>
              <w:autoSpaceDE/>
              <w:autoSpaceDN/>
              <w:adjustRightInd/>
              <w:jc w:val="center"/>
              <w:rPr>
                <w:color w:val="000000"/>
                <w:szCs w:val="20"/>
              </w:rPr>
            </w:pPr>
            <w:r w:rsidRPr="00BC3B86">
              <w:rPr>
                <w:color w:val="000000"/>
                <w:szCs w:val="20"/>
              </w:rPr>
              <w:t>19</w:t>
            </w:r>
          </w:p>
        </w:tc>
        <w:tc>
          <w:tcPr>
            <w:tcW w:w="1080" w:type="dxa"/>
            <w:tcBorders>
              <w:top w:val="single" w:sz="4" w:space="0" w:color="auto"/>
              <w:left w:val="nil"/>
              <w:bottom w:val="single" w:sz="4" w:space="0" w:color="auto"/>
              <w:right w:val="single" w:sz="4" w:space="0" w:color="auto"/>
            </w:tcBorders>
            <w:vAlign w:val="bottom"/>
            <w:hideMark/>
          </w:tcPr>
          <w:p w:rsidR="00232AE9" w:rsidRPr="00BC3B86" w:rsidP="00232AE9" w14:paraId="4E195B1B" w14:textId="1F97F99A">
            <w:pPr>
              <w:widowControl/>
              <w:autoSpaceDE/>
              <w:autoSpaceDN/>
              <w:adjustRightInd/>
              <w:jc w:val="center"/>
              <w:rPr>
                <w:color w:val="000000"/>
                <w:szCs w:val="20"/>
              </w:rPr>
            </w:pPr>
            <w:r w:rsidRPr="00BC3B86">
              <w:rPr>
                <w:color w:val="000000"/>
                <w:szCs w:val="20"/>
              </w:rPr>
              <w:t>7</w:t>
            </w:r>
          </w:p>
        </w:tc>
        <w:tc>
          <w:tcPr>
            <w:tcW w:w="1260" w:type="dxa"/>
            <w:tcBorders>
              <w:top w:val="single" w:sz="4" w:space="0" w:color="auto"/>
              <w:left w:val="nil"/>
              <w:bottom w:val="single" w:sz="4" w:space="0" w:color="auto"/>
              <w:right w:val="single" w:sz="4" w:space="0" w:color="auto"/>
            </w:tcBorders>
            <w:noWrap/>
            <w:vAlign w:val="bottom"/>
            <w:hideMark/>
          </w:tcPr>
          <w:p w:rsidR="00232AE9" w:rsidRPr="00BC3B86" w:rsidP="00232AE9" w14:paraId="3DC8EB95" w14:textId="77777777">
            <w:pPr>
              <w:widowControl/>
              <w:autoSpaceDE/>
              <w:autoSpaceDN/>
              <w:adjustRightInd/>
              <w:jc w:val="center"/>
              <w:rPr>
                <w:color w:val="000000"/>
                <w:szCs w:val="20"/>
              </w:rPr>
            </w:pPr>
            <w:r w:rsidRPr="00BC3B86">
              <w:rPr>
                <w:color w:val="000000"/>
                <w:szCs w:val="20"/>
              </w:rPr>
              <w:t>133</w:t>
            </w:r>
          </w:p>
        </w:tc>
        <w:tc>
          <w:tcPr>
            <w:tcW w:w="829" w:type="dxa"/>
            <w:tcBorders>
              <w:top w:val="single" w:sz="4" w:space="0" w:color="auto"/>
              <w:left w:val="nil"/>
              <w:bottom w:val="single" w:sz="4" w:space="0" w:color="auto"/>
              <w:right w:val="single" w:sz="4" w:space="0" w:color="auto"/>
            </w:tcBorders>
            <w:noWrap/>
            <w:vAlign w:val="center"/>
            <w:hideMark/>
          </w:tcPr>
          <w:p w:rsidR="00232AE9" w:rsidRPr="00BC3B86" w:rsidP="00232AE9" w14:paraId="600285A0" w14:textId="77777777">
            <w:pPr>
              <w:widowControl/>
              <w:autoSpaceDE/>
              <w:autoSpaceDN/>
              <w:adjustRightInd/>
              <w:jc w:val="center"/>
              <w:rPr>
                <w:color w:val="000000"/>
                <w:szCs w:val="20"/>
              </w:rPr>
            </w:pPr>
            <w:r w:rsidRPr="00CF6A07">
              <w:rPr>
                <w:color w:val="000000"/>
                <w:szCs w:val="20"/>
              </w:rPr>
              <w:t>**</w:t>
            </w:r>
          </w:p>
        </w:tc>
        <w:tc>
          <w:tcPr>
            <w:tcW w:w="1365" w:type="dxa"/>
            <w:tcBorders>
              <w:top w:val="single" w:sz="4" w:space="0" w:color="auto"/>
              <w:left w:val="nil"/>
              <w:bottom w:val="single" w:sz="4" w:space="0" w:color="auto"/>
              <w:right w:val="single" w:sz="4" w:space="0" w:color="auto"/>
            </w:tcBorders>
            <w:noWrap/>
            <w:vAlign w:val="bottom"/>
            <w:hideMark/>
          </w:tcPr>
          <w:p w:rsidR="00232AE9" w:rsidRPr="00BC3B86" w:rsidP="00232AE9" w14:paraId="5BCD2470" w14:textId="77777777">
            <w:pPr>
              <w:widowControl/>
              <w:autoSpaceDE/>
              <w:autoSpaceDN/>
              <w:adjustRightInd/>
              <w:jc w:val="right"/>
              <w:rPr>
                <w:color w:val="000000"/>
                <w:szCs w:val="20"/>
              </w:rPr>
            </w:pPr>
            <w:r w:rsidRPr="00BC3B86">
              <w:rPr>
                <w:color w:val="000000"/>
                <w:szCs w:val="20"/>
              </w:rPr>
              <w:t>$42,693</w:t>
            </w:r>
          </w:p>
        </w:tc>
      </w:tr>
      <w:tr w14:paraId="1D64E3FF"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1B86ADE8" w14:textId="55035782">
            <w:pPr>
              <w:widowControl/>
              <w:autoSpaceDE/>
              <w:autoSpaceDN/>
              <w:adjustRightInd/>
              <w:jc w:val="center"/>
              <w:rPr>
                <w:color w:val="000000"/>
                <w:szCs w:val="20"/>
              </w:rPr>
            </w:pPr>
            <w:r>
              <w:rPr>
                <w:color w:val="000000"/>
                <w:szCs w:val="20"/>
              </w:rPr>
              <w:t>16</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1F4FCE" w14:paraId="418D0893" w14:textId="242ADDAB">
            <w:pPr>
              <w:widowControl/>
              <w:autoSpaceDE/>
              <w:autoSpaceDN/>
              <w:adjustRightInd/>
              <w:rPr>
                <w:color w:val="000000"/>
                <w:szCs w:val="20"/>
              </w:rPr>
            </w:pPr>
            <w:r w:rsidRPr="00BC3B86">
              <w:rPr>
                <w:color w:val="000000"/>
                <w:szCs w:val="20"/>
              </w:rPr>
              <w:t>RHCs</w:t>
            </w:r>
          </w:p>
        </w:tc>
        <w:tc>
          <w:tcPr>
            <w:tcW w:w="1500" w:type="dxa"/>
            <w:tcBorders>
              <w:top w:val="single" w:sz="4" w:space="0" w:color="auto"/>
              <w:left w:val="nil"/>
              <w:bottom w:val="single" w:sz="4" w:space="0" w:color="auto"/>
              <w:right w:val="single" w:sz="4" w:space="0" w:color="auto"/>
            </w:tcBorders>
            <w:noWrap/>
            <w:vAlign w:val="center"/>
            <w:hideMark/>
          </w:tcPr>
          <w:p w:rsidR="00232AE9" w:rsidRPr="00BE2E14" w:rsidP="00BE2E14" w14:paraId="5A8EBB01" w14:textId="77777777">
            <w:pPr>
              <w:widowControl/>
              <w:autoSpaceDE/>
              <w:autoSpaceDN/>
              <w:adjustRightInd/>
              <w:jc w:val="center"/>
              <w:rPr>
                <w:color w:val="000000"/>
                <w:sz w:val="18"/>
                <w:szCs w:val="18"/>
              </w:rPr>
            </w:pPr>
            <w:r w:rsidRPr="00BE2E14">
              <w:rPr>
                <w:color w:val="000000"/>
                <w:sz w:val="18"/>
                <w:szCs w:val="18"/>
              </w:rPr>
              <w:t>§ 491.12(d)(1)</w:t>
            </w:r>
          </w:p>
        </w:tc>
        <w:tc>
          <w:tcPr>
            <w:tcW w:w="1494" w:type="dxa"/>
            <w:tcBorders>
              <w:top w:val="single" w:sz="4" w:space="0" w:color="auto"/>
              <w:left w:val="nil"/>
              <w:bottom w:val="single" w:sz="4" w:space="0" w:color="auto"/>
              <w:right w:val="single" w:sz="4" w:space="0" w:color="auto"/>
            </w:tcBorders>
            <w:noWrap/>
            <w:vAlign w:val="bottom"/>
            <w:hideMark/>
          </w:tcPr>
          <w:p w:rsidR="00232AE9" w:rsidRPr="00BC3B86" w:rsidP="001F4FCE" w14:paraId="30A8F9C5" w14:textId="77777777">
            <w:pPr>
              <w:widowControl/>
              <w:autoSpaceDE/>
              <w:autoSpaceDN/>
              <w:adjustRightInd/>
              <w:jc w:val="center"/>
              <w:rPr>
                <w:color w:val="000000"/>
                <w:szCs w:val="20"/>
              </w:rPr>
            </w:pPr>
            <w:r w:rsidRPr="00BC3B86">
              <w:rPr>
                <w:color w:val="000000"/>
                <w:szCs w:val="20"/>
              </w:rPr>
              <w:t>5,545</w:t>
            </w:r>
          </w:p>
        </w:tc>
        <w:tc>
          <w:tcPr>
            <w:tcW w:w="1274" w:type="dxa"/>
            <w:tcBorders>
              <w:top w:val="single" w:sz="4" w:space="0" w:color="auto"/>
              <w:left w:val="nil"/>
              <w:bottom w:val="single" w:sz="4" w:space="0" w:color="auto"/>
              <w:right w:val="single" w:sz="4" w:space="0" w:color="auto"/>
            </w:tcBorders>
            <w:noWrap/>
            <w:vAlign w:val="bottom"/>
            <w:hideMark/>
          </w:tcPr>
          <w:p w:rsidR="00232AE9" w:rsidRPr="00BC3B86" w:rsidP="001F4FCE" w14:paraId="5D82BD53" w14:textId="77777777">
            <w:pPr>
              <w:widowControl/>
              <w:autoSpaceDE/>
              <w:autoSpaceDN/>
              <w:adjustRightInd/>
              <w:jc w:val="center"/>
              <w:rPr>
                <w:color w:val="000000"/>
                <w:szCs w:val="20"/>
              </w:rPr>
            </w:pPr>
            <w:r w:rsidRPr="00BC3B86">
              <w:rPr>
                <w:color w:val="000000"/>
                <w:szCs w:val="20"/>
              </w:rPr>
              <w:t>5</w:t>
            </w:r>
            <w:r>
              <w:rPr>
                <w:color w:val="000000"/>
                <w:szCs w:val="20"/>
              </w:rPr>
              <w:t>,</w:t>
            </w:r>
            <w:r w:rsidRPr="00BC3B86">
              <w:rPr>
                <w:color w:val="000000"/>
                <w:szCs w:val="20"/>
              </w:rPr>
              <w:t>545</w:t>
            </w:r>
          </w:p>
        </w:tc>
        <w:tc>
          <w:tcPr>
            <w:tcW w:w="1080" w:type="dxa"/>
            <w:tcBorders>
              <w:top w:val="single" w:sz="4" w:space="0" w:color="auto"/>
              <w:left w:val="nil"/>
              <w:bottom w:val="single" w:sz="4" w:space="0" w:color="auto"/>
              <w:right w:val="single" w:sz="4" w:space="0" w:color="auto"/>
            </w:tcBorders>
            <w:vAlign w:val="bottom"/>
            <w:hideMark/>
          </w:tcPr>
          <w:p w:rsidR="00232AE9" w:rsidRPr="00BC3B86" w:rsidP="001F4FCE" w14:paraId="7BA61348" w14:textId="6670247F">
            <w:pPr>
              <w:widowControl/>
              <w:autoSpaceDE/>
              <w:autoSpaceDN/>
              <w:adjustRightInd/>
              <w:jc w:val="center"/>
              <w:rPr>
                <w:color w:val="000000"/>
                <w:szCs w:val="20"/>
              </w:rPr>
            </w:pPr>
            <w:r w:rsidRPr="00BC3B86">
              <w:rPr>
                <w:color w:val="000000"/>
                <w:szCs w:val="20"/>
              </w:rPr>
              <w:t>5</w:t>
            </w:r>
          </w:p>
        </w:tc>
        <w:tc>
          <w:tcPr>
            <w:tcW w:w="1260" w:type="dxa"/>
            <w:tcBorders>
              <w:top w:val="single" w:sz="4" w:space="0" w:color="auto"/>
              <w:left w:val="nil"/>
              <w:bottom w:val="single" w:sz="4" w:space="0" w:color="auto"/>
              <w:right w:val="single" w:sz="4" w:space="0" w:color="auto"/>
            </w:tcBorders>
            <w:noWrap/>
            <w:vAlign w:val="bottom"/>
            <w:hideMark/>
          </w:tcPr>
          <w:p w:rsidR="00232AE9" w:rsidRPr="00BC3B86" w:rsidP="001F4FCE" w14:paraId="2D3EB435" w14:textId="77777777">
            <w:pPr>
              <w:widowControl/>
              <w:autoSpaceDE/>
              <w:autoSpaceDN/>
              <w:adjustRightInd/>
              <w:jc w:val="center"/>
              <w:rPr>
                <w:color w:val="000000"/>
                <w:szCs w:val="20"/>
              </w:rPr>
            </w:pPr>
            <w:r w:rsidRPr="00BC3B86">
              <w:rPr>
                <w:color w:val="000000"/>
                <w:szCs w:val="20"/>
              </w:rPr>
              <w:t>27,725</w:t>
            </w:r>
          </w:p>
        </w:tc>
        <w:tc>
          <w:tcPr>
            <w:tcW w:w="829" w:type="dxa"/>
            <w:tcBorders>
              <w:top w:val="single" w:sz="4" w:space="0" w:color="auto"/>
              <w:left w:val="nil"/>
              <w:bottom w:val="single" w:sz="4" w:space="0" w:color="auto"/>
              <w:right w:val="single" w:sz="4" w:space="0" w:color="auto"/>
            </w:tcBorders>
            <w:noWrap/>
            <w:vAlign w:val="center"/>
            <w:hideMark/>
          </w:tcPr>
          <w:p w:rsidR="00232AE9" w:rsidRPr="00BC3B86" w:rsidP="001F4FCE" w14:paraId="59942341" w14:textId="77777777">
            <w:pPr>
              <w:widowControl/>
              <w:autoSpaceDE/>
              <w:autoSpaceDN/>
              <w:adjustRightInd/>
              <w:jc w:val="center"/>
              <w:rPr>
                <w:color w:val="000000"/>
                <w:szCs w:val="20"/>
              </w:rPr>
            </w:pPr>
            <w:r w:rsidRPr="00CF6A07">
              <w:rPr>
                <w:color w:val="000000"/>
                <w:szCs w:val="20"/>
              </w:rPr>
              <w:t>**</w:t>
            </w:r>
          </w:p>
        </w:tc>
        <w:tc>
          <w:tcPr>
            <w:tcW w:w="1365" w:type="dxa"/>
            <w:tcBorders>
              <w:top w:val="single" w:sz="4" w:space="0" w:color="auto"/>
              <w:left w:val="nil"/>
              <w:bottom w:val="single" w:sz="4" w:space="0" w:color="auto"/>
              <w:right w:val="single" w:sz="4" w:space="0" w:color="auto"/>
            </w:tcBorders>
            <w:noWrap/>
            <w:vAlign w:val="bottom"/>
            <w:hideMark/>
          </w:tcPr>
          <w:p w:rsidR="00232AE9" w:rsidRPr="00BC3B86" w:rsidP="001F4FCE" w14:paraId="231951D3" w14:textId="77777777">
            <w:pPr>
              <w:widowControl/>
              <w:autoSpaceDE/>
              <w:autoSpaceDN/>
              <w:adjustRightInd/>
              <w:jc w:val="right"/>
              <w:rPr>
                <w:color w:val="000000"/>
                <w:szCs w:val="20"/>
              </w:rPr>
            </w:pPr>
            <w:r w:rsidRPr="00BC3B86">
              <w:rPr>
                <w:color w:val="000000"/>
                <w:szCs w:val="20"/>
              </w:rPr>
              <w:t>$8,899,725</w:t>
            </w:r>
          </w:p>
        </w:tc>
      </w:tr>
      <w:tr w14:paraId="21424424" w14:textId="77777777" w:rsidTr="00037F27">
        <w:tblPrEx>
          <w:tblW w:w="12222" w:type="dxa"/>
          <w:tblInd w:w="-1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232AE9" w:rsidRPr="00BC3B86" w:rsidP="00232AE9" w14:paraId="28D302BF" w14:textId="6725B0C1">
            <w:pPr>
              <w:widowControl/>
              <w:autoSpaceDE/>
              <w:autoSpaceDN/>
              <w:adjustRightInd/>
              <w:jc w:val="center"/>
              <w:rPr>
                <w:color w:val="000000"/>
                <w:szCs w:val="20"/>
              </w:rPr>
            </w:pPr>
            <w:r>
              <w:rPr>
                <w:color w:val="000000"/>
                <w:szCs w:val="20"/>
              </w:rPr>
              <w:t>17</w:t>
            </w:r>
          </w:p>
        </w:tc>
        <w:tc>
          <w:tcPr>
            <w:tcW w:w="2880" w:type="dxa"/>
            <w:tcBorders>
              <w:top w:val="single" w:sz="4" w:space="0" w:color="auto"/>
              <w:left w:val="single" w:sz="4" w:space="0" w:color="auto"/>
              <w:bottom w:val="single" w:sz="4" w:space="0" w:color="auto"/>
              <w:right w:val="single" w:sz="4" w:space="0" w:color="auto"/>
            </w:tcBorders>
            <w:vAlign w:val="bottom"/>
            <w:hideMark/>
          </w:tcPr>
          <w:p w:rsidR="00232AE9" w:rsidRPr="00BC3B86" w:rsidP="001F4FCE" w14:paraId="428B6708" w14:textId="18CA6D62">
            <w:pPr>
              <w:widowControl/>
              <w:autoSpaceDE/>
              <w:autoSpaceDN/>
              <w:adjustRightInd/>
              <w:rPr>
                <w:color w:val="000000"/>
                <w:szCs w:val="20"/>
              </w:rPr>
            </w:pPr>
            <w:r w:rsidRPr="00BC3B86">
              <w:rPr>
                <w:color w:val="000000"/>
                <w:szCs w:val="20"/>
              </w:rPr>
              <w:t>RNHCIs</w:t>
            </w:r>
          </w:p>
        </w:tc>
        <w:tc>
          <w:tcPr>
            <w:tcW w:w="1500" w:type="dxa"/>
            <w:tcBorders>
              <w:top w:val="single" w:sz="4" w:space="0" w:color="auto"/>
              <w:left w:val="single" w:sz="4" w:space="0" w:color="auto"/>
              <w:bottom w:val="single" w:sz="4" w:space="0" w:color="auto"/>
              <w:right w:val="single" w:sz="4" w:space="0" w:color="auto"/>
            </w:tcBorders>
            <w:noWrap/>
            <w:vAlign w:val="center"/>
            <w:hideMark/>
          </w:tcPr>
          <w:p w:rsidR="00232AE9" w:rsidRPr="00BE2E14" w:rsidP="00BE2E14" w14:paraId="78FC7CFD" w14:textId="77777777">
            <w:pPr>
              <w:widowControl/>
              <w:autoSpaceDE/>
              <w:autoSpaceDN/>
              <w:adjustRightInd/>
              <w:jc w:val="center"/>
              <w:rPr>
                <w:color w:val="000000"/>
                <w:sz w:val="18"/>
                <w:szCs w:val="18"/>
              </w:rPr>
            </w:pPr>
            <w:r w:rsidRPr="00BE2E14">
              <w:rPr>
                <w:color w:val="000000"/>
                <w:sz w:val="18"/>
                <w:szCs w:val="18"/>
              </w:rPr>
              <w:t>§ 403.748(d)(1)</w:t>
            </w:r>
          </w:p>
        </w:tc>
        <w:tc>
          <w:tcPr>
            <w:tcW w:w="1494" w:type="dxa"/>
            <w:tcBorders>
              <w:top w:val="nil"/>
              <w:left w:val="nil"/>
              <w:bottom w:val="single" w:sz="4" w:space="0" w:color="auto"/>
              <w:right w:val="single" w:sz="4" w:space="0" w:color="auto"/>
            </w:tcBorders>
            <w:noWrap/>
            <w:vAlign w:val="bottom"/>
            <w:hideMark/>
          </w:tcPr>
          <w:p w:rsidR="00232AE9" w:rsidRPr="00BC3B86" w:rsidP="001F4FCE" w14:paraId="0953E302" w14:textId="77777777">
            <w:pPr>
              <w:widowControl/>
              <w:autoSpaceDE/>
              <w:autoSpaceDN/>
              <w:adjustRightInd/>
              <w:jc w:val="center"/>
              <w:rPr>
                <w:color w:val="000000"/>
                <w:szCs w:val="20"/>
              </w:rPr>
            </w:pPr>
            <w:r w:rsidRPr="00BC3B86">
              <w:rPr>
                <w:color w:val="000000"/>
                <w:szCs w:val="20"/>
              </w:rPr>
              <w:t>3</w:t>
            </w:r>
          </w:p>
        </w:tc>
        <w:tc>
          <w:tcPr>
            <w:tcW w:w="1274" w:type="dxa"/>
            <w:tcBorders>
              <w:top w:val="nil"/>
              <w:left w:val="nil"/>
              <w:bottom w:val="single" w:sz="4" w:space="0" w:color="auto"/>
              <w:right w:val="single" w:sz="4" w:space="0" w:color="auto"/>
            </w:tcBorders>
            <w:noWrap/>
            <w:vAlign w:val="bottom"/>
            <w:hideMark/>
          </w:tcPr>
          <w:p w:rsidR="00232AE9" w:rsidRPr="00BC3B86" w:rsidP="001F4FCE" w14:paraId="7238892F" w14:textId="77777777">
            <w:pPr>
              <w:widowControl/>
              <w:autoSpaceDE/>
              <w:autoSpaceDN/>
              <w:adjustRightInd/>
              <w:jc w:val="center"/>
              <w:rPr>
                <w:color w:val="000000"/>
                <w:szCs w:val="20"/>
              </w:rPr>
            </w:pPr>
            <w:r w:rsidRPr="00BC3B86">
              <w:rPr>
                <w:color w:val="000000"/>
                <w:szCs w:val="20"/>
              </w:rPr>
              <w:t>3</w:t>
            </w:r>
          </w:p>
        </w:tc>
        <w:tc>
          <w:tcPr>
            <w:tcW w:w="1080" w:type="dxa"/>
            <w:tcBorders>
              <w:top w:val="nil"/>
              <w:left w:val="nil"/>
              <w:bottom w:val="single" w:sz="4" w:space="0" w:color="auto"/>
              <w:right w:val="single" w:sz="4" w:space="0" w:color="auto"/>
            </w:tcBorders>
            <w:vAlign w:val="bottom"/>
            <w:hideMark/>
          </w:tcPr>
          <w:p w:rsidR="00232AE9" w:rsidRPr="00BC3B86" w:rsidP="001F4FCE" w14:paraId="7DF3B885" w14:textId="26C6B2CC">
            <w:pPr>
              <w:widowControl/>
              <w:autoSpaceDE/>
              <w:autoSpaceDN/>
              <w:adjustRightInd/>
              <w:jc w:val="center"/>
              <w:rPr>
                <w:color w:val="000000"/>
                <w:szCs w:val="20"/>
              </w:rPr>
            </w:pPr>
            <w:r w:rsidRPr="00BC3B86">
              <w:rPr>
                <w:color w:val="000000"/>
                <w:szCs w:val="20"/>
              </w:rPr>
              <w:t>3.5</w:t>
            </w:r>
            <w:r w:rsidR="00B27A5E">
              <w:rPr>
                <w:color w:val="000000"/>
                <w:szCs w:val="20"/>
              </w:rPr>
              <w:t xml:space="preserve"> </w:t>
            </w:r>
            <w:r w:rsidRPr="00B27A5E" w:rsidR="00B27A5E">
              <w:rPr>
                <w:szCs w:val="20"/>
                <w:vertAlign w:val="superscript"/>
              </w:rPr>
              <w:t>***</w:t>
            </w:r>
          </w:p>
        </w:tc>
        <w:tc>
          <w:tcPr>
            <w:tcW w:w="1260" w:type="dxa"/>
            <w:tcBorders>
              <w:top w:val="nil"/>
              <w:left w:val="nil"/>
              <w:bottom w:val="single" w:sz="4" w:space="0" w:color="auto"/>
              <w:right w:val="single" w:sz="4" w:space="0" w:color="auto"/>
            </w:tcBorders>
            <w:noWrap/>
            <w:vAlign w:val="bottom"/>
            <w:hideMark/>
          </w:tcPr>
          <w:p w:rsidR="00232AE9" w:rsidRPr="00BC3B86" w:rsidP="001F4FCE" w14:paraId="09FACE9D" w14:textId="1BAD8E46">
            <w:pPr>
              <w:widowControl/>
              <w:autoSpaceDE/>
              <w:autoSpaceDN/>
              <w:adjustRightInd/>
              <w:jc w:val="center"/>
              <w:rPr>
                <w:color w:val="000000"/>
                <w:szCs w:val="20"/>
              </w:rPr>
            </w:pPr>
            <w:r w:rsidRPr="00BC3B86">
              <w:rPr>
                <w:color w:val="000000"/>
                <w:szCs w:val="20"/>
              </w:rPr>
              <w:t>11</w:t>
            </w:r>
            <w:r w:rsidRPr="00B27A5E" w:rsidR="00B27A5E">
              <w:rPr>
                <w:szCs w:val="20"/>
                <w:vertAlign w:val="superscript"/>
              </w:rPr>
              <w:t>***</w:t>
            </w:r>
          </w:p>
        </w:tc>
        <w:tc>
          <w:tcPr>
            <w:tcW w:w="829" w:type="dxa"/>
            <w:tcBorders>
              <w:top w:val="nil"/>
              <w:left w:val="nil"/>
              <w:bottom w:val="single" w:sz="4" w:space="0" w:color="auto"/>
              <w:right w:val="single" w:sz="4" w:space="0" w:color="auto"/>
            </w:tcBorders>
            <w:noWrap/>
            <w:vAlign w:val="center"/>
            <w:hideMark/>
          </w:tcPr>
          <w:p w:rsidR="00232AE9" w:rsidRPr="00BC3B86" w:rsidP="001F4FCE" w14:paraId="75D52018" w14:textId="77777777">
            <w:pPr>
              <w:widowControl/>
              <w:autoSpaceDE/>
              <w:autoSpaceDN/>
              <w:adjustRightInd/>
              <w:jc w:val="center"/>
              <w:rPr>
                <w:color w:val="000000"/>
                <w:szCs w:val="20"/>
              </w:rPr>
            </w:pPr>
            <w:r w:rsidRPr="00E45CEC">
              <w:rPr>
                <w:color w:val="000000"/>
                <w:szCs w:val="20"/>
              </w:rPr>
              <w:t>*</w:t>
            </w:r>
            <w:r>
              <w:rPr>
                <w:color w:val="000000"/>
                <w:szCs w:val="20"/>
              </w:rPr>
              <w:t>*</w:t>
            </w:r>
          </w:p>
        </w:tc>
        <w:tc>
          <w:tcPr>
            <w:tcW w:w="1365" w:type="dxa"/>
            <w:tcBorders>
              <w:top w:val="nil"/>
              <w:left w:val="nil"/>
              <w:bottom w:val="single" w:sz="4" w:space="0" w:color="auto"/>
              <w:right w:val="single" w:sz="4" w:space="0" w:color="auto"/>
            </w:tcBorders>
            <w:noWrap/>
            <w:vAlign w:val="bottom"/>
            <w:hideMark/>
          </w:tcPr>
          <w:p w:rsidR="00232AE9" w:rsidRPr="00BC3B86" w:rsidP="001F4FCE" w14:paraId="0C3D285E" w14:textId="77777777">
            <w:pPr>
              <w:widowControl/>
              <w:autoSpaceDE/>
              <w:autoSpaceDN/>
              <w:adjustRightInd/>
              <w:jc w:val="right"/>
              <w:rPr>
                <w:color w:val="000000"/>
                <w:szCs w:val="20"/>
              </w:rPr>
            </w:pPr>
            <w:r w:rsidRPr="00BC3B86">
              <w:rPr>
                <w:color w:val="000000"/>
                <w:szCs w:val="20"/>
              </w:rPr>
              <w:t>$3,371</w:t>
            </w:r>
          </w:p>
        </w:tc>
      </w:tr>
      <w:tr w14:paraId="1F98F063" w14:textId="77777777" w:rsidTr="00037F27">
        <w:tblPrEx>
          <w:tblW w:w="12222" w:type="dxa"/>
          <w:tblInd w:w="-10" w:type="dxa"/>
          <w:tblLook w:val="04A0"/>
        </w:tblPrEx>
        <w:trPr>
          <w:trHeight w:val="318"/>
        </w:trPr>
        <w:tc>
          <w:tcPr>
            <w:tcW w:w="492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37F27" w:rsidRPr="00BE2E14" w:rsidP="00037F27" w14:paraId="27C27340" w14:textId="067679AD">
            <w:pPr>
              <w:widowControl/>
              <w:autoSpaceDE/>
              <w:autoSpaceDN/>
              <w:adjustRightInd/>
              <w:jc w:val="right"/>
              <w:rPr>
                <w:color w:val="000000"/>
                <w:sz w:val="18"/>
                <w:szCs w:val="18"/>
              </w:rPr>
            </w:pPr>
            <w:r w:rsidRPr="00BC3B86">
              <w:rPr>
                <w:b/>
                <w:bCs/>
                <w:color w:val="000000"/>
                <w:szCs w:val="20"/>
              </w:rPr>
              <w:t>Total Annual Burden/Costs</w:t>
            </w:r>
          </w:p>
        </w:tc>
        <w:tc>
          <w:tcPr>
            <w:tcW w:w="1494" w:type="dxa"/>
            <w:tcBorders>
              <w:top w:val="nil"/>
              <w:left w:val="nil"/>
              <w:bottom w:val="single" w:sz="4" w:space="0" w:color="auto"/>
              <w:right w:val="single" w:sz="4" w:space="0" w:color="auto"/>
            </w:tcBorders>
            <w:shd w:val="clear" w:color="auto" w:fill="E7E6E6" w:themeFill="background2"/>
            <w:noWrap/>
            <w:vAlign w:val="bottom"/>
          </w:tcPr>
          <w:p w:rsidR="00037F27" w:rsidRPr="00BC3B86" w:rsidP="00577E9B" w14:paraId="69CC1804" w14:textId="21ACE06B">
            <w:pPr>
              <w:widowControl/>
              <w:autoSpaceDE/>
              <w:autoSpaceDN/>
              <w:adjustRightInd/>
              <w:jc w:val="center"/>
              <w:rPr>
                <w:color w:val="000000"/>
                <w:szCs w:val="20"/>
              </w:rPr>
            </w:pPr>
            <w:r w:rsidRPr="00BC3B86">
              <w:rPr>
                <w:b/>
                <w:bCs/>
                <w:color w:val="000000"/>
                <w:szCs w:val="20"/>
              </w:rPr>
              <w:t>57,416</w:t>
            </w:r>
          </w:p>
        </w:tc>
        <w:tc>
          <w:tcPr>
            <w:tcW w:w="1274" w:type="dxa"/>
            <w:tcBorders>
              <w:top w:val="nil"/>
              <w:left w:val="nil"/>
              <w:bottom w:val="single" w:sz="4" w:space="0" w:color="auto"/>
              <w:right w:val="single" w:sz="4" w:space="0" w:color="auto"/>
            </w:tcBorders>
            <w:shd w:val="clear" w:color="auto" w:fill="E7E6E6" w:themeFill="background2"/>
            <w:noWrap/>
            <w:vAlign w:val="bottom"/>
          </w:tcPr>
          <w:p w:rsidR="00037F27" w:rsidRPr="00BC3B86" w:rsidP="00577E9B" w14:paraId="55C25361" w14:textId="002A3BAC">
            <w:pPr>
              <w:widowControl/>
              <w:autoSpaceDE/>
              <w:autoSpaceDN/>
              <w:adjustRightInd/>
              <w:jc w:val="center"/>
              <w:rPr>
                <w:color w:val="000000"/>
                <w:szCs w:val="20"/>
              </w:rPr>
            </w:pPr>
            <w:r w:rsidRPr="00BC3B86">
              <w:rPr>
                <w:b/>
                <w:bCs/>
                <w:color w:val="000000"/>
                <w:szCs w:val="20"/>
              </w:rPr>
              <w:t>57,416</w:t>
            </w:r>
          </w:p>
        </w:tc>
        <w:tc>
          <w:tcPr>
            <w:tcW w:w="1080" w:type="dxa"/>
            <w:tcBorders>
              <w:top w:val="nil"/>
              <w:left w:val="nil"/>
              <w:bottom w:val="single" w:sz="4" w:space="0" w:color="auto"/>
              <w:right w:val="single" w:sz="4" w:space="0" w:color="auto"/>
            </w:tcBorders>
            <w:shd w:val="clear" w:color="auto" w:fill="E7E6E6" w:themeFill="background2"/>
            <w:vAlign w:val="bottom"/>
          </w:tcPr>
          <w:p w:rsidR="00037F27" w:rsidRPr="00BC3B86" w:rsidP="00577E9B" w14:paraId="1B0588BB" w14:textId="6F3FDDF1">
            <w:pPr>
              <w:widowControl/>
              <w:autoSpaceDE/>
              <w:autoSpaceDN/>
              <w:adjustRightInd/>
              <w:jc w:val="center"/>
              <w:rPr>
                <w:color w:val="000000"/>
                <w:szCs w:val="20"/>
              </w:rPr>
            </w:pPr>
            <w:r w:rsidRPr="00BC3B86">
              <w:rPr>
                <w:b/>
                <w:bCs/>
                <w:color w:val="000000"/>
                <w:szCs w:val="20"/>
              </w:rPr>
              <w:t>113</w:t>
            </w:r>
            <w:r w:rsidRPr="00B27A5E">
              <w:rPr>
                <w:szCs w:val="20"/>
                <w:vertAlign w:val="superscript"/>
              </w:rPr>
              <w:t>***</w:t>
            </w:r>
          </w:p>
        </w:tc>
        <w:tc>
          <w:tcPr>
            <w:tcW w:w="1260" w:type="dxa"/>
            <w:tcBorders>
              <w:top w:val="nil"/>
              <w:left w:val="nil"/>
              <w:bottom w:val="single" w:sz="4" w:space="0" w:color="auto"/>
              <w:right w:val="single" w:sz="4" w:space="0" w:color="auto"/>
            </w:tcBorders>
            <w:shd w:val="clear" w:color="auto" w:fill="E7E6E6" w:themeFill="background2"/>
            <w:noWrap/>
            <w:vAlign w:val="bottom"/>
          </w:tcPr>
          <w:p w:rsidR="00037F27" w:rsidRPr="00BC3B86" w:rsidP="00577E9B" w14:paraId="3E5B3544" w14:textId="00326A0E">
            <w:pPr>
              <w:widowControl/>
              <w:autoSpaceDE/>
              <w:autoSpaceDN/>
              <w:adjustRightInd/>
              <w:jc w:val="center"/>
              <w:rPr>
                <w:color w:val="000000"/>
                <w:szCs w:val="20"/>
              </w:rPr>
            </w:pPr>
            <w:r w:rsidRPr="00BC3B86">
              <w:rPr>
                <w:b/>
                <w:bCs/>
                <w:color w:val="000000"/>
                <w:szCs w:val="20"/>
              </w:rPr>
              <w:t>287,326</w:t>
            </w:r>
            <w:r w:rsidRPr="00B27A5E">
              <w:rPr>
                <w:szCs w:val="20"/>
                <w:vertAlign w:val="superscript"/>
              </w:rPr>
              <w:t>***</w:t>
            </w:r>
          </w:p>
        </w:tc>
        <w:tc>
          <w:tcPr>
            <w:tcW w:w="829" w:type="dxa"/>
            <w:tcBorders>
              <w:top w:val="nil"/>
              <w:left w:val="nil"/>
              <w:bottom w:val="single" w:sz="4" w:space="0" w:color="auto"/>
              <w:right w:val="single" w:sz="4" w:space="0" w:color="auto"/>
            </w:tcBorders>
            <w:shd w:val="clear" w:color="auto" w:fill="E7E6E6" w:themeFill="background2"/>
            <w:noWrap/>
            <w:vAlign w:val="bottom"/>
          </w:tcPr>
          <w:p w:rsidR="00037F27" w:rsidRPr="00E45CEC" w:rsidP="00577E9B" w14:paraId="4C17488B" w14:textId="291B548F">
            <w:pPr>
              <w:widowControl/>
              <w:autoSpaceDE/>
              <w:autoSpaceDN/>
              <w:adjustRightInd/>
              <w:jc w:val="center"/>
              <w:rPr>
                <w:color w:val="000000"/>
                <w:szCs w:val="20"/>
              </w:rPr>
            </w:pPr>
            <w:r w:rsidRPr="00BC3B86">
              <w:rPr>
                <w:b/>
                <w:bCs/>
                <w:color w:val="000000"/>
                <w:szCs w:val="20"/>
              </w:rPr>
              <w:t>n/a</w:t>
            </w:r>
          </w:p>
        </w:tc>
        <w:tc>
          <w:tcPr>
            <w:tcW w:w="1365" w:type="dxa"/>
            <w:tcBorders>
              <w:top w:val="nil"/>
              <w:left w:val="nil"/>
              <w:bottom w:val="single" w:sz="4" w:space="0" w:color="auto"/>
              <w:right w:val="single" w:sz="4" w:space="0" w:color="auto"/>
            </w:tcBorders>
            <w:shd w:val="clear" w:color="auto" w:fill="E7E6E6" w:themeFill="background2"/>
            <w:noWrap/>
            <w:vAlign w:val="bottom"/>
          </w:tcPr>
          <w:p w:rsidR="00037F27" w:rsidRPr="00BC3B86" w:rsidP="00577E9B" w14:paraId="3446EA58" w14:textId="1887B1A4">
            <w:pPr>
              <w:widowControl/>
              <w:autoSpaceDE/>
              <w:autoSpaceDN/>
              <w:adjustRightInd/>
              <w:jc w:val="right"/>
              <w:rPr>
                <w:color w:val="000000"/>
                <w:szCs w:val="20"/>
              </w:rPr>
            </w:pPr>
            <w:r w:rsidRPr="00BC3B86">
              <w:rPr>
                <w:b/>
                <w:bCs/>
                <w:color w:val="000000"/>
                <w:szCs w:val="20"/>
              </w:rPr>
              <w:t>$92,231,486</w:t>
            </w:r>
          </w:p>
        </w:tc>
      </w:tr>
    </w:tbl>
    <w:p w:rsidR="00BC3B86" w:rsidRPr="00CA1EF5" w:rsidP="00CB5B42" w14:paraId="5AB443C0" w14:textId="182CC00B">
      <w:pPr>
        <w:widowControl/>
        <w:autoSpaceDE/>
        <w:autoSpaceDN/>
        <w:adjustRightInd/>
        <w:rPr>
          <w:sz w:val="16"/>
          <w:szCs w:val="20"/>
        </w:rPr>
      </w:pPr>
      <w:r>
        <w:rPr>
          <w:szCs w:val="20"/>
        </w:rPr>
        <w:t xml:space="preserve">*  </w:t>
      </w:r>
      <w:r w:rsidRPr="00F745BB">
        <w:rPr>
          <w:szCs w:val="20"/>
        </w:rPr>
        <w:t xml:space="preserve">Based on </w:t>
      </w:r>
      <w:hyperlink r:id="rId12" w:history="1">
        <w:r w:rsidRPr="00CA1EF5">
          <w:rPr>
            <w:rStyle w:val="Hyperlink"/>
            <w:szCs w:val="20"/>
          </w:rPr>
          <w:t>2019 Final Rule</w:t>
        </w:r>
      </w:hyperlink>
    </w:p>
    <w:p w:rsidR="00D72EFC" w:rsidP="00CB5B42" w14:paraId="666D1F53" w14:textId="125F89B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490905">
        <w:rPr>
          <w:szCs w:val="20"/>
        </w:rPr>
        <w:t>** The hourly labor cost is blended between the wages for multiple staffing levels.</w:t>
      </w:r>
    </w:p>
    <w:p w:rsidR="00B27A5E" w:rsidRPr="00910C42" w:rsidP="00B27A5E" w14:paraId="6EBF47B6" w14:textId="77777777">
      <w:pPr>
        <w:widowControl/>
        <w:autoSpaceDE/>
        <w:autoSpaceDN/>
        <w:adjustRightInd/>
        <w:rPr>
          <w:szCs w:val="20"/>
        </w:rPr>
      </w:pPr>
      <w:r w:rsidRPr="00B27A5E">
        <w:rPr>
          <w:szCs w:val="20"/>
          <w:vertAlign w:val="superscript"/>
        </w:rPr>
        <w:t xml:space="preserve">*** </w:t>
      </w:r>
      <w:r>
        <w:rPr>
          <w:szCs w:val="20"/>
        </w:rPr>
        <w:t>Rounded to nearest zero</w:t>
      </w:r>
    </w:p>
    <w:p w:rsidR="00B27A5E" w:rsidP="00CB5B42" w14:paraId="7C15E35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232AE9" w:rsidP="00BC3B86" w14:paraId="08080B2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Cs w:val="20"/>
        </w:rPr>
        <w:sectPr w:rsidSect="00232AE9">
          <w:endnotePr>
            <w:numFmt w:val="decimal"/>
          </w:endnotePr>
          <w:pgSz w:w="15840" w:h="12240" w:orient="landscape"/>
          <w:pgMar w:top="1440" w:right="1440" w:bottom="1440" w:left="1440" w:header="1440" w:footer="1440" w:gutter="0"/>
          <w:cols w:space="720"/>
          <w:noEndnote/>
          <w:docGrid w:linePitch="272"/>
        </w:sectPr>
      </w:pPr>
    </w:p>
    <w:p w:rsidR="005A6F5A" w:rsidRPr="00F86481" w:rsidP="00431554" w14:paraId="315F91A9" w14:textId="0CD6706F">
      <w:pPr>
        <w:pStyle w:val="Heading5"/>
      </w:pPr>
      <w:r w:rsidRPr="00F86481">
        <w:t>IC-</w:t>
      </w:r>
      <w:r w:rsidR="003A5E68">
        <w:t>4c</w:t>
      </w:r>
      <w:r w:rsidRPr="00F86481">
        <w:t xml:space="preserve">: </w:t>
      </w:r>
      <w:r w:rsidR="003A5E68">
        <w:t xml:space="preserve">Annual </w:t>
      </w:r>
      <w:r>
        <w:t>Testing</w:t>
      </w:r>
      <w:r w:rsidR="003A5E68">
        <w:t xml:space="preserve"> </w:t>
      </w:r>
      <w:r w:rsidR="007E1B2C">
        <w:t>E</w:t>
      </w:r>
      <w:r w:rsidR="003A5E68">
        <w:t>xercises</w:t>
      </w:r>
    </w:p>
    <w:p w:rsidR="003A5E68" w:rsidP="009B5F20" w14:paraId="698B801B" w14:textId="0F271EC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requirement to </w:t>
      </w:r>
      <w:r>
        <w:rPr>
          <w:sz w:val="24"/>
        </w:rPr>
        <w:t xml:space="preserve">annually </w:t>
      </w:r>
      <w:r>
        <w:rPr>
          <w:sz w:val="24"/>
        </w:rPr>
        <w:t>conduct emergency preparedness testing exercises is applicable to the following providers:</w:t>
      </w:r>
      <w:r w:rsidRPr="003A5E68">
        <w:rPr>
          <w:sz w:val="24"/>
        </w:rPr>
        <w:t xml:space="preserve"> </w:t>
      </w:r>
      <w:r w:rsidRPr="008A1272">
        <w:rPr>
          <w:sz w:val="24"/>
        </w:rPr>
        <w:t xml:space="preserve">RNHCIs at </w:t>
      </w:r>
      <w:r w:rsidRPr="008A1272">
        <w:rPr>
          <w:sz w:val="24"/>
          <w:u w:val="single"/>
        </w:rPr>
        <w:t>§403.748(</w:t>
      </w:r>
      <w:r>
        <w:rPr>
          <w:sz w:val="24"/>
          <w:u w:val="single"/>
        </w:rPr>
        <w:t>d</w:t>
      </w:r>
      <w:r w:rsidRPr="008A1272">
        <w:rPr>
          <w:sz w:val="24"/>
          <w:u w:val="single"/>
        </w:rPr>
        <w:t>)</w:t>
      </w:r>
      <w:r>
        <w:rPr>
          <w:sz w:val="24"/>
          <w:u w:val="single"/>
        </w:rPr>
        <w:t>(2)</w:t>
      </w:r>
      <w:r w:rsidRPr="008A1272">
        <w:rPr>
          <w:sz w:val="24"/>
          <w:u w:val="single"/>
        </w:rPr>
        <w:t>; ASCs at §416.54(</w:t>
      </w:r>
      <w:r>
        <w:rPr>
          <w:sz w:val="24"/>
          <w:u w:val="single"/>
        </w:rPr>
        <w:t>d</w:t>
      </w:r>
      <w:r w:rsidRPr="008A1272">
        <w:rPr>
          <w:sz w:val="24"/>
          <w:u w:val="single"/>
        </w:rPr>
        <w:t>)</w:t>
      </w:r>
      <w:r>
        <w:rPr>
          <w:sz w:val="24"/>
          <w:u w:val="single"/>
        </w:rPr>
        <w:t>(2)</w:t>
      </w:r>
      <w:r w:rsidRPr="008A1272">
        <w:rPr>
          <w:sz w:val="24"/>
          <w:u w:val="single"/>
        </w:rPr>
        <w:t>; Hospices at §418.113(</w:t>
      </w:r>
      <w:r>
        <w:rPr>
          <w:sz w:val="24"/>
          <w:u w:val="single"/>
        </w:rPr>
        <w:t>d</w:t>
      </w:r>
      <w:r w:rsidRPr="008A1272">
        <w:rPr>
          <w:sz w:val="24"/>
          <w:u w:val="single"/>
        </w:rPr>
        <w:t>)</w:t>
      </w:r>
      <w:r>
        <w:rPr>
          <w:sz w:val="24"/>
          <w:u w:val="single"/>
        </w:rPr>
        <w:t>(2)</w:t>
      </w:r>
      <w:r w:rsidRPr="008A1272">
        <w:rPr>
          <w:sz w:val="24"/>
          <w:u w:val="single"/>
        </w:rPr>
        <w:t>; PRTFs at §441.184(</w:t>
      </w:r>
      <w:r>
        <w:rPr>
          <w:sz w:val="24"/>
          <w:u w:val="single"/>
        </w:rPr>
        <w:t>d</w:t>
      </w:r>
      <w:r w:rsidRPr="008A1272">
        <w:rPr>
          <w:sz w:val="24"/>
          <w:u w:val="single"/>
        </w:rPr>
        <w:t>)</w:t>
      </w:r>
      <w:r>
        <w:rPr>
          <w:sz w:val="24"/>
          <w:u w:val="single"/>
        </w:rPr>
        <w:t>(2)</w:t>
      </w:r>
      <w:r w:rsidRPr="008A1272">
        <w:rPr>
          <w:sz w:val="24"/>
          <w:u w:val="single"/>
        </w:rPr>
        <w:t>; PACE at §460.84(</w:t>
      </w:r>
      <w:r>
        <w:rPr>
          <w:sz w:val="24"/>
          <w:u w:val="single"/>
        </w:rPr>
        <w:t>d</w:t>
      </w:r>
      <w:r w:rsidRPr="008A1272">
        <w:rPr>
          <w:sz w:val="24"/>
          <w:u w:val="single"/>
        </w:rPr>
        <w:t>)</w:t>
      </w:r>
      <w:r>
        <w:rPr>
          <w:sz w:val="24"/>
          <w:u w:val="single"/>
        </w:rPr>
        <w:t>(2)</w:t>
      </w:r>
      <w:r w:rsidRPr="008A1272">
        <w:rPr>
          <w:sz w:val="24"/>
          <w:u w:val="single"/>
        </w:rPr>
        <w:t>; Hospitals at §482.15(</w:t>
      </w:r>
      <w:r>
        <w:rPr>
          <w:sz w:val="24"/>
          <w:u w:val="single"/>
        </w:rPr>
        <w:t>d</w:t>
      </w:r>
      <w:r w:rsidRPr="008A1272">
        <w:rPr>
          <w:sz w:val="24"/>
          <w:u w:val="single"/>
        </w:rPr>
        <w:t>)</w:t>
      </w:r>
      <w:r>
        <w:rPr>
          <w:sz w:val="24"/>
          <w:u w:val="single"/>
        </w:rPr>
        <w:t>(2)</w:t>
      </w:r>
      <w:r w:rsidRPr="008A1272">
        <w:rPr>
          <w:sz w:val="24"/>
          <w:u w:val="single"/>
        </w:rPr>
        <w:t>; Transplant Programs §482.78(</w:t>
      </w:r>
      <w:r>
        <w:rPr>
          <w:sz w:val="24"/>
          <w:u w:val="single"/>
        </w:rPr>
        <w:t>d</w:t>
      </w:r>
      <w:r w:rsidRPr="008A1272">
        <w:rPr>
          <w:sz w:val="24"/>
          <w:u w:val="single"/>
        </w:rPr>
        <w:t>)</w:t>
      </w:r>
      <w:r>
        <w:rPr>
          <w:sz w:val="24"/>
          <w:u w:val="single"/>
        </w:rPr>
        <w:t>(2)</w:t>
      </w:r>
      <w:r w:rsidRPr="008A1272">
        <w:rPr>
          <w:sz w:val="24"/>
          <w:u w:val="single"/>
        </w:rPr>
        <w:t>; ICF/IIDs at §483.475(</w:t>
      </w:r>
      <w:r>
        <w:rPr>
          <w:sz w:val="24"/>
          <w:u w:val="single"/>
        </w:rPr>
        <w:t>d</w:t>
      </w:r>
      <w:r w:rsidRPr="008A1272">
        <w:rPr>
          <w:sz w:val="24"/>
          <w:u w:val="single"/>
        </w:rPr>
        <w:t>)</w:t>
      </w:r>
      <w:r>
        <w:rPr>
          <w:sz w:val="24"/>
          <w:u w:val="single"/>
        </w:rPr>
        <w:t>(2)</w:t>
      </w:r>
      <w:r w:rsidRPr="008A1272">
        <w:rPr>
          <w:sz w:val="24"/>
          <w:u w:val="single"/>
        </w:rPr>
        <w:t>; HHAs at §484.102(</w:t>
      </w:r>
      <w:r>
        <w:rPr>
          <w:sz w:val="24"/>
          <w:u w:val="single"/>
        </w:rPr>
        <w:t>d</w:t>
      </w:r>
      <w:r w:rsidRPr="008A1272">
        <w:rPr>
          <w:sz w:val="24"/>
          <w:u w:val="single"/>
        </w:rPr>
        <w:t>)</w:t>
      </w:r>
      <w:r>
        <w:rPr>
          <w:sz w:val="24"/>
          <w:u w:val="single"/>
        </w:rPr>
        <w:t>(2)</w:t>
      </w:r>
      <w:r w:rsidRPr="008A1272">
        <w:rPr>
          <w:sz w:val="24"/>
          <w:u w:val="single"/>
        </w:rPr>
        <w:t>; REHs at §485.542(</w:t>
      </w:r>
      <w:r>
        <w:rPr>
          <w:sz w:val="24"/>
          <w:u w:val="single"/>
        </w:rPr>
        <w:t>d</w:t>
      </w:r>
      <w:r w:rsidRPr="008A1272">
        <w:rPr>
          <w:sz w:val="24"/>
          <w:u w:val="single"/>
        </w:rPr>
        <w:t>)</w:t>
      </w:r>
      <w:r>
        <w:rPr>
          <w:sz w:val="24"/>
          <w:u w:val="single"/>
        </w:rPr>
        <w:t>(2)</w:t>
      </w:r>
      <w:r w:rsidRPr="008A1272">
        <w:rPr>
          <w:sz w:val="24"/>
          <w:u w:val="single"/>
        </w:rPr>
        <w:t>; CAHs at §485.625(</w:t>
      </w:r>
      <w:r>
        <w:rPr>
          <w:sz w:val="24"/>
          <w:u w:val="single"/>
        </w:rPr>
        <w:t>d</w:t>
      </w:r>
      <w:r w:rsidRPr="008A1272">
        <w:rPr>
          <w:sz w:val="24"/>
          <w:u w:val="single"/>
        </w:rPr>
        <w:t>)</w:t>
      </w:r>
      <w:r>
        <w:rPr>
          <w:sz w:val="24"/>
          <w:u w:val="single"/>
        </w:rPr>
        <w:t>(2)</w:t>
      </w:r>
      <w:r w:rsidRPr="008A1272">
        <w:rPr>
          <w:sz w:val="24"/>
          <w:u w:val="single"/>
        </w:rPr>
        <w:t>; CORFs at §485.68(</w:t>
      </w:r>
      <w:r>
        <w:rPr>
          <w:sz w:val="24"/>
          <w:u w:val="single"/>
        </w:rPr>
        <w:t>d</w:t>
      </w:r>
      <w:r w:rsidRPr="008A1272">
        <w:rPr>
          <w:sz w:val="24"/>
          <w:u w:val="single"/>
        </w:rPr>
        <w:t>)</w:t>
      </w:r>
      <w:r>
        <w:rPr>
          <w:sz w:val="24"/>
          <w:u w:val="single"/>
        </w:rPr>
        <w:t>(2)</w:t>
      </w:r>
      <w:r w:rsidRPr="008A1272">
        <w:rPr>
          <w:sz w:val="24"/>
          <w:u w:val="single"/>
        </w:rPr>
        <w:t xml:space="preserve">; </w:t>
      </w:r>
      <w:r w:rsidR="00405371">
        <w:rPr>
          <w:sz w:val="24"/>
          <w:u w:val="single"/>
        </w:rPr>
        <w:t>“Organizations”</w:t>
      </w:r>
      <w:r w:rsidRPr="008A1272">
        <w:rPr>
          <w:sz w:val="24"/>
          <w:u w:val="single"/>
        </w:rPr>
        <w:t xml:space="preserve"> at §485.727(</w:t>
      </w:r>
      <w:r>
        <w:rPr>
          <w:sz w:val="24"/>
          <w:u w:val="single"/>
        </w:rPr>
        <w:t>d</w:t>
      </w:r>
      <w:r w:rsidRPr="008A1272">
        <w:rPr>
          <w:sz w:val="24"/>
          <w:u w:val="single"/>
        </w:rPr>
        <w:t>)</w:t>
      </w:r>
      <w:r>
        <w:rPr>
          <w:sz w:val="24"/>
          <w:u w:val="single"/>
        </w:rPr>
        <w:t>(2)</w:t>
      </w:r>
      <w:r w:rsidRPr="008A1272">
        <w:rPr>
          <w:sz w:val="24"/>
          <w:u w:val="single"/>
        </w:rPr>
        <w:t>; CMHCs at §485.920(</w:t>
      </w:r>
      <w:r>
        <w:rPr>
          <w:sz w:val="24"/>
          <w:u w:val="single"/>
        </w:rPr>
        <w:t>d</w:t>
      </w:r>
      <w:r w:rsidRPr="008A1272">
        <w:rPr>
          <w:sz w:val="24"/>
          <w:u w:val="single"/>
        </w:rPr>
        <w:t>)</w:t>
      </w:r>
      <w:r>
        <w:rPr>
          <w:sz w:val="24"/>
          <w:u w:val="single"/>
        </w:rPr>
        <w:t>(2)</w:t>
      </w:r>
      <w:r w:rsidRPr="008A1272">
        <w:rPr>
          <w:sz w:val="24"/>
          <w:u w:val="single"/>
        </w:rPr>
        <w:t>; OPOs at §486.360(</w:t>
      </w:r>
      <w:r>
        <w:rPr>
          <w:sz w:val="24"/>
          <w:u w:val="single"/>
        </w:rPr>
        <w:t>d</w:t>
      </w:r>
      <w:r w:rsidRPr="008A1272">
        <w:rPr>
          <w:sz w:val="24"/>
          <w:u w:val="single"/>
        </w:rPr>
        <w:t>)</w:t>
      </w:r>
      <w:r>
        <w:rPr>
          <w:sz w:val="24"/>
          <w:u w:val="single"/>
        </w:rPr>
        <w:t>(2)</w:t>
      </w:r>
      <w:r w:rsidRPr="008A1272">
        <w:rPr>
          <w:sz w:val="24"/>
          <w:u w:val="single"/>
        </w:rPr>
        <w:t>; RHCs/FQHCs at §491.12(</w:t>
      </w:r>
      <w:r>
        <w:rPr>
          <w:sz w:val="24"/>
          <w:u w:val="single"/>
        </w:rPr>
        <w:t>d</w:t>
      </w:r>
      <w:r w:rsidRPr="008A1272">
        <w:rPr>
          <w:sz w:val="24"/>
          <w:u w:val="single"/>
        </w:rPr>
        <w:t>)</w:t>
      </w:r>
      <w:r>
        <w:rPr>
          <w:sz w:val="24"/>
          <w:u w:val="single"/>
        </w:rPr>
        <w:t>(2)</w:t>
      </w:r>
      <w:r w:rsidR="009B5F20">
        <w:rPr>
          <w:sz w:val="24"/>
          <w:u w:val="single"/>
        </w:rPr>
        <w:t xml:space="preserve">; </w:t>
      </w:r>
      <w:r w:rsidRPr="008A1272" w:rsidR="009B5F20">
        <w:rPr>
          <w:sz w:val="24"/>
          <w:u w:val="single"/>
        </w:rPr>
        <w:t>ESRD facilities at §494.62(</w:t>
      </w:r>
      <w:r w:rsidR="009B5F20">
        <w:rPr>
          <w:sz w:val="24"/>
          <w:u w:val="single"/>
        </w:rPr>
        <w:t>d</w:t>
      </w:r>
      <w:r w:rsidRPr="008A1272" w:rsidR="009B5F20">
        <w:rPr>
          <w:sz w:val="24"/>
          <w:u w:val="single"/>
        </w:rPr>
        <w:t>)</w:t>
      </w:r>
      <w:r w:rsidR="009B5F20">
        <w:rPr>
          <w:sz w:val="24"/>
          <w:u w:val="single"/>
        </w:rPr>
        <w:t>(2)</w:t>
      </w:r>
      <w:r w:rsidRPr="008A1272" w:rsidR="009B5F20">
        <w:rPr>
          <w:sz w:val="24"/>
          <w:u w:val="single"/>
        </w:rPr>
        <w:t>.</w:t>
      </w:r>
    </w:p>
    <w:p w:rsidR="003A5E68" w:rsidP="00BC3B86" w14:paraId="0DB1326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4"/>
        </w:rPr>
      </w:pPr>
    </w:p>
    <w:p w:rsidR="001F0D44" w:rsidP="00BE2E14" w14:paraId="2F6B59DE" w14:textId="746B707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Per </w:t>
      </w:r>
      <w:r w:rsidR="00B54CEA">
        <w:rPr>
          <w:sz w:val="24"/>
        </w:rPr>
        <w:t>the</w:t>
      </w:r>
      <w:r w:rsidR="00CC22A0">
        <w:rPr>
          <w:sz w:val="24"/>
        </w:rPr>
        <w:t xml:space="preserve"> </w:t>
      </w:r>
      <w:hyperlink r:id="rId12" w:history="1">
        <w:r w:rsidRPr="00172208" w:rsidR="00CC22A0">
          <w:rPr>
            <w:rStyle w:val="Hyperlink"/>
            <w:sz w:val="24"/>
          </w:rPr>
          <w:t>2019 Final Rule</w:t>
        </w:r>
      </w:hyperlink>
      <w:r>
        <w:rPr>
          <w:sz w:val="24"/>
        </w:rPr>
        <w:t xml:space="preserve">, facilities that provide inpatient services, </w:t>
      </w:r>
      <w:r w:rsidR="00B54CEA">
        <w:rPr>
          <w:sz w:val="24"/>
        </w:rPr>
        <w:t xml:space="preserve">must conduct </w:t>
      </w:r>
      <w:r>
        <w:rPr>
          <w:sz w:val="24"/>
        </w:rPr>
        <w:t>two testing exercises annually</w:t>
      </w:r>
      <w:r w:rsidR="00B54CEA">
        <w:rPr>
          <w:sz w:val="24"/>
        </w:rPr>
        <w:t xml:space="preserve"> (as described in the</w:t>
      </w:r>
      <w:r w:rsidRPr="001A5C2E" w:rsidR="008F3334">
        <w:rPr>
          <w:bCs/>
          <w:sz w:val="24"/>
        </w:rPr>
        <w:t xml:space="preserve"> </w:t>
      </w:r>
      <w:hyperlink r:id="rId10" w:history="1">
        <w:r w:rsidRPr="001A5C2E" w:rsidR="008F3334">
          <w:rPr>
            <w:rStyle w:val="Hyperlink"/>
            <w:sz w:val="24"/>
          </w:rPr>
          <w:t>2016 Final Rule</w:t>
        </w:r>
      </w:hyperlink>
      <w:r w:rsidR="00B54CEA">
        <w:rPr>
          <w:sz w:val="24"/>
        </w:rPr>
        <w:t>)</w:t>
      </w:r>
      <w:r>
        <w:rPr>
          <w:sz w:val="24"/>
        </w:rPr>
        <w:t xml:space="preserve"> while facilities that provide outpatient services </w:t>
      </w:r>
      <w:r w:rsidR="00B54CEA">
        <w:rPr>
          <w:sz w:val="24"/>
        </w:rPr>
        <w:t xml:space="preserve">are required to </w:t>
      </w:r>
      <w:r>
        <w:rPr>
          <w:sz w:val="24"/>
        </w:rPr>
        <w:t>conduct on</w:t>
      </w:r>
      <w:r w:rsidR="00B54CEA">
        <w:rPr>
          <w:sz w:val="24"/>
        </w:rPr>
        <w:t>ly on</w:t>
      </w:r>
      <w:r>
        <w:rPr>
          <w:sz w:val="24"/>
        </w:rPr>
        <w:t>e testing exercise each year.</w:t>
      </w:r>
      <w:r>
        <w:rPr>
          <w:rStyle w:val="FootnoteReference"/>
          <w:sz w:val="24"/>
          <w:vertAlign w:val="superscript"/>
        </w:rPr>
        <w:footnoteReference w:id="20"/>
      </w:r>
      <w:r w:rsidR="008F3334">
        <w:rPr>
          <w:sz w:val="24"/>
        </w:rPr>
        <w:t xml:space="preserve"> </w:t>
      </w:r>
      <w:r>
        <w:rPr>
          <w:sz w:val="24"/>
        </w:rPr>
        <w:t xml:space="preserve">Annual testing may be a community-based full-scale exercise , an individual, facility-based functional exercise, a drill, a tabletop exercise or a workshop that includes a group discussion by a facilitator. The burden of this CoP includes </w:t>
      </w:r>
      <w:r w:rsidRPr="0040346A">
        <w:rPr>
          <w:sz w:val="24"/>
        </w:rPr>
        <w:t>develop</w:t>
      </w:r>
      <w:r>
        <w:rPr>
          <w:sz w:val="24"/>
        </w:rPr>
        <w:t>ing</w:t>
      </w:r>
      <w:r w:rsidRPr="0040346A">
        <w:rPr>
          <w:sz w:val="24"/>
        </w:rPr>
        <w:t xml:space="preserve"> scenarios for their drills and exercises</w:t>
      </w:r>
      <w:r>
        <w:rPr>
          <w:sz w:val="24"/>
        </w:rPr>
        <w:t xml:space="preserve">, </w:t>
      </w:r>
      <w:r w:rsidRPr="0040346A">
        <w:rPr>
          <w:sz w:val="24"/>
        </w:rPr>
        <w:t>analyzing their responses to the testing exercises and actual emergency events</w:t>
      </w:r>
      <w:r>
        <w:rPr>
          <w:sz w:val="24"/>
        </w:rPr>
        <w:t>, and maintaining documentation</w:t>
      </w:r>
      <w:r w:rsidRPr="0040346A">
        <w:rPr>
          <w:sz w:val="24"/>
        </w:rPr>
        <w:t>.</w:t>
      </w:r>
      <w:r>
        <w:rPr>
          <w:sz w:val="24"/>
        </w:rPr>
        <w:t xml:space="preserve"> If an actual natural or man-made emergency that requires activation of the emergency plan is experienced, then the required testing that year can be deferred until the following year.</w:t>
      </w:r>
    </w:p>
    <w:p w:rsidR="00A0373A" w:rsidP="00BC3B86" w14:paraId="5BE8FDD0" w14:textId="0A266E2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4"/>
        </w:rPr>
      </w:pPr>
      <w:r>
        <w:rPr>
          <w:sz w:val="24"/>
        </w:rPr>
        <w:t xml:space="preserve"> </w:t>
      </w:r>
      <w:r w:rsidR="0068608D">
        <w:rPr>
          <w:sz w:val="24"/>
        </w:rPr>
        <w:t xml:space="preserve"> </w:t>
      </w:r>
    </w:p>
    <w:p w:rsidR="00C319E3" w:rsidP="007E1B2C" w14:paraId="6A90787D" w14:textId="41BB8F5B">
      <w:pPr>
        <w:widowControl/>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A5C2E">
        <w:rPr>
          <w:sz w:val="24"/>
          <w:szCs w:val="32"/>
        </w:rPr>
        <w:t xml:space="preserve">Per </w:t>
      </w:r>
      <w:r w:rsidRPr="001A5C2E">
        <w:rPr>
          <w:bCs/>
          <w:sz w:val="24"/>
        </w:rPr>
        <w:t xml:space="preserve">the </w:t>
      </w:r>
      <w:hyperlink r:id="rId10" w:history="1">
        <w:r w:rsidRPr="001A5C2E">
          <w:rPr>
            <w:rStyle w:val="Hyperlink"/>
            <w:sz w:val="24"/>
          </w:rPr>
          <w:t>2016 Final Rule</w:t>
        </w:r>
      </w:hyperlink>
      <w:r w:rsidRPr="001A5C2E">
        <w:rPr>
          <w:sz w:val="24"/>
          <w:szCs w:val="32"/>
        </w:rPr>
        <w:t>, TJC-accredited CAHs</w:t>
      </w:r>
      <w:r w:rsidR="008F3334">
        <w:rPr>
          <w:sz w:val="24"/>
          <w:szCs w:val="32"/>
        </w:rPr>
        <w:t xml:space="preserve"> </w:t>
      </w:r>
      <w:r>
        <w:rPr>
          <w:sz w:val="24"/>
          <w:szCs w:val="32"/>
        </w:rPr>
        <w:t>and</w:t>
      </w:r>
      <w:r w:rsidRPr="001A5C2E">
        <w:rPr>
          <w:sz w:val="24"/>
          <w:szCs w:val="32"/>
        </w:rPr>
        <w:t xml:space="preserve"> hospitals me</w:t>
      </w:r>
      <w:r>
        <w:rPr>
          <w:sz w:val="24"/>
          <w:szCs w:val="32"/>
        </w:rPr>
        <w:t>e</w:t>
      </w:r>
      <w:r w:rsidRPr="001A5C2E">
        <w:rPr>
          <w:sz w:val="24"/>
          <w:szCs w:val="32"/>
        </w:rPr>
        <w:t>t the required standards of this CoP</w:t>
      </w:r>
      <w:r>
        <w:rPr>
          <w:sz w:val="24"/>
          <w:szCs w:val="32"/>
        </w:rPr>
        <w:t xml:space="preserve"> – to annually </w:t>
      </w:r>
      <w:r w:rsidRPr="008876AF">
        <w:rPr>
          <w:sz w:val="24"/>
        </w:rPr>
        <w:t xml:space="preserve">conduct emergency preparedness training/testing exercises - </w:t>
      </w:r>
      <w:r w:rsidRPr="008876AF">
        <w:rPr>
          <w:sz w:val="24"/>
          <w:szCs w:val="32"/>
        </w:rPr>
        <w:t>and</w:t>
      </w:r>
      <w:r w:rsidRPr="001A5C2E">
        <w:rPr>
          <w:sz w:val="24"/>
          <w:szCs w:val="32"/>
        </w:rPr>
        <w:t xml:space="preserve"> thus the burden for this CoP is seen as usual and customary practice for these providers.</w:t>
      </w:r>
      <w:r w:rsidRPr="008F3334" w:rsidR="008F3334">
        <w:rPr>
          <w:rStyle w:val="FootnoteReference"/>
          <w:sz w:val="24"/>
          <w:vertAlign w:val="superscript"/>
        </w:rPr>
        <w:t xml:space="preserve"> </w:t>
      </w:r>
      <w:r>
        <w:rPr>
          <w:rStyle w:val="FootnoteReference"/>
          <w:sz w:val="24"/>
          <w:vertAlign w:val="superscript"/>
        </w:rPr>
        <w:footnoteReference w:id="21"/>
      </w:r>
      <w:r w:rsidRPr="001A5C2E">
        <w:rPr>
          <w:sz w:val="24"/>
          <w:szCs w:val="32"/>
        </w:rPr>
        <w:t xml:space="preserve"> These providers are not included in the burden analysis below because they are exempt from the PRA under </w:t>
      </w:r>
      <w:r w:rsidRPr="001A5C2E">
        <w:rPr>
          <w:sz w:val="24"/>
        </w:rPr>
        <w:t xml:space="preserve">CFR §1320.3(b)(2). </w:t>
      </w:r>
      <w:r>
        <w:rPr>
          <w:sz w:val="24"/>
        </w:rPr>
        <w:t xml:space="preserve">However, TJC-accredited </w:t>
      </w:r>
      <w:r w:rsidR="008F3334">
        <w:rPr>
          <w:sz w:val="24"/>
        </w:rPr>
        <w:t xml:space="preserve">ASCs and </w:t>
      </w:r>
      <w:r>
        <w:rPr>
          <w:sz w:val="24"/>
        </w:rPr>
        <w:t>HHAs are not exempt from the PRA and are included in the burden analysis below.</w:t>
      </w:r>
      <w:r>
        <w:rPr>
          <w:rStyle w:val="FootnoteReference"/>
          <w:sz w:val="24"/>
          <w:vertAlign w:val="superscript"/>
        </w:rPr>
        <w:footnoteReference w:id="22"/>
      </w:r>
      <w:r w:rsidRPr="008F3334">
        <w:rPr>
          <w:sz w:val="24"/>
          <w:vertAlign w:val="superscript"/>
        </w:rPr>
        <w:t xml:space="preserve"> </w:t>
      </w:r>
    </w:p>
    <w:p w:rsidR="00586BFD" w:rsidRPr="007E1B2C" w:rsidP="007E1B2C" w14:paraId="66DB0D17" w14:textId="57765E8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A21FD" w:rsidP="007E1B2C" w14:paraId="13211827" w14:textId="0BE2536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For</w:t>
      </w:r>
      <w:r w:rsidR="00B949D1">
        <w:rPr>
          <w:sz w:val="24"/>
        </w:rPr>
        <w:t xml:space="preserve"> each</w:t>
      </w:r>
      <w:r>
        <w:rPr>
          <w:sz w:val="24"/>
        </w:rPr>
        <w:t xml:space="preserve"> existing Medicare certified</w:t>
      </w:r>
      <w:r w:rsidRPr="00B949D1" w:rsidR="00B949D1">
        <w:rPr>
          <w:sz w:val="24"/>
        </w:rPr>
        <w:t xml:space="preserve"> </w:t>
      </w:r>
      <w:r w:rsidR="00B949D1">
        <w:rPr>
          <w:sz w:val="24"/>
        </w:rPr>
        <w:t>provider that is not exempt from this information collection</w:t>
      </w:r>
      <w:r>
        <w:rPr>
          <w:sz w:val="24"/>
        </w:rPr>
        <w:t>, w</w:t>
      </w:r>
      <w:r w:rsidRPr="00026C64">
        <w:rPr>
          <w:sz w:val="24"/>
        </w:rPr>
        <w:t>e estimate that a</w:t>
      </w:r>
      <w:r>
        <w:rPr>
          <w:sz w:val="24"/>
        </w:rPr>
        <w:t xml:space="preserve">n </w:t>
      </w:r>
      <w:r w:rsidRPr="00026C64">
        <w:rPr>
          <w:sz w:val="24"/>
        </w:rPr>
        <w:t xml:space="preserve">Administrator </w:t>
      </w:r>
      <w:r>
        <w:rPr>
          <w:sz w:val="24"/>
        </w:rPr>
        <w:t>(</w:t>
      </w:r>
      <w:r w:rsidRPr="002A333C">
        <w:rPr>
          <w:sz w:val="24"/>
        </w:rPr>
        <w:t>Medical and Health Services Manager</w:t>
      </w:r>
      <w:r>
        <w:rPr>
          <w:sz w:val="24"/>
        </w:rPr>
        <w:t xml:space="preserve"> - BLS Occupation Code 11-9111) at a loaded hourly rate of $129, a Registered Nurse (BLS Occupation Code 29-1141) at a loaded hourly rate of $91 and a Facility Director (</w:t>
      </w:r>
      <w:r w:rsidRPr="002A333C">
        <w:rPr>
          <w:sz w:val="24"/>
        </w:rPr>
        <w:t>Administrative Services &amp; Facilities Manager</w:t>
      </w:r>
      <w:r>
        <w:rPr>
          <w:sz w:val="24"/>
        </w:rPr>
        <w:t xml:space="preserve"> – BLS Occupation Code 11-3010) </w:t>
      </w:r>
      <w:r w:rsidRPr="00026C64">
        <w:rPr>
          <w:sz w:val="24"/>
        </w:rPr>
        <w:t xml:space="preserve">at </w:t>
      </w:r>
      <w:r>
        <w:rPr>
          <w:sz w:val="24"/>
        </w:rPr>
        <w:t xml:space="preserve">a loaded hourly rate of $101 at </w:t>
      </w:r>
      <w:r w:rsidRPr="00026C64">
        <w:rPr>
          <w:sz w:val="24"/>
        </w:rPr>
        <w:t xml:space="preserve">each facility, would </w:t>
      </w:r>
      <w:r w:rsidR="00012CAB">
        <w:rPr>
          <w:sz w:val="24"/>
        </w:rPr>
        <w:t xml:space="preserve">all </w:t>
      </w:r>
      <w:r w:rsidRPr="00026C64">
        <w:rPr>
          <w:sz w:val="24"/>
        </w:rPr>
        <w:t xml:space="preserve">be responsible </w:t>
      </w:r>
      <w:r>
        <w:rPr>
          <w:sz w:val="24"/>
        </w:rPr>
        <w:t>f</w:t>
      </w:r>
      <w:r w:rsidRPr="00026C64">
        <w:rPr>
          <w:sz w:val="24"/>
        </w:rPr>
        <w:t xml:space="preserve">or </w:t>
      </w:r>
      <w:r>
        <w:rPr>
          <w:sz w:val="24"/>
        </w:rPr>
        <w:t xml:space="preserve">running the required testing exercises. </w:t>
      </w:r>
    </w:p>
    <w:p w:rsidR="008876AF" w:rsidP="007E1B2C" w14:paraId="0B18025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FA21FD" w:rsidP="007E1B2C" w14:paraId="25077545" w14:textId="29DC58C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w:t>
      </w:r>
      <w:r>
        <w:rPr>
          <w:sz w:val="24"/>
        </w:rPr>
        <w:t>9</w:t>
      </w:r>
      <w:r w:rsidR="00955BF2">
        <w:rPr>
          <w:sz w:val="24"/>
        </w:rPr>
        <w:t xml:space="preserve"> </w:t>
      </w:r>
      <w:r>
        <w:rPr>
          <w:sz w:val="24"/>
        </w:rPr>
        <w:t>below lays out the a</w:t>
      </w:r>
      <w:r w:rsidRPr="00110B70">
        <w:rPr>
          <w:sz w:val="24"/>
        </w:rPr>
        <w:t xml:space="preserve">nnual </w:t>
      </w:r>
      <w:r>
        <w:rPr>
          <w:sz w:val="24"/>
        </w:rPr>
        <w:t>b</w:t>
      </w:r>
      <w:r w:rsidRPr="00110B70">
        <w:rPr>
          <w:sz w:val="24"/>
        </w:rPr>
        <w:t xml:space="preserve">urden </w:t>
      </w:r>
      <w:r>
        <w:rPr>
          <w:sz w:val="24"/>
        </w:rPr>
        <w:t>h</w:t>
      </w:r>
      <w:r w:rsidRPr="00110B70">
        <w:rPr>
          <w:sz w:val="24"/>
        </w:rPr>
        <w:t xml:space="preserve">ours and </w:t>
      </w:r>
      <w:r>
        <w:rPr>
          <w:sz w:val="24"/>
        </w:rPr>
        <w:t>c</w:t>
      </w:r>
      <w:r w:rsidRPr="00110B70">
        <w:rPr>
          <w:sz w:val="24"/>
        </w:rPr>
        <w:t xml:space="preserve">ost for </w:t>
      </w:r>
      <w:r w:rsidR="006A16C6">
        <w:rPr>
          <w:sz w:val="24"/>
        </w:rPr>
        <w:t>existing</w:t>
      </w:r>
      <w:r>
        <w:rPr>
          <w:sz w:val="24"/>
        </w:rPr>
        <w:t xml:space="preserve"> provider</w:t>
      </w:r>
      <w:r w:rsidR="006A16C6">
        <w:rPr>
          <w:sz w:val="24"/>
        </w:rPr>
        <w:t>s</w:t>
      </w:r>
      <w:r w:rsidRPr="00110B70">
        <w:rPr>
          <w:sz w:val="24"/>
        </w:rPr>
        <w:t xml:space="preserve"> </w:t>
      </w:r>
      <w:r w:rsidR="00C319E3">
        <w:rPr>
          <w:sz w:val="24"/>
        </w:rPr>
        <w:t xml:space="preserve">– who are not exempt - </w:t>
      </w:r>
      <w:r w:rsidRPr="00110B70">
        <w:rPr>
          <w:sz w:val="24"/>
        </w:rPr>
        <w:t xml:space="preserve">to </w:t>
      </w:r>
      <w:r>
        <w:rPr>
          <w:sz w:val="24"/>
        </w:rPr>
        <w:t xml:space="preserve">complete </w:t>
      </w:r>
      <w:r>
        <w:rPr>
          <w:sz w:val="24"/>
        </w:rPr>
        <w:t>emergency preparedness testing</w:t>
      </w:r>
      <w:r>
        <w:rPr>
          <w:sz w:val="24"/>
        </w:rPr>
        <w:t xml:space="preserve"> exercises. </w:t>
      </w:r>
      <w:r w:rsidRPr="000938A3">
        <w:rPr>
          <w:sz w:val="24"/>
        </w:rPr>
        <w:t xml:space="preserve">We estimate the total collection of information burden impacting the </w:t>
      </w:r>
      <w:r>
        <w:rPr>
          <w:sz w:val="24"/>
        </w:rPr>
        <w:t>49,014 existing</w:t>
      </w:r>
      <w:r w:rsidR="00B949D1">
        <w:rPr>
          <w:sz w:val="24"/>
        </w:rPr>
        <w:t>, non-exempt</w:t>
      </w:r>
      <w:r>
        <w:rPr>
          <w:sz w:val="24"/>
        </w:rPr>
        <w:t xml:space="preserve"> </w:t>
      </w:r>
      <w:r w:rsidRPr="000938A3">
        <w:rPr>
          <w:sz w:val="24"/>
        </w:rPr>
        <w:t xml:space="preserve">providers and suppliers is </w:t>
      </w:r>
      <w:r>
        <w:rPr>
          <w:sz w:val="24"/>
        </w:rPr>
        <w:t>148,499</w:t>
      </w:r>
      <w:r w:rsidRPr="000938A3">
        <w:rPr>
          <w:sz w:val="24"/>
        </w:rPr>
        <w:t xml:space="preserve"> burden hours at an annual cost of </w:t>
      </w:r>
      <w:r w:rsidRPr="00914449">
        <w:rPr>
          <w:sz w:val="24"/>
        </w:rPr>
        <w:t>$</w:t>
      </w:r>
      <w:r>
        <w:rPr>
          <w:sz w:val="24"/>
        </w:rPr>
        <w:t>47,668,019, see Table 9.</w:t>
      </w:r>
    </w:p>
    <w:p w:rsidR="00B32E1E" w:rsidP="00BC3B86" w14:paraId="313648F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sz w:val="24"/>
        </w:rPr>
      </w:pPr>
    </w:p>
    <w:p w:rsidR="00B32E1E" w:rsidP="00BC3B86" w14:paraId="44E89FB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sz w:val="24"/>
        </w:rPr>
        <w:sectPr w:rsidSect="00FD0FF7">
          <w:endnotePr>
            <w:numFmt w:val="decimal"/>
          </w:endnotePr>
          <w:pgSz w:w="12240" w:h="15840"/>
          <w:pgMar w:top="1440" w:right="1440" w:bottom="1440" w:left="1440" w:header="1440" w:footer="1440" w:gutter="0"/>
          <w:cols w:space="720"/>
          <w:noEndnote/>
          <w:docGrid w:linePitch="272"/>
        </w:sectPr>
      </w:pPr>
    </w:p>
    <w:p w:rsidR="00B06393" w:rsidRPr="007E1B2C" w:rsidP="00431554" w14:paraId="2B1242FA" w14:textId="4C9CE111">
      <w:pPr>
        <w:pStyle w:val="Heading6"/>
      </w:pPr>
      <w:r w:rsidRPr="007E1B2C">
        <w:t xml:space="preserve">Table </w:t>
      </w:r>
      <w:r w:rsidRPr="007E1B2C" w:rsidR="00FA21FD">
        <w:t>9</w:t>
      </w:r>
      <w:r w:rsidRPr="007E1B2C" w:rsidR="001A73F7">
        <w:t>- IC-</w:t>
      </w:r>
      <w:r w:rsidRPr="007E1B2C" w:rsidR="003A5E68">
        <w:t>4c</w:t>
      </w:r>
      <w:r w:rsidRPr="007E1B2C" w:rsidR="001A73F7">
        <w:t xml:space="preserve"> - </w:t>
      </w:r>
      <w:r w:rsidRPr="007E1B2C">
        <w:t xml:space="preserve">Burden Hours and Cost Estimates for </w:t>
      </w:r>
      <w:r w:rsidRPr="007E1B2C" w:rsidR="000A6DB5">
        <w:t>Existing Facilities</w:t>
      </w:r>
      <w:r w:rsidRPr="007E1B2C">
        <w:t xml:space="preserve"> for </w:t>
      </w:r>
      <w:r w:rsidRPr="007E1B2C" w:rsidR="001B4F20">
        <w:t>Performing</w:t>
      </w:r>
      <w:r w:rsidRPr="007E1B2C">
        <w:t xml:space="preserve"> Testing</w:t>
      </w:r>
      <w:r w:rsidRPr="007E1B2C" w:rsidR="001B4F20">
        <w:t xml:space="preserve"> Exercises</w:t>
      </w:r>
    </w:p>
    <w:tbl>
      <w:tblPr>
        <w:tblW w:w="12060" w:type="dxa"/>
        <w:tblInd w:w="350" w:type="dxa"/>
        <w:tblLook w:val="04A0"/>
      </w:tblPr>
      <w:tblGrid>
        <w:gridCol w:w="540"/>
        <w:gridCol w:w="3240"/>
        <w:gridCol w:w="1440"/>
        <w:gridCol w:w="1306"/>
        <w:gridCol w:w="1094"/>
        <w:gridCol w:w="1017"/>
        <w:gridCol w:w="1083"/>
        <w:gridCol w:w="828"/>
        <w:gridCol w:w="1512"/>
      </w:tblGrid>
      <w:tr w14:paraId="3270FA9C" w14:textId="77777777" w:rsidTr="00037F27">
        <w:tblPrEx>
          <w:tblW w:w="12060" w:type="dxa"/>
          <w:tblInd w:w="350" w:type="dxa"/>
          <w:tblLook w:val="04A0"/>
        </w:tblPrEx>
        <w:trPr>
          <w:trHeight w:val="132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2E1E" w:rsidRPr="00815239" w:rsidP="00815239" w14:paraId="5CC8A041" w14:textId="3BFFDCC0">
            <w:pPr>
              <w:widowControl/>
              <w:autoSpaceDE/>
              <w:autoSpaceDN/>
              <w:adjustRightInd/>
              <w:jc w:val="center"/>
              <w:rPr>
                <w:b/>
                <w:bCs/>
                <w:color w:val="000000"/>
                <w:szCs w:val="20"/>
              </w:rPr>
            </w:pPr>
            <w:r>
              <w:rPr>
                <w:b/>
                <w:bCs/>
                <w:color w:val="000000"/>
                <w:szCs w:val="20"/>
              </w:rPr>
              <w:t>No.</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E1E" w:rsidRPr="00815239" w:rsidP="00815239" w14:paraId="04B7A365" w14:textId="0EA4A131">
            <w:pPr>
              <w:widowControl/>
              <w:autoSpaceDE/>
              <w:autoSpaceDN/>
              <w:adjustRightInd/>
              <w:jc w:val="center"/>
              <w:rPr>
                <w:b/>
                <w:bCs/>
                <w:color w:val="000000"/>
                <w:szCs w:val="20"/>
              </w:rPr>
            </w:pPr>
            <w:r w:rsidRPr="00815239">
              <w:rPr>
                <w:b/>
                <w:bCs/>
                <w:color w:val="000000"/>
                <w:szCs w:val="20"/>
              </w:rPr>
              <w:t xml:space="preserve">Provider </w:t>
            </w:r>
            <w:r>
              <w:rPr>
                <w:b/>
                <w:bCs/>
                <w:color w:val="000000"/>
                <w:szCs w:val="20"/>
              </w:rPr>
              <w:t xml:space="preserve">or Supplier </w:t>
            </w:r>
            <w:r w:rsidRPr="00815239">
              <w:rPr>
                <w:b/>
                <w:bCs/>
                <w:color w:val="000000"/>
                <w:szCs w:val="20"/>
              </w:rPr>
              <w:t>Type </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E1E" w:rsidP="00FE183A" w14:paraId="3BD8EAA8" w14:textId="77777777">
            <w:pPr>
              <w:widowControl/>
              <w:autoSpaceDE/>
              <w:autoSpaceDN/>
              <w:adjustRightInd/>
              <w:jc w:val="center"/>
              <w:rPr>
                <w:b/>
                <w:bCs/>
                <w:szCs w:val="20"/>
              </w:rPr>
            </w:pPr>
            <w:r>
              <w:rPr>
                <w:b/>
                <w:bCs/>
                <w:szCs w:val="20"/>
              </w:rPr>
              <w:t>42</w:t>
            </w:r>
          </w:p>
          <w:p w:rsidR="00B32E1E" w:rsidRPr="00815239" w:rsidP="00FE183A" w14:paraId="14040707" w14:textId="0BAF13F7">
            <w:pPr>
              <w:widowControl/>
              <w:autoSpaceDE/>
              <w:autoSpaceDN/>
              <w:adjustRightInd/>
              <w:jc w:val="center"/>
              <w:rPr>
                <w:b/>
                <w:bCs/>
                <w:szCs w:val="20"/>
              </w:rPr>
            </w:pPr>
            <w:r w:rsidRPr="005D3EDE">
              <w:rPr>
                <w:b/>
                <w:bCs/>
                <w:szCs w:val="20"/>
              </w:rPr>
              <w:t>CFR</w:t>
            </w:r>
          </w:p>
        </w:tc>
        <w:tc>
          <w:tcPr>
            <w:tcW w:w="1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226" w:rsidRPr="00732226" w:rsidP="00732226" w14:paraId="25E0AF1B" w14:textId="7C9847F0">
            <w:pPr>
              <w:widowControl/>
              <w:autoSpaceDE/>
              <w:autoSpaceDN/>
              <w:adjustRightInd/>
              <w:jc w:val="center"/>
              <w:rPr>
                <w:b/>
                <w:bCs/>
                <w:szCs w:val="20"/>
              </w:rPr>
            </w:pPr>
            <w:r w:rsidRPr="00815239">
              <w:rPr>
                <w:b/>
                <w:bCs/>
                <w:szCs w:val="20"/>
              </w:rPr>
              <w:t>Existing Certified Facilities/# of Respondents</w:t>
            </w:r>
          </w:p>
          <w:p w:rsidR="00B32E1E" w:rsidRPr="00815239" w:rsidP="00815239" w14:paraId="798E46E5" w14:textId="0B23C09A">
            <w:pPr>
              <w:jc w:val="center"/>
              <w:rPr>
                <w:b/>
                <w:bCs/>
                <w:szCs w:val="20"/>
              </w:rPr>
            </w:pPr>
            <w:r w:rsidRPr="00682A43">
              <w:rPr>
                <w:szCs w:val="20"/>
              </w:rPr>
              <w:t>(a)</w:t>
            </w:r>
          </w:p>
        </w:tc>
        <w:tc>
          <w:tcPr>
            <w:tcW w:w="1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E1E" w:rsidP="00815239" w14:paraId="7502F8C6" w14:textId="77777777">
            <w:pPr>
              <w:widowControl/>
              <w:autoSpaceDE/>
              <w:autoSpaceDN/>
              <w:adjustRightInd/>
              <w:jc w:val="center"/>
              <w:rPr>
                <w:b/>
                <w:bCs/>
                <w:szCs w:val="20"/>
              </w:rPr>
            </w:pPr>
          </w:p>
          <w:p w:rsidR="00B32E1E" w:rsidP="00815239" w14:paraId="039423DE" w14:textId="190F24C9">
            <w:pPr>
              <w:widowControl/>
              <w:autoSpaceDE/>
              <w:autoSpaceDN/>
              <w:adjustRightInd/>
              <w:jc w:val="center"/>
              <w:rPr>
                <w:b/>
                <w:bCs/>
                <w:szCs w:val="20"/>
              </w:rPr>
            </w:pPr>
            <w:r w:rsidRPr="00815239">
              <w:rPr>
                <w:b/>
                <w:bCs/>
                <w:szCs w:val="20"/>
              </w:rPr>
              <w:t># of Responses</w:t>
            </w:r>
          </w:p>
          <w:p w:rsidR="00732226" w:rsidP="00891D52" w14:paraId="34703741" w14:textId="1CD6C1D7">
            <w:pPr>
              <w:widowControl/>
              <w:autoSpaceDE/>
              <w:autoSpaceDN/>
              <w:adjustRightInd/>
              <w:rPr>
                <w:szCs w:val="20"/>
              </w:rPr>
            </w:pPr>
            <w:r w:rsidRPr="00815239">
              <w:rPr>
                <w:b/>
                <w:bCs/>
                <w:szCs w:val="20"/>
              </w:rPr>
              <w:t xml:space="preserve"> </w:t>
            </w:r>
          </w:p>
          <w:p w:rsidR="00732226" w:rsidP="00815239" w14:paraId="5BB57E39" w14:textId="77777777">
            <w:pPr>
              <w:jc w:val="center"/>
              <w:rPr>
                <w:szCs w:val="20"/>
              </w:rPr>
            </w:pPr>
          </w:p>
          <w:p w:rsidR="00B32E1E" w:rsidRPr="00815239" w:rsidP="00815239" w14:paraId="6242B799" w14:textId="174B07A0">
            <w:pPr>
              <w:jc w:val="center"/>
              <w:rPr>
                <w:b/>
                <w:bCs/>
                <w:szCs w:val="20"/>
              </w:rPr>
            </w:pPr>
            <w:r w:rsidRPr="00682A43">
              <w:rPr>
                <w:szCs w:val="20"/>
              </w:rPr>
              <w:t>(b = a x 1)</w:t>
            </w: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E1E" w:rsidP="00815239" w14:paraId="71E56DC8" w14:textId="77777777">
            <w:pPr>
              <w:widowControl/>
              <w:autoSpaceDE/>
              <w:autoSpaceDN/>
              <w:adjustRightInd/>
              <w:jc w:val="center"/>
              <w:rPr>
                <w:b/>
                <w:bCs/>
                <w:szCs w:val="20"/>
              </w:rPr>
            </w:pPr>
          </w:p>
          <w:p w:rsidR="00B32E1E" w:rsidRPr="00815239" w:rsidP="00815239" w14:paraId="64EFD12B" w14:textId="1CB8A02C">
            <w:pPr>
              <w:widowControl/>
              <w:autoSpaceDE/>
              <w:autoSpaceDN/>
              <w:adjustRightInd/>
              <w:jc w:val="center"/>
              <w:rPr>
                <w:b/>
                <w:bCs/>
                <w:szCs w:val="20"/>
              </w:rPr>
            </w:pPr>
            <w:r w:rsidRPr="00815239">
              <w:rPr>
                <w:b/>
                <w:bCs/>
                <w:szCs w:val="20"/>
              </w:rPr>
              <w:t xml:space="preserve">Burden </w:t>
            </w:r>
            <w:r w:rsidRPr="00815239">
              <w:rPr>
                <w:b/>
                <w:bCs/>
                <w:szCs w:val="20"/>
              </w:rPr>
              <w:t>Hrs</w:t>
            </w:r>
            <w:r w:rsidRPr="00815239">
              <w:rPr>
                <w:b/>
                <w:bCs/>
                <w:szCs w:val="20"/>
              </w:rPr>
              <w:t xml:space="preserve"> Per Response</w:t>
            </w:r>
            <w:r>
              <w:rPr>
                <w:b/>
                <w:bCs/>
                <w:szCs w:val="20"/>
              </w:rPr>
              <w:t xml:space="preserve"> *</w:t>
            </w:r>
          </w:p>
          <w:p w:rsidR="00B32E1E" w:rsidRPr="00815239" w:rsidP="00815239" w14:paraId="348A64E4" w14:textId="7A5F852E">
            <w:pPr>
              <w:jc w:val="center"/>
              <w:rPr>
                <w:b/>
                <w:bCs/>
                <w:szCs w:val="20"/>
              </w:rPr>
            </w:pPr>
            <w:r w:rsidRPr="00682A43">
              <w:rPr>
                <w:szCs w:val="20"/>
              </w:rPr>
              <w:t xml:space="preserve">(c) </w:t>
            </w: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32E1E" w:rsidP="00815239" w14:paraId="68F4E0F3" w14:textId="77777777">
            <w:pPr>
              <w:widowControl/>
              <w:autoSpaceDE/>
              <w:autoSpaceDN/>
              <w:adjustRightInd/>
              <w:jc w:val="center"/>
              <w:rPr>
                <w:b/>
                <w:bCs/>
                <w:szCs w:val="20"/>
              </w:rPr>
            </w:pPr>
          </w:p>
          <w:p w:rsidR="00B32E1E" w:rsidP="00815239" w14:paraId="40A1ADAC" w14:textId="0FCDE5C8">
            <w:pPr>
              <w:widowControl/>
              <w:autoSpaceDE/>
              <w:autoSpaceDN/>
              <w:adjustRightInd/>
              <w:jc w:val="center"/>
              <w:rPr>
                <w:b/>
                <w:bCs/>
                <w:szCs w:val="20"/>
              </w:rPr>
            </w:pPr>
            <w:r w:rsidRPr="00815239">
              <w:rPr>
                <w:b/>
                <w:bCs/>
                <w:szCs w:val="20"/>
              </w:rPr>
              <w:t>Total Burden Hours</w:t>
            </w:r>
          </w:p>
          <w:p w:rsidR="00B27A5E" w:rsidP="00815239" w14:paraId="4A329118" w14:textId="05AAF2EA">
            <w:pPr>
              <w:widowControl/>
              <w:autoSpaceDE/>
              <w:autoSpaceDN/>
              <w:adjustRightInd/>
              <w:jc w:val="center"/>
              <w:rPr>
                <w:b/>
                <w:bCs/>
                <w:szCs w:val="20"/>
              </w:rPr>
            </w:pPr>
            <w:r>
              <w:rPr>
                <w:b/>
                <w:bCs/>
                <w:szCs w:val="20"/>
              </w:rPr>
              <w:t>***</w:t>
            </w:r>
          </w:p>
          <w:p w:rsidR="00B32E1E" w:rsidRPr="00682A43" w:rsidP="00682A43" w14:paraId="3C4D3F6B" w14:textId="47778FF6">
            <w:pPr>
              <w:jc w:val="center"/>
              <w:rPr>
                <w:szCs w:val="20"/>
              </w:rPr>
            </w:pPr>
            <w:r w:rsidRPr="00682A43">
              <w:rPr>
                <w:szCs w:val="20"/>
              </w:rPr>
              <w:t>(d = b x c)</w:t>
            </w:r>
          </w:p>
        </w:tc>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2226" w:rsidP="00815239" w14:paraId="33E710D1" w14:textId="77777777">
            <w:pPr>
              <w:widowControl/>
              <w:autoSpaceDE/>
              <w:autoSpaceDN/>
              <w:adjustRightInd/>
              <w:jc w:val="center"/>
              <w:rPr>
                <w:b/>
                <w:bCs/>
                <w:szCs w:val="20"/>
              </w:rPr>
            </w:pPr>
          </w:p>
          <w:p w:rsidR="00B32E1E" w:rsidP="00815239" w14:paraId="0EDFCCDB" w14:textId="66DC7E53">
            <w:pPr>
              <w:widowControl/>
              <w:autoSpaceDE/>
              <w:autoSpaceDN/>
              <w:adjustRightInd/>
              <w:jc w:val="center"/>
              <w:rPr>
                <w:b/>
                <w:bCs/>
                <w:szCs w:val="20"/>
              </w:rPr>
            </w:pPr>
            <w:r w:rsidRPr="00815239">
              <w:rPr>
                <w:b/>
                <w:bCs/>
                <w:szCs w:val="20"/>
              </w:rPr>
              <w:t>Hourly Wage</w:t>
            </w:r>
          </w:p>
          <w:p w:rsidR="00B32E1E" w:rsidRPr="00815239" w:rsidP="00815239" w14:paraId="07FBC260" w14:textId="6E5B0527">
            <w:pPr>
              <w:widowControl/>
              <w:autoSpaceDE/>
              <w:autoSpaceDN/>
              <w:adjustRightInd/>
              <w:jc w:val="center"/>
              <w:rPr>
                <w:b/>
                <w:bCs/>
                <w:szCs w:val="20"/>
              </w:rPr>
            </w:pPr>
            <w:r>
              <w:rPr>
                <w:b/>
                <w:bCs/>
                <w:szCs w:val="20"/>
              </w:rPr>
              <w:t>**</w:t>
            </w:r>
          </w:p>
          <w:p w:rsidR="00732226" w:rsidP="00732226" w14:paraId="0F473025" w14:textId="77777777">
            <w:pPr>
              <w:rPr>
                <w:szCs w:val="20"/>
              </w:rPr>
            </w:pPr>
          </w:p>
          <w:p w:rsidR="00B32E1E" w:rsidRPr="00815239" w:rsidP="00815239" w14:paraId="7A86B55F" w14:textId="5E5A99CC">
            <w:pPr>
              <w:jc w:val="center"/>
              <w:rPr>
                <w:b/>
                <w:bCs/>
                <w:szCs w:val="20"/>
              </w:rPr>
            </w:pPr>
            <w:r w:rsidRPr="00682A43">
              <w:rPr>
                <w:szCs w:val="20"/>
              </w:rPr>
              <w:t>(e)</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91D52" w:rsidP="00732226" w14:paraId="159EBC31" w14:textId="77777777">
            <w:pPr>
              <w:widowControl/>
              <w:autoSpaceDE/>
              <w:autoSpaceDN/>
              <w:adjustRightInd/>
              <w:jc w:val="center"/>
              <w:rPr>
                <w:b/>
                <w:bCs/>
                <w:szCs w:val="20"/>
              </w:rPr>
            </w:pPr>
          </w:p>
          <w:p w:rsidR="00B32E1E" w:rsidP="00732226" w14:paraId="75AFA15A" w14:textId="50BD9F8D">
            <w:pPr>
              <w:widowControl/>
              <w:autoSpaceDE/>
              <w:autoSpaceDN/>
              <w:adjustRightInd/>
              <w:jc w:val="center"/>
              <w:rPr>
                <w:b/>
                <w:bCs/>
                <w:szCs w:val="20"/>
              </w:rPr>
            </w:pPr>
            <w:r w:rsidRPr="00815239">
              <w:rPr>
                <w:b/>
                <w:bCs/>
                <w:szCs w:val="20"/>
              </w:rPr>
              <w:t>Total Cost Estimate</w:t>
            </w:r>
          </w:p>
          <w:p w:rsidR="00732226" w:rsidP="002A5587" w14:paraId="1BE8CD26" w14:textId="77777777">
            <w:pPr>
              <w:widowControl/>
              <w:autoSpaceDE/>
              <w:autoSpaceDN/>
              <w:adjustRightInd/>
              <w:jc w:val="center"/>
              <w:rPr>
                <w:b/>
                <w:bCs/>
                <w:szCs w:val="20"/>
              </w:rPr>
            </w:pPr>
          </w:p>
          <w:p w:rsidR="00891D52" w:rsidP="002A5587" w14:paraId="4D946398" w14:textId="77777777">
            <w:pPr>
              <w:widowControl/>
              <w:autoSpaceDE/>
              <w:autoSpaceDN/>
              <w:adjustRightInd/>
              <w:jc w:val="center"/>
              <w:rPr>
                <w:b/>
                <w:bCs/>
                <w:szCs w:val="20"/>
              </w:rPr>
            </w:pPr>
          </w:p>
          <w:p w:rsidR="00B32E1E" w:rsidRPr="00815239" w:rsidP="00815239" w14:paraId="1CE904FC" w14:textId="58159B39">
            <w:pPr>
              <w:jc w:val="center"/>
              <w:rPr>
                <w:b/>
                <w:bCs/>
                <w:szCs w:val="20"/>
              </w:rPr>
            </w:pPr>
            <w:r w:rsidRPr="00682A43">
              <w:rPr>
                <w:szCs w:val="20"/>
              </w:rPr>
              <w:t>(f</w:t>
            </w:r>
            <w:r>
              <w:rPr>
                <w:szCs w:val="20"/>
              </w:rPr>
              <w:t xml:space="preserve"> </w:t>
            </w:r>
            <w:r w:rsidRPr="00682A43">
              <w:rPr>
                <w:szCs w:val="20"/>
              </w:rPr>
              <w:t>= d x e )</w:t>
            </w:r>
          </w:p>
        </w:tc>
      </w:tr>
      <w:tr w14:paraId="5EBFEF35" w14:textId="77777777" w:rsidTr="00037F27">
        <w:tblPrEx>
          <w:tblW w:w="12060" w:type="dxa"/>
          <w:tblInd w:w="350" w:type="dxa"/>
          <w:tblLook w:val="04A0"/>
        </w:tblPrEx>
        <w:trPr>
          <w:trHeight w:val="268"/>
        </w:trPr>
        <w:tc>
          <w:tcPr>
            <w:tcW w:w="1206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2E1E" w:rsidRPr="00815239" w:rsidP="00815239" w14:paraId="6B52B393" w14:textId="17B8B415">
            <w:pPr>
              <w:widowControl/>
              <w:autoSpaceDE/>
              <w:autoSpaceDN/>
              <w:adjustRightInd/>
              <w:jc w:val="center"/>
              <w:rPr>
                <w:b/>
                <w:bCs/>
                <w:color w:val="000000"/>
                <w:szCs w:val="20"/>
              </w:rPr>
            </w:pPr>
            <w:r w:rsidRPr="00815239">
              <w:rPr>
                <w:b/>
                <w:bCs/>
                <w:color w:val="000000"/>
                <w:szCs w:val="20"/>
              </w:rPr>
              <w:t xml:space="preserve">Inpatient    </w:t>
            </w:r>
          </w:p>
        </w:tc>
      </w:tr>
      <w:tr w14:paraId="76BC122E" w14:textId="77777777" w:rsidTr="00732226">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nil"/>
            </w:tcBorders>
            <w:vAlign w:val="center"/>
          </w:tcPr>
          <w:p w:rsidR="00B32E1E" w:rsidRPr="00815239" w:rsidP="00B32E1E" w14:paraId="2C4D57BE" w14:textId="3F8261E0">
            <w:pPr>
              <w:widowControl/>
              <w:autoSpaceDE/>
              <w:autoSpaceDN/>
              <w:adjustRightInd/>
              <w:jc w:val="center"/>
              <w:rPr>
                <w:szCs w:val="20"/>
              </w:rPr>
            </w:pPr>
            <w:r>
              <w:rPr>
                <w:szCs w:val="20"/>
              </w:rPr>
              <w:t>1</w:t>
            </w:r>
          </w:p>
        </w:tc>
        <w:tc>
          <w:tcPr>
            <w:tcW w:w="3240" w:type="dxa"/>
            <w:tcBorders>
              <w:top w:val="single" w:sz="4" w:space="0" w:color="auto"/>
              <w:left w:val="single" w:sz="4" w:space="0" w:color="auto"/>
              <w:bottom w:val="single" w:sz="4" w:space="0" w:color="auto"/>
              <w:right w:val="nil"/>
            </w:tcBorders>
            <w:vAlign w:val="center"/>
            <w:hideMark/>
          </w:tcPr>
          <w:p w:rsidR="00B32E1E" w:rsidRPr="00815239" w:rsidP="00D72EFC" w14:paraId="147529D3" w14:textId="16789DE0">
            <w:pPr>
              <w:widowControl/>
              <w:autoSpaceDE/>
              <w:autoSpaceDN/>
              <w:adjustRightInd/>
              <w:rPr>
                <w:szCs w:val="20"/>
              </w:rPr>
            </w:pPr>
            <w:r w:rsidRPr="00815239">
              <w:rPr>
                <w:szCs w:val="20"/>
              </w:rPr>
              <w:t>CAHs</w:t>
            </w:r>
            <w:r>
              <w:rPr>
                <w:szCs w:val="20"/>
              </w:rPr>
              <w:t xml:space="preserve"> - </w:t>
            </w:r>
            <w:r w:rsidRPr="00815239">
              <w:rPr>
                <w:szCs w:val="20"/>
              </w:rPr>
              <w:t>Non-TJC Accredited</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6DD22D63" w14:textId="77777777">
            <w:pPr>
              <w:widowControl/>
              <w:autoSpaceDE/>
              <w:autoSpaceDN/>
              <w:adjustRightInd/>
              <w:rPr>
                <w:color w:val="000000"/>
                <w:sz w:val="18"/>
                <w:szCs w:val="18"/>
              </w:rPr>
            </w:pPr>
            <w:r w:rsidRPr="00B32E1E">
              <w:rPr>
                <w:color w:val="000000"/>
                <w:sz w:val="18"/>
                <w:szCs w:val="18"/>
              </w:rPr>
              <w:t>§ 485.625(d)(2)</w:t>
            </w:r>
          </w:p>
        </w:tc>
        <w:tc>
          <w:tcPr>
            <w:tcW w:w="1306" w:type="dxa"/>
            <w:tcBorders>
              <w:top w:val="single" w:sz="4" w:space="0" w:color="auto"/>
              <w:left w:val="nil"/>
              <w:bottom w:val="single" w:sz="4" w:space="0" w:color="auto"/>
              <w:right w:val="single" w:sz="4" w:space="0" w:color="auto"/>
            </w:tcBorders>
            <w:noWrap/>
            <w:vAlign w:val="bottom"/>
            <w:hideMark/>
          </w:tcPr>
          <w:p w:rsidR="00B32E1E" w:rsidRPr="00815239" w:rsidP="00D72EFC" w14:paraId="33240F79" w14:textId="77777777">
            <w:pPr>
              <w:widowControl/>
              <w:autoSpaceDE/>
              <w:autoSpaceDN/>
              <w:adjustRightInd/>
              <w:jc w:val="center"/>
              <w:rPr>
                <w:color w:val="000000"/>
                <w:szCs w:val="20"/>
              </w:rPr>
            </w:pPr>
            <w:r w:rsidRPr="00815239">
              <w:rPr>
                <w:color w:val="000000"/>
                <w:szCs w:val="20"/>
              </w:rPr>
              <w:t>1,016</w:t>
            </w:r>
          </w:p>
        </w:tc>
        <w:tc>
          <w:tcPr>
            <w:tcW w:w="1094" w:type="dxa"/>
            <w:tcBorders>
              <w:top w:val="single" w:sz="4" w:space="0" w:color="auto"/>
              <w:left w:val="nil"/>
              <w:bottom w:val="single" w:sz="4" w:space="0" w:color="auto"/>
              <w:right w:val="single" w:sz="4" w:space="0" w:color="auto"/>
            </w:tcBorders>
            <w:noWrap/>
            <w:vAlign w:val="bottom"/>
            <w:hideMark/>
          </w:tcPr>
          <w:p w:rsidR="00B32E1E" w:rsidRPr="00815239" w:rsidP="00D72EFC" w14:paraId="09726D00" w14:textId="77777777">
            <w:pPr>
              <w:widowControl/>
              <w:autoSpaceDE/>
              <w:autoSpaceDN/>
              <w:adjustRightInd/>
              <w:jc w:val="center"/>
              <w:rPr>
                <w:color w:val="000000"/>
                <w:szCs w:val="20"/>
              </w:rPr>
            </w:pPr>
            <w:r w:rsidRPr="00815239">
              <w:rPr>
                <w:color w:val="000000"/>
                <w:szCs w:val="20"/>
              </w:rPr>
              <w:t>1</w:t>
            </w:r>
            <w:r>
              <w:rPr>
                <w:color w:val="000000"/>
                <w:szCs w:val="20"/>
              </w:rPr>
              <w:t>,</w:t>
            </w:r>
            <w:r w:rsidRPr="00815239">
              <w:rPr>
                <w:color w:val="000000"/>
                <w:szCs w:val="20"/>
              </w:rPr>
              <w:t>016</w:t>
            </w:r>
          </w:p>
        </w:tc>
        <w:tc>
          <w:tcPr>
            <w:tcW w:w="1017" w:type="dxa"/>
            <w:tcBorders>
              <w:top w:val="single" w:sz="4" w:space="0" w:color="auto"/>
              <w:left w:val="nil"/>
              <w:bottom w:val="single" w:sz="4" w:space="0" w:color="auto"/>
              <w:right w:val="single" w:sz="4" w:space="0" w:color="auto"/>
            </w:tcBorders>
            <w:vAlign w:val="bottom"/>
            <w:hideMark/>
          </w:tcPr>
          <w:p w:rsidR="00B32E1E" w:rsidRPr="00815239" w:rsidP="00D72EFC" w14:paraId="05CC5CE4" w14:textId="1E48306F">
            <w:pPr>
              <w:widowControl/>
              <w:autoSpaceDE/>
              <w:autoSpaceDN/>
              <w:adjustRightInd/>
              <w:jc w:val="center"/>
              <w:rPr>
                <w:color w:val="000000"/>
                <w:szCs w:val="20"/>
              </w:rPr>
            </w:pPr>
            <w:r w:rsidRPr="00815239">
              <w:rPr>
                <w:color w:val="000000"/>
                <w:szCs w:val="20"/>
              </w:rPr>
              <w:t>8</w:t>
            </w:r>
          </w:p>
        </w:tc>
        <w:tc>
          <w:tcPr>
            <w:tcW w:w="1083" w:type="dxa"/>
            <w:tcBorders>
              <w:top w:val="single" w:sz="4" w:space="0" w:color="auto"/>
              <w:left w:val="nil"/>
              <w:bottom w:val="single" w:sz="4" w:space="0" w:color="auto"/>
              <w:right w:val="nil"/>
            </w:tcBorders>
            <w:noWrap/>
            <w:vAlign w:val="bottom"/>
            <w:hideMark/>
          </w:tcPr>
          <w:p w:rsidR="00B32E1E" w:rsidRPr="00815239" w:rsidP="00D72EFC" w14:paraId="0C1439AC" w14:textId="77777777">
            <w:pPr>
              <w:widowControl/>
              <w:autoSpaceDE/>
              <w:autoSpaceDN/>
              <w:adjustRightInd/>
              <w:jc w:val="center"/>
              <w:rPr>
                <w:color w:val="000000"/>
                <w:szCs w:val="20"/>
              </w:rPr>
            </w:pPr>
            <w:r w:rsidRPr="00815239">
              <w:rPr>
                <w:color w:val="000000"/>
                <w:szCs w:val="20"/>
              </w:rPr>
              <w:t>8,128</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B32E1E" w:rsidRPr="00815239" w:rsidP="00D72EFC" w14:paraId="7EF540B7" w14:textId="77777777">
            <w:pPr>
              <w:widowControl/>
              <w:autoSpaceDE/>
              <w:autoSpaceDN/>
              <w:adjustRightInd/>
              <w:jc w:val="center"/>
              <w:rPr>
                <w:color w:val="000000"/>
                <w:szCs w:val="20"/>
              </w:rPr>
            </w:pPr>
            <w:r w:rsidRPr="00896305">
              <w:rPr>
                <w:color w:val="000000"/>
                <w:szCs w:val="20"/>
              </w:rPr>
              <w:t>**</w:t>
            </w:r>
          </w:p>
        </w:tc>
        <w:tc>
          <w:tcPr>
            <w:tcW w:w="1512" w:type="dxa"/>
            <w:tcBorders>
              <w:top w:val="single" w:sz="4" w:space="0" w:color="auto"/>
              <w:left w:val="nil"/>
              <w:bottom w:val="single" w:sz="4" w:space="0" w:color="auto"/>
              <w:right w:val="single" w:sz="4" w:space="0" w:color="auto"/>
            </w:tcBorders>
            <w:noWrap/>
            <w:vAlign w:val="bottom"/>
            <w:hideMark/>
          </w:tcPr>
          <w:p w:rsidR="00B32E1E" w:rsidRPr="00815239" w:rsidP="00D72EFC" w14:paraId="21C0A664" w14:textId="77777777">
            <w:pPr>
              <w:widowControl/>
              <w:autoSpaceDE/>
              <w:autoSpaceDN/>
              <w:adjustRightInd/>
              <w:jc w:val="right"/>
              <w:rPr>
                <w:color w:val="000000"/>
                <w:szCs w:val="20"/>
              </w:rPr>
            </w:pPr>
            <w:r w:rsidRPr="00815239">
              <w:rPr>
                <w:color w:val="000000"/>
                <w:szCs w:val="20"/>
              </w:rPr>
              <w:t>$2,609,088</w:t>
            </w:r>
          </w:p>
        </w:tc>
      </w:tr>
      <w:tr w14:paraId="169E2D6C" w14:textId="77777777" w:rsidTr="00732226">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nil"/>
            </w:tcBorders>
            <w:vAlign w:val="center"/>
          </w:tcPr>
          <w:p w:rsidR="00B32E1E" w:rsidRPr="00815239" w:rsidP="00B32E1E" w14:paraId="64F5389A" w14:textId="3B4FF700">
            <w:pPr>
              <w:widowControl/>
              <w:autoSpaceDE/>
              <w:autoSpaceDN/>
              <w:adjustRightInd/>
              <w:jc w:val="center"/>
              <w:rPr>
                <w:color w:val="000000"/>
                <w:szCs w:val="20"/>
              </w:rPr>
            </w:pPr>
            <w:r>
              <w:rPr>
                <w:color w:val="000000"/>
                <w:szCs w:val="20"/>
              </w:rPr>
              <w:t>2</w:t>
            </w:r>
          </w:p>
        </w:tc>
        <w:tc>
          <w:tcPr>
            <w:tcW w:w="3240" w:type="dxa"/>
            <w:tcBorders>
              <w:top w:val="single" w:sz="4" w:space="0" w:color="auto"/>
              <w:left w:val="single" w:sz="4" w:space="0" w:color="auto"/>
              <w:bottom w:val="single" w:sz="4" w:space="0" w:color="auto"/>
              <w:right w:val="nil"/>
            </w:tcBorders>
            <w:vAlign w:val="bottom"/>
            <w:hideMark/>
          </w:tcPr>
          <w:p w:rsidR="00B32E1E" w:rsidRPr="00815239" w:rsidP="00D72EFC" w14:paraId="28127655" w14:textId="2E2BE4CC">
            <w:pPr>
              <w:widowControl/>
              <w:autoSpaceDE/>
              <w:autoSpaceDN/>
              <w:adjustRightInd/>
              <w:rPr>
                <w:color w:val="000000"/>
                <w:szCs w:val="20"/>
              </w:rPr>
            </w:pPr>
            <w:r w:rsidRPr="00815239">
              <w:rPr>
                <w:color w:val="000000"/>
                <w:szCs w:val="20"/>
              </w:rPr>
              <w:t>Hospices</w:t>
            </w:r>
            <w:r>
              <w:rPr>
                <w:color w:val="000000"/>
                <w:szCs w:val="20"/>
              </w:rPr>
              <w:t xml:space="preserve"> - </w:t>
            </w:r>
            <w:r w:rsidRPr="00815239">
              <w:rPr>
                <w:color w:val="000000"/>
                <w:szCs w:val="20"/>
              </w:rPr>
              <w:t>Inpatient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67526C06" w14:textId="77777777">
            <w:pPr>
              <w:widowControl/>
              <w:autoSpaceDE/>
              <w:autoSpaceDN/>
              <w:adjustRightInd/>
              <w:rPr>
                <w:color w:val="000000"/>
                <w:sz w:val="18"/>
                <w:szCs w:val="18"/>
              </w:rPr>
            </w:pPr>
            <w:r w:rsidRPr="00B32E1E">
              <w:rPr>
                <w:color w:val="000000"/>
                <w:sz w:val="18"/>
                <w:szCs w:val="18"/>
              </w:rPr>
              <w:t>§ 418.113(d)(2)</w:t>
            </w:r>
          </w:p>
        </w:tc>
        <w:tc>
          <w:tcPr>
            <w:tcW w:w="1306" w:type="dxa"/>
            <w:tcBorders>
              <w:top w:val="single" w:sz="4" w:space="0" w:color="auto"/>
              <w:left w:val="nil"/>
              <w:bottom w:val="single" w:sz="4" w:space="0" w:color="auto"/>
              <w:right w:val="single" w:sz="4" w:space="0" w:color="auto"/>
            </w:tcBorders>
            <w:noWrap/>
            <w:vAlign w:val="bottom"/>
            <w:hideMark/>
          </w:tcPr>
          <w:p w:rsidR="00B32E1E" w:rsidRPr="00815239" w:rsidP="00D72EFC" w14:paraId="60071784" w14:textId="77777777">
            <w:pPr>
              <w:widowControl/>
              <w:autoSpaceDE/>
              <w:autoSpaceDN/>
              <w:adjustRightInd/>
              <w:jc w:val="center"/>
              <w:rPr>
                <w:color w:val="000000"/>
                <w:szCs w:val="20"/>
              </w:rPr>
            </w:pPr>
            <w:r w:rsidRPr="00815239">
              <w:rPr>
                <w:color w:val="000000"/>
                <w:szCs w:val="20"/>
              </w:rPr>
              <w:t>301</w:t>
            </w:r>
          </w:p>
        </w:tc>
        <w:tc>
          <w:tcPr>
            <w:tcW w:w="1094" w:type="dxa"/>
            <w:tcBorders>
              <w:top w:val="single" w:sz="4" w:space="0" w:color="auto"/>
              <w:left w:val="nil"/>
              <w:bottom w:val="single" w:sz="4" w:space="0" w:color="auto"/>
              <w:right w:val="single" w:sz="4" w:space="0" w:color="auto"/>
            </w:tcBorders>
            <w:noWrap/>
            <w:vAlign w:val="bottom"/>
            <w:hideMark/>
          </w:tcPr>
          <w:p w:rsidR="00B32E1E" w:rsidRPr="00815239" w:rsidP="00D72EFC" w14:paraId="0B1E0E07" w14:textId="77777777">
            <w:pPr>
              <w:widowControl/>
              <w:autoSpaceDE/>
              <w:autoSpaceDN/>
              <w:adjustRightInd/>
              <w:jc w:val="center"/>
              <w:rPr>
                <w:color w:val="000000"/>
                <w:szCs w:val="20"/>
              </w:rPr>
            </w:pPr>
            <w:r w:rsidRPr="00815239">
              <w:rPr>
                <w:color w:val="000000"/>
                <w:szCs w:val="20"/>
              </w:rPr>
              <w:t>301</w:t>
            </w:r>
          </w:p>
        </w:tc>
        <w:tc>
          <w:tcPr>
            <w:tcW w:w="1017" w:type="dxa"/>
            <w:tcBorders>
              <w:top w:val="single" w:sz="4" w:space="0" w:color="auto"/>
              <w:left w:val="nil"/>
              <w:bottom w:val="single" w:sz="4" w:space="0" w:color="auto"/>
              <w:right w:val="single" w:sz="4" w:space="0" w:color="auto"/>
            </w:tcBorders>
            <w:vAlign w:val="bottom"/>
            <w:hideMark/>
          </w:tcPr>
          <w:p w:rsidR="00B32E1E" w:rsidRPr="00815239" w:rsidP="00D72EFC" w14:paraId="1B0CEBAD" w14:textId="081D76A7">
            <w:pPr>
              <w:widowControl/>
              <w:autoSpaceDE/>
              <w:autoSpaceDN/>
              <w:adjustRightInd/>
              <w:jc w:val="center"/>
              <w:rPr>
                <w:color w:val="000000"/>
                <w:szCs w:val="20"/>
              </w:rPr>
            </w:pPr>
            <w:r w:rsidRPr="00815239">
              <w:rPr>
                <w:color w:val="000000"/>
                <w:szCs w:val="20"/>
              </w:rPr>
              <w:t>4</w:t>
            </w:r>
          </w:p>
        </w:tc>
        <w:tc>
          <w:tcPr>
            <w:tcW w:w="1083" w:type="dxa"/>
            <w:tcBorders>
              <w:top w:val="single" w:sz="4" w:space="0" w:color="auto"/>
              <w:left w:val="nil"/>
              <w:bottom w:val="single" w:sz="4" w:space="0" w:color="auto"/>
              <w:right w:val="nil"/>
            </w:tcBorders>
            <w:noWrap/>
            <w:vAlign w:val="bottom"/>
            <w:hideMark/>
          </w:tcPr>
          <w:p w:rsidR="00B32E1E" w:rsidRPr="00815239" w:rsidP="00D72EFC" w14:paraId="59BA0A1D" w14:textId="77777777">
            <w:pPr>
              <w:widowControl/>
              <w:autoSpaceDE/>
              <w:autoSpaceDN/>
              <w:adjustRightInd/>
              <w:jc w:val="center"/>
              <w:rPr>
                <w:color w:val="000000"/>
                <w:szCs w:val="20"/>
              </w:rPr>
            </w:pPr>
            <w:r w:rsidRPr="00815239">
              <w:rPr>
                <w:color w:val="000000"/>
                <w:szCs w:val="20"/>
              </w:rPr>
              <w:t>1,204</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B32E1E" w:rsidRPr="00815239" w:rsidP="00D72EFC" w14:paraId="5122D233" w14:textId="77777777">
            <w:pPr>
              <w:widowControl/>
              <w:autoSpaceDE/>
              <w:autoSpaceDN/>
              <w:adjustRightInd/>
              <w:jc w:val="center"/>
              <w:rPr>
                <w:color w:val="000000"/>
                <w:szCs w:val="20"/>
              </w:rPr>
            </w:pPr>
            <w:r w:rsidRPr="00896305">
              <w:rPr>
                <w:color w:val="000000"/>
                <w:szCs w:val="20"/>
              </w:rPr>
              <w:t>**</w:t>
            </w:r>
          </w:p>
        </w:tc>
        <w:tc>
          <w:tcPr>
            <w:tcW w:w="1512" w:type="dxa"/>
            <w:tcBorders>
              <w:top w:val="single" w:sz="4" w:space="0" w:color="auto"/>
              <w:left w:val="nil"/>
              <w:bottom w:val="single" w:sz="4" w:space="0" w:color="auto"/>
              <w:right w:val="single" w:sz="4" w:space="0" w:color="auto"/>
            </w:tcBorders>
            <w:noWrap/>
            <w:vAlign w:val="bottom"/>
            <w:hideMark/>
          </w:tcPr>
          <w:p w:rsidR="00B32E1E" w:rsidRPr="00815239" w:rsidP="00D72EFC" w14:paraId="3FE6DC4C" w14:textId="77777777">
            <w:pPr>
              <w:widowControl/>
              <w:autoSpaceDE/>
              <w:autoSpaceDN/>
              <w:adjustRightInd/>
              <w:jc w:val="right"/>
              <w:rPr>
                <w:color w:val="000000"/>
                <w:szCs w:val="20"/>
              </w:rPr>
            </w:pPr>
            <w:r w:rsidRPr="00815239">
              <w:rPr>
                <w:color w:val="000000"/>
                <w:szCs w:val="20"/>
              </w:rPr>
              <w:t>$386,484</w:t>
            </w:r>
          </w:p>
        </w:tc>
      </w:tr>
      <w:tr w14:paraId="07A72F07"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68F2A061" w14:textId="77ABA00E">
            <w:pPr>
              <w:widowControl/>
              <w:autoSpaceDE/>
              <w:autoSpaceDN/>
              <w:adjustRightInd/>
              <w:jc w:val="center"/>
              <w:rPr>
                <w:color w:val="000000"/>
                <w:szCs w:val="20"/>
              </w:rPr>
            </w:pPr>
            <w:r>
              <w:rPr>
                <w:color w:val="000000"/>
                <w:szCs w:val="20"/>
              </w:rPr>
              <w:t>3</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4D414B98" w14:textId="2E896BA0">
            <w:pPr>
              <w:widowControl/>
              <w:autoSpaceDE/>
              <w:autoSpaceDN/>
              <w:adjustRightInd/>
              <w:rPr>
                <w:color w:val="000000"/>
                <w:szCs w:val="20"/>
              </w:rPr>
            </w:pPr>
            <w:r w:rsidRPr="00815239">
              <w:rPr>
                <w:color w:val="000000"/>
                <w:szCs w:val="20"/>
              </w:rPr>
              <w:t>Hospitals</w:t>
            </w:r>
            <w:r>
              <w:rPr>
                <w:color w:val="000000"/>
                <w:szCs w:val="20"/>
              </w:rPr>
              <w:t xml:space="preserve"> - </w:t>
            </w:r>
            <w:r w:rsidRPr="00815239">
              <w:rPr>
                <w:color w:val="000000"/>
                <w:szCs w:val="20"/>
              </w:rPr>
              <w:t>Non-TJC Accredited</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5CFDEB5F" w14:textId="77777777">
            <w:pPr>
              <w:widowControl/>
              <w:autoSpaceDE/>
              <w:autoSpaceDN/>
              <w:adjustRightInd/>
              <w:rPr>
                <w:color w:val="000000"/>
                <w:sz w:val="18"/>
                <w:szCs w:val="18"/>
              </w:rPr>
            </w:pPr>
            <w:r w:rsidRPr="00B32E1E">
              <w:rPr>
                <w:color w:val="000000"/>
                <w:sz w:val="18"/>
                <w:szCs w:val="18"/>
              </w:rPr>
              <w:t>§ 482.15(d)(2)</w:t>
            </w:r>
          </w:p>
        </w:tc>
        <w:tc>
          <w:tcPr>
            <w:tcW w:w="1306" w:type="dxa"/>
            <w:tcBorders>
              <w:top w:val="nil"/>
              <w:left w:val="nil"/>
              <w:bottom w:val="single" w:sz="4" w:space="0" w:color="auto"/>
              <w:right w:val="single" w:sz="4" w:space="0" w:color="auto"/>
            </w:tcBorders>
            <w:noWrap/>
            <w:vAlign w:val="bottom"/>
            <w:hideMark/>
          </w:tcPr>
          <w:p w:rsidR="00B32E1E" w:rsidRPr="00815239" w:rsidP="00D72EFC" w14:paraId="143B7D99" w14:textId="77777777">
            <w:pPr>
              <w:widowControl/>
              <w:autoSpaceDE/>
              <w:autoSpaceDN/>
              <w:adjustRightInd/>
              <w:jc w:val="center"/>
              <w:rPr>
                <w:color w:val="000000"/>
                <w:szCs w:val="20"/>
              </w:rPr>
            </w:pPr>
            <w:r w:rsidRPr="00815239">
              <w:rPr>
                <w:color w:val="000000"/>
                <w:szCs w:val="20"/>
              </w:rPr>
              <w:t>1,121</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494E0124" w14:textId="77777777">
            <w:pPr>
              <w:widowControl/>
              <w:autoSpaceDE/>
              <w:autoSpaceDN/>
              <w:adjustRightInd/>
              <w:jc w:val="center"/>
              <w:rPr>
                <w:color w:val="000000"/>
                <w:szCs w:val="20"/>
              </w:rPr>
            </w:pPr>
            <w:r w:rsidRPr="00815239">
              <w:rPr>
                <w:color w:val="000000"/>
                <w:szCs w:val="20"/>
              </w:rPr>
              <w:t>1</w:t>
            </w:r>
            <w:r>
              <w:rPr>
                <w:color w:val="000000"/>
                <w:szCs w:val="20"/>
              </w:rPr>
              <w:t>,</w:t>
            </w:r>
            <w:r w:rsidRPr="00815239">
              <w:rPr>
                <w:color w:val="000000"/>
                <w:szCs w:val="20"/>
              </w:rPr>
              <w:t>121</w:t>
            </w:r>
          </w:p>
        </w:tc>
        <w:tc>
          <w:tcPr>
            <w:tcW w:w="1017" w:type="dxa"/>
            <w:tcBorders>
              <w:top w:val="nil"/>
              <w:left w:val="nil"/>
              <w:bottom w:val="single" w:sz="4" w:space="0" w:color="auto"/>
              <w:right w:val="single" w:sz="4" w:space="0" w:color="auto"/>
            </w:tcBorders>
            <w:vAlign w:val="bottom"/>
            <w:hideMark/>
          </w:tcPr>
          <w:p w:rsidR="00B32E1E" w:rsidRPr="00815239" w:rsidP="00D72EFC" w14:paraId="508EA283" w14:textId="09267CA3">
            <w:pPr>
              <w:widowControl/>
              <w:autoSpaceDE/>
              <w:autoSpaceDN/>
              <w:adjustRightInd/>
              <w:jc w:val="center"/>
              <w:rPr>
                <w:color w:val="000000"/>
                <w:szCs w:val="20"/>
              </w:rPr>
            </w:pPr>
            <w:r w:rsidRPr="00815239">
              <w:rPr>
                <w:color w:val="000000"/>
                <w:szCs w:val="20"/>
              </w:rPr>
              <w:t>9</w:t>
            </w:r>
          </w:p>
        </w:tc>
        <w:tc>
          <w:tcPr>
            <w:tcW w:w="1083" w:type="dxa"/>
            <w:tcBorders>
              <w:top w:val="nil"/>
              <w:left w:val="nil"/>
              <w:bottom w:val="single" w:sz="4" w:space="0" w:color="auto"/>
              <w:right w:val="nil"/>
            </w:tcBorders>
            <w:noWrap/>
            <w:vAlign w:val="bottom"/>
            <w:hideMark/>
          </w:tcPr>
          <w:p w:rsidR="00B32E1E" w:rsidRPr="00815239" w:rsidP="00D72EFC" w14:paraId="0AFD4CAA" w14:textId="77777777">
            <w:pPr>
              <w:widowControl/>
              <w:autoSpaceDE/>
              <w:autoSpaceDN/>
              <w:adjustRightInd/>
              <w:jc w:val="center"/>
              <w:rPr>
                <w:color w:val="000000"/>
                <w:szCs w:val="20"/>
              </w:rPr>
            </w:pPr>
            <w:r w:rsidRPr="00815239">
              <w:rPr>
                <w:color w:val="000000"/>
                <w:szCs w:val="20"/>
              </w:rPr>
              <w:t>10,089</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3272DDC4" w14:textId="77777777">
            <w:pPr>
              <w:widowControl/>
              <w:autoSpaceDE/>
              <w:autoSpaceDN/>
              <w:adjustRightInd/>
              <w:jc w:val="center"/>
              <w:rPr>
                <w:color w:val="000000"/>
                <w:szCs w:val="20"/>
              </w:rPr>
            </w:pPr>
            <w:r w:rsidRPr="00896305">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7BB27108" w14:textId="77777777">
            <w:pPr>
              <w:widowControl/>
              <w:autoSpaceDE/>
              <w:autoSpaceDN/>
              <w:adjustRightInd/>
              <w:jc w:val="right"/>
              <w:rPr>
                <w:color w:val="000000"/>
                <w:szCs w:val="20"/>
              </w:rPr>
            </w:pPr>
            <w:r w:rsidRPr="00815239">
              <w:rPr>
                <w:color w:val="000000"/>
                <w:szCs w:val="20"/>
              </w:rPr>
              <w:t>$3,238,569</w:t>
            </w:r>
          </w:p>
        </w:tc>
      </w:tr>
      <w:tr w14:paraId="3DC75CD7"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6F95D6EC" w14:textId="37C27209">
            <w:pPr>
              <w:widowControl/>
              <w:autoSpaceDE/>
              <w:autoSpaceDN/>
              <w:adjustRightInd/>
              <w:jc w:val="center"/>
              <w:rPr>
                <w:color w:val="000000"/>
                <w:szCs w:val="20"/>
              </w:rPr>
            </w:pPr>
            <w:r>
              <w:rPr>
                <w:color w:val="000000"/>
                <w:szCs w:val="20"/>
              </w:rPr>
              <w:t>4</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33C3E168" w14:textId="3EFF9F7A">
            <w:pPr>
              <w:widowControl/>
              <w:autoSpaceDE/>
              <w:autoSpaceDN/>
              <w:adjustRightInd/>
              <w:rPr>
                <w:color w:val="000000"/>
                <w:szCs w:val="20"/>
              </w:rPr>
            </w:pPr>
            <w:r w:rsidRPr="00815239">
              <w:rPr>
                <w:color w:val="000000"/>
                <w:szCs w:val="20"/>
              </w:rPr>
              <w:t>ICF/IIDs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7CAB1FA8" w14:textId="77777777">
            <w:pPr>
              <w:widowControl/>
              <w:autoSpaceDE/>
              <w:autoSpaceDN/>
              <w:adjustRightInd/>
              <w:rPr>
                <w:color w:val="000000"/>
                <w:sz w:val="18"/>
                <w:szCs w:val="18"/>
              </w:rPr>
            </w:pPr>
            <w:r w:rsidRPr="00B32E1E">
              <w:rPr>
                <w:color w:val="000000"/>
                <w:sz w:val="18"/>
                <w:szCs w:val="18"/>
              </w:rPr>
              <w:t>§ 483.475(d)(2)</w:t>
            </w:r>
          </w:p>
        </w:tc>
        <w:tc>
          <w:tcPr>
            <w:tcW w:w="1306" w:type="dxa"/>
            <w:tcBorders>
              <w:top w:val="nil"/>
              <w:left w:val="nil"/>
              <w:bottom w:val="single" w:sz="4" w:space="0" w:color="auto"/>
              <w:right w:val="single" w:sz="4" w:space="0" w:color="auto"/>
            </w:tcBorders>
            <w:noWrap/>
            <w:vAlign w:val="bottom"/>
            <w:hideMark/>
          </w:tcPr>
          <w:p w:rsidR="00B32E1E" w:rsidRPr="00815239" w:rsidP="00D72EFC" w14:paraId="4BEA57CE" w14:textId="77777777">
            <w:pPr>
              <w:widowControl/>
              <w:autoSpaceDE/>
              <w:autoSpaceDN/>
              <w:adjustRightInd/>
              <w:jc w:val="center"/>
              <w:rPr>
                <w:color w:val="000000"/>
                <w:szCs w:val="20"/>
              </w:rPr>
            </w:pPr>
            <w:r w:rsidRPr="00815239">
              <w:rPr>
                <w:color w:val="000000"/>
                <w:szCs w:val="20"/>
              </w:rPr>
              <w:t>5,520</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783769B3" w14:textId="77777777">
            <w:pPr>
              <w:widowControl/>
              <w:autoSpaceDE/>
              <w:autoSpaceDN/>
              <w:adjustRightInd/>
              <w:jc w:val="center"/>
              <w:rPr>
                <w:color w:val="000000"/>
                <w:szCs w:val="20"/>
              </w:rPr>
            </w:pPr>
            <w:r w:rsidRPr="00815239">
              <w:rPr>
                <w:color w:val="000000"/>
                <w:szCs w:val="20"/>
              </w:rPr>
              <w:t>5</w:t>
            </w:r>
            <w:r>
              <w:rPr>
                <w:color w:val="000000"/>
                <w:szCs w:val="20"/>
              </w:rPr>
              <w:t>,</w:t>
            </w:r>
            <w:r w:rsidRPr="00815239">
              <w:rPr>
                <w:color w:val="000000"/>
                <w:szCs w:val="20"/>
              </w:rPr>
              <w:t>520</w:t>
            </w:r>
          </w:p>
        </w:tc>
        <w:tc>
          <w:tcPr>
            <w:tcW w:w="1017" w:type="dxa"/>
            <w:tcBorders>
              <w:top w:val="nil"/>
              <w:left w:val="nil"/>
              <w:bottom w:val="single" w:sz="4" w:space="0" w:color="auto"/>
              <w:right w:val="single" w:sz="4" w:space="0" w:color="auto"/>
            </w:tcBorders>
            <w:vAlign w:val="bottom"/>
            <w:hideMark/>
          </w:tcPr>
          <w:p w:rsidR="00B32E1E" w:rsidRPr="00815239" w:rsidP="00D72EFC" w14:paraId="00DEFF80" w14:textId="4B9FE44C">
            <w:pPr>
              <w:widowControl/>
              <w:autoSpaceDE/>
              <w:autoSpaceDN/>
              <w:adjustRightInd/>
              <w:jc w:val="center"/>
              <w:rPr>
                <w:color w:val="000000"/>
                <w:szCs w:val="20"/>
              </w:rPr>
            </w:pPr>
            <w:r w:rsidRPr="00815239">
              <w:rPr>
                <w:color w:val="000000"/>
                <w:szCs w:val="20"/>
              </w:rPr>
              <w:t>4</w:t>
            </w:r>
          </w:p>
        </w:tc>
        <w:tc>
          <w:tcPr>
            <w:tcW w:w="1083" w:type="dxa"/>
            <w:tcBorders>
              <w:top w:val="nil"/>
              <w:left w:val="nil"/>
              <w:bottom w:val="single" w:sz="4" w:space="0" w:color="auto"/>
              <w:right w:val="nil"/>
            </w:tcBorders>
            <w:noWrap/>
            <w:vAlign w:val="bottom"/>
            <w:hideMark/>
          </w:tcPr>
          <w:p w:rsidR="00B32E1E" w:rsidRPr="00815239" w:rsidP="00D72EFC" w14:paraId="05FC9491" w14:textId="77777777">
            <w:pPr>
              <w:widowControl/>
              <w:autoSpaceDE/>
              <w:autoSpaceDN/>
              <w:adjustRightInd/>
              <w:jc w:val="center"/>
              <w:rPr>
                <w:color w:val="000000"/>
                <w:szCs w:val="20"/>
              </w:rPr>
            </w:pPr>
            <w:r w:rsidRPr="00815239">
              <w:rPr>
                <w:color w:val="000000"/>
                <w:szCs w:val="20"/>
              </w:rPr>
              <w:t>22,080</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45DC2198" w14:textId="77777777">
            <w:pPr>
              <w:widowControl/>
              <w:autoSpaceDE/>
              <w:autoSpaceDN/>
              <w:adjustRightInd/>
              <w:jc w:val="center"/>
              <w:rPr>
                <w:color w:val="000000"/>
                <w:szCs w:val="20"/>
              </w:rPr>
            </w:pPr>
            <w:r w:rsidRPr="00896305">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29019BEB" w14:textId="77777777">
            <w:pPr>
              <w:widowControl/>
              <w:autoSpaceDE/>
              <w:autoSpaceDN/>
              <w:adjustRightInd/>
              <w:jc w:val="right"/>
              <w:rPr>
                <w:color w:val="000000"/>
                <w:szCs w:val="20"/>
              </w:rPr>
            </w:pPr>
            <w:r w:rsidRPr="00815239">
              <w:rPr>
                <w:color w:val="000000"/>
                <w:szCs w:val="20"/>
              </w:rPr>
              <w:t>$7,087,680</w:t>
            </w:r>
          </w:p>
        </w:tc>
      </w:tr>
      <w:tr w14:paraId="052DC78E"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0B0927D8" w14:textId="070938ED">
            <w:pPr>
              <w:widowControl/>
              <w:autoSpaceDE/>
              <w:autoSpaceDN/>
              <w:adjustRightInd/>
              <w:jc w:val="center"/>
              <w:rPr>
                <w:color w:val="000000"/>
                <w:szCs w:val="20"/>
              </w:rPr>
            </w:pPr>
            <w:r>
              <w:rPr>
                <w:color w:val="000000"/>
                <w:szCs w:val="20"/>
              </w:rPr>
              <w:t>5</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24416F1C" w14:textId="62630023">
            <w:pPr>
              <w:widowControl/>
              <w:autoSpaceDE/>
              <w:autoSpaceDN/>
              <w:adjustRightInd/>
              <w:rPr>
                <w:color w:val="000000"/>
                <w:szCs w:val="20"/>
              </w:rPr>
            </w:pPr>
            <w:r w:rsidRPr="00815239">
              <w:rPr>
                <w:color w:val="000000"/>
                <w:szCs w:val="20"/>
              </w:rPr>
              <w:t>PRTF</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7D505830" w14:textId="77777777">
            <w:pPr>
              <w:widowControl/>
              <w:autoSpaceDE/>
              <w:autoSpaceDN/>
              <w:adjustRightInd/>
              <w:rPr>
                <w:color w:val="000000"/>
                <w:sz w:val="18"/>
                <w:szCs w:val="18"/>
              </w:rPr>
            </w:pPr>
            <w:r w:rsidRPr="00B32E1E">
              <w:rPr>
                <w:color w:val="000000"/>
                <w:sz w:val="18"/>
                <w:szCs w:val="18"/>
              </w:rPr>
              <w:t>§ 441.184(d)(2)</w:t>
            </w:r>
          </w:p>
        </w:tc>
        <w:tc>
          <w:tcPr>
            <w:tcW w:w="1306" w:type="dxa"/>
            <w:tcBorders>
              <w:top w:val="nil"/>
              <w:left w:val="nil"/>
              <w:bottom w:val="single" w:sz="4" w:space="0" w:color="auto"/>
              <w:right w:val="single" w:sz="4" w:space="0" w:color="auto"/>
            </w:tcBorders>
            <w:noWrap/>
            <w:vAlign w:val="bottom"/>
            <w:hideMark/>
          </w:tcPr>
          <w:p w:rsidR="00B32E1E" w:rsidRPr="00815239" w:rsidP="00D72EFC" w14:paraId="0E543389" w14:textId="77777777">
            <w:pPr>
              <w:widowControl/>
              <w:autoSpaceDE/>
              <w:autoSpaceDN/>
              <w:adjustRightInd/>
              <w:jc w:val="center"/>
              <w:rPr>
                <w:color w:val="000000"/>
                <w:szCs w:val="20"/>
              </w:rPr>
            </w:pPr>
            <w:r w:rsidRPr="00815239">
              <w:rPr>
                <w:color w:val="000000"/>
                <w:szCs w:val="20"/>
              </w:rPr>
              <w:t>345</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4F49B941" w14:textId="77777777">
            <w:pPr>
              <w:widowControl/>
              <w:autoSpaceDE/>
              <w:autoSpaceDN/>
              <w:adjustRightInd/>
              <w:jc w:val="center"/>
              <w:rPr>
                <w:color w:val="000000"/>
                <w:szCs w:val="20"/>
              </w:rPr>
            </w:pPr>
            <w:r w:rsidRPr="00815239">
              <w:rPr>
                <w:color w:val="000000"/>
                <w:szCs w:val="20"/>
              </w:rPr>
              <w:t>345</w:t>
            </w:r>
          </w:p>
        </w:tc>
        <w:tc>
          <w:tcPr>
            <w:tcW w:w="1017" w:type="dxa"/>
            <w:tcBorders>
              <w:top w:val="nil"/>
              <w:left w:val="nil"/>
              <w:bottom w:val="single" w:sz="4" w:space="0" w:color="auto"/>
              <w:right w:val="single" w:sz="4" w:space="0" w:color="auto"/>
            </w:tcBorders>
            <w:vAlign w:val="bottom"/>
            <w:hideMark/>
          </w:tcPr>
          <w:p w:rsidR="00B32E1E" w:rsidRPr="00815239" w:rsidP="00D72EFC" w14:paraId="5A54CC14" w14:textId="5C2A86B2">
            <w:pPr>
              <w:widowControl/>
              <w:autoSpaceDE/>
              <w:autoSpaceDN/>
              <w:adjustRightInd/>
              <w:jc w:val="center"/>
              <w:rPr>
                <w:color w:val="000000"/>
                <w:szCs w:val="20"/>
              </w:rPr>
            </w:pPr>
            <w:r w:rsidRPr="00815239">
              <w:rPr>
                <w:color w:val="000000"/>
                <w:szCs w:val="20"/>
              </w:rPr>
              <w:t>3</w:t>
            </w:r>
          </w:p>
        </w:tc>
        <w:tc>
          <w:tcPr>
            <w:tcW w:w="1083" w:type="dxa"/>
            <w:tcBorders>
              <w:top w:val="nil"/>
              <w:left w:val="nil"/>
              <w:bottom w:val="single" w:sz="4" w:space="0" w:color="auto"/>
              <w:right w:val="nil"/>
            </w:tcBorders>
            <w:noWrap/>
            <w:vAlign w:val="bottom"/>
            <w:hideMark/>
          </w:tcPr>
          <w:p w:rsidR="00B32E1E" w:rsidRPr="00815239" w:rsidP="00D72EFC" w14:paraId="0225F077" w14:textId="77777777">
            <w:pPr>
              <w:widowControl/>
              <w:autoSpaceDE/>
              <w:autoSpaceDN/>
              <w:adjustRightInd/>
              <w:jc w:val="center"/>
              <w:rPr>
                <w:color w:val="000000"/>
                <w:szCs w:val="20"/>
              </w:rPr>
            </w:pPr>
            <w:r w:rsidRPr="00815239">
              <w:rPr>
                <w:color w:val="000000"/>
                <w:szCs w:val="20"/>
              </w:rPr>
              <w:t>1,035</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0486A681" w14:textId="77777777">
            <w:pPr>
              <w:widowControl/>
              <w:autoSpaceDE/>
              <w:autoSpaceDN/>
              <w:adjustRightInd/>
              <w:jc w:val="center"/>
              <w:rPr>
                <w:color w:val="000000"/>
                <w:szCs w:val="20"/>
              </w:rPr>
            </w:pPr>
            <w:r w:rsidRPr="00896305">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3CAE48DB" w14:textId="77777777">
            <w:pPr>
              <w:widowControl/>
              <w:autoSpaceDE/>
              <w:autoSpaceDN/>
              <w:adjustRightInd/>
              <w:jc w:val="right"/>
              <w:rPr>
                <w:color w:val="000000"/>
                <w:szCs w:val="20"/>
              </w:rPr>
            </w:pPr>
            <w:r w:rsidRPr="00815239">
              <w:rPr>
                <w:color w:val="000000"/>
                <w:szCs w:val="20"/>
              </w:rPr>
              <w:t>$332,235</w:t>
            </w:r>
          </w:p>
        </w:tc>
      </w:tr>
      <w:tr w14:paraId="439E9AA2"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2F280C10" w14:textId="09313BC2">
            <w:pPr>
              <w:widowControl/>
              <w:autoSpaceDE/>
              <w:autoSpaceDN/>
              <w:adjustRightInd/>
              <w:jc w:val="center"/>
              <w:rPr>
                <w:szCs w:val="20"/>
              </w:rPr>
            </w:pPr>
            <w:r>
              <w:rPr>
                <w:szCs w:val="20"/>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B32E1E" w:rsidRPr="00815239" w:rsidP="00D72EFC" w14:paraId="484D3A26" w14:textId="794A36DF">
            <w:pPr>
              <w:widowControl/>
              <w:autoSpaceDE/>
              <w:autoSpaceDN/>
              <w:adjustRightInd/>
              <w:rPr>
                <w:szCs w:val="20"/>
              </w:rPr>
            </w:pPr>
            <w:r w:rsidRPr="00815239">
              <w:rPr>
                <w:szCs w:val="20"/>
              </w:rPr>
              <w:t>REHs</w:t>
            </w:r>
            <w:r>
              <w:rPr>
                <w:szCs w:val="20"/>
              </w:rPr>
              <w:t xml:space="preserve"> - </w:t>
            </w:r>
            <w:r w:rsidRPr="00815239">
              <w:rPr>
                <w:szCs w:val="20"/>
              </w:rPr>
              <w:t xml:space="preserve">Non-TJC </w:t>
            </w:r>
            <w:r>
              <w:rPr>
                <w:szCs w:val="20"/>
              </w:rPr>
              <w:t>A</w:t>
            </w:r>
            <w:r w:rsidRPr="00815239">
              <w:rPr>
                <w:szCs w:val="20"/>
              </w:rPr>
              <w:t>ccredited</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55BC9A0C" w14:textId="77777777">
            <w:pPr>
              <w:widowControl/>
              <w:autoSpaceDE/>
              <w:autoSpaceDN/>
              <w:adjustRightInd/>
              <w:rPr>
                <w:color w:val="000000"/>
                <w:sz w:val="18"/>
                <w:szCs w:val="18"/>
              </w:rPr>
            </w:pPr>
            <w:r w:rsidRPr="00B32E1E">
              <w:rPr>
                <w:color w:val="000000"/>
                <w:sz w:val="18"/>
                <w:szCs w:val="18"/>
              </w:rPr>
              <w:t>§ 485.542(d)(2)</w:t>
            </w:r>
          </w:p>
        </w:tc>
        <w:tc>
          <w:tcPr>
            <w:tcW w:w="1306" w:type="dxa"/>
            <w:tcBorders>
              <w:top w:val="single" w:sz="4" w:space="0" w:color="auto"/>
              <w:left w:val="nil"/>
              <w:bottom w:val="single" w:sz="4" w:space="0" w:color="auto"/>
              <w:right w:val="single" w:sz="4" w:space="0" w:color="auto"/>
            </w:tcBorders>
            <w:noWrap/>
            <w:vAlign w:val="bottom"/>
            <w:hideMark/>
          </w:tcPr>
          <w:p w:rsidR="00B32E1E" w:rsidRPr="00815239" w:rsidP="00D72EFC" w14:paraId="3F6E9AD2" w14:textId="77777777">
            <w:pPr>
              <w:widowControl/>
              <w:autoSpaceDE/>
              <w:autoSpaceDN/>
              <w:adjustRightInd/>
              <w:jc w:val="center"/>
              <w:rPr>
                <w:color w:val="000000"/>
                <w:szCs w:val="20"/>
              </w:rPr>
            </w:pPr>
            <w:r w:rsidRPr="00815239">
              <w:rPr>
                <w:color w:val="000000"/>
                <w:szCs w:val="20"/>
              </w:rPr>
              <w:t>19</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113649AD" w14:textId="77777777">
            <w:pPr>
              <w:widowControl/>
              <w:autoSpaceDE/>
              <w:autoSpaceDN/>
              <w:adjustRightInd/>
              <w:jc w:val="center"/>
              <w:rPr>
                <w:color w:val="000000"/>
                <w:szCs w:val="20"/>
              </w:rPr>
            </w:pPr>
            <w:r w:rsidRPr="00815239">
              <w:rPr>
                <w:color w:val="000000"/>
                <w:szCs w:val="20"/>
              </w:rPr>
              <w:t>19</w:t>
            </w:r>
          </w:p>
        </w:tc>
        <w:tc>
          <w:tcPr>
            <w:tcW w:w="1017" w:type="dxa"/>
            <w:tcBorders>
              <w:top w:val="nil"/>
              <w:left w:val="nil"/>
              <w:bottom w:val="single" w:sz="4" w:space="0" w:color="auto"/>
              <w:right w:val="single" w:sz="4" w:space="0" w:color="auto"/>
            </w:tcBorders>
            <w:vAlign w:val="bottom"/>
            <w:hideMark/>
          </w:tcPr>
          <w:p w:rsidR="00B32E1E" w:rsidRPr="00815239" w:rsidP="00D72EFC" w14:paraId="6AB52E16" w14:textId="20A9EA07">
            <w:pPr>
              <w:widowControl/>
              <w:autoSpaceDE/>
              <w:autoSpaceDN/>
              <w:adjustRightInd/>
              <w:jc w:val="center"/>
              <w:rPr>
                <w:color w:val="000000"/>
                <w:szCs w:val="20"/>
              </w:rPr>
            </w:pPr>
            <w:r w:rsidRPr="00815239">
              <w:rPr>
                <w:color w:val="000000"/>
                <w:szCs w:val="20"/>
              </w:rPr>
              <w:t>8</w:t>
            </w:r>
          </w:p>
        </w:tc>
        <w:tc>
          <w:tcPr>
            <w:tcW w:w="1083" w:type="dxa"/>
            <w:tcBorders>
              <w:top w:val="nil"/>
              <w:left w:val="nil"/>
              <w:bottom w:val="single" w:sz="4" w:space="0" w:color="auto"/>
              <w:right w:val="nil"/>
            </w:tcBorders>
            <w:noWrap/>
            <w:vAlign w:val="bottom"/>
            <w:hideMark/>
          </w:tcPr>
          <w:p w:rsidR="00B32E1E" w:rsidRPr="00815239" w:rsidP="00D72EFC" w14:paraId="43B603B1" w14:textId="77777777">
            <w:pPr>
              <w:widowControl/>
              <w:autoSpaceDE/>
              <w:autoSpaceDN/>
              <w:adjustRightInd/>
              <w:jc w:val="center"/>
              <w:rPr>
                <w:color w:val="000000"/>
                <w:szCs w:val="20"/>
              </w:rPr>
            </w:pPr>
            <w:r w:rsidRPr="00815239">
              <w:rPr>
                <w:color w:val="000000"/>
                <w:szCs w:val="20"/>
              </w:rPr>
              <w:t>152</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38B88740" w14:textId="77777777">
            <w:pPr>
              <w:widowControl/>
              <w:autoSpaceDE/>
              <w:autoSpaceDN/>
              <w:adjustRightInd/>
              <w:jc w:val="center"/>
              <w:rPr>
                <w:color w:val="000000"/>
                <w:szCs w:val="20"/>
              </w:rPr>
            </w:pPr>
            <w:r w:rsidRPr="00896305">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1A2975F3" w14:textId="77777777">
            <w:pPr>
              <w:widowControl/>
              <w:autoSpaceDE/>
              <w:autoSpaceDN/>
              <w:adjustRightInd/>
              <w:jc w:val="right"/>
              <w:rPr>
                <w:color w:val="000000"/>
                <w:szCs w:val="20"/>
              </w:rPr>
            </w:pPr>
            <w:r w:rsidRPr="00815239">
              <w:rPr>
                <w:color w:val="000000"/>
                <w:szCs w:val="20"/>
              </w:rPr>
              <w:t>$48,792</w:t>
            </w:r>
          </w:p>
        </w:tc>
      </w:tr>
      <w:tr w14:paraId="08A962A5"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3C90FBC6" w14:textId="507103AA">
            <w:pPr>
              <w:widowControl/>
              <w:autoSpaceDE/>
              <w:autoSpaceDN/>
              <w:adjustRightInd/>
              <w:jc w:val="center"/>
              <w:rPr>
                <w:szCs w:val="20"/>
              </w:rPr>
            </w:pPr>
            <w:r>
              <w:rPr>
                <w:szCs w:val="20"/>
              </w:rPr>
              <w:t>7</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815239" w14:paraId="369F0AE6" w14:textId="2E638FD0">
            <w:pPr>
              <w:widowControl/>
              <w:autoSpaceDE/>
              <w:autoSpaceDN/>
              <w:adjustRightInd/>
              <w:rPr>
                <w:szCs w:val="20"/>
              </w:rPr>
            </w:pPr>
            <w:r w:rsidRPr="00815239">
              <w:rPr>
                <w:szCs w:val="20"/>
              </w:rPr>
              <w:t>RNHCIs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1D128E" w14:paraId="0E71EF6D" w14:textId="77777777">
            <w:pPr>
              <w:widowControl/>
              <w:autoSpaceDE/>
              <w:autoSpaceDN/>
              <w:adjustRightInd/>
              <w:rPr>
                <w:color w:val="000000"/>
                <w:sz w:val="18"/>
                <w:szCs w:val="18"/>
              </w:rPr>
            </w:pPr>
            <w:r w:rsidRPr="00B32E1E">
              <w:rPr>
                <w:color w:val="000000"/>
                <w:sz w:val="18"/>
                <w:szCs w:val="18"/>
              </w:rPr>
              <w:t>§ 403.748(d)(2)</w:t>
            </w:r>
          </w:p>
        </w:tc>
        <w:tc>
          <w:tcPr>
            <w:tcW w:w="1306" w:type="dxa"/>
            <w:tcBorders>
              <w:top w:val="nil"/>
              <w:left w:val="nil"/>
              <w:bottom w:val="single" w:sz="4" w:space="0" w:color="auto"/>
              <w:right w:val="single" w:sz="4" w:space="0" w:color="auto"/>
            </w:tcBorders>
            <w:noWrap/>
            <w:vAlign w:val="bottom"/>
            <w:hideMark/>
          </w:tcPr>
          <w:p w:rsidR="00B32E1E" w:rsidRPr="00815239" w:rsidP="00815239" w14:paraId="43FAE238" w14:textId="77777777">
            <w:pPr>
              <w:widowControl/>
              <w:autoSpaceDE/>
              <w:autoSpaceDN/>
              <w:adjustRightInd/>
              <w:jc w:val="center"/>
              <w:rPr>
                <w:color w:val="000000"/>
                <w:szCs w:val="20"/>
              </w:rPr>
            </w:pPr>
            <w:r w:rsidRPr="00815239">
              <w:rPr>
                <w:color w:val="000000"/>
                <w:szCs w:val="20"/>
              </w:rPr>
              <w:t>3</w:t>
            </w:r>
          </w:p>
        </w:tc>
        <w:tc>
          <w:tcPr>
            <w:tcW w:w="1094" w:type="dxa"/>
            <w:tcBorders>
              <w:top w:val="nil"/>
              <w:left w:val="nil"/>
              <w:bottom w:val="single" w:sz="4" w:space="0" w:color="auto"/>
              <w:right w:val="single" w:sz="4" w:space="0" w:color="auto"/>
            </w:tcBorders>
            <w:noWrap/>
            <w:vAlign w:val="bottom"/>
            <w:hideMark/>
          </w:tcPr>
          <w:p w:rsidR="00B32E1E" w:rsidRPr="00815239" w:rsidP="00815239" w14:paraId="0AC54BF9" w14:textId="77777777">
            <w:pPr>
              <w:widowControl/>
              <w:autoSpaceDE/>
              <w:autoSpaceDN/>
              <w:adjustRightInd/>
              <w:jc w:val="center"/>
              <w:rPr>
                <w:color w:val="000000"/>
                <w:szCs w:val="20"/>
              </w:rPr>
            </w:pPr>
            <w:r w:rsidRPr="00815239">
              <w:rPr>
                <w:color w:val="000000"/>
                <w:szCs w:val="20"/>
              </w:rPr>
              <w:t>3</w:t>
            </w:r>
          </w:p>
        </w:tc>
        <w:tc>
          <w:tcPr>
            <w:tcW w:w="1017" w:type="dxa"/>
            <w:tcBorders>
              <w:top w:val="nil"/>
              <w:left w:val="nil"/>
              <w:bottom w:val="single" w:sz="4" w:space="0" w:color="auto"/>
              <w:right w:val="single" w:sz="4" w:space="0" w:color="auto"/>
            </w:tcBorders>
            <w:vAlign w:val="bottom"/>
            <w:hideMark/>
          </w:tcPr>
          <w:p w:rsidR="00B32E1E" w:rsidRPr="00815239" w:rsidP="00815239" w14:paraId="4E0049D3" w14:textId="1ED7DCE5">
            <w:pPr>
              <w:widowControl/>
              <w:autoSpaceDE/>
              <w:autoSpaceDN/>
              <w:adjustRightInd/>
              <w:jc w:val="center"/>
              <w:rPr>
                <w:color w:val="000000"/>
                <w:szCs w:val="20"/>
              </w:rPr>
            </w:pPr>
            <w:r w:rsidRPr="00815239">
              <w:rPr>
                <w:color w:val="000000"/>
                <w:szCs w:val="20"/>
              </w:rPr>
              <w:t>3</w:t>
            </w:r>
          </w:p>
        </w:tc>
        <w:tc>
          <w:tcPr>
            <w:tcW w:w="1083" w:type="dxa"/>
            <w:tcBorders>
              <w:top w:val="nil"/>
              <w:left w:val="nil"/>
              <w:bottom w:val="single" w:sz="4" w:space="0" w:color="auto"/>
              <w:right w:val="nil"/>
            </w:tcBorders>
            <w:noWrap/>
            <w:vAlign w:val="bottom"/>
            <w:hideMark/>
          </w:tcPr>
          <w:p w:rsidR="00B32E1E" w:rsidRPr="00815239" w:rsidP="00815239" w14:paraId="7C1D1098" w14:textId="77777777">
            <w:pPr>
              <w:widowControl/>
              <w:autoSpaceDE/>
              <w:autoSpaceDN/>
              <w:adjustRightInd/>
              <w:jc w:val="center"/>
              <w:rPr>
                <w:color w:val="000000"/>
                <w:szCs w:val="20"/>
              </w:rPr>
            </w:pPr>
            <w:r w:rsidRPr="00815239">
              <w:rPr>
                <w:color w:val="000000"/>
                <w:szCs w:val="20"/>
              </w:rPr>
              <w:t>9</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815239" w14:paraId="02129B79" w14:textId="77777777">
            <w:pPr>
              <w:widowControl/>
              <w:autoSpaceDE/>
              <w:autoSpaceDN/>
              <w:adjustRightInd/>
              <w:jc w:val="center"/>
              <w:rPr>
                <w:color w:val="000000"/>
                <w:szCs w:val="20"/>
              </w:rPr>
            </w:pPr>
            <w:r>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815239" w14:paraId="1EE31500" w14:textId="77777777">
            <w:pPr>
              <w:widowControl/>
              <w:autoSpaceDE/>
              <w:autoSpaceDN/>
              <w:adjustRightInd/>
              <w:jc w:val="right"/>
              <w:rPr>
                <w:color w:val="000000"/>
                <w:szCs w:val="20"/>
              </w:rPr>
            </w:pPr>
            <w:r w:rsidRPr="00815239">
              <w:rPr>
                <w:color w:val="000000"/>
                <w:szCs w:val="20"/>
              </w:rPr>
              <w:t>$2,889</w:t>
            </w:r>
          </w:p>
        </w:tc>
      </w:tr>
      <w:tr w14:paraId="16ED45AA" w14:textId="77777777" w:rsidTr="00037F27">
        <w:tblPrEx>
          <w:tblW w:w="12060" w:type="dxa"/>
          <w:tblInd w:w="350" w:type="dxa"/>
          <w:tblLook w:val="04A0"/>
        </w:tblPrEx>
        <w:trPr>
          <w:trHeight w:val="318"/>
        </w:trPr>
        <w:tc>
          <w:tcPr>
            <w:tcW w:w="1206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2E1E" w:rsidRPr="00815239" w:rsidP="00815239" w14:paraId="5DEAE202" w14:textId="2117B346">
            <w:pPr>
              <w:widowControl/>
              <w:autoSpaceDE/>
              <w:autoSpaceDN/>
              <w:adjustRightInd/>
              <w:jc w:val="center"/>
              <w:rPr>
                <w:b/>
                <w:bCs/>
                <w:color w:val="000000"/>
                <w:szCs w:val="20"/>
              </w:rPr>
            </w:pPr>
            <w:r w:rsidRPr="00815239">
              <w:rPr>
                <w:b/>
                <w:bCs/>
                <w:color w:val="000000"/>
                <w:szCs w:val="20"/>
              </w:rPr>
              <w:t>Outpatient</w:t>
            </w:r>
          </w:p>
        </w:tc>
      </w:tr>
      <w:tr w14:paraId="7F48965C"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79466764" w14:textId="365143FF">
            <w:pPr>
              <w:widowControl/>
              <w:autoSpaceDE/>
              <w:autoSpaceDN/>
              <w:adjustRightInd/>
              <w:jc w:val="center"/>
              <w:rPr>
                <w:color w:val="000000"/>
                <w:szCs w:val="20"/>
              </w:rPr>
            </w:pPr>
            <w:r>
              <w:rPr>
                <w:color w:val="000000"/>
                <w:szCs w:val="20"/>
              </w:rPr>
              <w:t>8</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688DD60E" w14:textId="6C61A6BC">
            <w:pPr>
              <w:widowControl/>
              <w:autoSpaceDE/>
              <w:autoSpaceDN/>
              <w:adjustRightInd/>
              <w:rPr>
                <w:color w:val="000000"/>
                <w:szCs w:val="20"/>
              </w:rPr>
            </w:pPr>
            <w:r w:rsidRPr="00815239">
              <w:rPr>
                <w:color w:val="000000"/>
                <w:szCs w:val="20"/>
              </w:rPr>
              <w:t>ASCs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2459C7B5" w14:textId="77777777">
            <w:pPr>
              <w:widowControl/>
              <w:autoSpaceDE/>
              <w:autoSpaceDN/>
              <w:adjustRightInd/>
              <w:rPr>
                <w:color w:val="000000"/>
                <w:sz w:val="18"/>
                <w:szCs w:val="18"/>
              </w:rPr>
            </w:pPr>
            <w:r w:rsidRPr="00B32E1E">
              <w:rPr>
                <w:color w:val="000000"/>
                <w:sz w:val="18"/>
                <w:szCs w:val="18"/>
              </w:rPr>
              <w:t>§ 416.54(d)(2)</w:t>
            </w:r>
          </w:p>
        </w:tc>
        <w:tc>
          <w:tcPr>
            <w:tcW w:w="1306" w:type="dxa"/>
            <w:tcBorders>
              <w:top w:val="nil"/>
              <w:left w:val="nil"/>
              <w:bottom w:val="single" w:sz="4" w:space="0" w:color="auto"/>
              <w:right w:val="single" w:sz="4" w:space="0" w:color="auto"/>
            </w:tcBorders>
            <w:noWrap/>
            <w:vAlign w:val="bottom"/>
            <w:hideMark/>
          </w:tcPr>
          <w:p w:rsidR="00B32E1E" w:rsidRPr="00815239" w:rsidP="00D72EFC" w14:paraId="234F1E75" w14:textId="77777777">
            <w:pPr>
              <w:widowControl/>
              <w:autoSpaceDE/>
              <w:autoSpaceDN/>
              <w:adjustRightInd/>
              <w:jc w:val="center"/>
              <w:rPr>
                <w:color w:val="000000"/>
                <w:szCs w:val="20"/>
              </w:rPr>
            </w:pPr>
            <w:r w:rsidRPr="00815239">
              <w:rPr>
                <w:color w:val="000000"/>
                <w:szCs w:val="20"/>
              </w:rPr>
              <w:t>6,170</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2D502EB8" w14:textId="77777777">
            <w:pPr>
              <w:widowControl/>
              <w:autoSpaceDE/>
              <w:autoSpaceDN/>
              <w:adjustRightInd/>
              <w:jc w:val="center"/>
              <w:rPr>
                <w:color w:val="000000"/>
                <w:szCs w:val="20"/>
              </w:rPr>
            </w:pPr>
            <w:r w:rsidRPr="00815239">
              <w:rPr>
                <w:color w:val="000000"/>
                <w:szCs w:val="20"/>
              </w:rPr>
              <w:t>6</w:t>
            </w:r>
            <w:r>
              <w:rPr>
                <w:color w:val="000000"/>
                <w:szCs w:val="20"/>
              </w:rPr>
              <w:t>,</w:t>
            </w:r>
            <w:r w:rsidRPr="00815239">
              <w:rPr>
                <w:color w:val="000000"/>
                <w:szCs w:val="20"/>
              </w:rPr>
              <w:t>170</w:t>
            </w:r>
          </w:p>
        </w:tc>
        <w:tc>
          <w:tcPr>
            <w:tcW w:w="1017" w:type="dxa"/>
            <w:tcBorders>
              <w:top w:val="nil"/>
              <w:left w:val="nil"/>
              <w:bottom w:val="single" w:sz="4" w:space="0" w:color="auto"/>
              <w:right w:val="single" w:sz="4" w:space="0" w:color="auto"/>
            </w:tcBorders>
            <w:vAlign w:val="center"/>
            <w:hideMark/>
          </w:tcPr>
          <w:p w:rsidR="00B32E1E" w:rsidRPr="00815239" w:rsidP="00D72EFC" w14:paraId="781D15DE" w14:textId="5365C5AC">
            <w:pPr>
              <w:widowControl/>
              <w:autoSpaceDE/>
              <w:autoSpaceDN/>
              <w:adjustRightInd/>
              <w:jc w:val="center"/>
              <w:rPr>
                <w:color w:val="000000"/>
                <w:szCs w:val="20"/>
              </w:rPr>
            </w:pPr>
            <w:r w:rsidRPr="00815239">
              <w:rPr>
                <w:color w:val="000000"/>
                <w:szCs w:val="20"/>
              </w:rPr>
              <w:t>2</w:t>
            </w:r>
          </w:p>
        </w:tc>
        <w:tc>
          <w:tcPr>
            <w:tcW w:w="1083" w:type="dxa"/>
            <w:tcBorders>
              <w:top w:val="nil"/>
              <w:left w:val="nil"/>
              <w:bottom w:val="single" w:sz="4" w:space="0" w:color="auto"/>
              <w:right w:val="nil"/>
            </w:tcBorders>
            <w:noWrap/>
            <w:vAlign w:val="bottom"/>
            <w:hideMark/>
          </w:tcPr>
          <w:p w:rsidR="00B32E1E" w:rsidRPr="00815239" w:rsidP="00D72EFC" w14:paraId="0EDCDB5D" w14:textId="77777777">
            <w:pPr>
              <w:widowControl/>
              <w:autoSpaceDE/>
              <w:autoSpaceDN/>
              <w:adjustRightInd/>
              <w:jc w:val="center"/>
              <w:rPr>
                <w:color w:val="000000"/>
                <w:szCs w:val="20"/>
              </w:rPr>
            </w:pPr>
            <w:r w:rsidRPr="00815239">
              <w:rPr>
                <w:color w:val="000000"/>
                <w:szCs w:val="20"/>
              </w:rPr>
              <w:t>15,425</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49D8400C" w14:textId="77777777">
            <w:pPr>
              <w:widowControl/>
              <w:autoSpaceDE/>
              <w:autoSpaceDN/>
              <w:adjustRightInd/>
              <w:jc w:val="center"/>
              <w:rPr>
                <w:color w:val="000000"/>
                <w:szCs w:val="20"/>
              </w:rPr>
            </w:pPr>
            <w:r w:rsidRPr="009B1279">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081DEE38" w14:textId="77777777">
            <w:pPr>
              <w:widowControl/>
              <w:autoSpaceDE/>
              <w:autoSpaceDN/>
              <w:adjustRightInd/>
              <w:jc w:val="right"/>
              <w:rPr>
                <w:color w:val="000000"/>
                <w:szCs w:val="20"/>
              </w:rPr>
            </w:pPr>
            <w:r w:rsidRPr="00815239">
              <w:rPr>
                <w:color w:val="000000"/>
                <w:szCs w:val="20"/>
              </w:rPr>
              <w:t>$4,951,425</w:t>
            </w:r>
          </w:p>
        </w:tc>
      </w:tr>
      <w:tr w14:paraId="56984ED8"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23F7C155" w14:textId="70A05756">
            <w:pPr>
              <w:widowControl/>
              <w:autoSpaceDE/>
              <w:autoSpaceDN/>
              <w:adjustRightInd/>
              <w:jc w:val="center"/>
              <w:rPr>
                <w:szCs w:val="20"/>
              </w:rPr>
            </w:pPr>
            <w:r>
              <w:rPr>
                <w:szCs w:val="20"/>
              </w:rPr>
              <w:t>9</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1EBD3438" w14:textId="1CF95327">
            <w:pPr>
              <w:widowControl/>
              <w:autoSpaceDE/>
              <w:autoSpaceDN/>
              <w:adjustRightInd/>
              <w:rPr>
                <w:szCs w:val="20"/>
              </w:rPr>
            </w:pPr>
            <w:r w:rsidRPr="00815239">
              <w:rPr>
                <w:szCs w:val="20"/>
              </w:rPr>
              <w:t>CMHCs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5B89184A" w14:textId="77777777">
            <w:pPr>
              <w:widowControl/>
              <w:autoSpaceDE/>
              <w:autoSpaceDN/>
              <w:adjustRightInd/>
              <w:rPr>
                <w:color w:val="000000"/>
                <w:sz w:val="18"/>
                <w:szCs w:val="18"/>
              </w:rPr>
            </w:pPr>
            <w:r w:rsidRPr="00B32E1E">
              <w:rPr>
                <w:color w:val="000000"/>
                <w:sz w:val="18"/>
                <w:szCs w:val="18"/>
              </w:rPr>
              <w:t>§ 485.920(d)(2)</w:t>
            </w:r>
          </w:p>
        </w:tc>
        <w:tc>
          <w:tcPr>
            <w:tcW w:w="1306" w:type="dxa"/>
            <w:tcBorders>
              <w:top w:val="nil"/>
              <w:left w:val="nil"/>
              <w:bottom w:val="single" w:sz="4" w:space="0" w:color="auto"/>
              <w:right w:val="single" w:sz="4" w:space="0" w:color="auto"/>
            </w:tcBorders>
            <w:noWrap/>
            <w:vAlign w:val="bottom"/>
            <w:hideMark/>
          </w:tcPr>
          <w:p w:rsidR="00B32E1E" w:rsidRPr="00815239" w:rsidP="00D72EFC" w14:paraId="3575C7D1" w14:textId="77777777">
            <w:pPr>
              <w:widowControl/>
              <w:autoSpaceDE/>
              <w:autoSpaceDN/>
              <w:adjustRightInd/>
              <w:jc w:val="center"/>
              <w:rPr>
                <w:color w:val="000000"/>
                <w:szCs w:val="20"/>
              </w:rPr>
            </w:pPr>
            <w:r w:rsidRPr="00815239">
              <w:rPr>
                <w:color w:val="000000"/>
                <w:szCs w:val="20"/>
              </w:rPr>
              <w:t>117</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027F7D36" w14:textId="77777777">
            <w:pPr>
              <w:widowControl/>
              <w:autoSpaceDE/>
              <w:autoSpaceDN/>
              <w:adjustRightInd/>
              <w:jc w:val="center"/>
              <w:rPr>
                <w:color w:val="000000"/>
                <w:szCs w:val="20"/>
              </w:rPr>
            </w:pPr>
            <w:r w:rsidRPr="00815239">
              <w:rPr>
                <w:color w:val="000000"/>
                <w:szCs w:val="20"/>
              </w:rPr>
              <w:t>117</w:t>
            </w:r>
          </w:p>
        </w:tc>
        <w:tc>
          <w:tcPr>
            <w:tcW w:w="1017" w:type="dxa"/>
            <w:tcBorders>
              <w:top w:val="nil"/>
              <w:left w:val="nil"/>
              <w:bottom w:val="single" w:sz="4" w:space="0" w:color="auto"/>
              <w:right w:val="single" w:sz="4" w:space="0" w:color="auto"/>
            </w:tcBorders>
            <w:vAlign w:val="bottom"/>
            <w:hideMark/>
          </w:tcPr>
          <w:p w:rsidR="00B32E1E" w:rsidRPr="00815239" w:rsidP="00D72EFC" w14:paraId="6FF343C0" w14:textId="03B93661">
            <w:pPr>
              <w:widowControl/>
              <w:autoSpaceDE/>
              <w:autoSpaceDN/>
              <w:adjustRightInd/>
              <w:jc w:val="center"/>
              <w:rPr>
                <w:color w:val="000000"/>
                <w:szCs w:val="20"/>
              </w:rPr>
            </w:pPr>
            <w:r w:rsidRPr="00815239">
              <w:rPr>
                <w:color w:val="000000"/>
                <w:szCs w:val="20"/>
              </w:rPr>
              <w:t>2</w:t>
            </w:r>
          </w:p>
        </w:tc>
        <w:tc>
          <w:tcPr>
            <w:tcW w:w="1083" w:type="dxa"/>
            <w:tcBorders>
              <w:top w:val="nil"/>
              <w:left w:val="nil"/>
              <w:bottom w:val="single" w:sz="4" w:space="0" w:color="auto"/>
              <w:right w:val="nil"/>
            </w:tcBorders>
            <w:noWrap/>
            <w:vAlign w:val="bottom"/>
            <w:hideMark/>
          </w:tcPr>
          <w:p w:rsidR="00B32E1E" w:rsidRPr="00815239" w:rsidP="00D72EFC" w14:paraId="627B135D" w14:textId="77777777">
            <w:pPr>
              <w:widowControl/>
              <w:autoSpaceDE/>
              <w:autoSpaceDN/>
              <w:adjustRightInd/>
              <w:jc w:val="center"/>
              <w:rPr>
                <w:color w:val="000000"/>
                <w:szCs w:val="20"/>
              </w:rPr>
            </w:pPr>
            <w:r w:rsidRPr="00815239">
              <w:rPr>
                <w:color w:val="000000"/>
                <w:szCs w:val="20"/>
              </w:rPr>
              <w:t>234</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26A2B5DF" w14:textId="77777777">
            <w:pPr>
              <w:widowControl/>
              <w:autoSpaceDE/>
              <w:autoSpaceDN/>
              <w:adjustRightInd/>
              <w:jc w:val="center"/>
              <w:rPr>
                <w:color w:val="000000"/>
                <w:szCs w:val="20"/>
              </w:rPr>
            </w:pPr>
            <w:r w:rsidRPr="009B1279">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4B27F2BE" w14:textId="77777777">
            <w:pPr>
              <w:widowControl/>
              <w:autoSpaceDE/>
              <w:autoSpaceDN/>
              <w:adjustRightInd/>
              <w:jc w:val="right"/>
              <w:rPr>
                <w:color w:val="000000"/>
                <w:szCs w:val="20"/>
              </w:rPr>
            </w:pPr>
            <w:r w:rsidRPr="00815239">
              <w:rPr>
                <w:color w:val="000000"/>
                <w:szCs w:val="20"/>
              </w:rPr>
              <w:t>$75,114</w:t>
            </w:r>
          </w:p>
        </w:tc>
      </w:tr>
      <w:tr w14:paraId="70E5F6AF"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6237B3FE" w14:textId="44865D77">
            <w:pPr>
              <w:widowControl/>
              <w:autoSpaceDE/>
              <w:autoSpaceDN/>
              <w:adjustRightInd/>
              <w:jc w:val="center"/>
              <w:rPr>
                <w:szCs w:val="20"/>
              </w:rPr>
            </w:pPr>
            <w:r>
              <w:rPr>
                <w:szCs w:val="20"/>
              </w:rPr>
              <w:t>10</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2C159CEC" w14:textId="72C09C43">
            <w:pPr>
              <w:widowControl/>
              <w:autoSpaceDE/>
              <w:autoSpaceDN/>
              <w:adjustRightInd/>
              <w:rPr>
                <w:szCs w:val="20"/>
              </w:rPr>
            </w:pPr>
            <w:r w:rsidRPr="00815239">
              <w:rPr>
                <w:szCs w:val="20"/>
              </w:rPr>
              <w:t>CORFs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5431C527" w14:textId="77777777">
            <w:pPr>
              <w:widowControl/>
              <w:autoSpaceDE/>
              <w:autoSpaceDN/>
              <w:adjustRightInd/>
              <w:rPr>
                <w:color w:val="000000"/>
                <w:sz w:val="18"/>
                <w:szCs w:val="18"/>
              </w:rPr>
            </w:pPr>
            <w:r w:rsidRPr="00B32E1E">
              <w:rPr>
                <w:color w:val="000000"/>
                <w:sz w:val="18"/>
                <w:szCs w:val="18"/>
              </w:rPr>
              <w:t>§ 485.68(d)(2)</w:t>
            </w:r>
          </w:p>
        </w:tc>
        <w:tc>
          <w:tcPr>
            <w:tcW w:w="1306" w:type="dxa"/>
            <w:tcBorders>
              <w:top w:val="nil"/>
              <w:left w:val="nil"/>
              <w:bottom w:val="single" w:sz="4" w:space="0" w:color="auto"/>
              <w:right w:val="single" w:sz="4" w:space="0" w:color="auto"/>
            </w:tcBorders>
            <w:noWrap/>
            <w:vAlign w:val="bottom"/>
            <w:hideMark/>
          </w:tcPr>
          <w:p w:rsidR="00B32E1E" w:rsidRPr="00815239" w:rsidP="00D72EFC" w14:paraId="14654495" w14:textId="77777777">
            <w:pPr>
              <w:widowControl/>
              <w:autoSpaceDE/>
              <w:autoSpaceDN/>
              <w:adjustRightInd/>
              <w:jc w:val="center"/>
              <w:rPr>
                <w:color w:val="000000"/>
                <w:szCs w:val="20"/>
              </w:rPr>
            </w:pPr>
            <w:r w:rsidRPr="00815239">
              <w:rPr>
                <w:color w:val="000000"/>
                <w:szCs w:val="20"/>
              </w:rPr>
              <w:t>149</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0C04D2B0" w14:textId="77777777">
            <w:pPr>
              <w:widowControl/>
              <w:autoSpaceDE/>
              <w:autoSpaceDN/>
              <w:adjustRightInd/>
              <w:jc w:val="center"/>
              <w:rPr>
                <w:color w:val="000000"/>
                <w:szCs w:val="20"/>
              </w:rPr>
            </w:pPr>
            <w:r w:rsidRPr="00815239">
              <w:rPr>
                <w:color w:val="000000"/>
                <w:szCs w:val="20"/>
              </w:rPr>
              <w:t>149</w:t>
            </w:r>
          </w:p>
        </w:tc>
        <w:tc>
          <w:tcPr>
            <w:tcW w:w="1017" w:type="dxa"/>
            <w:tcBorders>
              <w:top w:val="nil"/>
              <w:left w:val="nil"/>
              <w:bottom w:val="single" w:sz="4" w:space="0" w:color="auto"/>
              <w:right w:val="single" w:sz="4" w:space="0" w:color="auto"/>
            </w:tcBorders>
            <w:vAlign w:val="bottom"/>
            <w:hideMark/>
          </w:tcPr>
          <w:p w:rsidR="00B32E1E" w:rsidRPr="00815239" w:rsidP="00D72EFC" w14:paraId="30135326" w14:textId="17FCD23F">
            <w:pPr>
              <w:widowControl/>
              <w:autoSpaceDE/>
              <w:autoSpaceDN/>
              <w:adjustRightInd/>
              <w:jc w:val="center"/>
              <w:rPr>
                <w:color w:val="000000"/>
                <w:szCs w:val="20"/>
              </w:rPr>
            </w:pPr>
            <w:r w:rsidRPr="00815239">
              <w:rPr>
                <w:color w:val="000000"/>
                <w:szCs w:val="20"/>
              </w:rPr>
              <w:t>3</w:t>
            </w:r>
          </w:p>
        </w:tc>
        <w:tc>
          <w:tcPr>
            <w:tcW w:w="1083" w:type="dxa"/>
            <w:tcBorders>
              <w:top w:val="nil"/>
              <w:left w:val="nil"/>
              <w:bottom w:val="single" w:sz="4" w:space="0" w:color="auto"/>
              <w:right w:val="nil"/>
            </w:tcBorders>
            <w:noWrap/>
            <w:vAlign w:val="bottom"/>
            <w:hideMark/>
          </w:tcPr>
          <w:p w:rsidR="00B32E1E" w:rsidRPr="00815239" w:rsidP="00D72EFC" w14:paraId="7069AEE5" w14:textId="77777777">
            <w:pPr>
              <w:widowControl/>
              <w:autoSpaceDE/>
              <w:autoSpaceDN/>
              <w:adjustRightInd/>
              <w:jc w:val="center"/>
              <w:rPr>
                <w:color w:val="000000"/>
                <w:szCs w:val="20"/>
              </w:rPr>
            </w:pPr>
            <w:r w:rsidRPr="00815239">
              <w:rPr>
                <w:color w:val="000000"/>
                <w:szCs w:val="20"/>
              </w:rPr>
              <w:t>447</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21677C15" w14:textId="77777777">
            <w:pPr>
              <w:widowControl/>
              <w:autoSpaceDE/>
              <w:autoSpaceDN/>
              <w:adjustRightInd/>
              <w:jc w:val="center"/>
              <w:rPr>
                <w:color w:val="000000"/>
                <w:szCs w:val="20"/>
              </w:rPr>
            </w:pPr>
            <w:r w:rsidRPr="009B1279">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1A0FF2E5" w14:textId="77777777">
            <w:pPr>
              <w:widowControl/>
              <w:autoSpaceDE/>
              <w:autoSpaceDN/>
              <w:adjustRightInd/>
              <w:jc w:val="right"/>
              <w:rPr>
                <w:color w:val="000000"/>
                <w:szCs w:val="20"/>
              </w:rPr>
            </w:pPr>
            <w:r w:rsidRPr="00815239">
              <w:rPr>
                <w:color w:val="000000"/>
                <w:szCs w:val="20"/>
              </w:rPr>
              <w:t>$143,487</w:t>
            </w:r>
          </w:p>
        </w:tc>
      </w:tr>
      <w:tr w14:paraId="70A08A09" w14:textId="77777777" w:rsidTr="00732226">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58B54E99" w14:textId="5D7735C7">
            <w:pPr>
              <w:widowControl/>
              <w:autoSpaceDE/>
              <w:autoSpaceDN/>
              <w:adjustRightInd/>
              <w:jc w:val="center"/>
              <w:rPr>
                <w:szCs w:val="20"/>
              </w:rPr>
            </w:pPr>
            <w:r>
              <w:rPr>
                <w:szCs w:val="20"/>
              </w:rPr>
              <w:t>11</w:t>
            </w:r>
          </w:p>
        </w:tc>
        <w:tc>
          <w:tcPr>
            <w:tcW w:w="3240" w:type="dxa"/>
            <w:tcBorders>
              <w:top w:val="single" w:sz="4" w:space="0" w:color="auto"/>
              <w:left w:val="single" w:sz="4" w:space="0" w:color="auto"/>
              <w:bottom w:val="single" w:sz="4" w:space="0" w:color="auto"/>
              <w:right w:val="nil"/>
            </w:tcBorders>
            <w:vAlign w:val="bottom"/>
            <w:hideMark/>
          </w:tcPr>
          <w:p w:rsidR="00B32E1E" w:rsidRPr="00815239" w:rsidP="00D72EFC" w14:paraId="413579F5" w14:textId="0E0108A5">
            <w:pPr>
              <w:widowControl/>
              <w:autoSpaceDE/>
              <w:autoSpaceDN/>
              <w:adjustRightInd/>
              <w:rPr>
                <w:szCs w:val="20"/>
              </w:rPr>
            </w:pPr>
            <w:r w:rsidRPr="00815239">
              <w:rPr>
                <w:szCs w:val="20"/>
              </w:rPr>
              <w:t>FQHCs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3B947283" w14:textId="77777777">
            <w:pPr>
              <w:widowControl/>
              <w:autoSpaceDE/>
              <w:autoSpaceDN/>
              <w:adjustRightInd/>
              <w:rPr>
                <w:color w:val="000000"/>
                <w:sz w:val="18"/>
                <w:szCs w:val="18"/>
              </w:rPr>
            </w:pPr>
            <w:r w:rsidRPr="00B32E1E">
              <w:rPr>
                <w:color w:val="000000"/>
                <w:sz w:val="18"/>
                <w:szCs w:val="18"/>
              </w:rPr>
              <w:t>§ 491.12(d)(2)</w:t>
            </w:r>
          </w:p>
        </w:tc>
        <w:tc>
          <w:tcPr>
            <w:tcW w:w="1306" w:type="dxa"/>
            <w:tcBorders>
              <w:top w:val="single" w:sz="4" w:space="0" w:color="auto"/>
              <w:left w:val="nil"/>
              <w:bottom w:val="single" w:sz="4" w:space="0" w:color="auto"/>
              <w:right w:val="single" w:sz="4" w:space="0" w:color="auto"/>
            </w:tcBorders>
            <w:noWrap/>
            <w:vAlign w:val="bottom"/>
            <w:hideMark/>
          </w:tcPr>
          <w:p w:rsidR="00B32E1E" w:rsidRPr="00815239" w:rsidP="00D72EFC" w14:paraId="48F9E282" w14:textId="77777777">
            <w:pPr>
              <w:widowControl/>
              <w:autoSpaceDE/>
              <w:autoSpaceDN/>
              <w:adjustRightInd/>
              <w:jc w:val="center"/>
              <w:rPr>
                <w:color w:val="000000"/>
                <w:szCs w:val="20"/>
              </w:rPr>
            </w:pPr>
            <w:r w:rsidRPr="00815239">
              <w:rPr>
                <w:color w:val="000000"/>
                <w:szCs w:val="20"/>
              </w:rPr>
              <w:t>11,850</w:t>
            </w:r>
          </w:p>
        </w:tc>
        <w:tc>
          <w:tcPr>
            <w:tcW w:w="1094" w:type="dxa"/>
            <w:tcBorders>
              <w:top w:val="single" w:sz="4" w:space="0" w:color="auto"/>
              <w:left w:val="nil"/>
              <w:bottom w:val="single" w:sz="4" w:space="0" w:color="auto"/>
              <w:right w:val="single" w:sz="4" w:space="0" w:color="auto"/>
            </w:tcBorders>
            <w:noWrap/>
            <w:vAlign w:val="bottom"/>
            <w:hideMark/>
          </w:tcPr>
          <w:p w:rsidR="00B32E1E" w:rsidRPr="00815239" w:rsidP="00D72EFC" w14:paraId="357363AD" w14:textId="77777777">
            <w:pPr>
              <w:widowControl/>
              <w:autoSpaceDE/>
              <w:autoSpaceDN/>
              <w:adjustRightInd/>
              <w:jc w:val="center"/>
              <w:rPr>
                <w:color w:val="000000"/>
                <w:szCs w:val="20"/>
              </w:rPr>
            </w:pPr>
            <w:r w:rsidRPr="00815239">
              <w:rPr>
                <w:color w:val="000000"/>
                <w:szCs w:val="20"/>
              </w:rPr>
              <w:t>11</w:t>
            </w:r>
            <w:r>
              <w:rPr>
                <w:color w:val="000000"/>
                <w:szCs w:val="20"/>
              </w:rPr>
              <w:t>,</w:t>
            </w:r>
            <w:r w:rsidRPr="00815239">
              <w:rPr>
                <w:color w:val="000000"/>
                <w:szCs w:val="20"/>
              </w:rPr>
              <w:t>850</w:t>
            </w:r>
          </w:p>
        </w:tc>
        <w:tc>
          <w:tcPr>
            <w:tcW w:w="1017" w:type="dxa"/>
            <w:tcBorders>
              <w:top w:val="single" w:sz="4" w:space="0" w:color="auto"/>
              <w:left w:val="nil"/>
              <w:bottom w:val="single" w:sz="4" w:space="0" w:color="auto"/>
              <w:right w:val="single" w:sz="4" w:space="0" w:color="auto"/>
            </w:tcBorders>
            <w:vAlign w:val="bottom"/>
            <w:hideMark/>
          </w:tcPr>
          <w:p w:rsidR="00B32E1E" w:rsidRPr="00815239" w:rsidP="00D72EFC" w14:paraId="26C3C482" w14:textId="0D2CB744">
            <w:pPr>
              <w:widowControl/>
              <w:autoSpaceDE/>
              <w:autoSpaceDN/>
              <w:adjustRightInd/>
              <w:jc w:val="center"/>
              <w:rPr>
                <w:color w:val="000000"/>
                <w:szCs w:val="20"/>
              </w:rPr>
            </w:pPr>
            <w:r w:rsidRPr="00815239">
              <w:rPr>
                <w:color w:val="000000"/>
                <w:szCs w:val="20"/>
              </w:rPr>
              <w:t>2</w:t>
            </w:r>
          </w:p>
        </w:tc>
        <w:tc>
          <w:tcPr>
            <w:tcW w:w="1083" w:type="dxa"/>
            <w:tcBorders>
              <w:top w:val="single" w:sz="4" w:space="0" w:color="auto"/>
              <w:left w:val="nil"/>
              <w:bottom w:val="single" w:sz="4" w:space="0" w:color="auto"/>
              <w:right w:val="nil"/>
            </w:tcBorders>
            <w:noWrap/>
            <w:vAlign w:val="bottom"/>
            <w:hideMark/>
          </w:tcPr>
          <w:p w:rsidR="00B32E1E" w:rsidRPr="00815239" w:rsidP="00D72EFC" w14:paraId="3F566ED7" w14:textId="77777777">
            <w:pPr>
              <w:widowControl/>
              <w:autoSpaceDE/>
              <w:autoSpaceDN/>
              <w:adjustRightInd/>
              <w:jc w:val="center"/>
              <w:rPr>
                <w:color w:val="000000"/>
                <w:szCs w:val="20"/>
              </w:rPr>
            </w:pPr>
            <w:r w:rsidRPr="00815239">
              <w:rPr>
                <w:color w:val="000000"/>
                <w:szCs w:val="20"/>
              </w:rPr>
              <w:t>29,625</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B32E1E" w:rsidRPr="00815239" w:rsidP="00D72EFC" w14:paraId="71E7101C" w14:textId="77777777">
            <w:pPr>
              <w:widowControl/>
              <w:autoSpaceDE/>
              <w:autoSpaceDN/>
              <w:adjustRightInd/>
              <w:jc w:val="center"/>
              <w:rPr>
                <w:color w:val="000000"/>
                <w:szCs w:val="20"/>
              </w:rPr>
            </w:pPr>
            <w:r w:rsidRPr="009B1279">
              <w:rPr>
                <w:color w:val="000000"/>
                <w:szCs w:val="20"/>
              </w:rPr>
              <w:t>**</w:t>
            </w:r>
          </w:p>
        </w:tc>
        <w:tc>
          <w:tcPr>
            <w:tcW w:w="1512" w:type="dxa"/>
            <w:tcBorders>
              <w:top w:val="single" w:sz="4" w:space="0" w:color="auto"/>
              <w:left w:val="nil"/>
              <w:bottom w:val="single" w:sz="4" w:space="0" w:color="auto"/>
              <w:right w:val="single" w:sz="4" w:space="0" w:color="auto"/>
            </w:tcBorders>
            <w:noWrap/>
            <w:vAlign w:val="bottom"/>
            <w:hideMark/>
          </w:tcPr>
          <w:p w:rsidR="00B32E1E" w:rsidRPr="00815239" w:rsidP="00D72EFC" w14:paraId="4861F27D" w14:textId="77777777">
            <w:pPr>
              <w:widowControl/>
              <w:autoSpaceDE/>
              <w:autoSpaceDN/>
              <w:adjustRightInd/>
              <w:jc w:val="right"/>
              <w:rPr>
                <w:color w:val="000000"/>
                <w:szCs w:val="20"/>
              </w:rPr>
            </w:pPr>
            <w:r w:rsidRPr="00815239">
              <w:rPr>
                <w:color w:val="000000"/>
                <w:szCs w:val="20"/>
              </w:rPr>
              <w:t>$9,509,625</w:t>
            </w:r>
          </w:p>
        </w:tc>
      </w:tr>
      <w:tr w14:paraId="609FC4EF" w14:textId="77777777" w:rsidTr="00732226">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7B11F8D5" w14:textId="778B647D">
            <w:pPr>
              <w:widowControl/>
              <w:autoSpaceDE/>
              <w:autoSpaceDN/>
              <w:adjustRightInd/>
              <w:jc w:val="center"/>
              <w:rPr>
                <w:szCs w:val="20"/>
              </w:rPr>
            </w:pPr>
            <w:r>
              <w:rPr>
                <w:szCs w:val="20"/>
              </w:rPr>
              <w:t>12</w:t>
            </w:r>
          </w:p>
        </w:tc>
        <w:tc>
          <w:tcPr>
            <w:tcW w:w="3240" w:type="dxa"/>
            <w:tcBorders>
              <w:top w:val="single" w:sz="4" w:space="0" w:color="auto"/>
              <w:left w:val="single" w:sz="4" w:space="0" w:color="auto"/>
              <w:bottom w:val="single" w:sz="4" w:space="0" w:color="auto"/>
              <w:right w:val="nil"/>
            </w:tcBorders>
            <w:vAlign w:val="bottom"/>
            <w:hideMark/>
          </w:tcPr>
          <w:p w:rsidR="00B32E1E" w:rsidRPr="00815239" w:rsidP="00D72EFC" w14:paraId="59DC794C" w14:textId="3E952750">
            <w:pPr>
              <w:widowControl/>
              <w:autoSpaceDE/>
              <w:autoSpaceDN/>
              <w:adjustRightInd/>
              <w:rPr>
                <w:szCs w:val="20"/>
              </w:rPr>
            </w:pPr>
            <w:r w:rsidRPr="00815239">
              <w:rPr>
                <w:szCs w:val="20"/>
              </w:rPr>
              <w:t>HHAs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7A264687" w14:textId="77777777">
            <w:pPr>
              <w:widowControl/>
              <w:autoSpaceDE/>
              <w:autoSpaceDN/>
              <w:adjustRightInd/>
              <w:rPr>
                <w:color w:val="000000"/>
                <w:sz w:val="18"/>
                <w:szCs w:val="18"/>
              </w:rPr>
            </w:pPr>
            <w:r w:rsidRPr="00B32E1E">
              <w:rPr>
                <w:color w:val="000000"/>
                <w:sz w:val="18"/>
                <w:szCs w:val="18"/>
              </w:rPr>
              <w:t>§ 484.102(d)(2)</w:t>
            </w:r>
          </w:p>
        </w:tc>
        <w:tc>
          <w:tcPr>
            <w:tcW w:w="1306" w:type="dxa"/>
            <w:tcBorders>
              <w:top w:val="single" w:sz="4" w:space="0" w:color="auto"/>
              <w:left w:val="nil"/>
              <w:bottom w:val="single" w:sz="4" w:space="0" w:color="auto"/>
              <w:right w:val="single" w:sz="4" w:space="0" w:color="auto"/>
            </w:tcBorders>
            <w:noWrap/>
            <w:vAlign w:val="bottom"/>
            <w:hideMark/>
          </w:tcPr>
          <w:p w:rsidR="00B32E1E" w:rsidRPr="00815239" w:rsidP="00D72EFC" w14:paraId="296C94CB" w14:textId="77777777">
            <w:pPr>
              <w:widowControl/>
              <w:autoSpaceDE/>
              <w:autoSpaceDN/>
              <w:adjustRightInd/>
              <w:jc w:val="center"/>
              <w:rPr>
                <w:color w:val="000000"/>
                <w:szCs w:val="20"/>
              </w:rPr>
            </w:pPr>
            <w:r w:rsidRPr="00815239">
              <w:rPr>
                <w:color w:val="000000"/>
                <w:szCs w:val="20"/>
              </w:rPr>
              <w:t>8,925</w:t>
            </w:r>
          </w:p>
        </w:tc>
        <w:tc>
          <w:tcPr>
            <w:tcW w:w="1094" w:type="dxa"/>
            <w:tcBorders>
              <w:top w:val="single" w:sz="4" w:space="0" w:color="auto"/>
              <w:left w:val="nil"/>
              <w:bottom w:val="single" w:sz="4" w:space="0" w:color="auto"/>
              <w:right w:val="single" w:sz="4" w:space="0" w:color="auto"/>
            </w:tcBorders>
            <w:noWrap/>
            <w:vAlign w:val="bottom"/>
            <w:hideMark/>
          </w:tcPr>
          <w:p w:rsidR="00B32E1E" w:rsidRPr="00815239" w:rsidP="00D72EFC" w14:paraId="4594EB04" w14:textId="77777777">
            <w:pPr>
              <w:widowControl/>
              <w:autoSpaceDE/>
              <w:autoSpaceDN/>
              <w:adjustRightInd/>
              <w:jc w:val="center"/>
              <w:rPr>
                <w:color w:val="000000"/>
                <w:szCs w:val="20"/>
              </w:rPr>
            </w:pPr>
            <w:r w:rsidRPr="00815239">
              <w:rPr>
                <w:color w:val="000000"/>
                <w:szCs w:val="20"/>
              </w:rPr>
              <w:t>8</w:t>
            </w:r>
            <w:r>
              <w:rPr>
                <w:color w:val="000000"/>
                <w:szCs w:val="20"/>
              </w:rPr>
              <w:t>,</w:t>
            </w:r>
            <w:r w:rsidRPr="00815239">
              <w:rPr>
                <w:color w:val="000000"/>
                <w:szCs w:val="20"/>
              </w:rPr>
              <w:t>925</w:t>
            </w:r>
          </w:p>
        </w:tc>
        <w:tc>
          <w:tcPr>
            <w:tcW w:w="1017" w:type="dxa"/>
            <w:tcBorders>
              <w:top w:val="single" w:sz="4" w:space="0" w:color="auto"/>
              <w:left w:val="nil"/>
              <w:bottom w:val="single" w:sz="4" w:space="0" w:color="auto"/>
              <w:right w:val="single" w:sz="4" w:space="0" w:color="auto"/>
            </w:tcBorders>
            <w:vAlign w:val="bottom"/>
            <w:hideMark/>
          </w:tcPr>
          <w:p w:rsidR="00B32E1E" w:rsidRPr="00815239" w:rsidP="00D72EFC" w14:paraId="7D08C5ED" w14:textId="38D96F23">
            <w:pPr>
              <w:widowControl/>
              <w:autoSpaceDE/>
              <w:autoSpaceDN/>
              <w:adjustRightInd/>
              <w:jc w:val="center"/>
              <w:rPr>
                <w:color w:val="000000"/>
                <w:szCs w:val="20"/>
              </w:rPr>
            </w:pPr>
            <w:r w:rsidRPr="00815239">
              <w:rPr>
                <w:color w:val="000000"/>
                <w:szCs w:val="20"/>
              </w:rPr>
              <w:t>3</w:t>
            </w:r>
          </w:p>
        </w:tc>
        <w:tc>
          <w:tcPr>
            <w:tcW w:w="1083" w:type="dxa"/>
            <w:tcBorders>
              <w:top w:val="single" w:sz="4" w:space="0" w:color="auto"/>
              <w:left w:val="nil"/>
              <w:bottom w:val="single" w:sz="4" w:space="0" w:color="auto"/>
              <w:right w:val="nil"/>
            </w:tcBorders>
            <w:noWrap/>
            <w:vAlign w:val="bottom"/>
            <w:hideMark/>
          </w:tcPr>
          <w:p w:rsidR="00B32E1E" w:rsidRPr="00815239" w:rsidP="00D72EFC" w14:paraId="549E0E41" w14:textId="77777777">
            <w:pPr>
              <w:widowControl/>
              <w:autoSpaceDE/>
              <w:autoSpaceDN/>
              <w:adjustRightInd/>
              <w:jc w:val="center"/>
              <w:rPr>
                <w:color w:val="000000"/>
                <w:szCs w:val="20"/>
              </w:rPr>
            </w:pPr>
            <w:r w:rsidRPr="00815239">
              <w:rPr>
                <w:color w:val="000000"/>
                <w:szCs w:val="20"/>
              </w:rPr>
              <w:t>31,238</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B32E1E" w:rsidRPr="00815239" w:rsidP="00D72EFC" w14:paraId="4E95C8E0" w14:textId="77777777">
            <w:pPr>
              <w:widowControl/>
              <w:autoSpaceDE/>
              <w:autoSpaceDN/>
              <w:adjustRightInd/>
              <w:jc w:val="center"/>
              <w:rPr>
                <w:color w:val="000000"/>
                <w:szCs w:val="20"/>
              </w:rPr>
            </w:pPr>
            <w:r w:rsidRPr="009B1279">
              <w:rPr>
                <w:color w:val="000000"/>
                <w:szCs w:val="20"/>
              </w:rPr>
              <w:t>**</w:t>
            </w:r>
          </w:p>
        </w:tc>
        <w:tc>
          <w:tcPr>
            <w:tcW w:w="1512" w:type="dxa"/>
            <w:tcBorders>
              <w:top w:val="single" w:sz="4" w:space="0" w:color="auto"/>
              <w:left w:val="nil"/>
              <w:bottom w:val="single" w:sz="4" w:space="0" w:color="auto"/>
              <w:right w:val="single" w:sz="4" w:space="0" w:color="auto"/>
            </w:tcBorders>
            <w:noWrap/>
            <w:vAlign w:val="bottom"/>
            <w:hideMark/>
          </w:tcPr>
          <w:p w:rsidR="00B32E1E" w:rsidRPr="00815239" w:rsidP="00D72EFC" w14:paraId="63481D7A" w14:textId="77777777">
            <w:pPr>
              <w:widowControl/>
              <w:autoSpaceDE/>
              <w:autoSpaceDN/>
              <w:adjustRightInd/>
              <w:jc w:val="right"/>
              <w:rPr>
                <w:color w:val="000000"/>
                <w:szCs w:val="20"/>
              </w:rPr>
            </w:pPr>
            <w:r w:rsidRPr="00815239">
              <w:rPr>
                <w:color w:val="000000"/>
                <w:szCs w:val="20"/>
              </w:rPr>
              <w:t>$10,027,238</w:t>
            </w:r>
          </w:p>
        </w:tc>
      </w:tr>
      <w:tr w14:paraId="31F41398"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1170898E" w14:textId="0831F860">
            <w:pPr>
              <w:widowControl/>
              <w:autoSpaceDE/>
              <w:autoSpaceDN/>
              <w:adjustRightInd/>
              <w:jc w:val="center"/>
              <w:rPr>
                <w:color w:val="000000"/>
                <w:szCs w:val="20"/>
              </w:rPr>
            </w:pPr>
            <w:r>
              <w:rPr>
                <w:color w:val="000000"/>
                <w:szCs w:val="20"/>
              </w:rPr>
              <w:t>13</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6C52E913" w14:textId="7B83FC3C">
            <w:pPr>
              <w:widowControl/>
              <w:autoSpaceDE/>
              <w:autoSpaceDN/>
              <w:adjustRightInd/>
              <w:rPr>
                <w:color w:val="000000"/>
                <w:szCs w:val="20"/>
              </w:rPr>
            </w:pPr>
            <w:r w:rsidRPr="00815239">
              <w:rPr>
                <w:color w:val="000000"/>
                <w:szCs w:val="20"/>
              </w:rPr>
              <w:t>Hospices</w:t>
            </w:r>
            <w:r>
              <w:rPr>
                <w:color w:val="000000"/>
                <w:szCs w:val="20"/>
              </w:rPr>
              <w:t xml:space="preserve"> - </w:t>
            </w:r>
            <w:r w:rsidRPr="00815239">
              <w:rPr>
                <w:color w:val="000000"/>
                <w:szCs w:val="20"/>
              </w:rPr>
              <w:t>Outpatient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43C47F74" w14:textId="77777777">
            <w:pPr>
              <w:widowControl/>
              <w:autoSpaceDE/>
              <w:autoSpaceDN/>
              <w:adjustRightInd/>
              <w:rPr>
                <w:color w:val="000000"/>
                <w:sz w:val="18"/>
                <w:szCs w:val="18"/>
              </w:rPr>
            </w:pPr>
            <w:r w:rsidRPr="00B32E1E">
              <w:rPr>
                <w:color w:val="000000"/>
                <w:sz w:val="18"/>
                <w:szCs w:val="18"/>
              </w:rPr>
              <w:t>§ 418.113(d)(2)</w:t>
            </w:r>
          </w:p>
        </w:tc>
        <w:tc>
          <w:tcPr>
            <w:tcW w:w="1306" w:type="dxa"/>
            <w:tcBorders>
              <w:top w:val="single" w:sz="4" w:space="0" w:color="auto"/>
              <w:left w:val="nil"/>
              <w:bottom w:val="single" w:sz="4" w:space="0" w:color="auto"/>
              <w:right w:val="single" w:sz="4" w:space="0" w:color="auto"/>
            </w:tcBorders>
            <w:noWrap/>
            <w:vAlign w:val="bottom"/>
            <w:hideMark/>
          </w:tcPr>
          <w:p w:rsidR="00B32E1E" w:rsidRPr="00815239" w:rsidP="00D72EFC" w14:paraId="645A613A" w14:textId="77777777">
            <w:pPr>
              <w:widowControl/>
              <w:autoSpaceDE/>
              <w:autoSpaceDN/>
              <w:adjustRightInd/>
              <w:jc w:val="center"/>
              <w:rPr>
                <w:color w:val="000000"/>
                <w:szCs w:val="20"/>
              </w:rPr>
            </w:pPr>
            <w:r w:rsidRPr="00815239">
              <w:rPr>
                <w:color w:val="000000"/>
                <w:szCs w:val="20"/>
              </w:rPr>
              <w:t>5,732</w:t>
            </w:r>
          </w:p>
        </w:tc>
        <w:tc>
          <w:tcPr>
            <w:tcW w:w="1094" w:type="dxa"/>
            <w:tcBorders>
              <w:top w:val="single" w:sz="4" w:space="0" w:color="auto"/>
              <w:left w:val="nil"/>
              <w:bottom w:val="single" w:sz="4" w:space="0" w:color="auto"/>
              <w:right w:val="single" w:sz="4" w:space="0" w:color="auto"/>
            </w:tcBorders>
            <w:noWrap/>
            <w:vAlign w:val="bottom"/>
            <w:hideMark/>
          </w:tcPr>
          <w:p w:rsidR="00B32E1E" w:rsidRPr="00815239" w:rsidP="00D72EFC" w14:paraId="7A50D0F9" w14:textId="77777777">
            <w:pPr>
              <w:widowControl/>
              <w:autoSpaceDE/>
              <w:autoSpaceDN/>
              <w:adjustRightInd/>
              <w:jc w:val="center"/>
              <w:rPr>
                <w:color w:val="000000"/>
                <w:szCs w:val="20"/>
              </w:rPr>
            </w:pPr>
            <w:r w:rsidRPr="00815239">
              <w:rPr>
                <w:color w:val="000000"/>
                <w:szCs w:val="20"/>
              </w:rPr>
              <w:t>5</w:t>
            </w:r>
            <w:r>
              <w:rPr>
                <w:color w:val="000000"/>
                <w:szCs w:val="20"/>
              </w:rPr>
              <w:t>,</w:t>
            </w:r>
            <w:r w:rsidRPr="00815239">
              <w:rPr>
                <w:color w:val="000000"/>
                <w:szCs w:val="20"/>
              </w:rPr>
              <w:t>732</w:t>
            </w:r>
          </w:p>
        </w:tc>
        <w:tc>
          <w:tcPr>
            <w:tcW w:w="1017" w:type="dxa"/>
            <w:tcBorders>
              <w:top w:val="single" w:sz="4" w:space="0" w:color="auto"/>
              <w:left w:val="nil"/>
              <w:bottom w:val="single" w:sz="4" w:space="0" w:color="auto"/>
              <w:right w:val="single" w:sz="4" w:space="0" w:color="auto"/>
            </w:tcBorders>
            <w:vAlign w:val="bottom"/>
            <w:hideMark/>
          </w:tcPr>
          <w:p w:rsidR="00B32E1E" w:rsidRPr="00815239" w:rsidP="00D72EFC" w14:paraId="096DD7AC" w14:textId="1BC0D98D">
            <w:pPr>
              <w:widowControl/>
              <w:autoSpaceDE/>
              <w:autoSpaceDN/>
              <w:adjustRightInd/>
              <w:jc w:val="center"/>
              <w:rPr>
                <w:color w:val="000000"/>
                <w:szCs w:val="20"/>
              </w:rPr>
            </w:pPr>
            <w:r w:rsidRPr="00815239">
              <w:rPr>
                <w:color w:val="000000"/>
                <w:szCs w:val="20"/>
              </w:rPr>
              <w:t>2</w:t>
            </w:r>
          </w:p>
        </w:tc>
        <w:tc>
          <w:tcPr>
            <w:tcW w:w="1083" w:type="dxa"/>
            <w:tcBorders>
              <w:top w:val="single" w:sz="4" w:space="0" w:color="auto"/>
              <w:left w:val="nil"/>
              <w:bottom w:val="single" w:sz="4" w:space="0" w:color="auto"/>
              <w:right w:val="nil"/>
            </w:tcBorders>
            <w:noWrap/>
            <w:vAlign w:val="bottom"/>
            <w:hideMark/>
          </w:tcPr>
          <w:p w:rsidR="00B32E1E" w:rsidRPr="00815239" w:rsidP="00D72EFC" w14:paraId="55F794A9" w14:textId="77777777">
            <w:pPr>
              <w:widowControl/>
              <w:autoSpaceDE/>
              <w:autoSpaceDN/>
              <w:adjustRightInd/>
              <w:jc w:val="center"/>
              <w:rPr>
                <w:color w:val="000000"/>
                <w:szCs w:val="20"/>
              </w:rPr>
            </w:pPr>
            <w:r w:rsidRPr="00815239">
              <w:rPr>
                <w:color w:val="000000"/>
                <w:szCs w:val="20"/>
              </w:rPr>
              <w:t>11,464</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B32E1E" w:rsidRPr="00815239" w:rsidP="00D72EFC" w14:paraId="160EF38F" w14:textId="77777777">
            <w:pPr>
              <w:widowControl/>
              <w:autoSpaceDE/>
              <w:autoSpaceDN/>
              <w:adjustRightInd/>
              <w:jc w:val="center"/>
              <w:rPr>
                <w:color w:val="000000"/>
                <w:szCs w:val="20"/>
              </w:rPr>
            </w:pPr>
            <w:r w:rsidRPr="009B1279">
              <w:rPr>
                <w:color w:val="000000"/>
                <w:szCs w:val="20"/>
              </w:rPr>
              <w:t>**</w:t>
            </w:r>
          </w:p>
        </w:tc>
        <w:tc>
          <w:tcPr>
            <w:tcW w:w="1512" w:type="dxa"/>
            <w:tcBorders>
              <w:top w:val="single" w:sz="4" w:space="0" w:color="auto"/>
              <w:left w:val="nil"/>
              <w:bottom w:val="single" w:sz="4" w:space="0" w:color="auto"/>
              <w:right w:val="single" w:sz="4" w:space="0" w:color="auto"/>
            </w:tcBorders>
            <w:noWrap/>
            <w:vAlign w:val="bottom"/>
            <w:hideMark/>
          </w:tcPr>
          <w:p w:rsidR="00B32E1E" w:rsidRPr="00815239" w:rsidP="00D72EFC" w14:paraId="56A27875" w14:textId="77777777">
            <w:pPr>
              <w:widowControl/>
              <w:autoSpaceDE/>
              <w:autoSpaceDN/>
              <w:adjustRightInd/>
              <w:jc w:val="right"/>
              <w:rPr>
                <w:color w:val="000000"/>
                <w:szCs w:val="20"/>
              </w:rPr>
            </w:pPr>
            <w:r w:rsidRPr="00815239">
              <w:rPr>
                <w:color w:val="000000"/>
                <w:szCs w:val="20"/>
              </w:rPr>
              <w:t>$3,679,944</w:t>
            </w:r>
          </w:p>
        </w:tc>
      </w:tr>
      <w:tr w14:paraId="61E4E47D"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7D6F4B66" w14:textId="5243D05A">
            <w:pPr>
              <w:widowControl/>
              <w:autoSpaceDE/>
              <w:autoSpaceDN/>
              <w:adjustRightInd/>
              <w:jc w:val="center"/>
              <w:rPr>
                <w:szCs w:val="20"/>
              </w:rPr>
            </w:pPr>
            <w:r>
              <w:rPr>
                <w:szCs w:val="20"/>
              </w:rPr>
              <w:t>14</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D72EFC" w14:paraId="7BA0880E" w14:textId="2559B486">
            <w:pPr>
              <w:widowControl/>
              <w:autoSpaceDE/>
              <w:autoSpaceDN/>
              <w:adjustRightInd/>
              <w:rPr>
                <w:szCs w:val="20"/>
              </w:rPr>
            </w:pPr>
            <w:r w:rsidRPr="00815239">
              <w:rPr>
                <w:szCs w:val="20"/>
              </w:rPr>
              <w:t>OPOs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D72EFC" w14:paraId="5890791F" w14:textId="77777777">
            <w:pPr>
              <w:widowControl/>
              <w:autoSpaceDE/>
              <w:autoSpaceDN/>
              <w:adjustRightInd/>
              <w:rPr>
                <w:color w:val="000000"/>
                <w:sz w:val="18"/>
                <w:szCs w:val="18"/>
              </w:rPr>
            </w:pPr>
            <w:r w:rsidRPr="00B32E1E">
              <w:rPr>
                <w:color w:val="000000"/>
                <w:sz w:val="18"/>
                <w:szCs w:val="18"/>
              </w:rPr>
              <w:t>§ 486.360(d)(2)</w:t>
            </w:r>
          </w:p>
        </w:tc>
        <w:tc>
          <w:tcPr>
            <w:tcW w:w="1306" w:type="dxa"/>
            <w:tcBorders>
              <w:top w:val="nil"/>
              <w:left w:val="nil"/>
              <w:bottom w:val="single" w:sz="4" w:space="0" w:color="auto"/>
              <w:right w:val="single" w:sz="4" w:space="0" w:color="auto"/>
            </w:tcBorders>
            <w:noWrap/>
            <w:vAlign w:val="bottom"/>
            <w:hideMark/>
          </w:tcPr>
          <w:p w:rsidR="00B32E1E" w:rsidRPr="00815239" w:rsidP="00D72EFC" w14:paraId="398373CD" w14:textId="77777777">
            <w:pPr>
              <w:widowControl/>
              <w:autoSpaceDE/>
              <w:autoSpaceDN/>
              <w:adjustRightInd/>
              <w:jc w:val="center"/>
              <w:rPr>
                <w:color w:val="000000"/>
                <w:szCs w:val="20"/>
              </w:rPr>
            </w:pPr>
            <w:r w:rsidRPr="00815239">
              <w:rPr>
                <w:color w:val="000000"/>
                <w:szCs w:val="20"/>
              </w:rPr>
              <w:t>57</w:t>
            </w:r>
          </w:p>
        </w:tc>
        <w:tc>
          <w:tcPr>
            <w:tcW w:w="1094" w:type="dxa"/>
            <w:tcBorders>
              <w:top w:val="nil"/>
              <w:left w:val="nil"/>
              <w:bottom w:val="single" w:sz="4" w:space="0" w:color="auto"/>
              <w:right w:val="single" w:sz="4" w:space="0" w:color="auto"/>
            </w:tcBorders>
            <w:noWrap/>
            <w:vAlign w:val="bottom"/>
            <w:hideMark/>
          </w:tcPr>
          <w:p w:rsidR="00B32E1E" w:rsidRPr="00815239" w:rsidP="00D72EFC" w14:paraId="02FE5BA3" w14:textId="77777777">
            <w:pPr>
              <w:widowControl/>
              <w:autoSpaceDE/>
              <w:autoSpaceDN/>
              <w:adjustRightInd/>
              <w:jc w:val="center"/>
              <w:rPr>
                <w:color w:val="000000"/>
                <w:szCs w:val="20"/>
              </w:rPr>
            </w:pPr>
            <w:r w:rsidRPr="00815239">
              <w:rPr>
                <w:color w:val="000000"/>
                <w:szCs w:val="20"/>
              </w:rPr>
              <w:t>57</w:t>
            </w:r>
          </w:p>
        </w:tc>
        <w:tc>
          <w:tcPr>
            <w:tcW w:w="1017" w:type="dxa"/>
            <w:tcBorders>
              <w:top w:val="nil"/>
              <w:left w:val="nil"/>
              <w:bottom w:val="single" w:sz="4" w:space="0" w:color="auto"/>
              <w:right w:val="single" w:sz="4" w:space="0" w:color="auto"/>
            </w:tcBorders>
            <w:vAlign w:val="bottom"/>
            <w:hideMark/>
          </w:tcPr>
          <w:p w:rsidR="00B32E1E" w:rsidRPr="00815239" w:rsidP="00D72EFC" w14:paraId="730E3FB9" w14:textId="77777777">
            <w:pPr>
              <w:widowControl/>
              <w:autoSpaceDE/>
              <w:autoSpaceDN/>
              <w:adjustRightInd/>
              <w:jc w:val="center"/>
              <w:rPr>
                <w:color w:val="000000"/>
                <w:szCs w:val="20"/>
              </w:rPr>
            </w:pPr>
            <w:r w:rsidRPr="00815239">
              <w:rPr>
                <w:color w:val="000000"/>
                <w:szCs w:val="20"/>
              </w:rPr>
              <w:t>2.5</w:t>
            </w:r>
          </w:p>
        </w:tc>
        <w:tc>
          <w:tcPr>
            <w:tcW w:w="1083" w:type="dxa"/>
            <w:tcBorders>
              <w:top w:val="nil"/>
              <w:left w:val="nil"/>
              <w:bottom w:val="single" w:sz="4" w:space="0" w:color="auto"/>
              <w:right w:val="nil"/>
            </w:tcBorders>
            <w:noWrap/>
            <w:vAlign w:val="bottom"/>
            <w:hideMark/>
          </w:tcPr>
          <w:p w:rsidR="00B32E1E" w:rsidRPr="00815239" w:rsidP="00D72EFC" w14:paraId="04AF8F4E" w14:textId="77777777">
            <w:pPr>
              <w:widowControl/>
              <w:autoSpaceDE/>
              <w:autoSpaceDN/>
              <w:adjustRightInd/>
              <w:jc w:val="center"/>
              <w:rPr>
                <w:color w:val="000000"/>
                <w:szCs w:val="20"/>
              </w:rPr>
            </w:pPr>
            <w:r w:rsidRPr="00815239">
              <w:rPr>
                <w:color w:val="000000"/>
                <w:szCs w:val="20"/>
              </w:rPr>
              <w:t>143</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D72EFC" w14:paraId="5E194786" w14:textId="77777777">
            <w:pPr>
              <w:widowControl/>
              <w:autoSpaceDE/>
              <w:autoSpaceDN/>
              <w:adjustRightInd/>
              <w:jc w:val="center"/>
              <w:rPr>
                <w:color w:val="000000"/>
                <w:szCs w:val="20"/>
              </w:rPr>
            </w:pPr>
            <w:r w:rsidRPr="009B1279">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D72EFC" w14:paraId="0AD9D59F" w14:textId="77777777">
            <w:pPr>
              <w:widowControl/>
              <w:autoSpaceDE/>
              <w:autoSpaceDN/>
              <w:adjustRightInd/>
              <w:jc w:val="right"/>
              <w:rPr>
                <w:color w:val="000000"/>
                <w:szCs w:val="20"/>
              </w:rPr>
            </w:pPr>
            <w:r w:rsidRPr="00815239">
              <w:rPr>
                <w:color w:val="000000"/>
                <w:szCs w:val="20"/>
              </w:rPr>
              <w:t>$45,743</w:t>
            </w:r>
          </w:p>
        </w:tc>
      </w:tr>
      <w:tr w14:paraId="48A5D858" w14:textId="77777777" w:rsidTr="00037F27">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P="00B32E1E" w14:paraId="40423CC3" w14:textId="6ED8E757">
            <w:pPr>
              <w:widowControl/>
              <w:autoSpaceDE/>
              <w:autoSpaceDN/>
              <w:adjustRightInd/>
              <w:jc w:val="center"/>
              <w:rPr>
                <w:szCs w:val="20"/>
              </w:rPr>
            </w:pPr>
            <w:r>
              <w:rPr>
                <w:szCs w:val="20"/>
              </w:rPr>
              <w:t>15</w:t>
            </w:r>
          </w:p>
        </w:tc>
        <w:tc>
          <w:tcPr>
            <w:tcW w:w="3240" w:type="dxa"/>
            <w:tcBorders>
              <w:top w:val="single" w:sz="4" w:space="0" w:color="auto"/>
              <w:left w:val="single" w:sz="4" w:space="0" w:color="auto"/>
              <w:bottom w:val="single" w:sz="4" w:space="0" w:color="auto"/>
              <w:right w:val="single" w:sz="4" w:space="0" w:color="auto"/>
            </w:tcBorders>
            <w:vAlign w:val="bottom"/>
          </w:tcPr>
          <w:p w:rsidR="00B32E1E" w:rsidRPr="00DA22C6" w:rsidP="00B32E1E" w14:paraId="4A25EB71" w14:textId="31AC7647">
            <w:pPr>
              <w:widowControl/>
              <w:autoSpaceDE/>
              <w:autoSpaceDN/>
              <w:adjustRightInd/>
              <w:rPr>
                <w:color w:val="000000"/>
                <w:szCs w:val="20"/>
              </w:rPr>
            </w:pPr>
            <w:r>
              <w:rPr>
                <w:szCs w:val="20"/>
              </w:rPr>
              <w:t>“Organizations”</w:t>
            </w:r>
          </w:p>
        </w:tc>
        <w:tc>
          <w:tcPr>
            <w:tcW w:w="1440" w:type="dxa"/>
            <w:tcBorders>
              <w:top w:val="single" w:sz="4" w:space="0" w:color="auto"/>
              <w:left w:val="single" w:sz="4" w:space="0" w:color="auto"/>
              <w:bottom w:val="single" w:sz="4" w:space="0" w:color="auto"/>
              <w:right w:val="single" w:sz="4" w:space="0" w:color="auto"/>
            </w:tcBorders>
            <w:noWrap/>
            <w:vAlign w:val="bottom"/>
          </w:tcPr>
          <w:p w:rsidR="00B32E1E" w:rsidRPr="00B32E1E" w:rsidP="00B32E1E" w14:paraId="2BC63933" w14:textId="6E5FB5A5">
            <w:pPr>
              <w:widowControl/>
              <w:autoSpaceDE/>
              <w:autoSpaceDN/>
              <w:adjustRightInd/>
              <w:rPr>
                <w:color w:val="000000"/>
                <w:sz w:val="18"/>
                <w:szCs w:val="18"/>
              </w:rPr>
            </w:pPr>
            <w:r w:rsidRPr="00B32E1E">
              <w:rPr>
                <w:color w:val="000000"/>
                <w:sz w:val="18"/>
                <w:szCs w:val="18"/>
              </w:rPr>
              <w:t>§ 485.727(d)(2)</w:t>
            </w:r>
          </w:p>
        </w:tc>
        <w:tc>
          <w:tcPr>
            <w:tcW w:w="1306" w:type="dxa"/>
            <w:tcBorders>
              <w:top w:val="nil"/>
              <w:left w:val="nil"/>
              <w:bottom w:val="single" w:sz="4" w:space="0" w:color="auto"/>
              <w:right w:val="single" w:sz="4" w:space="0" w:color="auto"/>
            </w:tcBorders>
            <w:noWrap/>
            <w:vAlign w:val="bottom"/>
          </w:tcPr>
          <w:p w:rsidR="00B32E1E" w:rsidRPr="00815239" w:rsidP="00B32E1E" w14:paraId="6E8D29A0" w14:textId="68C88050">
            <w:pPr>
              <w:widowControl/>
              <w:autoSpaceDE/>
              <w:autoSpaceDN/>
              <w:adjustRightInd/>
              <w:jc w:val="center"/>
              <w:rPr>
                <w:color w:val="000000"/>
                <w:szCs w:val="20"/>
              </w:rPr>
            </w:pPr>
            <w:r w:rsidRPr="00815239">
              <w:rPr>
                <w:color w:val="000000"/>
                <w:szCs w:val="20"/>
              </w:rPr>
              <w:t>1,996</w:t>
            </w:r>
          </w:p>
        </w:tc>
        <w:tc>
          <w:tcPr>
            <w:tcW w:w="1094" w:type="dxa"/>
            <w:tcBorders>
              <w:top w:val="nil"/>
              <w:left w:val="nil"/>
              <w:bottom w:val="single" w:sz="4" w:space="0" w:color="auto"/>
              <w:right w:val="single" w:sz="4" w:space="0" w:color="auto"/>
            </w:tcBorders>
            <w:noWrap/>
            <w:vAlign w:val="bottom"/>
          </w:tcPr>
          <w:p w:rsidR="00B32E1E" w:rsidRPr="00815239" w:rsidP="00B32E1E" w14:paraId="3882BFA2" w14:textId="6EEF6330">
            <w:pPr>
              <w:widowControl/>
              <w:autoSpaceDE/>
              <w:autoSpaceDN/>
              <w:adjustRightInd/>
              <w:jc w:val="center"/>
              <w:rPr>
                <w:color w:val="000000"/>
                <w:szCs w:val="20"/>
              </w:rPr>
            </w:pPr>
            <w:r w:rsidRPr="00815239">
              <w:rPr>
                <w:color w:val="000000"/>
                <w:szCs w:val="20"/>
              </w:rPr>
              <w:t>1</w:t>
            </w:r>
            <w:r>
              <w:rPr>
                <w:color w:val="000000"/>
                <w:szCs w:val="20"/>
              </w:rPr>
              <w:t>,</w:t>
            </w:r>
            <w:r w:rsidRPr="00815239">
              <w:rPr>
                <w:color w:val="000000"/>
                <w:szCs w:val="20"/>
              </w:rPr>
              <w:t>996</w:t>
            </w:r>
          </w:p>
        </w:tc>
        <w:tc>
          <w:tcPr>
            <w:tcW w:w="1017" w:type="dxa"/>
            <w:tcBorders>
              <w:top w:val="nil"/>
              <w:left w:val="nil"/>
              <w:bottom w:val="single" w:sz="4" w:space="0" w:color="auto"/>
              <w:right w:val="single" w:sz="4" w:space="0" w:color="auto"/>
            </w:tcBorders>
            <w:vAlign w:val="bottom"/>
          </w:tcPr>
          <w:p w:rsidR="00B32E1E" w:rsidRPr="00815239" w:rsidP="00B32E1E" w14:paraId="0AFE81E5" w14:textId="70BD1861">
            <w:pPr>
              <w:widowControl/>
              <w:autoSpaceDE/>
              <w:autoSpaceDN/>
              <w:adjustRightInd/>
              <w:jc w:val="center"/>
              <w:rPr>
                <w:color w:val="000000"/>
                <w:szCs w:val="20"/>
              </w:rPr>
            </w:pPr>
            <w:r w:rsidRPr="00815239">
              <w:rPr>
                <w:color w:val="000000"/>
                <w:szCs w:val="20"/>
              </w:rPr>
              <w:t>1.5</w:t>
            </w:r>
          </w:p>
        </w:tc>
        <w:tc>
          <w:tcPr>
            <w:tcW w:w="1083" w:type="dxa"/>
            <w:tcBorders>
              <w:top w:val="nil"/>
              <w:left w:val="nil"/>
              <w:bottom w:val="single" w:sz="4" w:space="0" w:color="auto"/>
              <w:right w:val="nil"/>
            </w:tcBorders>
            <w:noWrap/>
            <w:vAlign w:val="bottom"/>
          </w:tcPr>
          <w:p w:rsidR="00B32E1E" w:rsidRPr="00815239" w:rsidP="00B32E1E" w14:paraId="60C9F213" w14:textId="215D2977">
            <w:pPr>
              <w:widowControl/>
              <w:autoSpaceDE/>
              <w:autoSpaceDN/>
              <w:adjustRightInd/>
              <w:jc w:val="center"/>
              <w:rPr>
                <w:color w:val="000000"/>
                <w:szCs w:val="20"/>
              </w:rPr>
            </w:pPr>
            <w:r w:rsidRPr="00815239">
              <w:rPr>
                <w:color w:val="000000"/>
                <w:szCs w:val="20"/>
              </w:rPr>
              <w:t>2,994</w:t>
            </w:r>
          </w:p>
        </w:tc>
        <w:tc>
          <w:tcPr>
            <w:tcW w:w="828" w:type="dxa"/>
            <w:tcBorders>
              <w:top w:val="nil"/>
              <w:left w:val="single" w:sz="4" w:space="0" w:color="auto"/>
              <w:bottom w:val="single" w:sz="4" w:space="0" w:color="auto"/>
              <w:right w:val="single" w:sz="4" w:space="0" w:color="auto"/>
            </w:tcBorders>
            <w:noWrap/>
            <w:vAlign w:val="center"/>
          </w:tcPr>
          <w:p w:rsidR="00B32E1E" w:rsidRPr="009B1279" w:rsidP="00B32E1E" w14:paraId="3E58B279" w14:textId="0E0C872F">
            <w:pPr>
              <w:widowControl/>
              <w:autoSpaceDE/>
              <w:autoSpaceDN/>
              <w:adjustRightInd/>
              <w:jc w:val="center"/>
              <w:rPr>
                <w:color w:val="000000"/>
                <w:szCs w:val="20"/>
              </w:rPr>
            </w:pPr>
            <w:r w:rsidRPr="009B1279">
              <w:rPr>
                <w:color w:val="000000"/>
                <w:szCs w:val="20"/>
              </w:rPr>
              <w:t>**</w:t>
            </w:r>
          </w:p>
        </w:tc>
        <w:tc>
          <w:tcPr>
            <w:tcW w:w="1512" w:type="dxa"/>
            <w:tcBorders>
              <w:top w:val="nil"/>
              <w:left w:val="nil"/>
              <w:bottom w:val="single" w:sz="4" w:space="0" w:color="auto"/>
              <w:right w:val="single" w:sz="4" w:space="0" w:color="auto"/>
            </w:tcBorders>
            <w:noWrap/>
            <w:vAlign w:val="bottom"/>
          </w:tcPr>
          <w:p w:rsidR="00B32E1E" w:rsidRPr="00815239" w:rsidP="00B32E1E" w14:paraId="6BC39130" w14:textId="11AADE75">
            <w:pPr>
              <w:widowControl/>
              <w:autoSpaceDE/>
              <w:autoSpaceDN/>
              <w:adjustRightInd/>
              <w:jc w:val="right"/>
              <w:rPr>
                <w:color w:val="000000"/>
                <w:szCs w:val="20"/>
              </w:rPr>
            </w:pPr>
            <w:r w:rsidRPr="00815239">
              <w:rPr>
                <w:color w:val="000000"/>
                <w:szCs w:val="20"/>
              </w:rPr>
              <w:t>$961,074</w:t>
            </w:r>
          </w:p>
        </w:tc>
      </w:tr>
      <w:tr w14:paraId="213EC26F" w14:textId="77777777" w:rsidTr="00F03863">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DA22C6" w:rsidP="00B32E1E" w14:paraId="5620AE1D" w14:textId="1338B5A4">
            <w:pPr>
              <w:widowControl/>
              <w:autoSpaceDE/>
              <w:autoSpaceDN/>
              <w:adjustRightInd/>
              <w:jc w:val="center"/>
              <w:rPr>
                <w:color w:val="000000"/>
                <w:szCs w:val="20"/>
              </w:rPr>
            </w:pPr>
            <w:r>
              <w:rPr>
                <w:color w:val="000000"/>
                <w:szCs w:val="20"/>
              </w:rPr>
              <w:t>16</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B32E1E" w14:paraId="251E844D" w14:textId="4821DCCE">
            <w:pPr>
              <w:widowControl/>
              <w:autoSpaceDE/>
              <w:autoSpaceDN/>
              <w:adjustRightInd/>
              <w:rPr>
                <w:color w:val="000000"/>
                <w:szCs w:val="20"/>
              </w:rPr>
            </w:pPr>
            <w:r w:rsidRPr="00DA22C6">
              <w:rPr>
                <w:color w:val="000000"/>
                <w:szCs w:val="20"/>
              </w:rPr>
              <w:t xml:space="preserve">PACE </w:t>
            </w:r>
            <w:r>
              <w:rPr>
                <w:color w:val="000000"/>
                <w:szCs w:val="20"/>
              </w:rPr>
              <w:t>O</w:t>
            </w:r>
            <w:r w:rsidRPr="00DA22C6">
              <w:rPr>
                <w:color w:val="000000"/>
                <w:szCs w:val="20"/>
              </w:rPr>
              <w:t>rganizations</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B32E1E" w14:paraId="1EC63F3D" w14:textId="77777777">
            <w:pPr>
              <w:widowControl/>
              <w:autoSpaceDE/>
              <w:autoSpaceDN/>
              <w:adjustRightInd/>
              <w:rPr>
                <w:color w:val="000000"/>
                <w:sz w:val="18"/>
                <w:szCs w:val="18"/>
              </w:rPr>
            </w:pPr>
            <w:r w:rsidRPr="00B32E1E">
              <w:rPr>
                <w:color w:val="000000"/>
                <w:sz w:val="18"/>
                <w:szCs w:val="18"/>
              </w:rPr>
              <w:t>§ 460.84(d)(2)</w:t>
            </w:r>
          </w:p>
        </w:tc>
        <w:tc>
          <w:tcPr>
            <w:tcW w:w="1306" w:type="dxa"/>
            <w:tcBorders>
              <w:top w:val="nil"/>
              <w:left w:val="nil"/>
              <w:bottom w:val="single" w:sz="4" w:space="0" w:color="auto"/>
              <w:right w:val="single" w:sz="4" w:space="0" w:color="auto"/>
            </w:tcBorders>
            <w:noWrap/>
            <w:vAlign w:val="bottom"/>
            <w:hideMark/>
          </w:tcPr>
          <w:p w:rsidR="00B32E1E" w:rsidRPr="00815239" w:rsidP="00B32E1E" w14:paraId="3674C2A7" w14:textId="77777777">
            <w:pPr>
              <w:widowControl/>
              <w:autoSpaceDE/>
              <w:autoSpaceDN/>
              <w:adjustRightInd/>
              <w:jc w:val="center"/>
              <w:rPr>
                <w:color w:val="000000"/>
                <w:szCs w:val="20"/>
              </w:rPr>
            </w:pPr>
            <w:r w:rsidRPr="00815239">
              <w:rPr>
                <w:color w:val="000000"/>
                <w:szCs w:val="20"/>
              </w:rPr>
              <w:t>148</w:t>
            </w:r>
          </w:p>
        </w:tc>
        <w:tc>
          <w:tcPr>
            <w:tcW w:w="1094" w:type="dxa"/>
            <w:tcBorders>
              <w:top w:val="nil"/>
              <w:left w:val="nil"/>
              <w:bottom w:val="single" w:sz="4" w:space="0" w:color="auto"/>
              <w:right w:val="single" w:sz="4" w:space="0" w:color="auto"/>
            </w:tcBorders>
            <w:noWrap/>
            <w:vAlign w:val="bottom"/>
            <w:hideMark/>
          </w:tcPr>
          <w:p w:rsidR="00B32E1E" w:rsidRPr="00815239" w:rsidP="00B32E1E" w14:paraId="385C630D" w14:textId="77777777">
            <w:pPr>
              <w:widowControl/>
              <w:autoSpaceDE/>
              <w:autoSpaceDN/>
              <w:adjustRightInd/>
              <w:jc w:val="center"/>
              <w:rPr>
                <w:color w:val="000000"/>
                <w:szCs w:val="20"/>
              </w:rPr>
            </w:pPr>
            <w:r w:rsidRPr="00815239">
              <w:rPr>
                <w:color w:val="000000"/>
                <w:szCs w:val="20"/>
              </w:rPr>
              <w:t>148</w:t>
            </w:r>
          </w:p>
        </w:tc>
        <w:tc>
          <w:tcPr>
            <w:tcW w:w="1017" w:type="dxa"/>
            <w:tcBorders>
              <w:top w:val="nil"/>
              <w:left w:val="nil"/>
              <w:bottom w:val="single" w:sz="4" w:space="0" w:color="auto"/>
              <w:right w:val="single" w:sz="4" w:space="0" w:color="auto"/>
            </w:tcBorders>
            <w:vAlign w:val="bottom"/>
            <w:hideMark/>
          </w:tcPr>
          <w:p w:rsidR="00B32E1E" w:rsidRPr="00815239" w:rsidP="00B32E1E" w14:paraId="4B50B028" w14:textId="77777777">
            <w:pPr>
              <w:widowControl/>
              <w:autoSpaceDE/>
              <w:autoSpaceDN/>
              <w:adjustRightInd/>
              <w:jc w:val="center"/>
              <w:rPr>
                <w:color w:val="000000"/>
                <w:szCs w:val="20"/>
              </w:rPr>
            </w:pPr>
            <w:r w:rsidRPr="00815239">
              <w:rPr>
                <w:color w:val="000000"/>
                <w:szCs w:val="20"/>
              </w:rPr>
              <w:t>2.5</w:t>
            </w:r>
          </w:p>
        </w:tc>
        <w:tc>
          <w:tcPr>
            <w:tcW w:w="1083" w:type="dxa"/>
            <w:tcBorders>
              <w:top w:val="nil"/>
              <w:left w:val="nil"/>
              <w:bottom w:val="single" w:sz="4" w:space="0" w:color="auto"/>
              <w:right w:val="nil"/>
            </w:tcBorders>
            <w:noWrap/>
            <w:vAlign w:val="bottom"/>
            <w:hideMark/>
          </w:tcPr>
          <w:p w:rsidR="00B32E1E" w:rsidRPr="00815239" w:rsidP="00B32E1E" w14:paraId="7182BE7A" w14:textId="77777777">
            <w:pPr>
              <w:widowControl/>
              <w:autoSpaceDE/>
              <w:autoSpaceDN/>
              <w:adjustRightInd/>
              <w:jc w:val="center"/>
              <w:rPr>
                <w:color w:val="000000"/>
                <w:szCs w:val="20"/>
              </w:rPr>
            </w:pPr>
            <w:r w:rsidRPr="00815239">
              <w:rPr>
                <w:color w:val="000000"/>
                <w:szCs w:val="20"/>
              </w:rPr>
              <w:t>370</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B32E1E" w14:paraId="3FD24741" w14:textId="77777777">
            <w:pPr>
              <w:widowControl/>
              <w:autoSpaceDE/>
              <w:autoSpaceDN/>
              <w:adjustRightInd/>
              <w:jc w:val="center"/>
              <w:rPr>
                <w:color w:val="000000"/>
                <w:szCs w:val="20"/>
              </w:rPr>
            </w:pPr>
            <w:r w:rsidRPr="009B1279">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B32E1E" w14:paraId="0104690D" w14:textId="77777777">
            <w:pPr>
              <w:widowControl/>
              <w:autoSpaceDE/>
              <w:autoSpaceDN/>
              <w:adjustRightInd/>
              <w:jc w:val="right"/>
              <w:rPr>
                <w:color w:val="000000"/>
                <w:szCs w:val="20"/>
              </w:rPr>
            </w:pPr>
            <w:r w:rsidRPr="00815239">
              <w:rPr>
                <w:color w:val="000000"/>
                <w:szCs w:val="20"/>
              </w:rPr>
              <w:t>$118,770</w:t>
            </w:r>
          </w:p>
        </w:tc>
      </w:tr>
      <w:tr w14:paraId="647DE390" w14:textId="77777777" w:rsidTr="00F03863">
        <w:tblPrEx>
          <w:tblW w:w="12060" w:type="dxa"/>
          <w:tblInd w:w="350" w:type="dxa"/>
          <w:tblLook w:val="04A0"/>
        </w:tblPrEx>
        <w:trPr>
          <w:trHeight w:val="318"/>
        </w:trPr>
        <w:tc>
          <w:tcPr>
            <w:tcW w:w="540" w:type="dxa"/>
            <w:tcBorders>
              <w:top w:val="single" w:sz="4" w:space="0" w:color="auto"/>
              <w:left w:val="single" w:sz="4" w:space="0" w:color="auto"/>
              <w:bottom w:val="single" w:sz="4" w:space="0" w:color="auto"/>
              <w:right w:val="single" w:sz="4" w:space="0" w:color="auto"/>
            </w:tcBorders>
            <w:vAlign w:val="center"/>
          </w:tcPr>
          <w:p w:rsidR="00B32E1E" w:rsidRPr="00815239" w:rsidP="00B32E1E" w14:paraId="13C4AFEF" w14:textId="68238D61">
            <w:pPr>
              <w:widowControl/>
              <w:autoSpaceDE/>
              <w:autoSpaceDN/>
              <w:adjustRightInd/>
              <w:jc w:val="center"/>
              <w:rPr>
                <w:szCs w:val="20"/>
              </w:rPr>
            </w:pPr>
            <w:r>
              <w:rPr>
                <w:szCs w:val="20"/>
              </w:rPr>
              <w:t>17</w:t>
            </w:r>
          </w:p>
        </w:tc>
        <w:tc>
          <w:tcPr>
            <w:tcW w:w="3240" w:type="dxa"/>
            <w:tcBorders>
              <w:top w:val="single" w:sz="4" w:space="0" w:color="auto"/>
              <w:left w:val="single" w:sz="4" w:space="0" w:color="auto"/>
              <w:bottom w:val="single" w:sz="4" w:space="0" w:color="auto"/>
              <w:right w:val="single" w:sz="4" w:space="0" w:color="auto"/>
            </w:tcBorders>
            <w:vAlign w:val="bottom"/>
            <w:hideMark/>
          </w:tcPr>
          <w:p w:rsidR="00B32E1E" w:rsidRPr="00815239" w:rsidP="00B32E1E" w14:paraId="1E385828" w14:textId="3EC4823A">
            <w:pPr>
              <w:widowControl/>
              <w:autoSpaceDE/>
              <w:autoSpaceDN/>
              <w:adjustRightInd/>
              <w:rPr>
                <w:szCs w:val="20"/>
              </w:rPr>
            </w:pPr>
            <w:r w:rsidRPr="00815239">
              <w:rPr>
                <w:szCs w:val="20"/>
              </w:rPr>
              <w:t xml:space="preserve">RHCs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B32E1E" w:rsidRPr="00B32E1E" w:rsidP="00B32E1E" w14:paraId="729ACB0C" w14:textId="77777777">
            <w:pPr>
              <w:widowControl/>
              <w:autoSpaceDE/>
              <w:autoSpaceDN/>
              <w:adjustRightInd/>
              <w:rPr>
                <w:color w:val="000000"/>
                <w:sz w:val="18"/>
                <w:szCs w:val="18"/>
              </w:rPr>
            </w:pPr>
            <w:r w:rsidRPr="00B32E1E">
              <w:rPr>
                <w:color w:val="000000"/>
                <w:sz w:val="18"/>
                <w:szCs w:val="18"/>
              </w:rPr>
              <w:t>§ 491.12(d)(2)</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B32E1E" w:rsidRPr="00815239" w:rsidP="00B32E1E" w14:paraId="376C875E" w14:textId="77777777">
            <w:pPr>
              <w:widowControl/>
              <w:autoSpaceDE/>
              <w:autoSpaceDN/>
              <w:adjustRightInd/>
              <w:jc w:val="center"/>
              <w:rPr>
                <w:color w:val="000000"/>
                <w:szCs w:val="20"/>
              </w:rPr>
            </w:pPr>
            <w:r w:rsidRPr="00815239">
              <w:rPr>
                <w:color w:val="000000"/>
                <w:szCs w:val="20"/>
              </w:rPr>
              <w:t>5,545</w:t>
            </w:r>
          </w:p>
        </w:tc>
        <w:tc>
          <w:tcPr>
            <w:tcW w:w="1094" w:type="dxa"/>
            <w:tcBorders>
              <w:top w:val="nil"/>
              <w:left w:val="single" w:sz="4" w:space="0" w:color="auto"/>
              <w:bottom w:val="single" w:sz="4" w:space="0" w:color="auto"/>
              <w:right w:val="single" w:sz="4" w:space="0" w:color="auto"/>
            </w:tcBorders>
            <w:noWrap/>
            <w:vAlign w:val="bottom"/>
            <w:hideMark/>
          </w:tcPr>
          <w:p w:rsidR="00B32E1E" w:rsidRPr="00815239" w:rsidP="00B32E1E" w14:paraId="5991EC4D" w14:textId="77777777">
            <w:pPr>
              <w:widowControl/>
              <w:autoSpaceDE/>
              <w:autoSpaceDN/>
              <w:adjustRightInd/>
              <w:jc w:val="center"/>
              <w:rPr>
                <w:color w:val="000000"/>
                <w:szCs w:val="20"/>
              </w:rPr>
            </w:pPr>
            <w:r w:rsidRPr="00815239">
              <w:rPr>
                <w:color w:val="000000"/>
                <w:szCs w:val="20"/>
              </w:rPr>
              <w:t>5</w:t>
            </w:r>
            <w:r>
              <w:rPr>
                <w:color w:val="000000"/>
                <w:szCs w:val="20"/>
              </w:rPr>
              <w:t>,</w:t>
            </w:r>
            <w:r w:rsidRPr="00815239">
              <w:rPr>
                <w:color w:val="000000"/>
                <w:szCs w:val="20"/>
              </w:rPr>
              <w:t>545</w:t>
            </w:r>
          </w:p>
        </w:tc>
        <w:tc>
          <w:tcPr>
            <w:tcW w:w="1017" w:type="dxa"/>
            <w:tcBorders>
              <w:top w:val="nil"/>
              <w:left w:val="nil"/>
              <w:bottom w:val="single" w:sz="4" w:space="0" w:color="auto"/>
              <w:right w:val="single" w:sz="4" w:space="0" w:color="auto"/>
            </w:tcBorders>
            <w:vAlign w:val="bottom"/>
            <w:hideMark/>
          </w:tcPr>
          <w:p w:rsidR="00B32E1E" w:rsidRPr="00815239" w:rsidP="00B32E1E" w14:paraId="4E2326EE" w14:textId="77777777">
            <w:pPr>
              <w:widowControl/>
              <w:autoSpaceDE/>
              <w:autoSpaceDN/>
              <w:adjustRightInd/>
              <w:jc w:val="center"/>
              <w:rPr>
                <w:color w:val="000000"/>
                <w:szCs w:val="20"/>
              </w:rPr>
            </w:pPr>
            <w:r w:rsidRPr="00815239">
              <w:rPr>
                <w:color w:val="000000"/>
                <w:szCs w:val="20"/>
              </w:rPr>
              <w:t>2.5</w:t>
            </w:r>
          </w:p>
        </w:tc>
        <w:tc>
          <w:tcPr>
            <w:tcW w:w="1083" w:type="dxa"/>
            <w:tcBorders>
              <w:top w:val="nil"/>
              <w:left w:val="nil"/>
              <w:bottom w:val="single" w:sz="4" w:space="0" w:color="auto"/>
              <w:right w:val="nil"/>
            </w:tcBorders>
            <w:noWrap/>
            <w:vAlign w:val="bottom"/>
            <w:hideMark/>
          </w:tcPr>
          <w:p w:rsidR="00B32E1E" w:rsidRPr="00815239" w:rsidP="00B32E1E" w14:paraId="359953F3" w14:textId="77777777">
            <w:pPr>
              <w:widowControl/>
              <w:autoSpaceDE/>
              <w:autoSpaceDN/>
              <w:adjustRightInd/>
              <w:jc w:val="center"/>
              <w:rPr>
                <w:color w:val="000000"/>
                <w:szCs w:val="20"/>
              </w:rPr>
            </w:pPr>
            <w:r w:rsidRPr="00815239">
              <w:rPr>
                <w:color w:val="000000"/>
                <w:szCs w:val="20"/>
              </w:rPr>
              <w:t>13,863</w:t>
            </w:r>
          </w:p>
        </w:tc>
        <w:tc>
          <w:tcPr>
            <w:tcW w:w="828" w:type="dxa"/>
            <w:tcBorders>
              <w:top w:val="nil"/>
              <w:left w:val="single" w:sz="4" w:space="0" w:color="auto"/>
              <w:bottom w:val="single" w:sz="4" w:space="0" w:color="auto"/>
              <w:right w:val="single" w:sz="4" w:space="0" w:color="auto"/>
            </w:tcBorders>
            <w:noWrap/>
            <w:vAlign w:val="center"/>
            <w:hideMark/>
          </w:tcPr>
          <w:p w:rsidR="00B32E1E" w:rsidRPr="00815239" w:rsidP="00B32E1E" w14:paraId="563662CC" w14:textId="77777777">
            <w:pPr>
              <w:widowControl/>
              <w:autoSpaceDE/>
              <w:autoSpaceDN/>
              <w:adjustRightInd/>
              <w:jc w:val="center"/>
              <w:rPr>
                <w:color w:val="000000"/>
                <w:szCs w:val="20"/>
              </w:rPr>
            </w:pPr>
            <w:r w:rsidRPr="009B1279">
              <w:rPr>
                <w:color w:val="000000"/>
                <w:szCs w:val="20"/>
              </w:rPr>
              <w:t>**</w:t>
            </w:r>
          </w:p>
        </w:tc>
        <w:tc>
          <w:tcPr>
            <w:tcW w:w="1512" w:type="dxa"/>
            <w:tcBorders>
              <w:top w:val="nil"/>
              <w:left w:val="nil"/>
              <w:bottom w:val="single" w:sz="4" w:space="0" w:color="auto"/>
              <w:right w:val="single" w:sz="4" w:space="0" w:color="auto"/>
            </w:tcBorders>
            <w:noWrap/>
            <w:vAlign w:val="bottom"/>
            <w:hideMark/>
          </w:tcPr>
          <w:p w:rsidR="00B32E1E" w:rsidRPr="00815239" w:rsidP="00B32E1E" w14:paraId="7F791DEC" w14:textId="77777777">
            <w:pPr>
              <w:widowControl/>
              <w:autoSpaceDE/>
              <w:autoSpaceDN/>
              <w:adjustRightInd/>
              <w:jc w:val="right"/>
              <w:rPr>
                <w:color w:val="000000"/>
                <w:szCs w:val="20"/>
              </w:rPr>
            </w:pPr>
            <w:r w:rsidRPr="00815239">
              <w:rPr>
                <w:color w:val="000000"/>
                <w:szCs w:val="20"/>
              </w:rPr>
              <w:t>$4,449,863</w:t>
            </w:r>
          </w:p>
        </w:tc>
      </w:tr>
      <w:tr w14:paraId="316C1D9C" w14:textId="77777777" w:rsidTr="00F03863">
        <w:tblPrEx>
          <w:tblW w:w="12060" w:type="dxa"/>
          <w:tblInd w:w="350" w:type="dxa"/>
          <w:tblLook w:val="04A0"/>
        </w:tblPrEx>
        <w:trPr>
          <w:trHeight w:val="318"/>
        </w:trPr>
        <w:tc>
          <w:tcPr>
            <w:tcW w:w="522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B32E1E" w:rsidRPr="00815239" w:rsidP="00B32E1E" w14:paraId="2416D92E" w14:textId="372BDE9C">
            <w:pPr>
              <w:widowControl/>
              <w:autoSpaceDE/>
              <w:autoSpaceDN/>
              <w:adjustRightInd/>
              <w:jc w:val="right"/>
              <w:rPr>
                <w:b/>
                <w:bCs/>
                <w:color w:val="000000"/>
                <w:szCs w:val="20"/>
              </w:rPr>
            </w:pPr>
            <w:r w:rsidRPr="00815239">
              <w:rPr>
                <w:b/>
                <w:bCs/>
                <w:color w:val="000000"/>
                <w:szCs w:val="20"/>
              </w:rPr>
              <w:t>Total Annual Burden/Costs</w:t>
            </w:r>
          </w:p>
        </w:tc>
        <w:tc>
          <w:tcPr>
            <w:tcW w:w="13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B32E1E" w:rsidRPr="00815239" w:rsidP="00B32E1E" w14:paraId="1B9691D4" w14:textId="77777777">
            <w:pPr>
              <w:widowControl/>
              <w:autoSpaceDE/>
              <w:autoSpaceDN/>
              <w:adjustRightInd/>
              <w:jc w:val="center"/>
              <w:rPr>
                <w:b/>
                <w:bCs/>
                <w:color w:val="000000"/>
                <w:szCs w:val="20"/>
              </w:rPr>
            </w:pPr>
            <w:r w:rsidRPr="00815239">
              <w:rPr>
                <w:b/>
                <w:bCs/>
                <w:color w:val="000000"/>
                <w:szCs w:val="20"/>
              </w:rPr>
              <w:t>49,014</w:t>
            </w:r>
          </w:p>
        </w:tc>
        <w:tc>
          <w:tcPr>
            <w:tcW w:w="1094"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B32E1E" w:rsidRPr="00815239" w:rsidP="00B32E1E" w14:paraId="7A653CDE" w14:textId="77777777">
            <w:pPr>
              <w:widowControl/>
              <w:autoSpaceDE/>
              <w:autoSpaceDN/>
              <w:adjustRightInd/>
              <w:jc w:val="center"/>
              <w:rPr>
                <w:b/>
                <w:bCs/>
                <w:color w:val="000000"/>
                <w:szCs w:val="20"/>
              </w:rPr>
            </w:pPr>
            <w:r w:rsidRPr="00815239">
              <w:rPr>
                <w:b/>
                <w:bCs/>
                <w:color w:val="000000"/>
                <w:szCs w:val="20"/>
              </w:rPr>
              <w:t>49,014</w:t>
            </w:r>
          </w:p>
        </w:tc>
        <w:tc>
          <w:tcPr>
            <w:tcW w:w="101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B32E1E" w:rsidRPr="00815239" w:rsidP="00B32E1E" w14:paraId="18DCFC19" w14:textId="77777777">
            <w:pPr>
              <w:widowControl/>
              <w:autoSpaceDE/>
              <w:autoSpaceDN/>
              <w:adjustRightInd/>
              <w:jc w:val="center"/>
              <w:rPr>
                <w:b/>
                <w:bCs/>
                <w:color w:val="000000"/>
                <w:szCs w:val="20"/>
              </w:rPr>
            </w:pPr>
            <w:r w:rsidRPr="00815239">
              <w:rPr>
                <w:b/>
                <w:bCs/>
                <w:color w:val="000000"/>
                <w:szCs w:val="20"/>
              </w:rPr>
              <w:t>64</w:t>
            </w:r>
          </w:p>
        </w:tc>
        <w:tc>
          <w:tcPr>
            <w:tcW w:w="108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B32E1E" w:rsidRPr="00815239" w:rsidP="00B32E1E" w14:paraId="70C010D6" w14:textId="77777777">
            <w:pPr>
              <w:widowControl/>
              <w:autoSpaceDE/>
              <w:autoSpaceDN/>
              <w:adjustRightInd/>
              <w:jc w:val="center"/>
              <w:rPr>
                <w:b/>
                <w:bCs/>
                <w:color w:val="000000"/>
                <w:szCs w:val="20"/>
              </w:rPr>
            </w:pPr>
            <w:r w:rsidRPr="00815239">
              <w:rPr>
                <w:b/>
                <w:bCs/>
                <w:color w:val="000000"/>
                <w:szCs w:val="20"/>
              </w:rPr>
              <w:t>148,499</w:t>
            </w:r>
          </w:p>
        </w:tc>
        <w:tc>
          <w:tcPr>
            <w:tcW w:w="82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B32E1E" w:rsidRPr="00815239" w:rsidP="00B32E1E" w14:paraId="1352E612" w14:textId="77777777">
            <w:pPr>
              <w:widowControl/>
              <w:autoSpaceDE/>
              <w:autoSpaceDN/>
              <w:adjustRightInd/>
              <w:jc w:val="center"/>
              <w:rPr>
                <w:b/>
                <w:bCs/>
                <w:color w:val="000000"/>
                <w:szCs w:val="20"/>
              </w:rPr>
            </w:pPr>
            <w:r w:rsidRPr="00815239">
              <w:rPr>
                <w:b/>
                <w:bCs/>
                <w:color w:val="000000"/>
                <w:szCs w:val="20"/>
              </w:rPr>
              <w:t>n/a</w:t>
            </w:r>
          </w:p>
        </w:tc>
        <w:tc>
          <w:tcPr>
            <w:tcW w:w="1512"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B32E1E" w:rsidRPr="00815239" w:rsidP="00B32E1E" w14:paraId="6E50EB9F" w14:textId="6D52641E">
            <w:pPr>
              <w:widowControl/>
              <w:autoSpaceDE/>
              <w:autoSpaceDN/>
              <w:adjustRightInd/>
              <w:jc w:val="right"/>
              <w:rPr>
                <w:b/>
                <w:bCs/>
                <w:color w:val="000000"/>
                <w:szCs w:val="20"/>
              </w:rPr>
            </w:pPr>
            <w:r>
              <w:rPr>
                <w:b/>
                <w:bCs/>
                <w:color w:val="000000"/>
                <w:szCs w:val="20"/>
              </w:rPr>
              <w:t>$</w:t>
            </w:r>
            <w:r w:rsidRPr="00815239">
              <w:rPr>
                <w:b/>
                <w:bCs/>
                <w:color w:val="000000"/>
                <w:szCs w:val="20"/>
              </w:rPr>
              <w:t>47,668,019</w:t>
            </w:r>
          </w:p>
        </w:tc>
      </w:tr>
    </w:tbl>
    <w:p w:rsidR="00815239" w:rsidRPr="00CA1EF5" w:rsidP="00B32E1E" w14:paraId="6F7AA63A" w14:textId="488E8509">
      <w:pPr>
        <w:widowControl/>
        <w:autoSpaceDE/>
        <w:autoSpaceDN/>
        <w:adjustRightInd/>
        <w:ind w:left="720"/>
        <w:rPr>
          <w:sz w:val="16"/>
          <w:szCs w:val="20"/>
        </w:rPr>
      </w:pPr>
      <w:r>
        <w:rPr>
          <w:szCs w:val="20"/>
        </w:rPr>
        <w:t>*</w:t>
      </w:r>
      <w:r w:rsidRPr="005524DB">
        <w:rPr>
          <w:szCs w:val="20"/>
          <w:vertAlign w:val="superscript"/>
        </w:rPr>
        <w:t xml:space="preserve"> </w:t>
      </w:r>
      <w:r w:rsidRPr="00F745BB">
        <w:rPr>
          <w:szCs w:val="20"/>
        </w:rPr>
        <w:t xml:space="preserve">Based on </w:t>
      </w:r>
      <w:hyperlink r:id="rId12" w:history="1">
        <w:r w:rsidRPr="00CA1EF5">
          <w:rPr>
            <w:rStyle w:val="Hyperlink"/>
            <w:szCs w:val="20"/>
          </w:rPr>
          <w:t>2019 Final Rule</w:t>
        </w:r>
      </w:hyperlink>
    </w:p>
    <w:p w:rsidR="00D72EFC" w:rsidP="00B32E1E" w14:paraId="4F5F8B8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0"/>
        </w:rPr>
      </w:pPr>
      <w:r w:rsidRPr="00490905">
        <w:rPr>
          <w:szCs w:val="20"/>
        </w:rPr>
        <w:t>** The hourly labor cost is blended between the wages for multiple staffing levels.</w:t>
      </w:r>
    </w:p>
    <w:p w:rsidR="00B32E1E" w:rsidP="00732226" w14:paraId="0348AC97" w14:textId="60A9DEF3">
      <w:pPr>
        <w:widowControl/>
        <w:autoSpaceDE/>
        <w:autoSpaceDN/>
        <w:adjustRightInd/>
        <w:ind w:left="720"/>
        <w:rPr>
          <w:szCs w:val="20"/>
        </w:rPr>
      </w:pPr>
      <w:r w:rsidRPr="00B27A5E">
        <w:rPr>
          <w:szCs w:val="20"/>
        </w:rPr>
        <w:t>***</w:t>
      </w:r>
      <w:r w:rsidR="00732226">
        <w:rPr>
          <w:szCs w:val="20"/>
        </w:rPr>
        <w:t xml:space="preserve"> </w:t>
      </w:r>
      <w:r>
        <w:rPr>
          <w:szCs w:val="20"/>
        </w:rPr>
        <w:t>Rounded to nearest zer</w:t>
      </w:r>
      <w:r w:rsidR="00732226">
        <w:rPr>
          <w:szCs w:val="20"/>
        </w:rPr>
        <w:t>o</w:t>
      </w:r>
    </w:p>
    <w:p w:rsidR="00B32E1E" w:rsidP="00D72EFC" w14:paraId="4FDD74C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sectPr w:rsidSect="00B32E1E">
          <w:endnotePr>
            <w:numFmt w:val="decimal"/>
          </w:endnotePr>
          <w:pgSz w:w="15840" w:h="12240" w:orient="landscape"/>
          <w:pgMar w:top="1440" w:right="1440" w:bottom="1440" w:left="1440" w:header="1440" w:footer="1440" w:gutter="0"/>
          <w:cols w:space="720"/>
          <w:noEndnote/>
          <w:docGrid w:linePitch="272"/>
        </w:sectPr>
      </w:pPr>
    </w:p>
    <w:p w:rsidR="00321DA0" w:rsidRPr="000B3DF5" w:rsidP="00941BCA" w14:paraId="6AB55682" w14:textId="3F703EE8">
      <w:pPr>
        <w:pStyle w:val="Heading5"/>
      </w:pPr>
      <w:bookmarkStart w:id="4" w:name="_Hlk184640893"/>
      <w:r w:rsidRPr="000B3DF5">
        <w:t>IC-</w:t>
      </w:r>
      <w:r w:rsidR="003A5E68">
        <w:t>5</w:t>
      </w:r>
      <w:r w:rsidRPr="000B3DF5">
        <w:t xml:space="preserve">: </w:t>
      </w:r>
      <w:r w:rsidRPr="000B3DF5" w:rsidR="00AB24B4">
        <w:t>§486.360(e)</w:t>
      </w:r>
      <w:r w:rsidR="00927179">
        <w:t xml:space="preserve"> - </w:t>
      </w:r>
      <w:r w:rsidRPr="000B3DF5">
        <w:t>Emergency Agreements with Other OPOs</w:t>
      </w:r>
      <w:bookmarkEnd w:id="4"/>
    </w:p>
    <w:p w:rsidR="005D5645" w:rsidP="00683CF7" w14:paraId="1A63CA23" w14:textId="09AC760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CA6543">
        <w:rPr>
          <w:sz w:val="24"/>
        </w:rPr>
        <w:t xml:space="preserve">Section 486.360(e) requires OPOs to develop and maintain mutually agreed upon protocols as required in §486.344(d) that cover the duties and responsibilities of the transplant program, </w:t>
      </w:r>
      <w:r w:rsidR="00455B98">
        <w:rPr>
          <w:sz w:val="24"/>
        </w:rPr>
        <w:t xml:space="preserve">only in </w:t>
      </w:r>
      <w:r w:rsidRPr="00CA6543">
        <w:rPr>
          <w:sz w:val="24"/>
        </w:rPr>
        <w:t>the hospital in which the transplant program operate</w:t>
      </w:r>
      <w:r w:rsidR="00455B98">
        <w:rPr>
          <w:sz w:val="24"/>
        </w:rPr>
        <w:t>s</w:t>
      </w:r>
      <w:r w:rsidR="00936BE1">
        <w:rPr>
          <w:sz w:val="24"/>
        </w:rPr>
        <w:t xml:space="preserve">. </w:t>
      </w:r>
    </w:p>
    <w:p w:rsidR="00891D52" w:rsidP="00683CF7" w14:paraId="5AD9402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96122" w:rsidP="00683CF7" w14:paraId="0460742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Table 10 below estimates the number of protocols each OPO would need to develop and maintain. </w:t>
      </w:r>
      <w:r w:rsidRPr="00CA6543" w:rsidR="00CA6543">
        <w:rPr>
          <w:sz w:val="24"/>
        </w:rPr>
        <w:t xml:space="preserve">Since the number of transplant hospitals varies between the </w:t>
      </w:r>
      <w:r w:rsidR="00594C74">
        <w:rPr>
          <w:sz w:val="24"/>
        </w:rPr>
        <w:t>donation services areas (</w:t>
      </w:r>
      <w:r w:rsidRPr="00CA6543" w:rsidR="00CA6543">
        <w:rPr>
          <w:sz w:val="24"/>
        </w:rPr>
        <w:t>DSAs</w:t>
      </w:r>
      <w:r w:rsidR="00594C74">
        <w:rPr>
          <w:sz w:val="24"/>
        </w:rPr>
        <w:t>)</w:t>
      </w:r>
      <w:r w:rsidRPr="00CA6543" w:rsidR="00CA6543">
        <w:rPr>
          <w:sz w:val="24"/>
        </w:rPr>
        <w:t xml:space="preserve"> and the number of transplant programs in each of those hospitals also varies, we have estimated the burden based on the average number of transplant hospitals for each DSA and the number of transplant programs in those </w:t>
      </w:r>
      <w:r w:rsidRPr="00655AD8" w:rsidR="00CA6543">
        <w:rPr>
          <w:sz w:val="24"/>
        </w:rPr>
        <w:t xml:space="preserve">hospitals. </w:t>
      </w:r>
    </w:p>
    <w:p w:rsidR="00896122" w:rsidP="00683CF7" w14:paraId="55EDF3D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A6543" w:rsidP="00683CF7" w14:paraId="36429EFD" w14:textId="57F935A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5AD8">
        <w:rPr>
          <w:sz w:val="24"/>
        </w:rPr>
        <w:t>There are about 770 transplant programs and</w:t>
      </w:r>
      <w:r w:rsidRPr="00CA6543">
        <w:rPr>
          <w:sz w:val="24"/>
        </w:rPr>
        <w:t xml:space="preserve"> 2</w:t>
      </w:r>
      <w:r w:rsidR="000B3DF5">
        <w:rPr>
          <w:sz w:val="24"/>
        </w:rPr>
        <w:t>39</w:t>
      </w:r>
      <w:r w:rsidRPr="00CA6543">
        <w:rPr>
          <w:sz w:val="24"/>
        </w:rPr>
        <w:t xml:space="preserve"> transplant hospitals. For each OPO’s DSA, there is an average of 4 transplant hospitals (2</w:t>
      </w:r>
      <w:r w:rsidR="000B3DF5">
        <w:rPr>
          <w:sz w:val="24"/>
        </w:rPr>
        <w:t>39</w:t>
      </w:r>
      <w:r w:rsidRPr="00CA6543">
        <w:rPr>
          <w:sz w:val="24"/>
        </w:rPr>
        <w:t xml:space="preserve"> transplant hospitals /</w:t>
      </w:r>
      <w:r w:rsidRPr="0030094E">
        <w:rPr>
          <w:sz w:val="24"/>
        </w:rPr>
        <w:t>5</w:t>
      </w:r>
      <w:r w:rsidRPr="0030094E" w:rsidR="000B3DF5">
        <w:rPr>
          <w:sz w:val="24"/>
        </w:rPr>
        <w:t>7</w:t>
      </w:r>
      <w:r w:rsidRPr="00CA6543">
        <w:rPr>
          <w:sz w:val="24"/>
        </w:rPr>
        <w:t xml:space="preserve"> OPOs) with 3 transplant </w:t>
      </w:r>
      <w:r w:rsidRPr="005762B8">
        <w:rPr>
          <w:sz w:val="24"/>
        </w:rPr>
        <w:t>programs (770 transplant programs/2</w:t>
      </w:r>
      <w:r w:rsidRPr="005762B8" w:rsidR="0030094E">
        <w:rPr>
          <w:sz w:val="24"/>
        </w:rPr>
        <w:t>39</w:t>
      </w:r>
      <w:r w:rsidRPr="005762B8">
        <w:rPr>
          <w:sz w:val="24"/>
        </w:rPr>
        <w:t xml:space="preserve"> transplant hospitals). Thus, we estimate that each OPO would need to develop protocols for 12 transplant programs (4 transplant hospitals for each DSA x 3 transplant programs in each transplant hospital).</w:t>
      </w:r>
      <w:r w:rsidR="00B57AB1">
        <w:rPr>
          <w:sz w:val="24"/>
        </w:rPr>
        <w:t xml:space="preserve"> See Table 10</w:t>
      </w:r>
      <w:r w:rsidR="00936BE1">
        <w:rPr>
          <w:sz w:val="24"/>
        </w:rPr>
        <w:t>.</w:t>
      </w:r>
      <w:r w:rsidRPr="00CA6543" w:rsidR="00936BE1">
        <w:rPr>
          <w:sz w:val="24"/>
        </w:rPr>
        <w:t xml:space="preserve"> </w:t>
      </w:r>
    </w:p>
    <w:p w:rsidR="00B57AB1" w:rsidP="00B57AB1" w14:paraId="4A0A7258" w14:textId="77777777">
      <w:pPr>
        <w:widowControl/>
        <w:autoSpaceDE/>
        <w:autoSpaceDN/>
        <w:adjustRightInd/>
        <w:rPr>
          <w:b/>
          <w:bCs/>
          <w:color w:val="000000"/>
          <w:szCs w:val="20"/>
        </w:rPr>
      </w:pPr>
    </w:p>
    <w:p w:rsidR="00B57AB1" w:rsidRPr="00F03863" w:rsidP="00941BCA" w14:paraId="489E6099" w14:textId="01F1B193">
      <w:pPr>
        <w:pStyle w:val="Heading6"/>
        <w:rPr>
          <w:sz w:val="22"/>
          <w:szCs w:val="22"/>
        </w:rPr>
      </w:pPr>
      <w:r>
        <w:t xml:space="preserve">    </w:t>
      </w:r>
      <w:r w:rsidRPr="00F03863">
        <w:rPr>
          <w:sz w:val="22"/>
          <w:szCs w:val="22"/>
        </w:rPr>
        <w:t xml:space="preserve">Table 10- Number of Mutually Agreed upon Protocols </w:t>
      </w:r>
      <w:r w:rsidRPr="00F03863" w:rsidR="00A971E5">
        <w:rPr>
          <w:sz w:val="22"/>
          <w:szCs w:val="22"/>
        </w:rPr>
        <w:t>e</w:t>
      </w:r>
      <w:r w:rsidRPr="00F03863">
        <w:rPr>
          <w:sz w:val="22"/>
          <w:szCs w:val="22"/>
        </w:rPr>
        <w:t>ach OPO must develop and maintain</w:t>
      </w:r>
    </w:p>
    <w:tbl>
      <w:tblPr>
        <w:tblW w:w="798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
        <w:gridCol w:w="5688"/>
        <w:gridCol w:w="1822"/>
      </w:tblGrid>
      <w:tr w14:paraId="2DB1D9AD" w14:textId="77777777" w:rsidTr="00037F27">
        <w:tblPrEx>
          <w:tblW w:w="798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8"/>
        </w:trPr>
        <w:tc>
          <w:tcPr>
            <w:tcW w:w="473" w:type="dxa"/>
            <w:vAlign w:val="bottom"/>
          </w:tcPr>
          <w:p w:rsidR="0026072E" w:rsidRPr="00891D52" w:rsidP="00842189" w14:paraId="55B20E45" w14:textId="6574BD8E">
            <w:pPr>
              <w:widowControl/>
              <w:autoSpaceDE/>
              <w:autoSpaceDN/>
              <w:adjustRightInd/>
              <w:rPr>
                <w:color w:val="000000"/>
                <w:sz w:val="22"/>
                <w:szCs w:val="22"/>
              </w:rPr>
            </w:pPr>
            <w:r w:rsidRPr="00891D52">
              <w:rPr>
                <w:color w:val="000000"/>
                <w:sz w:val="22"/>
                <w:szCs w:val="22"/>
              </w:rPr>
              <w:t>(</w:t>
            </w:r>
            <w:r w:rsidRPr="00891D52" w:rsidR="003463D0">
              <w:rPr>
                <w:color w:val="000000"/>
                <w:sz w:val="22"/>
                <w:szCs w:val="22"/>
              </w:rPr>
              <w:t>a</w:t>
            </w:r>
            <w:r w:rsidRPr="00891D52">
              <w:rPr>
                <w:color w:val="000000"/>
                <w:sz w:val="22"/>
                <w:szCs w:val="22"/>
              </w:rPr>
              <w:t>)</w:t>
            </w:r>
          </w:p>
        </w:tc>
        <w:tc>
          <w:tcPr>
            <w:tcW w:w="5688" w:type="dxa"/>
            <w:noWrap/>
            <w:vAlign w:val="bottom"/>
            <w:hideMark/>
          </w:tcPr>
          <w:p w:rsidR="0026072E" w:rsidRPr="00891D52" w:rsidP="00842189" w14:paraId="218D031E" w14:textId="1E79D248">
            <w:pPr>
              <w:widowControl/>
              <w:autoSpaceDE/>
              <w:autoSpaceDN/>
              <w:adjustRightInd/>
              <w:rPr>
                <w:color w:val="000000"/>
                <w:sz w:val="22"/>
                <w:szCs w:val="22"/>
              </w:rPr>
            </w:pPr>
            <w:r w:rsidRPr="00891D52">
              <w:rPr>
                <w:color w:val="000000"/>
                <w:sz w:val="22"/>
                <w:szCs w:val="22"/>
              </w:rPr>
              <w:t># of Transplant Programs</w:t>
            </w:r>
          </w:p>
        </w:tc>
        <w:tc>
          <w:tcPr>
            <w:tcW w:w="1822" w:type="dxa"/>
            <w:noWrap/>
            <w:vAlign w:val="bottom"/>
            <w:hideMark/>
          </w:tcPr>
          <w:p w:rsidR="0026072E" w:rsidRPr="00891D52" w:rsidP="00842189" w14:paraId="39BD494D" w14:textId="77777777">
            <w:pPr>
              <w:widowControl/>
              <w:autoSpaceDE/>
              <w:autoSpaceDN/>
              <w:adjustRightInd/>
              <w:jc w:val="center"/>
              <w:rPr>
                <w:color w:val="C22114"/>
                <w:sz w:val="22"/>
                <w:szCs w:val="22"/>
              </w:rPr>
            </w:pPr>
            <w:r w:rsidRPr="00896122">
              <w:rPr>
                <w:sz w:val="22"/>
                <w:szCs w:val="22"/>
              </w:rPr>
              <w:t>770</w:t>
            </w:r>
          </w:p>
        </w:tc>
      </w:tr>
      <w:tr w14:paraId="3B88B3ED" w14:textId="77777777" w:rsidTr="00037F27">
        <w:tblPrEx>
          <w:tblW w:w="7983" w:type="dxa"/>
          <w:tblInd w:w="607" w:type="dxa"/>
          <w:tblLook w:val="04A0"/>
        </w:tblPrEx>
        <w:trPr>
          <w:trHeight w:val="318"/>
        </w:trPr>
        <w:tc>
          <w:tcPr>
            <w:tcW w:w="473" w:type="dxa"/>
            <w:vAlign w:val="bottom"/>
          </w:tcPr>
          <w:p w:rsidR="003463D0" w:rsidP="003463D0" w14:paraId="539BEB0C" w14:textId="756792CE">
            <w:pPr>
              <w:widowControl/>
              <w:autoSpaceDE/>
              <w:autoSpaceDN/>
              <w:adjustRightInd/>
              <w:rPr>
                <w:color w:val="000000"/>
                <w:sz w:val="22"/>
                <w:szCs w:val="22"/>
              </w:rPr>
            </w:pPr>
            <w:r>
              <w:rPr>
                <w:color w:val="000000"/>
                <w:sz w:val="22"/>
                <w:szCs w:val="22"/>
              </w:rPr>
              <w:t>(b)</w:t>
            </w:r>
          </w:p>
        </w:tc>
        <w:tc>
          <w:tcPr>
            <w:tcW w:w="5688" w:type="dxa"/>
            <w:vAlign w:val="bottom"/>
          </w:tcPr>
          <w:p w:rsidR="003463D0" w:rsidRPr="008B3E8E" w:rsidP="003463D0" w14:paraId="1F951396" w14:textId="08E2CB8A">
            <w:pPr>
              <w:widowControl/>
              <w:autoSpaceDE/>
              <w:autoSpaceDN/>
              <w:adjustRightInd/>
              <w:rPr>
                <w:color w:val="000000"/>
                <w:sz w:val="22"/>
                <w:szCs w:val="22"/>
              </w:rPr>
            </w:pPr>
            <w:r w:rsidRPr="008B3E8E">
              <w:rPr>
                <w:color w:val="000000"/>
                <w:sz w:val="22"/>
                <w:szCs w:val="22"/>
              </w:rPr>
              <w:t># of Transplant Hospitals</w:t>
            </w:r>
          </w:p>
        </w:tc>
        <w:tc>
          <w:tcPr>
            <w:tcW w:w="1822" w:type="dxa"/>
            <w:noWrap/>
            <w:vAlign w:val="bottom"/>
          </w:tcPr>
          <w:p w:rsidR="003463D0" w:rsidRPr="008B3E8E" w:rsidP="003463D0" w14:paraId="351D2E5F" w14:textId="7FA72D91">
            <w:pPr>
              <w:widowControl/>
              <w:autoSpaceDE/>
              <w:autoSpaceDN/>
              <w:adjustRightInd/>
              <w:jc w:val="center"/>
              <w:rPr>
                <w:color w:val="000000"/>
                <w:sz w:val="22"/>
                <w:szCs w:val="22"/>
              </w:rPr>
            </w:pPr>
            <w:r w:rsidRPr="008B3E8E">
              <w:rPr>
                <w:color w:val="000000"/>
                <w:sz w:val="22"/>
                <w:szCs w:val="22"/>
              </w:rPr>
              <w:t>239</w:t>
            </w:r>
          </w:p>
        </w:tc>
      </w:tr>
      <w:tr w14:paraId="41C1FEB4" w14:textId="77777777" w:rsidTr="00037F27">
        <w:tblPrEx>
          <w:tblW w:w="7983" w:type="dxa"/>
          <w:tblInd w:w="607" w:type="dxa"/>
          <w:tblLook w:val="04A0"/>
        </w:tblPrEx>
        <w:trPr>
          <w:trHeight w:val="318"/>
        </w:trPr>
        <w:tc>
          <w:tcPr>
            <w:tcW w:w="473" w:type="dxa"/>
            <w:vAlign w:val="bottom"/>
          </w:tcPr>
          <w:p w:rsidR="003463D0" w:rsidRPr="008B3E8E" w:rsidP="003463D0" w14:paraId="170F33B8" w14:textId="606420B1">
            <w:pPr>
              <w:widowControl/>
              <w:autoSpaceDE/>
              <w:autoSpaceDN/>
              <w:adjustRightInd/>
              <w:rPr>
                <w:color w:val="000000"/>
                <w:sz w:val="22"/>
                <w:szCs w:val="22"/>
              </w:rPr>
            </w:pPr>
            <w:r>
              <w:rPr>
                <w:color w:val="000000"/>
                <w:sz w:val="22"/>
                <w:szCs w:val="22"/>
              </w:rPr>
              <w:t>(c)</w:t>
            </w:r>
          </w:p>
        </w:tc>
        <w:tc>
          <w:tcPr>
            <w:tcW w:w="5688" w:type="dxa"/>
            <w:vAlign w:val="bottom"/>
            <w:hideMark/>
          </w:tcPr>
          <w:p w:rsidR="003463D0" w:rsidRPr="008B3E8E" w:rsidP="003463D0" w14:paraId="1AF89F5C" w14:textId="2378095E">
            <w:pPr>
              <w:widowControl/>
              <w:autoSpaceDE/>
              <w:autoSpaceDN/>
              <w:adjustRightInd/>
              <w:rPr>
                <w:color w:val="000000"/>
                <w:sz w:val="22"/>
                <w:szCs w:val="22"/>
              </w:rPr>
            </w:pPr>
            <w:r w:rsidRPr="008B3E8E">
              <w:rPr>
                <w:color w:val="000000"/>
                <w:sz w:val="22"/>
                <w:szCs w:val="22"/>
              </w:rPr>
              <w:t># of OPO Organizations</w:t>
            </w:r>
          </w:p>
        </w:tc>
        <w:tc>
          <w:tcPr>
            <w:tcW w:w="1822" w:type="dxa"/>
            <w:noWrap/>
            <w:vAlign w:val="bottom"/>
            <w:hideMark/>
          </w:tcPr>
          <w:p w:rsidR="003463D0" w:rsidRPr="008B3E8E" w:rsidP="003463D0" w14:paraId="4F065A46" w14:textId="77777777">
            <w:pPr>
              <w:widowControl/>
              <w:autoSpaceDE/>
              <w:autoSpaceDN/>
              <w:adjustRightInd/>
              <w:jc w:val="center"/>
              <w:rPr>
                <w:color w:val="000000"/>
                <w:sz w:val="22"/>
                <w:szCs w:val="22"/>
              </w:rPr>
            </w:pPr>
            <w:r w:rsidRPr="008B3E8E">
              <w:rPr>
                <w:color w:val="000000"/>
                <w:sz w:val="22"/>
                <w:szCs w:val="22"/>
              </w:rPr>
              <w:t>57</w:t>
            </w:r>
          </w:p>
        </w:tc>
      </w:tr>
      <w:tr w14:paraId="450C255C" w14:textId="77777777" w:rsidTr="00037F27">
        <w:tblPrEx>
          <w:tblW w:w="7983" w:type="dxa"/>
          <w:tblInd w:w="607" w:type="dxa"/>
          <w:tblLook w:val="04A0"/>
        </w:tblPrEx>
        <w:trPr>
          <w:trHeight w:val="296"/>
        </w:trPr>
        <w:tc>
          <w:tcPr>
            <w:tcW w:w="473" w:type="dxa"/>
            <w:vAlign w:val="bottom"/>
          </w:tcPr>
          <w:p w:rsidR="003463D0" w:rsidRPr="008B3E8E" w:rsidP="003463D0" w14:paraId="533EB9C3" w14:textId="7B9B2305">
            <w:pPr>
              <w:widowControl/>
              <w:autoSpaceDE/>
              <w:autoSpaceDN/>
              <w:adjustRightInd/>
              <w:rPr>
                <w:color w:val="000000"/>
                <w:sz w:val="22"/>
                <w:szCs w:val="22"/>
              </w:rPr>
            </w:pPr>
            <w:r>
              <w:rPr>
                <w:color w:val="000000"/>
                <w:sz w:val="22"/>
                <w:szCs w:val="22"/>
              </w:rPr>
              <w:t>(d)</w:t>
            </w:r>
          </w:p>
        </w:tc>
        <w:tc>
          <w:tcPr>
            <w:tcW w:w="5688" w:type="dxa"/>
            <w:vAlign w:val="bottom"/>
            <w:hideMark/>
          </w:tcPr>
          <w:p w:rsidR="003463D0" w:rsidRPr="008C20B6" w:rsidP="003463D0" w14:paraId="4A551FF9" w14:textId="63B772A5">
            <w:pPr>
              <w:widowControl/>
              <w:autoSpaceDE/>
              <w:autoSpaceDN/>
              <w:adjustRightInd/>
              <w:rPr>
                <w:color w:val="000000"/>
                <w:sz w:val="18"/>
                <w:szCs w:val="18"/>
              </w:rPr>
            </w:pPr>
            <w:r w:rsidRPr="008B3E8E">
              <w:rPr>
                <w:color w:val="000000"/>
                <w:sz w:val="22"/>
                <w:szCs w:val="22"/>
              </w:rPr>
              <w:t># of Transplant Programs/Transplant Hospitals</w:t>
            </w:r>
            <w:r>
              <w:rPr>
                <w:color w:val="000000"/>
                <w:sz w:val="22"/>
                <w:szCs w:val="22"/>
              </w:rPr>
              <w:t xml:space="preserve">  (d = a ÷ b)</w:t>
            </w:r>
          </w:p>
        </w:tc>
        <w:tc>
          <w:tcPr>
            <w:tcW w:w="1822" w:type="dxa"/>
            <w:noWrap/>
            <w:vAlign w:val="bottom"/>
            <w:hideMark/>
          </w:tcPr>
          <w:p w:rsidR="003463D0" w:rsidRPr="008B3E8E" w:rsidP="003463D0" w14:paraId="3EB87277" w14:textId="2E27A0B7">
            <w:pPr>
              <w:widowControl/>
              <w:autoSpaceDE/>
              <w:autoSpaceDN/>
              <w:adjustRightInd/>
              <w:jc w:val="center"/>
              <w:rPr>
                <w:color w:val="000000"/>
                <w:sz w:val="22"/>
                <w:szCs w:val="22"/>
              </w:rPr>
            </w:pPr>
            <w:r w:rsidRPr="008B3E8E">
              <w:rPr>
                <w:color w:val="000000"/>
                <w:sz w:val="22"/>
                <w:szCs w:val="22"/>
              </w:rPr>
              <w:t>3</w:t>
            </w:r>
          </w:p>
        </w:tc>
      </w:tr>
      <w:tr w14:paraId="41B92A48" w14:textId="77777777" w:rsidTr="00037F27">
        <w:tblPrEx>
          <w:tblW w:w="7983" w:type="dxa"/>
          <w:tblInd w:w="607" w:type="dxa"/>
          <w:tblLook w:val="04A0"/>
        </w:tblPrEx>
        <w:trPr>
          <w:trHeight w:val="318"/>
        </w:trPr>
        <w:tc>
          <w:tcPr>
            <w:tcW w:w="473" w:type="dxa"/>
            <w:vAlign w:val="bottom"/>
          </w:tcPr>
          <w:p w:rsidR="003463D0" w:rsidRPr="008B3E8E" w:rsidP="003463D0" w14:paraId="6C3175E3" w14:textId="61B5A9BB">
            <w:pPr>
              <w:widowControl/>
              <w:autoSpaceDE/>
              <w:autoSpaceDN/>
              <w:adjustRightInd/>
              <w:rPr>
                <w:color w:val="000000"/>
                <w:sz w:val="22"/>
                <w:szCs w:val="22"/>
              </w:rPr>
            </w:pPr>
            <w:r>
              <w:rPr>
                <w:color w:val="000000"/>
                <w:sz w:val="22"/>
                <w:szCs w:val="22"/>
              </w:rPr>
              <w:t>(e)</w:t>
            </w:r>
          </w:p>
        </w:tc>
        <w:tc>
          <w:tcPr>
            <w:tcW w:w="5688" w:type="dxa"/>
            <w:vAlign w:val="bottom"/>
            <w:hideMark/>
          </w:tcPr>
          <w:p w:rsidR="003463D0" w:rsidRPr="008B3E8E" w:rsidP="003463D0" w14:paraId="7E0203FF" w14:textId="605D0B0C">
            <w:pPr>
              <w:widowControl/>
              <w:autoSpaceDE/>
              <w:autoSpaceDN/>
              <w:adjustRightInd/>
              <w:rPr>
                <w:color w:val="000000"/>
                <w:sz w:val="22"/>
                <w:szCs w:val="22"/>
              </w:rPr>
            </w:pPr>
            <w:r w:rsidRPr="008B3E8E">
              <w:rPr>
                <w:color w:val="000000"/>
                <w:sz w:val="22"/>
                <w:szCs w:val="22"/>
              </w:rPr>
              <w:t># of Transplant Hospitals/OPO DSA</w:t>
            </w:r>
            <w:r>
              <w:rPr>
                <w:color w:val="000000"/>
                <w:sz w:val="22"/>
                <w:szCs w:val="22"/>
              </w:rPr>
              <w:t xml:space="preserve">   (e = b ÷ c)</w:t>
            </w:r>
          </w:p>
        </w:tc>
        <w:tc>
          <w:tcPr>
            <w:tcW w:w="1822" w:type="dxa"/>
            <w:noWrap/>
            <w:vAlign w:val="bottom"/>
            <w:hideMark/>
          </w:tcPr>
          <w:p w:rsidR="003463D0" w:rsidRPr="008B3E8E" w:rsidP="003463D0" w14:paraId="2E605C14" w14:textId="77777777">
            <w:pPr>
              <w:widowControl/>
              <w:autoSpaceDE/>
              <w:autoSpaceDN/>
              <w:adjustRightInd/>
              <w:jc w:val="center"/>
              <w:rPr>
                <w:color w:val="000000"/>
                <w:sz w:val="22"/>
                <w:szCs w:val="22"/>
              </w:rPr>
            </w:pPr>
            <w:r w:rsidRPr="008B3E8E">
              <w:rPr>
                <w:color w:val="000000"/>
                <w:sz w:val="22"/>
                <w:szCs w:val="22"/>
              </w:rPr>
              <w:t>4</w:t>
            </w:r>
          </w:p>
        </w:tc>
      </w:tr>
      <w:tr w14:paraId="6E651087" w14:textId="77777777" w:rsidTr="00037F27">
        <w:tblPrEx>
          <w:tblW w:w="7983" w:type="dxa"/>
          <w:tblInd w:w="607" w:type="dxa"/>
          <w:tblLook w:val="04A0"/>
        </w:tblPrEx>
        <w:trPr>
          <w:trHeight w:val="318"/>
        </w:trPr>
        <w:tc>
          <w:tcPr>
            <w:tcW w:w="473" w:type="dxa"/>
            <w:shd w:val="clear" w:color="auto" w:fill="E7E6E6" w:themeFill="background2"/>
            <w:vAlign w:val="bottom"/>
          </w:tcPr>
          <w:p w:rsidR="003463D0" w:rsidRPr="0026072E" w:rsidP="003463D0" w14:paraId="32927511" w14:textId="7C3579DB">
            <w:pPr>
              <w:widowControl/>
              <w:autoSpaceDE/>
              <w:autoSpaceDN/>
              <w:adjustRightInd/>
              <w:jc w:val="right"/>
              <w:rPr>
                <w:color w:val="000000"/>
                <w:sz w:val="22"/>
                <w:szCs w:val="22"/>
              </w:rPr>
            </w:pPr>
            <w:r w:rsidRPr="0026072E">
              <w:rPr>
                <w:color w:val="000000"/>
                <w:sz w:val="22"/>
                <w:szCs w:val="22"/>
              </w:rPr>
              <w:t>(f)</w:t>
            </w:r>
          </w:p>
        </w:tc>
        <w:tc>
          <w:tcPr>
            <w:tcW w:w="5688" w:type="dxa"/>
            <w:shd w:val="clear" w:color="auto" w:fill="E7E6E6" w:themeFill="background2"/>
            <w:vAlign w:val="bottom"/>
            <w:hideMark/>
          </w:tcPr>
          <w:p w:rsidR="003463D0" w:rsidRPr="008B3E8E" w:rsidP="003463D0" w14:paraId="47594883" w14:textId="71AB8F23">
            <w:pPr>
              <w:widowControl/>
              <w:autoSpaceDE/>
              <w:autoSpaceDN/>
              <w:adjustRightInd/>
              <w:jc w:val="right"/>
              <w:rPr>
                <w:b/>
                <w:bCs/>
                <w:color w:val="000000"/>
                <w:sz w:val="22"/>
                <w:szCs w:val="22"/>
              </w:rPr>
            </w:pPr>
            <w:r w:rsidRPr="008B3E8E">
              <w:rPr>
                <w:b/>
                <w:bCs/>
                <w:color w:val="000000"/>
                <w:sz w:val="22"/>
                <w:szCs w:val="22"/>
              </w:rPr>
              <w:t xml:space="preserve">Total </w:t>
            </w:r>
            <w:r>
              <w:rPr>
                <w:b/>
                <w:bCs/>
                <w:color w:val="000000"/>
                <w:sz w:val="22"/>
                <w:szCs w:val="22"/>
              </w:rPr>
              <w:t xml:space="preserve"># of </w:t>
            </w:r>
            <w:r w:rsidRPr="008B3E8E">
              <w:rPr>
                <w:b/>
                <w:bCs/>
                <w:color w:val="000000"/>
                <w:sz w:val="22"/>
                <w:szCs w:val="22"/>
              </w:rPr>
              <w:t>Protocols per OPO</w:t>
            </w:r>
            <w:r>
              <w:rPr>
                <w:b/>
                <w:bCs/>
                <w:color w:val="000000"/>
                <w:sz w:val="22"/>
                <w:szCs w:val="22"/>
              </w:rPr>
              <w:t xml:space="preserve"> </w:t>
            </w:r>
            <w:r w:rsidRPr="0026072E">
              <w:rPr>
                <w:color w:val="000000"/>
                <w:sz w:val="22"/>
                <w:szCs w:val="22"/>
              </w:rPr>
              <w:t>(f =d x e)</w:t>
            </w:r>
          </w:p>
        </w:tc>
        <w:tc>
          <w:tcPr>
            <w:tcW w:w="1822" w:type="dxa"/>
            <w:shd w:val="clear" w:color="auto" w:fill="E7E6E6" w:themeFill="background2"/>
            <w:vAlign w:val="bottom"/>
            <w:hideMark/>
          </w:tcPr>
          <w:p w:rsidR="003463D0" w:rsidRPr="008B3E8E" w:rsidP="003463D0" w14:paraId="473F9C89" w14:textId="77777777">
            <w:pPr>
              <w:widowControl/>
              <w:autoSpaceDE/>
              <w:autoSpaceDN/>
              <w:adjustRightInd/>
              <w:jc w:val="center"/>
              <w:rPr>
                <w:b/>
                <w:bCs/>
                <w:color w:val="7030A0"/>
                <w:sz w:val="22"/>
                <w:szCs w:val="22"/>
              </w:rPr>
            </w:pPr>
            <w:r w:rsidRPr="00896122">
              <w:rPr>
                <w:b/>
                <w:bCs/>
                <w:sz w:val="22"/>
                <w:szCs w:val="22"/>
              </w:rPr>
              <w:t>12</w:t>
            </w:r>
          </w:p>
        </w:tc>
      </w:tr>
    </w:tbl>
    <w:p w:rsidR="005D5645" w:rsidRPr="00CA6543" w:rsidP="00683CF7" w14:paraId="34DA281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6072E" w:rsidP="00683CF7" w14:paraId="0AE3067E" w14:textId="69DD975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Table 11 below lays out the a</w:t>
      </w:r>
      <w:r w:rsidRPr="00110B70">
        <w:rPr>
          <w:sz w:val="24"/>
        </w:rPr>
        <w:t xml:space="preserve">nnual </w:t>
      </w:r>
      <w:r>
        <w:rPr>
          <w:sz w:val="24"/>
        </w:rPr>
        <w:t>b</w:t>
      </w:r>
      <w:r w:rsidRPr="00110B70">
        <w:rPr>
          <w:sz w:val="24"/>
        </w:rPr>
        <w:t xml:space="preserve">urden </w:t>
      </w:r>
      <w:r>
        <w:rPr>
          <w:sz w:val="24"/>
        </w:rPr>
        <w:t>h</w:t>
      </w:r>
      <w:r w:rsidRPr="00110B70">
        <w:rPr>
          <w:sz w:val="24"/>
        </w:rPr>
        <w:t xml:space="preserve">ours and </w:t>
      </w:r>
      <w:r>
        <w:rPr>
          <w:sz w:val="24"/>
        </w:rPr>
        <w:t>c</w:t>
      </w:r>
      <w:r w:rsidRPr="00110B70">
        <w:rPr>
          <w:sz w:val="24"/>
        </w:rPr>
        <w:t xml:space="preserve">ost </w:t>
      </w:r>
      <w:r w:rsidR="00A971E5">
        <w:rPr>
          <w:sz w:val="24"/>
        </w:rPr>
        <w:t>to develop a mutually agreed upon protocol</w:t>
      </w:r>
      <w:r>
        <w:rPr>
          <w:sz w:val="24"/>
        </w:rPr>
        <w:t>.</w:t>
      </w:r>
      <w:r w:rsidR="00891D52">
        <w:rPr>
          <w:sz w:val="24"/>
        </w:rPr>
        <w:t xml:space="preserve"> </w:t>
      </w:r>
      <w:r w:rsidRPr="00CA6543" w:rsidR="00CA6543">
        <w:rPr>
          <w:sz w:val="24"/>
        </w:rPr>
        <w:t xml:space="preserve">The burden associated with this requirement will be the time and effort necessary to negotiate with each hospital and transplant program and then draft the protocols that address each one’s duties and responsibilities during an emergency. Based on our experience with OPOs, transplant centers, and the hospitals in which they operate, we believe that they have already had to deal with some type of emergency and have a basis for those protocols, especially the types of services that are needed by the waiting list patients and the transplant recipients and the services that each of them can provide during an emergency. </w:t>
      </w:r>
    </w:p>
    <w:p w:rsidR="0026072E" w:rsidP="00683CF7" w14:paraId="0824223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D2619" w:rsidP="00683CF7" w14:paraId="30414ABB" w14:textId="2A6D851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Per Table 11, </w:t>
      </w:r>
      <w:r w:rsidRPr="00CA6543" w:rsidR="00CA6543">
        <w:rPr>
          <w:sz w:val="24"/>
        </w:rPr>
        <w:t>we believe that conducting these negotiations would require the involvement of</w:t>
      </w:r>
      <w:r w:rsidR="00C55866">
        <w:rPr>
          <w:sz w:val="24"/>
        </w:rPr>
        <w:t>:</w:t>
      </w:r>
      <w:r w:rsidRPr="00CA6543" w:rsidR="00CA6543">
        <w:rPr>
          <w:sz w:val="24"/>
        </w:rPr>
        <w:t xml:space="preserve"> the OPO’s </w:t>
      </w:r>
      <w:r w:rsidR="00C55866">
        <w:rPr>
          <w:sz w:val="24"/>
        </w:rPr>
        <w:t>D</w:t>
      </w:r>
      <w:r w:rsidRPr="00CA6543" w:rsidR="00CA6543">
        <w:rPr>
          <w:sz w:val="24"/>
        </w:rPr>
        <w:t>irector</w:t>
      </w:r>
      <w:r w:rsidR="00C55866">
        <w:rPr>
          <w:sz w:val="24"/>
        </w:rPr>
        <w:t xml:space="preserve"> (BLS Occupation Code 11-</w:t>
      </w:r>
      <w:r w:rsidR="001A0E87">
        <w:rPr>
          <w:sz w:val="24"/>
        </w:rPr>
        <w:t>1011</w:t>
      </w:r>
      <w:r w:rsidR="00C55866">
        <w:rPr>
          <w:sz w:val="24"/>
        </w:rPr>
        <w:t>)</w:t>
      </w:r>
      <w:r w:rsidRPr="00CA6543" w:rsidR="00CA6543">
        <w:rPr>
          <w:sz w:val="24"/>
        </w:rPr>
        <w:t xml:space="preserve">, </w:t>
      </w:r>
      <w:r w:rsidR="00C55866">
        <w:rPr>
          <w:sz w:val="24"/>
        </w:rPr>
        <w:t>the M</w:t>
      </w:r>
      <w:r w:rsidRPr="00CA6543" w:rsidR="00CA6543">
        <w:rPr>
          <w:sz w:val="24"/>
        </w:rPr>
        <w:t xml:space="preserve">edical </w:t>
      </w:r>
      <w:r w:rsidR="00C55866">
        <w:rPr>
          <w:sz w:val="24"/>
        </w:rPr>
        <w:t>D</w:t>
      </w:r>
      <w:r w:rsidRPr="00CA6543" w:rsidR="00CA6543">
        <w:rPr>
          <w:sz w:val="24"/>
        </w:rPr>
        <w:t>irector</w:t>
      </w:r>
      <w:r w:rsidR="00C55866">
        <w:rPr>
          <w:sz w:val="24"/>
        </w:rPr>
        <w:t xml:space="preserve"> (Physician - BLS Occupation Code 29-12</w:t>
      </w:r>
      <w:r w:rsidR="00771593">
        <w:rPr>
          <w:sz w:val="24"/>
        </w:rPr>
        <w:t>10</w:t>
      </w:r>
      <w:r w:rsidRPr="001A0E87" w:rsidR="00C55866">
        <w:rPr>
          <w:sz w:val="24"/>
        </w:rPr>
        <w:t>)</w:t>
      </w:r>
      <w:r w:rsidRPr="001A0E87" w:rsidR="00CA6543">
        <w:rPr>
          <w:sz w:val="24"/>
        </w:rPr>
        <w:t xml:space="preserve">, QAPI </w:t>
      </w:r>
      <w:r w:rsidRPr="001A0E87" w:rsidR="00C55866">
        <w:rPr>
          <w:sz w:val="24"/>
        </w:rPr>
        <w:t>D</w:t>
      </w:r>
      <w:r w:rsidRPr="001A0E87" w:rsidR="00CA6543">
        <w:rPr>
          <w:sz w:val="24"/>
        </w:rPr>
        <w:t>irector</w:t>
      </w:r>
      <w:r w:rsidRPr="001A0E87" w:rsidR="00C55866">
        <w:rPr>
          <w:sz w:val="24"/>
        </w:rPr>
        <w:t xml:space="preserve"> (</w:t>
      </w:r>
      <w:r w:rsidRPr="00891D52" w:rsidR="00C55866">
        <w:rPr>
          <w:sz w:val="24"/>
        </w:rPr>
        <w:t>BLS Occupation Code 11-9111)</w:t>
      </w:r>
      <w:r w:rsidRPr="00891D52" w:rsidR="00CA6543">
        <w:rPr>
          <w:sz w:val="24"/>
        </w:rPr>
        <w:t xml:space="preserve">, and an </w:t>
      </w:r>
      <w:r w:rsidR="004D3470">
        <w:rPr>
          <w:sz w:val="24"/>
        </w:rPr>
        <w:t>O</w:t>
      </w:r>
      <w:r w:rsidRPr="00CA6543" w:rsidR="00CA6543">
        <w:rPr>
          <w:sz w:val="24"/>
        </w:rPr>
        <w:t xml:space="preserve">rgan </w:t>
      </w:r>
      <w:r w:rsidR="004D3470">
        <w:rPr>
          <w:sz w:val="24"/>
        </w:rPr>
        <w:t>P</w:t>
      </w:r>
      <w:r w:rsidRPr="00CA6543" w:rsidR="00CA6543">
        <w:rPr>
          <w:sz w:val="24"/>
        </w:rPr>
        <w:t xml:space="preserve">rocurement </w:t>
      </w:r>
      <w:r w:rsidR="004D3470">
        <w:rPr>
          <w:sz w:val="24"/>
        </w:rPr>
        <w:t>C</w:t>
      </w:r>
      <w:r w:rsidRPr="00CA6543" w:rsidR="00CA6543">
        <w:rPr>
          <w:sz w:val="24"/>
        </w:rPr>
        <w:t>oordinator (OPC)</w:t>
      </w:r>
      <w:r w:rsidR="004D3470">
        <w:rPr>
          <w:sz w:val="24"/>
        </w:rPr>
        <w:t>(Registered Nurse – 29-1141)</w:t>
      </w:r>
      <w:r w:rsidRPr="00CA6543" w:rsidR="00CA6543">
        <w:rPr>
          <w:sz w:val="24"/>
        </w:rPr>
        <w:t xml:space="preserve">. We expect that these individuals would attend an initial meeting and then the QAPI director, would draft the protocols and ensure they are reviewed by all required parties and agreed to. This would require an hour of </w:t>
      </w:r>
      <w:r w:rsidRPr="00CA6543" w:rsidR="001A0F5B">
        <w:rPr>
          <w:sz w:val="24"/>
        </w:rPr>
        <w:t>everyone’s</w:t>
      </w:r>
      <w:r w:rsidRPr="00CA6543" w:rsidR="00CA6543">
        <w:rPr>
          <w:sz w:val="24"/>
        </w:rPr>
        <w:t xml:space="preserve"> time, except for the QAPI director who would require 2 hours for each transplant program. Thus, for each transplant program, the OPO would need </w:t>
      </w:r>
      <w:r w:rsidRPr="006019FE" w:rsidR="00CA6543">
        <w:rPr>
          <w:sz w:val="24"/>
        </w:rPr>
        <w:t>5</w:t>
      </w:r>
      <w:r w:rsidRPr="00CA6543" w:rsidR="00CA6543">
        <w:rPr>
          <w:sz w:val="24"/>
        </w:rPr>
        <w:t xml:space="preserve"> burden hours. </w:t>
      </w:r>
      <w:r w:rsidR="0026072E">
        <w:rPr>
          <w:sz w:val="24"/>
        </w:rPr>
        <w:t>See Table 11.</w:t>
      </w:r>
    </w:p>
    <w:p w:rsidR="00891D52" w:rsidP="00683CF7" w14:paraId="55016100" w14:textId="77777777">
      <w:pPr>
        <w:widowControl/>
        <w:autoSpaceDE/>
        <w:autoSpaceDN/>
        <w:adjustRightInd/>
        <w:rPr>
          <w:b/>
          <w:bCs/>
          <w:color w:val="000000"/>
          <w:szCs w:val="20"/>
        </w:rPr>
        <w:sectPr w:rsidSect="00FD0FF7">
          <w:endnotePr>
            <w:numFmt w:val="decimal"/>
          </w:endnotePr>
          <w:pgSz w:w="12240" w:h="15840"/>
          <w:pgMar w:top="1440" w:right="1440" w:bottom="1440" w:left="1440" w:header="1440" w:footer="1440" w:gutter="0"/>
          <w:cols w:space="720"/>
          <w:noEndnote/>
          <w:docGrid w:linePitch="272"/>
        </w:sectPr>
      </w:pPr>
    </w:p>
    <w:p w:rsidR="00E14F42" w:rsidRPr="00F03863" w:rsidP="00941BCA" w14:paraId="5FD49345" w14:textId="720450A4">
      <w:pPr>
        <w:pStyle w:val="Heading6"/>
        <w:rPr>
          <w:sz w:val="22"/>
          <w:szCs w:val="22"/>
        </w:rPr>
      </w:pPr>
      <w:r w:rsidRPr="00F03863">
        <w:rPr>
          <w:sz w:val="22"/>
          <w:szCs w:val="22"/>
        </w:rPr>
        <w:t xml:space="preserve">Table </w:t>
      </w:r>
      <w:r w:rsidRPr="00F03863" w:rsidR="001B4F20">
        <w:rPr>
          <w:sz w:val="22"/>
          <w:szCs w:val="22"/>
        </w:rPr>
        <w:t>1</w:t>
      </w:r>
      <w:r w:rsidRPr="00F03863" w:rsidR="00B57AB1">
        <w:rPr>
          <w:sz w:val="22"/>
          <w:szCs w:val="22"/>
        </w:rPr>
        <w:t>1</w:t>
      </w:r>
      <w:r w:rsidRPr="00F03863">
        <w:rPr>
          <w:sz w:val="22"/>
          <w:szCs w:val="22"/>
        </w:rPr>
        <w:t>-Burden Hours and Cost Estimates to Develop Protocol</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960"/>
        <w:gridCol w:w="1228"/>
        <w:gridCol w:w="1083"/>
        <w:gridCol w:w="10"/>
      </w:tblGrid>
      <w:tr w14:paraId="1DB36607" w14:textId="77777777" w:rsidTr="00037F27">
        <w:tblPrEx>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1"/>
        </w:trPr>
        <w:tc>
          <w:tcPr>
            <w:tcW w:w="874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00A2F" w:rsidRPr="00927179" w:rsidP="001A202D" w14:paraId="4C1D5E31" w14:textId="66DFD199">
            <w:pPr>
              <w:widowControl/>
              <w:autoSpaceDE/>
              <w:autoSpaceDN/>
              <w:adjustRightInd/>
              <w:jc w:val="center"/>
              <w:rPr>
                <w:b/>
                <w:bCs/>
                <w:color w:val="000000"/>
                <w:sz w:val="22"/>
                <w:szCs w:val="22"/>
              </w:rPr>
            </w:pPr>
            <w:r w:rsidRPr="00927179">
              <w:rPr>
                <w:b/>
                <w:bCs/>
                <w:color w:val="000000"/>
                <w:sz w:val="22"/>
                <w:szCs w:val="22"/>
              </w:rPr>
              <w:t>Burden Hours/Cost per Protocol</w:t>
            </w:r>
          </w:p>
        </w:tc>
      </w:tr>
      <w:tr w14:paraId="2E115F77" w14:textId="77777777" w:rsidTr="00037F27">
        <w:tblPrEx>
          <w:tblW w:w="0" w:type="auto"/>
          <w:tblInd w:w="80" w:type="dxa"/>
          <w:tblLook w:val="04A0"/>
        </w:tblPrEx>
        <w:trPr>
          <w:gridAfter w:val="1"/>
          <w:wAfter w:w="10" w:type="dxa"/>
          <w:trHeight w:val="495"/>
        </w:trPr>
        <w:tc>
          <w:tcPr>
            <w:tcW w:w="5670" w:type="dxa"/>
            <w:shd w:val="clear" w:color="auto" w:fill="F2F2F2" w:themeFill="background1" w:themeFillShade="F2"/>
            <w:vAlign w:val="center"/>
            <w:hideMark/>
          </w:tcPr>
          <w:p w:rsidR="001A202D" w:rsidRPr="008B3E8E" w:rsidP="001A202D" w14:paraId="24A55619" w14:textId="77777777">
            <w:pPr>
              <w:widowControl/>
              <w:autoSpaceDE/>
              <w:autoSpaceDN/>
              <w:adjustRightInd/>
              <w:jc w:val="center"/>
              <w:rPr>
                <w:b/>
                <w:bCs/>
                <w:color w:val="000000"/>
                <w:szCs w:val="20"/>
              </w:rPr>
            </w:pPr>
            <w:r w:rsidRPr="00896122">
              <w:rPr>
                <w:b/>
                <w:bCs/>
                <w:color w:val="000000"/>
                <w:sz w:val="22"/>
                <w:szCs w:val="22"/>
              </w:rPr>
              <w:t>Position</w:t>
            </w:r>
          </w:p>
        </w:tc>
        <w:tc>
          <w:tcPr>
            <w:tcW w:w="960" w:type="dxa"/>
            <w:shd w:val="clear" w:color="auto" w:fill="F2F2F2" w:themeFill="background1" w:themeFillShade="F2"/>
            <w:vAlign w:val="center"/>
            <w:hideMark/>
          </w:tcPr>
          <w:p w:rsidR="001A202D" w:rsidP="001A202D" w14:paraId="2AE9ECCC" w14:textId="77777777">
            <w:pPr>
              <w:widowControl/>
              <w:autoSpaceDE/>
              <w:autoSpaceDN/>
              <w:adjustRightInd/>
              <w:jc w:val="center"/>
              <w:rPr>
                <w:b/>
                <w:bCs/>
                <w:color w:val="000000"/>
                <w:szCs w:val="20"/>
              </w:rPr>
            </w:pPr>
            <w:r w:rsidRPr="008B3E8E">
              <w:rPr>
                <w:b/>
                <w:bCs/>
                <w:color w:val="000000"/>
                <w:szCs w:val="20"/>
              </w:rPr>
              <w:t>Hourly Wage</w:t>
            </w:r>
          </w:p>
          <w:p w:rsidR="00D00A2F" w:rsidRPr="008B3E8E" w:rsidP="001A202D" w14:paraId="75E4CB9B" w14:textId="610D29A5">
            <w:pPr>
              <w:widowControl/>
              <w:autoSpaceDE/>
              <w:autoSpaceDN/>
              <w:adjustRightInd/>
              <w:jc w:val="center"/>
              <w:rPr>
                <w:b/>
                <w:bCs/>
                <w:color w:val="000000"/>
                <w:szCs w:val="20"/>
              </w:rPr>
            </w:pPr>
            <w:r>
              <w:rPr>
                <w:b/>
                <w:bCs/>
                <w:color w:val="000000"/>
                <w:szCs w:val="20"/>
              </w:rPr>
              <w:t>(a)</w:t>
            </w:r>
          </w:p>
        </w:tc>
        <w:tc>
          <w:tcPr>
            <w:tcW w:w="1020" w:type="dxa"/>
            <w:shd w:val="clear" w:color="auto" w:fill="F2F2F2" w:themeFill="background1" w:themeFillShade="F2"/>
            <w:vAlign w:val="center"/>
            <w:hideMark/>
          </w:tcPr>
          <w:p w:rsidR="001A202D" w:rsidP="001A202D" w14:paraId="620796E2" w14:textId="77777777">
            <w:pPr>
              <w:widowControl/>
              <w:autoSpaceDE/>
              <w:autoSpaceDN/>
              <w:adjustRightInd/>
              <w:jc w:val="center"/>
              <w:rPr>
                <w:b/>
                <w:bCs/>
                <w:color w:val="000000"/>
                <w:szCs w:val="20"/>
              </w:rPr>
            </w:pPr>
            <w:r w:rsidRPr="008B3E8E">
              <w:rPr>
                <w:b/>
                <w:bCs/>
                <w:color w:val="000000"/>
                <w:szCs w:val="20"/>
              </w:rPr>
              <w:t>Burden Hours</w:t>
            </w:r>
            <w:r w:rsidRPr="008B3E8E" w:rsidR="00455B98">
              <w:rPr>
                <w:b/>
                <w:bCs/>
                <w:color w:val="000000"/>
                <w:szCs w:val="20"/>
              </w:rPr>
              <w:t>/Task</w:t>
            </w:r>
          </w:p>
          <w:p w:rsidR="00D00A2F" w:rsidRPr="008B3E8E" w:rsidP="001A202D" w14:paraId="6563E0EF" w14:textId="564A4ECF">
            <w:pPr>
              <w:widowControl/>
              <w:autoSpaceDE/>
              <w:autoSpaceDN/>
              <w:adjustRightInd/>
              <w:jc w:val="center"/>
              <w:rPr>
                <w:b/>
                <w:bCs/>
                <w:color w:val="000000"/>
                <w:szCs w:val="20"/>
              </w:rPr>
            </w:pPr>
            <w:r>
              <w:rPr>
                <w:b/>
                <w:bCs/>
                <w:color w:val="000000"/>
                <w:szCs w:val="20"/>
              </w:rPr>
              <w:t>(b)</w:t>
            </w:r>
          </w:p>
        </w:tc>
        <w:tc>
          <w:tcPr>
            <w:tcW w:w="1083" w:type="dxa"/>
            <w:shd w:val="clear" w:color="auto" w:fill="F2F2F2" w:themeFill="background1" w:themeFillShade="F2"/>
            <w:vAlign w:val="center"/>
            <w:hideMark/>
          </w:tcPr>
          <w:p w:rsidR="00896122" w:rsidP="00896122" w14:paraId="147D673B" w14:textId="4CEDB611">
            <w:pPr>
              <w:widowControl/>
              <w:autoSpaceDE/>
              <w:autoSpaceDN/>
              <w:adjustRightInd/>
              <w:rPr>
                <w:b/>
                <w:bCs/>
                <w:color w:val="000000"/>
                <w:szCs w:val="20"/>
              </w:rPr>
            </w:pPr>
            <w:r w:rsidRPr="008B3E8E">
              <w:rPr>
                <w:b/>
                <w:bCs/>
                <w:color w:val="000000"/>
                <w:szCs w:val="20"/>
              </w:rPr>
              <w:t>Cost</w:t>
            </w:r>
            <w:r w:rsidRPr="008B3E8E" w:rsidR="00455B98">
              <w:rPr>
                <w:b/>
                <w:bCs/>
                <w:color w:val="000000"/>
                <w:szCs w:val="20"/>
              </w:rPr>
              <w:t>/Task</w:t>
            </w:r>
            <w:r w:rsidRPr="008B3E8E">
              <w:rPr>
                <w:b/>
                <w:bCs/>
                <w:color w:val="000000"/>
                <w:szCs w:val="20"/>
              </w:rPr>
              <w:t xml:space="preserve"> </w:t>
            </w:r>
          </w:p>
          <w:p w:rsidR="00896122" w:rsidP="00896122" w14:paraId="39F7531E" w14:textId="77777777">
            <w:pPr>
              <w:widowControl/>
              <w:autoSpaceDE/>
              <w:autoSpaceDN/>
              <w:adjustRightInd/>
              <w:rPr>
                <w:b/>
                <w:bCs/>
                <w:color w:val="000000"/>
                <w:szCs w:val="20"/>
              </w:rPr>
            </w:pPr>
          </w:p>
          <w:p w:rsidR="00D00A2F" w:rsidRPr="008B3E8E" w:rsidP="00896122" w14:paraId="43B912C1" w14:textId="66A09815">
            <w:pPr>
              <w:widowControl/>
              <w:autoSpaceDE/>
              <w:autoSpaceDN/>
              <w:adjustRightInd/>
              <w:rPr>
                <w:b/>
                <w:bCs/>
                <w:color w:val="000000"/>
                <w:szCs w:val="20"/>
              </w:rPr>
            </w:pPr>
            <w:r>
              <w:rPr>
                <w:b/>
                <w:bCs/>
                <w:color w:val="000000"/>
                <w:szCs w:val="20"/>
              </w:rPr>
              <w:t>(c= a x b)</w:t>
            </w:r>
          </w:p>
        </w:tc>
      </w:tr>
      <w:tr w14:paraId="10A24388" w14:textId="77777777" w:rsidTr="00037F27">
        <w:tblPrEx>
          <w:tblW w:w="0" w:type="auto"/>
          <w:tblInd w:w="80" w:type="dxa"/>
          <w:tblLook w:val="04A0"/>
        </w:tblPrEx>
        <w:trPr>
          <w:gridAfter w:val="1"/>
          <w:wAfter w:w="10" w:type="dxa"/>
          <w:trHeight w:val="315"/>
        </w:trPr>
        <w:tc>
          <w:tcPr>
            <w:tcW w:w="5670" w:type="dxa"/>
            <w:vAlign w:val="center"/>
            <w:hideMark/>
          </w:tcPr>
          <w:p w:rsidR="001A202D" w:rsidRPr="00927179" w:rsidP="001A202D" w14:paraId="6B881A8A" w14:textId="41A8B519">
            <w:pPr>
              <w:widowControl/>
              <w:autoSpaceDE/>
              <w:autoSpaceDN/>
              <w:adjustRightInd/>
              <w:rPr>
                <w:color w:val="000000"/>
                <w:sz w:val="22"/>
                <w:szCs w:val="22"/>
              </w:rPr>
            </w:pPr>
            <w:r w:rsidRPr="00927179">
              <w:rPr>
                <w:color w:val="000000"/>
                <w:sz w:val="22"/>
                <w:szCs w:val="22"/>
              </w:rPr>
              <w:t xml:space="preserve">Director </w:t>
            </w:r>
            <w:r w:rsidRPr="00927179" w:rsidR="001A0E87">
              <w:rPr>
                <w:color w:val="000000"/>
                <w:sz w:val="22"/>
                <w:szCs w:val="22"/>
              </w:rPr>
              <w:t>(11-1011)</w:t>
            </w:r>
          </w:p>
        </w:tc>
        <w:tc>
          <w:tcPr>
            <w:tcW w:w="960" w:type="dxa"/>
            <w:vAlign w:val="center"/>
            <w:hideMark/>
          </w:tcPr>
          <w:p w:rsidR="001A202D" w:rsidRPr="00927179" w:rsidP="0012365F" w14:paraId="5F6F16D1" w14:textId="0F831F8C">
            <w:pPr>
              <w:widowControl/>
              <w:autoSpaceDE/>
              <w:autoSpaceDN/>
              <w:adjustRightInd/>
              <w:jc w:val="center"/>
              <w:rPr>
                <w:color w:val="000000"/>
                <w:sz w:val="22"/>
                <w:szCs w:val="22"/>
              </w:rPr>
            </w:pPr>
            <w:r w:rsidRPr="00927179">
              <w:rPr>
                <w:color w:val="000000"/>
                <w:sz w:val="22"/>
                <w:szCs w:val="22"/>
              </w:rPr>
              <w:t>$</w:t>
            </w:r>
            <w:r w:rsidRPr="00927179" w:rsidR="0011503B">
              <w:rPr>
                <w:color w:val="000000"/>
                <w:sz w:val="22"/>
                <w:szCs w:val="22"/>
              </w:rPr>
              <w:t>249</w:t>
            </w:r>
          </w:p>
        </w:tc>
        <w:tc>
          <w:tcPr>
            <w:tcW w:w="1020" w:type="dxa"/>
            <w:vAlign w:val="center"/>
            <w:hideMark/>
          </w:tcPr>
          <w:p w:rsidR="001A202D" w:rsidRPr="00927179" w:rsidP="0012365F" w14:paraId="43CB4557" w14:textId="77777777">
            <w:pPr>
              <w:widowControl/>
              <w:autoSpaceDE/>
              <w:autoSpaceDN/>
              <w:adjustRightInd/>
              <w:jc w:val="center"/>
              <w:rPr>
                <w:color w:val="000000"/>
                <w:sz w:val="22"/>
                <w:szCs w:val="22"/>
              </w:rPr>
            </w:pPr>
            <w:r w:rsidRPr="00927179">
              <w:rPr>
                <w:color w:val="000000"/>
                <w:sz w:val="22"/>
                <w:szCs w:val="22"/>
              </w:rPr>
              <w:t>1</w:t>
            </w:r>
          </w:p>
        </w:tc>
        <w:tc>
          <w:tcPr>
            <w:tcW w:w="1083" w:type="dxa"/>
            <w:vAlign w:val="center"/>
            <w:hideMark/>
          </w:tcPr>
          <w:p w:rsidR="001A202D" w:rsidRPr="00927179" w:rsidP="0012365F" w14:paraId="682FE648" w14:textId="1298C693">
            <w:pPr>
              <w:widowControl/>
              <w:autoSpaceDE/>
              <w:autoSpaceDN/>
              <w:adjustRightInd/>
              <w:jc w:val="center"/>
              <w:rPr>
                <w:color w:val="000000"/>
                <w:sz w:val="22"/>
                <w:szCs w:val="22"/>
              </w:rPr>
            </w:pPr>
            <w:r w:rsidRPr="00927179">
              <w:rPr>
                <w:color w:val="000000"/>
                <w:sz w:val="22"/>
                <w:szCs w:val="22"/>
              </w:rPr>
              <w:t>$</w:t>
            </w:r>
            <w:r w:rsidRPr="00927179" w:rsidR="0011503B">
              <w:rPr>
                <w:color w:val="000000"/>
                <w:sz w:val="22"/>
                <w:szCs w:val="22"/>
              </w:rPr>
              <w:t>249</w:t>
            </w:r>
          </w:p>
        </w:tc>
      </w:tr>
      <w:tr w14:paraId="4806AA30" w14:textId="77777777" w:rsidTr="00037F27">
        <w:tblPrEx>
          <w:tblW w:w="0" w:type="auto"/>
          <w:tblInd w:w="80" w:type="dxa"/>
          <w:tblLook w:val="04A0"/>
        </w:tblPrEx>
        <w:trPr>
          <w:gridAfter w:val="1"/>
          <w:wAfter w:w="10" w:type="dxa"/>
          <w:trHeight w:val="315"/>
        </w:trPr>
        <w:tc>
          <w:tcPr>
            <w:tcW w:w="5670" w:type="dxa"/>
            <w:vAlign w:val="center"/>
            <w:hideMark/>
          </w:tcPr>
          <w:p w:rsidR="001A202D" w:rsidRPr="00927179" w:rsidP="001A202D" w14:paraId="3C05770C" w14:textId="16E2C960">
            <w:pPr>
              <w:widowControl/>
              <w:autoSpaceDE/>
              <w:autoSpaceDN/>
              <w:adjustRightInd/>
              <w:rPr>
                <w:color w:val="000000"/>
                <w:sz w:val="22"/>
                <w:szCs w:val="22"/>
              </w:rPr>
            </w:pPr>
            <w:r w:rsidRPr="00927179">
              <w:rPr>
                <w:color w:val="000000"/>
                <w:sz w:val="22"/>
                <w:szCs w:val="22"/>
              </w:rPr>
              <w:t>Medical Director</w:t>
            </w:r>
            <w:r w:rsidRPr="00927179" w:rsidR="001A0E87">
              <w:rPr>
                <w:color w:val="000000"/>
                <w:sz w:val="22"/>
                <w:szCs w:val="22"/>
              </w:rPr>
              <w:t xml:space="preserve"> (29-1210)</w:t>
            </w:r>
          </w:p>
        </w:tc>
        <w:tc>
          <w:tcPr>
            <w:tcW w:w="960" w:type="dxa"/>
            <w:vAlign w:val="center"/>
            <w:hideMark/>
          </w:tcPr>
          <w:p w:rsidR="001A202D" w:rsidRPr="00927179" w:rsidP="0012365F" w14:paraId="38B4DB81" w14:textId="3BB4DAFB">
            <w:pPr>
              <w:widowControl/>
              <w:autoSpaceDE/>
              <w:autoSpaceDN/>
              <w:adjustRightInd/>
              <w:jc w:val="center"/>
              <w:rPr>
                <w:color w:val="000000"/>
                <w:sz w:val="22"/>
                <w:szCs w:val="22"/>
              </w:rPr>
            </w:pPr>
            <w:r w:rsidRPr="00927179">
              <w:rPr>
                <w:color w:val="000000"/>
                <w:sz w:val="22"/>
                <w:szCs w:val="22"/>
              </w:rPr>
              <w:t>$2</w:t>
            </w:r>
            <w:r w:rsidRPr="00927179" w:rsidR="0011503B">
              <w:rPr>
                <w:color w:val="000000"/>
                <w:sz w:val="22"/>
                <w:szCs w:val="22"/>
              </w:rPr>
              <w:t>54</w:t>
            </w:r>
          </w:p>
        </w:tc>
        <w:tc>
          <w:tcPr>
            <w:tcW w:w="1020" w:type="dxa"/>
            <w:vAlign w:val="center"/>
            <w:hideMark/>
          </w:tcPr>
          <w:p w:rsidR="001A202D" w:rsidRPr="00927179" w:rsidP="0012365F" w14:paraId="0D55BD08" w14:textId="77777777">
            <w:pPr>
              <w:widowControl/>
              <w:autoSpaceDE/>
              <w:autoSpaceDN/>
              <w:adjustRightInd/>
              <w:jc w:val="center"/>
              <w:rPr>
                <w:color w:val="000000"/>
                <w:sz w:val="22"/>
                <w:szCs w:val="22"/>
              </w:rPr>
            </w:pPr>
            <w:r w:rsidRPr="00927179">
              <w:rPr>
                <w:color w:val="000000"/>
                <w:sz w:val="22"/>
                <w:szCs w:val="22"/>
              </w:rPr>
              <w:t>1</w:t>
            </w:r>
          </w:p>
        </w:tc>
        <w:tc>
          <w:tcPr>
            <w:tcW w:w="1083" w:type="dxa"/>
            <w:vAlign w:val="center"/>
            <w:hideMark/>
          </w:tcPr>
          <w:p w:rsidR="001A202D" w:rsidRPr="00927179" w:rsidP="0012365F" w14:paraId="2D41953A" w14:textId="05A220FE">
            <w:pPr>
              <w:widowControl/>
              <w:autoSpaceDE/>
              <w:autoSpaceDN/>
              <w:adjustRightInd/>
              <w:jc w:val="center"/>
              <w:rPr>
                <w:color w:val="000000"/>
                <w:sz w:val="22"/>
                <w:szCs w:val="22"/>
              </w:rPr>
            </w:pPr>
            <w:r w:rsidRPr="00927179">
              <w:rPr>
                <w:color w:val="000000"/>
                <w:sz w:val="22"/>
                <w:szCs w:val="22"/>
              </w:rPr>
              <w:t>$2</w:t>
            </w:r>
            <w:r w:rsidRPr="00927179" w:rsidR="0011503B">
              <w:rPr>
                <w:color w:val="000000"/>
                <w:sz w:val="22"/>
                <w:szCs w:val="22"/>
              </w:rPr>
              <w:t>54</w:t>
            </w:r>
          </w:p>
        </w:tc>
      </w:tr>
      <w:tr w14:paraId="71F634DC" w14:textId="77777777" w:rsidTr="00037F27">
        <w:tblPrEx>
          <w:tblW w:w="0" w:type="auto"/>
          <w:tblInd w:w="80" w:type="dxa"/>
          <w:tblLook w:val="04A0"/>
        </w:tblPrEx>
        <w:trPr>
          <w:gridAfter w:val="1"/>
          <w:wAfter w:w="10" w:type="dxa"/>
          <w:trHeight w:val="495"/>
        </w:trPr>
        <w:tc>
          <w:tcPr>
            <w:tcW w:w="5670" w:type="dxa"/>
            <w:vAlign w:val="center"/>
            <w:hideMark/>
          </w:tcPr>
          <w:p w:rsidR="001A202D" w:rsidRPr="00927179" w:rsidP="001A202D" w14:paraId="42BBBE4B" w14:textId="4EF4643A">
            <w:pPr>
              <w:widowControl/>
              <w:autoSpaceDE/>
              <w:autoSpaceDN/>
              <w:adjustRightInd/>
              <w:rPr>
                <w:color w:val="000000"/>
                <w:sz w:val="22"/>
                <w:szCs w:val="22"/>
              </w:rPr>
            </w:pPr>
            <w:r w:rsidRPr="00927179">
              <w:rPr>
                <w:color w:val="000000"/>
                <w:sz w:val="22"/>
                <w:szCs w:val="22"/>
              </w:rPr>
              <w:t>Quality Assessment and Performance Improvement (QAPI) Director</w:t>
            </w:r>
            <w:r w:rsidRPr="00927179" w:rsidR="001A0E87">
              <w:rPr>
                <w:color w:val="000000"/>
                <w:sz w:val="22"/>
                <w:szCs w:val="22"/>
              </w:rPr>
              <w:t xml:space="preserve"> (11-9011)</w:t>
            </w:r>
          </w:p>
        </w:tc>
        <w:tc>
          <w:tcPr>
            <w:tcW w:w="960" w:type="dxa"/>
            <w:vAlign w:val="center"/>
            <w:hideMark/>
          </w:tcPr>
          <w:p w:rsidR="001A202D" w:rsidRPr="00927179" w:rsidP="0012365F" w14:paraId="37800855" w14:textId="37D87416">
            <w:pPr>
              <w:widowControl/>
              <w:autoSpaceDE/>
              <w:autoSpaceDN/>
              <w:adjustRightInd/>
              <w:jc w:val="center"/>
              <w:rPr>
                <w:color w:val="000000"/>
                <w:sz w:val="22"/>
                <w:szCs w:val="22"/>
              </w:rPr>
            </w:pPr>
            <w:r w:rsidRPr="00927179">
              <w:rPr>
                <w:color w:val="000000"/>
                <w:sz w:val="22"/>
                <w:szCs w:val="22"/>
              </w:rPr>
              <w:t>$</w:t>
            </w:r>
            <w:r w:rsidRPr="00927179" w:rsidR="0011503B">
              <w:rPr>
                <w:color w:val="000000"/>
                <w:sz w:val="22"/>
                <w:szCs w:val="22"/>
              </w:rPr>
              <w:t>12</w:t>
            </w:r>
            <w:r w:rsidRPr="00927179">
              <w:rPr>
                <w:color w:val="000000"/>
                <w:sz w:val="22"/>
                <w:szCs w:val="22"/>
              </w:rPr>
              <w:t>9</w:t>
            </w:r>
          </w:p>
        </w:tc>
        <w:tc>
          <w:tcPr>
            <w:tcW w:w="1020" w:type="dxa"/>
            <w:vAlign w:val="center"/>
            <w:hideMark/>
          </w:tcPr>
          <w:p w:rsidR="001A202D" w:rsidRPr="00927179" w:rsidP="0012365F" w14:paraId="45CC6A7D" w14:textId="77777777">
            <w:pPr>
              <w:widowControl/>
              <w:autoSpaceDE/>
              <w:autoSpaceDN/>
              <w:adjustRightInd/>
              <w:jc w:val="center"/>
              <w:rPr>
                <w:color w:val="000000"/>
                <w:sz w:val="22"/>
                <w:szCs w:val="22"/>
              </w:rPr>
            </w:pPr>
            <w:r w:rsidRPr="00927179">
              <w:rPr>
                <w:color w:val="000000"/>
                <w:sz w:val="22"/>
                <w:szCs w:val="22"/>
              </w:rPr>
              <w:t>2</w:t>
            </w:r>
          </w:p>
        </w:tc>
        <w:tc>
          <w:tcPr>
            <w:tcW w:w="1083" w:type="dxa"/>
            <w:vAlign w:val="center"/>
            <w:hideMark/>
          </w:tcPr>
          <w:p w:rsidR="001A202D" w:rsidRPr="00927179" w:rsidP="0012365F" w14:paraId="4E1E0D6F" w14:textId="05EA323C">
            <w:pPr>
              <w:widowControl/>
              <w:autoSpaceDE/>
              <w:autoSpaceDN/>
              <w:adjustRightInd/>
              <w:jc w:val="center"/>
              <w:rPr>
                <w:color w:val="000000"/>
                <w:sz w:val="22"/>
                <w:szCs w:val="22"/>
              </w:rPr>
            </w:pPr>
            <w:r w:rsidRPr="00927179">
              <w:rPr>
                <w:color w:val="000000"/>
                <w:sz w:val="22"/>
                <w:szCs w:val="22"/>
              </w:rPr>
              <w:t>$</w:t>
            </w:r>
            <w:r w:rsidRPr="00927179" w:rsidR="0011503B">
              <w:rPr>
                <w:color w:val="000000"/>
                <w:sz w:val="22"/>
                <w:szCs w:val="22"/>
              </w:rPr>
              <w:t>25</w:t>
            </w:r>
            <w:r w:rsidRPr="00927179">
              <w:rPr>
                <w:color w:val="000000"/>
                <w:sz w:val="22"/>
                <w:szCs w:val="22"/>
              </w:rPr>
              <w:t>8</w:t>
            </w:r>
          </w:p>
        </w:tc>
      </w:tr>
      <w:tr w14:paraId="5EE199AA" w14:textId="77777777" w:rsidTr="00037F27">
        <w:tblPrEx>
          <w:tblW w:w="0" w:type="auto"/>
          <w:tblInd w:w="80" w:type="dxa"/>
          <w:tblLook w:val="04A0"/>
        </w:tblPrEx>
        <w:trPr>
          <w:gridAfter w:val="1"/>
          <w:wAfter w:w="10" w:type="dxa"/>
          <w:trHeight w:val="315"/>
        </w:trPr>
        <w:tc>
          <w:tcPr>
            <w:tcW w:w="5670" w:type="dxa"/>
            <w:vAlign w:val="center"/>
            <w:hideMark/>
          </w:tcPr>
          <w:p w:rsidR="001A202D" w:rsidRPr="00927179" w:rsidP="001A202D" w14:paraId="0D56DE73" w14:textId="75B5420D">
            <w:pPr>
              <w:widowControl/>
              <w:autoSpaceDE/>
              <w:autoSpaceDN/>
              <w:adjustRightInd/>
              <w:rPr>
                <w:color w:val="000000"/>
                <w:sz w:val="22"/>
                <w:szCs w:val="22"/>
              </w:rPr>
            </w:pPr>
            <w:r w:rsidRPr="00927179">
              <w:rPr>
                <w:color w:val="000000"/>
                <w:sz w:val="22"/>
                <w:szCs w:val="22"/>
              </w:rPr>
              <w:t xml:space="preserve">Organ Procurement Coordinator (OPC) </w:t>
            </w:r>
            <w:r w:rsidRPr="00927179" w:rsidR="001A0E87">
              <w:rPr>
                <w:color w:val="000000"/>
                <w:sz w:val="22"/>
                <w:szCs w:val="22"/>
              </w:rPr>
              <w:t>(29-1141)</w:t>
            </w:r>
          </w:p>
        </w:tc>
        <w:tc>
          <w:tcPr>
            <w:tcW w:w="960" w:type="dxa"/>
            <w:vAlign w:val="center"/>
            <w:hideMark/>
          </w:tcPr>
          <w:p w:rsidR="001A202D" w:rsidRPr="00927179" w:rsidP="0012365F" w14:paraId="58A0A570" w14:textId="0495CACB">
            <w:pPr>
              <w:widowControl/>
              <w:autoSpaceDE/>
              <w:autoSpaceDN/>
              <w:adjustRightInd/>
              <w:jc w:val="center"/>
              <w:rPr>
                <w:color w:val="000000"/>
                <w:sz w:val="22"/>
                <w:szCs w:val="22"/>
              </w:rPr>
            </w:pPr>
            <w:r w:rsidRPr="00927179">
              <w:rPr>
                <w:color w:val="000000"/>
                <w:sz w:val="22"/>
                <w:szCs w:val="22"/>
              </w:rPr>
              <w:t>$9</w:t>
            </w:r>
            <w:r w:rsidRPr="00927179" w:rsidR="0011503B">
              <w:rPr>
                <w:color w:val="000000"/>
                <w:sz w:val="22"/>
                <w:szCs w:val="22"/>
              </w:rPr>
              <w:t>1</w:t>
            </w:r>
          </w:p>
        </w:tc>
        <w:tc>
          <w:tcPr>
            <w:tcW w:w="1020" w:type="dxa"/>
            <w:vAlign w:val="center"/>
            <w:hideMark/>
          </w:tcPr>
          <w:p w:rsidR="001A202D" w:rsidRPr="00927179" w:rsidP="0012365F" w14:paraId="25F7945A" w14:textId="77777777">
            <w:pPr>
              <w:widowControl/>
              <w:autoSpaceDE/>
              <w:autoSpaceDN/>
              <w:adjustRightInd/>
              <w:jc w:val="center"/>
              <w:rPr>
                <w:color w:val="000000"/>
                <w:sz w:val="22"/>
                <w:szCs w:val="22"/>
              </w:rPr>
            </w:pPr>
            <w:r w:rsidRPr="00927179">
              <w:rPr>
                <w:color w:val="000000"/>
                <w:sz w:val="22"/>
                <w:szCs w:val="22"/>
              </w:rPr>
              <w:t>1</w:t>
            </w:r>
          </w:p>
        </w:tc>
        <w:tc>
          <w:tcPr>
            <w:tcW w:w="1083" w:type="dxa"/>
            <w:vAlign w:val="center"/>
            <w:hideMark/>
          </w:tcPr>
          <w:p w:rsidR="001A202D" w:rsidRPr="00927179" w:rsidP="0012365F" w14:paraId="2603124B" w14:textId="01917A8F">
            <w:pPr>
              <w:widowControl/>
              <w:autoSpaceDE/>
              <w:autoSpaceDN/>
              <w:adjustRightInd/>
              <w:jc w:val="center"/>
              <w:rPr>
                <w:color w:val="000000"/>
                <w:sz w:val="22"/>
                <w:szCs w:val="22"/>
              </w:rPr>
            </w:pPr>
            <w:r w:rsidRPr="00927179">
              <w:rPr>
                <w:color w:val="000000"/>
                <w:sz w:val="22"/>
                <w:szCs w:val="22"/>
              </w:rPr>
              <w:t>$9</w:t>
            </w:r>
            <w:r w:rsidRPr="00927179" w:rsidR="0011503B">
              <w:rPr>
                <w:color w:val="000000"/>
                <w:sz w:val="22"/>
                <w:szCs w:val="22"/>
              </w:rPr>
              <w:t>1</w:t>
            </w:r>
          </w:p>
        </w:tc>
      </w:tr>
      <w:tr w14:paraId="79F25EA2" w14:textId="77777777" w:rsidTr="00037F27">
        <w:tblPrEx>
          <w:tblW w:w="0" w:type="auto"/>
          <w:tblInd w:w="80" w:type="dxa"/>
          <w:tblLook w:val="04A0"/>
        </w:tblPrEx>
        <w:trPr>
          <w:gridAfter w:val="1"/>
          <w:wAfter w:w="10" w:type="dxa"/>
          <w:trHeight w:val="315"/>
        </w:trPr>
        <w:tc>
          <w:tcPr>
            <w:tcW w:w="5670" w:type="dxa"/>
            <w:shd w:val="clear" w:color="auto" w:fill="F2F2F2" w:themeFill="background1" w:themeFillShade="F2"/>
            <w:vAlign w:val="center"/>
            <w:hideMark/>
          </w:tcPr>
          <w:p w:rsidR="001A202D" w:rsidRPr="00927179" w:rsidP="00D00A2F" w14:paraId="0FD10778" w14:textId="66439A53">
            <w:pPr>
              <w:widowControl/>
              <w:autoSpaceDE/>
              <w:autoSpaceDN/>
              <w:adjustRightInd/>
              <w:jc w:val="right"/>
              <w:rPr>
                <w:b/>
                <w:bCs/>
                <w:color w:val="000000"/>
                <w:sz w:val="22"/>
                <w:szCs w:val="22"/>
              </w:rPr>
            </w:pPr>
            <w:r w:rsidRPr="00927179">
              <w:rPr>
                <w:b/>
                <w:bCs/>
                <w:color w:val="000000"/>
                <w:sz w:val="22"/>
                <w:szCs w:val="22"/>
              </w:rPr>
              <w:t>Total</w:t>
            </w:r>
            <w:r w:rsidRPr="00927179" w:rsidR="00455B98">
              <w:rPr>
                <w:b/>
                <w:bCs/>
                <w:color w:val="000000"/>
                <w:sz w:val="22"/>
                <w:szCs w:val="22"/>
              </w:rPr>
              <w:t xml:space="preserve"> </w:t>
            </w:r>
            <w:r w:rsidRPr="00927179" w:rsidR="0026072E">
              <w:rPr>
                <w:b/>
                <w:bCs/>
                <w:color w:val="000000"/>
                <w:sz w:val="22"/>
                <w:szCs w:val="22"/>
              </w:rPr>
              <w:t xml:space="preserve">Burden Hours/Cost </w:t>
            </w:r>
            <w:r w:rsidRPr="00927179" w:rsidR="00455B98">
              <w:rPr>
                <w:b/>
                <w:bCs/>
                <w:color w:val="000000"/>
                <w:sz w:val="22"/>
                <w:szCs w:val="22"/>
              </w:rPr>
              <w:t>per Protocol</w:t>
            </w:r>
          </w:p>
        </w:tc>
        <w:tc>
          <w:tcPr>
            <w:tcW w:w="960" w:type="dxa"/>
            <w:shd w:val="clear" w:color="auto" w:fill="F2F2F2" w:themeFill="background1" w:themeFillShade="F2"/>
            <w:vAlign w:val="center"/>
            <w:hideMark/>
          </w:tcPr>
          <w:p w:rsidR="001A202D" w:rsidRPr="00927179" w:rsidP="0012365F" w14:paraId="611851F8" w14:textId="5BDE7603">
            <w:pPr>
              <w:widowControl/>
              <w:autoSpaceDE/>
              <w:autoSpaceDN/>
              <w:adjustRightInd/>
              <w:jc w:val="center"/>
              <w:rPr>
                <w:color w:val="000000"/>
                <w:sz w:val="22"/>
                <w:szCs w:val="22"/>
              </w:rPr>
            </w:pPr>
            <w:r w:rsidRPr="00927179">
              <w:rPr>
                <w:color w:val="000000"/>
                <w:sz w:val="22"/>
                <w:szCs w:val="22"/>
              </w:rPr>
              <w:t>n/a</w:t>
            </w:r>
          </w:p>
        </w:tc>
        <w:tc>
          <w:tcPr>
            <w:tcW w:w="1020" w:type="dxa"/>
            <w:shd w:val="clear" w:color="auto" w:fill="F2F2F2" w:themeFill="background1" w:themeFillShade="F2"/>
            <w:vAlign w:val="center"/>
            <w:hideMark/>
          </w:tcPr>
          <w:p w:rsidR="001A202D" w:rsidRPr="00927179" w:rsidP="0012365F" w14:paraId="7D0D8CF4" w14:textId="77777777">
            <w:pPr>
              <w:widowControl/>
              <w:autoSpaceDE/>
              <w:autoSpaceDN/>
              <w:adjustRightInd/>
              <w:jc w:val="center"/>
              <w:rPr>
                <w:b/>
                <w:bCs/>
                <w:color w:val="000000"/>
                <w:sz w:val="22"/>
                <w:szCs w:val="22"/>
              </w:rPr>
            </w:pPr>
            <w:r w:rsidRPr="00927179">
              <w:rPr>
                <w:b/>
                <w:bCs/>
                <w:color w:val="000000"/>
                <w:sz w:val="22"/>
                <w:szCs w:val="22"/>
              </w:rPr>
              <w:t>5</w:t>
            </w:r>
          </w:p>
        </w:tc>
        <w:tc>
          <w:tcPr>
            <w:tcW w:w="1083" w:type="dxa"/>
            <w:shd w:val="clear" w:color="auto" w:fill="F2F2F2" w:themeFill="background1" w:themeFillShade="F2"/>
            <w:vAlign w:val="center"/>
            <w:hideMark/>
          </w:tcPr>
          <w:p w:rsidR="001A202D" w:rsidRPr="00927179" w:rsidP="0012365F" w14:paraId="0BE56222" w14:textId="451764E4">
            <w:pPr>
              <w:widowControl/>
              <w:autoSpaceDE/>
              <w:autoSpaceDN/>
              <w:adjustRightInd/>
              <w:jc w:val="center"/>
              <w:rPr>
                <w:b/>
                <w:bCs/>
                <w:color w:val="000000"/>
                <w:sz w:val="22"/>
                <w:szCs w:val="22"/>
              </w:rPr>
            </w:pPr>
            <w:r w:rsidRPr="00927179">
              <w:rPr>
                <w:b/>
                <w:bCs/>
                <w:color w:val="000000"/>
                <w:sz w:val="22"/>
                <w:szCs w:val="22"/>
              </w:rPr>
              <w:t>$</w:t>
            </w:r>
            <w:r w:rsidRPr="00927179" w:rsidR="0011503B">
              <w:rPr>
                <w:b/>
                <w:bCs/>
                <w:color w:val="000000"/>
                <w:sz w:val="22"/>
                <w:szCs w:val="22"/>
              </w:rPr>
              <w:t>852</w:t>
            </w:r>
          </w:p>
        </w:tc>
      </w:tr>
    </w:tbl>
    <w:p w:rsidR="001F2BC0" w:rsidP="008B3E8E" w14:paraId="30D3CF1D" w14:textId="420FAC9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274B7" w:rsidP="00683CF7" w14:paraId="263C7836" w14:textId="05E62088">
      <w:pPr>
        <w:rPr>
          <w:sz w:val="24"/>
        </w:rPr>
      </w:pPr>
      <w:r>
        <w:rPr>
          <w:sz w:val="24"/>
        </w:rPr>
        <w:t>Table 12 below lays out the a</w:t>
      </w:r>
      <w:r w:rsidRPr="00110B70">
        <w:rPr>
          <w:sz w:val="24"/>
        </w:rPr>
        <w:t xml:space="preserve">nnual </w:t>
      </w:r>
      <w:r>
        <w:rPr>
          <w:sz w:val="24"/>
        </w:rPr>
        <w:t>b</w:t>
      </w:r>
      <w:r w:rsidRPr="00110B70">
        <w:rPr>
          <w:sz w:val="24"/>
        </w:rPr>
        <w:t xml:space="preserve">urden </w:t>
      </w:r>
      <w:r>
        <w:rPr>
          <w:sz w:val="24"/>
        </w:rPr>
        <w:t>h</w:t>
      </w:r>
      <w:r w:rsidRPr="00110B70">
        <w:rPr>
          <w:sz w:val="24"/>
        </w:rPr>
        <w:t xml:space="preserve">ours and </w:t>
      </w:r>
      <w:r>
        <w:rPr>
          <w:sz w:val="24"/>
        </w:rPr>
        <w:t>c</w:t>
      </w:r>
      <w:r w:rsidRPr="00110B70">
        <w:rPr>
          <w:sz w:val="24"/>
        </w:rPr>
        <w:t xml:space="preserve">ost for </w:t>
      </w:r>
      <w:r>
        <w:rPr>
          <w:sz w:val="24"/>
        </w:rPr>
        <w:t>all OPOs</w:t>
      </w:r>
      <w:r w:rsidRPr="00110B70">
        <w:rPr>
          <w:sz w:val="24"/>
        </w:rPr>
        <w:t xml:space="preserve"> to </w:t>
      </w:r>
      <w:r>
        <w:rPr>
          <w:sz w:val="24"/>
        </w:rPr>
        <w:t>comply with §486.360(e)</w:t>
      </w:r>
      <w:r w:rsidR="00891D52">
        <w:rPr>
          <w:sz w:val="24"/>
        </w:rPr>
        <w:t xml:space="preserve">. </w:t>
      </w:r>
      <w:r w:rsidR="0026072E">
        <w:rPr>
          <w:sz w:val="24"/>
        </w:rPr>
        <w:t>Per Table 10</w:t>
      </w:r>
      <w:r w:rsidR="00444236">
        <w:rPr>
          <w:sz w:val="24"/>
        </w:rPr>
        <w:t xml:space="preserve"> above</w:t>
      </w:r>
      <w:r w:rsidRPr="00BE392E" w:rsidR="00CA6543">
        <w:rPr>
          <w:sz w:val="24"/>
        </w:rPr>
        <w:t xml:space="preserve">, each OPO would need to develop protocols </w:t>
      </w:r>
      <w:r w:rsidRPr="001A0E87" w:rsidR="00CA6543">
        <w:rPr>
          <w:sz w:val="24"/>
        </w:rPr>
        <w:t xml:space="preserve">for 12 transplant programs. Thus, to comply with this requirement, each OPO would require </w:t>
      </w:r>
      <w:r w:rsidRPr="006019FE" w:rsidR="00CA6543">
        <w:rPr>
          <w:sz w:val="24"/>
        </w:rPr>
        <w:t xml:space="preserve">60 burden hours (5 burden hours x </w:t>
      </w:r>
      <w:r w:rsidRPr="001A0E87" w:rsidR="00CA6543">
        <w:rPr>
          <w:sz w:val="24"/>
        </w:rPr>
        <w:t>12</w:t>
      </w:r>
      <w:r w:rsidRPr="006019FE" w:rsidR="00CA6543">
        <w:rPr>
          <w:sz w:val="24"/>
        </w:rPr>
        <w:t> transplant programs)</w:t>
      </w:r>
      <w:r w:rsidRPr="001A0E87" w:rsidR="00CA6543">
        <w:rPr>
          <w:sz w:val="24"/>
        </w:rPr>
        <w:t xml:space="preserve"> at a cost of $</w:t>
      </w:r>
      <w:r w:rsidRPr="001A0E87" w:rsidR="0011503B">
        <w:rPr>
          <w:sz w:val="24"/>
        </w:rPr>
        <w:t xml:space="preserve">10,224 </w:t>
      </w:r>
      <w:r w:rsidRPr="001A0E87" w:rsidR="00CA6543">
        <w:rPr>
          <w:sz w:val="24"/>
        </w:rPr>
        <w:t xml:space="preserve"> ($</w:t>
      </w:r>
      <w:r w:rsidRPr="001A0E87" w:rsidR="0011503B">
        <w:rPr>
          <w:sz w:val="24"/>
        </w:rPr>
        <w:t>852</w:t>
      </w:r>
      <w:r w:rsidRPr="001A0E87" w:rsidR="001D5CC9">
        <w:rPr>
          <w:sz w:val="24"/>
        </w:rPr>
        <w:t xml:space="preserve"> </w:t>
      </w:r>
      <w:r w:rsidRPr="001A0E87" w:rsidR="00CA6543">
        <w:rPr>
          <w:sz w:val="24"/>
        </w:rPr>
        <w:t>for each transplant program x 12 transplant programs).  For all 5</w:t>
      </w:r>
      <w:r w:rsidRPr="001A0E87" w:rsidR="0030094E">
        <w:rPr>
          <w:sz w:val="24"/>
        </w:rPr>
        <w:t>7</w:t>
      </w:r>
      <w:r w:rsidRPr="001A0E87" w:rsidR="00CA6543">
        <w:rPr>
          <w:sz w:val="24"/>
        </w:rPr>
        <w:t xml:space="preserve"> OPOs, we estimate that the total burden to develop these protocols</w:t>
      </w:r>
      <w:r w:rsidRPr="00BE392E" w:rsidR="00CA6543">
        <w:rPr>
          <w:sz w:val="24"/>
        </w:rPr>
        <w:t xml:space="preserve"> would be 3,4</w:t>
      </w:r>
      <w:r w:rsidR="00846667">
        <w:rPr>
          <w:sz w:val="24"/>
        </w:rPr>
        <w:t>2</w:t>
      </w:r>
      <w:r w:rsidRPr="00BE392E" w:rsidR="00CA6543">
        <w:rPr>
          <w:sz w:val="24"/>
        </w:rPr>
        <w:t>0 burden hours (</w:t>
      </w:r>
      <w:r w:rsidRPr="00846667" w:rsidR="00CA6543">
        <w:rPr>
          <w:sz w:val="24"/>
        </w:rPr>
        <w:t>60</w:t>
      </w:r>
      <w:r w:rsidRPr="00BE392E" w:rsidR="00CA6543">
        <w:rPr>
          <w:sz w:val="24"/>
        </w:rPr>
        <w:t xml:space="preserve"> burden hours for each OPO x 5</w:t>
      </w:r>
      <w:r w:rsidR="0030094E">
        <w:rPr>
          <w:sz w:val="24"/>
        </w:rPr>
        <w:t>7</w:t>
      </w:r>
      <w:r w:rsidRPr="00BE392E" w:rsidR="00CA6543">
        <w:rPr>
          <w:sz w:val="24"/>
        </w:rPr>
        <w:t xml:space="preserve"> OPOs) at a cost of $</w:t>
      </w:r>
      <w:r w:rsidR="0011503B">
        <w:rPr>
          <w:sz w:val="24"/>
        </w:rPr>
        <w:t>582,768</w:t>
      </w:r>
      <w:r w:rsidRPr="00BE392E" w:rsidR="00CA6543">
        <w:rPr>
          <w:sz w:val="24"/>
        </w:rPr>
        <w:t xml:space="preserve"> ($</w:t>
      </w:r>
      <w:r w:rsidR="0011503B">
        <w:rPr>
          <w:sz w:val="24"/>
        </w:rPr>
        <w:t xml:space="preserve">10,224 </w:t>
      </w:r>
      <w:r w:rsidRPr="00BE392E" w:rsidR="00CA6543">
        <w:rPr>
          <w:sz w:val="24"/>
        </w:rPr>
        <w:t xml:space="preserve"> for each OPO x 5</w:t>
      </w:r>
      <w:r w:rsidR="0030094E">
        <w:rPr>
          <w:sz w:val="24"/>
        </w:rPr>
        <w:t>7</w:t>
      </w:r>
      <w:r w:rsidRPr="00BE392E" w:rsidR="00CA6543">
        <w:rPr>
          <w:sz w:val="24"/>
        </w:rPr>
        <w:t xml:space="preserve"> OPOs).</w:t>
      </w:r>
      <w:r w:rsidR="00012CAB">
        <w:rPr>
          <w:sz w:val="24"/>
        </w:rPr>
        <w:t xml:space="preserve"> See Table 1</w:t>
      </w:r>
      <w:r>
        <w:rPr>
          <w:sz w:val="24"/>
        </w:rPr>
        <w:t>2</w:t>
      </w:r>
      <w:r w:rsidR="00012CAB">
        <w:rPr>
          <w:sz w:val="24"/>
        </w:rPr>
        <w:t>.</w:t>
      </w:r>
    </w:p>
    <w:p w:rsidR="003274B7" w:rsidP="00683CF7" w14:paraId="5491DAEE" w14:textId="77777777">
      <w:pPr>
        <w:rPr>
          <w:sz w:val="24"/>
        </w:rPr>
      </w:pPr>
    </w:p>
    <w:p w:rsidR="003274B7" w:rsidRPr="00927179" w:rsidP="00941BCA" w14:paraId="7B818F45" w14:textId="3B1D7A91">
      <w:pPr>
        <w:pStyle w:val="Heading6"/>
      </w:pPr>
      <w:r w:rsidRPr="00927179">
        <w:t>Table 12</w:t>
      </w:r>
      <w:r w:rsidR="00917023">
        <w:t xml:space="preserve"> -</w:t>
      </w:r>
      <w:r w:rsidRPr="00927179">
        <w:t xml:space="preserve"> IC-5</w:t>
      </w:r>
      <w:r w:rsidR="00917023">
        <w:t xml:space="preserve"> - </w:t>
      </w:r>
      <w:r w:rsidRPr="00927179">
        <w:t xml:space="preserve">Burden Hours and Cost Estimates for </w:t>
      </w:r>
      <w:r w:rsidRPr="00927179" w:rsidR="00F320B0">
        <w:t xml:space="preserve">all </w:t>
      </w:r>
      <w:r w:rsidRPr="00927179">
        <w:t>OPOs to Develop Mutually Agreed upon Protocols</w:t>
      </w:r>
    </w:p>
    <w:tbl>
      <w:tblPr>
        <w:tblStyle w:val="TableGrid"/>
        <w:tblW w:w="8455" w:type="dxa"/>
        <w:tblLook w:val="04A0"/>
      </w:tblPr>
      <w:tblGrid>
        <w:gridCol w:w="5035"/>
        <w:gridCol w:w="1040"/>
        <w:gridCol w:w="1210"/>
        <w:gridCol w:w="1170"/>
      </w:tblGrid>
      <w:tr w14:paraId="755D9D81" w14:textId="77777777" w:rsidTr="00917023">
        <w:tblPrEx>
          <w:tblW w:w="8455" w:type="dxa"/>
          <w:tblLook w:val="04A0"/>
        </w:tblPrEx>
        <w:tc>
          <w:tcPr>
            <w:tcW w:w="5035" w:type="dxa"/>
            <w:shd w:val="clear" w:color="auto" w:fill="F2F2F2" w:themeFill="background1" w:themeFillShade="F2"/>
            <w:vAlign w:val="center"/>
          </w:tcPr>
          <w:p w:rsidR="00F320B0" w:rsidRPr="00917023" w:rsidP="00917023" w14:paraId="3F86432C" w14:textId="091835EC">
            <w:pPr>
              <w:jc w:val="center"/>
              <w:rPr>
                <w:b/>
                <w:bCs/>
                <w:sz w:val="22"/>
                <w:szCs w:val="22"/>
              </w:rPr>
            </w:pPr>
            <w:r w:rsidRPr="00917023">
              <w:rPr>
                <w:b/>
                <w:bCs/>
                <w:sz w:val="22"/>
                <w:szCs w:val="22"/>
              </w:rPr>
              <w:t>Item</w:t>
            </w:r>
          </w:p>
        </w:tc>
        <w:tc>
          <w:tcPr>
            <w:tcW w:w="1040" w:type="dxa"/>
            <w:shd w:val="clear" w:color="auto" w:fill="F2F2F2" w:themeFill="background1" w:themeFillShade="F2"/>
            <w:vAlign w:val="center"/>
          </w:tcPr>
          <w:p w:rsidR="00F320B0" w:rsidRPr="00917023" w:rsidP="00917023" w14:paraId="1CCBBDE3" w14:textId="006E63D4">
            <w:pPr>
              <w:jc w:val="center"/>
              <w:rPr>
                <w:b/>
                <w:bCs/>
                <w:sz w:val="22"/>
                <w:szCs w:val="22"/>
              </w:rPr>
            </w:pPr>
            <w:r w:rsidRPr="00917023">
              <w:rPr>
                <w:b/>
                <w:bCs/>
                <w:sz w:val="22"/>
                <w:szCs w:val="22"/>
              </w:rPr>
              <w:t>N</w:t>
            </w:r>
            <w:r>
              <w:rPr>
                <w:b/>
                <w:bCs/>
                <w:sz w:val="22"/>
                <w:szCs w:val="22"/>
              </w:rPr>
              <w:t>umber</w:t>
            </w:r>
          </w:p>
        </w:tc>
        <w:tc>
          <w:tcPr>
            <w:tcW w:w="1210" w:type="dxa"/>
            <w:shd w:val="clear" w:color="auto" w:fill="F2F2F2" w:themeFill="background1" w:themeFillShade="F2"/>
            <w:vAlign w:val="center"/>
          </w:tcPr>
          <w:p w:rsidR="00F320B0" w:rsidRPr="00917023" w:rsidP="00917023" w14:paraId="3C042CEB" w14:textId="597871FD">
            <w:pPr>
              <w:jc w:val="center"/>
              <w:rPr>
                <w:b/>
                <w:bCs/>
                <w:sz w:val="22"/>
                <w:szCs w:val="22"/>
              </w:rPr>
            </w:pPr>
            <w:r w:rsidRPr="00917023">
              <w:rPr>
                <w:b/>
                <w:bCs/>
                <w:sz w:val="22"/>
                <w:szCs w:val="22"/>
              </w:rPr>
              <w:t>Burden Hours</w:t>
            </w:r>
          </w:p>
        </w:tc>
        <w:tc>
          <w:tcPr>
            <w:tcW w:w="1170" w:type="dxa"/>
            <w:shd w:val="clear" w:color="auto" w:fill="F2F2F2" w:themeFill="background1" w:themeFillShade="F2"/>
            <w:vAlign w:val="center"/>
          </w:tcPr>
          <w:p w:rsidR="00F320B0" w:rsidRPr="00917023" w:rsidP="00917023" w14:paraId="4F406B35" w14:textId="29868632">
            <w:pPr>
              <w:jc w:val="center"/>
              <w:rPr>
                <w:b/>
                <w:bCs/>
                <w:sz w:val="22"/>
                <w:szCs w:val="22"/>
              </w:rPr>
            </w:pPr>
            <w:r w:rsidRPr="00917023">
              <w:rPr>
                <w:b/>
                <w:bCs/>
                <w:sz w:val="22"/>
                <w:szCs w:val="22"/>
              </w:rPr>
              <w:t>Cost</w:t>
            </w:r>
          </w:p>
        </w:tc>
      </w:tr>
      <w:tr w14:paraId="333B5215" w14:textId="77777777" w:rsidTr="00917023">
        <w:tblPrEx>
          <w:tblW w:w="8455" w:type="dxa"/>
          <w:tblLook w:val="04A0"/>
        </w:tblPrEx>
        <w:tc>
          <w:tcPr>
            <w:tcW w:w="5035" w:type="dxa"/>
          </w:tcPr>
          <w:p w:rsidR="00F320B0" w:rsidRPr="00F320B0" w:rsidP="00683CF7" w14:paraId="2370421F" w14:textId="4A2F679E">
            <w:pPr>
              <w:rPr>
                <w:sz w:val="22"/>
                <w:szCs w:val="22"/>
              </w:rPr>
            </w:pPr>
            <w:r w:rsidRPr="00F320B0">
              <w:rPr>
                <w:sz w:val="22"/>
                <w:szCs w:val="22"/>
              </w:rPr>
              <w:t># of Protocols per OPO</w:t>
            </w:r>
            <w:r>
              <w:rPr>
                <w:sz w:val="22"/>
                <w:szCs w:val="22"/>
              </w:rPr>
              <w:t xml:space="preserve">  (Table 10)</w:t>
            </w:r>
          </w:p>
        </w:tc>
        <w:tc>
          <w:tcPr>
            <w:tcW w:w="1040" w:type="dxa"/>
          </w:tcPr>
          <w:p w:rsidR="00F320B0" w:rsidRPr="00F320B0" w:rsidP="003463D0" w14:paraId="24A5543D" w14:textId="49FA4106">
            <w:pPr>
              <w:jc w:val="center"/>
              <w:rPr>
                <w:sz w:val="22"/>
                <w:szCs w:val="22"/>
              </w:rPr>
            </w:pPr>
            <w:r w:rsidRPr="00F320B0">
              <w:rPr>
                <w:sz w:val="22"/>
                <w:szCs w:val="22"/>
              </w:rPr>
              <w:t>12</w:t>
            </w:r>
          </w:p>
        </w:tc>
        <w:tc>
          <w:tcPr>
            <w:tcW w:w="1210" w:type="dxa"/>
          </w:tcPr>
          <w:p w:rsidR="00F320B0" w:rsidRPr="00F320B0" w:rsidP="003463D0" w14:paraId="263DFD82" w14:textId="77777777">
            <w:pPr>
              <w:jc w:val="center"/>
              <w:rPr>
                <w:sz w:val="22"/>
                <w:szCs w:val="22"/>
              </w:rPr>
            </w:pPr>
          </w:p>
        </w:tc>
        <w:tc>
          <w:tcPr>
            <w:tcW w:w="1170" w:type="dxa"/>
          </w:tcPr>
          <w:p w:rsidR="00F320B0" w:rsidRPr="00F320B0" w:rsidP="003463D0" w14:paraId="759D6BBE" w14:textId="073C0FFC">
            <w:pPr>
              <w:jc w:val="center"/>
              <w:rPr>
                <w:sz w:val="22"/>
                <w:szCs w:val="22"/>
              </w:rPr>
            </w:pPr>
          </w:p>
        </w:tc>
      </w:tr>
      <w:tr w14:paraId="7A86712B" w14:textId="77777777" w:rsidTr="00917023">
        <w:tblPrEx>
          <w:tblW w:w="8455" w:type="dxa"/>
          <w:tblLook w:val="04A0"/>
        </w:tblPrEx>
        <w:tc>
          <w:tcPr>
            <w:tcW w:w="5035" w:type="dxa"/>
          </w:tcPr>
          <w:p w:rsidR="00F320B0" w:rsidRPr="00F320B0" w:rsidP="00F320B0" w14:paraId="5BE74C73" w14:textId="31AFB54D">
            <w:pPr>
              <w:widowControl/>
              <w:autoSpaceDE/>
              <w:autoSpaceDN/>
              <w:adjustRightInd/>
              <w:rPr>
                <w:color w:val="000000"/>
                <w:sz w:val="22"/>
                <w:szCs w:val="22"/>
              </w:rPr>
            </w:pPr>
            <w:r w:rsidRPr="00F320B0">
              <w:rPr>
                <w:color w:val="000000"/>
                <w:sz w:val="22"/>
                <w:szCs w:val="22"/>
              </w:rPr>
              <w:t>Burden Hours/Cost per Protocol</w:t>
            </w:r>
            <w:r>
              <w:rPr>
                <w:color w:val="000000"/>
                <w:sz w:val="22"/>
                <w:szCs w:val="22"/>
              </w:rPr>
              <w:t xml:space="preserve"> (Table 11)</w:t>
            </w:r>
          </w:p>
        </w:tc>
        <w:tc>
          <w:tcPr>
            <w:tcW w:w="1040" w:type="dxa"/>
          </w:tcPr>
          <w:p w:rsidR="00F320B0" w:rsidRPr="00F320B0" w:rsidP="003463D0" w14:paraId="536CC552" w14:textId="77777777">
            <w:pPr>
              <w:jc w:val="center"/>
              <w:rPr>
                <w:sz w:val="22"/>
                <w:szCs w:val="22"/>
              </w:rPr>
            </w:pPr>
          </w:p>
        </w:tc>
        <w:tc>
          <w:tcPr>
            <w:tcW w:w="1210" w:type="dxa"/>
          </w:tcPr>
          <w:p w:rsidR="00F320B0" w:rsidRPr="00F320B0" w:rsidP="003463D0" w14:paraId="4A354528" w14:textId="5C612D41">
            <w:pPr>
              <w:jc w:val="center"/>
              <w:rPr>
                <w:sz w:val="22"/>
                <w:szCs w:val="22"/>
              </w:rPr>
            </w:pPr>
            <w:r>
              <w:rPr>
                <w:sz w:val="22"/>
                <w:szCs w:val="22"/>
              </w:rPr>
              <w:t>5</w:t>
            </w:r>
          </w:p>
        </w:tc>
        <w:tc>
          <w:tcPr>
            <w:tcW w:w="1170" w:type="dxa"/>
          </w:tcPr>
          <w:p w:rsidR="00F320B0" w:rsidRPr="00F320B0" w:rsidP="00917023" w14:paraId="0EDACA10" w14:textId="32BEA016">
            <w:pPr>
              <w:jc w:val="right"/>
              <w:rPr>
                <w:sz w:val="22"/>
                <w:szCs w:val="22"/>
              </w:rPr>
            </w:pPr>
            <w:r>
              <w:rPr>
                <w:sz w:val="22"/>
                <w:szCs w:val="22"/>
              </w:rPr>
              <w:t>$852</w:t>
            </w:r>
          </w:p>
        </w:tc>
      </w:tr>
      <w:tr w14:paraId="316E9330" w14:textId="77777777" w:rsidTr="00917023">
        <w:tblPrEx>
          <w:tblW w:w="8455" w:type="dxa"/>
          <w:tblLook w:val="04A0"/>
        </w:tblPrEx>
        <w:tc>
          <w:tcPr>
            <w:tcW w:w="5035" w:type="dxa"/>
          </w:tcPr>
          <w:p w:rsidR="00F320B0" w:rsidRPr="00F320B0" w:rsidP="00683CF7" w14:paraId="12B08904" w14:textId="7B89B698">
            <w:pPr>
              <w:rPr>
                <w:sz w:val="22"/>
                <w:szCs w:val="22"/>
              </w:rPr>
            </w:pPr>
            <w:r w:rsidRPr="00F320B0">
              <w:rPr>
                <w:sz w:val="22"/>
                <w:szCs w:val="22"/>
              </w:rPr>
              <w:t>Burden Hours/Cost per OPO</w:t>
            </w:r>
          </w:p>
        </w:tc>
        <w:tc>
          <w:tcPr>
            <w:tcW w:w="1040" w:type="dxa"/>
          </w:tcPr>
          <w:p w:rsidR="00F320B0" w:rsidRPr="00F320B0" w:rsidP="003463D0" w14:paraId="198524D0" w14:textId="77777777">
            <w:pPr>
              <w:jc w:val="center"/>
              <w:rPr>
                <w:sz w:val="22"/>
                <w:szCs w:val="22"/>
              </w:rPr>
            </w:pPr>
          </w:p>
        </w:tc>
        <w:tc>
          <w:tcPr>
            <w:tcW w:w="1210" w:type="dxa"/>
          </w:tcPr>
          <w:p w:rsidR="00F320B0" w:rsidRPr="00F320B0" w:rsidP="003463D0" w14:paraId="51238389" w14:textId="7EFFA713">
            <w:pPr>
              <w:jc w:val="center"/>
              <w:rPr>
                <w:sz w:val="22"/>
                <w:szCs w:val="22"/>
              </w:rPr>
            </w:pPr>
            <w:r w:rsidRPr="00F320B0">
              <w:rPr>
                <w:sz w:val="22"/>
                <w:szCs w:val="22"/>
              </w:rPr>
              <w:t>60</w:t>
            </w:r>
          </w:p>
        </w:tc>
        <w:tc>
          <w:tcPr>
            <w:tcW w:w="1170" w:type="dxa"/>
          </w:tcPr>
          <w:p w:rsidR="00F320B0" w:rsidRPr="00F320B0" w:rsidP="00917023" w14:paraId="23E2088B" w14:textId="184A4A58">
            <w:pPr>
              <w:jc w:val="right"/>
              <w:rPr>
                <w:sz w:val="22"/>
                <w:szCs w:val="22"/>
              </w:rPr>
            </w:pPr>
            <w:r w:rsidRPr="00F320B0">
              <w:rPr>
                <w:sz w:val="22"/>
                <w:szCs w:val="22"/>
              </w:rPr>
              <w:t>$10,224</w:t>
            </w:r>
          </w:p>
        </w:tc>
      </w:tr>
      <w:tr w14:paraId="5B863525" w14:textId="77777777" w:rsidTr="00917023">
        <w:tblPrEx>
          <w:tblW w:w="8455" w:type="dxa"/>
          <w:tblLook w:val="04A0"/>
        </w:tblPrEx>
        <w:tc>
          <w:tcPr>
            <w:tcW w:w="5035" w:type="dxa"/>
          </w:tcPr>
          <w:p w:rsidR="00F320B0" w:rsidRPr="00F320B0" w:rsidP="00683CF7" w14:paraId="64AFB844" w14:textId="546CC5A6">
            <w:pPr>
              <w:rPr>
                <w:sz w:val="22"/>
                <w:szCs w:val="22"/>
              </w:rPr>
            </w:pPr>
            <w:r>
              <w:rPr>
                <w:sz w:val="22"/>
                <w:szCs w:val="22"/>
              </w:rPr>
              <w:t># of Total OPOs</w:t>
            </w:r>
          </w:p>
        </w:tc>
        <w:tc>
          <w:tcPr>
            <w:tcW w:w="1040" w:type="dxa"/>
          </w:tcPr>
          <w:p w:rsidR="00F320B0" w:rsidRPr="00F320B0" w:rsidP="003463D0" w14:paraId="443D01DD" w14:textId="1343C5AE">
            <w:pPr>
              <w:jc w:val="center"/>
              <w:rPr>
                <w:sz w:val="22"/>
                <w:szCs w:val="22"/>
              </w:rPr>
            </w:pPr>
            <w:r>
              <w:rPr>
                <w:sz w:val="22"/>
                <w:szCs w:val="22"/>
              </w:rPr>
              <w:t>57</w:t>
            </w:r>
          </w:p>
        </w:tc>
        <w:tc>
          <w:tcPr>
            <w:tcW w:w="1210" w:type="dxa"/>
          </w:tcPr>
          <w:p w:rsidR="00F320B0" w:rsidRPr="00F320B0" w:rsidP="003463D0" w14:paraId="737D4A1B" w14:textId="77777777">
            <w:pPr>
              <w:jc w:val="center"/>
              <w:rPr>
                <w:sz w:val="22"/>
                <w:szCs w:val="22"/>
              </w:rPr>
            </w:pPr>
          </w:p>
        </w:tc>
        <w:tc>
          <w:tcPr>
            <w:tcW w:w="1170" w:type="dxa"/>
          </w:tcPr>
          <w:p w:rsidR="00F320B0" w:rsidRPr="00F320B0" w:rsidP="003463D0" w14:paraId="2890F14F" w14:textId="77777777">
            <w:pPr>
              <w:jc w:val="center"/>
              <w:rPr>
                <w:sz w:val="22"/>
                <w:szCs w:val="22"/>
              </w:rPr>
            </w:pPr>
          </w:p>
        </w:tc>
      </w:tr>
      <w:tr w14:paraId="6947E1D4" w14:textId="77777777" w:rsidTr="00917023">
        <w:tblPrEx>
          <w:tblW w:w="8455" w:type="dxa"/>
          <w:tblLook w:val="04A0"/>
        </w:tblPrEx>
        <w:trPr>
          <w:trHeight w:val="296"/>
        </w:trPr>
        <w:tc>
          <w:tcPr>
            <w:tcW w:w="5035" w:type="dxa"/>
            <w:shd w:val="clear" w:color="auto" w:fill="F2F2F2" w:themeFill="background1" w:themeFillShade="F2"/>
          </w:tcPr>
          <w:p w:rsidR="003463D0" w:rsidRPr="00F03863" w:rsidP="003463D0" w14:paraId="10B0E306" w14:textId="777CECC0">
            <w:pPr>
              <w:jc w:val="right"/>
              <w:rPr>
                <w:b/>
                <w:bCs/>
                <w:sz w:val="24"/>
              </w:rPr>
            </w:pPr>
            <w:r w:rsidRPr="00F03863">
              <w:rPr>
                <w:b/>
                <w:bCs/>
                <w:sz w:val="24"/>
              </w:rPr>
              <w:t>Burden Hours/Cost for all OPOs</w:t>
            </w:r>
          </w:p>
        </w:tc>
        <w:tc>
          <w:tcPr>
            <w:tcW w:w="1040" w:type="dxa"/>
            <w:shd w:val="clear" w:color="auto" w:fill="F2F2F2" w:themeFill="background1" w:themeFillShade="F2"/>
          </w:tcPr>
          <w:p w:rsidR="003463D0" w:rsidRPr="00F03863" w:rsidP="003463D0" w14:paraId="6D021D9E" w14:textId="77777777">
            <w:pPr>
              <w:jc w:val="center"/>
              <w:rPr>
                <w:b/>
                <w:bCs/>
                <w:sz w:val="24"/>
              </w:rPr>
            </w:pPr>
          </w:p>
        </w:tc>
        <w:tc>
          <w:tcPr>
            <w:tcW w:w="1210" w:type="dxa"/>
            <w:shd w:val="clear" w:color="auto" w:fill="F2F2F2" w:themeFill="background1" w:themeFillShade="F2"/>
          </w:tcPr>
          <w:p w:rsidR="003463D0" w:rsidRPr="00F03863" w:rsidP="003463D0" w14:paraId="05371855" w14:textId="3C855D75">
            <w:pPr>
              <w:jc w:val="center"/>
              <w:rPr>
                <w:b/>
                <w:bCs/>
                <w:sz w:val="24"/>
              </w:rPr>
            </w:pPr>
            <w:r w:rsidRPr="00F03863">
              <w:rPr>
                <w:b/>
                <w:bCs/>
                <w:sz w:val="24"/>
              </w:rPr>
              <w:t>3,420</w:t>
            </w:r>
          </w:p>
        </w:tc>
        <w:tc>
          <w:tcPr>
            <w:tcW w:w="1170" w:type="dxa"/>
            <w:shd w:val="clear" w:color="auto" w:fill="F2F2F2" w:themeFill="background1" w:themeFillShade="F2"/>
            <w:vAlign w:val="center"/>
          </w:tcPr>
          <w:p w:rsidR="003463D0" w:rsidRPr="00F03863" w:rsidP="003463D0" w14:paraId="2DAD37F1" w14:textId="3CC2FC2F">
            <w:pPr>
              <w:jc w:val="center"/>
              <w:rPr>
                <w:b/>
                <w:bCs/>
                <w:sz w:val="24"/>
              </w:rPr>
            </w:pPr>
            <w:r w:rsidRPr="00F03863">
              <w:rPr>
                <w:b/>
                <w:bCs/>
                <w:color w:val="000000"/>
                <w:sz w:val="24"/>
              </w:rPr>
              <w:t>$582,768</w:t>
            </w:r>
          </w:p>
        </w:tc>
      </w:tr>
    </w:tbl>
    <w:p w:rsidR="00A971E5" w:rsidP="00A971E5" w14:paraId="73B271C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p>
    <w:p w:rsidR="00A971E5" w:rsidP="00A971E5" w14:paraId="2AADAB7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p>
    <w:p w:rsidR="006A16C6" w:rsidRPr="000B3DF5" w:rsidP="00941BCA" w14:paraId="737E1D89" w14:textId="5A7A57D4">
      <w:pPr>
        <w:pStyle w:val="Heading6"/>
      </w:pPr>
      <w:r>
        <w:t xml:space="preserve">Agreement for Policies and Procedures </w:t>
      </w:r>
      <w:r w:rsidRPr="000B3DF5">
        <w:t xml:space="preserve">with Other </w:t>
      </w:r>
      <w:r>
        <w:t>Hospitals</w:t>
      </w:r>
      <w:r w:rsidR="00917023">
        <w:t xml:space="preserve"> - </w:t>
      </w:r>
      <w:r w:rsidRPr="000B3DF5" w:rsidR="00917023">
        <w:t>§</w:t>
      </w:r>
      <w:r w:rsidR="00917023">
        <w:t>482.15(b)(7)</w:t>
      </w:r>
    </w:p>
    <w:p w:rsidR="00B92CBF" w:rsidRPr="003D28C2" w:rsidP="006019FE" w14:paraId="426B9599" w14:textId="5F2E9D01">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3D28C2">
        <w:rPr>
          <w:color w:val="000000"/>
          <w:szCs w:val="24"/>
        </w:rPr>
        <w:t>Per the implementing regulations at 81 FR 63860, hospitals</w:t>
      </w:r>
      <w:r w:rsidRPr="003D28C2" w:rsidR="003D28C2">
        <w:rPr>
          <w:szCs w:val="24"/>
        </w:rPr>
        <w:t xml:space="preserve"> w</w:t>
      </w:r>
      <w:r w:rsidRPr="003D28C2" w:rsidR="003D28C2">
        <w:rPr>
          <w:color w:val="000000"/>
          <w:szCs w:val="24"/>
        </w:rPr>
        <w:t>ith written Agreements with other hospitals or providers m</w:t>
      </w:r>
      <w:r w:rsidRPr="003D28C2">
        <w:rPr>
          <w:color w:val="000000"/>
          <w:szCs w:val="24"/>
        </w:rPr>
        <w:t>ust develop policies and procedures to be able to transfer and receive patients during emergencies that may impact the hospital’s operations and ability to maintain continuity of services to hospital patients.</w:t>
      </w:r>
      <w:r>
        <w:rPr>
          <w:rStyle w:val="StyleFootnoteReference12ptBlackSuperscript"/>
          <w:szCs w:val="24"/>
        </w:rPr>
        <w:footnoteReference w:id="23"/>
      </w:r>
    </w:p>
    <w:p w:rsidR="003D28C2" w:rsidRPr="003D28C2" w:rsidP="006A16C6" w14:paraId="67721423"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Cs w:val="24"/>
        </w:rPr>
      </w:pPr>
    </w:p>
    <w:p w:rsidR="003D28C2" w:rsidRPr="003D28C2" w:rsidP="003D28C2" w14:paraId="5B83BA6D" w14:textId="0CFFD7B4">
      <w:pPr>
        <w:rPr>
          <w:snapToGrid w:val="0"/>
          <w:color w:val="000000"/>
          <w:sz w:val="24"/>
        </w:rPr>
      </w:pPr>
      <w:r w:rsidRPr="006019FE">
        <w:rPr>
          <w:color w:val="000000"/>
          <w:sz w:val="24"/>
        </w:rPr>
        <w:t xml:space="preserve">This CoP was initially identified as an </w:t>
      </w:r>
      <w:r w:rsidR="000938A3">
        <w:rPr>
          <w:color w:val="000000"/>
          <w:sz w:val="24"/>
        </w:rPr>
        <w:t>IC</w:t>
      </w:r>
      <w:r w:rsidRPr="006019FE">
        <w:rPr>
          <w:color w:val="000000"/>
          <w:sz w:val="24"/>
        </w:rPr>
        <w:t xml:space="preserve"> with burden hours and costs for hospitals</w:t>
      </w:r>
      <w:r>
        <w:rPr>
          <w:color w:val="000000"/>
          <w:sz w:val="24"/>
        </w:rPr>
        <w:t xml:space="preserve"> in</w:t>
      </w:r>
      <w:r w:rsidR="00777997">
        <w:rPr>
          <w:color w:val="000000"/>
          <w:sz w:val="24"/>
        </w:rPr>
        <w:t xml:space="preserve"> the </w:t>
      </w:r>
      <w:hyperlink r:id="rId10" w:history="1">
        <w:r w:rsidRPr="00172208" w:rsidR="00777997">
          <w:rPr>
            <w:rStyle w:val="Hyperlink"/>
            <w:sz w:val="24"/>
          </w:rPr>
          <w:t>2016 Final Rule</w:t>
        </w:r>
      </w:hyperlink>
      <w:r w:rsidR="00777997">
        <w:rPr>
          <w:sz w:val="24"/>
        </w:rPr>
        <w:t xml:space="preserve"> </w:t>
      </w:r>
      <w:r w:rsidRPr="00B765B2" w:rsidR="00B765B2">
        <w:rPr>
          <w:color w:val="000000"/>
          <w:sz w:val="24"/>
        </w:rPr>
        <w:t>but</w:t>
      </w:r>
      <w:r w:rsidRPr="006019FE">
        <w:rPr>
          <w:color w:val="000000"/>
          <w:sz w:val="24"/>
        </w:rPr>
        <w:t xml:space="preserve"> should be considered </w:t>
      </w:r>
      <w:r>
        <w:rPr>
          <w:color w:val="000000"/>
          <w:sz w:val="24"/>
        </w:rPr>
        <w:t xml:space="preserve">a </w:t>
      </w:r>
      <w:r w:rsidRPr="006019FE">
        <w:rPr>
          <w:color w:val="000000"/>
          <w:sz w:val="24"/>
        </w:rPr>
        <w:t xml:space="preserve">usual and customary business practice and thus exempt from the PRA </w:t>
      </w:r>
      <w:r w:rsidRPr="003D28C2">
        <w:rPr>
          <w:snapToGrid w:val="0"/>
          <w:color w:val="000000"/>
          <w:sz w:val="24"/>
        </w:rPr>
        <w:t>per 5 CFR §1320.3(b)(2).</w:t>
      </w:r>
    </w:p>
    <w:p w:rsidR="003D28C2" w:rsidRPr="003D28C2" w:rsidP="006019FE" w14:paraId="7923E0F6" w14:textId="6793C089">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891D52" w:rsidP="006019FE" w14:paraId="32C9242A"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br w:type="page"/>
      </w:r>
    </w:p>
    <w:p w:rsidR="00B92CBF" w:rsidRPr="006019FE" w:rsidP="00941BCA" w14:paraId="4CECD375" w14:textId="46E74EDC">
      <w:pPr>
        <w:pStyle w:val="Heading4"/>
      </w:pPr>
      <w:r w:rsidRPr="006019FE">
        <w:t xml:space="preserve">Burden Summary </w:t>
      </w:r>
    </w:p>
    <w:p w:rsidR="00590BD0" w:rsidP="006019FE" w14:paraId="0C0A981F" w14:textId="4A8DBFC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27179">
        <w:rPr>
          <w:color w:val="000000"/>
          <w:sz w:val="24"/>
        </w:rPr>
        <w:t>T</w:t>
      </w:r>
      <w:r w:rsidRPr="00927179" w:rsidR="002E1A1A">
        <w:rPr>
          <w:color w:val="000000"/>
          <w:sz w:val="24"/>
        </w:rPr>
        <w:t xml:space="preserve">able </w:t>
      </w:r>
      <w:r w:rsidRPr="00927179">
        <w:rPr>
          <w:color w:val="000000"/>
          <w:sz w:val="24"/>
        </w:rPr>
        <w:t>1</w:t>
      </w:r>
      <w:r w:rsidRPr="00927179" w:rsidR="00493D37">
        <w:rPr>
          <w:color w:val="000000"/>
          <w:sz w:val="24"/>
        </w:rPr>
        <w:t>3</w:t>
      </w:r>
      <w:r w:rsidRPr="00927179">
        <w:rPr>
          <w:color w:val="000000"/>
          <w:sz w:val="24"/>
        </w:rPr>
        <w:t xml:space="preserve"> </w:t>
      </w:r>
      <w:r w:rsidRPr="00927179" w:rsidR="002E1A1A">
        <w:rPr>
          <w:color w:val="000000"/>
          <w:sz w:val="24"/>
        </w:rPr>
        <w:t>below provides a summary of the information collections burden hours and costs</w:t>
      </w:r>
      <w:r w:rsidRPr="00927179" w:rsidR="00A427C1">
        <w:rPr>
          <w:color w:val="000000"/>
          <w:sz w:val="24"/>
        </w:rPr>
        <w:t xml:space="preserve"> for the industry</w:t>
      </w:r>
      <w:r w:rsidRPr="00927179" w:rsidR="002E1A1A">
        <w:rPr>
          <w:color w:val="000000"/>
          <w:sz w:val="24"/>
        </w:rPr>
        <w:t xml:space="preserve"> within this package. </w:t>
      </w:r>
      <w:r w:rsidRPr="00927179" w:rsidR="001F2BC0">
        <w:rPr>
          <w:sz w:val="24"/>
        </w:rPr>
        <w:t xml:space="preserve">Based on the analysis above, we estimate that for all providers and suppliers to comply with the ICRs would require </w:t>
      </w:r>
      <w:r w:rsidRPr="00927179" w:rsidR="009C156F">
        <w:rPr>
          <w:sz w:val="24"/>
        </w:rPr>
        <w:t>1,2</w:t>
      </w:r>
      <w:r w:rsidRPr="00927179" w:rsidR="00756728">
        <w:rPr>
          <w:sz w:val="24"/>
        </w:rPr>
        <w:t>51</w:t>
      </w:r>
      <w:r w:rsidRPr="00927179" w:rsidR="00982E29">
        <w:rPr>
          <w:sz w:val="24"/>
        </w:rPr>
        <w:t>,</w:t>
      </w:r>
      <w:r w:rsidRPr="00927179" w:rsidR="00E87ED7">
        <w:rPr>
          <w:sz w:val="24"/>
        </w:rPr>
        <w:t>158</w:t>
      </w:r>
      <w:r w:rsidRPr="00927179" w:rsidR="00321166">
        <w:rPr>
          <w:sz w:val="24"/>
        </w:rPr>
        <w:t xml:space="preserve"> </w:t>
      </w:r>
      <w:r w:rsidRPr="00927179" w:rsidR="001F2BC0">
        <w:rPr>
          <w:sz w:val="24"/>
        </w:rPr>
        <w:t>burden hours</w:t>
      </w:r>
      <w:r w:rsidRPr="00927179" w:rsidR="00A82B92">
        <w:rPr>
          <w:sz w:val="24"/>
        </w:rPr>
        <w:t xml:space="preserve"> </w:t>
      </w:r>
      <w:r w:rsidRPr="00927179" w:rsidR="001F2BC0">
        <w:rPr>
          <w:sz w:val="24"/>
        </w:rPr>
        <w:t xml:space="preserve">at a cost of </w:t>
      </w:r>
      <w:r w:rsidRPr="00927179" w:rsidR="009C156F">
        <w:rPr>
          <w:sz w:val="24"/>
        </w:rPr>
        <w:t>$</w:t>
      </w:r>
      <w:r w:rsidRPr="00927179" w:rsidR="00756728">
        <w:rPr>
          <w:sz w:val="24"/>
        </w:rPr>
        <w:t>401</w:t>
      </w:r>
      <w:r w:rsidRPr="00927179" w:rsidR="005B6073">
        <w:rPr>
          <w:sz w:val="24"/>
        </w:rPr>
        <w:t>,</w:t>
      </w:r>
      <w:r w:rsidRPr="00927179" w:rsidR="00E87ED7">
        <w:rPr>
          <w:sz w:val="24"/>
        </w:rPr>
        <w:t>106</w:t>
      </w:r>
      <w:r w:rsidRPr="00927179" w:rsidR="00982E29">
        <w:rPr>
          <w:sz w:val="24"/>
        </w:rPr>
        <w:t>,</w:t>
      </w:r>
      <w:r w:rsidRPr="00927179" w:rsidR="00E87ED7">
        <w:rPr>
          <w:sz w:val="24"/>
        </w:rPr>
        <w:t>506</w:t>
      </w:r>
      <w:r w:rsidRPr="00927179" w:rsidR="00321166">
        <w:rPr>
          <w:sz w:val="24"/>
        </w:rPr>
        <w:t xml:space="preserve"> per Table 1</w:t>
      </w:r>
      <w:r w:rsidRPr="00927179" w:rsidR="00493D37">
        <w:rPr>
          <w:sz w:val="24"/>
        </w:rPr>
        <w:t>3</w:t>
      </w:r>
      <w:r w:rsidRPr="00927179" w:rsidR="00021776">
        <w:rPr>
          <w:sz w:val="24"/>
        </w:rPr>
        <w:t>.</w:t>
      </w:r>
    </w:p>
    <w:p w:rsidR="00927179" w:rsidRPr="00927179" w:rsidP="006019FE" w14:paraId="12AE030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90BD0" w:rsidRPr="00A33D81" w:rsidP="00A33D81" w14:paraId="17DD925D" w14:textId="24A8A1E1">
      <w:pPr>
        <w:pStyle w:val="Heading5"/>
        <w:jc w:val="center"/>
        <w:rPr>
          <w:u w:val="none"/>
        </w:rPr>
      </w:pPr>
      <w:r w:rsidRPr="00A33D81">
        <w:rPr>
          <w:u w:val="none"/>
        </w:rPr>
        <w:t xml:space="preserve">Table </w:t>
      </w:r>
      <w:r w:rsidRPr="00A33D81" w:rsidR="000A6DB5">
        <w:rPr>
          <w:u w:val="none"/>
        </w:rPr>
        <w:t>1</w:t>
      </w:r>
      <w:r w:rsidRPr="00A33D81" w:rsidR="00493D37">
        <w:rPr>
          <w:u w:val="none"/>
        </w:rPr>
        <w:t>3</w:t>
      </w:r>
      <w:r w:rsidRPr="00A33D81" w:rsidR="00917023">
        <w:rPr>
          <w:u w:val="none"/>
        </w:rPr>
        <w:t xml:space="preserve"> - </w:t>
      </w:r>
      <w:r w:rsidRPr="00A33D81" w:rsidR="00983D4D">
        <w:rPr>
          <w:u w:val="none"/>
        </w:rPr>
        <w:t xml:space="preserve">Total </w:t>
      </w:r>
      <w:r w:rsidRPr="00A33D81">
        <w:rPr>
          <w:u w:val="none"/>
        </w:rPr>
        <w:t xml:space="preserve">Burden Hours </w:t>
      </w:r>
      <w:r w:rsidRPr="00A33D81" w:rsidR="00F01511">
        <w:rPr>
          <w:u w:val="none"/>
        </w:rPr>
        <w:t>and Cost Estimates for Industry</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0"/>
        <w:gridCol w:w="1350"/>
        <w:gridCol w:w="1170"/>
        <w:gridCol w:w="1260"/>
        <w:gridCol w:w="1620"/>
      </w:tblGrid>
      <w:tr w14:paraId="43CA5735" w14:textId="77777777" w:rsidTr="00144756">
        <w:tblPrEx>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4860" w:type="dxa"/>
            <w:shd w:val="clear" w:color="auto" w:fill="E7E6E6" w:themeFill="background2"/>
            <w:vAlign w:val="center"/>
            <w:hideMark/>
          </w:tcPr>
          <w:p w:rsidR="00225CDB" w:rsidRPr="00354B39" w:rsidP="00225CDB" w14:paraId="74D0E852" w14:textId="3021A4D0">
            <w:pPr>
              <w:widowControl/>
              <w:autoSpaceDE/>
              <w:autoSpaceDN/>
              <w:adjustRightInd/>
              <w:jc w:val="center"/>
              <w:rPr>
                <w:b/>
                <w:bCs/>
                <w:color w:val="000000"/>
                <w:sz w:val="24"/>
              </w:rPr>
            </w:pPr>
            <w:r w:rsidRPr="00354B39">
              <w:rPr>
                <w:b/>
                <w:bCs/>
                <w:color w:val="000000"/>
                <w:sz w:val="24"/>
              </w:rPr>
              <w:t>Information Collection No.</w:t>
            </w:r>
          </w:p>
        </w:tc>
        <w:tc>
          <w:tcPr>
            <w:tcW w:w="1350" w:type="dxa"/>
            <w:shd w:val="clear" w:color="auto" w:fill="E7E6E6" w:themeFill="background2"/>
            <w:vAlign w:val="center"/>
            <w:hideMark/>
          </w:tcPr>
          <w:p w:rsidR="00225CDB" w:rsidRPr="005B6073" w:rsidP="00225CDB" w14:paraId="0D6D8688" w14:textId="027D354B">
            <w:pPr>
              <w:widowControl/>
              <w:autoSpaceDE/>
              <w:autoSpaceDN/>
              <w:adjustRightInd/>
              <w:jc w:val="center"/>
              <w:rPr>
                <w:b/>
                <w:bCs/>
                <w:color w:val="000000"/>
                <w:szCs w:val="20"/>
              </w:rPr>
            </w:pPr>
            <w:r>
              <w:rPr>
                <w:b/>
                <w:bCs/>
                <w:color w:val="000000"/>
                <w:szCs w:val="20"/>
              </w:rPr>
              <w:t xml:space="preserve"># of </w:t>
            </w:r>
            <w:r w:rsidRPr="005B6073">
              <w:rPr>
                <w:b/>
                <w:bCs/>
                <w:color w:val="000000"/>
                <w:szCs w:val="20"/>
              </w:rPr>
              <w:t xml:space="preserve">Respondents </w:t>
            </w:r>
          </w:p>
        </w:tc>
        <w:tc>
          <w:tcPr>
            <w:tcW w:w="1170" w:type="dxa"/>
            <w:shd w:val="clear" w:color="auto" w:fill="E7E6E6" w:themeFill="background2"/>
            <w:vAlign w:val="center"/>
          </w:tcPr>
          <w:p w:rsidR="00225CDB" w:rsidRPr="005B6073" w:rsidP="00225CDB" w14:paraId="3D3BBCB8" w14:textId="3C618AE2">
            <w:pPr>
              <w:widowControl/>
              <w:autoSpaceDE/>
              <w:autoSpaceDN/>
              <w:adjustRightInd/>
              <w:jc w:val="center"/>
              <w:rPr>
                <w:b/>
                <w:bCs/>
                <w:color w:val="000000"/>
                <w:szCs w:val="20"/>
              </w:rPr>
            </w:pPr>
            <w:r>
              <w:rPr>
                <w:b/>
                <w:bCs/>
                <w:color w:val="000000"/>
                <w:szCs w:val="20"/>
              </w:rPr>
              <w:t># of Responses</w:t>
            </w:r>
          </w:p>
        </w:tc>
        <w:tc>
          <w:tcPr>
            <w:tcW w:w="1260" w:type="dxa"/>
            <w:shd w:val="clear" w:color="auto" w:fill="E7E6E6" w:themeFill="background2"/>
            <w:vAlign w:val="center"/>
            <w:hideMark/>
          </w:tcPr>
          <w:p w:rsidR="00225CDB" w:rsidRPr="005B6073" w:rsidP="00225CDB" w14:paraId="53AA6A51" w14:textId="4F41ABA1">
            <w:pPr>
              <w:widowControl/>
              <w:autoSpaceDE/>
              <w:autoSpaceDN/>
              <w:adjustRightInd/>
              <w:jc w:val="center"/>
              <w:rPr>
                <w:b/>
                <w:bCs/>
                <w:color w:val="000000"/>
                <w:szCs w:val="20"/>
              </w:rPr>
            </w:pPr>
            <w:r w:rsidRPr="005B6073">
              <w:rPr>
                <w:b/>
                <w:bCs/>
                <w:color w:val="000000"/>
                <w:szCs w:val="20"/>
              </w:rPr>
              <w:t>Total Annual Burden Hours</w:t>
            </w:r>
          </w:p>
        </w:tc>
        <w:tc>
          <w:tcPr>
            <w:tcW w:w="1620" w:type="dxa"/>
            <w:shd w:val="clear" w:color="auto" w:fill="E7E6E6" w:themeFill="background2"/>
            <w:vAlign w:val="center"/>
            <w:hideMark/>
          </w:tcPr>
          <w:p w:rsidR="00225CDB" w:rsidRPr="005B6073" w:rsidP="00225CDB" w14:paraId="4BBD9A04" w14:textId="77777777">
            <w:pPr>
              <w:widowControl/>
              <w:autoSpaceDE/>
              <w:autoSpaceDN/>
              <w:adjustRightInd/>
              <w:jc w:val="center"/>
              <w:rPr>
                <w:b/>
                <w:bCs/>
                <w:color w:val="000000"/>
                <w:szCs w:val="20"/>
              </w:rPr>
            </w:pPr>
            <w:r w:rsidRPr="005B6073">
              <w:rPr>
                <w:b/>
                <w:bCs/>
                <w:color w:val="000000"/>
                <w:szCs w:val="20"/>
              </w:rPr>
              <w:t>Total Cost Estimate</w:t>
            </w:r>
          </w:p>
        </w:tc>
      </w:tr>
      <w:tr w14:paraId="67C9A416" w14:textId="77777777" w:rsidTr="00144756">
        <w:tblPrEx>
          <w:tblW w:w="10260" w:type="dxa"/>
          <w:tblInd w:w="-275" w:type="dxa"/>
          <w:tblLayout w:type="fixed"/>
          <w:tblLook w:val="04A0"/>
        </w:tblPrEx>
        <w:trPr>
          <w:trHeight w:val="323"/>
        </w:trPr>
        <w:tc>
          <w:tcPr>
            <w:tcW w:w="4860" w:type="dxa"/>
            <w:vAlign w:val="bottom"/>
            <w:hideMark/>
          </w:tcPr>
          <w:p w:rsidR="00225CDB" w:rsidRPr="008F30DD" w:rsidP="00225CDB" w14:paraId="4480583B" w14:textId="401209B7">
            <w:pPr>
              <w:widowControl/>
              <w:autoSpaceDE/>
              <w:autoSpaceDN/>
              <w:adjustRightInd/>
              <w:rPr>
                <w:color w:val="000000"/>
                <w:sz w:val="22"/>
                <w:szCs w:val="22"/>
              </w:rPr>
            </w:pPr>
            <w:r w:rsidRPr="008F30DD">
              <w:rPr>
                <w:color w:val="000000"/>
                <w:sz w:val="22"/>
                <w:szCs w:val="22"/>
              </w:rPr>
              <w:t xml:space="preserve">IC-1a: Conduct Risk Assessment </w:t>
            </w:r>
          </w:p>
        </w:tc>
        <w:tc>
          <w:tcPr>
            <w:tcW w:w="1350" w:type="dxa"/>
            <w:vAlign w:val="bottom"/>
            <w:hideMark/>
          </w:tcPr>
          <w:p w:rsidR="00225CDB" w:rsidRPr="008F30DD" w:rsidP="00225CDB" w14:paraId="6BAFB3D8" w14:textId="1A707392">
            <w:pPr>
              <w:widowControl/>
              <w:autoSpaceDE/>
              <w:autoSpaceDN/>
              <w:adjustRightInd/>
              <w:jc w:val="center"/>
              <w:rPr>
                <w:color w:val="000000"/>
                <w:sz w:val="22"/>
                <w:szCs w:val="22"/>
              </w:rPr>
            </w:pPr>
            <w:r w:rsidRPr="008F30DD">
              <w:rPr>
                <w:color w:val="000000"/>
                <w:sz w:val="22"/>
                <w:szCs w:val="22"/>
              </w:rPr>
              <w:t>2,606</w:t>
            </w:r>
          </w:p>
          <w:p w:rsidR="00225CDB" w:rsidRPr="008F30DD" w:rsidP="00225CDB" w14:paraId="0AC5B052" w14:textId="48C73C24">
            <w:pPr>
              <w:widowControl/>
              <w:autoSpaceDE/>
              <w:autoSpaceDN/>
              <w:adjustRightInd/>
              <w:jc w:val="center"/>
              <w:rPr>
                <w:color w:val="000000"/>
                <w:sz w:val="22"/>
                <w:szCs w:val="22"/>
              </w:rPr>
            </w:pPr>
          </w:p>
        </w:tc>
        <w:tc>
          <w:tcPr>
            <w:tcW w:w="1170" w:type="dxa"/>
            <w:vAlign w:val="bottom"/>
          </w:tcPr>
          <w:p w:rsidR="00225CDB" w:rsidRPr="008F30DD" w:rsidP="00891D52" w14:paraId="694EF1BA" w14:textId="469550AD">
            <w:pPr>
              <w:widowControl/>
              <w:autoSpaceDE/>
              <w:autoSpaceDN/>
              <w:adjustRightInd/>
              <w:jc w:val="center"/>
              <w:rPr>
                <w:color w:val="000000"/>
                <w:sz w:val="22"/>
                <w:szCs w:val="22"/>
              </w:rPr>
            </w:pPr>
            <w:r w:rsidRPr="008F30DD">
              <w:rPr>
                <w:color w:val="000000"/>
                <w:sz w:val="22"/>
                <w:szCs w:val="22"/>
              </w:rPr>
              <w:t>2,606</w:t>
            </w:r>
          </w:p>
        </w:tc>
        <w:tc>
          <w:tcPr>
            <w:tcW w:w="1260" w:type="dxa"/>
            <w:vAlign w:val="bottom"/>
            <w:hideMark/>
          </w:tcPr>
          <w:p w:rsidR="00225CDB" w:rsidRPr="008F30DD" w:rsidP="00225CDB" w14:paraId="7AFFAD06" w14:textId="27F4F191">
            <w:pPr>
              <w:widowControl/>
              <w:autoSpaceDE/>
              <w:autoSpaceDN/>
              <w:adjustRightInd/>
              <w:jc w:val="center"/>
              <w:rPr>
                <w:color w:val="000000"/>
                <w:sz w:val="22"/>
                <w:szCs w:val="22"/>
              </w:rPr>
            </w:pPr>
            <w:r w:rsidRPr="008F30DD">
              <w:rPr>
                <w:color w:val="000000"/>
                <w:sz w:val="22"/>
                <w:szCs w:val="22"/>
              </w:rPr>
              <w:t xml:space="preserve">24,848 </w:t>
            </w:r>
          </w:p>
        </w:tc>
        <w:tc>
          <w:tcPr>
            <w:tcW w:w="1620" w:type="dxa"/>
            <w:vAlign w:val="bottom"/>
            <w:hideMark/>
          </w:tcPr>
          <w:p w:rsidR="00225CDB" w:rsidRPr="008F30DD" w:rsidP="008F30DD" w14:paraId="65BC24CF" w14:textId="43B05F53">
            <w:pPr>
              <w:widowControl/>
              <w:autoSpaceDE/>
              <w:autoSpaceDN/>
              <w:adjustRightInd/>
              <w:jc w:val="right"/>
              <w:rPr>
                <w:color w:val="000000"/>
                <w:sz w:val="22"/>
                <w:szCs w:val="22"/>
              </w:rPr>
            </w:pPr>
            <w:r w:rsidRPr="008F30DD">
              <w:rPr>
                <w:color w:val="000000"/>
                <w:sz w:val="22"/>
                <w:szCs w:val="22"/>
              </w:rPr>
              <w:t>$7,976,208</w:t>
            </w:r>
          </w:p>
          <w:p w:rsidR="00225CDB" w:rsidRPr="008F30DD" w:rsidP="008F30DD" w14:paraId="3D9DBF88" w14:textId="30EB5184">
            <w:pPr>
              <w:widowControl/>
              <w:autoSpaceDE/>
              <w:autoSpaceDN/>
              <w:adjustRightInd/>
              <w:jc w:val="right"/>
              <w:rPr>
                <w:color w:val="000000"/>
                <w:sz w:val="22"/>
                <w:szCs w:val="22"/>
              </w:rPr>
            </w:pPr>
          </w:p>
        </w:tc>
      </w:tr>
      <w:tr w14:paraId="740EF56A" w14:textId="77777777" w:rsidTr="00144756">
        <w:tblPrEx>
          <w:tblW w:w="10260" w:type="dxa"/>
          <w:tblInd w:w="-275" w:type="dxa"/>
          <w:tblLayout w:type="fixed"/>
          <w:tblLook w:val="04A0"/>
        </w:tblPrEx>
        <w:trPr>
          <w:trHeight w:val="315"/>
        </w:trPr>
        <w:tc>
          <w:tcPr>
            <w:tcW w:w="4860" w:type="dxa"/>
            <w:vAlign w:val="bottom"/>
          </w:tcPr>
          <w:p w:rsidR="00225CDB" w:rsidRPr="008F30DD" w:rsidP="00225CDB" w14:paraId="5B165E11" w14:textId="787E012E">
            <w:pPr>
              <w:widowControl/>
              <w:autoSpaceDE/>
              <w:autoSpaceDN/>
              <w:adjustRightInd/>
              <w:rPr>
                <w:color w:val="000000"/>
                <w:sz w:val="22"/>
                <w:szCs w:val="22"/>
              </w:rPr>
            </w:pPr>
            <w:r w:rsidRPr="008F30DD">
              <w:rPr>
                <w:color w:val="000000"/>
                <w:sz w:val="22"/>
                <w:szCs w:val="22"/>
              </w:rPr>
              <w:t>IC-1b: Develop Emergency Preparedness Plan</w:t>
            </w:r>
          </w:p>
        </w:tc>
        <w:tc>
          <w:tcPr>
            <w:tcW w:w="1350" w:type="dxa"/>
            <w:vAlign w:val="bottom"/>
          </w:tcPr>
          <w:p w:rsidR="00225CDB" w:rsidRPr="008F30DD" w:rsidP="00225CDB" w14:paraId="0423A113" w14:textId="4AEFAA25">
            <w:pPr>
              <w:widowControl/>
              <w:autoSpaceDE/>
              <w:autoSpaceDN/>
              <w:adjustRightInd/>
              <w:jc w:val="center"/>
              <w:rPr>
                <w:color w:val="000000"/>
                <w:sz w:val="22"/>
                <w:szCs w:val="22"/>
              </w:rPr>
            </w:pPr>
            <w:r w:rsidRPr="008F30DD">
              <w:rPr>
                <w:color w:val="000000"/>
                <w:sz w:val="22"/>
                <w:szCs w:val="22"/>
              </w:rPr>
              <w:t>2,633</w:t>
            </w:r>
          </w:p>
        </w:tc>
        <w:tc>
          <w:tcPr>
            <w:tcW w:w="1170" w:type="dxa"/>
            <w:vAlign w:val="bottom"/>
          </w:tcPr>
          <w:p w:rsidR="00225CDB" w:rsidRPr="008F30DD" w:rsidP="00225CDB" w14:paraId="5022784F" w14:textId="6F6ABF44">
            <w:pPr>
              <w:widowControl/>
              <w:autoSpaceDE/>
              <w:autoSpaceDN/>
              <w:adjustRightInd/>
              <w:jc w:val="center"/>
              <w:rPr>
                <w:sz w:val="22"/>
                <w:szCs w:val="22"/>
                <w:highlight w:val="yellow"/>
              </w:rPr>
            </w:pPr>
            <w:r w:rsidRPr="008F30DD">
              <w:rPr>
                <w:color w:val="000000"/>
                <w:sz w:val="22"/>
                <w:szCs w:val="22"/>
              </w:rPr>
              <w:t>2,633</w:t>
            </w:r>
          </w:p>
        </w:tc>
        <w:tc>
          <w:tcPr>
            <w:tcW w:w="1260" w:type="dxa"/>
            <w:vAlign w:val="bottom"/>
          </w:tcPr>
          <w:p w:rsidR="00225CDB" w:rsidRPr="008F30DD" w:rsidP="00B32E1E" w14:paraId="665220A7" w14:textId="2E5BAF5F">
            <w:pPr>
              <w:widowControl/>
              <w:autoSpaceDE/>
              <w:autoSpaceDN/>
              <w:adjustRightInd/>
              <w:jc w:val="center"/>
              <w:rPr>
                <w:sz w:val="22"/>
                <w:szCs w:val="22"/>
              </w:rPr>
            </w:pPr>
            <w:r w:rsidRPr="008F30DD">
              <w:rPr>
                <w:sz w:val="22"/>
                <w:szCs w:val="22"/>
              </w:rPr>
              <w:t>37,898</w:t>
            </w:r>
          </w:p>
        </w:tc>
        <w:tc>
          <w:tcPr>
            <w:tcW w:w="1620" w:type="dxa"/>
            <w:vAlign w:val="bottom"/>
          </w:tcPr>
          <w:p w:rsidR="00225CDB" w:rsidRPr="008F30DD" w:rsidP="008F30DD" w14:paraId="77BBA0A6" w14:textId="33F5A0C4">
            <w:pPr>
              <w:widowControl/>
              <w:autoSpaceDE/>
              <w:autoSpaceDN/>
              <w:adjustRightInd/>
              <w:jc w:val="right"/>
              <w:rPr>
                <w:sz w:val="22"/>
                <w:szCs w:val="22"/>
              </w:rPr>
            </w:pPr>
            <w:r w:rsidRPr="008F30DD">
              <w:rPr>
                <w:sz w:val="22"/>
                <w:szCs w:val="22"/>
              </w:rPr>
              <w:t>$12,165,258</w:t>
            </w:r>
          </w:p>
        </w:tc>
      </w:tr>
      <w:tr w14:paraId="730BB4D3" w14:textId="77777777" w:rsidTr="00144756">
        <w:tblPrEx>
          <w:tblW w:w="10260" w:type="dxa"/>
          <w:tblInd w:w="-275" w:type="dxa"/>
          <w:tblLayout w:type="fixed"/>
          <w:tblLook w:val="04A0"/>
        </w:tblPrEx>
        <w:trPr>
          <w:trHeight w:val="315"/>
        </w:trPr>
        <w:tc>
          <w:tcPr>
            <w:tcW w:w="4860" w:type="dxa"/>
            <w:vAlign w:val="bottom"/>
          </w:tcPr>
          <w:p w:rsidR="00225CDB" w:rsidRPr="008F30DD" w:rsidP="00225CDB" w14:paraId="6367E8F5" w14:textId="54D27BFD">
            <w:pPr>
              <w:widowControl/>
              <w:autoSpaceDE/>
              <w:autoSpaceDN/>
              <w:adjustRightInd/>
              <w:rPr>
                <w:color w:val="000000"/>
                <w:sz w:val="22"/>
                <w:szCs w:val="22"/>
              </w:rPr>
            </w:pPr>
            <w:r w:rsidRPr="008F30DD">
              <w:rPr>
                <w:color w:val="000000"/>
                <w:sz w:val="22"/>
                <w:szCs w:val="22"/>
              </w:rPr>
              <w:t>IC-1c: Biennial Review of Emergency Preparedness Plan</w:t>
            </w:r>
          </w:p>
        </w:tc>
        <w:tc>
          <w:tcPr>
            <w:tcW w:w="1350" w:type="dxa"/>
            <w:vAlign w:val="bottom"/>
          </w:tcPr>
          <w:p w:rsidR="00225CDB" w:rsidRPr="008F30DD" w:rsidP="00225CDB" w14:paraId="2460DCF7" w14:textId="098A4D80">
            <w:pPr>
              <w:widowControl/>
              <w:autoSpaceDE/>
              <w:autoSpaceDN/>
              <w:adjustRightInd/>
              <w:jc w:val="center"/>
              <w:rPr>
                <w:color w:val="000000"/>
                <w:sz w:val="22"/>
                <w:szCs w:val="22"/>
              </w:rPr>
            </w:pPr>
            <w:r w:rsidRPr="008F30DD">
              <w:rPr>
                <w:color w:val="000000"/>
                <w:sz w:val="22"/>
                <w:szCs w:val="22"/>
              </w:rPr>
              <w:t>60,712</w:t>
            </w:r>
          </w:p>
        </w:tc>
        <w:tc>
          <w:tcPr>
            <w:tcW w:w="1170" w:type="dxa"/>
            <w:vAlign w:val="bottom"/>
          </w:tcPr>
          <w:p w:rsidR="00225CDB" w:rsidRPr="008F30DD" w:rsidP="00225CDB" w14:paraId="02632D80" w14:textId="6D38819F">
            <w:pPr>
              <w:widowControl/>
              <w:autoSpaceDE/>
              <w:autoSpaceDN/>
              <w:adjustRightInd/>
              <w:jc w:val="center"/>
              <w:rPr>
                <w:sz w:val="22"/>
                <w:szCs w:val="22"/>
              </w:rPr>
            </w:pPr>
            <w:r w:rsidRPr="008F30DD">
              <w:rPr>
                <w:color w:val="000000"/>
                <w:sz w:val="22"/>
                <w:szCs w:val="22"/>
              </w:rPr>
              <w:t>60,712</w:t>
            </w:r>
          </w:p>
        </w:tc>
        <w:tc>
          <w:tcPr>
            <w:tcW w:w="1260" w:type="dxa"/>
            <w:vAlign w:val="bottom"/>
          </w:tcPr>
          <w:p w:rsidR="00225CDB" w:rsidRPr="008F30DD" w:rsidP="00225CDB" w14:paraId="44E772F9" w14:textId="13033ADD">
            <w:pPr>
              <w:widowControl/>
              <w:autoSpaceDE/>
              <w:autoSpaceDN/>
              <w:adjustRightInd/>
              <w:jc w:val="center"/>
              <w:rPr>
                <w:color w:val="000000"/>
                <w:sz w:val="22"/>
                <w:szCs w:val="22"/>
              </w:rPr>
            </w:pPr>
            <w:r w:rsidRPr="008F30DD">
              <w:rPr>
                <w:sz w:val="22"/>
                <w:szCs w:val="22"/>
              </w:rPr>
              <w:t>675,</w:t>
            </w:r>
            <w:r w:rsidRPr="008F30DD" w:rsidR="004B1527">
              <w:rPr>
                <w:sz w:val="22"/>
                <w:szCs w:val="22"/>
              </w:rPr>
              <w:t>696</w:t>
            </w:r>
          </w:p>
        </w:tc>
        <w:tc>
          <w:tcPr>
            <w:tcW w:w="1620" w:type="dxa"/>
            <w:vAlign w:val="bottom"/>
          </w:tcPr>
          <w:p w:rsidR="00225CDB" w:rsidRPr="008F30DD" w:rsidP="008F30DD" w14:paraId="7E328455" w14:textId="56A9D5B7">
            <w:pPr>
              <w:widowControl/>
              <w:autoSpaceDE/>
              <w:autoSpaceDN/>
              <w:adjustRightInd/>
              <w:jc w:val="right"/>
              <w:rPr>
                <w:color w:val="000000"/>
                <w:sz w:val="22"/>
                <w:szCs w:val="22"/>
              </w:rPr>
            </w:pPr>
            <w:r w:rsidRPr="008F30DD">
              <w:rPr>
                <w:sz w:val="22"/>
                <w:szCs w:val="22"/>
              </w:rPr>
              <w:t>$216,8</w:t>
            </w:r>
            <w:r w:rsidRPr="008F30DD" w:rsidR="004B1527">
              <w:rPr>
                <w:sz w:val="22"/>
                <w:szCs w:val="22"/>
              </w:rPr>
              <w:t>98</w:t>
            </w:r>
            <w:r w:rsidRPr="008F30DD">
              <w:rPr>
                <w:sz w:val="22"/>
                <w:szCs w:val="22"/>
              </w:rPr>
              <w:t>,</w:t>
            </w:r>
            <w:r w:rsidRPr="008F30DD" w:rsidR="004B1527">
              <w:rPr>
                <w:sz w:val="22"/>
                <w:szCs w:val="22"/>
              </w:rPr>
              <w:t>25</w:t>
            </w:r>
            <w:r w:rsidRPr="008F30DD">
              <w:rPr>
                <w:sz w:val="22"/>
                <w:szCs w:val="22"/>
              </w:rPr>
              <w:t>6</w:t>
            </w:r>
          </w:p>
        </w:tc>
      </w:tr>
      <w:tr w14:paraId="45184F4C" w14:textId="77777777" w:rsidTr="00144756">
        <w:tblPrEx>
          <w:tblW w:w="10260" w:type="dxa"/>
          <w:tblInd w:w="-275" w:type="dxa"/>
          <w:tblLayout w:type="fixed"/>
          <w:tblLook w:val="04A0"/>
        </w:tblPrEx>
        <w:trPr>
          <w:trHeight w:val="315"/>
        </w:trPr>
        <w:tc>
          <w:tcPr>
            <w:tcW w:w="4860" w:type="dxa"/>
            <w:vAlign w:val="bottom"/>
          </w:tcPr>
          <w:p w:rsidR="00225CDB" w:rsidRPr="008F30DD" w:rsidP="00225CDB" w14:paraId="7E07DED6" w14:textId="7A66E985">
            <w:pPr>
              <w:widowControl/>
              <w:autoSpaceDE/>
              <w:autoSpaceDN/>
              <w:adjustRightInd/>
              <w:rPr>
                <w:color w:val="000000"/>
                <w:sz w:val="22"/>
                <w:szCs w:val="22"/>
              </w:rPr>
            </w:pPr>
            <w:r w:rsidRPr="008F30DD">
              <w:rPr>
                <w:color w:val="000000"/>
                <w:sz w:val="22"/>
                <w:szCs w:val="22"/>
              </w:rPr>
              <w:t>IC-2: Develop Policies &amp; Procedures</w:t>
            </w:r>
          </w:p>
        </w:tc>
        <w:tc>
          <w:tcPr>
            <w:tcW w:w="1350" w:type="dxa"/>
            <w:vAlign w:val="bottom"/>
          </w:tcPr>
          <w:p w:rsidR="00225CDB" w:rsidRPr="008F30DD" w:rsidP="00225CDB" w14:paraId="0EFCBB3F" w14:textId="0B24C07A">
            <w:pPr>
              <w:widowControl/>
              <w:autoSpaceDE/>
              <w:autoSpaceDN/>
              <w:adjustRightInd/>
              <w:jc w:val="center"/>
              <w:rPr>
                <w:color w:val="000000"/>
                <w:sz w:val="22"/>
                <w:szCs w:val="22"/>
              </w:rPr>
            </w:pPr>
            <w:r w:rsidRPr="008F30DD">
              <w:rPr>
                <w:color w:val="000000"/>
                <w:sz w:val="22"/>
                <w:szCs w:val="22"/>
              </w:rPr>
              <w:t>2,686</w:t>
            </w:r>
          </w:p>
        </w:tc>
        <w:tc>
          <w:tcPr>
            <w:tcW w:w="1170" w:type="dxa"/>
            <w:vAlign w:val="bottom"/>
          </w:tcPr>
          <w:p w:rsidR="00225CDB" w:rsidRPr="008F30DD" w:rsidP="00225CDB" w14:paraId="5AA0AD60" w14:textId="2BD19C96">
            <w:pPr>
              <w:widowControl/>
              <w:autoSpaceDE/>
              <w:autoSpaceDN/>
              <w:adjustRightInd/>
              <w:jc w:val="center"/>
              <w:rPr>
                <w:sz w:val="22"/>
                <w:szCs w:val="22"/>
              </w:rPr>
            </w:pPr>
            <w:r w:rsidRPr="008F30DD">
              <w:rPr>
                <w:color w:val="000000"/>
                <w:sz w:val="22"/>
                <w:szCs w:val="22"/>
              </w:rPr>
              <w:t>2,686</w:t>
            </w:r>
          </w:p>
        </w:tc>
        <w:tc>
          <w:tcPr>
            <w:tcW w:w="1260" w:type="dxa"/>
            <w:vAlign w:val="bottom"/>
          </w:tcPr>
          <w:p w:rsidR="00225CDB" w:rsidRPr="008F30DD" w:rsidP="00225CDB" w14:paraId="04AC1625" w14:textId="2269D536">
            <w:pPr>
              <w:widowControl/>
              <w:autoSpaceDE/>
              <w:autoSpaceDN/>
              <w:adjustRightInd/>
              <w:jc w:val="center"/>
              <w:rPr>
                <w:color w:val="000000"/>
                <w:sz w:val="22"/>
                <w:szCs w:val="22"/>
              </w:rPr>
            </w:pPr>
            <w:r w:rsidRPr="008F30DD">
              <w:rPr>
                <w:sz w:val="22"/>
                <w:szCs w:val="22"/>
              </w:rPr>
              <w:t>29,386</w:t>
            </w:r>
          </w:p>
        </w:tc>
        <w:tc>
          <w:tcPr>
            <w:tcW w:w="1620" w:type="dxa"/>
            <w:vAlign w:val="bottom"/>
          </w:tcPr>
          <w:p w:rsidR="00225CDB" w:rsidRPr="008F30DD" w:rsidP="008F30DD" w14:paraId="58DA2DB5" w14:textId="4A5F77AB">
            <w:pPr>
              <w:widowControl/>
              <w:autoSpaceDE/>
              <w:autoSpaceDN/>
              <w:adjustRightInd/>
              <w:jc w:val="right"/>
              <w:rPr>
                <w:color w:val="000000"/>
                <w:sz w:val="22"/>
                <w:szCs w:val="22"/>
              </w:rPr>
            </w:pPr>
            <w:r w:rsidRPr="008F30DD">
              <w:rPr>
                <w:sz w:val="22"/>
                <w:szCs w:val="22"/>
              </w:rPr>
              <w:t>$9,432,906</w:t>
            </w:r>
          </w:p>
        </w:tc>
      </w:tr>
      <w:tr w14:paraId="487B5DB6" w14:textId="77777777" w:rsidTr="00144756">
        <w:tblPrEx>
          <w:tblW w:w="10260" w:type="dxa"/>
          <w:tblInd w:w="-275" w:type="dxa"/>
          <w:tblLayout w:type="fixed"/>
          <w:tblLook w:val="04A0"/>
        </w:tblPrEx>
        <w:trPr>
          <w:trHeight w:val="315"/>
        </w:trPr>
        <w:tc>
          <w:tcPr>
            <w:tcW w:w="4860" w:type="dxa"/>
            <w:vAlign w:val="bottom"/>
          </w:tcPr>
          <w:p w:rsidR="00225CDB" w:rsidRPr="008F30DD" w:rsidP="00225CDB" w14:paraId="758F9249" w14:textId="600EED74">
            <w:pPr>
              <w:widowControl/>
              <w:autoSpaceDE/>
              <w:autoSpaceDN/>
              <w:adjustRightInd/>
              <w:rPr>
                <w:color w:val="000000"/>
                <w:sz w:val="22"/>
                <w:szCs w:val="22"/>
              </w:rPr>
            </w:pPr>
            <w:r w:rsidRPr="008F30DD">
              <w:rPr>
                <w:color w:val="000000"/>
                <w:sz w:val="22"/>
                <w:szCs w:val="22"/>
              </w:rPr>
              <w:t>IC-3: Develop Communication Plan</w:t>
            </w:r>
          </w:p>
        </w:tc>
        <w:tc>
          <w:tcPr>
            <w:tcW w:w="1350" w:type="dxa"/>
            <w:vAlign w:val="bottom"/>
          </w:tcPr>
          <w:p w:rsidR="00225CDB" w:rsidRPr="008F30DD" w:rsidP="00225CDB" w14:paraId="1FEBE43F" w14:textId="585A52FC">
            <w:pPr>
              <w:widowControl/>
              <w:autoSpaceDE/>
              <w:autoSpaceDN/>
              <w:adjustRightInd/>
              <w:jc w:val="center"/>
              <w:rPr>
                <w:color w:val="000000"/>
                <w:sz w:val="22"/>
                <w:szCs w:val="22"/>
              </w:rPr>
            </w:pPr>
            <w:r w:rsidRPr="008F30DD">
              <w:rPr>
                <w:color w:val="000000"/>
                <w:sz w:val="22"/>
                <w:szCs w:val="22"/>
              </w:rPr>
              <w:t>2,864</w:t>
            </w:r>
          </w:p>
        </w:tc>
        <w:tc>
          <w:tcPr>
            <w:tcW w:w="1170" w:type="dxa"/>
            <w:vAlign w:val="bottom"/>
          </w:tcPr>
          <w:p w:rsidR="00225CDB" w:rsidRPr="008F30DD" w:rsidP="00225CDB" w14:paraId="5B656D2D" w14:textId="2370E8A8">
            <w:pPr>
              <w:widowControl/>
              <w:autoSpaceDE/>
              <w:autoSpaceDN/>
              <w:adjustRightInd/>
              <w:jc w:val="center"/>
              <w:rPr>
                <w:sz w:val="22"/>
                <w:szCs w:val="22"/>
              </w:rPr>
            </w:pPr>
            <w:r w:rsidRPr="008F30DD">
              <w:rPr>
                <w:color w:val="000000"/>
                <w:sz w:val="22"/>
                <w:szCs w:val="22"/>
              </w:rPr>
              <w:t>2,864</w:t>
            </w:r>
          </w:p>
        </w:tc>
        <w:tc>
          <w:tcPr>
            <w:tcW w:w="1260" w:type="dxa"/>
            <w:vAlign w:val="bottom"/>
          </w:tcPr>
          <w:p w:rsidR="00225CDB" w:rsidRPr="008F30DD" w:rsidP="00225CDB" w14:paraId="34FD1646" w14:textId="1D32C2B3">
            <w:pPr>
              <w:widowControl/>
              <w:autoSpaceDE/>
              <w:autoSpaceDN/>
              <w:adjustRightInd/>
              <w:jc w:val="center"/>
              <w:rPr>
                <w:color w:val="000000"/>
                <w:sz w:val="22"/>
                <w:szCs w:val="22"/>
              </w:rPr>
            </w:pPr>
            <w:r w:rsidRPr="008F30DD">
              <w:rPr>
                <w:sz w:val="22"/>
                <w:szCs w:val="22"/>
              </w:rPr>
              <w:t>16,318</w:t>
            </w:r>
          </w:p>
        </w:tc>
        <w:tc>
          <w:tcPr>
            <w:tcW w:w="1620" w:type="dxa"/>
            <w:vAlign w:val="bottom"/>
          </w:tcPr>
          <w:p w:rsidR="00225CDB" w:rsidRPr="008F30DD" w:rsidP="008F30DD" w14:paraId="6C4C5C3C" w14:textId="35649BC9">
            <w:pPr>
              <w:widowControl/>
              <w:autoSpaceDE/>
              <w:autoSpaceDN/>
              <w:adjustRightInd/>
              <w:jc w:val="right"/>
              <w:rPr>
                <w:color w:val="000000"/>
                <w:sz w:val="22"/>
                <w:szCs w:val="22"/>
              </w:rPr>
            </w:pPr>
            <w:r w:rsidRPr="008F30DD">
              <w:rPr>
                <w:sz w:val="22"/>
                <w:szCs w:val="22"/>
              </w:rPr>
              <w:t>$5,238,078</w:t>
            </w:r>
          </w:p>
        </w:tc>
      </w:tr>
      <w:tr w14:paraId="2A964994" w14:textId="77777777" w:rsidTr="00144756">
        <w:tblPrEx>
          <w:tblW w:w="10260" w:type="dxa"/>
          <w:tblInd w:w="-275" w:type="dxa"/>
          <w:tblLayout w:type="fixed"/>
          <w:tblLook w:val="04A0"/>
        </w:tblPrEx>
        <w:trPr>
          <w:trHeight w:val="315"/>
        </w:trPr>
        <w:tc>
          <w:tcPr>
            <w:tcW w:w="4860" w:type="dxa"/>
            <w:vAlign w:val="bottom"/>
            <w:hideMark/>
          </w:tcPr>
          <w:p w:rsidR="00225CDB" w:rsidRPr="008F30DD" w:rsidP="00225CDB" w14:paraId="3DA8DE79" w14:textId="4EA2F9BD">
            <w:pPr>
              <w:widowControl/>
              <w:autoSpaceDE/>
              <w:autoSpaceDN/>
              <w:adjustRightInd/>
              <w:rPr>
                <w:color w:val="000000"/>
                <w:sz w:val="22"/>
                <w:szCs w:val="22"/>
              </w:rPr>
            </w:pPr>
            <w:r w:rsidRPr="008F30DD">
              <w:rPr>
                <w:color w:val="000000"/>
                <w:sz w:val="22"/>
                <w:szCs w:val="22"/>
              </w:rPr>
              <w:t>IC-4a: Develop Training Program</w:t>
            </w:r>
          </w:p>
        </w:tc>
        <w:tc>
          <w:tcPr>
            <w:tcW w:w="1350" w:type="dxa"/>
            <w:vAlign w:val="bottom"/>
            <w:hideMark/>
          </w:tcPr>
          <w:p w:rsidR="00225CDB" w:rsidRPr="008F30DD" w:rsidP="00225CDB" w14:paraId="34CCA667" w14:textId="77777777">
            <w:pPr>
              <w:widowControl/>
              <w:autoSpaceDE/>
              <w:autoSpaceDN/>
              <w:adjustRightInd/>
              <w:jc w:val="center"/>
              <w:rPr>
                <w:color w:val="000000"/>
                <w:sz w:val="22"/>
                <w:szCs w:val="22"/>
              </w:rPr>
            </w:pPr>
            <w:r w:rsidRPr="008F30DD">
              <w:rPr>
                <w:color w:val="000000"/>
                <w:sz w:val="22"/>
                <w:szCs w:val="22"/>
              </w:rPr>
              <w:t>2,927</w:t>
            </w:r>
          </w:p>
          <w:p w:rsidR="00225CDB" w:rsidRPr="008F30DD" w:rsidP="00225CDB" w14:paraId="126B92D0" w14:textId="5D5397C2">
            <w:pPr>
              <w:widowControl/>
              <w:autoSpaceDE/>
              <w:autoSpaceDN/>
              <w:adjustRightInd/>
              <w:jc w:val="center"/>
              <w:rPr>
                <w:color w:val="000000"/>
                <w:sz w:val="22"/>
                <w:szCs w:val="22"/>
              </w:rPr>
            </w:pPr>
          </w:p>
        </w:tc>
        <w:tc>
          <w:tcPr>
            <w:tcW w:w="1170" w:type="dxa"/>
            <w:vAlign w:val="bottom"/>
          </w:tcPr>
          <w:p w:rsidR="00225CDB" w:rsidRPr="008F30DD" w:rsidP="00891D52" w14:paraId="51312C5C" w14:textId="1BE69C10">
            <w:pPr>
              <w:widowControl/>
              <w:autoSpaceDE/>
              <w:autoSpaceDN/>
              <w:adjustRightInd/>
              <w:jc w:val="center"/>
              <w:rPr>
                <w:color w:val="000000"/>
                <w:sz w:val="22"/>
                <w:szCs w:val="22"/>
              </w:rPr>
            </w:pPr>
            <w:r w:rsidRPr="008F30DD">
              <w:rPr>
                <w:color w:val="000000"/>
                <w:sz w:val="22"/>
                <w:szCs w:val="22"/>
              </w:rPr>
              <w:t>2,927</w:t>
            </w:r>
          </w:p>
        </w:tc>
        <w:tc>
          <w:tcPr>
            <w:tcW w:w="1260" w:type="dxa"/>
            <w:vAlign w:val="bottom"/>
            <w:hideMark/>
          </w:tcPr>
          <w:p w:rsidR="00225CDB" w:rsidRPr="008F30DD" w:rsidP="00225CDB" w14:paraId="0358D3CE" w14:textId="7C685007">
            <w:pPr>
              <w:widowControl/>
              <w:autoSpaceDE/>
              <w:autoSpaceDN/>
              <w:adjustRightInd/>
              <w:jc w:val="center"/>
              <w:rPr>
                <w:color w:val="000000"/>
                <w:sz w:val="22"/>
                <w:szCs w:val="22"/>
              </w:rPr>
            </w:pPr>
            <w:r w:rsidRPr="008F30DD">
              <w:rPr>
                <w:color w:val="000000"/>
                <w:sz w:val="22"/>
                <w:szCs w:val="22"/>
              </w:rPr>
              <w:t>27,768</w:t>
            </w:r>
          </w:p>
          <w:p w:rsidR="00225CDB" w:rsidRPr="008F30DD" w:rsidP="00225CDB" w14:paraId="20341C09" w14:textId="09EB2A1A">
            <w:pPr>
              <w:widowControl/>
              <w:autoSpaceDE/>
              <w:autoSpaceDN/>
              <w:adjustRightInd/>
              <w:jc w:val="center"/>
              <w:rPr>
                <w:color w:val="000000"/>
                <w:sz w:val="22"/>
                <w:szCs w:val="22"/>
              </w:rPr>
            </w:pPr>
          </w:p>
        </w:tc>
        <w:tc>
          <w:tcPr>
            <w:tcW w:w="1620" w:type="dxa"/>
            <w:vAlign w:val="bottom"/>
            <w:hideMark/>
          </w:tcPr>
          <w:p w:rsidR="00225CDB" w:rsidRPr="008F30DD" w:rsidP="008F30DD" w14:paraId="68FBE69D" w14:textId="5AE7A1EA">
            <w:pPr>
              <w:widowControl/>
              <w:autoSpaceDE/>
              <w:autoSpaceDN/>
              <w:adjustRightInd/>
              <w:jc w:val="right"/>
              <w:rPr>
                <w:color w:val="000000"/>
                <w:sz w:val="22"/>
                <w:szCs w:val="22"/>
              </w:rPr>
            </w:pPr>
            <w:r w:rsidRPr="008F30DD">
              <w:rPr>
                <w:color w:val="000000"/>
                <w:sz w:val="22"/>
                <w:szCs w:val="22"/>
              </w:rPr>
              <w:t>$8,913,528</w:t>
            </w:r>
          </w:p>
          <w:p w:rsidR="00225CDB" w:rsidRPr="008F30DD" w:rsidP="008F30DD" w14:paraId="0A243873" w14:textId="4B10C944">
            <w:pPr>
              <w:widowControl/>
              <w:autoSpaceDE/>
              <w:autoSpaceDN/>
              <w:adjustRightInd/>
              <w:jc w:val="right"/>
              <w:rPr>
                <w:color w:val="000000"/>
                <w:sz w:val="22"/>
                <w:szCs w:val="22"/>
              </w:rPr>
            </w:pPr>
          </w:p>
        </w:tc>
      </w:tr>
      <w:tr w14:paraId="6FCE90ED" w14:textId="77777777" w:rsidTr="00144756">
        <w:tblPrEx>
          <w:tblW w:w="10260" w:type="dxa"/>
          <w:tblInd w:w="-275" w:type="dxa"/>
          <w:tblLayout w:type="fixed"/>
          <w:tblLook w:val="04A0"/>
        </w:tblPrEx>
        <w:trPr>
          <w:trHeight w:val="315"/>
        </w:trPr>
        <w:tc>
          <w:tcPr>
            <w:tcW w:w="4860" w:type="dxa"/>
            <w:vAlign w:val="bottom"/>
          </w:tcPr>
          <w:p w:rsidR="00225CDB" w:rsidRPr="008F30DD" w:rsidP="00225CDB" w14:paraId="4C33EE88" w14:textId="7D8ECAB2">
            <w:pPr>
              <w:widowControl/>
              <w:autoSpaceDE/>
              <w:autoSpaceDN/>
              <w:adjustRightInd/>
              <w:rPr>
                <w:color w:val="000000"/>
                <w:sz w:val="22"/>
                <w:szCs w:val="22"/>
              </w:rPr>
            </w:pPr>
            <w:r w:rsidRPr="008F30DD">
              <w:rPr>
                <w:color w:val="000000"/>
                <w:sz w:val="22"/>
                <w:szCs w:val="22"/>
              </w:rPr>
              <w:t>IC-4b:Conduct Trainings</w:t>
            </w:r>
          </w:p>
        </w:tc>
        <w:tc>
          <w:tcPr>
            <w:tcW w:w="1350" w:type="dxa"/>
            <w:vAlign w:val="bottom"/>
          </w:tcPr>
          <w:p w:rsidR="00225CDB" w:rsidRPr="008F30DD" w:rsidP="00225CDB" w14:paraId="7F52A268" w14:textId="7A4DFED5">
            <w:pPr>
              <w:widowControl/>
              <w:autoSpaceDE/>
              <w:autoSpaceDN/>
              <w:adjustRightInd/>
              <w:jc w:val="center"/>
              <w:rPr>
                <w:color w:val="000000"/>
                <w:sz w:val="22"/>
                <w:szCs w:val="22"/>
              </w:rPr>
            </w:pPr>
            <w:r w:rsidRPr="008F30DD">
              <w:rPr>
                <w:sz w:val="22"/>
                <w:szCs w:val="22"/>
              </w:rPr>
              <w:t>57,416</w:t>
            </w:r>
          </w:p>
        </w:tc>
        <w:tc>
          <w:tcPr>
            <w:tcW w:w="1170" w:type="dxa"/>
            <w:vAlign w:val="bottom"/>
          </w:tcPr>
          <w:p w:rsidR="00225CDB" w:rsidRPr="008F30DD" w:rsidP="00225CDB" w14:paraId="4852C76B" w14:textId="604CDB29">
            <w:pPr>
              <w:widowControl/>
              <w:autoSpaceDE/>
              <w:autoSpaceDN/>
              <w:adjustRightInd/>
              <w:jc w:val="center"/>
              <w:rPr>
                <w:sz w:val="22"/>
                <w:szCs w:val="22"/>
              </w:rPr>
            </w:pPr>
            <w:r w:rsidRPr="008F30DD">
              <w:rPr>
                <w:sz w:val="22"/>
                <w:szCs w:val="22"/>
              </w:rPr>
              <w:t>57,416</w:t>
            </w:r>
          </w:p>
        </w:tc>
        <w:tc>
          <w:tcPr>
            <w:tcW w:w="1260" w:type="dxa"/>
            <w:vAlign w:val="bottom"/>
          </w:tcPr>
          <w:p w:rsidR="00225CDB" w:rsidRPr="008F30DD" w:rsidP="00225CDB" w14:paraId="6B2AE1AE" w14:textId="67B78979">
            <w:pPr>
              <w:widowControl/>
              <w:autoSpaceDE/>
              <w:autoSpaceDN/>
              <w:adjustRightInd/>
              <w:jc w:val="center"/>
              <w:rPr>
                <w:color w:val="000000"/>
                <w:sz w:val="22"/>
                <w:szCs w:val="22"/>
              </w:rPr>
            </w:pPr>
            <w:r w:rsidRPr="008F30DD">
              <w:rPr>
                <w:sz w:val="22"/>
                <w:szCs w:val="22"/>
              </w:rPr>
              <w:t>287,326</w:t>
            </w:r>
          </w:p>
        </w:tc>
        <w:tc>
          <w:tcPr>
            <w:tcW w:w="1620" w:type="dxa"/>
            <w:vAlign w:val="bottom"/>
          </w:tcPr>
          <w:p w:rsidR="00225CDB" w:rsidRPr="008F30DD" w:rsidP="008F30DD" w14:paraId="6720C911" w14:textId="4D34E7C4">
            <w:pPr>
              <w:widowControl/>
              <w:autoSpaceDE/>
              <w:autoSpaceDN/>
              <w:adjustRightInd/>
              <w:jc w:val="right"/>
              <w:rPr>
                <w:color w:val="000000"/>
                <w:sz w:val="22"/>
                <w:szCs w:val="22"/>
              </w:rPr>
            </w:pPr>
            <w:r w:rsidRPr="008F30DD">
              <w:rPr>
                <w:sz w:val="22"/>
                <w:szCs w:val="22"/>
              </w:rPr>
              <w:t>$92,231,486</w:t>
            </w:r>
          </w:p>
        </w:tc>
      </w:tr>
      <w:tr w14:paraId="5D43C604" w14:textId="77777777" w:rsidTr="00144756">
        <w:tblPrEx>
          <w:tblW w:w="10260" w:type="dxa"/>
          <w:tblInd w:w="-275" w:type="dxa"/>
          <w:tblLayout w:type="fixed"/>
          <w:tblLook w:val="04A0"/>
        </w:tblPrEx>
        <w:trPr>
          <w:trHeight w:val="315"/>
        </w:trPr>
        <w:tc>
          <w:tcPr>
            <w:tcW w:w="4860" w:type="dxa"/>
            <w:vAlign w:val="bottom"/>
          </w:tcPr>
          <w:p w:rsidR="00225CDB" w:rsidRPr="008F30DD" w:rsidP="00225CDB" w14:paraId="67B0F10B" w14:textId="04729324">
            <w:pPr>
              <w:widowControl/>
              <w:autoSpaceDE/>
              <w:autoSpaceDN/>
              <w:adjustRightInd/>
              <w:rPr>
                <w:color w:val="000000"/>
                <w:sz w:val="22"/>
                <w:szCs w:val="22"/>
              </w:rPr>
            </w:pPr>
            <w:r w:rsidRPr="008F30DD">
              <w:rPr>
                <w:color w:val="000000"/>
                <w:sz w:val="22"/>
                <w:szCs w:val="22"/>
              </w:rPr>
              <w:t>IC-4c: Conduct Annual Testing</w:t>
            </w:r>
          </w:p>
        </w:tc>
        <w:tc>
          <w:tcPr>
            <w:tcW w:w="1350" w:type="dxa"/>
            <w:vAlign w:val="bottom"/>
          </w:tcPr>
          <w:p w:rsidR="00225CDB" w:rsidRPr="008F30DD" w:rsidP="00225CDB" w14:paraId="0A1C0F3D" w14:textId="1D361D6E">
            <w:pPr>
              <w:widowControl/>
              <w:autoSpaceDE/>
              <w:autoSpaceDN/>
              <w:adjustRightInd/>
              <w:jc w:val="center"/>
              <w:rPr>
                <w:color w:val="000000"/>
                <w:sz w:val="22"/>
                <w:szCs w:val="22"/>
              </w:rPr>
            </w:pPr>
            <w:r w:rsidRPr="008F30DD">
              <w:rPr>
                <w:sz w:val="22"/>
                <w:szCs w:val="22"/>
              </w:rPr>
              <w:t>49,014</w:t>
            </w:r>
          </w:p>
        </w:tc>
        <w:tc>
          <w:tcPr>
            <w:tcW w:w="1170" w:type="dxa"/>
            <w:vAlign w:val="bottom"/>
          </w:tcPr>
          <w:p w:rsidR="00225CDB" w:rsidRPr="008F30DD" w:rsidP="00225CDB" w14:paraId="1CF052BB" w14:textId="7F80A52F">
            <w:pPr>
              <w:widowControl/>
              <w:autoSpaceDE/>
              <w:autoSpaceDN/>
              <w:adjustRightInd/>
              <w:jc w:val="center"/>
              <w:rPr>
                <w:sz w:val="22"/>
                <w:szCs w:val="22"/>
              </w:rPr>
            </w:pPr>
            <w:r w:rsidRPr="008F30DD">
              <w:rPr>
                <w:sz w:val="22"/>
                <w:szCs w:val="22"/>
              </w:rPr>
              <w:t>49,014</w:t>
            </w:r>
          </w:p>
        </w:tc>
        <w:tc>
          <w:tcPr>
            <w:tcW w:w="1260" w:type="dxa"/>
            <w:vAlign w:val="bottom"/>
          </w:tcPr>
          <w:p w:rsidR="00225CDB" w:rsidRPr="008F30DD" w:rsidP="00225CDB" w14:paraId="78ACB257" w14:textId="39C50C0B">
            <w:pPr>
              <w:widowControl/>
              <w:autoSpaceDE/>
              <w:autoSpaceDN/>
              <w:adjustRightInd/>
              <w:jc w:val="center"/>
              <w:rPr>
                <w:color w:val="000000"/>
                <w:sz w:val="22"/>
                <w:szCs w:val="22"/>
              </w:rPr>
            </w:pPr>
            <w:r w:rsidRPr="008F30DD">
              <w:rPr>
                <w:sz w:val="22"/>
                <w:szCs w:val="22"/>
              </w:rPr>
              <w:t>148,499</w:t>
            </w:r>
          </w:p>
        </w:tc>
        <w:tc>
          <w:tcPr>
            <w:tcW w:w="1620" w:type="dxa"/>
            <w:vAlign w:val="bottom"/>
          </w:tcPr>
          <w:p w:rsidR="00225CDB" w:rsidRPr="008F30DD" w:rsidP="008F30DD" w14:paraId="1442AF17" w14:textId="440C55D7">
            <w:pPr>
              <w:widowControl/>
              <w:autoSpaceDE/>
              <w:autoSpaceDN/>
              <w:adjustRightInd/>
              <w:jc w:val="right"/>
              <w:rPr>
                <w:color w:val="000000"/>
                <w:sz w:val="22"/>
                <w:szCs w:val="22"/>
              </w:rPr>
            </w:pPr>
            <w:r w:rsidRPr="008F30DD">
              <w:rPr>
                <w:sz w:val="22"/>
                <w:szCs w:val="22"/>
              </w:rPr>
              <w:t>$47,668,019</w:t>
            </w:r>
          </w:p>
        </w:tc>
      </w:tr>
      <w:tr w14:paraId="40BC4EA0" w14:textId="77777777" w:rsidTr="00144756">
        <w:tblPrEx>
          <w:tblW w:w="10260" w:type="dxa"/>
          <w:tblInd w:w="-275" w:type="dxa"/>
          <w:tblLayout w:type="fixed"/>
          <w:tblLook w:val="04A0"/>
        </w:tblPrEx>
        <w:trPr>
          <w:trHeight w:val="315"/>
        </w:trPr>
        <w:tc>
          <w:tcPr>
            <w:tcW w:w="4860" w:type="dxa"/>
            <w:vAlign w:val="bottom"/>
            <w:hideMark/>
          </w:tcPr>
          <w:p w:rsidR="00225CDB" w:rsidRPr="008F30DD" w:rsidP="00225CDB" w14:paraId="62917646" w14:textId="4231AB25">
            <w:pPr>
              <w:widowControl/>
              <w:autoSpaceDE/>
              <w:autoSpaceDN/>
              <w:adjustRightInd/>
              <w:rPr>
                <w:color w:val="000000"/>
                <w:sz w:val="22"/>
                <w:szCs w:val="22"/>
              </w:rPr>
            </w:pPr>
            <w:r w:rsidRPr="008F30DD">
              <w:rPr>
                <w:color w:val="000000"/>
                <w:sz w:val="22"/>
                <w:szCs w:val="22"/>
              </w:rPr>
              <w:t>IC-5: Emergency Agreements with Other OPOs</w:t>
            </w:r>
          </w:p>
        </w:tc>
        <w:tc>
          <w:tcPr>
            <w:tcW w:w="1350" w:type="dxa"/>
            <w:vAlign w:val="bottom"/>
            <w:hideMark/>
          </w:tcPr>
          <w:p w:rsidR="00225CDB" w:rsidRPr="008F30DD" w:rsidP="00225CDB" w14:paraId="01734E86" w14:textId="5E060846">
            <w:pPr>
              <w:widowControl/>
              <w:autoSpaceDE/>
              <w:autoSpaceDN/>
              <w:adjustRightInd/>
              <w:jc w:val="center"/>
              <w:rPr>
                <w:color w:val="000000"/>
                <w:sz w:val="22"/>
                <w:szCs w:val="22"/>
              </w:rPr>
            </w:pPr>
            <w:r w:rsidRPr="008F30DD">
              <w:rPr>
                <w:color w:val="000000"/>
                <w:sz w:val="22"/>
                <w:szCs w:val="22"/>
              </w:rPr>
              <w:t>57</w:t>
            </w:r>
          </w:p>
        </w:tc>
        <w:tc>
          <w:tcPr>
            <w:tcW w:w="1170" w:type="dxa"/>
            <w:vAlign w:val="bottom"/>
          </w:tcPr>
          <w:p w:rsidR="00225CDB" w:rsidRPr="008F30DD" w:rsidP="00225CDB" w14:paraId="5B0A9D1D" w14:textId="054DEE7E">
            <w:pPr>
              <w:widowControl/>
              <w:autoSpaceDE/>
              <w:autoSpaceDN/>
              <w:adjustRightInd/>
              <w:jc w:val="center"/>
              <w:rPr>
                <w:color w:val="000000"/>
                <w:sz w:val="22"/>
                <w:szCs w:val="22"/>
              </w:rPr>
            </w:pPr>
            <w:r w:rsidRPr="008F30DD">
              <w:rPr>
                <w:color w:val="000000"/>
                <w:sz w:val="22"/>
                <w:szCs w:val="22"/>
              </w:rPr>
              <w:t>57</w:t>
            </w:r>
          </w:p>
        </w:tc>
        <w:tc>
          <w:tcPr>
            <w:tcW w:w="1260" w:type="dxa"/>
            <w:vAlign w:val="bottom"/>
            <w:hideMark/>
          </w:tcPr>
          <w:p w:rsidR="00225CDB" w:rsidRPr="008F30DD" w:rsidP="00225CDB" w14:paraId="5A5FCDBE" w14:textId="287845B7">
            <w:pPr>
              <w:widowControl/>
              <w:autoSpaceDE/>
              <w:autoSpaceDN/>
              <w:adjustRightInd/>
              <w:jc w:val="center"/>
              <w:rPr>
                <w:color w:val="000000"/>
                <w:sz w:val="22"/>
                <w:szCs w:val="22"/>
              </w:rPr>
            </w:pPr>
            <w:r w:rsidRPr="008F30DD">
              <w:rPr>
                <w:color w:val="000000"/>
                <w:sz w:val="22"/>
                <w:szCs w:val="22"/>
              </w:rPr>
              <w:t>3,420</w:t>
            </w:r>
          </w:p>
        </w:tc>
        <w:tc>
          <w:tcPr>
            <w:tcW w:w="1620" w:type="dxa"/>
            <w:vAlign w:val="bottom"/>
            <w:hideMark/>
          </w:tcPr>
          <w:p w:rsidR="00225CDB" w:rsidRPr="008F30DD" w:rsidP="008F30DD" w14:paraId="3A4A15F1" w14:textId="77777777">
            <w:pPr>
              <w:widowControl/>
              <w:autoSpaceDE/>
              <w:autoSpaceDN/>
              <w:adjustRightInd/>
              <w:jc w:val="right"/>
              <w:rPr>
                <w:color w:val="000000"/>
                <w:sz w:val="22"/>
                <w:szCs w:val="22"/>
              </w:rPr>
            </w:pPr>
            <w:r w:rsidRPr="008F30DD">
              <w:rPr>
                <w:color w:val="000000"/>
                <w:sz w:val="22"/>
                <w:szCs w:val="22"/>
              </w:rPr>
              <w:t>$582,768</w:t>
            </w:r>
          </w:p>
          <w:p w:rsidR="00225CDB" w:rsidRPr="008F30DD" w:rsidP="008F30DD" w14:paraId="2864DE99" w14:textId="2917409E">
            <w:pPr>
              <w:widowControl/>
              <w:autoSpaceDE/>
              <w:autoSpaceDN/>
              <w:adjustRightInd/>
              <w:jc w:val="right"/>
              <w:rPr>
                <w:color w:val="000000"/>
                <w:sz w:val="22"/>
                <w:szCs w:val="22"/>
              </w:rPr>
            </w:pPr>
          </w:p>
        </w:tc>
      </w:tr>
      <w:tr w14:paraId="64BCE241" w14:textId="77777777" w:rsidTr="00144756">
        <w:tblPrEx>
          <w:tblW w:w="10260" w:type="dxa"/>
          <w:tblInd w:w="-275" w:type="dxa"/>
          <w:tblLayout w:type="fixed"/>
          <w:tblLook w:val="04A0"/>
        </w:tblPrEx>
        <w:trPr>
          <w:trHeight w:val="322"/>
        </w:trPr>
        <w:tc>
          <w:tcPr>
            <w:tcW w:w="4860" w:type="dxa"/>
            <w:shd w:val="clear" w:color="auto" w:fill="E7E6E6" w:themeFill="background2"/>
            <w:vAlign w:val="bottom"/>
          </w:tcPr>
          <w:p w:rsidR="00225CDB" w:rsidRPr="00144756" w:rsidP="00225CDB" w14:paraId="6377A2BA" w14:textId="28031062">
            <w:pPr>
              <w:widowControl/>
              <w:autoSpaceDE/>
              <w:autoSpaceDN/>
              <w:adjustRightInd/>
              <w:jc w:val="right"/>
              <w:rPr>
                <w:b/>
                <w:bCs/>
                <w:color w:val="000000"/>
                <w:sz w:val="24"/>
              </w:rPr>
            </w:pPr>
            <w:r w:rsidRPr="00144756">
              <w:rPr>
                <w:b/>
                <w:bCs/>
                <w:color w:val="000000"/>
                <w:sz w:val="24"/>
              </w:rPr>
              <w:t>Total</w:t>
            </w:r>
          </w:p>
        </w:tc>
        <w:tc>
          <w:tcPr>
            <w:tcW w:w="1350" w:type="dxa"/>
            <w:shd w:val="clear" w:color="auto" w:fill="E7E6E6" w:themeFill="background2"/>
            <w:vAlign w:val="bottom"/>
          </w:tcPr>
          <w:p w:rsidR="00225CDB" w:rsidRPr="00144756" w:rsidP="00225CDB" w14:paraId="7FAA9E58" w14:textId="02AD57FC">
            <w:pPr>
              <w:widowControl/>
              <w:autoSpaceDE/>
              <w:autoSpaceDN/>
              <w:adjustRightInd/>
              <w:jc w:val="center"/>
              <w:rPr>
                <w:b/>
                <w:bCs/>
                <w:color w:val="000000"/>
                <w:sz w:val="24"/>
              </w:rPr>
            </w:pPr>
            <w:r w:rsidRPr="00144756">
              <w:rPr>
                <w:b/>
                <w:bCs/>
                <w:color w:val="000000"/>
                <w:sz w:val="24"/>
              </w:rPr>
              <w:t>180,915</w:t>
            </w:r>
          </w:p>
        </w:tc>
        <w:tc>
          <w:tcPr>
            <w:tcW w:w="1170" w:type="dxa"/>
            <w:shd w:val="clear" w:color="auto" w:fill="E7E6E6" w:themeFill="background2"/>
            <w:vAlign w:val="bottom"/>
          </w:tcPr>
          <w:p w:rsidR="00225CDB" w:rsidRPr="00144756" w:rsidP="00225CDB" w14:paraId="721302E6" w14:textId="19C31957">
            <w:pPr>
              <w:widowControl/>
              <w:autoSpaceDE/>
              <w:autoSpaceDN/>
              <w:adjustRightInd/>
              <w:jc w:val="center"/>
              <w:rPr>
                <w:b/>
                <w:bCs/>
                <w:color w:val="000000"/>
                <w:sz w:val="24"/>
                <w:highlight w:val="yellow"/>
              </w:rPr>
            </w:pPr>
            <w:r w:rsidRPr="00144756">
              <w:rPr>
                <w:b/>
                <w:bCs/>
                <w:color w:val="000000"/>
                <w:sz w:val="24"/>
              </w:rPr>
              <w:t>180,915</w:t>
            </w:r>
          </w:p>
        </w:tc>
        <w:tc>
          <w:tcPr>
            <w:tcW w:w="1260" w:type="dxa"/>
            <w:shd w:val="clear" w:color="auto" w:fill="E7E6E6" w:themeFill="background2"/>
            <w:vAlign w:val="bottom"/>
          </w:tcPr>
          <w:p w:rsidR="00225CDB" w:rsidRPr="00144756" w:rsidP="00891D52" w14:paraId="4F89A1EF" w14:textId="78FDDCE3">
            <w:pPr>
              <w:widowControl/>
              <w:autoSpaceDE/>
              <w:autoSpaceDN/>
              <w:adjustRightInd/>
              <w:jc w:val="center"/>
              <w:rPr>
                <w:b/>
                <w:bCs/>
                <w:color w:val="000000"/>
                <w:sz w:val="24"/>
              </w:rPr>
            </w:pPr>
            <w:r w:rsidRPr="00144756">
              <w:rPr>
                <w:b/>
                <w:bCs/>
                <w:color w:val="000000"/>
                <w:sz w:val="24"/>
              </w:rPr>
              <w:t>1,251,</w:t>
            </w:r>
            <w:r w:rsidRPr="00144756" w:rsidR="00E87ED7">
              <w:rPr>
                <w:b/>
                <w:bCs/>
                <w:color w:val="000000"/>
                <w:sz w:val="24"/>
              </w:rPr>
              <w:t>158</w:t>
            </w:r>
          </w:p>
        </w:tc>
        <w:tc>
          <w:tcPr>
            <w:tcW w:w="1620" w:type="dxa"/>
            <w:shd w:val="clear" w:color="auto" w:fill="E7E6E6" w:themeFill="background2"/>
            <w:vAlign w:val="bottom"/>
          </w:tcPr>
          <w:p w:rsidR="00225CDB" w:rsidRPr="00144756" w:rsidP="008F30DD" w14:paraId="6E163359" w14:textId="3E0FF0D1">
            <w:pPr>
              <w:widowControl/>
              <w:autoSpaceDE/>
              <w:autoSpaceDN/>
              <w:adjustRightInd/>
              <w:jc w:val="right"/>
              <w:rPr>
                <w:b/>
                <w:bCs/>
                <w:color w:val="000000"/>
                <w:sz w:val="24"/>
              </w:rPr>
            </w:pPr>
            <w:r w:rsidRPr="00144756">
              <w:rPr>
                <w:b/>
                <w:bCs/>
                <w:color w:val="000000"/>
                <w:sz w:val="24"/>
              </w:rPr>
              <w:t>$401,</w:t>
            </w:r>
            <w:r w:rsidRPr="00144756" w:rsidR="00E87ED7">
              <w:rPr>
                <w:b/>
                <w:bCs/>
                <w:color w:val="000000"/>
                <w:sz w:val="24"/>
              </w:rPr>
              <w:t>106</w:t>
            </w:r>
            <w:r w:rsidRPr="00144756">
              <w:rPr>
                <w:b/>
                <w:bCs/>
                <w:color w:val="000000"/>
                <w:sz w:val="24"/>
              </w:rPr>
              <w:t>,</w:t>
            </w:r>
            <w:r w:rsidRPr="00144756" w:rsidR="00E87ED7">
              <w:rPr>
                <w:b/>
                <w:bCs/>
                <w:color w:val="000000"/>
                <w:sz w:val="24"/>
              </w:rPr>
              <w:t>506</w:t>
            </w:r>
          </w:p>
        </w:tc>
      </w:tr>
    </w:tbl>
    <w:p w:rsidR="00590BD0" w:rsidRPr="00144756" w:rsidP="00514E5A" w14:paraId="72F9D90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8"/>
          <w:szCs w:val="28"/>
        </w:rPr>
      </w:pPr>
    </w:p>
    <w:p w:rsidR="003A5E68" w:rsidP="00514E5A" w14:paraId="45CE718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8F1EB4" w:rsidRPr="00941BCA" w:rsidP="00941BCA" w14:paraId="145CEAAA" w14:textId="77777777">
      <w:pPr>
        <w:pStyle w:val="Heading3"/>
      </w:pPr>
      <w:r w:rsidRPr="00941BCA">
        <w:t>13.</w:t>
      </w:r>
      <w:r w:rsidRPr="00941BCA">
        <w:tab/>
        <w:t>Capital Costs</w:t>
      </w:r>
    </w:p>
    <w:p w:rsidR="00FD55AF" w:rsidP="00FD55AF" w14:paraId="4BA32F15" w14:textId="77777777"/>
    <w:p w:rsidR="00FD55AF" w:rsidP="00FD55AF" w14:paraId="4E5222BA" w14:textId="6357A70C">
      <w:pPr>
        <w:ind w:firstLine="432"/>
        <w:rPr>
          <w:sz w:val="24"/>
        </w:rPr>
      </w:pPr>
      <w:r w:rsidRPr="00FD55AF">
        <w:rPr>
          <w:sz w:val="24"/>
        </w:rPr>
        <w:t>There are no capital costs.</w:t>
      </w:r>
    </w:p>
    <w:p w:rsidR="008C20B6" w:rsidRPr="00FD55AF" w:rsidP="00FD55AF" w14:paraId="36394A96" w14:textId="77777777">
      <w:pPr>
        <w:ind w:firstLine="432"/>
        <w:rPr>
          <w:sz w:val="24"/>
        </w:rPr>
      </w:pPr>
    </w:p>
    <w:p w:rsidR="008F1EB4" w:rsidRPr="00941BCA" w:rsidP="00941BCA" w14:paraId="051F675F" w14:textId="77777777">
      <w:pPr>
        <w:pStyle w:val="Heading3"/>
      </w:pPr>
      <w:r w:rsidRPr="00941BCA">
        <w:t>14.</w:t>
      </w:r>
      <w:r w:rsidRPr="00941BCA">
        <w:tab/>
        <w:t>Cost to Federal Government</w:t>
      </w:r>
    </w:p>
    <w:p w:rsidR="004A7605" w:rsidP="004A7605" w14:paraId="48DB0E64" w14:textId="4675F80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61B96">
        <w:rPr>
          <w:sz w:val="24"/>
        </w:rPr>
        <w:t xml:space="preserve">The Federal government </w:t>
      </w:r>
      <w:r w:rsidR="006A72F5">
        <w:rPr>
          <w:sz w:val="24"/>
        </w:rPr>
        <w:t>will</w:t>
      </w:r>
      <w:r w:rsidRPr="00361B96">
        <w:rPr>
          <w:sz w:val="24"/>
        </w:rPr>
        <w:t xml:space="preserve"> sustain a burden from implementing and enforcing this final rule. </w:t>
      </w:r>
      <w:r w:rsidR="006A72F5">
        <w:rPr>
          <w:sz w:val="24"/>
        </w:rPr>
        <w:t xml:space="preserve">Specifically, </w:t>
      </w:r>
      <w:r w:rsidRPr="004A7605">
        <w:rPr>
          <w:sz w:val="24"/>
        </w:rPr>
        <w:t xml:space="preserve">Section 1864 of the Act provides for the use of State survey agencies to ascertain whether </w:t>
      </w:r>
      <w:r>
        <w:rPr>
          <w:sz w:val="24"/>
        </w:rPr>
        <w:t xml:space="preserve">facilities subject to the Conditions of Participation (CoPs) </w:t>
      </w:r>
      <w:r w:rsidRPr="004A7605">
        <w:rPr>
          <w:sz w:val="24"/>
        </w:rPr>
        <w:t xml:space="preserve">comply with the applicable statutory definitions and implementing regulations for that provider or supplier type. The burden and costs to the federal government for this </w:t>
      </w:r>
      <w:r w:rsidR="000938A3">
        <w:rPr>
          <w:sz w:val="24"/>
        </w:rPr>
        <w:t>IC</w:t>
      </w:r>
      <w:r w:rsidRPr="004A7605">
        <w:rPr>
          <w:sz w:val="24"/>
        </w:rPr>
        <w:t xml:space="preserve"> are estimated to include the time spent by CMS surveyors to complete CoP compliance evaluations</w:t>
      </w:r>
      <w:r>
        <w:rPr>
          <w:sz w:val="24"/>
        </w:rPr>
        <w:t xml:space="preserve"> for all impacted facilities.</w:t>
      </w:r>
      <w:r w:rsidRPr="004A7605">
        <w:rPr>
          <w:sz w:val="24"/>
        </w:rPr>
        <w:t xml:space="preserve"> </w:t>
      </w:r>
    </w:p>
    <w:p w:rsidR="00891D52" w14:paraId="0479243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4A7605" w14:paraId="0887565D" w14:textId="784B86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A7605">
        <w:rPr>
          <w:sz w:val="24"/>
        </w:rPr>
        <w:t>The burden for completing these responsibilities was calculated using a loaded hourly me</w:t>
      </w:r>
      <w:r w:rsidR="006A7EA3">
        <w:rPr>
          <w:sz w:val="24"/>
        </w:rPr>
        <w:t>an</w:t>
      </w:r>
      <w:r w:rsidRPr="004A7605">
        <w:rPr>
          <w:sz w:val="24"/>
        </w:rPr>
        <w:t xml:space="preserve"> wage of $</w:t>
      </w:r>
      <w:r w:rsidR="006A7EA3">
        <w:rPr>
          <w:sz w:val="24"/>
        </w:rPr>
        <w:t>64</w:t>
      </w:r>
      <w:r w:rsidRPr="004A7605">
        <w:rPr>
          <w:sz w:val="24"/>
        </w:rPr>
        <w:t xml:space="preserve"> per hour for a State Survey Agency reviewer (BLS Occupation Code 19-3022)</w:t>
      </w:r>
      <w:r w:rsidR="006A7EA3">
        <w:rPr>
          <w:sz w:val="24"/>
        </w:rPr>
        <w:t>, including</w:t>
      </w:r>
      <w:r w:rsidRPr="004A7605">
        <w:rPr>
          <w:sz w:val="24"/>
        </w:rPr>
        <w:t xml:space="preserve"> benefits and overhead. For the initial compliance review, we estimate the cost to the Federal government to ensure each</w:t>
      </w:r>
      <w:r w:rsidR="001C3EE9">
        <w:rPr>
          <w:sz w:val="24"/>
        </w:rPr>
        <w:t xml:space="preserve"> </w:t>
      </w:r>
      <w:r w:rsidRPr="0013558B" w:rsidR="001C3EE9">
        <w:rPr>
          <w:b/>
          <w:bCs/>
          <w:i/>
          <w:iCs/>
          <w:sz w:val="24"/>
        </w:rPr>
        <w:t>newly certified</w:t>
      </w:r>
      <w:r w:rsidRPr="004A7605">
        <w:rPr>
          <w:sz w:val="24"/>
        </w:rPr>
        <w:t xml:space="preserve"> facility’s compliance to be 4 hours, with a net cost of $2</w:t>
      </w:r>
      <w:r w:rsidR="006A7EA3">
        <w:rPr>
          <w:sz w:val="24"/>
        </w:rPr>
        <w:t>5</w:t>
      </w:r>
      <w:r w:rsidRPr="004A7605">
        <w:rPr>
          <w:sz w:val="24"/>
        </w:rPr>
        <w:t>6 per facility (4 hours x $</w:t>
      </w:r>
      <w:r w:rsidR="006A7EA3">
        <w:rPr>
          <w:sz w:val="24"/>
        </w:rPr>
        <w:t>64</w:t>
      </w:r>
      <w:r w:rsidRPr="004A7605">
        <w:rPr>
          <w:sz w:val="24"/>
        </w:rPr>
        <w:t xml:space="preserve">). For ongoing compliance, we estimate the cost to the Federal government to ensure each </w:t>
      </w:r>
      <w:r w:rsidRPr="0013558B" w:rsidR="001C3EE9">
        <w:rPr>
          <w:b/>
          <w:bCs/>
          <w:i/>
          <w:iCs/>
          <w:sz w:val="24"/>
        </w:rPr>
        <w:t xml:space="preserve">existing </w:t>
      </w:r>
      <w:r w:rsidRPr="004A7605">
        <w:rPr>
          <w:sz w:val="24"/>
        </w:rPr>
        <w:t xml:space="preserve">facility’s compliance to be 1 hour, </w:t>
      </w:r>
      <w:r w:rsidRPr="004A7605">
        <w:rPr>
          <w:sz w:val="24"/>
        </w:rPr>
        <w:t>with a net cost of $</w:t>
      </w:r>
      <w:r w:rsidR="006A7EA3">
        <w:rPr>
          <w:sz w:val="24"/>
        </w:rPr>
        <w:t>64</w:t>
      </w:r>
      <w:r w:rsidRPr="004A7605">
        <w:rPr>
          <w:sz w:val="24"/>
        </w:rPr>
        <w:t xml:space="preserve"> per facility (1 hour x $</w:t>
      </w:r>
      <w:r w:rsidR="006A7EA3">
        <w:rPr>
          <w:sz w:val="24"/>
        </w:rPr>
        <w:t>64</w:t>
      </w:r>
      <w:r w:rsidRPr="004A7605">
        <w:rPr>
          <w:sz w:val="24"/>
        </w:rPr>
        <w:t>). The burden to the Federal government for each applicable information collection (IC) is calculated below with only those facilities that are impacted by each IC.</w:t>
      </w:r>
    </w:p>
    <w:p w:rsidR="004A7605" w:rsidP="00361B96" w14:paraId="0699644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4A7605" w:rsidP="00361B96" w14:paraId="490E6278" w14:textId="7E1A28E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Per Table 1</w:t>
      </w:r>
      <w:r w:rsidR="00493D37">
        <w:rPr>
          <w:sz w:val="24"/>
        </w:rPr>
        <w:t>4</w:t>
      </w:r>
      <w:r>
        <w:rPr>
          <w:sz w:val="24"/>
        </w:rPr>
        <w:t xml:space="preserve"> below, </w:t>
      </w:r>
      <w:r w:rsidRPr="004A7605">
        <w:rPr>
          <w:sz w:val="24"/>
        </w:rPr>
        <w:t xml:space="preserve">the total annual burden hours to the federal government is </w:t>
      </w:r>
      <w:r w:rsidR="005762B8">
        <w:rPr>
          <w:sz w:val="24"/>
        </w:rPr>
        <w:t>22</w:t>
      </w:r>
      <w:r w:rsidR="00982E29">
        <w:rPr>
          <w:sz w:val="24"/>
        </w:rPr>
        <w:t>2</w:t>
      </w:r>
      <w:r w:rsidR="005762B8">
        <w:rPr>
          <w:sz w:val="24"/>
        </w:rPr>
        <w:t>,</w:t>
      </w:r>
      <w:r w:rsidR="00982E29">
        <w:rPr>
          <w:sz w:val="24"/>
        </w:rPr>
        <w:t>063</w:t>
      </w:r>
      <w:r w:rsidR="005762B8">
        <w:rPr>
          <w:sz w:val="24"/>
        </w:rPr>
        <w:t xml:space="preserve"> </w:t>
      </w:r>
      <w:r w:rsidRPr="004A7605">
        <w:rPr>
          <w:sz w:val="24"/>
        </w:rPr>
        <w:t>with an annual cost of $</w:t>
      </w:r>
      <w:r w:rsidR="005762B8">
        <w:rPr>
          <w:sz w:val="24"/>
        </w:rPr>
        <w:t>14,</w:t>
      </w:r>
      <w:r w:rsidR="00982E29">
        <w:rPr>
          <w:sz w:val="24"/>
        </w:rPr>
        <w:t>2</w:t>
      </w:r>
      <w:r w:rsidR="005762B8">
        <w:rPr>
          <w:sz w:val="24"/>
        </w:rPr>
        <w:t>1</w:t>
      </w:r>
      <w:r w:rsidR="000D0519">
        <w:rPr>
          <w:sz w:val="24"/>
        </w:rPr>
        <w:t>2</w:t>
      </w:r>
      <w:r w:rsidR="005762B8">
        <w:rPr>
          <w:sz w:val="24"/>
        </w:rPr>
        <w:t>,</w:t>
      </w:r>
      <w:r w:rsidR="000D0519">
        <w:rPr>
          <w:sz w:val="24"/>
        </w:rPr>
        <w:t>0</w:t>
      </w:r>
      <w:r w:rsidR="00982E29">
        <w:rPr>
          <w:sz w:val="24"/>
        </w:rPr>
        <w:t>32</w:t>
      </w:r>
      <w:r>
        <w:rPr>
          <w:sz w:val="24"/>
        </w:rPr>
        <w:t xml:space="preserve"> f</w:t>
      </w:r>
      <w:r w:rsidRPr="004A7605">
        <w:rPr>
          <w:sz w:val="24"/>
        </w:rPr>
        <w:t>or this reinstatement</w:t>
      </w:r>
      <w:r>
        <w:rPr>
          <w:sz w:val="24"/>
        </w:rPr>
        <w:t>.</w:t>
      </w:r>
    </w:p>
    <w:p w:rsidR="00F10300" w:rsidP="00AB3E95" w14:paraId="2B9EA1A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440DE" w:rsidP="00A33D81" w14:paraId="62109CF2" w14:textId="5620B85C">
      <w:pPr>
        <w:pStyle w:val="Heading4"/>
        <w:jc w:val="center"/>
      </w:pPr>
      <w:r w:rsidRPr="00983D4D">
        <w:t xml:space="preserve">Table </w:t>
      </w:r>
      <w:r>
        <w:t>1</w:t>
      </w:r>
      <w:r w:rsidR="00493D37">
        <w:t>4</w:t>
      </w:r>
      <w:r w:rsidRPr="00983D4D">
        <w:t>: Total Burden</w:t>
      </w:r>
      <w:r w:rsidR="00F01511">
        <w:t xml:space="preserve"> Hours</w:t>
      </w:r>
      <w:r w:rsidRPr="00983D4D">
        <w:t xml:space="preserve"> and Cost Estimates for Federal Government</w:t>
      </w:r>
    </w:p>
    <w:tbl>
      <w:tblPr>
        <w:tblW w:w="10353"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0"/>
        <w:gridCol w:w="996"/>
        <w:gridCol w:w="900"/>
        <w:gridCol w:w="900"/>
        <w:gridCol w:w="1354"/>
        <w:gridCol w:w="1443"/>
      </w:tblGrid>
      <w:tr w14:paraId="68BAD21D" w14:textId="77777777" w:rsidTr="00037F27">
        <w:tblPrEx>
          <w:tblW w:w="10353"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40"/>
        </w:trPr>
        <w:tc>
          <w:tcPr>
            <w:tcW w:w="4760" w:type="dxa"/>
            <w:shd w:val="clear" w:color="auto" w:fill="E7E6E6" w:themeFill="background2"/>
            <w:noWrap/>
            <w:vAlign w:val="center"/>
            <w:hideMark/>
          </w:tcPr>
          <w:p w:rsidR="00B35A23" w:rsidRPr="009307BC" w:rsidP="00B32E1E" w14:paraId="3261CCAD" w14:textId="77777777">
            <w:pPr>
              <w:widowControl/>
              <w:autoSpaceDE/>
              <w:autoSpaceDN/>
              <w:adjustRightInd/>
              <w:jc w:val="center"/>
              <w:rPr>
                <w:b/>
                <w:bCs/>
                <w:color w:val="000000"/>
                <w:szCs w:val="20"/>
              </w:rPr>
            </w:pPr>
            <w:r w:rsidRPr="009307BC">
              <w:rPr>
                <w:b/>
                <w:bCs/>
                <w:color w:val="000000"/>
                <w:szCs w:val="20"/>
              </w:rPr>
              <w:t>Information Collection No.</w:t>
            </w:r>
          </w:p>
        </w:tc>
        <w:tc>
          <w:tcPr>
            <w:tcW w:w="996" w:type="dxa"/>
            <w:shd w:val="clear" w:color="auto" w:fill="E7E6E6" w:themeFill="background2"/>
            <w:vAlign w:val="center"/>
            <w:hideMark/>
          </w:tcPr>
          <w:p w:rsidR="00B35A23" w:rsidRPr="009307BC" w:rsidP="00B35A23" w14:paraId="26ECE32F" w14:textId="6C5DC3B5">
            <w:pPr>
              <w:widowControl/>
              <w:autoSpaceDE/>
              <w:autoSpaceDN/>
              <w:adjustRightInd/>
              <w:jc w:val="center"/>
              <w:rPr>
                <w:b/>
                <w:bCs/>
                <w:color w:val="000000"/>
                <w:szCs w:val="20"/>
              </w:rPr>
            </w:pPr>
            <w:r w:rsidRPr="009307BC">
              <w:rPr>
                <w:b/>
                <w:bCs/>
                <w:color w:val="000000"/>
                <w:szCs w:val="20"/>
              </w:rPr>
              <w:t># of Facilities</w:t>
            </w:r>
          </w:p>
          <w:p w:rsidR="00B35A23" w:rsidP="00982E29" w14:paraId="3AE3C27D" w14:textId="77777777">
            <w:pPr>
              <w:jc w:val="center"/>
            </w:pPr>
          </w:p>
          <w:p w:rsidR="00B35A23" w:rsidRPr="009307BC" w:rsidP="00982E29" w14:paraId="6CF5DDBD" w14:textId="28575EFC">
            <w:pPr>
              <w:jc w:val="center"/>
              <w:rPr>
                <w:b/>
                <w:bCs/>
                <w:color w:val="000000"/>
                <w:szCs w:val="20"/>
              </w:rPr>
            </w:pPr>
            <w:r>
              <w:t>(a)</w:t>
            </w:r>
          </w:p>
        </w:tc>
        <w:tc>
          <w:tcPr>
            <w:tcW w:w="900" w:type="dxa"/>
            <w:shd w:val="clear" w:color="auto" w:fill="E7E6E6" w:themeFill="background2"/>
            <w:vAlign w:val="center"/>
            <w:hideMark/>
          </w:tcPr>
          <w:p w:rsidR="00B35A23" w:rsidRPr="009307BC" w:rsidP="000744F7" w14:paraId="671EFC47" w14:textId="77777777">
            <w:pPr>
              <w:widowControl/>
              <w:autoSpaceDE/>
              <w:autoSpaceDN/>
              <w:adjustRightInd/>
              <w:jc w:val="center"/>
              <w:rPr>
                <w:b/>
                <w:bCs/>
                <w:color w:val="000000"/>
                <w:szCs w:val="20"/>
              </w:rPr>
            </w:pPr>
            <w:r w:rsidRPr="009307BC">
              <w:rPr>
                <w:b/>
                <w:bCs/>
                <w:color w:val="000000"/>
                <w:szCs w:val="20"/>
              </w:rPr>
              <w:t>Hourly Wage</w:t>
            </w:r>
          </w:p>
          <w:p w:rsidR="00B35A23" w:rsidP="00982E29" w14:paraId="6C594CC0" w14:textId="77777777">
            <w:pPr>
              <w:jc w:val="center"/>
            </w:pPr>
          </w:p>
          <w:p w:rsidR="00B35A23" w:rsidRPr="009307BC" w:rsidP="00982E29" w14:paraId="2F489425" w14:textId="7868ED02">
            <w:pPr>
              <w:jc w:val="center"/>
              <w:rPr>
                <w:b/>
                <w:bCs/>
                <w:color w:val="000000"/>
                <w:szCs w:val="20"/>
              </w:rPr>
            </w:pPr>
            <w:r>
              <w:t>(b)</w:t>
            </w:r>
          </w:p>
        </w:tc>
        <w:tc>
          <w:tcPr>
            <w:tcW w:w="900" w:type="dxa"/>
            <w:shd w:val="clear" w:color="auto" w:fill="E7E6E6" w:themeFill="background2"/>
            <w:vAlign w:val="center"/>
            <w:hideMark/>
          </w:tcPr>
          <w:p w:rsidR="00B35A23" w:rsidRPr="009307BC" w:rsidP="000744F7" w14:paraId="31DF2419" w14:textId="77777777">
            <w:pPr>
              <w:widowControl/>
              <w:autoSpaceDE/>
              <w:autoSpaceDN/>
              <w:adjustRightInd/>
              <w:jc w:val="center"/>
              <w:rPr>
                <w:b/>
                <w:bCs/>
                <w:color w:val="000000"/>
                <w:szCs w:val="20"/>
              </w:rPr>
            </w:pPr>
            <w:r w:rsidRPr="009307BC">
              <w:rPr>
                <w:b/>
                <w:bCs/>
                <w:color w:val="000000"/>
                <w:szCs w:val="20"/>
              </w:rPr>
              <w:t>Hours/ Task</w:t>
            </w:r>
          </w:p>
          <w:p w:rsidR="00B35A23" w:rsidP="00982E29" w14:paraId="24181569" w14:textId="77777777">
            <w:pPr>
              <w:jc w:val="center"/>
            </w:pPr>
          </w:p>
          <w:p w:rsidR="00B35A23" w:rsidRPr="009307BC" w:rsidP="00982E29" w14:paraId="0E682C48" w14:textId="47F88521">
            <w:pPr>
              <w:jc w:val="center"/>
              <w:rPr>
                <w:b/>
                <w:bCs/>
                <w:color w:val="000000"/>
                <w:szCs w:val="20"/>
              </w:rPr>
            </w:pPr>
            <w:r>
              <w:t>(c)</w:t>
            </w:r>
          </w:p>
        </w:tc>
        <w:tc>
          <w:tcPr>
            <w:tcW w:w="1354" w:type="dxa"/>
            <w:shd w:val="clear" w:color="auto" w:fill="E7E6E6" w:themeFill="background2"/>
            <w:vAlign w:val="center"/>
            <w:hideMark/>
          </w:tcPr>
          <w:p w:rsidR="00B35A23" w:rsidRPr="009307BC" w:rsidP="004B1527" w14:paraId="39DA9CD2" w14:textId="1AFD073C">
            <w:pPr>
              <w:widowControl/>
              <w:autoSpaceDE/>
              <w:autoSpaceDN/>
              <w:adjustRightInd/>
              <w:ind w:right="270"/>
              <w:jc w:val="center"/>
              <w:rPr>
                <w:b/>
                <w:bCs/>
                <w:color w:val="000000"/>
                <w:szCs w:val="20"/>
              </w:rPr>
            </w:pPr>
            <w:r w:rsidRPr="009307BC">
              <w:rPr>
                <w:b/>
                <w:bCs/>
                <w:color w:val="000000"/>
                <w:szCs w:val="20"/>
              </w:rPr>
              <w:t>Total Burden Hours</w:t>
            </w:r>
          </w:p>
          <w:p w:rsidR="00B35A23" w:rsidRPr="009307BC" w:rsidP="004B1527" w14:paraId="4D777BA8" w14:textId="12BEEA0D">
            <w:pPr>
              <w:ind w:right="270"/>
              <w:jc w:val="center"/>
              <w:rPr>
                <w:b/>
                <w:bCs/>
                <w:color w:val="000000"/>
                <w:szCs w:val="20"/>
              </w:rPr>
            </w:pPr>
            <w:r>
              <w:t>(d = a x c)</w:t>
            </w:r>
          </w:p>
        </w:tc>
        <w:tc>
          <w:tcPr>
            <w:tcW w:w="1443" w:type="dxa"/>
            <w:shd w:val="clear" w:color="auto" w:fill="E7E6E6" w:themeFill="background2"/>
            <w:vAlign w:val="center"/>
            <w:hideMark/>
          </w:tcPr>
          <w:p w:rsidR="00B35A23" w:rsidRPr="009307BC" w:rsidP="003C3482" w14:paraId="2272406C" w14:textId="77777777">
            <w:pPr>
              <w:widowControl/>
              <w:autoSpaceDE/>
              <w:autoSpaceDN/>
              <w:adjustRightInd/>
              <w:ind w:right="126"/>
              <w:jc w:val="center"/>
              <w:rPr>
                <w:b/>
                <w:bCs/>
                <w:color w:val="000000"/>
                <w:szCs w:val="20"/>
              </w:rPr>
            </w:pPr>
            <w:r w:rsidRPr="009307BC">
              <w:rPr>
                <w:b/>
                <w:bCs/>
                <w:color w:val="000000"/>
                <w:szCs w:val="20"/>
              </w:rPr>
              <w:t>Total  Burden Costs</w:t>
            </w:r>
          </w:p>
          <w:p w:rsidR="00B35A23" w:rsidRPr="009307BC" w:rsidP="003C3482" w14:paraId="7BCFAA07" w14:textId="141E3273">
            <w:pPr>
              <w:ind w:right="126"/>
              <w:jc w:val="center"/>
              <w:rPr>
                <w:b/>
                <w:bCs/>
                <w:color w:val="000000"/>
                <w:szCs w:val="20"/>
              </w:rPr>
            </w:pPr>
            <w:r>
              <w:t>(e = b x d)</w:t>
            </w:r>
          </w:p>
        </w:tc>
      </w:tr>
      <w:tr w14:paraId="3F51799D" w14:textId="77777777" w:rsidTr="00037F27">
        <w:tblPrEx>
          <w:tblW w:w="10353" w:type="dxa"/>
          <w:tblInd w:w="-370" w:type="dxa"/>
          <w:tblLayout w:type="fixed"/>
          <w:tblLook w:val="04A0"/>
        </w:tblPrEx>
        <w:trPr>
          <w:trHeight w:val="318"/>
        </w:trPr>
        <w:tc>
          <w:tcPr>
            <w:tcW w:w="4760" w:type="dxa"/>
            <w:noWrap/>
            <w:vAlign w:val="bottom"/>
            <w:hideMark/>
          </w:tcPr>
          <w:p w:rsidR="00982E29" w:rsidRPr="009307BC" w:rsidP="00982E29" w14:paraId="621BA13D" w14:textId="2E8B548D">
            <w:pPr>
              <w:widowControl/>
              <w:autoSpaceDE/>
              <w:autoSpaceDN/>
              <w:adjustRightInd/>
              <w:rPr>
                <w:color w:val="000000"/>
                <w:szCs w:val="20"/>
              </w:rPr>
            </w:pPr>
            <w:r w:rsidRPr="009307BC">
              <w:rPr>
                <w:color w:val="000000"/>
                <w:szCs w:val="20"/>
              </w:rPr>
              <w:t>IC-1</w:t>
            </w:r>
            <w:r w:rsidR="003C3482">
              <w:rPr>
                <w:color w:val="000000"/>
                <w:szCs w:val="20"/>
              </w:rPr>
              <w:t>a</w:t>
            </w:r>
            <w:r w:rsidRPr="009307BC">
              <w:rPr>
                <w:color w:val="000000"/>
                <w:szCs w:val="20"/>
              </w:rPr>
              <w:t>: Conduct Risk Assessment</w:t>
            </w:r>
          </w:p>
        </w:tc>
        <w:tc>
          <w:tcPr>
            <w:tcW w:w="996" w:type="dxa"/>
            <w:vAlign w:val="bottom"/>
          </w:tcPr>
          <w:p w:rsidR="00982E29" w:rsidRPr="009307BC" w:rsidP="00982E29" w14:paraId="590580EB" w14:textId="2E1FCF5D">
            <w:pPr>
              <w:widowControl/>
              <w:autoSpaceDE/>
              <w:autoSpaceDN/>
              <w:adjustRightInd/>
              <w:jc w:val="center"/>
              <w:rPr>
                <w:color w:val="000000"/>
                <w:szCs w:val="20"/>
              </w:rPr>
            </w:pPr>
            <w:r w:rsidRPr="00FC3B3D">
              <w:t>2,</w:t>
            </w:r>
            <w:r>
              <w:t>606</w:t>
            </w:r>
          </w:p>
        </w:tc>
        <w:tc>
          <w:tcPr>
            <w:tcW w:w="900" w:type="dxa"/>
            <w:vAlign w:val="bottom"/>
            <w:hideMark/>
          </w:tcPr>
          <w:p w:rsidR="00982E29" w:rsidRPr="009307BC" w:rsidP="00982E29" w14:paraId="432F9675" w14:textId="2B38E7D2">
            <w:pPr>
              <w:widowControl/>
              <w:autoSpaceDE/>
              <w:autoSpaceDN/>
              <w:adjustRightInd/>
              <w:jc w:val="center"/>
              <w:rPr>
                <w:color w:val="000000"/>
                <w:szCs w:val="20"/>
              </w:rPr>
            </w:pPr>
            <w:r w:rsidRPr="00FC3B3D">
              <w:t>$64</w:t>
            </w:r>
          </w:p>
        </w:tc>
        <w:tc>
          <w:tcPr>
            <w:tcW w:w="900" w:type="dxa"/>
            <w:vAlign w:val="bottom"/>
            <w:hideMark/>
          </w:tcPr>
          <w:p w:rsidR="00982E29" w:rsidRPr="009307BC" w:rsidP="00982E29" w14:paraId="13ABCD3D" w14:textId="56BE6D1F">
            <w:pPr>
              <w:widowControl/>
              <w:autoSpaceDE/>
              <w:autoSpaceDN/>
              <w:adjustRightInd/>
              <w:jc w:val="center"/>
              <w:rPr>
                <w:color w:val="000000"/>
                <w:szCs w:val="20"/>
              </w:rPr>
            </w:pPr>
            <w:r w:rsidRPr="00FC3B3D">
              <w:t>4</w:t>
            </w:r>
          </w:p>
        </w:tc>
        <w:tc>
          <w:tcPr>
            <w:tcW w:w="1354" w:type="dxa"/>
            <w:noWrap/>
            <w:vAlign w:val="bottom"/>
            <w:hideMark/>
          </w:tcPr>
          <w:p w:rsidR="00982E29" w:rsidRPr="009307BC" w:rsidP="004B1527" w14:paraId="40ED629E" w14:textId="3D2E126D">
            <w:pPr>
              <w:widowControl/>
              <w:autoSpaceDE/>
              <w:autoSpaceDN/>
              <w:adjustRightInd/>
              <w:ind w:right="270"/>
              <w:jc w:val="center"/>
              <w:rPr>
                <w:color w:val="000000"/>
                <w:szCs w:val="20"/>
              </w:rPr>
            </w:pPr>
            <w:r w:rsidRPr="008C39A2">
              <w:t>10,424</w:t>
            </w:r>
          </w:p>
        </w:tc>
        <w:tc>
          <w:tcPr>
            <w:tcW w:w="1443" w:type="dxa"/>
            <w:noWrap/>
            <w:vAlign w:val="bottom"/>
            <w:hideMark/>
          </w:tcPr>
          <w:p w:rsidR="00982E29" w:rsidRPr="009307BC" w:rsidP="00917023" w14:paraId="6DED2FD9" w14:textId="456F809E">
            <w:pPr>
              <w:widowControl/>
              <w:autoSpaceDE/>
              <w:autoSpaceDN/>
              <w:adjustRightInd/>
              <w:ind w:right="126"/>
              <w:jc w:val="right"/>
              <w:rPr>
                <w:color w:val="000000"/>
                <w:szCs w:val="20"/>
              </w:rPr>
            </w:pPr>
            <w:r w:rsidRPr="008C39A2">
              <w:t xml:space="preserve">$667,136 </w:t>
            </w:r>
          </w:p>
        </w:tc>
      </w:tr>
      <w:tr w14:paraId="5DB5EAF3" w14:textId="77777777" w:rsidTr="00037F27">
        <w:tblPrEx>
          <w:tblW w:w="10353" w:type="dxa"/>
          <w:tblInd w:w="-370" w:type="dxa"/>
          <w:tblLayout w:type="fixed"/>
          <w:tblLook w:val="04A0"/>
        </w:tblPrEx>
        <w:trPr>
          <w:trHeight w:val="318"/>
        </w:trPr>
        <w:tc>
          <w:tcPr>
            <w:tcW w:w="4760" w:type="dxa"/>
            <w:noWrap/>
            <w:vAlign w:val="bottom"/>
            <w:hideMark/>
          </w:tcPr>
          <w:p w:rsidR="0013558B" w:rsidRPr="009307BC" w:rsidP="0013558B" w14:paraId="33B35786" w14:textId="776A230C">
            <w:pPr>
              <w:widowControl/>
              <w:autoSpaceDE/>
              <w:autoSpaceDN/>
              <w:adjustRightInd/>
              <w:rPr>
                <w:color w:val="000000"/>
                <w:szCs w:val="20"/>
              </w:rPr>
            </w:pPr>
            <w:r w:rsidRPr="009307BC">
              <w:rPr>
                <w:color w:val="000000"/>
                <w:szCs w:val="20"/>
              </w:rPr>
              <w:t>IC-</w:t>
            </w:r>
            <w:r w:rsidR="003C3482">
              <w:rPr>
                <w:color w:val="000000"/>
                <w:szCs w:val="20"/>
              </w:rPr>
              <w:t>1b</w:t>
            </w:r>
            <w:r w:rsidRPr="009307BC">
              <w:rPr>
                <w:color w:val="000000"/>
                <w:szCs w:val="20"/>
              </w:rPr>
              <w:t>: Develop Emergency Preparedness Plan</w:t>
            </w:r>
          </w:p>
        </w:tc>
        <w:tc>
          <w:tcPr>
            <w:tcW w:w="996" w:type="dxa"/>
            <w:vAlign w:val="bottom"/>
          </w:tcPr>
          <w:p w:rsidR="0013558B" w:rsidRPr="009307BC" w:rsidP="0013558B" w14:paraId="02318135" w14:textId="657730ED">
            <w:pPr>
              <w:widowControl/>
              <w:autoSpaceDE/>
              <w:autoSpaceDN/>
              <w:adjustRightInd/>
              <w:jc w:val="center"/>
              <w:rPr>
                <w:color w:val="000000"/>
                <w:szCs w:val="20"/>
              </w:rPr>
            </w:pPr>
            <w:r w:rsidRPr="00FC3B3D">
              <w:t>2,</w:t>
            </w:r>
            <w:r w:rsidR="000D0519">
              <w:t>6</w:t>
            </w:r>
            <w:r w:rsidR="00982E29">
              <w:t>3</w:t>
            </w:r>
            <w:r w:rsidR="000D0519">
              <w:t>3</w:t>
            </w:r>
          </w:p>
        </w:tc>
        <w:tc>
          <w:tcPr>
            <w:tcW w:w="900" w:type="dxa"/>
            <w:vAlign w:val="bottom"/>
            <w:hideMark/>
          </w:tcPr>
          <w:p w:rsidR="0013558B" w:rsidRPr="009307BC" w:rsidP="0013558B" w14:paraId="40367358" w14:textId="248ABEED">
            <w:pPr>
              <w:widowControl/>
              <w:autoSpaceDE/>
              <w:autoSpaceDN/>
              <w:adjustRightInd/>
              <w:jc w:val="center"/>
              <w:rPr>
                <w:color w:val="000000"/>
                <w:szCs w:val="20"/>
              </w:rPr>
            </w:pPr>
            <w:r w:rsidRPr="00FC3B3D">
              <w:t>$64</w:t>
            </w:r>
          </w:p>
        </w:tc>
        <w:tc>
          <w:tcPr>
            <w:tcW w:w="900" w:type="dxa"/>
            <w:vAlign w:val="bottom"/>
            <w:hideMark/>
          </w:tcPr>
          <w:p w:rsidR="0013558B" w:rsidRPr="009307BC" w:rsidP="0013558B" w14:paraId="03F3CD71" w14:textId="06F46BD5">
            <w:pPr>
              <w:widowControl/>
              <w:autoSpaceDE/>
              <w:autoSpaceDN/>
              <w:adjustRightInd/>
              <w:jc w:val="center"/>
              <w:rPr>
                <w:color w:val="000000"/>
                <w:szCs w:val="20"/>
              </w:rPr>
            </w:pPr>
            <w:r w:rsidRPr="00FC3B3D">
              <w:t>4</w:t>
            </w:r>
          </w:p>
        </w:tc>
        <w:tc>
          <w:tcPr>
            <w:tcW w:w="1354" w:type="dxa"/>
            <w:noWrap/>
            <w:vAlign w:val="bottom"/>
            <w:hideMark/>
          </w:tcPr>
          <w:p w:rsidR="0013558B" w:rsidRPr="009307BC" w:rsidP="004B1527" w14:paraId="3B1D23B2" w14:textId="4F5A4361">
            <w:pPr>
              <w:widowControl/>
              <w:autoSpaceDE/>
              <w:autoSpaceDN/>
              <w:adjustRightInd/>
              <w:ind w:right="270"/>
              <w:jc w:val="center"/>
              <w:rPr>
                <w:color w:val="000000"/>
                <w:szCs w:val="20"/>
              </w:rPr>
            </w:pPr>
            <w:r w:rsidRPr="00FC3B3D">
              <w:t>10,</w:t>
            </w:r>
            <w:r w:rsidR="000D0519">
              <w:t>53</w:t>
            </w:r>
            <w:r w:rsidRPr="00FC3B3D">
              <w:t>2</w:t>
            </w:r>
          </w:p>
        </w:tc>
        <w:tc>
          <w:tcPr>
            <w:tcW w:w="1443" w:type="dxa"/>
            <w:noWrap/>
            <w:vAlign w:val="bottom"/>
            <w:hideMark/>
          </w:tcPr>
          <w:p w:rsidR="0013558B" w:rsidRPr="009307BC" w:rsidP="00917023" w14:paraId="67EF2D9E" w14:textId="6464B980">
            <w:pPr>
              <w:widowControl/>
              <w:autoSpaceDE/>
              <w:autoSpaceDN/>
              <w:adjustRightInd/>
              <w:ind w:right="126"/>
              <w:jc w:val="right"/>
              <w:rPr>
                <w:color w:val="000000"/>
                <w:szCs w:val="20"/>
              </w:rPr>
            </w:pPr>
            <w:r w:rsidRPr="00FC3B3D">
              <w:t>$6</w:t>
            </w:r>
            <w:r w:rsidR="000D0519">
              <w:t>7</w:t>
            </w:r>
            <w:r w:rsidRPr="00FC3B3D">
              <w:t>4,</w:t>
            </w:r>
            <w:r w:rsidR="000D0519">
              <w:t>048</w:t>
            </w:r>
            <w:r w:rsidRPr="00FC3B3D">
              <w:t xml:space="preserve"> </w:t>
            </w:r>
          </w:p>
        </w:tc>
      </w:tr>
      <w:tr w14:paraId="7B4FFD69" w14:textId="77777777" w:rsidTr="00037F27">
        <w:tblPrEx>
          <w:tblW w:w="10353" w:type="dxa"/>
          <w:tblInd w:w="-370" w:type="dxa"/>
          <w:tblLayout w:type="fixed"/>
          <w:tblLook w:val="04A0"/>
        </w:tblPrEx>
        <w:trPr>
          <w:trHeight w:val="318"/>
        </w:trPr>
        <w:tc>
          <w:tcPr>
            <w:tcW w:w="4760" w:type="dxa"/>
            <w:noWrap/>
            <w:vAlign w:val="bottom"/>
            <w:hideMark/>
          </w:tcPr>
          <w:p w:rsidR="0013558B" w:rsidRPr="009307BC" w:rsidP="0013558B" w14:paraId="27036357" w14:textId="6DA80AA9">
            <w:pPr>
              <w:widowControl/>
              <w:autoSpaceDE/>
              <w:autoSpaceDN/>
              <w:adjustRightInd/>
              <w:rPr>
                <w:color w:val="000000"/>
                <w:szCs w:val="20"/>
              </w:rPr>
            </w:pPr>
            <w:r w:rsidRPr="009307BC">
              <w:rPr>
                <w:color w:val="000000"/>
                <w:szCs w:val="20"/>
              </w:rPr>
              <w:t>IC-</w:t>
            </w:r>
            <w:r w:rsidR="003C3482">
              <w:rPr>
                <w:color w:val="000000"/>
                <w:szCs w:val="20"/>
              </w:rPr>
              <w:t>1c</w:t>
            </w:r>
            <w:r w:rsidRPr="009307BC">
              <w:rPr>
                <w:color w:val="000000"/>
                <w:szCs w:val="20"/>
              </w:rPr>
              <w:t xml:space="preserve">: </w:t>
            </w:r>
            <w:r>
              <w:rPr>
                <w:color w:val="000000"/>
                <w:szCs w:val="20"/>
              </w:rPr>
              <w:t xml:space="preserve">Biennial </w:t>
            </w:r>
            <w:r w:rsidRPr="009307BC">
              <w:rPr>
                <w:color w:val="000000"/>
                <w:szCs w:val="20"/>
              </w:rPr>
              <w:t>Review Emergency Preparedness Plan</w:t>
            </w:r>
          </w:p>
        </w:tc>
        <w:tc>
          <w:tcPr>
            <w:tcW w:w="996" w:type="dxa"/>
            <w:vAlign w:val="bottom"/>
          </w:tcPr>
          <w:p w:rsidR="0013558B" w:rsidRPr="009307BC" w:rsidP="0013558B" w14:paraId="4806CC22" w14:textId="134544E9">
            <w:pPr>
              <w:widowControl/>
              <w:autoSpaceDE/>
              <w:autoSpaceDN/>
              <w:adjustRightInd/>
              <w:jc w:val="center"/>
              <w:rPr>
                <w:color w:val="000000"/>
                <w:szCs w:val="20"/>
              </w:rPr>
            </w:pPr>
            <w:r w:rsidRPr="00FC3B3D">
              <w:t>60,712</w:t>
            </w:r>
          </w:p>
        </w:tc>
        <w:tc>
          <w:tcPr>
            <w:tcW w:w="900" w:type="dxa"/>
            <w:vAlign w:val="bottom"/>
            <w:hideMark/>
          </w:tcPr>
          <w:p w:rsidR="0013558B" w:rsidRPr="009307BC" w:rsidP="0013558B" w14:paraId="47D211C9" w14:textId="0C7F6B6A">
            <w:pPr>
              <w:widowControl/>
              <w:autoSpaceDE/>
              <w:autoSpaceDN/>
              <w:adjustRightInd/>
              <w:jc w:val="center"/>
              <w:rPr>
                <w:color w:val="000000"/>
                <w:szCs w:val="20"/>
              </w:rPr>
            </w:pPr>
            <w:r w:rsidRPr="00FC3B3D">
              <w:t>$64</w:t>
            </w:r>
          </w:p>
        </w:tc>
        <w:tc>
          <w:tcPr>
            <w:tcW w:w="900" w:type="dxa"/>
            <w:vAlign w:val="bottom"/>
            <w:hideMark/>
          </w:tcPr>
          <w:p w:rsidR="0013558B" w:rsidRPr="009307BC" w:rsidP="0013558B" w14:paraId="61013943" w14:textId="67F3ADC8">
            <w:pPr>
              <w:widowControl/>
              <w:autoSpaceDE/>
              <w:autoSpaceDN/>
              <w:adjustRightInd/>
              <w:jc w:val="center"/>
              <w:rPr>
                <w:color w:val="000000"/>
                <w:szCs w:val="20"/>
              </w:rPr>
            </w:pPr>
            <w:r w:rsidRPr="00FC3B3D">
              <w:t>1</w:t>
            </w:r>
          </w:p>
        </w:tc>
        <w:tc>
          <w:tcPr>
            <w:tcW w:w="1354" w:type="dxa"/>
            <w:noWrap/>
            <w:vAlign w:val="bottom"/>
            <w:hideMark/>
          </w:tcPr>
          <w:p w:rsidR="0013558B" w:rsidRPr="009307BC" w:rsidP="004B1527" w14:paraId="06FEB91A" w14:textId="6D4A9448">
            <w:pPr>
              <w:widowControl/>
              <w:autoSpaceDE/>
              <w:autoSpaceDN/>
              <w:adjustRightInd/>
              <w:ind w:right="270"/>
              <w:jc w:val="center"/>
              <w:rPr>
                <w:color w:val="000000"/>
                <w:szCs w:val="20"/>
              </w:rPr>
            </w:pPr>
            <w:r w:rsidRPr="00FC3B3D">
              <w:t>60,712</w:t>
            </w:r>
          </w:p>
        </w:tc>
        <w:tc>
          <w:tcPr>
            <w:tcW w:w="1443" w:type="dxa"/>
            <w:noWrap/>
            <w:vAlign w:val="bottom"/>
            <w:hideMark/>
          </w:tcPr>
          <w:p w:rsidR="0013558B" w:rsidRPr="009307BC" w:rsidP="00917023" w14:paraId="750FD449" w14:textId="411DC42D">
            <w:pPr>
              <w:widowControl/>
              <w:autoSpaceDE/>
              <w:autoSpaceDN/>
              <w:adjustRightInd/>
              <w:ind w:right="126"/>
              <w:jc w:val="right"/>
              <w:rPr>
                <w:color w:val="000000"/>
                <w:szCs w:val="20"/>
              </w:rPr>
            </w:pPr>
            <w:r w:rsidRPr="00FC3B3D">
              <w:t xml:space="preserve">$3,885,568 </w:t>
            </w:r>
          </w:p>
        </w:tc>
      </w:tr>
      <w:tr w14:paraId="6B8C2E04" w14:textId="77777777" w:rsidTr="00037F27">
        <w:tblPrEx>
          <w:tblW w:w="10353" w:type="dxa"/>
          <w:tblInd w:w="-370" w:type="dxa"/>
          <w:tblLayout w:type="fixed"/>
          <w:tblLook w:val="04A0"/>
        </w:tblPrEx>
        <w:trPr>
          <w:trHeight w:val="318"/>
        </w:trPr>
        <w:tc>
          <w:tcPr>
            <w:tcW w:w="4760" w:type="dxa"/>
            <w:noWrap/>
            <w:vAlign w:val="bottom"/>
            <w:hideMark/>
          </w:tcPr>
          <w:p w:rsidR="0013558B" w:rsidRPr="009307BC" w:rsidP="0013558B" w14:paraId="46B99FF4" w14:textId="49A8DB9F">
            <w:pPr>
              <w:widowControl/>
              <w:autoSpaceDE/>
              <w:autoSpaceDN/>
              <w:adjustRightInd/>
              <w:rPr>
                <w:color w:val="000000"/>
                <w:szCs w:val="20"/>
              </w:rPr>
            </w:pPr>
            <w:r w:rsidRPr="009307BC">
              <w:rPr>
                <w:color w:val="000000"/>
                <w:szCs w:val="20"/>
              </w:rPr>
              <w:t>IC-</w:t>
            </w:r>
            <w:r w:rsidR="003C3482">
              <w:rPr>
                <w:color w:val="000000"/>
                <w:szCs w:val="20"/>
              </w:rPr>
              <w:t>2</w:t>
            </w:r>
            <w:r w:rsidRPr="009307BC">
              <w:rPr>
                <w:color w:val="000000"/>
                <w:szCs w:val="20"/>
              </w:rPr>
              <w:t>: Develop Policies and Procedures</w:t>
            </w:r>
          </w:p>
        </w:tc>
        <w:tc>
          <w:tcPr>
            <w:tcW w:w="996" w:type="dxa"/>
            <w:vAlign w:val="bottom"/>
          </w:tcPr>
          <w:p w:rsidR="0013558B" w:rsidRPr="009307BC" w:rsidP="0013558B" w14:paraId="5A3A2264" w14:textId="2DFBDC4C">
            <w:pPr>
              <w:widowControl/>
              <w:autoSpaceDE/>
              <w:autoSpaceDN/>
              <w:adjustRightInd/>
              <w:jc w:val="center"/>
              <w:rPr>
                <w:color w:val="000000"/>
                <w:szCs w:val="20"/>
              </w:rPr>
            </w:pPr>
            <w:r w:rsidRPr="00FC3B3D">
              <w:t>2,686</w:t>
            </w:r>
          </w:p>
        </w:tc>
        <w:tc>
          <w:tcPr>
            <w:tcW w:w="900" w:type="dxa"/>
            <w:vAlign w:val="bottom"/>
            <w:hideMark/>
          </w:tcPr>
          <w:p w:rsidR="0013558B" w:rsidRPr="009307BC" w:rsidP="0013558B" w14:paraId="03462C80" w14:textId="3B3A3D0E">
            <w:pPr>
              <w:widowControl/>
              <w:autoSpaceDE/>
              <w:autoSpaceDN/>
              <w:adjustRightInd/>
              <w:jc w:val="center"/>
              <w:rPr>
                <w:color w:val="000000"/>
                <w:szCs w:val="20"/>
              </w:rPr>
            </w:pPr>
            <w:r w:rsidRPr="00FC3B3D">
              <w:t>$64</w:t>
            </w:r>
          </w:p>
        </w:tc>
        <w:tc>
          <w:tcPr>
            <w:tcW w:w="900" w:type="dxa"/>
            <w:vAlign w:val="bottom"/>
            <w:hideMark/>
          </w:tcPr>
          <w:p w:rsidR="0013558B" w:rsidRPr="009307BC" w:rsidP="0013558B" w14:paraId="3625D9A1" w14:textId="29223239">
            <w:pPr>
              <w:widowControl/>
              <w:autoSpaceDE/>
              <w:autoSpaceDN/>
              <w:adjustRightInd/>
              <w:jc w:val="center"/>
              <w:rPr>
                <w:color w:val="000000"/>
                <w:szCs w:val="20"/>
              </w:rPr>
            </w:pPr>
            <w:r w:rsidRPr="00FC3B3D">
              <w:t>4</w:t>
            </w:r>
          </w:p>
        </w:tc>
        <w:tc>
          <w:tcPr>
            <w:tcW w:w="1354" w:type="dxa"/>
            <w:noWrap/>
            <w:vAlign w:val="bottom"/>
            <w:hideMark/>
          </w:tcPr>
          <w:p w:rsidR="0013558B" w:rsidRPr="009307BC" w:rsidP="004B1527" w14:paraId="651AD8FE" w14:textId="72AE5A23">
            <w:pPr>
              <w:widowControl/>
              <w:autoSpaceDE/>
              <w:autoSpaceDN/>
              <w:adjustRightInd/>
              <w:ind w:right="270"/>
              <w:jc w:val="center"/>
              <w:rPr>
                <w:color w:val="000000"/>
                <w:szCs w:val="20"/>
              </w:rPr>
            </w:pPr>
            <w:r w:rsidRPr="00FC3B3D">
              <w:t>10,744</w:t>
            </w:r>
          </w:p>
        </w:tc>
        <w:tc>
          <w:tcPr>
            <w:tcW w:w="1443" w:type="dxa"/>
            <w:noWrap/>
            <w:vAlign w:val="bottom"/>
            <w:hideMark/>
          </w:tcPr>
          <w:p w:rsidR="0013558B" w:rsidRPr="009307BC" w:rsidP="00917023" w14:paraId="52038182" w14:textId="1063AD39">
            <w:pPr>
              <w:widowControl/>
              <w:autoSpaceDE/>
              <w:autoSpaceDN/>
              <w:adjustRightInd/>
              <w:ind w:right="126"/>
              <w:jc w:val="right"/>
              <w:rPr>
                <w:color w:val="000000"/>
                <w:szCs w:val="20"/>
              </w:rPr>
            </w:pPr>
            <w:r w:rsidRPr="00FC3B3D">
              <w:t xml:space="preserve">$687,616 </w:t>
            </w:r>
          </w:p>
        </w:tc>
      </w:tr>
      <w:tr w14:paraId="62B5E552" w14:textId="77777777" w:rsidTr="00037F27">
        <w:tblPrEx>
          <w:tblW w:w="10353" w:type="dxa"/>
          <w:tblInd w:w="-370" w:type="dxa"/>
          <w:tblLayout w:type="fixed"/>
          <w:tblLook w:val="04A0"/>
        </w:tblPrEx>
        <w:trPr>
          <w:trHeight w:val="318"/>
        </w:trPr>
        <w:tc>
          <w:tcPr>
            <w:tcW w:w="4760" w:type="dxa"/>
            <w:noWrap/>
            <w:vAlign w:val="bottom"/>
            <w:hideMark/>
          </w:tcPr>
          <w:p w:rsidR="0013558B" w:rsidRPr="009307BC" w:rsidP="0013558B" w14:paraId="7BCE4ED4" w14:textId="797EC067">
            <w:pPr>
              <w:widowControl/>
              <w:autoSpaceDE/>
              <w:autoSpaceDN/>
              <w:adjustRightInd/>
              <w:rPr>
                <w:color w:val="000000"/>
                <w:szCs w:val="20"/>
              </w:rPr>
            </w:pPr>
            <w:r w:rsidRPr="009307BC">
              <w:rPr>
                <w:color w:val="000000"/>
                <w:szCs w:val="20"/>
              </w:rPr>
              <w:t>IC-</w:t>
            </w:r>
            <w:r w:rsidR="003C3482">
              <w:rPr>
                <w:color w:val="000000"/>
                <w:szCs w:val="20"/>
              </w:rPr>
              <w:t>3</w:t>
            </w:r>
            <w:r w:rsidRPr="009307BC">
              <w:rPr>
                <w:color w:val="000000"/>
                <w:szCs w:val="20"/>
              </w:rPr>
              <w:t>: Develop Communication Plan</w:t>
            </w:r>
          </w:p>
        </w:tc>
        <w:tc>
          <w:tcPr>
            <w:tcW w:w="996" w:type="dxa"/>
            <w:vAlign w:val="bottom"/>
          </w:tcPr>
          <w:p w:rsidR="0013558B" w:rsidRPr="009307BC" w:rsidP="0013558B" w14:paraId="34B31320" w14:textId="5AF92232">
            <w:pPr>
              <w:widowControl/>
              <w:autoSpaceDE/>
              <w:autoSpaceDN/>
              <w:adjustRightInd/>
              <w:jc w:val="center"/>
              <w:rPr>
                <w:color w:val="000000"/>
                <w:szCs w:val="20"/>
              </w:rPr>
            </w:pPr>
            <w:r w:rsidRPr="00FC3B3D">
              <w:t>2,864</w:t>
            </w:r>
          </w:p>
        </w:tc>
        <w:tc>
          <w:tcPr>
            <w:tcW w:w="900" w:type="dxa"/>
            <w:vAlign w:val="bottom"/>
            <w:hideMark/>
          </w:tcPr>
          <w:p w:rsidR="0013558B" w:rsidRPr="009307BC" w:rsidP="0013558B" w14:paraId="54F1930F" w14:textId="330541B4">
            <w:pPr>
              <w:widowControl/>
              <w:autoSpaceDE/>
              <w:autoSpaceDN/>
              <w:adjustRightInd/>
              <w:jc w:val="center"/>
              <w:rPr>
                <w:color w:val="000000"/>
                <w:szCs w:val="20"/>
              </w:rPr>
            </w:pPr>
            <w:r w:rsidRPr="00FC3B3D">
              <w:t>$64</w:t>
            </w:r>
          </w:p>
        </w:tc>
        <w:tc>
          <w:tcPr>
            <w:tcW w:w="900" w:type="dxa"/>
            <w:vAlign w:val="bottom"/>
            <w:hideMark/>
          </w:tcPr>
          <w:p w:rsidR="0013558B" w:rsidRPr="009307BC" w:rsidP="0013558B" w14:paraId="52A37785" w14:textId="51BFD04F">
            <w:pPr>
              <w:widowControl/>
              <w:autoSpaceDE/>
              <w:autoSpaceDN/>
              <w:adjustRightInd/>
              <w:jc w:val="center"/>
              <w:rPr>
                <w:color w:val="000000"/>
                <w:szCs w:val="20"/>
              </w:rPr>
            </w:pPr>
            <w:r w:rsidRPr="00FC3B3D">
              <w:t>4</w:t>
            </w:r>
          </w:p>
        </w:tc>
        <w:tc>
          <w:tcPr>
            <w:tcW w:w="1354" w:type="dxa"/>
            <w:noWrap/>
            <w:vAlign w:val="bottom"/>
            <w:hideMark/>
          </w:tcPr>
          <w:p w:rsidR="0013558B" w:rsidRPr="009307BC" w:rsidP="004B1527" w14:paraId="642D17AF" w14:textId="1D579249">
            <w:pPr>
              <w:widowControl/>
              <w:autoSpaceDE/>
              <w:autoSpaceDN/>
              <w:adjustRightInd/>
              <w:ind w:right="270"/>
              <w:jc w:val="center"/>
              <w:rPr>
                <w:color w:val="000000"/>
                <w:szCs w:val="20"/>
              </w:rPr>
            </w:pPr>
            <w:r w:rsidRPr="00FC3B3D">
              <w:t>11,456</w:t>
            </w:r>
          </w:p>
        </w:tc>
        <w:tc>
          <w:tcPr>
            <w:tcW w:w="1443" w:type="dxa"/>
            <w:noWrap/>
            <w:vAlign w:val="bottom"/>
            <w:hideMark/>
          </w:tcPr>
          <w:p w:rsidR="0013558B" w:rsidRPr="009307BC" w:rsidP="00917023" w14:paraId="30F283C5" w14:textId="148995AC">
            <w:pPr>
              <w:widowControl/>
              <w:autoSpaceDE/>
              <w:autoSpaceDN/>
              <w:adjustRightInd/>
              <w:ind w:right="126"/>
              <w:jc w:val="right"/>
              <w:rPr>
                <w:color w:val="000000"/>
                <w:szCs w:val="20"/>
              </w:rPr>
            </w:pPr>
            <w:r w:rsidRPr="00FC3B3D">
              <w:t xml:space="preserve">$733,184 </w:t>
            </w:r>
          </w:p>
        </w:tc>
      </w:tr>
      <w:tr w14:paraId="229250D7" w14:textId="77777777" w:rsidTr="00037F27">
        <w:tblPrEx>
          <w:tblW w:w="10353" w:type="dxa"/>
          <w:tblInd w:w="-370" w:type="dxa"/>
          <w:tblLayout w:type="fixed"/>
          <w:tblLook w:val="04A0"/>
        </w:tblPrEx>
        <w:trPr>
          <w:trHeight w:val="318"/>
        </w:trPr>
        <w:tc>
          <w:tcPr>
            <w:tcW w:w="4760" w:type="dxa"/>
            <w:noWrap/>
            <w:vAlign w:val="bottom"/>
            <w:hideMark/>
          </w:tcPr>
          <w:p w:rsidR="0013558B" w:rsidRPr="009307BC" w:rsidP="0013558B" w14:paraId="772B62F0" w14:textId="1FA713DE">
            <w:pPr>
              <w:widowControl/>
              <w:autoSpaceDE/>
              <w:autoSpaceDN/>
              <w:adjustRightInd/>
              <w:rPr>
                <w:color w:val="000000"/>
                <w:szCs w:val="20"/>
              </w:rPr>
            </w:pPr>
            <w:r w:rsidRPr="009307BC">
              <w:rPr>
                <w:color w:val="000000"/>
                <w:szCs w:val="20"/>
              </w:rPr>
              <w:t>IC-</w:t>
            </w:r>
            <w:r w:rsidR="003C3482">
              <w:rPr>
                <w:color w:val="000000"/>
                <w:szCs w:val="20"/>
              </w:rPr>
              <w:t>4</w:t>
            </w:r>
            <w:r w:rsidR="003A5E68">
              <w:rPr>
                <w:color w:val="000000"/>
                <w:szCs w:val="20"/>
              </w:rPr>
              <w:t>a</w:t>
            </w:r>
            <w:r w:rsidRPr="009307BC">
              <w:rPr>
                <w:color w:val="000000"/>
                <w:szCs w:val="20"/>
              </w:rPr>
              <w:t>: Develop Training Program</w:t>
            </w:r>
          </w:p>
        </w:tc>
        <w:tc>
          <w:tcPr>
            <w:tcW w:w="996" w:type="dxa"/>
            <w:noWrap/>
            <w:vAlign w:val="bottom"/>
          </w:tcPr>
          <w:p w:rsidR="0013558B" w:rsidRPr="009307BC" w:rsidP="0013558B" w14:paraId="567F7D75" w14:textId="7D3FA73F">
            <w:pPr>
              <w:widowControl/>
              <w:autoSpaceDE/>
              <w:autoSpaceDN/>
              <w:adjustRightInd/>
              <w:jc w:val="center"/>
              <w:rPr>
                <w:color w:val="000000"/>
                <w:szCs w:val="20"/>
              </w:rPr>
            </w:pPr>
            <w:r w:rsidRPr="00FC3B3D">
              <w:t>2,927</w:t>
            </w:r>
          </w:p>
        </w:tc>
        <w:tc>
          <w:tcPr>
            <w:tcW w:w="900" w:type="dxa"/>
            <w:vAlign w:val="bottom"/>
            <w:hideMark/>
          </w:tcPr>
          <w:p w:rsidR="0013558B" w:rsidRPr="009307BC" w:rsidP="0013558B" w14:paraId="73FCDD79" w14:textId="32D2AC3E">
            <w:pPr>
              <w:widowControl/>
              <w:autoSpaceDE/>
              <w:autoSpaceDN/>
              <w:adjustRightInd/>
              <w:jc w:val="center"/>
              <w:rPr>
                <w:color w:val="000000"/>
                <w:szCs w:val="20"/>
              </w:rPr>
            </w:pPr>
            <w:r w:rsidRPr="00FC3B3D">
              <w:t>$64</w:t>
            </w:r>
          </w:p>
        </w:tc>
        <w:tc>
          <w:tcPr>
            <w:tcW w:w="900" w:type="dxa"/>
            <w:vAlign w:val="bottom"/>
            <w:hideMark/>
          </w:tcPr>
          <w:p w:rsidR="0013558B" w:rsidRPr="009307BC" w:rsidP="0013558B" w14:paraId="46C96158" w14:textId="7DF197D4">
            <w:pPr>
              <w:widowControl/>
              <w:autoSpaceDE/>
              <w:autoSpaceDN/>
              <w:adjustRightInd/>
              <w:jc w:val="center"/>
              <w:rPr>
                <w:color w:val="000000"/>
                <w:szCs w:val="20"/>
              </w:rPr>
            </w:pPr>
            <w:r w:rsidRPr="00FC3B3D">
              <w:t>4</w:t>
            </w:r>
          </w:p>
        </w:tc>
        <w:tc>
          <w:tcPr>
            <w:tcW w:w="1354" w:type="dxa"/>
            <w:noWrap/>
            <w:vAlign w:val="bottom"/>
            <w:hideMark/>
          </w:tcPr>
          <w:p w:rsidR="0013558B" w:rsidRPr="009307BC" w:rsidP="004B1527" w14:paraId="36A84682" w14:textId="054BD258">
            <w:pPr>
              <w:widowControl/>
              <w:autoSpaceDE/>
              <w:autoSpaceDN/>
              <w:adjustRightInd/>
              <w:ind w:right="270"/>
              <w:jc w:val="center"/>
              <w:rPr>
                <w:color w:val="000000"/>
                <w:szCs w:val="20"/>
              </w:rPr>
            </w:pPr>
            <w:r w:rsidRPr="00FC3B3D">
              <w:t>11,708</w:t>
            </w:r>
          </w:p>
        </w:tc>
        <w:tc>
          <w:tcPr>
            <w:tcW w:w="1443" w:type="dxa"/>
            <w:noWrap/>
            <w:vAlign w:val="bottom"/>
            <w:hideMark/>
          </w:tcPr>
          <w:p w:rsidR="0013558B" w:rsidRPr="009307BC" w:rsidP="00917023" w14:paraId="70A5C563" w14:textId="18FD804A">
            <w:pPr>
              <w:widowControl/>
              <w:autoSpaceDE/>
              <w:autoSpaceDN/>
              <w:adjustRightInd/>
              <w:ind w:right="126"/>
              <w:jc w:val="right"/>
              <w:rPr>
                <w:color w:val="000000"/>
                <w:szCs w:val="20"/>
              </w:rPr>
            </w:pPr>
            <w:r w:rsidRPr="00FC3B3D">
              <w:t xml:space="preserve">$749,312 </w:t>
            </w:r>
          </w:p>
        </w:tc>
      </w:tr>
      <w:tr w14:paraId="21C6E930" w14:textId="77777777" w:rsidTr="00037F27">
        <w:tblPrEx>
          <w:tblW w:w="10353" w:type="dxa"/>
          <w:tblInd w:w="-370" w:type="dxa"/>
          <w:tblLayout w:type="fixed"/>
          <w:tblLook w:val="04A0"/>
        </w:tblPrEx>
        <w:trPr>
          <w:trHeight w:val="318"/>
        </w:trPr>
        <w:tc>
          <w:tcPr>
            <w:tcW w:w="4760" w:type="dxa"/>
            <w:noWrap/>
            <w:vAlign w:val="bottom"/>
            <w:hideMark/>
          </w:tcPr>
          <w:p w:rsidR="0013558B" w:rsidRPr="009307BC" w:rsidP="0013558B" w14:paraId="623414E8" w14:textId="629456AD">
            <w:pPr>
              <w:widowControl/>
              <w:autoSpaceDE/>
              <w:autoSpaceDN/>
              <w:adjustRightInd/>
              <w:rPr>
                <w:color w:val="000000"/>
                <w:szCs w:val="20"/>
              </w:rPr>
            </w:pPr>
            <w:r w:rsidRPr="009307BC">
              <w:rPr>
                <w:color w:val="000000"/>
                <w:szCs w:val="20"/>
              </w:rPr>
              <w:t>IC-</w:t>
            </w:r>
            <w:r w:rsidR="003A5E68">
              <w:rPr>
                <w:color w:val="000000"/>
                <w:szCs w:val="20"/>
              </w:rPr>
              <w:t>4b</w:t>
            </w:r>
            <w:r w:rsidRPr="009307BC">
              <w:rPr>
                <w:color w:val="000000"/>
                <w:szCs w:val="20"/>
              </w:rPr>
              <w:t xml:space="preserve">: Conduct </w:t>
            </w:r>
            <w:r>
              <w:rPr>
                <w:color w:val="000000"/>
                <w:szCs w:val="20"/>
              </w:rPr>
              <w:t>Training</w:t>
            </w:r>
            <w:r w:rsidR="003A5E68">
              <w:rPr>
                <w:color w:val="000000"/>
                <w:szCs w:val="20"/>
              </w:rPr>
              <w:t>s</w:t>
            </w:r>
          </w:p>
        </w:tc>
        <w:tc>
          <w:tcPr>
            <w:tcW w:w="996" w:type="dxa"/>
            <w:noWrap/>
            <w:vAlign w:val="bottom"/>
          </w:tcPr>
          <w:p w:rsidR="0013558B" w:rsidRPr="009307BC" w:rsidP="0013558B" w14:paraId="0312E918" w14:textId="502F669B">
            <w:pPr>
              <w:widowControl/>
              <w:autoSpaceDE/>
              <w:autoSpaceDN/>
              <w:adjustRightInd/>
              <w:jc w:val="center"/>
              <w:rPr>
                <w:color w:val="000000"/>
                <w:szCs w:val="20"/>
              </w:rPr>
            </w:pPr>
            <w:r w:rsidRPr="00FC3B3D">
              <w:t>57,416</w:t>
            </w:r>
          </w:p>
        </w:tc>
        <w:tc>
          <w:tcPr>
            <w:tcW w:w="900" w:type="dxa"/>
            <w:vAlign w:val="bottom"/>
            <w:hideMark/>
          </w:tcPr>
          <w:p w:rsidR="0013558B" w:rsidRPr="009307BC" w:rsidP="0013558B" w14:paraId="0784E4E9" w14:textId="6131CBE3">
            <w:pPr>
              <w:widowControl/>
              <w:autoSpaceDE/>
              <w:autoSpaceDN/>
              <w:adjustRightInd/>
              <w:jc w:val="center"/>
              <w:rPr>
                <w:color w:val="000000"/>
                <w:szCs w:val="20"/>
              </w:rPr>
            </w:pPr>
            <w:r w:rsidRPr="00FC3B3D">
              <w:t>$64</w:t>
            </w:r>
          </w:p>
        </w:tc>
        <w:tc>
          <w:tcPr>
            <w:tcW w:w="900" w:type="dxa"/>
            <w:vAlign w:val="bottom"/>
            <w:hideMark/>
          </w:tcPr>
          <w:p w:rsidR="0013558B" w:rsidRPr="009307BC" w:rsidP="0013558B" w14:paraId="104E720D" w14:textId="7A3831EA">
            <w:pPr>
              <w:widowControl/>
              <w:autoSpaceDE/>
              <w:autoSpaceDN/>
              <w:adjustRightInd/>
              <w:jc w:val="center"/>
              <w:rPr>
                <w:color w:val="000000"/>
                <w:szCs w:val="20"/>
              </w:rPr>
            </w:pPr>
            <w:r w:rsidRPr="00FC3B3D">
              <w:t>1</w:t>
            </w:r>
          </w:p>
        </w:tc>
        <w:tc>
          <w:tcPr>
            <w:tcW w:w="1354" w:type="dxa"/>
            <w:noWrap/>
            <w:vAlign w:val="bottom"/>
            <w:hideMark/>
          </w:tcPr>
          <w:p w:rsidR="0013558B" w:rsidRPr="009307BC" w:rsidP="004B1527" w14:paraId="2C7A180F" w14:textId="2037058A">
            <w:pPr>
              <w:widowControl/>
              <w:autoSpaceDE/>
              <w:autoSpaceDN/>
              <w:adjustRightInd/>
              <w:ind w:right="270"/>
              <w:jc w:val="center"/>
              <w:rPr>
                <w:color w:val="000000"/>
                <w:szCs w:val="20"/>
              </w:rPr>
            </w:pPr>
            <w:r w:rsidRPr="00FC3B3D">
              <w:t>57,416</w:t>
            </w:r>
          </w:p>
        </w:tc>
        <w:tc>
          <w:tcPr>
            <w:tcW w:w="1443" w:type="dxa"/>
            <w:noWrap/>
            <w:vAlign w:val="bottom"/>
            <w:hideMark/>
          </w:tcPr>
          <w:p w:rsidR="0013558B" w:rsidRPr="009307BC" w:rsidP="00917023" w14:paraId="62F9BCA5" w14:textId="0F96FBF6">
            <w:pPr>
              <w:widowControl/>
              <w:autoSpaceDE/>
              <w:autoSpaceDN/>
              <w:adjustRightInd/>
              <w:ind w:right="126"/>
              <w:jc w:val="right"/>
              <w:rPr>
                <w:color w:val="000000"/>
                <w:szCs w:val="20"/>
              </w:rPr>
            </w:pPr>
            <w:r w:rsidRPr="00FC3B3D">
              <w:t xml:space="preserve">$3,674,624 </w:t>
            </w:r>
          </w:p>
        </w:tc>
      </w:tr>
      <w:tr w14:paraId="3408E6BD" w14:textId="77777777" w:rsidTr="00037F27">
        <w:tblPrEx>
          <w:tblW w:w="10353" w:type="dxa"/>
          <w:tblInd w:w="-370" w:type="dxa"/>
          <w:tblLayout w:type="fixed"/>
          <w:tblLook w:val="04A0"/>
        </w:tblPrEx>
        <w:trPr>
          <w:trHeight w:val="318"/>
        </w:trPr>
        <w:tc>
          <w:tcPr>
            <w:tcW w:w="4760" w:type="dxa"/>
            <w:noWrap/>
            <w:vAlign w:val="bottom"/>
          </w:tcPr>
          <w:p w:rsidR="0013558B" w:rsidRPr="009307BC" w:rsidP="0013558B" w14:paraId="66EC8D22" w14:textId="128807FD">
            <w:pPr>
              <w:widowControl/>
              <w:autoSpaceDE/>
              <w:autoSpaceDN/>
              <w:adjustRightInd/>
              <w:rPr>
                <w:color w:val="000000"/>
                <w:szCs w:val="20"/>
              </w:rPr>
            </w:pPr>
            <w:r w:rsidRPr="009307BC">
              <w:rPr>
                <w:color w:val="000000"/>
                <w:szCs w:val="20"/>
              </w:rPr>
              <w:t>IC-</w:t>
            </w:r>
            <w:r w:rsidR="003A5E68">
              <w:rPr>
                <w:color w:val="000000"/>
                <w:szCs w:val="20"/>
              </w:rPr>
              <w:t>4c</w:t>
            </w:r>
            <w:r w:rsidRPr="009307BC">
              <w:rPr>
                <w:color w:val="000000"/>
                <w:szCs w:val="20"/>
              </w:rPr>
              <w:t xml:space="preserve">: Conduct </w:t>
            </w:r>
            <w:r>
              <w:rPr>
                <w:color w:val="000000"/>
                <w:szCs w:val="20"/>
              </w:rPr>
              <w:t xml:space="preserve">Annual </w:t>
            </w:r>
            <w:r w:rsidRPr="009307BC">
              <w:rPr>
                <w:color w:val="000000"/>
                <w:szCs w:val="20"/>
              </w:rPr>
              <w:t xml:space="preserve">Testing </w:t>
            </w:r>
          </w:p>
        </w:tc>
        <w:tc>
          <w:tcPr>
            <w:tcW w:w="996" w:type="dxa"/>
            <w:noWrap/>
            <w:vAlign w:val="bottom"/>
          </w:tcPr>
          <w:p w:rsidR="0013558B" w:rsidRPr="009307BC" w:rsidP="0013558B" w14:paraId="1BEF421F" w14:textId="2E4CB31B">
            <w:pPr>
              <w:widowControl/>
              <w:autoSpaceDE/>
              <w:autoSpaceDN/>
              <w:adjustRightInd/>
              <w:jc w:val="center"/>
              <w:rPr>
                <w:color w:val="000000"/>
                <w:szCs w:val="20"/>
              </w:rPr>
            </w:pPr>
            <w:r w:rsidRPr="00FC3B3D">
              <w:t>49,014</w:t>
            </w:r>
          </w:p>
        </w:tc>
        <w:tc>
          <w:tcPr>
            <w:tcW w:w="900" w:type="dxa"/>
            <w:vAlign w:val="bottom"/>
          </w:tcPr>
          <w:p w:rsidR="0013558B" w:rsidRPr="009307BC" w:rsidP="0013558B" w14:paraId="44C860E6" w14:textId="791F540D">
            <w:pPr>
              <w:widowControl/>
              <w:autoSpaceDE/>
              <w:autoSpaceDN/>
              <w:adjustRightInd/>
              <w:jc w:val="center"/>
              <w:rPr>
                <w:color w:val="000000"/>
                <w:szCs w:val="20"/>
              </w:rPr>
            </w:pPr>
            <w:r w:rsidRPr="00FC3B3D">
              <w:t>$64</w:t>
            </w:r>
          </w:p>
        </w:tc>
        <w:tc>
          <w:tcPr>
            <w:tcW w:w="900" w:type="dxa"/>
            <w:vAlign w:val="bottom"/>
          </w:tcPr>
          <w:p w:rsidR="0013558B" w:rsidRPr="009307BC" w:rsidP="0013558B" w14:paraId="563A35E3" w14:textId="0E5DD177">
            <w:pPr>
              <w:widowControl/>
              <w:autoSpaceDE/>
              <w:autoSpaceDN/>
              <w:adjustRightInd/>
              <w:jc w:val="center"/>
              <w:rPr>
                <w:color w:val="000000"/>
                <w:szCs w:val="20"/>
              </w:rPr>
            </w:pPr>
            <w:r w:rsidRPr="00FC3B3D">
              <w:t>1</w:t>
            </w:r>
          </w:p>
        </w:tc>
        <w:tc>
          <w:tcPr>
            <w:tcW w:w="1354" w:type="dxa"/>
            <w:noWrap/>
            <w:vAlign w:val="bottom"/>
          </w:tcPr>
          <w:p w:rsidR="0013558B" w:rsidRPr="009307BC" w:rsidP="004B1527" w14:paraId="1232399B" w14:textId="792E7DDC">
            <w:pPr>
              <w:widowControl/>
              <w:autoSpaceDE/>
              <w:autoSpaceDN/>
              <w:adjustRightInd/>
              <w:ind w:right="270"/>
              <w:jc w:val="center"/>
              <w:rPr>
                <w:color w:val="000000"/>
                <w:szCs w:val="20"/>
              </w:rPr>
            </w:pPr>
            <w:r w:rsidRPr="00FC3B3D">
              <w:t>49,014</w:t>
            </w:r>
          </w:p>
        </w:tc>
        <w:tc>
          <w:tcPr>
            <w:tcW w:w="1443" w:type="dxa"/>
            <w:noWrap/>
            <w:vAlign w:val="bottom"/>
          </w:tcPr>
          <w:p w:rsidR="0013558B" w:rsidRPr="009307BC" w:rsidP="00917023" w14:paraId="2BD8B79E" w14:textId="07D6C061">
            <w:pPr>
              <w:widowControl/>
              <w:autoSpaceDE/>
              <w:autoSpaceDN/>
              <w:adjustRightInd/>
              <w:ind w:right="126"/>
              <w:jc w:val="right"/>
              <w:rPr>
                <w:color w:val="000000"/>
                <w:szCs w:val="20"/>
              </w:rPr>
            </w:pPr>
            <w:r w:rsidRPr="00FC3B3D">
              <w:t xml:space="preserve">$3,136,896 </w:t>
            </w:r>
          </w:p>
        </w:tc>
      </w:tr>
      <w:tr w14:paraId="2E6548A2" w14:textId="77777777" w:rsidTr="00037F27">
        <w:tblPrEx>
          <w:tblW w:w="10353" w:type="dxa"/>
          <w:tblInd w:w="-370" w:type="dxa"/>
          <w:tblLayout w:type="fixed"/>
          <w:tblLook w:val="04A0"/>
        </w:tblPrEx>
        <w:trPr>
          <w:trHeight w:val="318"/>
        </w:trPr>
        <w:tc>
          <w:tcPr>
            <w:tcW w:w="4760" w:type="dxa"/>
            <w:tcBorders>
              <w:bottom w:val="single" w:sz="4" w:space="0" w:color="auto"/>
            </w:tcBorders>
            <w:noWrap/>
            <w:vAlign w:val="bottom"/>
            <w:hideMark/>
          </w:tcPr>
          <w:p w:rsidR="0013558B" w:rsidRPr="009307BC" w:rsidP="0013558B" w14:paraId="5488BF4B" w14:textId="4F762A19">
            <w:pPr>
              <w:widowControl/>
              <w:autoSpaceDE/>
              <w:autoSpaceDN/>
              <w:adjustRightInd/>
              <w:rPr>
                <w:color w:val="000000"/>
                <w:szCs w:val="20"/>
              </w:rPr>
            </w:pPr>
            <w:r w:rsidRPr="009307BC">
              <w:rPr>
                <w:color w:val="000000"/>
                <w:szCs w:val="20"/>
              </w:rPr>
              <w:t>IC-</w:t>
            </w:r>
            <w:r w:rsidR="003A5E68">
              <w:rPr>
                <w:color w:val="000000"/>
                <w:szCs w:val="20"/>
              </w:rPr>
              <w:t>5</w:t>
            </w:r>
            <w:r w:rsidRPr="009307BC">
              <w:rPr>
                <w:color w:val="000000"/>
                <w:szCs w:val="20"/>
              </w:rPr>
              <w:t>: OPO Agreements 42 CFR §483.60(e)</w:t>
            </w:r>
          </w:p>
        </w:tc>
        <w:tc>
          <w:tcPr>
            <w:tcW w:w="996" w:type="dxa"/>
            <w:tcBorders>
              <w:bottom w:val="single" w:sz="4" w:space="0" w:color="auto"/>
            </w:tcBorders>
            <w:noWrap/>
            <w:vAlign w:val="bottom"/>
          </w:tcPr>
          <w:p w:rsidR="0013558B" w:rsidRPr="009307BC" w:rsidP="0013558B" w14:paraId="1D1F89E6" w14:textId="728867B1">
            <w:pPr>
              <w:widowControl/>
              <w:autoSpaceDE/>
              <w:autoSpaceDN/>
              <w:adjustRightInd/>
              <w:jc w:val="center"/>
              <w:rPr>
                <w:color w:val="000000"/>
                <w:szCs w:val="20"/>
              </w:rPr>
            </w:pPr>
            <w:r w:rsidRPr="00FC3B3D">
              <w:t>57</w:t>
            </w:r>
          </w:p>
        </w:tc>
        <w:tc>
          <w:tcPr>
            <w:tcW w:w="900" w:type="dxa"/>
            <w:tcBorders>
              <w:bottom w:val="single" w:sz="4" w:space="0" w:color="auto"/>
            </w:tcBorders>
            <w:vAlign w:val="bottom"/>
            <w:hideMark/>
          </w:tcPr>
          <w:p w:rsidR="0013558B" w:rsidRPr="009307BC" w:rsidP="0013558B" w14:paraId="5DF9F460" w14:textId="50361707">
            <w:pPr>
              <w:widowControl/>
              <w:autoSpaceDE/>
              <w:autoSpaceDN/>
              <w:adjustRightInd/>
              <w:jc w:val="center"/>
              <w:rPr>
                <w:color w:val="000000"/>
                <w:szCs w:val="20"/>
              </w:rPr>
            </w:pPr>
            <w:r w:rsidRPr="00FC3B3D">
              <w:t>$64</w:t>
            </w:r>
          </w:p>
        </w:tc>
        <w:tc>
          <w:tcPr>
            <w:tcW w:w="900" w:type="dxa"/>
            <w:tcBorders>
              <w:bottom w:val="single" w:sz="4" w:space="0" w:color="auto"/>
            </w:tcBorders>
            <w:vAlign w:val="bottom"/>
            <w:hideMark/>
          </w:tcPr>
          <w:p w:rsidR="0013558B" w:rsidRPr="009307BC" w:rsidP="0013558B" w14:paraId="5920ED13" w14:textId="111E2585">
            <w:pPr>
              <w:widowControl/>
              <w:autoSpaceDE/>
              <w:autoSpaceDN/>
              <w:adjustRightInd/>
              <w:jc w:val="center"/>
              <w:rPr>
                <w:color w:val="000000"/>
                <w:szCs w:val="20"/>
              </w:rPr>
            </w:pPr>
            <w:r w:rsidRPr="00FC3B3D">
              <w:t>1</w:t>
            </w:r>
          </w:p>
        </w:tc>
        <w:tc>
          <w:tcPr>
            <w:tcW w:w="1354" w:type="dxa"/>
            <w:tcBorders>
              <w:bottom w:val="single" w:sz="4" w:space="0" w:color="auto"/>
            </w:tcBorders>
            <w:noWrap/>
            <w:vAlign w:val="bottom"/>
            <w:hideMark/>
          </w:tcPr>
          <w:p w:rsidR="0013558B" w:rsidRPr="009307BC" w:rsidP="004B1527" w14:paraId="5F33E8D0" w14:textId="1AED8729">
            <w:pPr>
              <w:widowControl/>
              <w:autoSpaceDE/>
              <w:autoSpaceDN/>
              <w:adjustRightInd/>
              <w:ind w:right="270"/>
              <w:jc w:val="center"/>
              <w:rPr>
                <w:color w:val="000000"/>
                <w:szCs w:val="20"/>
              </w:rPr>
            </w:pPr>
            <w:r w:rsidRPr="00FC3B3D">
              <w:t>57</w:t>
            </w:r>
          </w:p>
        </w:tc>
        <w:tc>
          <w:tcPr>
            <w:tcW w:w="1443" w:type="dxa"/>
            <w:tcBorders>
              <w:bottom w:val="single" w:sz="4" w:space="0" w:color="auto"/>
            </w:tcBorders>
            <w:noWrap/>
            <w:vAlign w:val="bottom"/>
            <w:hideMark/>
          </w:tcPr>
          <w:p w:rsidR="0013558B" w:rsidRPr="009307BC" w:rsidP="00917023" w14:paraId="65775784" w14:textId="7B9FD1F8">
            <w:pPr>
              <w:widowControl/>
              <w:autoSpaceDE/>
              <w:autoSpaceDN/>
              <w:adjustRightInd/>
              <w:ind w:right="126"/>
              <w:jc w:val="right"/>
              <w:rPr>
                <w:color w:val="000000"/>
                <w:szCs w:val="20"/>
              </w:rPr>
            </w:pPr>
            <w:r w:rsidRPr="00FC3B3D">
              <w:t xml:space="preserve">$3,648 </w:t>
            </w:r>
          </w:p>
        </w:tc>
      </w:tr>
      <w:tr w14:paraId="1D3552D9" w14:textId="77777777" w:rsidTr="00037F27">
        <w:tblPrEx>
          <w:tblW w:w="10353" w:type="dxa"/>
          <w:tblInd w:w="-370" w:type="dxa"/>
          <w:tblLayout w:type="fixed"/>
          <w:tblLook w:val="04A0"/>
        </w:tblPrEx>
        <w:trPr>
          <w:trHeight w:val="318"/>
        </w:trPr>
        <w:tc>
          <w:tcPr>
            <w:tcW w:w="476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B5B42" w:rsidRPr="0013558B" w:rsidP="00CB5B42" w14:paraId="18C9CACF" w14:textId="77777777">
            <w:pPr>
              <w:widowControl/>
              <w:autoSpaceDE/>
              <w:autoSpaceDN/>
              <w:adjustRightInd/>
              <w:jc w:val="right"/>
              <w:rPr>
                <w:b/>
                <w:bCs/>
                <w:color w:val="000000"/>
                <w:sz w:val="24"/>
              </w:rPr>
            </w:pPr>
            <w:r w:rsidRPr="0013558B">
              <w:rPr>
                <w:b/>
                <w:bCs/>
                <w:color w:val="000000"/>
                <w:sz w:val="24"/>
              </w:rPr>
              <w:t>Total</w:t>
            </w:r>
          </w:p>
        </w:tc>
        <w:tc>
          <w:tcPr>
            <w:tcW w:w="99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B5B42" w:rsidRPr="0013558B" w:rsidP="00CB5B42" w14:paraId="107623BF" w14:textId="0F4D1340">
            <w:pPr>
              <w:widowControl/>
              <w:autoSpaceDE/>
              <w:autoSpaceDN/>
              <w:adjustRightInd/>
              <w:rPr>
                <w:b/>
                <w:bCs/>
                <w:color w:val="000000"/>
                <w:sz w:val="24"/>
              </w:rPr>
            </w:pPr>
            <w:r w:rsidRPr="0013558B">
              <w:rPr>
                <w:b/>
                <w:bCs/>
                <w:color w:val="000000"/>
                <w:sz w:val="22"/>
                <w:szCs w:val="22"/>
              </w:rPr>
              <w:t>180,</w:t>
            </w:r>
            <w:r>
              <w:rPr>
                <w:b/>
                <w:bCs/>
                <w:color w:val="000000"/>
                <w:sz w:val="22"/>
                <w:szCs w:val="22"/>
              </w:rPr>
              <w:t>91</w:t>
            </w:r>
            <w:r w:rsidRPr="0013558B">
              <w:rPr>
                <w:b/>
                <w:bCs/>
                <w:color w:val="000000"/>
                <w:sz w:val="22"/>
                <w:szCs w:val="22"/>
              </w:rPr>
              <w:t>5</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B5B42" w:rsidRPr="00CB5B42" w:rsidP="00CB5B42" w14:paraId="1F4600E0" w14:textId="3A0D4E80">
            <w:pPr>
              <w:widowControl/>
              <w:autoSpaceDE/>
              <w:autoSpaceDN/>
              <w:adjustRightInd/>
              <w:jc w:val="center"/>
              <w:rPr>
                <w:b/>
                <w:bCs/>
                <w:color w:val="000000"/>
                <w:sz w:val="22"/>
                <w:szCs w:val="22"/>
              </w:rPr>
            </w:pPr>
            <w:r w:rsidRPr="00CB5B42">
              <w:rPr>
                <w:b/>
                <w:bCs/>
                <w:color w:val="000000"/>
                <w:sz w:val="22"/>
                <w:szCs w:val="22"/>
              </w:rPr>
              <w:t>n/a</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B5B42" w:rsidRPr="0013558B" w:rsidP="00CB5B42" w14:paraId="5B9C447A" w14:textId="7F8C7711">
            <w:pPr>
              <w:widowControl/>
              <w:autoSpaceDE/>
              <w:autoSpaceDN/>
              <w:adjustRightInd/>
              <w:jc w:val="center"/>
              <w:rPr>
                <w:b/>
                <w:bCs/>
                <w:color w:val="000000"/>
                <w:sz w:val="24"/>
              </w:rPr>
            </w:pPr>
            <w:r w:rsidRPr="00CB5B42">
              <w:rPr>
                <w:b/>
                <w:bCs/>
                <w:color w:val="000000"/>
                <w:sz w:val="22"/>
                <w:szCs w:val="22"/>
              </w:rPr>
              <w:t>n/a</w:t>
            </w:r>
          </w:p>
        </w:tc>
        <w:tc>
          <w:tcPr>
            <w:tcW w:w="135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B5B42" w:rsidRPr="0013558B" w:rsidP="004B1527" w14:paraId="14FBD184" w14:textId="249A9F25">
            <w:pPr>
              <w:widowControl/>
              <w:autoSpaceDE/>
              <w:autoSpaceDN/>
              <w:adjustRightInd/>
              <w:ind w:right="270"/>
              <w:jc w:val="center"/>
              <w:rPr>
                <w:b/>
                <w:bCs/>
                <w:color w:val="000000"/>
                <w:sz w:val="22"/>
                <w:szCs w:val="28"/>
              </w:rPr>
            </w:pPr>
            <w:r w:rsidRPr="00982E29">
              <w:rPr>
                <w:b/>
                <w:bCs/>
                <w:sz w:val="22"/>
                <w:szCs w:val="28"/>
              </w:rPr>
              <w:t>222,063</w:t>
            </w:r>
          </w:p>
        </w:tc>
        <w:tc>
          <w:tcPr>
            <w:tcW w:w="144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B5B42" w:rsidRPr="0013558B" w:rsidP="00917023" w14:paraId="1BA17C96" w14:textId="2FFE95CE">
            <w:pPr>
              <w:widowControl/>
              <w:autoSpaceDE/>
              <w:autoSpaceDN/>
              <w:adjustRightInd/>
              <w:ind w:right="126"/>
              <w:jc w:val="right"/>
              <w:rPr>
                <w:b/>
                <w:bCs/>
                <w:color w:val="000000"/>
                <w:sz w:val="22"/>
                <w:szCs w:val="28"/>
              </w:rPr>
            </w:pPr>
            <w:r w:rsidRPr="00982E29">
              <w:rPr>
                <w:b/>
                <w:bCs/>
                <w:sz w:val="22"/>
                <w:szCs w:val="28"/>
              </w:rPr>
              <w:t xml:space="preserve">$14,212,032 </w:t>
            </w:r>
          </w:p>
        </w:tc>
      </w:tr>
    </w:tbl>
    <w:p w:rsidR="00D910EC" w:rsidP="0094673A" w14:paraId="1658B47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0228D" w:rsidP="0020228D" w14:paraId="7AD2C2DE" w14:textId="77777777">
      <w:pPr>
        <w:pStyle w:val="Heading5"/>
      </w:pPr>
      <w:r w:rsidRPr="00891D52">
        <w:t>IC-1</w:t>
      </w:r>
      <w:r w:rsidRPr="00891D52" w:rsidR="003C3482">
        <w:t>a</w:t>
      </w:r>
      <w:r w:rsidRPr="00891D52">
        <w:t xml:space="preserve">: </w:t>
      </w:r>
      <w:r w:rsidRPr="00891D52" w:rsidR="0018710A">
        <w:t xml:space="preserve">Conduct </w:t>
      </w:r>
      <w:r w:rsidRPr="00891D52" w:rsidR="00D910EC">
        <w:t>Risk Assessment</w:t>
      </w:r>
      <w:r w:rsidR="0018710A">
        <w:t xml:space="preserve"> </w:t>
      </w:r>
    </w:p>
    <w:p w:rsidR="0013558B" w:rsidRPr="00D910EC" w:rsidP="0094673A" w14:paraId="752AEE05" w14:textId="3279843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B3529D">
        <w:rPr>
          <w:b/>
          <w:bCs/>
          <w:szCs w:val="20"/>
        </w:rPr>
        <w:t xml:space="preserve">- </w:t>
      </w:r>
      <w:r w:rsidRPr="00B3529D">
        <w:rPr>
          <w:szCs w:val="20"/>
        </w:rPr>
        <w:t xml:space="preserve">RNHCIs at </w:t>
      </w:r>
      <w:r w:rsidRPr="00B3529D">
        <w:rPr>
          <w:szCs w:val="20"/>
          <w:u w:val="single"/>
        </w:rPr>
        <w:t xml:space="preserve">§403.748(a); ASCs at §416.54(a); Hospices at §418.113(a); PRTFs at §441.184(a); PACE at §460.84(a); Hospitals at §482.15(a); Transplant Programs §482.78(a); ICF/IIDs at §483.475(a); HHAs at §484.102(a); REHs at §485.542(a); CAHs at §485.625(a); CORFs at §485.68(a); </w:t>
      </w:r>
      <w:r w:rsidR="00405371">
        <w:rPr>
          <w:szCs w:val="20"/>
          <w:u w:val="single"/>
        </w:rPr>
        <w:t>“Organizations”</w:t>
      </w:r>
      <w:r w:rsidRPr="00B3529D">
        <w:rPr>
          <w:szCs w:val="20"/>
          <w:u w:val="single"/>
        </w:rPr>
        <w:t xml:space="preserve"> at §485.727(a); CMHCs at §485.920(a); OPOs at §486.360(a); RHCs/FQHCs at §491.12(a); ESRD facilities at §494.62(a)</w:t>
      </w:r>
      <w:r w:rsidRPr="00D910EC" w:rsidR="00D910EC">
        <w:rPr>
          <w:sz w:val="24"/>
        </w:rPr>
        <w:t xml:space="preserve">State Survey Agency reviewers are responsible for reviewing </w:t>
      </w:r>
      <w:r w:rsidRPr="006019FE" w:rsidR="0018710A">
        <w:rPr>
          <w:b/>
          <w:bCs/>
          <w:i/>
          <w:iCs/>
          <w:sz w:val="24"/>
        </w:rPr>
        <w:t>new</w:t>
      </w:r>
      <w:r w:rsidR="0018710A">
        <w:rPr>
          <w:sz w:val="24"/>
        </w:rPr>
        <w:t xml:space="preserve"> </w:t>
      </w:r>
      <w:r w:rsidRPr="00D910EC" w:rsidR="00D910EC">
        <w:rPr>
          <w:sz w:val="24"/>
        </w:rPr>
        <w:t xml:space="preserve">facilities’ </w:t>
      </w:r>
      <w:r w:rsidR="0018710A">
        <w:rPr>
          <w:sz w:val="24"/>
        </w:rPr>
        <w:t>risk assessment</w:t>
      </w:r>
      <w:r w:rsidRPr="00D910EC" w:rsidR="00D910EC">
        <w:rPr>
          <w:sz w:val="24"/>
        </w:rPr>
        <w:t xml:space="preserve">. We estimate the cost to the Federal government to ensure each facility’s compliance to be </w:t>
      </w:r>
      <w:r w:rsidRPr="00D910EC" w:rsidR="001A0F5B">
        <w:rPr>
          <w:sz w:val="24"/>
        </w:rPr>
        <w:t>4</w:t>
      </w:r>
      <w:r w:rsidRPr="00D910EC" w:rsidR="00D910EC">
        <w:rPr>
          <w:sz w:val="24"/>
        </w:rPr>
        <w:t xml:space="preserve"> hour</w:t>
      </w:r>
      <w:r w:rsidR="001C3EE9">
        <w:rPr>
          <w:sz w:val="24"/>
        </w:rPr>
        <w:t>s</w:t>
      </w:r>
      <w:r w:rsidRPr="00D910EC" w:rsidR="00D910EC">
        <w:rPr>
          <w:sz w:val="24"/>
        </w:rPr>
        <w:t>, with a net cost of $</w:t>
      </w:r>
      <w:r w:rsidR="001C3EE9">
        <w:rPr>
          <w:sz w:val="24"/>
        </w:rPr>
        <w:t>25</w:t>
      </w:r>
      <w:r w:rsidRPr="00D910EC" w:rsidR="00D910EC">
        <w:rPr>
          <w:sz w:val="24"/>
        </w:rPr>
        <w:t>6 per facility (</w:t>
      </w:r>
      <w:r w:rsidR="001C3EE9">
        <w:rPr>
          <w:sz w:val="24"/>
        </w:rPr>
        <w:t>4</w:t>
      </w:r>
      <w:r w:rsidRPr="00D910EC" w:rsidR="00D910EC">
        <w:rPr>
          <w:sz w:val="24"/>
        </w:rPr>
        <w:t xml:space="preserve"> hour</w:t>
      </w:r>
      <w:r w:rsidR="001C3EE9">
        <w:rPr>
          <w:sz w:val="24"/>
        </w:rPr>
        <w:t>s</w:t>
      </w:r>
      <w:r w:rsidRPr="00D910EC" w:rsidR="00D910EC">
        <w:rPr>
          <w:sz w:val="24"/>
        </w:rPr>
        <w:t xml:space="preserve"> x $6</w:t>
      </w:r>
      <w:r w:rsidR="0012365F">
        <w:rPr>
          <w:sz w:val="24"/>
        </w:rPr>
        <w:t>4</w:t>
      </w:r>
      <w:r w:rsidRPr="00D910EC" w:rsidR="00D910EC">
        <w:rPr>
          <w:sz w:val="24"/>
        </w:rPr>
        <w:t>). The total burden to the Federal government is estimated to be</w:t>
      </w:r>
      <w:r w:rsidRPr="00D910EC">
        <w:rPr>
          <w:sz w:val="24"/>
        </w:rPr>
        <w:t xml:space="preserve"> </w:t>
      </w:r>
      <w:r w:rsidR="00982E29">
        <w:rPr>
          <w:sz w:val="24"/>
        </w:rPr>
        <w:t>10,424</w:t>
      </w:r>
      <w:r w:rsidRPr="00D910EC">
        <w:rPr>
          <w:sz w:val="24"/>
        </w:rPr>
        <w:t xml:space="preserve"> hours (</w:t>
      </w:r>
      <w:r>
        <w:rPr>
          <w:sz w:val="24"/>
        </w:rPr>
        <w:t>4</w:t>
      </w:r>
      <w:r w:rsidRPr="00D910EC">
        <w:rPr>
          <w:sz w:val="24"/>
        </w:rPr>
        <w:t xml:space="preserve"> hour</w:t>
      </w:r>
      <w:r>
        <w:rPr>
          <w:sz w:val="24"/>
        </w:rPr>
        <w:t>s</w:t>
      </w:r>
      <w:r w:rsidRPr="00D910EC">
        <w:rPr>
          <w:sz w:val="24"/>
        </w:rPr>
        <w:t xml:space="preserve"> x </w:t>
      </w:r>
      <w:r>
        <w:rPr>
          <w:sz w:val="24"/>
        </w:rPr>
        <w:t>2,</w:t>
      </w:r>
      <w:r w:rsidR="00982E29">
        <w:rPr>
          <w:sz w:val="24"/>
        </w:rPr>
        <w:t>606</w:t>
      </w:r>
      <w:r w:rsidRPr="00D910EC">
        <w:rPr>
          <w:sz w:val="24"/>
        </w:rPr>
        <w:t xml:space="preserve"> facilities)</w:t>
      </w:r>
      <w:r>
        <w:rPr>
          <w:sz w:val="24"/>
        </w:rPr>
        <w:t xml:space="preserve"> and</w:t>
      </w:r>
    </w:p>
    <w:p w:rsidR="00D910EC" w:rsidRPr="00D910EC" w:rsidP="0094673A" w14:paraId="7458DD6C" w14:textId="5773A03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w:t>
      </w:r>
      <w:r w:rsidR="00982E29">
        <w:rPr>
          <w:sz w:val="24"/>
        </w:rPr>
        <w:t>667,136</w:t>
      </w:r>
      <w:r w:rsidRPr="00D910EC">
        <w:rPr>
          <w:sz w:val="24"/>
        </w:rPr>
        <w:t xml:space="preserve"> ($</w:t>
      </w:r>
      <w:r w:rsidR="001C3EE9">
        <w:rPr>
          <w:sz w:val="24"/>
        </w:rPr>
        <w:t>25</w:t>
      </w:r>
      <w:r w:rsidRPr="00D910EC">
        <w:rPr>
          <w:sz w:val="24"/>
        </w:rPr>
        <w:t xml:space="preserve">6 x </w:t>
      </w:r>
      <w:r w:rsidR="0013558B">
        <w:rPr>
          <w:sz w:val="24"/>
        </w:rPr>
        <w:t>2,</w:t>
      </w:r>
      <w:r w:rsidR="00982E29">
        <w:rPr>
          <w:sz w:val="24"/>
        </w:rPr>
        <w:t>606</w:t>
      </w:r>
      <w:r w:rsidRPr="00D910EC">
        <w:rPr>
          <w:sz w:val="24"/>
        </w:rPr>
        <w:t xml:space="preserve"> facilities)</w:t>
      </w:r>
      <w:r w:rsidR="0013558B">
        <w:rPr>
          <w:sz w:val="24"/>
        </w:rPr>
        <w:t>.</w:t>
      </w:r>
      <w:r w:rsidRPr="00D910EC">
        <w:rPr>
          <w:sz w:val="24"/>
        </w:rPr>
        <w:t xml:space="preserve"> </w:t>
      </w:r>
    </w:p>
    <w:p w:rsidR="0018710A" w:rsidP="0094673A" w14:paraId="75390D9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p>
    <w:p w:rsidR="0020228D" w:rsidP="0020228D" w14:paraId="1D1C61B9" w14:textId="77777777">
      <w:pPr>
        <w:pStyle w:val="Heading5"/>
      </w:pPr>
      <w:r w:rsidRPr="00891D52">
        <w:t>IC-</w:t>
      </w:r>
      <w:r w:rsidRPr="00891D52" w:rsidR="003C3482">
        <w:t>1b</w:t>
      </w:r>
      <w:r w:rsidRPr="00891D52">
        <w:t>: Develop Emergency Preparedness Plan</w:t>
      </w:r>
      <w:r>
        <w:t xml:space="preserve"> </w:t>
      </w:r>
    </w:p>
    <w:p w:rsidR="003A5E68" w:rsidRPr="00B3529D" w:rsidP="0094673A" w14:paraId="1861572D" w14:textId="028AAD0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B3529D">
        <w:rPr>
          <w:b/>
          <w:bCs/>
          <w:szCs w:val="20"/>
        </w:rPr>
        <w:t xml:space="preserve">- </w:t>
      </w:r>
      <w:r w:rsidRPr="00B3529D">
        <w:rPr>
          <w:szCs w:val="20"/>
        </w:rPr>
        <w:t xml:space="preserve">RNHCIs at </w:t>
      </w:r>
      <w:r w:rsidRPr="00B3529D">
        <w:rPr>
          <w:szCs w:val="20"/>
          <w:u w:val="single"/>
        </w:rPr>
        <w:t xml:space="preserve">§403.748(a); ASCs at §416.54(a); Hospices at §418.113(a); PRTFs at §441.184(a); PACE at §460.84(a); Hospitals at §482.15(a); Transplant Programs §482.78(a); ICF/IIDs at §483.475(a); HHAs at §484.102(a); REHs at §485.542(a); CAHs at §485.625(a); CORFs at §485.68(a); </w:t>
      </w:r>
      <w:r w:rsidR="00405371">
        <w:rPr>
          <w:szCs w:val="20"/>
          <w:u w:val="single"/>
        </w:rPr>
        <w:t>“Organizations”</w:t>
      </w:r>
      <w:r w:rsidRPr="00B3529D">
        <w:rPr>
          <w:szCs w:val="20"/>
          <w:u w:val="single"/>
        </w:rPr>
        <w:t xml:space="preserve"> at §485.727(a); CMHCs at §485.920(a); OPOs at §486.360(a); RHCs/FQHCs at §491.12(a); ESRD facilities at §494.62(a).</w:t>
      </w:r>
      <w:r w:rsidRPr="00B3529D">
        <w:rPr>
          <w:szCs w:val="20"/>
        </w:rPr>
        <w:t xml:space="preserve"> </w:t>
      </w:r>
    </w:p>
    <w:p w:rsidR="0018710A" w:rsidRPr="00D910EC" w:rsidP="0094673A" w14:paraId="372D770A" w14:textId="4247ECF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 xml:space="preserve">State Survey Agency reviewers are responsible for reviewing </w:t>
      </w:r>
      <w:r w:rsidRPr="006019FE">
        <w:rPr>
          <w:b/>
          <w:bCs/>
          <w:i/>
          <w:iCs/>
          <w:sz w:val="24"/>
        </w:rPr>
        <w:t>new</w:t>
      </w:r>
      <w:r>
        <w:rPr>
          <w:sz w:val="24"/>
        </w:rPr>
        <w:t xml:space="preserve"> </w:t>
      </w:r>
      <w:r w:rsidRPr="00D910EC">
        <w:rPr>
          <w:sz w:val="24"/>
        </w:rPr>
        <w:t xml:space="preserve">facilities’ </w:t>
      </w:r>
      <w:r>
        <w:rPr>
          <w:sz w:val="24"/>
        </w:rPr>
        <w:t>emergency preparedness plan</w:t>
      </w:r>
      <w:r w:rsidRPr="00D910EC">
        <w:rPr>
          <w:sz w:val="24"/>
        </w:rPr>
        <w:t xml:space="preserve">. We estimate the cost to the Federal government to ensure each facility’s compliance to be approximately </w:t>
      </w:r>
      <w:r w:rsidR="001C3EE9">
        <w:rPr>
          <w:sz w:val="24"/>
        </w:rPr>
        <w:t>4</w:t>
      </w:r>
      <w:r w:rsidRPr="00D910EC">
        <w:rPr>
          <w:sz w:val="24"/>
        </w:rPr>
        <w:t xml:space="preserve"> hour</w:t>
      </w:r>
      <w:r w:rsidR="001C3EE9">
        <w:rPr>
          <w:sz w:val="24"/>
        </w:rPr>
        <w:t>s</w:t>
      </w:r>
      <w:r w:rsidRPr="00D910EC">
        <w:rPr>
          <w:sz w:val="24"/>
        </w:rPr>
        <w:t>, with a net cost of $</w:t>
      </w:r>
      <w:r w:rsidR="001C3EE9">
        <w:rPr>
          <w:sz w:val="24"/>
        </w:rPr>
        <w:t>25</w:t>
      </w:r>
      <w:r w:rsidRPr="00D910EC">
        <w:rPr>
          <w:sz w:val="24"/>
        </w:rPr>
        <w:t>6 per facility (</w:t>
      </w:r>
      <w:r w:rsidR="001C3EE9">
        <w:rPr>
          <w:sz w:val="24"/>
        </w:rPr>
        <w:t>4</w:t>
      </w:r>
      <w:r w:rsidRPr="00D910EC">
        <w:rPr>
          <w:sz w:val="24"/>
        </w:rPr>
        <w:t xml:space="preserve"> hour</w:t>
      </w:r>
      <w:r w:rsidR="001C3EE9">
        <w:rPr>
          <w:sz w:val="24"/>
        </w:rPr>
        <w:t>s</w:t>
      </w:r>
      <w:r w:rsidRPr="00D910EC">
        <w:rPr>
          <w:sz w:val="24"/>
        </w:rPr>
        <w:t xml:space="preserve"> x $6</w:t>
      </w:r>
      <w:r>
        <w:rPr>
          <w:sz w:val="24"/>
        </w:rPr>
        <w:t>4</w:t>
      </w:r>
      <w:r w:rsidRPr="00D910EC">
        <w:rPr>
          <w:sz w:val="24"/>
        </w:rPr>
        <w:t>). The total burden to the Federal government is estimated to be</w:t>
      </w:r>
      <w:r w:rsidR="0013558B">
        <w:rPr>
          <w:sz w:val="24"/>
        </w:rPr>
        <w:t xml:space="preserve"> 10,</w:t>
      </w:r>
      <w:r w:rsidR="000D0519">
        <w:rPr>
          <w:sz w:val="24"/>
        </w:rPr>
        <w:t>532</w:t>
      </w:r>
      <w:r w:rsidR="0013558B">
        <w:rPr>
          <w:sz w:val="24"/>
        </w:rPr>
        <w:t xml:space="preserve"> </w:t>
      </w:r>
      <w:r w:rsidRPr="00D910EC" w:rsidR="0013558B">
        <w:rPr>
          <w:sz w:val="24"/>
        </w:rPr>
        <w:t>hours (</w:t>
      </w:r>
      <w:r w:rsidR="0013558B">
        <w:rPr>
          <w:sz w:val="24"/>
        </w:rPr>
        <w:t>4</w:t>
      </w:r>
      <w:r w:rsidRPr="00D910EC" w:rsidR="0013558B">
        <w:rPr>
          <w:sz w:val="24"/>
        </w:rPr>
        <w:t xml:space="preserve"> hour</w:t>
      </w:r>
      <w:r w:rsidR="0013558B">
        <w:rPr>
          <w:sz w:val="24"/>
        </w:rPr>
        <w:t>s</w:t>
      </w:r>
      <w:r w:rsidRPr="00D910EC" w:rsidR="0013558B">
        <w:rPr>
          <w:sz w:val="24"/>
        </w:rPr>
        <w:t xml:space="preserve"> x </w:t>
      </w:r>
      <w:r w:rsidR="0013558B">
        <w:rPr>
          <w:sz w:val="24"/>
        </w:rPr>
        <w:t>2,</w:t>
      </w:r>
      <w:r w:rsidR="000D0519">
        <w:rPr>
          <w:sz w:val="24"/>
        </w:rPr>
        <w:t>6</w:t>
      </w:r>
      <w:r w:rsidR="00982E29">
        <w:rPr>
          <w:sz w:val="24"/>
        </w:rPr>
        <w:t>3</w:t>
      </w:r>
      <w:r w:rsidR="000D0519">
        <w:rPr>
          <w:sz w:val="24"/>
        </w:rPr>
        <w:t>3</w:t>
      </w:r>
      <w:r w:rsidRPr="00D910EC" w:rsidR="0013558B">
        <w:rPr>
          <w:sz w:val="24"/>
        </w:rPr>
        <w:t xml:space="preserve"> facilities)</w:t>
      </w:r>
      <w:r w:rsidR="0013558B">
        <w:rPr>
          <w:sz w:val="24"/>
        </w:rPr>
        <w:t xml:space="preserve"> and </w:t>
      </w:r>
      <w:r w:rsidRPr="00D910EC" w:rsidR="0013558B">
        <w:rPr>
          <w:sz w:val="24"/>
        </w:rPr>
        <w:t>$</w:t>
      </w:r>
      <w:r w:rsidR="0013558B">
        <w:rPr>
          <w:sz w:val="24"/>
        </w:rPr>
        <w:t>6</w:t>
      </w:r>
      <w:r w:rsidR="000D0519">
        <w:rPr>
          <w:sz w:val="24"/>
        </w:rPr>
        <w:t>74</w:t>
      </w:r>
      <w:r w:rsidR="0013558B">
        <w:rPr>
          <w:sz w:val="24"/>
        </w:rPr>
        <w:t>,</w:t>
      </w:r>
      <w:r w:rsidR="000D0519">
        <w:rPr>
          <w:sz w:val="24"/>
        </w:rPr>
        <w:t>048</w:t>
      </w:r>
      <w:r w:rsidRPr="00D910EC" w:rsidR="0013558B">
        <w:rPr>
          <w:sz w:val="24"/>
        </w:rPr>
        <w:t xml:space="preserve"> ($</w:t>
      </w:r>
      <w:r w:rsidR="0013558B">
        <w:rPr>
          <w:sz w:val="24"/>
        </w:rPr>
        <w:t>25</w:t>
      </w:r>
      <w:r w:rsidRPr="00D910EC" w:rsidR="0013558B">
        <w:rPr>
          <w:sz w:val="24"/>
        </w:rPr>
        <w:t xml:space="preserve">6 x </w:t>
      </w:r>
      <w:r w:rsidR="0013558B">
        <w:rPr>
          <w:sz w:val="24"/>
        </w:rPr>
        <w:t>2,</w:t>
      </w:r>
      <w:r w:rsidR="000D0519">
        <w:rPr>
          <w:sz w:val="24"/>
        </w:rPr>
        <w:t>6</w:t>
      </w:r>
      <w:r w:rsidR="00982E29">
        <w:rPr>
          <w:sz w:val="24"/>
        </w:rPr>
        <w:t>3</w:t>
      </w:r>
      <w:r w:rsidR="000D0519">
        <w:rPr>
          <w:sz w:val="24"/>
        </w:rPr>
        <w:t>3</w:t>
      </w:r>
      <w:r w:rsidRPr="00D910EC" w:rsidR="0013558B">
        <w:rPr>
          <w:sz w:val="24"/>
        </w:rPr>
        <w:t xml:space="preserve"> facilities)</w:t>
      </w:r>
      <w:r w:rsidR="0013558B">
        <w:rPr>
          <w:sz w:val="24"/>
        </w:rPr>
        <w:t>.</w:t>
      </w:r>
      <w:r w:rsidRPr="00D910EC" w:rsidR="0013558B">
        <w:rPr>
          <w:sz w:val="24"/>
        </w:rPr>
        <w:t xml:space="preserve"> </w:t>
      </w:r>
    </w:p>
    <w:p w:rsidR="0018710A" w:rsidP="0094673A" w14:paraId="5D12780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p>
    <w:p w:rsidR="00354B39" w:rsidP="0094673A" w14:paraId="7C56589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p>
    <w:p w:rsidR="0020228D" w:rsidP="0020228D" w14:paraId="7225A783" w14:textId="77777777">
      <w:pPr>
        <w:pStyle w:val="Heading5"/>
      </w:pPr>
      <w:r w:rsidRPr="00891D52">
        <w:t>IC-</w:t>
      </w:r>
      <w:r w:rsidRPr="00891D52" w:rsidR="003C3482">
        <w:t>1c</w:t>
      </w:r>
      <w:r w:rsidRPr="00891D52">
        <w:t>: Biennial Review of Emergency Preparedness Plan</w:t>
      </w:r>
      <w:r>
        <w:t xml:space="preserve"> </w:t>
      </w:r>
    </w:p>
    <w:p w:rsidR="00B3529D" w:rsidRPr="00B3529D" w:rsidP="0094673A" w14:paraId="3B7475FF" w14:textId="3DD010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B3529D">
        <w:rPr>
          <w:b/>
          <w:bCs/>
          <w:szCs w:val="20"/>
        </w:rPr>
        <w:t xml:space="preserve">- </w:t>
      </w:r>
      <w:r w:rsidRPr="00B3529D">
        <w:rPr>
          <w:szCs w:val="20"/>
        </w:rPr>
        <w:t xml:space="preserve">RNHCIs at </w:t>
      </w:r>
      <w:r w:rsidRPr="00B3529D">
        <w:rPr>
          <w:szCs w:val="20"/>
          <w:u w:val="single"/>
        </w:rPr>
        <w:t xml:space="preserve">§403.748(a); ASCs at §416.54(a); Hospices at §418.113(a); PRTFs at §441.184(a); PACE at §460.84(a); Hospitals at §482.15(a); Transplant Programs §482.78(a); ICF/IIDs at §483.475(a); HHAs at §484.102(a); REHs at §485.542(a); CAHs at §485.625(a); CORFs at §485.68(a); </w:t>
      </w:r>
      <w:r w:rsidR="00405371">
        <w:rPr>
          <w:szCs w:val="20"/>
          <w:u w:val="single"/>
        </w:rPr>
        <w:t>“Organizations”</w:t>
      </w:r>
      <w:r w:rsidRPr="00B3529D">
        <w:rPr>
          <w:szCs w:val="20"/>
          <w:u w:val="single"/>
        </w:rPr>
        <w:t xml:space="preserve"> at §485.727(a); CMHCs at §485.920(a); OPOs at §486.360(a); RHCs/FQHCs at §491.12(a); ESRD facilities at §494.62(a).</w:t>
      </w:r>
      <w:r w:rsidRPr="00B3529D">
        <w:rPr>
          <w:szCs w:val="20"/>
        </w:rPr>
        <w:t xml:space="preserve"> </w:t>
      </w:r>
    </w:p>
    <w:p w:rsidR="0018710A" w:rsidRPr="00D910EC" w:rsidP="0094673A" w14:paraId="55816743" w14:textId="169F1E7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 xml:space="preserve">State Survey Agency reviewers are responsible for </w:t>
      </w:r>
      <w:r>
        <w:rPr>
          <w:sz w:val="24"/>
        </w:rPr>
        <w:t xml:space="preserve">ensuring </w:t>
      </w:r>
      <w:r>
        <w:rPr>
          <w:b/>
          <w:bCs/>
          <w:i/>
          <w:iCs/>
          <w:sz w:val="24"/>
        </w:rPr>
        <w:t>existing</w:t>
      </w:r>
      <w:r>
        <w:rPr>
          <w:sz w:val="24"/>
        </w:rPr>
        <w:t xml:space="preserve"> </w:t>
      </w:r>
      <w:r w:rsidRPr="00D910EC">
        <w:rPr>
          <w:sz w:val="24"/>
        </w:rPr>
        <w:t xml:space="preserve">facilities </w:t>
      </w:r>
      <w:r>
        <w:rPr>
          <w:sz w:val="24"/>
        </w:rPr>
        <w:t>are conducting biennial reviews of their emergency preparedness plan</w:t>
      </w:r>
      <w:r w:rsidRPr="00D910EC">
        <w:rPr>
          <w:sz w:val="24"/>
        </w:rPr>
        <w:t xml:space="preserve">. We estimate the cost to the Federal government to ensure each facility’s compliance to be approximately </w:t>
      </w:r>
      <w:r>
        <w:rPr>
          <w:sz w:val="24"/>
        </w:rPr>
        <w:t>1</w:t>
      </w:r>
      <w:r w:rsidRPr="00D910EC">
        <w:rPr>
          <w:sz w:val="24"/>
        </w:rPr>
        <w:t xml:space="preserve"> hour, with a net cost of $6</w:t>
      </w:r>
      <w:r>
        <w:rPr>
          <w:sz w:val="24"/>
        </w:rPr>
        <w:t>4</w:t>
      </w:r>
      <w:r w:rsidRPr="00D910EC">
        <w:rPr>
          <w:sz w:val="24"/>
        </w:rPr>
        <w:t xml:space="preserve"> per facility (1 hour x $6</w:t>
      </w:r>
      <w:r>
        <w:rPr>
          <w:sz w:val="24"/>
        </w:rPr>
        <w:t>4</w:t>
      </w:r>
      <w:r w:rsidRPr="00D910EC">
        <w:rPr>
          <w:sz w:val="24"/>
        </w:rPr>
        <w:t>). The total burden to the Federal government is estimated to be</w:t>
      </w:r>
      <w:r w:rsidR="0013558B">
        <w:rPr>
          <w:sz w:val="24"/>
        </w:rPr>
        <w:t xml:space="preserve"> 60,712</w:t>
      </w:r>
      <w:r w:rsidRPr="00D910EC" w:rsidR="0013558B">
        <w:rPr>
          <w:sz w:val="24"/>
        </w:rPr>
        <w:t xml:space="preserve"> hours (1 hour x </w:t>
      </w:r>
      <w:r w:rsidR="0013558B">
        <w:rPr>
          <w:sz w:val="24"/>
        </w:rPr>
        <w:t>60,712</w:t>
      </w:r>
      <w:r w:rsidRPr="00D910EC" w:rsidR="0013558B">
        <w:rPr>
          <w:sz w:val="24"/>
        </w:rPr>
        <w:t xml:space="preserve">  facilities)</w:t>
      </w:r>
      <w:r w:rsidR="0013558B">
        <w:rPr>
          <w:sz w:val="24"/>
        </w:rPr>
        <w:t xml:space="preserve"> and </w:t>
      </w:r>
      <w:r w:rsidRPr="00D910EC">
        <w:rPr>
          <w:sz w:val="24"/>
        </w:rPr>
        <w:t>$</w:t>
      </w:r>
      <w:r w:rsidR="0013558B">
        <w:rPr>
          <w:sz w:val="24"/>
        </w:rPr>
        <w:t>3,885,568</w:t>
      </w:r>
      <w:r w:rsidRPr="00D910EC">
        <w:rPr>
          <w:sz w:val="24"/>
        </w:rPr>
        <w:t xml:space="preserve"> ($6</w:t>
      </w:r>
      <w:r>
        <w:rPr>
          <w:sz w:val="24"/>
        </w:rPr>
        <w:t>4</w:t>
      </w:r>
      <w:r w:rsidRPr="00D910EC">
        <w:rPr>
          <w:sz w:val="24"/>
        </w:rPr>
        <w:t xml:space="preserve"> x </w:t>
      </w:r>
      <w:r w:rsidR="0013558B">
        <w:rPr>
          <w:sz w:val="24"/>
        </w:rPr>
        <w:t>60,712</w:t>
      </w:r>
      <w:r w:rsidRPr="00D910EC" w:rsidR="0013558B">
        <w:rPr>
          <w:sz w:val="24"/>
        </w:rPr>
        <w:t xml:space="preserve"> </w:t>
      </w:r>
      <w:r w:rsidRPr="00D910EC">
        <w:rPr>
          <w:sz w:val="24"/>
        </w:rPr>
        <w:t>facilities).</w:t>
      </w:r>
    </w:p>
    <w:p w:rsidR="0018710A" w:rsidP="0094673A" w14:paraId="3A8C2A2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u w:val="single"/>
        </w:rPr>
      </w:pPr>
    </w:p>
    <w:p w:rsidR="0020228D" w:rsidP="0020228D" w14:paraId="02C6BE6F" w14:textId="77777777">
      <w:pPr>
        <w:pStyle w:val="Heading5"/>
      </w:pPr>
      <w:r>
        <w:t>IC-</w:t>
      </w:r>
      <w:r w:rsidR="003C3482">
        <w:t>2</w:t>
      </w:r>
      <w:r>
        <w:t xml:space="preserve">: </w:t>
      </w:r>
      <w:r w:rsidR="0018710A">
        <w:t xml:space="preserve">Develop </w:t>
      </w:r>
      <w:r w:rsidRPr="00F86481">
        <w:t xml:space="preserve">Policies and </w:t>
      </w:r>
      <w:r w:rsidR="00B3529D">
        <w:t>P</w:t>
      </w:r>
      <w:r w:rsidRPr="00F86481">
        <w:t>rocedures</w:t>
      </w:r>
      <w:r w:rsidR="00B3529D">
        <w:t xml:space="preserve"> </w:t>
      </w:r>
    </w:p>
    <w:p w:rsidR="005B6607" w:rsidP="0094673A" w14:paraId="653943C6" w14:textId="1B82C4D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0228D">
        <w:rPr>
          <w:sz w:val="24"/>
        </w:rPr>
        <w:t xml:space="preserve">- </w:t>
      </w:r>
      <w:r w:rsidRPr="00B3529D">
        <w:rPr>
          <w:szCs w:val="20"/>
        </w:rPr>
        <w:t xml:space="preserve">RNHCIs at </w:t>
      </w:r>
      <w:r w:rsidRPr="00B3529D">
        <w:rPr>
          <w:szCs w:val="20"/>
          <w:u w:val="single"/>
        </w:rPr>
        <w:t xml:space="preserve">§403.748(b); ASCs at §416.54(b); Hospices at §418.113(b); PRTFs at §441.184(b); PACE at §460.84(b); Hospitals at §482.15(b); Transplant Programs §482.78(b); ICF/IIDs at §483.475(b); HHAs at §484.102(b); REHs at §485.542(b); CAHs at §485.625(b); CORFs at §485.68(b); </w:t>
      </w:r>
      <w:r w:rsidR="00405371">
        <w:rPr>
          <w:szCs w:val="20"/>
          <w:u w:val="single"/>
        </w:rPr>
        <w:t>“Organizations”</w:t>
      </w:r>
      <w:r w:rsidRPr="00B3529D">
        <w:rPr>
          <w:szCs w:val="20"/>
          <w:u w:val="single"/>
        </w:rPr>
        <w:t xml:space="preserve"> at §485.727(b); CMHCs at §485.920(b); OPOs at §486.360(b); RHCs/FQHCs at §491.12(b); ESRD facilities at §494.62(b).</w:t>
      </w:r>
      <w:r w:rsidRPr="00B3529D">
        <w:rPr>
          <w:szCs w:val="20"/>
        </w:rPr>
        <w:t xml:space="preserve"> </w:t>
      </w:r>
      <w:r w:rsidRPr="00D910EC">
        <w:rPr>
          <w:sz w:val="24"/>
        </w:rPr>
        <w:t xml:space="preserve">State Survey Agency reviewers are responsible for reviewing </w:t>
      </w:r>
      <w:r w:rsidRPr="00E2247C" w:rsidR="0018710A">
        <w:rPr>
          <w:b/>
          <w:bCs/>
          <w:i/>
          <w:iCs/>
          <w:sz w:val="24"/>
        </w:rPr>
        <w:t>new</w:t>
      </w:r>
      <w:r w:rsidR="0018710A">
        <w:rPr>
          <w:sz w:val="24"/>
        </w:rPr>
        <w:t xml:space="preserve"> </w:t>
      </w:r>
      <w:r w:rsidRPr="00D910EC">
        <w:rPr>
          <w:sz w:val="24"/>
        </w:rPr>
        <w:t>facilities’</w:t>
      </w:r>
      <w:r>
        <w:rPr>
          <w:sz w:val="24"/>
        </w:rPr>
        <w:t xml:space="preserve"> policies and procedures</w:t>
      </w:r>
      <w:r w:rsidRPr="00D910EC">
        <w:rPr>
          <w:sz w:val="24"/>
        </w:rPr>
        <w:t xml:space="preserve">. </w:t>
      </w:r>
      <w:r w:rsidRPr="00D910EC" w:rsidR="001C3EE9">
        <w:rPr>
          <w:sz w:val="24"/>
        </w:rPr>
        <w:t xml:space="preserve">We estimate the cost to the Federal government to ensure each facility’s compliance to be approximately </w:t>
      </w:r>
      <w:r w:rsidR="001C3EE9">
        <w:rPr>
          <w:sz w:val="24"/>
        </w:rPr>
        <w:t>4</w:t>
      </w:r>
      <w:r w:rsidRPr="00D910EC" w:rsidR="001C3EE9">
        <w:rPr>
          <w:sz w:val="24"/>
        </w:rPr>
        <w:t xml:space="preserve"> hour</w:t>
      </w:r>
      <w:r w:rsidR="001C3EE9">
        <w:rPr>
          <w:sz w:val="24"/>
        </w:rPr>
        <w:t>s</w:t>
      </w:r>
      <w:r w:rsidRPr="00D910EC" w:rsidR="001C3EE9">
        <w:rPr>
          <w:sz w:val="24"/>
        </w:rPr>
        <w:t>, with a net cost of $</w:t>
      </w:r>
      <w:r w:rsidR="001C3EE9">
        <w:rPr>
          <w:sz w:val="24"/>
        </w:rPr>
        <w:t>25</w:t>
      </w:r>
      <w:r w:rsidRPr="00D910EC" w:rsidR="001C3EE9">
        <w:rPr>
          <w:sz w:val="24"/>
        </w:rPr>
        <w:t>6 per facility (</w:t>
      </w:r>
      <w:r w:rsidR="001C3EE9">
        <w:rPr>
          <w:sz w:val="24"/>
        </w:rPr>
        <w:t>4</w:t>
      </w:r>
      <w:r w:rsidRPr="00D910EC" w:rsidR="001C3EE9">
        <w:rPr>
          <w:sz w:val="24"/>
        </w:rPr>
        <w:t xml:space="preserve"> hour</w:t>
      </w:r>
      <w:r w:rsidR="001C3EE9">
        <w:rPr>
          <w:sz w:val="24"/>
        </w:rPr>
        <w:t>s</w:t>
      </w:r>
      <w:r w:rsidRPr="00D910EC" w:rsidR="001C3EE9">
        <w:rPr>
          <w:sz w:val="24"/>
        </w:rPr>
        <w:t xml:space="preserve"> x $6</w:t>
      </w:r>
      <w:r w:rsidR="001C3EE9">
        <w:rPr>
          <w:sz w:val="24"/>
        </w:rPr>
        <w:t>4</w:t>
      </w:r>
      <w:r w:rsidRPr="00D910EC" w:rsidR="001C3EE9">
        <w:rPr>
          <w:sz w:val="24"/>
        </w:rPr>
        <w:t xml:space="preserve">). The total burden to the Federal government is estimated to be </w:t>
      </w:r>
      <w:r w:rsidRPr="0013558B" w:rsidR="0013558B">
        <w:rPr>
          <w:sz w:val="24"/>
        </w:rPr>
        <w:t>10,</w:t>
      </w:r>
      <w:r w:rsidR="0013558B">
        <w:rPr>
          <w:sz w:val="24"/>
        </w:rPr>
        <w:t>744</w:t>
      </w:r>
      <w:r w:rsidRPr="0013558B" w:rsidR="0013558B">
        <w:rPr>
          <w:sz w:val="24"/>
        </w:rPr>
        <w:t xml:space="preserve"> hours (4 hours x 2,</w:t>
      </w:r>
      <w:r w:rsidR="0013558B">
        <w:rPr>
          <w:sz w:val="24"/>
        </w:rPr>
        <w:t>686</w:t>
      </w:r>
      <w:r w:rsidRPr="0013558B" w:rsidR="0013558B">
        <w:rPr>
          <w:sz w:val="24"/>
        </w:rPr>
        <w:t xml:space="preserve"> facilities) and $</w:t>
      </w:r>
      <w:r w:rsidR="0013558B">
        <w:rPr>
          <w:sz w:val="24"/>
        </w:rPr>
        <w:t>687,616</w:t>
      </w:r>
      <w:r w:rsidRPr="0013558B" w:rsidR="0013558B">
        <w:rPr>
          <w:sz w:val="24"/>
        </w:rPr>
        <w:t xml:space="preserve"> ($256 x 2,</w:t>
      </w:r>
      <w:r w:rsidR="0013558B">
        <w:rPr>
          <w:sz w:val="24"/>
        </w:rPr>
        <w:t xml:space="preserve">686 </w:t>
      </w:r>
      <w:r w:rsidRPr="0013558B" w:rsidR="0013558B">
        <w:rPr>
          <w:sz w:val="24"/>
        </w:rPr>
        <w:t>facilities).</w:t>
      </w:r>
    </w:p>
    <w:p w:rsidR="00CA2A0B" w:rsidRPr="006019FE" w:rsidP="0094673A" w14:paraId="400B627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0228D" w:rsidP="0020228D" w14:paraId="310862A3" w14:textId="77777777">
      <w:pPr>
        <w:pStyle w:val="Heading5"/>
      </w:pPr>
      <w:r w:rsidRPr="00891D52">
        <w:t>IC-</w:t>
      </w:r>
      <w:r w:rsidRPr="00891D52" w:rsidR="003C3482">
        <w:t>3</w:t>
      </w:r>
      <w:r w:rsidRPr="00891D52">
        <w:t>: Develop Communication plan</w:t>
      </w:r>
      <w:r w:rsidR="00B3529D">
        <w:t xml:space="preserve"> </w:t>
      </w:r>
    </w:p>
    <w:p w:rsidR="00B3529D" w:rsidRPr="00B3529D" w:rsidP="0094673A" w14:paraId="40F12FBD" w14:textId="28C88E5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B3529D">
        <w:rPr>
          <w:b/>
          <w:bCs/>
          <w:szCs w:val="20"/>
        </w:rPr>
        <w:t>–</w:t>
      </w:r>
      <w:r w:rsidRPr="00B3529D">
        <w:rPr>
          <w:szCs w:val="20"/>
        </w:rPr>
        <w:t xml:space="preserve"> RNHCIs at </w:t>
      </w:r>
      <w:r w:rsidRPr="00B3529D">
        <w:rPr>
          <w:szCs w:val="20"/>
          <w:u w:val="single"/>
        </w:rPr>
        <w:t xml:space="preserve">§403.748(c); ASCs at §416.54(c); Hospices at §418.113(c); PRTFs at §441.184(c); PACE at §460.84(c); Hospitals at §482.15(c); Transplant Programs §482.78(c); ICF/IIDs at §483.475(c); HHAs at §484.102(c); REHs at §485.542(c); CAHs at §485.625(c); CORFs at §485.68(c); </w:t>
      </w:r>
      <w:r w:rsidR="00405371">
        <w:rPr>
          <w:szCs w:val="20"/>
          <w:u w:val="single"/>
        </w:rPr>
        <w:t>“Organizations”</w:t>
      </w:r>
      <w:r w:rsidRPr="00B3529D">
        <w:rPr>
          <w:szCs w:val="20"/>
          <w:u w:val="single"/>
        </w:rPr>
        <w:t xml:space="preserve"> at §485.727(c); CMHCs at §485.920(c); OPOs at §486.360(c); RHCs/FQHCs at §491.12(c); ESRD facilities at §494.62(c)</w:t>
      </w:r>
    </w:p>
    <w:p w:rsidR="0013558B" w:rsidP="0094673A" w14:paraId="0DAFA013" w14:textId="6026C28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 xml:space="preserve">State Survey Agency reviewers are responsible for reviewing </w:t>
      </w:r>
      <w:r w:rsidRPr="00E2247C" w:rsidR="0018710A">
        <w:rPr>
          <w:b/>
          <w:bCs/>
          <w:i/>
          <w:iCs/>
          <w:sz w:val="24"/>
        </w:rPr>
        <w:t>new</w:t>
      </w:r>
      <w:r w:rsidR="0018710A">
        <w:rPr>
          <w:sz w:val="24"/>
        </w:rPr>
        <w:t xml:space="preserve"> </w:t>
      </w:r>
      <w:r w:rsidRPr="00D910EC">
        <w:rPr>
          <w:sz w:val="24"/>
        </w:rPr>
        <w:t xml:space="preserve">facilities’ </w:t>
      </w:r>
      <w:r>
        <w:rPr>
          <w:sz w:val="24"/>
        </w:rPr>
        <w:t>communication plan</w:t>
      </w:r>
      <w:r w:rsidRPr="00D910EC">
        <w:rPr>
          <w:sz w:val="24"/>
        </w:rPr>
        <w:t xml:space="preserve">. </w:t>
      </w:r>
      <w:r w:rsidRPr="00D910EC" w:rsidR="001C3EE9">
        <w:rPr>
          <w:sz w:val="24"/>
        </w:rPr>
        <w:t xml:space="preserve">We estimate the cost to the Federal government to ensure each facility’s compliance to be approximately </w:t>
      </w:r>
      <w:r w:rsidR="001C3EE9">
        <w:rPr>
          <w:sz w:val="24"/>
        </w:rPr>
        <w:t>4</w:t>
      </w:r>
      <w:r w:rsidRPr="00D910EC" w:rsidR="001C3EE9">
        <w:rPr>
          <w:sz w:val="24"/>
        </w:rPr>
        <w:t xml:space="preserve"> hour</w:t>
      </w:r>
      <w:r w:rsidR="001C3EE9">
        <w:rPr>
          <w:sz w:val="24"/>
        </w:rPr>
        <w:t>s</w:t>
      </w:r>
      <w:r w:rsidRPr="00D910EC" w:rsidR="001C3EE9">
        <w:rPr>
          <w:sz w:val="24"/>
        </w:rPr>
        <w:t>, with a net cost of $</w:t>
      </w:r>
      <w:r w:rsidR="001C3EE9">
        <w:rPr>
          <w:sz w:val="24"/>
        </w:rPr>
        <w:t>25</w:t>
      </w:r>
      <w:r w:rsidRPr="00D910EC" w:rsidR="001C3EE9">
        <w:rPr>
          <w:sz w:val="24"/>
        </w:rPr>
        <w:t>6 per facility (</w:t>
      </w:r>
      <w:r w:rsidR="001C3EE9">
        <w:rPr>
          <w:sz w:val="24"/>
        </w:rPr>
        <w:t>4</w:t>
      </w:r>
      <w:r w:rsidRPr="00D910EC" w:rsidR="001C3EE9">
        <w:rPr>
          <w:sz w:val="24"/>
        </w:rPr>
        <w:t xml:space="preserve"> hour</w:t>
      </w:r>
      <w:r w:rsidR="001C3EE9">
        <w:rPr>
          <w:sz w:val="24"/>
        </w:rPr>
        <w:t>s</w:t>
      </w:r>
      <w:r w:rsidRPr="00D910EC" w:rsidR="001C3EE9">
        <w:rPr>
          <w:sz w:val="24"/>
        </w:rPr>
        <w:t xml:space="preserve"> x $6</w:t>
      </w:r>
      <w:r w:rsidR="001C3EE9">
        <w:rPr>
          <w:sz w:val="24"/>
        </w:rPr>
        <w:t>4</w:t>
      </w:r>
      <w:r w:rsidRPr="00D910EC" w:rsidR="001C3EE9">
        <w:rPr>
          <w:sz w:val="24"/>
        </w:rPr>
        <w:t xml:space="preserve">). The total burden to the Federal government is estimated to be </w:t>
      </w:r>
      <w:r w:rsidRPr="0013558B">
        <w:rPr>
          <w:sz w:val="24"/>
        </w:rPr>
        <w:t>1</w:t>
      </w:r>
      <w:r w:rsidR="005762B8">
        <w:rPr>
          <w:sz w:val="24"/>
        </w:rPr>
        <w:t>1,456</w:t>
      </w:r>
      <w:r w:rsidRPr="0013558B">
        <w:rPr>
          <w:sz w:val="24"/>
        </w:rPr>
        <w:t xml:space="preserve"> hours (4 hours x 2,</w:t>
      </w:r>
      <w:r>
        <w:rPr>
          <w:sz w:val="24"/>
        </w:rPr>
        <w:t>86</w:t>
      </w:r>
      <w:r w:rsidR="005762B8">
        <w:rPr>
          <w:sz w:val="24"/>
        </w:rPr>
        <w:t>4</w:t>
      </w:r>
      <w:r w:rsidRPr="0013558B">
        <w:rPr>
          <w:sz w:val="24"/>
        </w:rPr>
        <w:t xml:space="preserve"> facilities) and $</w:t>
      </w:r>
      <w:r w:rsidR="005762B8">
        <w:rPr>
          <w:sz w:val="24"/>
        </w:rPr>
        <w:t>733,184</w:t>
      </w:r>
      <w:r w:rsidR="00940C37">
        <w:rPr>
          <w:sz w:val="24"/>
        </w:rPr>
        <w:t xml:space="preserve"> </w:t>
      </w:r>
      <w:r w:rsidRPr="0013558B">
        <w:rPr>
          <w:sz w:val="24"/>
        </w:rPr>
        <w:t>($256 x 2,</w:t>
      </w:r>
      <w:r>
        <w:rPr>
          <w:sz w:val="24"/>
        </w:rPr>
        <w:t>86</w:t>
      </w:r>
      <w:r w:rsidR="005762B8">
        <w:rPr>
          <w:sz w:val="24"/>
        </w:rPr>
        <w:t>4</w:t>
      </w:r>
      <w:r>
        <w:rPr>
          <w:sz w:val="24"/>
        </w:rPr>
        <w:t xml:space="preserve"> </w:t>
      </w:r>
      <w:r w:rsidRPr="0013558B">
        <w:rPr>
          <w:sz w:val="24"/>
        </w:rPr>
        <w:t>facilities).</w:t>
      </w:r>
    </w:p>
    <w:p w:rsidR="005B6607" w:rsidP="0094673A" w14:paraId="508520C3" w14:textId="259CAE1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0228D" w:rsidP="0020228D" w14:paraId="10301E43" w14:textId="77777777">
      <w:pPr>
        <w:pStyle w:val="Heading5"/>
      </w:pPr>
      <w:r w:rsidRPr="00891D52">
        <w:t>IC-</w:t>
      </w:r>
      <w:r w:rsidRPr="00891D52" w:rsidR="003C3482">
        <w:t>4</w:t>
      </w:r>
      <w:r w:rsidRPr="00891D52" w:rsidR="00B3529D">
        <w:t>a</w:t>
      </w:r>
      <w:r w:rsidRPr="00891D52">
        <w:t xml:space="preserve">: </w:t>
      </w:r>
      <w:r w:rsidRPr="00891D52" w:rsidR="00EF7441">
        <w:t xml:space="preserve">Develop </w:t>
      </w:r>
      <w:r w:rsidRPr="00891D52" w:rsidR="00D910EC">
        <w:t xml:space="preserve">Training </w:t>
      </w:r>
      <w:r w:rsidRPr="00891D52" w:rsidR="00EF7441">
        <w:t>Program</w:t>
      </w:r>
      <w:r w:rsidR="00EF7441">
        <w:t xml:space="preserve"> </w:t>
      </w:r>
    </w:p>
    <w:p w:rsidR="00B3529D" w:rsidRPr="00B3529D" w:rsidP="0094673A" w14:paraId="59B71F2D" w14:textId="1C0F40A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u w:val="single"/>
        </w:rPr>
      </w:pPr>
      <w:r w:rsidRPr="006623E6">
        <w:rPr>
          <w:sz w:val="24"/>
        </w:rPr>
        <w:t xml:space="preserve">- </w:t>
      </w:r>
      <w:r w:rsidRPr="00B3529D">
        <w:rPr>
          <w:szCs w:val="20"/>
        </w:rPr>
        <w:t xml:space="preserve">RNHCIs at </w:t>
      </w:r>
      <w:r w:rsidRPr="00B3529D">
        <w:rPr>
          <w:szCs w:val="20"/>
          <w:u w:val="single"/>
        </w:rPr>
        <w:t xml:space="preserve">§403.748(d); ASCs at §416.54(d); Hospices at §418.113(d); PRTFs at §441.184(d); PACE at §460.84(d); Hospitals at §482.15(d); Transplant Programs §482.78(d); ICF/IIDs at §483.475(d); HHAs at §484.102(d); REHs at §485.542(d); CAHs at §485.625(d); CORFs at §485.68(d); </w:t>
      </w:r>
      <w:r w:rsidR="00405371">
        <w:rPr>
          <w:szCs w:val="20"/>
          <w:u w:val="single"/>
        </w:rPr>
        <w:t>“Organizations”</w:t>
      </w:r>
      <w:r w:rsidRPr="00B3529D">
        <w:rPr>
          <w:szCs w:val="20"/>
          <w:u w:val="single"/>
        </w:rPr>
        <w:t xml:space="preserve"> at §485.727(d); CMHCs at §485.920(d); OPOs at §486.360(d); RHCs/FQHCs at §491.12(d); ESRD facilities at §494.62(d)</w:t>
      </w:r>
    </w:p>
    <w:p w:rsidR="0013558B" w:rsidP="0094673A" w14:paraId="12D008F0" w14:textId="59959AE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 xml:space="preserve">State Survey Agency reviewers are responsible for </w:t>
      </w:r>
      <w:r w:rsidR="00EF7441">
        <w:rPr>
          <w:sz w:val="24"/>
        </w:rPr>
        <w:t xml:space="preserve">reviewing </w:t>
      </w:r>
      <w:r w:rsidRPr="00E2247C" w:rsidR="00EF7441">
        <w:rPr>
          <w:b/>
          <w:bCs/>
          <w:i/>
          <w:iCs/>
          <w:sz w:val="24"/>
        </w:rPr>
        <w:t>new</w:t>
      </w:r>
      <w:r w:rsidR="00EF7441">
        <w:rPr>
          <w:sz w:val="24"/>
        </w:rPr>
        <w:t xml:space="preserve"> </w:t>
      </w:r>
      <w:r w:rsidRPr="00D910EC" w:rsidR="00EF7441">
        <w:rPr>
          <w:sz w:val="24"/>
        </w:rPr>
        <w:t xml:space="preserve">facilities’ </w:t>
      </w:r>
      <w:r w:rsidR="00EF7441">
        <w:rPr>
          <w:sz w:val="24"/>
        </w:rPr>
        <w:t>emergency preparedness training program</w:t>
      </w:r>
      <w:r w:rsidR="001C3EE9">
        <w:rPr>
          <w:sz w:val="24"/>
        </w:rPr>
        <w:t>.</w:t>
      </w:r>
      <w:r w:rsidRPr="001C3EE9" w:rsidR="001C3EE9">
        <w:rPr>
          <w:sz w:val="24"/>
        </w:rPr>
        <w:t xml:space="preserve"> </w:t>
      </w:r>
      <w:r w:rsidRPr="00D910EC" w:rsidR="001C3EE9">
        <w:rPr>
          <w:sz w:val="24"/>
        </w:rPr>
        <w:t xml:space="preserve">We estimate the cost to the Federal government to ensure each facility’s compliance to be approximately </w:t>
      </w:r>
      <w:r w:rsidR="001C3EE9">
        <w:rPr>
          <w:sz w:val="24"/>
        </w:rPr>
        <w:t>4</w:t>
      </w:r>
      <w:r w:rsidRPr="00D910EC" w:rsidR="001C3EE9">
        <w:rPr>
          <w:sz w:val="24"/>
        </w:rPr>
        <w:t xml:space="preserve"> hour</w:t>
      </w:r>
      <w:r w:rsidR="001C3EE9">
        <w:rPr>
          <w:sz w:val="24"/>
        </w:rPr>
        <w:t>s</w:t>
      </w:r>
      <w:r w:rsidRPr="00D910EC" w:rsidR="001C3EE9">
        <w:rPr>
          <w:sz w:val="24"/>
        </w:rPr>
        <w:t>, with a net cost of $</w:t>
      </w:r>
      <w:r w:rsidR="001C3EE9">
        <w:rPr>
          <w:sz w:val="24"/>
        </w:rPr>
        <w:t>25</w:t>
      </w:r>
      <w:r w:rsidRPr="00D910EC" w:rsidR="001C3EE9">
        <w:rPr>
          <w:sz w:val="24"/>
        </w:rPr>
        <w:t>6 per facility (</w:t>
      </w:r>
      <w:r w:rsidR="001C3EE9">
        <w:rPr>
          <w:sz w:val="24"/>
        </w:rPr>
        <w:t>4</w:t>
      </w:r>
      <w:r w:rsidRPr="00D910EC" w:rsidR="001C3EE9">
        <w:rPr>
          <w:sz w:val="24"/>
        </w:rPr>
        <w:t xml:space="preserve"> hour</w:t>
      </w:r>
      <w:r w:rsidR="001C3EE9">
        <w:rPr>
          <w:sz w:val="24"/>
        </w:rPr>
        <w:t>s</w:t>
      </w:r>
      <w:r w:rsidRPr="00D910EC" w:rsidR="001C3EE9">
        <w:rPr>
          <w:sz w:val="24"/>
        </w:rPr>
        <w:t xml:space="preserve"> x $6</w:t>
      </w:r>
      <w:r w:rsidR="001C3EE9">
        <w:rPr>
          <w:sz w:val="24"/>
        </w:rPr>
        <w:t>4</w:t>
      </w:r>
      <w:r w:rsidRPr="00D910EC" w:rsidR="001C3EE9">
        <w:rPr>
          <w:sz w:val="24"/>
        </w:rPr>
        <w:t xml:space="preserve">). The total burden to the Federal government is estimated to be </w:t>
      </w:r>
      <w:r w:rsidRPr="0013558B">
        <w:rPr>
          <w:sz w:val="24"/>
        </w:rPr>
        <w:t>1</w:t>
      </w:r>
      <w:r w:rsidR="005762B8">
        <w:rPr>
          <w:sz w:val="24"/>
        </w:rPr>
        <w:t>1,708</w:t>
      </w:r>
      <w:r w:rsidRPr="0013558B">
        <w:rPr>
          <w:sz w:val="24"/>
        </w:rPr>
        <w:t xml:space="preserve"> hours (4 hours x 2,</w:t>
      </w:r>
      <w:r w:rsidR="005762B8">
        <w:rPr>
          <w:sz w:val="24"/>
        </w:rPr>
        <w:t>927</w:t>
      </w:r>
      <w:r w:rsidRPr="0013558B">
        <w:rPr>
          <w:sz w:val="24"/>
        </w:rPr>
        <w:t xml:space="preserve"> facilities) and $</w:t>
      </w:r>
      <w:r w:rsidR="005762B8">
        <w:rPr>
          <w:sz w:val="24"/>
        </w:rPr>
        <w:t>749,312</w:t>
      </w:r>
      <w:r w:rsidRPr="0013558B">
        <w:rPr>
          <w:sz w:val="24"/>
        </w:rPr>
        <w:t xml:space="preserve"> ($256 x </w:t>
      </w:r>
      <w:r w:rsidRPr="0013558B" w:rsidR="005762B8">
        <w:rPr>
          <w:sz w:val="24"/>
        </w:rPr>
        <w:t>2,</w:t>
      </w:r>
      <w:r w:rsidR="005762B8">
        <w:rPr>
          <w:sz w:val="24"/>
        </w:rPr>
        <w:t>927</w:t>
      </w:r>
      <w:r w:rsidRPr="0013558B" w:rsidR="005762B8">
        <w:rPr>
          <w:sz w:val="24"/>
        </w:rPr>
        <w:t xml:space="preserve"> </w:t>
      </w:r>
      <w:r w:rsidRPr="0013558B">
        <w:rPr>
          <w:sz w:val="24"/>
        </w:rPr>
        <w:t>facilities).</w:t>
      </w:r>
    </w:p>
    <w:p w:rsidR="001C3EE9" w:rsidRPr="00D910EC" w:rsidP="0094673A" w14:paraId="50895AE6" w14:textId="180B2DE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0228D" w:rsidP="0020228D" w14:paraId="0BE83EDA" w14:textId="77777777">
      <w:pPr>
        <w:pStyle w:val="Heading5"/>
      </w:pPr>
      <w:r w:rsidRPr="00891D52">
        <w:t>IC-</w:t>
      </w:r>
      <w:r w:rsidRPr="00891D52" w:rsidR="00B3529D">
        <w:t>4b</w:t>
      </w:r>
      <w:r w:rsidRPr="00891D52">
        <w:t>: Conduct Trainin</w:t>
      </w:r>
      <w:r w:rsidR="00354B39">
        <w:t>gs</w:t>
      </w:r>
      <w:r w:rsidR="00B3529D">
        <w:t xml:space="preserve"> </w:t>
      </w:r>
    </w:p>
    <w:p w:rsidR="00B3529D" w:rsidRPr="00B3529D" w:rsidP="0094673A" w14:paraId="2523581B" w14:textId="2D2552D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 w:val="24"/>
        </w:rPr>
        <w:t>–</w:t>
      </w:r>
      <w:r w:rsidRPr="006623E6" w:rsidR="001C3EE9">
        <w:rPr>
          <w:sz w:val="24"/>
        </w:rPr>
        <w:t xml:space="preserve"> </w:t>
      </w:r>
      <w:r w:rsidRPr="00B3529D">
        <w:rPr>
          <w:szCs w:val="20"/>
        </w:rPr>
        <w:t xml:space="preserve">RNHCIs at </w:t>
      </w:r>
      <w:r w:rsidRPr="00B3529D">
        <w:rPr>
          <w:szCs w:val="20"/>
          <w:u w:val="single"/>
        </w:rPr>
        <w:t xml:space="preserve">§403.748(d)(1); ASCs at §416.54(d)(1); Hospices at §418.113(d)(1); PRTFs at §441.184(d)(1); PACE at §460.84(d)(1); Hospitals at §482.15(d)(1); Transplant Programs §482.78(d)(1); ICF/IIDs at §483.475(d)(1); HHAs at §484.102(d)(1); REHs at §485.542(d)(1); CAHs at §485.625(d)(1); CORFs at §485.68(d)(1); </w:t>
      </w:r>
      <w:r w:rsidR="00405371">
        <w:rPr>
          <w:szCs w:val="20"/>
          <w:u w:val="single"/>
        </w:rPr>
        <w:t>“Organizations”</w:t>
      </w:r>
      <w:r w:rsidRPr="00B3529D">
        <w:rPr>
          <w:szCs w:val="20"/>
          <w:u w:val="single"/>
        </w:rPr>
        <w:t xml:space="preserve"> at §485.727(d)(1); CMHCs at §485.920(d)(1); OPOs at §486.360(d)(1); RHCs/FQHCs at §491.12(d)(1); ESRD facilities at §494.62(d)(1)</w:t>
      </w:r>
    </w:p>
    <w:p w:rsidR="00EF7441" w:rsidP="0094673A" w14:paraId="598982BC" w14:textId="5E3C649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 xml:space="preserve">State Survey Agency reviewers are responsible for </w:t>
      </w:r>
      <w:r>
        <w:rPr>
          <w:sz w:val="24"/>
        </w:rPr>
        <w:t>ensuring</w:t>
      </w:r>
      <w:r w:rsidRPr="00D910EC">
        <w:rPr>
          <w:sz w:val="24"/>
        </w:rPr>
        <w:t xml:space="preserve"> </w:t>
      </w:r>
      <w:r>
        <w:rPr>
          <w:b/>
          <w:bCs/>
          <w:i/>
          <w:iCs/>
          <w:sz w:val="24"/>
        </w:rPr>
        <w:t>existing</w:t>
      </w:r>
      <w:r>
        <w:rPr>
          <w:sz w:val="24"/>
        </w:rPr>
        <w:t xml:space="preserve"> </w:t>
      </w:r>
      <w:r w:rsidRPr="00D910EC">
        <w:rPr>
          <w:sz w:val="24"/>
        </w:rPr>
        <w:t>facilities</w:t>
      </w:r>
      <w:r>
        <w:rPr>
          <w:sz w:val="24"/>
        </w:rPr>
        <w:t xml:space="preserve"> are conducting the required</w:t>
      </w:r>
      <w:r w:rsidRPr="00D910EC">
        <w:rPr>
          <w:sz w:val="24"/>
        </w:rPr>
        <w:t xml:space="preserve"> emergency preparedness training and testing program.</w:t>
      </w:r>
      <w:r>
        <w:rPr>
          <w:sz w:val="24"/>
        </w:rPr>
        <w:t xml:space="preserve"> </w:t>
      </w:r>
      <w:r w:rsidRPr="00D910EC">
        <w:rPr>
          <w:sz w:val="24"/>
        </w:rPr>
        <w:t>We estimate the cost to the Federal government to ensure each facility compliance to be approximately 1 hour, with a net cost of $6</w:t>
      </w:r>
      <w:r>
        <w:rPr>
          <w:sz w:val="24"/>
        </w:rPr>
        <w:t>4</w:t>
      </w:r>
      <w:r w:rsidRPr="00D910EC">
        <w:rPr>
          <w:sz w:val="24"/>
        </w:rPr>
        <w:t xml:space="preserve"> per facility (1 hour x $6</w:t>
      </w:r>
      <w:r>
        <w:rPr>
          <w:sz w:val="24"/>
        </w:rPr>
        <w:t>4</w:t>
      </w:r>
      <w:r w:rsidRPr="00D910EC">
        <w:rPr>
          <w:sz w:val="24"/>
        </w:rPr>
        <w:t xml:space="preserve">). The total burden to the Federal government is estimated to be </w:t>
      </w:r>
      <w:r w:rsidR="005325D2">
        <w:rPr>
          <w:sz w:val="24"/>
        </w:rPr>
        <w:t>57,416</w:t>
      </w:r>
      <w:r w:rsidRPr="00D910EC" w:rsidR="0013558B">
        <w:rPr>
          <w:sz w:val="24"/>
        </w:rPr>
        <w:t xml:space="preserve"> hours (1 hour x </w:t>
      </w:r>
      <w:r w:rsidR="005762B8">
        <w:rPr>
          <w:sz w:val="24"/>
        </w:rPr>
        <w:t>57,416</w:t>
      </w:r>
      <w:r w:rsidRPr="00D910EC" w:rsidR="005762B8">
        <w:rPr>
          <w:sz w:val="24"/>
        </w:rPr>
        <w:t xml:space="preserve"> </w:t>
      </w:r>
      <w:r w:rsidRPr="00D910EC" w:rsidR="0013558B">
        <w:rPr>
          <w:sz w:val="24"/>
        </w:rPr>
        <w:t>facilities)</w:t>
      </w:r>
      <w:r w:rsidR="0013558B">
        <w:rPr>
          <w:sz w:val="24"/>
        </w:rPr>
        <w:t xml:space="preserve"> and </w:t>
      </w:r>
      <w:r w:rsidRPr="00D910EC" w:rsidR="0013558B">
        <w:rPr>
          <w:sz w:val="24"/>
        </w:rPr>
        <w:t>$</w:t>
      </w:r>
      <w:r w:rsidR="0013558B">
        <w:rPr>
          <w:sz w:val="24"/>
        </w:rPr>
        <w:t>3,</w:t>
      </w:r>
      <w:r w:rsidR="005762B8">
        <w:rPr>
          <w:sz w:val="24"/>
        </w:rPr>
        <w:t>674,624</w:t>
      </w:r>
      <w:r w:rsidRPr="00D910EC" w:rsidR="0013558B">
        <w:rPr>
          <w:sz w:val="24"/>
        </w:rPr>
        <w:t xml:space="preserve"> ($6</w:t>
      </w:r>
      <w:r w:rsidR="0013558B">
        <w:rPr>
          <w:sz w:val="24"/>
        </w:rPr>
        <w:t>4</w:t>
      </w:r>
      <w:r w:rsidRPr="00D910EC" w:rsidR="0013558B">
        <w:rPr>
          <w:sz w:val="24"/>
        </w:rPr>
        <w:t xml:space="preserve"> x </w:t>
      </w:r>
      <w:r w:rsidR="005762B8">
        <w:rPr>
          <w:sz w:val="24"/>
        </w:rPr>
        <w:t>57,416</w:t>
      </w:r>
      <w:r w:rsidRPr="00D910EC" w:rsidR="005762B8">
        <w:rPr>
          <w:sz w:val="24"/>
        </w:rPr>
        <w:t xml:space="preserve"> </w:t>
      </w:r>
      <w:r w:rsidRPr="00D910EC" w:rsidR="0013558B">
        <w:rPr>
          <w:sz w:val="24"/>
        </w:rPr>
        <w:t>facilities).</w:t>
      </w:r>
    </w:p>
    <w:p w:rsidR="006623E6" w:rsidP="0094673A" w14:paraId="2CAE779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0228D" w:rsidP="0020228D" w14:paraId="3894B2DE" w14:textId="77777777">
      <w:pPr>
        <w:pStyle w:val="Heading5"/>
      </w:pPr>
      <w:r w:rsidRPr="00891D52">
        <w:t>IC-</w:t>
      </w:r>
      <w:r w:rsidRPr="00891D52" w:rsidR="00B3529D">
        <w:t>4c</w:t>
      </w:r>
      <w:r w:rsidRPr="00891D52">
        <w:t>: Conduct Annual Testing</w:t>
      </w:r>
      <w:r>
        <w:t xml:space="preserve"> </w:t>
      </w:r>
    </w:p>
    <w:p w:rsidR="00B3529D" w:rsidP="0094673A" w14:paraId="79A904A4" w14:textId="42C271C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r w:rsidRPr="00B3529D">
        <w:rPr>
          <w:szCs w:val="20"/>
        </w:rPr>
        <w:t xml:space="preserve">RNHCIs at </w:t>
      </w:r>
      <w:r w:rsidRPr="00B3529D">
        <w:rPr>
          <w:szCs w:val="20"/>
          <w:u w:val="single"/>
        </w:rPr>
        <w:t xml:space="preserve">§403.748(d)(2); ASCs at §416.54(d)(2); Hospices at §418.113(d)(2); PRTFs at §441.184(d)(2); PACE at §460.84(d)(2); Hospitals at §482.15(d)(2); Transplant Programs §482.78(d)(2); ICF/IIDs at §483.475(d)(2); HHAs at §484.102(d)(2); REHs at §485.542(d)(2); CAHs at §485.625(d)(2); CORFs at §485.68(d)(2); </w:t>
      </w:r>
      <w:r w:rsidR="00405371">
        <w:rPr>
          <w:szCs w:val="20"/>
          <w:u w:val="single"/>
        </w:rPr>
        <w:t>“Organizations”</w:t>
      </w:r>
      <w:r w:rsidRPr="00B3529D">
        <w:rPr>
          <w:szCs w:val="20"/>
          <w:u w:val="single"/>
        </w:rPr>
        <w:t xml:space="preserve"> at §485.727(d)(2); CMHCs at §485.920(d)(2); OPOs at §486.360(d)(2); RHCs/FQHCs at §491.12(d)(2); ESRD facilities at §494.62(d)(2)</w:t>
      </w:r>
    </w:p>
    <w:p w:rsidR="001C3EE9" w:rsidP="0094673A" w14:paraId="41C3BD72" w14:textId="313904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 xml:space="preserve">State Survey Agency reviewers are responsible for </w:t>
      </w:r>
      <w:r>
        <w:rPr>
          <w:sz w:val="24"/>
        </w:rPr>
        <w:t>ensuring</w:t>
      </w:r>
      <w:r w:rsidRPr="00D910EC">
        <w:rPr>
          <w:sz w:val="24"/>
        </w:rPr>
        <w:t xml:space="preserve"> </w:t>
      </w:r>
      <w:r>
        <w:rPr>
          <w:b/>
          <w:bCs/>
          <w:i/>
          <w:iCs/>
          <w:sz w:val="24"/>
        </w:rPr>
        <w:t>existing</w:t>
      </w:r>
      <w:r>
        <w:rPr>
          <w:sz w:val="24"/>
        </w:rPr>
        <w:t xml:space="preserve"> </w:t>
      </w:r>
      <w:r w:rsidRPr="00D910EC">
        <w:rPr>
          <w:sz w:val="24"/>
        </w:rPr>
        <w:t>facilities</w:t>
      </w:r>
      <w:r>
        <w:rPr>
          <w:sz w:val="24"/>
        </w:rPr>
        <w:t xml:space="preserve"> are conducting the required</w:t>
      </w:r>
      <w:r w:rsidRPr="00D910EC">
        <w:rPr>
          <w:sz w:val="24"/>
        </w:rPr>
        <w:t xml:space="preserve"> emergency preparedness training and testing program.</w:t>
      </w:r>
      <w:r>
        <w:rPr>
          <w:sz w:val="24"/>
        </w:rPr>
        <w:t xml:space="preserve"> </w:t>
      </w:r>
      <w:r w:rsidRPr="00D910EC">
        <w:rPr>
          <w:sz w:val="24"/>
        </w:rPr>
        <w:t>We estimate the cost to the Federal government to ensure each facility compliance to be approximately 1 hour, with a net cost of $6</w:t>
      </w:r>
      <w:r>
        <w:rPr>
          <w:sz w:val="24"/>
        </w:rPr>
        <w:t>4</w:t>
      </w:r>
      <w:r w:rsidRPr="00D910EC">
        <w:rPr>
          <w:sz w:val="24"/>
        </w:rPr>
        <w:t xml:space="preserve"> per facility (1 hour x $6</w:t>
      </w:r>
      <w:r>
        <w:rPr>
          <w:sz w:val="24"/>
        </w:rPr>
        <w:t>4</w:t>
      </w:r>
      <w:r w:rsidRPr="00D910EC">
        <w:rPr>
          <w:sz w:val="24"/>
        </w:rPr>
        <w:t xml:space="preserve">). The total burden to the Federal government is estimated to be </w:t>
      </w:r>
      <w:r w:rsidR="005762B8">
        <w:rPr>
          <w:sz w:val="24"/>
        </w:rPr>
        <w:t>49,014</w:t>
      </w:r>
      <w:r w:rsidRPr="00D910EC" w:rsidR="005762B8">
        <w:rPr>
          <w:sz w:val="24"/>
        </w:rPr>
        <w:t xml:space="preserve"> hours (1 hour x </w:t>
      </w:r>
      <w:r w:rsidR="005762B8">
        <w:rPr>
          <w:sz w:val="24"/>
        </w:rPr>
        <w:t>49,014</w:t>
      </w:r>
      <w:r w:rsidRPr="00D910EC" w:rsidR="005762B8">
        <w:rPr>
          <w:sz w:val="24"/>
        </w:rPr>
        <w:t xml:space="preserve"> facilities)</w:t>
      </w:r>
      <w:r w:rsidR="005762B8">
        <w:rPr>
          <w:sz w:val="24"/>
        </w:rPr>
        <w:t xml:space="preserve"> and </w:t>
      </w:r>
      <w:r w:rsidRPr="00D910EC">
        <w:rPr>
          <w:sz w:val="24"/>
        </w:rPr>
        <w:t>$</w:t>
      </w:r>
      <w:r w:rsidR="005762B8">
        <w:rPr>
          <w:sz w:val="24"/>
        </w:rPr>
        <w:t>3,136,896 (</w:t>
      </w:r>
      <w:r w:rsidRPr="00D910EC">
        <w:rPr>
          <w:sz w:val="24"/>
        </w:rPr>
        <w:t>$6</w:t>
      </w:r>
      <w:r>
        <w:rPr>
          <w:sz w:val="24"/>
        </w:rPr>
        <w:t>4</w:t>
      </w:r>
      <w:r w:rsidRPr="00D910EC">
        <w:rPr>
          <w:sz w:val="24"/>
        </w:rPr>
        <w:t xml:space="preserve"> x </w:t>
      </w:r>
      <w:r w:rsidR="005762B8">
        <w:rPr>
          <w:sz w:val="24"/>
        </w:rPr>
        <w:t>49,014</w:t>
      </w:r>
      <w:r w:rsidRPr="00D910EC">
        <w:rPr>
          <w:sz w:val="24"/>
        </w:rPr>
        <w:t xml:space="preserve"> facilities) </w:t>
      </w:r>
    </w:p>
    <w:p w:rsidR="001C3EE9" w:rsidP="0094673A" w14:paraId="74DC737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910EC" w:rsidRPr="006019FE" w:rsidP="0020228D" w14:paraId="284A655C" w14:textId="00EC33FA">
      <w:pPr>
        <w:pStyle w:val="Heading5"/>
      </w:pPr>
      <w:r w:rsidRPr="00891D52">
        <w:t>IC-</w:t>
      </w:r>
      <w:r w:rsidRPr="00891D52" w:rsidR="00B3529D">
        <w:t>5</w:t>
      </w:r>
      <w:r w:rsidRPr="00891D52">
        <w:t xml:space="preserve">: </w:t>
      </w:r>
      <w:r w:rsidRPr="00891D52">
        <w:t>Emergency Agreements with Other OPOs</w:t>
      </w:r>
      <w:r w:rsidR="001617D0">
        <w:t xml:space="preserve"> - </w:t>
      </w:r>
      <w:r w:rsidRPr="006019FE" w:rsidR="001617D0">
        <w:t>§486.360(e)</w:t>
      </w:r>
      <w:r w:rsidR="001617D0">
        <w:t xml:space="preserve"> </w:t>
      </w:r>
    </w:p>
    <w:p w:rsidR="00D910EC" w:rsidP="0094673A" w14:paraId="4476CFBE" w14:textId="3A9D3F2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910EC">
        <w:rPr>
          <w:sz w:val="24"/>
        </w:rPr>
        <w:t xml:space="preserve">State Survey Agency reviewers are responsible for reviewing the </w:t>
      </w:r>
      <w:r w:rsidR="0018710A">
        <w:rPr>
          <w:sz w:val="24"/>
        </w:rPr>
        <w:t xml:space="preserve">emergency preparedness </w:t>
      </w:r>
      <w:r w:rsidRPr="00D910EC">
        <w:rPr>
          <w:sz w:val="24"/>
        </w:rPr>
        <w:t xml:space="preserve">protocols </w:t>
      </w:r>
      <w:r w:rsidRPr="00D910EC" w:rsidR="00C00C32">
        <w:rPr>
          <w:sz w:val="24"/>
        </w:rPr>
        <w:t>for</w:t>
      </w:r>
      <w:r w:rsidR="0018710A">
        <w:rPr>
          <w:sz w:val="24"/>
        </w:rPr>
        <w:t xml:space="preserve"> </w:t>
      </w:r>
      <w:r w:rsidRPr="006019FE" w:rsidR="0018710A">
        <w:rPr>
          <w:b/>
          <w:bCs/>
          <w:i/>
          <w:iCs/>
          <w:sz w:val="24"/>
        </w:rPr>
        <w:t>new</w:t>
      </w:r>
      <w:r w:rsidRPr="006019FE">
        <w:rPr>
          <w:b/>
          <w:bCs/>
          <w:i/>
          <w:iCs/>
          <w:sz w:val="24"/>
        </w:rPr>
        <w:t xml:space="preserve"> </w:t>
      </w:r>
      <w:r w:rsidR="0018710A">
        <w:rPr>
          <w:sz w:val="24"/>
        </w:rPr>
        <w:t xml:space="preserve">organ procurement </w:t>
      </w:r>
      <w:r w:rsidRPr="00D910EC">
        <w:rPr>
          <w:sz w:val="24"/>
        </w:rPr>
        <w:t>progr</w:t>
      </w:r>
      <w:r w:rsidR="0018710A">
        <w:rPr>
          <w:sz w:val="24"/>
        </w:rPr>
        <w:t>ams (OPOs)</w:t>
      </w:r>
      <w:r w:rsidRPr="00D910EC">
        <w:rPr>
          <w:sz w:val="24"/>
        </w:rPr>
        <w:t>. We estimate the cost to the Federal government to ensure each facility compliance to be approximately 1 hour, with a net cost of $6</w:t>
      </w:r>
      <w:r w:rsidR="006A7EA3">
        <w:rPr>
          <w:sz w:val="24"/>
        </w:rPr>
        <w:t>4</w:t>
      </w:r>
      <w:r w:rsidRPr="00D910EC">
        <w:rPr>
          <w:sz w:val="24"/>
        </w:rPr>
        <w:t xml:space="preserve"> per facility (1 hour x $6</w:t>
      </w:r>
      <w:r w:rsidR="006A7EA3">
        <w:rPr>
          <w:sz w:val="24"/>
        </w:rPr>
        <w:t>4</w:t>
      </w:r>
      <w:r w:rsidRPr="00D910EC">
        <w:rPr>
          <w:sz w:val="24"/>
        </w:rPr>
        <w:t xml:space="preserve">). The total burden to the Federal government is estimated to </w:t>
      </w:r>
      <w:r w:rsidRPr="00983D4D">
        <w:rPr>
          <w:sz w:val="24"/>
        </w:rPr>
        <w:t>be</w:t>
      </w:r>
      <w:r w:rsidR="005762B8">
        <w:rPr>
          <w:sz w:val="24"/>
        </w:rPr>
        <w:t xml:space="preserve"> </w:t>
      </w:r>
      <w:r w:rsidRPr="00983D4D" w:rsidR="005762B8">
        <w:rPr>
          <w:sz w:val="24"/>
        </w:rPr>
        <w:t>57 hours (1 hour x 57 facilities)</w:t>
      </w:r>
      <w:r w:rsidR="005762B8">
        <w:rPr>
          <w:sz w:val="24"/>
        </w:rPr>
        <w:t xml:space="preserve"> and </w:t>
      </w:r>
      <w:r w:rsidRPr="00983D4D">
        <w:rPr>
          <w:sz w:val="24"/>
        </w:rPr>
        <w:t>$3,</w:t>
      </w:r>
      <w:r w:rsidR="006A7EA3">
        <w:rPr>
          <w:sz w:val="24"/>
        </w:rPr>
        <w:t>648</w:t>
      </w:r>
      <w:r w:rsidRPr="00983D4D">
        <w:rPr>
          <w:sz w:val="24"/>
        </w:rPr>
        <w:t xml:space="preserve"> ($6</w:t>
      </w:r>
      <w:r w:rsidR="006A7EA3">
        <w:rPr>
          <w:sz w:val="24"/>
        </w:rPr>
        <w:t>4</w:t>
      </w:r>
      <w:r w:rsidRPr="00983D4D">
        <w:rPr>
          <w:sz w:val="24"/>
        </w:rPr>
        <w:t xml:space="preserve"> x 57 facilities)</w:t>
      </w:r>
      <w:r w:rsidR="005762B8">
        <w:rPr>
          <w:sz w:val="24"/>
        </w:rPr>
        <w:t>.</w:t>
      </w:r>
    </w:p>
    <w:p w:rsidR="00917023" w:rsidP="0094673A" w14:paraId="09BA955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EA28DE" w14:paraId="0925E4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20228D" w14:paraId="0DC7377D" w14:textId="77777777">
      <w:pPr>
        <w:pStyle w:val="Heading3"/>
      </w:pPr>
      <w:r>
        <w:t>15.</w:t>
      </w:r>
      <w:r>
        <w:tab/>
        <w:t>Changes to Burden</w:t>
      </w:r>
    </w:p>
    <w:p w:rsidR="00891D52" w:rsidP="00891D52" w14:paraId="1D78C36B" w14:textId="3E53466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BE1A7C">
        <w:rPr>
          <w:sz w:val="24"/>
        </w:rPr>
        <w:t xml:space="preserve">This package has been updated to reflect changes in information collection requirements related to new or revised Conditions of Participation. For this reinstatement, the total annual burden hours for </w:t>
      </w:r>
      <w:r w:rsidRPr="00680D49">
        <w:rPr>
          <w:sz w:val="24"/>
        </w:rPr>
        <w:t xml:space="preserve">industry </w:t>
      </w:r>
      <w:r w:rsidRPr="00756728">
        <w:rPr>
          <w:sz w:val="24"/>
        </w:rPr>
        <w:t xml:space="preserve">are </w:t>
      </w:r>
      <w:r w:rsidRPr="00756728" w:rsidR="00E46573">
        <w:rPr>
          <w:b/>
          <w:bCs/>
          <w:sz w:val="24"/>
        </w:rPr>
        <w:t>1,2</w:t>
      </w:r>
      <w:r w:rsidRPr="00756728" w:rsidR="00756728">
        <w:rPr>
          <w:b/>
          <w:bCs/>
          <w:sz w:val="24"/>
        </w:rPr>
        <w:t>51,</w:t>
      </w:r>
      <w:r w:rsidR="00E87ED7">
        <w:rPr>
          <w:b/>
          <w:bCs/>
          <w:sz w:val="24"/>
        </w:rPr>
        <w:t>158</w:t>
      </w:r>
      <w:r w:rsidRPr="00756728" w:rsidR="00E46573">
        <w:rPr>
          <w:sz w:val="24"/>
        </w:rPr>
        <w:t xml:space="preserve"> </w:t>
      </w:r>
      <w:r w:rsidRPr="00756728">
        <w:rPr>
          <w:sz w:val="24"/>
        </w:rPr>
        <w:t>hours</w:t>
      </w:r>
      <w:r w:rsidRPr="00682A43">
        <w:rPr>
          <w:sz w:val="24"/>
        </w:rPr>
        <w:t xml:space="preserve"> and the annual burden costs are </w:t>
      </w:r>
      <w:r w:rsidRPr="00682A43">
        <w:rPr>
          <w:b/>
          <w:bCs/>
          <w:sz w:val="24"/>
        </w:rPr>
        <w:t>$</w:t>
      </w:r>
      <w:r w:rsidRPr="00682A43" w:rsidR="00982E29">
        <w:rPr>
          <w:b/>
          <w:bCs/>
          <w:sz w:val="24"/>
        </w:rPr>
        <w:t>4</w:t>
      </w:r>
      <w:r w:rsidR="00756728">
        <w:rPr>
          <w:b/>
          <w:bCs/>
          <w:sz w:val="24"/>
        </w:rPr>
        <w:t>01</w:t>
      </w:r>
      <w:r w:rsidRPr="00682A43" w:rsidR="00982E29">
        <w:rPr>
          <w:b/>
          <w:bCs/>
          <w:sz w:val="24"/>
        </w:rPr>
        <w:t>,</w:t>
      </w:r>
      <w:r w:rsidR="00E87ED7">
        <w:rPr>
          <w:b/>
          <w:bCs/>
          <w:sz w:val="24"/>
        </w:rPr>
        <w:t>106</w:t>
      </w:r>
      <w:r w:rsidRPr="00682A43" w:rsidR="00982E29">
        <w:rPr>
          <w:b/>
          <w:bCs/>
          <w:sz w:val="24"/>
        </w:rPr>
        <w:t>,</w:t>
      </w:r>
      <w:r w:rsidR="00E87ED7">
        <w:rPr>
          <w:b/>
          <w:bCs/>
          <w:sz w:val="24"/>
        </w:rPr>
        <w:t>506</w:t>
      </w:r>
      <w:r w:rsidRPr="00682A43" w:rsidR="00936BE1">
        <w:rPr>
          <w:sz w:val="24"/>
        </w:rPr>
        <w:t>.</w:t>
      </w:r>
      <w:r w:rsidRPr="00680D49" w:rsidR="00936BE1">
        <w:rPr>
          <w:sz w:val="24"/>
        </w:rPr>
        <w:t xml:space="preserve"> </w:t>
      </w:r>
      <w:r w:rsidR="00493D37">
        <w:rPr>
          <w:sz w:val="24"/>
        </w:rPr>
        <w:t>See Table 13.</w:t>
      </w:r>
      <w:r>
        <w:rPr>
          <w:sz w:val="24"/>
        </w:rPr>
        <w:t xml:space="preserve"> </w:t>
      </w:r>
    </w:p>
    <w:p w:rsidR="00891D52" w:rsidP="00891D52" w14:paraId="010C911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36038" w:rsidP="00891D52" w14:paraId="0B96937D" w14:textId="3CED922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0D49">
        <w:rPr>
          <w:sz w:val="24"/>
        </w:rPr>
        <w:t>The annual</w:t>
      </w:r>
      <w:r>
        <w:rPr>
          <w:sz w:val="24"/>
        </w:rPr>
        <w:t xml:space="preserve"> burden to industry </w:t>
      </w:r>
      <w:r w:rsidR="00E46573">
        <w:rPr>
          <w:sz w:val="24"/>
        </w:rPr>
        <w:t>decreased</w:t>
      </w:r>
      <w:r>
        <w:rPr>
          <w:sz w:val="24"/>
        </w:rPr>
        <w:t xml:space="preserve"> from </w:t>
      </w:r>
      <w:r w:rsidRPr="00B374DD">
        <w:rPr>
          <w:sz w:val="24"/>
        </w:rPr>
        <w:t xml:space="preserve">1,260,474 burden hours </w:t>
      </w:r>
      <w:r>
        <w:rPr>
          <w:sz w:val="24"/>
        </w:rPr>
        <w:t xml:space="preserve">to </w:t>
      </w:r>
      <w:r w:rsidR="00680D49">
        <w:rPr>
          <w:sz w:val="24"/>
        </w:rPr>
        <w:t>1,2</w:t>
      </w:r>
      <w:r w:rsidR="00756728">
        <w:rPr>
          <w:sz w:val="24"/>
        </w:rPr>
        <w:t>51</w:t>
      </w:r>
      <w:r w:rsidR="00680D49">
        <w:rPr>
          <w:sz w:val="24"/>
        </w:rPr>
        <w:t>,</w:t>
      </w:r>
      <w:r w:rsidR="00E87ED7">
        <w:rPr>
          <w:sz w:val="24"/>
        </w:rPr>
        <w:t>158</w:t>
      </w:r>
      <w:r w:rsidR="00AB6699">
        <w:rPr>
          <w:sz w:val="24"/>
        </w:rPr>
        <w:t xml:space="preserve"> </w:t>
      </w:r>
      <w:r w:rsidR="00871EF3">
        <w:rPr>
          <w:sz w:val="24"/>
        </w:rPr>
        <w:t xml:space="preserve">for the following </w:t>
      </w:r>
      <w:r w:rsidR="00680D49">
        <w:rPr>
          <w:sz w:val="24"/>
        </w:rPr>
        <w:t>reasons:</w:t>
      </w:r>
    </w:p>
    <w:p w:rsidR="00680D49" w:rsidP="00891D52" w14:paraId="200D62FB" w14:textId="486704F2">
      <w:pPr>
        <w:pStyle w:val="ListParagraph"/>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Exclusion of LTC facilities</w:t>
      </w:r>
    </w:p>
    <w:p w:rsidR="00680D49" w:rsidP="00891D52" w14:paraId="24D88D4D" w14:textId="2B026096">
      <w:pPr>
        <w:pStyle w:val="ListParagraph"/>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pPr>
      <w:r>
        <w:t>Addition of new facility type, Rural Emergency Hospitals</w:t>
      </w:r>
    </w:p>
    <w:p w:rsidR="00680D49" w:rsidP="00891D52" w14:paraId="746B96A4" w14:textId="71107487">
      <w:pPr>
        <w:pStyle w:val="ListParagraph"/>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pPr>
      <w:r>
        <w:t>Differentiation between which CoPs that are ongoing requirements vs. the one-time development at the time a facility is newly certified.</w:t>
      </w:r>
    </w:p>
    <w:p w:rsidR="00891D52" w:rsidP="00891D52" w14:paraId="4CF6CE6D" w14:textId="77777777">
      <w:pPr>
        <w:pStyle w:val="ListParagraph"/>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pPr>
      <w:r>
        <w:t>Reduction in frequency of required ongoing training of staff for IC-7 from annual to biennial for all facilities per</w:t>
      </w:r>
      <w:r w:rsidR="00F745BB">
        <w:t xml:space="preserve"> </w:t>
      </w:r>
      <w:r w:rsidR="00CC22A0">
        <w:t xml:space="preserve">the </w:t>
      </w:r>
      <w:hyperlink r:id="rId12" w:history="1">
        <w:r w:rsidRPr="00172208" w:rsidR="00CC22A0">
          <w:rPr>
            <w:rStyle w:val="Hyperlink"/>
          </w:rPr>
          <w:t>2019 Final Rule</w:t>
        </w:r>
      </w:hyperlink>
      <w:r>
        <w:t>.</w:t>
      </w:r>
    </w:p>
    <w:p w:rsidR="00680D49" w:rsidP="00891D52" w14:paraId="737F40E8" w14:textId="434519AD">
      <w:pPr>
        <w:pStyle w:val="ListParagraph"/>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pPr>
      <w:r>
        <w:t>Reduction in quantity of required testing exercises per year for facilities that provide outpatient services from 2 testing exercises to 1 per year with no change to facilities that provide inpatient services per</w:t>
      </w:r>
      <w:r w:rsidR="00CC22A0">
        <w:t xml:space="preserve"> the</w:t>
      </w:r>
      <w:r w:rsidR="00F745BB">
        <w:t xml:space="preserve"> </w:t>
      </w:r>
      <w:hyperlink r:id="rId12" w:history="1">
        <w:r w:rsidRPr="00172208" w:rsidR="00CC22A0">
          <w:rPr>
            <w:rStyle w:val="Hyperlink"/>
          </w:rPr>
          <w:t>2019 Final Rule</w:t>
        </w:r>
      </w:hyperlink>
      <w:r>
        <w:t>.</w:t>
      </w:r>
    </w:p>
    <w:p w:rsidR="00680D49" w:rsidRPr="00871EF3" w:rsidP="00891D52" w14:paraId="6548AA6B" w14:textId="29E2BE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871EF3">
        <w:rPr>
          <w:sz w:val="24"/>
        </w:rPr>
        <w:t>he burden costs</w:t>
      </w:r>
      <w:r w:rsidR="00E87ED7">
        <w:rPr>
          <w:sz w:val="24"/>
        </w:rPr>
        <w:t xml:space="preserve"> to industry</w:t>
      </w:r>
      <w:r w:rsidRPr="00871EF3">
        <w:rPr>
          <w:sz w:val="24"/>
        </w:rPr>
        <w:t xml:space="preserve"> increased from $</w:t>
      </w:r>
      <w:r w:rsidRPr="00871EF3">
        <w:rPr>
          <w:sz w:val="24"/>
        </w:rPr>
        <w:t>122,698,058</w:t>
      </w:r>
      <w:r w:rsidRPr="00871EF3">
        <w:rPr>
          <w:sz w:val="24"/>
        </w:rPr>
        <w:t xml:space="preserve"> to $</w:t>
      </w:r>
      <w:r w:rsidR="00756728">
        <w:rPr>
          <w:sz w:val="24"/>
        </w:rPr>
        <w:t>401,</w:t>
      </w:r>
      <w:r w:rsidR="00E87ED7">
        <w:rPr>
          <w:sz w:val="24"/>
        </w:rPr>
        <w:t>106</w:t>
      </w:r>
      <w:r w:rsidR="00756728">
        <w:rPr>
          <w:sz w:val="24"/>
        </w:rPr>
        <w:t>,</w:t>
      </w:r>
      <w:r w:rsidR="00E87ED7">
        <w:rPr>
          <w:sz w:val="24"/>
        </w:rPr>
        <w:t>506</w:t>
      </w:r>
      <w:r w:rsidRPr="00871EF3">
        <w:rPr>
          <w:sz w:val="24"/>
        </w:rPr>
        <w:t xml:space="preserve"> </w:t>
      </w:r>
      <w:r>
        <w:rPr>
          <w:sz w:val="24"/>
        </w:rPr>
        <w:t xml:space="preserve">for the following </w:t>
      </w:r>
      <w:r>
        <w:rPr>
          <w:sz w:val="24"/>
        </w:rPr>
        <w:t>reasons</w:t>
      </w:r>
      <w:r w:rsidRPr="00871EF3">
        <w:rPr>
          <w:sz w:val="24"/>
        </w:rPr>
        <w:t>:</w:t>
      </w:r>
    </w:p>
    <w:p w:rsidR="00756728" w:rsidP="00891D52" w14:paraId="5CBDD75A" w14:textId="3C11EC3E">
      <w:pPr>
        <w:pStyle w:val="ListParagraph"/>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Increase in hourly wages</w:t>
      </w:r>
    </w:p>
    <w:p w:rsidR="00680D49" w:rsidP="00891D52" w14:paraId="38A9D572" w14:textId="711F8933">
      <w:pPr>
        <w:pStyle w:val="ListParagraph"/>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 xml:space="preserve">One of the </w:t>
      </w:r>
      <w:r w:rsidRPr="00871EF3">
        <w:t xml:space="preserve">Information </w:t>
      </w:r>
      <w:r>
        <w:t>C</w:t>
      </w:r>
      <w:r w:rsidRPr="00871EF3">
        <w:t xml:space="preserve">ollection </w:t>
      </w:r>
      <w:r>
        <w:t>R</w:t>
      </w:r>
      <w:r w:rsidRPr="00871EF3">
        <w:t xml:space="preserve">equests </w:t>
      </w:r>
      <w:r>
        <w:t>(</w:t>
      </w:r>
      <w:r w:rsidRPr="00871EF3">
        <w:t>IC-</w:t>
      </w:r>
      <w:r w:rsidR="00E87ED7">
        <w:t>3</w:t>
      </w:r>
      <w:r w:rsidRPr="00871EF3">
        <w:t xml:space="preserve"> Development of Communicatio</w:t>
      </w:r>
      <w:r>
        <w:t>n Plan</w:t>
      </w:r>
      <w:r>
        <w:t>)</w:t>
      </w:r>
      <w:r>
        <w:t xml:space="preserve"> w</w:t>
      </w:r>
      <w:r>
        <w:t>as</w:t>
      </w:r>
      <w:r w:rsidR="00871EF3">
        <w:t xml:space="preserve"> identified as exempt from the PRA </w:t>
      </w:r>
      <w:r>
        <w:t xml:space="preserve">in the prior submission </w:t>
      </w:r>
      <w:r w:rsidR="00871EF3">
        <w:t xml:space="preserve">contrary to the </w:t>
      </w:r>
      <w:hyperlink r:id="rId10" w:history="1">
        <w:r w:rsidRPr="00172208" w:rsidR="00CC22A0">
          <w:rPr>
            <w:rStyle w:val="Hyperlink"/>
          </w:rPr>
          <w:t>2016 Final Rule</w:t>
        </w:r>
      </w:hyperlink>
      <w:r w:rsidR="00871EF3">
        <w:t>.</w:t>
      </w:r>
    </w:p>
    <w:p w:rsidR="00871EF3" w:rsidP="00891D52" w14:paraId="609760AE" w14:textId="77777777">
      <w:pPr>
        <w:pStyle w:val="ListParagraph"/>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Differentiation between which CoPs that are ongoing requirements vs. the one-time development at the time a facility is newly certified.</w:t>
      </w:r>
    </w:p>
    <w:p w:rsidR="00871EF3" w:rsidP="00891D52" w14:paraId="5F447E78" w14:textId="06F2930C">
      <w:pPr>
        <w:pStyle w:val="ListParagraph"/>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The specific staff and wage cost/task for all but one of the information collection requests w</w:t>
      </w:r>
      <w:r w:rsidR="00756728">
        <w:t>as</w:t>
      </w:r>
      <w:r>
        <w:t xml:space="preserve"> standardized across all facility types rather than accounting for differences in the number, type of position, and wage differentials of staff that may be involved in each information collection request</w:t>
      </w:r>
      <w:r w:rsidR="00CA2A0B">
        <w:t>.</w:t>
      </w:r>
      <w:r>
        <w:t xml:space="preserve"> As a result, the burden cost estimated may be higher for some facilities than in prior </w:t>
      </w:r>
      <w:r w:rsidR="00B765B2">
        <w:t>submission but</w:t>
      </w:r>
      <w:r>
        <w:t xml:space="preserve"> also underestimated for some facility types such as hospitals.</w:t>
      </w:r>
    </w:p>
    <w:p w:rsidR="008F1EB4" w14:paraId="10A7E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20228D" w14:paraId="1436A288" w14:textId="77777777">
      <w:pPr>
        <w:pStyle w:val="Heading3"/>
      </w:pPr>
      <w:r>
        <w:t>16.</w:t>
      </w:r>
      <w:r>
        <w:tab/>
        <w:t>Publication/Tabulation Dates</w:t>
      </w:r>
    </w:p>
    <w:p w:rsidR="008F1EB4" w:rsidRPr="00C556FB" w14:paraId="0F060A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556FB" w:rsidRPr="00C556FB" w:rsidP="00C556FB" w14:paraId="75CD661D" w14:textId="3C1E98EC">
      <w:pPr>
        <w:ind w:left="450"/>
        <w:rPr>
          <w:sz w:val="24"/>
        </w:rPr>
      </w:pPr>
      <w:r w:rsidRPr="00C556FB">
        <w:rPr>
          <w:sz w:val="24"/>
        </w:rPr>
        <w:t xml:space="preserve">There are no plans to publish the information collected. </w:t>
      </w:r>
    </w:p>
    <w:p w:rsidR="008F1EB4" w:rsidRPr="00C556FB" w14:paraId="63D363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P="0020228D" w14:paraId="3F8AE8C5" w14:textId="77777777">
      <w:pPr>
        <w:pStyle w:val="Heading3"/>
      </w:pPr>
      <w:r>
        <w:t>17.</w:t>
      </w:r>
      <w:r>
        <w:tab/>
        <w:t>Expiration Date</w:t>
      </w:r>
    </w:p>
    <w:p w:rsidR="00891D52" w:rsidP="007927DE" w14:paraId="623E74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927DE" w:rsidP="007927DE" w14:paraId="4F3A9833" w14:textId="0F1695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B5B42">
        <w:rPr>
          <w:sz w:val="24"/>
        </w:rPr>
        <w:t xml:space="preserve">CMS </w:t>
      </w:r>
      <w:r w:rsidRPr="0087709D" w:rsidR="0087709D">
        <w:rPr>
          <w:sz w:val="24"/>
        </w:rPr>
        <w:t>will publish a notice in the Federal Register to inform the public of the expiration date</w:t>
      </w:r>
      <w:r w:rsidR="0087709D">
        <w:rPr>
          <w:sz w:val="24"/>
        </w:rPr>
        <w:t xml:space="preserve">. </w:t>
      </w:r>
      <w:r w:rsidRPr="00E94650">
        <w:rPr>
          <w:sz w:val="24"/>
        </w:rPr>
        <w:t xml:space="preserve">We are requesting a three-year approval, the maximum allowed under the PRA. Please note that </w:t>
      </w:r>
      <w:r w:rsidR="009331CE">
        <w:rPr>
          <w:sz w:val="24"/>
        </w:rPr>
        <w:t>the</w:t>
      </w:r>
      <w:r w:rsidRPr="00E94650">
        <w:rPr>
          <w:sz w:val="24"/>
        </w:rPr>
        <w:t xml:space="preserve"> information collection does not </w:t>
      </w:r>
      <w:r w:rsidR="009331CE">
        <w:rPr>
          <w:sz w:val="24"/>
        </w:rPr>
        <w:t>contain a</w:t>
      </w:r>
      <w:r w:rsidRPr="00E94650">
        <w:rPr>
          <w:sz w:val="24"/>
        </w:rPr>
        <w:t xml:space="preserve"> collection instrument</w:t>
      </w:r>
      <w:r w:rsidR="006E3BED">
        <w:rPr>
          <w:sz w:val="24"/>
        </w:rPr>
        <w:t xml:space="preserve"> but educational materials and websites that discuss these requirements will include the OMB control number and the expiration date</w:t>
      </w:r>
      <w:r w:rsidR="009331CE">
        <w:rPr>
          <w:sz w:val="24"/>
        </w:rPr>
        <w:t>.</w:t>
      </w:r>
      <w:r w:rsidR="006E3BED">
        <w:rPr>
          <w:sz w:val="24"/>
        </w:rPr>
        <w:t xml:space="preserve"> </w:t>
      </w:r>
    </w:p>
    <w:p w:rsidR="008F1EB4" w14:paraId="15EDBD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20228D" w14:paraId="5C8559CB" w14:textId="77777777">
      <w:pPr>
        <w:pStyle w:val="Heading3"/>
      </w:pPr>
      <w:r>
        <w:t>18.</w:t>
      </w:r>
      <w:r>
        <w:tab/>
        <w:t>Certification Statement</w:t>
      </w:r>
    </w:p>
    <w:p w:rsidR="00C556FB" w:rsidP="00C556FB" w14:paraId="02D29A84" w14:textId="77777777">
      <w:pPr>
        <w:pStyle w:val="ListParagraph"/>
        <w:ind w:left="450"/>
      </w:pPr>
    </w:p>
    <w:p w:rsidR="00C556FB" w:rsidP="00C556FB" w14:paraId="647E5E4B" w14:textId="5C2A3BA2">
      <w:pPr>
        <w:pStyle w:val="ListParagraph"/>
        <w:ind w:left="450"/>
      </w:pPr>
      <w:r w:rsidRPr="000D11AB">
        <w:t>There is no exception to the certification.</w:t>
      </w:r>
      <w:r>
        <w:t xml:space="preserve"> </w:t>
      </w:r>
    </w:p>
    <w:p w:rsidR="000F3AF4" w14:paraId="5EF440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Sect="00730469">
      <w:endnotePr>
        <w:numFmt w:val="decimal"/>
      </w:endnotePr>
      <w:pgSz w:w="12240" w:h="15840"/>
      <w:pgMar w:top="1440" w:right="1440" w:bottom="1440" w:left="1440" w:header="1440" w:footer="864"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05D" w14:paraId="60426250" w14:textId="77777777">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05D" w14:paraId="524171B3" w14:textId="77777777">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3734" w14:paraId="10F29ABC" w14:textId="77777777">
      <w:r>
        <w:separator/>
      </w:r>
    </w:p>
  </w:footnote>
  <w:footnote w:type="continuationSeparator" w:id="1">
    <w:p w:rsidR="00543734" w14:paraId="5A0E0D51" w14:textId="77777777">
      <w:r>
        <w:continuationSeparator/>
      </w:r>
    </w:p>
  </w:footnote>
  <w:footnote w:id="2">
    <w:p w:rsidR="00BE5237" w:rsidP="00BE5237" w14:paraId="3ADED92B" w14:textId="77777777">
      <w:pPr>
        <w:pStyle w:val="FootnoteText"/>
      </w:pPr>
      <w:r w:rsidRPr="00A45C9A">
        <w:rPr>
          <w:rStyle w:val="FootnoteReference"/>
          <w:sz w:val="18"/>
          <w:szCs w:val="22"/>
          <w:vertAlign w:val="superscript"/>
        </w:rPr>
        <w:footnoteRef/>
      </w:r>
      <w:r>
        <w:t xml:space="preserve"> </w:t>
      </w:r>
      <w:r w:rsidRPr="00F7309B">
        <w:t>See implementing regulations for REHs EP CoPs at</w:t>
      </w:r>
      <w:r>
        <w:t>:</w:t>
      </w:r>
      <w:r w:rsidRPr="00F7309B">
        <w:t xml:space="preserve"> “Medicare Program: Hospital Outpatient Prospective Payment and Ambulatory Surgical Center Payment Systems and Quality Reporting Programs; Organ Acquisition; Rural Emergency Hospitals: Payment Policies, Conditions of Participation, Provider Enrollment, Physician Self-Referral; New Service Category for Hospital Outpatient Department Prior Authorization Process; Overall Hospital Quality Star Rating; COVID-19,” 87 FR 71748</w:t>
      </w:r>
      <w:r>
        <w:t>, 72202-04</w:t>
      </w:r>
      <w:r w:rsidRPr="00F7309B">
        <w:t xml:space="preserve"> (November 23, 2022) at: </w:t>
      </w:r>
      <w:hyperlink r:id="rId1" w:anchor="h-553" w:history="1">
        <w:r w:rsidRPr="00F7309B">
          <w:rPr>
            <w:rStyle w:val="Hyperlink"/>
          </w:rPr>
          <w:t>https://www.federalregister.gov/documents/2022/11/23/2022-23918/medicare-program-hospital-outpatient-prospective-payment-and-ambulatory-surgical-center-payment#h-553</w:t>
        </w:r>
      </w:hyperlink>
      <w:r w:rsidRPr="00F7309B">
        <w:t xml:space="preserve"> </w:t>
      </w:r>
    </w:p>
  </w:footnote>
  <w:footnote w:id="3">
    <w:p w:rsidR="00CD6B97" w:rsidP="00CD6B97" w14:paraId="6D49BE23" w14:textId="3C17BF5E">
      <w:pPr>
        <w:pStyle w:val="FootnoteText"/>
      </w:pPr>
      <w:r w:rsidRPr="00C936AC">
        <w:rPr>
          <w:rStyle w:val="FootnoteReference"/>
          <w:sz w:val="18"/>
          <w:szCs w:val="22"/>
          <w:vertAlign w:val="superscript"/>
        </w:rPr>
        <w:footnoteRef/>
      </w:r>
      <w:r>
        <w:t xml:space="preserve"> </w:t>
      </w:r>
      <w:r w:rsidRPr="00C91C77">
        <w:t>Sections 4204(b) and 4214(d)</w:t>
      </w:r>
      <w:r>
        <w:t xml:space="preserve"> of T</w:t>
      </w:r>
      <w:r w:rsidRPr="00C91C77">
        <w:t xml:space="preserve">he Omnibus Budget Reconciliation Act of 1987 (OBRA '87) provide a waiver of Paperwork Reduction Act (PRA) requirements for regulations </w:t>
      </w:r>
      <w:r>
        <w:t>pertaining to SNFs and NFs (Sections 4201-4206 and 4211-4218, respectively.) Thus, regulations related to CoPs for SNFs and NFs are not subject to the PRA</w:t>
      </w:r>
      <w:r w:rsidR="00936BE1">
        <w:t xml:space="preserve">. </w:t>
      </w:r>
      <w:r>
        <w:t>See also notes in 4</w:t>
      </w:r>
      <w:r w:rsidRPr="00720C35">
        <w:t>2 U.S. Code § 1395i–3</w:t>
      </w:r>
      <w:r>
        <w:t xml:space="preserve"> (SNFs) and 42 U.S. Code § 1396r (NFs).</w:t>
      </w:r>
    </w:p>
  </w:footnote>
  <w:footnote w:id="4">
    <w:p w:rsidR="00F91C3E" w14:paraId="47818CC5" w14:textId="41609FEC">
      <w:pPr>
        <w:pStyle w:val="FootnoteText"/>
      </w:pPr>
      <w:r w:rsidRPr="00F91C3E">
        <w:rPr>
          <w:rStyle w:val="FootnoteReference"/>
          <w:sz w:val="18"/>
          <w:szCs w:val="22"/>
          <w:vertAlign w:val="superscript"/>
        </w:rPr>
        <w:footnoteRef/>
      </w:r>
      <w:r>
        <w:t xml:space="preserve"> </w:t>
      </w:r>
      <w:hyperlink r:id="rId2" w:history="1">
        <w:r w:rsidRPr="00CA1EF5">
          <w:rPr>
            <w:rStyle w:val="Hyperlink"/>
          </w:rPr>
          <w:t>2016 Final Rule</w:t>
        </w:r>
      </w:hyperlink>
      <w:r>
        <w:t xml:space="preserve"> at </w:t>
      </w:r>
      <w:r w:rsidR="00E61C8C">
        <w:t>63936 (ASCs); 63978 (CAHs); 63969 (HHAs); 63953 (hospitals)</w:t>
      </w:r>
    </w:p>
  </w:footnote>
  <w:footnote w:id="5">
    <w:p w:rsidR="00F11BC1" w:rsidP="00F11BC1" w14:paraId="4F6ABD51" w14:textId="744FE97E">
      <w:pPr>
        <w:pStyle w:val="FootnoteText"/>
      </w:pPr>
      <w:r w:rsidRPr="00F11BC1">
        <w:rPr>
          <w:rStyle w:val="FootnoteReference"/>
          <w:sz w:val="18"/>
          <w:szCs w:val="22"/>
          <w:vertAlign w:val="superscript"/>
        </w:rPr>
        <w:footnoteRef/>
      </w:r>
      <w:r w:rsidRPr="00F11BC1">
        <w:rPr>
          <w:sz w:val="18"/>
          <w:szCs w:val="22"/>
          <w:vertAlign w:val="superscript"/>
        </w:rPr>
        <w:t xml:space="preserve"> </w:t>
      </w:r>
      <w:hyperlink r:id="rId2" w:history="1">
        <w:r w:rsidRPr="00CA1EF5">
          <w:rPr>
            <w:rStyle w:val="Hyperlink"/>
          </w:rPr>
          <w:t>2016 Final Rule</w:t>
        </w:r>
      </w:hyperlink>
      <w:r>
        <w:t xml:space="preserve"> at 63941-42.</w:t>
      </w:r>
    </w:p>
  </w:footnote>
  <w:footnote w:id="6">
    <w:p w:rsidR="00E752B8" w:rsidP="00E752B8" w14:paraId="09FBA7F0" w14:textId="01970FB7">
      <w:pPr>
        <w:pStyle w:val="FootnoteText"/>
      </w:pPr>
      <w:r w:rsidRPr="00F11BC1">
        <w:rPr>
          <w:rStyle w:val="FootnoteReference"/>
          <w:sz w:val="18"/>
          <w:szCs w:val="22"/>
          <w:vertAlign w:val="superscript"/>
        </w:rPr>
        <w:footnoteRef/>
      </w:r>
      <w:r w:rsidRPr="00F11BC1">
        <w:rPr>
          <w:sz w:val="18"/>
          <w:szCs w:val="22"/>
          <w:vertAlign w:val="superscript"/>
        </w:rPr>
        <w:t xml:space="preserve"> </w:t>
      </w:r>
      <w:hyperlink r:id="rId2" w:history="1">
        <w:r w:rsidRPr="00CA1EF5">
          <w:rPr>
            <w:rStyle w:val="Hyperlink"/>
          </w:rPr>
          <w:t>2016 Final Rule</w:t>
        </w:r>
      </w:hyperlink>
      <w:r>
        <w:t xml:space="preserve"> at 63942-43.</w:t>
      </w:r>
    </w:p>
  </w:footnote>
  <w:footnote w:id="7">
    <w:p w:rsidR="006E716B" w:rsidRPr="00CA1EF5" w:rsidP="006E716B" w14:paraId="2ABC633F" w14:textId="05B97BB5">
      <w:pPr>
        <w:pStyle w:val="FootnoteText"/>
        <w:rPr>
          <w:szCs w:val="16"/>
        </w:rPr>
      </w:pPr>
      <w:r w:rsidRPr="00E2247C">
        <w:rPr>
          <w:rStyle w:val="FootnoteReference"/>
          <w:sz w:val="18"/>
          <w:szCs w:val="18"/>
          <w:vertAlign w:val="superscript"/>
        </w:rPr>
        <w:footnoteRef/>
      </w:r>
      <w:r w:rsidRPr="001F5474">
        <w:t xml:space="preserve"> </w:t>
      </w:r>
      <w:r w:rsidR="00CA1EF5">
        <w:t>T</w:t>
      </w:r>
      <w:r>
        <w:rPr>
          <w:szCs w:val="16"/>
        </w:rPr>
        <w:t xml:space="preserve">he requirement </w:t>
      </w:r>
      <w:r w:rsidR="0041264C">
        <w:rPr>
          <w:szCs w:val="16"/>
        </w:rPr>
        <w:t xml:space="preserve">for facilities </w:t>
      </w:r>
      <w:r>
        <w:rPr>
          <w:szCs w:val="16"/>
        </w:rPr>
        <w:t xml:space="preserve">to review </w:t>
      </w:r>
      <w:r w:rsidR="0041264C">
        <w:rPr>
          <w:szCs w:val="16"/>
        </w:rPr>
        <w:t xml:space="preserve">their </w:t>
      </w:r>
      <w:r>
        <w:rPr>
          <w:szCs w:val="16"/>
        </w:rPr>
        <w:t xml:space="preserve">emergency </w:t>
      </w:r>
      <w:r w:rsidR="0041264C">
        <w:rPr>
          <w:szCs w:val="16"/>
        </w:rPr>
        <w:t>preparedness plan</w:t>
      </w:r>
      <w:r>
        <w:rPr>
          <w:szCs w:val="16"/>
        </w:rPr>
        <w:t xml:space="preserve"> was changed from annually to biennially for all facilities except LTC facilities which must continue to review their plans annually. Se</w:t>
      </w:r>
      <w:r w:rsidR="0041264C">
        <w:rPr>
          <w:szCs w:val="16"/>
        </w:rPr>
        <w:t xml:space="preserve">e </w:t>
      </w:r>
      <w:hyperlink r:id="rId3" w:history="1">
        <w:r w:rsidRPr="000E4BE2" w:rsidR="0041264C">
          <w:rPr>
            <w:rFonts w:eastAsiaTheme="majorEastAsia"/>
            <w:color w:val="1155CC"/>
            <w:szCs w:val="16"/>
            <w:u w:val="single"/>
          </w:rPr>
          <w:t>2018 Proposed Rule</w:t>
        </w:r>
      </w:hyperlink>
      <w:r w:rsidR="0041264C">
        <w:rPr>
          <w:szCs w:val="16"/>
        </w:rPr>
        <w:t xml:space="preserve"> at 47713;</w:t>
      </w:r>
      <w:r>
        <w:rPr>
          <w:szCs w:val="16"/>
        </w:rPr>
        <w:t xml:space="preserve"> </w:t>
      </w:r>
      <w:hyperlink r:id="rId4" w:history="1">
        <w:r w:rsidRPr="00CA1EF5" w:rsidR="00CA1EF5">
          <w:rPr>
            <w:rStyle w:val="Hyperlink"/>
            <w:szCs w:val="16"/>
          </w:rPr>
          <w:t>2019 Final Rule</w:t>
        </w:r>
      </w:hyperlink>
      <w:r w:rsidR="0041264C">
        <w:rPr>
          <w:szCs w:val="16"/>
        </w:rPr>
        <w:t xml:space="preserve"> at</w:t>
      </w:r>
      <w:r w:rsidRPr="00CA1EF5" w:rsidR="00CA1EF5">
        <w:rPr>
          <w:szCs w:val="16"/>
        </w:rPr>
        <w:t xml:space="preserve"> </w:t>
      </w:r>
      <w:r w:rsidR="00CA1EF5">
        <w:rPr>
          <w:szCs w:val="16"/>
        </w:rPr>
        <w:t xml:space="preserve">51735. </w:t>
      </w:r>
    </w:p>
  </w:footnote>
  <w:footnote w:id="8">
    <w:p w:rsidR="0041264C" w:rsidRPr="004E0F52" w:rsidP="004E0F52" w14:paraId="61159608" w14:textId="6184DA28">
      <w:pPr>
        <w:rPr>
          <w:sz w:val="24"/>
        </w:rPr>
      </w:pPr>
      <w:r w:rsidRPr="004E0F52">
        <w:rPr>
          <w:rStyle w:val="FootnoteReference"/>
          <w:vertAlign w:val="superscript"/>
        </w:rPr>
        <w:footnoteRef/>
      </w:r>
      <w:r w:rsidRPr="004E0F52">
        <w:rPr>
          <w:sz w:val="18"/>
          <w:szCs w:val="22"/>
          <w:vertAlign w:val="superscript"/>
        </w:rPr>
        <w:t xml:space="preserve"> </w:t>
      </w:r>
      <w:r w:rsidRPr="004E0F52" w:rsidR="004E0F52">
        <w:rPr>
          <w:sz w:val="16"/>
          <w:szCs w:val="16"/>
        </w:rPr>
        <w:t xml:space="preserve">See </w:t>
      </w:r>
      <w:hyperlink r:id="rId2" w:history="1">
        <w:r w:rsidRPr="004E0F52" w:rsidR="004E0F52">
          <w:rPr>
            <w:rStyle w:val="Hyperlink"/>
            <w:sz w:val="16"/>
            <w:szCs w:val="16"/>
          </w:rPr>
          <w:t>2016 Final Rule</w:t>
        </w:r>
      </w:hyperlink>
      <w:r w:rsidR="004E0F52">
        <w:rPr>
          <w:sz w:val="16"/>
          <w:szCs w:val="16"/>
        </w:rPr>
        <w:t xml:space="preserve"> at </w:t>
      </w:r>
      <w:r w:rsidRPr="004E0F52" w:rsidR="004E0F52">
        <w:rPr>
          <w:sz w:val="16"/>
          <w:szCs w:val="16"/>
        </w:rPr>
        <w:t>63931</w:t>
      </w:r>
      <w:r w:rsidR="004E0F52">
        <w:rPr>
          <w:sz w:val="16"/>
          <w:szCs w:val="16"/>
        </w:rPr>
        <w:t xml:space="preserve">. Burden hours and costs for annual review of the emergency preparedness plan </w:t>
      </w:r>
      <w:r w:rsidR="007C1AFF">
        <w:rPr>
          <w:sz w:val="16"/>
          <w:szCs w:val="16"/>
        </w:rPr>
        <w:t xml:space="preserve">in the 2016 Final Rule </w:t>
      </w:r>
      <w:r w:rsidR="004E0F52">
        <w:rPr>
          <w:sz w:val="16"/>
          <w:szCs w:val="16"/>
        </w:rPr>
        <w:t xml:space="preserve">were only calculated for the following facilities: </w:t>
      </w:r>
      <w:r w:rsidRPr="004E0F52" w:rsidR="004E0F52">
        <w:rPr>
          <w:sz w:val="16"/>
          <w:szCs w:val="16"/>
        </w:rPr>
        <w:t>CMHCs, OPOs, PRTFs and outpatient hospices.</w:t>
      </w:r>
    </w:p>
  </w:footnote>
  <w:footnote w:id="9">
    <w:p w:rsidR="00212787" w:rsidRPr="000E4BE2" w:rsidP="000E4BE2" w14:paraId="0555FD34" w14:textId="4E04BDB7">
      <w:pPr>
        <w:widowControl/>
        <w:autoSpaceDE/>
        <w:autoSpaceDN/>
        <w:adjustRightInd/>
        <w:rPr>
          <w:color w:val="1155CC"/>
          <w:sz w:val="16"/>
          <w:szCs w:val="16"/>
          <w:u w:val="single"/>
        </w:rPr>
      </w:pPr>
      <w:r w:rsidRPr="006019FE">
        <w:rPr>
          <w:rStyle w:val="FootnoteReference"/>
          <w:sz w:val="18"/>
          <w:szCs w:val="22"/>
          <w:vertAlign w:val="superscript"/>
        </w:rPr>
        <w:footnoteRef/>
      </w:r>
      <w:r>
        <w:t xml:space="preserve"> </w:t>
      </w:r>
      <w:r w:rsidRPr="00CA1EF5">
        <w:rPr>
          <w:sz w:val="16"/>
          <w:szCs w:val="16"/>
        </w:rPr>
        <w:t>Se</w:t>
      </w:r>
      <w:r w:rsidR="004E0F52">
        <w:rPr>
          <w:sz w:val="16"/>
          <w:szCs w:val="16"/>
        </w:rPr>
        <w:t>e</w:t>
      </w:r>
      <w:r w:rsidR="000E4BE2">
        <w:rPr>
          <w:sz w:val="16"/>
          <w:szCs w:val="16"/>
        </w:rPr>
        <w:t xml:space="preserve"> </w:t>
      </w:r>
      <w:hyperlink r:id="rId3" w:history="1">
        <w:r w:rsidRPr="000E4BE2" w:rsidR="000E4BE2">
          <w:rPr>
            <w:rFonts w:eastAsiaTheme="majorEastAsia"/>
            <w:color w:val="1155CC"/>
            <w:sz w:val="16"/>
            <w:szCs w:val="16"/>
            <w:u w:val="single"/>
          </w:rPr>
          <w:t>2018 Proposed Rule</w:t>
        </w:r>
      </w:hyperlink>
      <w:r w:rsidR="000E4BE2">
        <w:rPr>
          <w:sz w:val="16"/>
          <w:szCs w:val="16"/>
        </w:rPr>
        <w:t xml:space="preserve"> at 477</w:t>
      </w:r>
      <w:r w:rsidR="00753F94">
        <w:rPr>
          <w:sz w:val="16"/>
          <w:szCs w:val="16"/>
        </w:rPr>
        <w:t>25</w:t>
      </w:r>
      <w:r w:rsidR="000E4BE2">
        <w:rPr>
          <w:sz w:val="16"/>
          <w:szCs w:val="16"/>
        </w:rPr>
        <w:t>;</w:t>
      </w:r>
      <w:r w:rsidRPr="00CA1EF5">
        <w:rPr>
          <w:sz w:val="16"/>
          <w:szCs w:val="16"/>
        </w:rPr>
        <w:t xml:space="preserve"> </w:t>
      </w:r>
      <w:hyperlink r:id="rId4" w:history="1">
        <w:r w:rsidRPr="00CA1EF5" w:rsidR="00CA1EF5">
          <w:rPr>
            <w:rStyle w:val="Hyperlink"/>
            <w:sz w:val="16"/>
            <w:szCs w:val="16"/>
          </w:rPr>
          <w:t>2019 Final Rule</w:t>
        </w:r>
      </w:hyperlink>
      <w:r w:rsidR="000E4BE2">
        <w:rPr>
          <w:sz w:val="16"/>
          <w:szCs w:val="16"/>
        </w:rPr>
        <w:t xml:space="preserve"> at</w:t>
      </w:r>
      <w:r w:rsidRPr="00CA1EF5" w:rsidR="00CA1EF5">
        <w:rPr>
          <w:sz w:val="16"/>
          <w:szCs w:val="16"/>
        </w:rPr>
        <w:t xml:space="preserve"> 51767-68.</w:t>
      </w:r>
    </w:p>
  </w:footnote>
  <w:footnote w:id="10">
    <w:p w:rsidR="00A43B2D" w14:paraId="1CAAB953" w14:textId="3A01170D">
      <w:pPr>
        <w:pStyle w:val="FootnoteText"/>
      </w:pPr>
      <w:r w:rsidRPr="00A43B2D">
        <w:rPr>
          <w:rStyle w:val="FootnoteReference"/>
          <w:sz w:val="18"/>
          <w:szCs w:val="22"/>
          <w:vertAlign w:val="superscript"/>
        </w:rPr>
        <w:footnoteRef/>
      </w:r>
      <w:r w:rsidRPr="00A43B2D">
        <w:rPr>
          <w:sz w:val="18"/>
          <w:szCs w:val="22"/>
          <w:vertAlign w:val="superscript"/>
        </w:rPr>
        <w:t xml:space="preserve"> </w:t>
      </w:r>
      <w:hyperlink r:id="rId2" w:history="1">
        <w:r w:rsidRPr="00CA1EF5">
          <w:rPr>
            <w:rStyle w:val="Hyperlink"/>
          </w:rPr>
          <w:t>2016 Final Rule</w:t>
        </w:r>
      </w:hyperlink>
      <w:r>
        <w:t xml:space="preserve"> at 63938.</w:t>
      </w:r>
    </w:p>
  </w:footnote>
  <w:footnote w:id="11">
    <w:p w:rsidR="00096687" w:rsidP="00096687" w14:paraId="01CC3114" w14:textId="2ED43869">
      <w:pPr>
        <w:pStyle w:val="FootnoteText"/>
      </w:pPr>
      <w:r w:rsidRPr="00F11BC1">
        <w:rPr>
          <w:rStyle w:val="FootnoteReference"/>
          <w:sz w:val="18"/>
          <w:szCs w:val="22"/>
          <w:vertAlign w:val="superscript"/>
        </w:rPr>
        <w:footnoteRef/>
      </w:r>
      <w:r w:rsidRPr="00F11BC1">
        <w:rPr>
          <w:sz w:val="18"/>
          <w:szCs w:val="22"/>
          <w:vertAlign w:val="superscript"/>
        </w:rPr>
        <w:t xml:space="preserve"> </w:t>
      </w:r>
      <w:hyperlink r:id="rId2" w:history="1">
        <w:r w:rsidRPr="00CA1EF5">
          <w:rPr>
            <w:rStyle w:val="Hyperlink"/>
          </w:rPr>
          <w:t>2016 Final Rule</w:t>
        </w:r>
      </w:hyperlink>
      <w:r>
        <w:t xml:space="preserve"> at 63942-43</w:t>
      </w:r>
      <w:r w:rsidR="00A43B2D">
        <w:t xml:space="preserve"> (hospices); 63957 (hospitals); 63981-82 (CAHs).</w:t>
      </w:r>
    </w:p>
  </w:footnote>
  <w:footnote w:id="12">
    <w:p w:rsidR="00F00AB1" w:rsidRPr="001F5474" w:rsidP="00F00AB1" w14:paraId="62E58B30" w14:textId="5A196BD5">
      <w:pPr>
        <w:pStyle w:val="FootnoteText"/>
      </w:pPr>
      <w:r w:rsidRPr="00E2247C">
        <w:rPr>
          <w:rStyle w:val="FootnoteReference"/>
          <w:sz w:val="18"/>
          <w:szCs w:val="18"/>
          <w:vertAlign w:val="superscript"/>
        </w:rPr>
        <w:footnoteRef/>
      </w:r>
      <w:r w:rsidRPr="001F5474">
        <w:t xml:space="preserve"> </w:t>
      </w:r>
      <w:hyperlink r:id="rId4" w:history="1">
        <w:r w:rsidRPr="00CC22A0" w:rsidR="00CC22A0">
          <w:rPr>
            <w:rStyle w:val="Hyperlink"/>
            <w:szCs w:val="16"/>
          </w:rPr>
          <w:t>2019 Final Rule</w:t>
        </w:r>
      </w:hyperlink>
      <w:r w:rsidR="00FE183A">
        <w:rPr>
          <w:szCs w:val="16"/>
        </w:rPr>
        <w:t xml:space="preserve"> at </w:t>
      </w:r>
      <w:r w:rsidRPr="00CC22A0">
        <w:rPr>
          <w:szCs w:val="16"/>
        </w:rPr>
        <w:t>51</w:t>
      </w:r>
      <w:r>
        <w:rPr>
          <w:szCs w:val="16"/>
        </w:rPr>
        <w:t>767-68.</w:t>
      </w:r>
    </w:p>
  </w:footnote>
  <w:footnote w:id="13">
    <w:p w:rsidR="00D65EAF" w:rsidP="00D65EAF" w14:paraId="013D884F" w14:textId="77777777">
      <w:pPr>
        <w:pStyle w:val="FootnoteText"/>
      </w:pPr>
      <w:r w:rsidRPr="00F11BC1">
        <w:rPr>
          <w:rStyle w:val="FootnoteReference"/>
          <w:sz w:val="18"/>
          <w:szCs w:val="22"/>
          <w:vertAlign w:val="superscript"/>
        </w:rPr>
        <w:footnoteRef/>
      </w:r>
      <w:r w:rsidRPr="00F11BC1">
        <w:rPr>
          <w:sz w:val="18"/>
          <w:szCs w:val="22"/>
          <w:vertAlign w:val="superscript"/>
        </w:rPr>
        <w:t xml:space="preserve"> </w:t>
      </w:r>
      <w:hyperlink r:id="rId2" w:history="1">
        <w:r w:rsidRPr="00CA1EF5">
          <w:rPr>
            <w:rStyle w:val="Hyperlink"/>
          </w:rPr>
          <w:t>2016 Final Rule</w:t>
        </w:r>
      </w:hyperlink>
      <w:r>
        <w:t xml:space="preserve"> at 63972 (HHAs); 63982 (CAHs).</w:t>
      </w:r>
    </w:p>
  </w:footnote>
  <w:footnote w:id="14">
    <w:p w:rsidR="00E778A9" w:rsidP="00D311E6" w14:paraId="3AB51E4C" w14:textId="767B3C47">
      <w:pPr>
        <w:pStyle w:val="FootnoteText"/>
      </w:pPr>
      <w:r w:rsidRPr="00D311E6">
        <w:rPr>
          <w:rStyle w:val="FootnoteReference"/>
          <w:sz w:val="18"/>
          <w:szCs w:val="22"/>
          <w:vertAlign w:val="superscript"/>
        </w:rPr>
        <w:footnoteRef/>
      </w:r>
      <w:r w:rsidR="00212047">
        <w:t xml:space="preserve"> </w:t>
      </w:r>
      <w:bookmarkStart w:id="2" w:name="_Hlk188793810"/>
      <w:r w:rsidR="00751311">
        <w:t xml:space="preserve">See e.g., </w:t>
      </w:r>
      <w:hyperlink r:id="rId2" w:history="1">
        <w:r w:rsidRPr="00CA1EF5" w:rsidR="00D311E6">
          <w:rPr>
            <w:rStyle w:val="Hyperlink"/>
          </w:rPr>
          <w:t>2016 Final Rule</w:t>
        </w:r>
      </w:hyperlink>
      <w:r w:rsidR="00D311E6">
        <w:t xml:space="preserve"> at </w:t>
      </w:r>
      <w:r w:rsidR="00AA0E04">
        <w:t xml:space="preserve">63959 (hospitals); </w:t>
      </w:r>
      <w:r w:rsidR="00D311E6">
        <w:t>63982 (</w:t>
      </w:r>
      <w:r w:rsidR="00AA0E04">
        <w:t xml:space="preserve">CAHs); </w:t>
      </w:r>
      <w:r w:rsidR="00212047">
        <w:t>63973</w:t>
      </w:r>
      <w:r w:rsidR="00AA0E04">
        <w:t xml:space="preserve"> (HHAs).</w:t>
      </w:r>
    </w:p>
    <w:bookmarkEnd w:id="2"/>
  </w:footnote>
  <w:footnote w:id="15">
    <w:p w:rsidR="00AA0E04" w14:paraId="013FC104" w14:textId="039C08A4">
      <w:pPr>
        <w:pStyle w:val="FootnoteText"/>
      </w:pPr>
      <w:r w:rsidRPr="00AA0E04">
        <w:rPr>
          <w:rStyle w:val="FootnoteReference"/>
          <w:sz w:val="18"/>
          <w:szCs w:val="22"/>
          <w:vertAlign w:val="superscript"/>
        </w:rPr>
        <w:footnoteRef/>
      </w:r>
      <w:r>
        <w:t xml:space="preserve"> </w:t>
      </w:r>
      <w:hyperlink r:id="rId2" w:history="1">
        <w:r w:rsidRPr="00CA1EF5">
          <w:rPr>
            <w:rStyle w:val="Hyperlink"/>
          </w:rPr>
          <w:t>2016 Final Rule</w:t>
        </w:r>
      </w:hyperlink>
      <w:r>
        <w:t xml:space="preserve"> a</w:t>
      </w:r>
      <w:r w:rsidR="00702943">
        <w:t xml:space="preserve">t </w:t>
      </w:r>
      <w:r>
        <w:t>63959 (stating any additional burden for TJC accredited hospitals would be negligible).</w:t>
      </w:r>
    </w:p>
  </w:footnote>
  <w:footnote w:id="16">
    <w:p w:rsidR="00AA0E04" w:rsidP="00AA0E04" w14:paraId="5D921164" w14:textId="5D377E86">
      <w:pPr>
        <w:pStyle w:val="FootnoteText"/>
      </w:pPr>
      <w:r w:rsidRPr="00F11BC1">
        <w:rPr>
          <w:rStyle w:val="FootnoteReference"/>
          <w:sz w:val="18"/>
          <w:szCs w:val="22"/>
          <w:vertAlign w:val="superscript"/>
        </w:rPr>
        <w:footnoteRef/>
      </w:r>
      <w:r w:rsidRPr="00F11BC1">
        <w:rPr>
          <w:sz w:val="18"/>
          <w:szCs w:val="22"/>
          <w:vertAlign w:val="superscript"/>
        </w:rPr>
        <w:t xml:space="preserve"> </w:t>
      </w:r>
      <w:hyperlink r:id="rId2" w:history="1">
        <w:r w:rsidRPr="00CA1EF5">
          <w:rPr>
            <w:rStyle w:val="Hyperlink"/>
          </w:rPr>
          <w:t>2016 Final Rule</w:t>
        </w:r>
      </w:hyperlink>
      <w:r>
        <w:t xml:space="preserve"> at 63939 (ASCs);</w:t>
      </w:r>
      <w:r w:rsidRPr="00BD53B7" w:rsidR="00BD53B7">
        <w:t xml:space="preserve"> </w:t>
      </w:r>
      <w:r w:rsidR="00BD53B7">
        <w:t xml:space="preserve">63983 (CAHs); </w:t>
      </w:r>
      <w:r>
        <w:t>63973 (HHAs)</w:t>
      </w:r>
      <w:r w:rsidR="00BD53B7">
        <w:t>.</w:t>
      </w:r>
    </w:p>
  </w:footnote>
  <w:footnote w:id="17">
    <w:p w:rsidR="00ED35DC" w:rsidRPr="00ED35DC" w:rsidP="00ED35DC" w14:paraId="6EECD1EA" w14:textId="05B1604E">
      <w:pPr>
        <w:widowControl/>
        <w:autoSpaceDE/>
        <w:autoSpaceDN/>
        <w:adjustRightInd/>
        <w:rPr>
          <w:sz w:val="16"/>
          <w:szCs w:val="16"/>
        </w:rPr>
      </w:pPr>
      <w:r w:rsidRPr="002555AF">
        <w:rPr>
          <w:rStyle w:val="FootnoteReference"/>
          <w:sz w:val="18"/>
          <w:szCs w:val="22"/>
          <w:vertAlign w:val="superscript"/>
        </w:rPr>
        <w:footnoteRef/>
      </w:r>
      <w:r>
        <w:t xml:space="preserve"> </w:t>
      </w:r>
      <w:r w:rsidRPr="00ED35DC">
        <w:rPr>
          <w:sz w:val="16"/>
          <w:szCs w:val="16"/>
        </w:rPr>
        <w:t xml:space="preserve">See </w:t>
      </w:r>
      <w:bookmarkStart w:id="3" w:name="_Hlk188353479"/>
      <w:hyperlink r:id="rId3" w:history="1">
        <w:r w:rsidRPr="00ED35DC">
          <w:rPr>
            <w:rFonts w:eastAsiaTheme="majorEastAsia"/>
            <w:color w:val="1155CC"/>
            <w:sz w:val="16"/>
            <w:szCs w:val="16"/>
            <w:u w:val="single"/>
          </w:rPr>
          <w:t>2018 Proposed Rule</w:t>
        </w:r>
      </w:hyperlink>
      <w:r w:rsidRPr="00ED35DC">
        <w:rPr>
          <w:sz w:val="16"/>
          <w:szCs w:val="16"/>
        </w:rPr>
        <w:t xml:space="preserve"> at 47726-27 </w:t>
      </w:r>
      <w:bookmarkEnd w:id="3"/>
      <w:r w:rsidRPr="00ED35DC">
        <w:rPr>
          <w:sz w:val="16"/>
          <w:szCs w:val="16"/>
        </w:rPr>
        <w:t xml:space="preserve">and </w:t>
      </w:r>
      <w:hyperlink r:id="rId4" w:history="1">
        <w:r w:rsidRPr="00ED35DC">
          <w:rPr>
            <w:rStyle w:val="Hyperlink"/>
            <w:sz w:val="16"/>
            <w:szCs w:val="16"/>
          </w:rPr>
          <w:t>2019 Final Rule</w:t>
        </w:r>
      </w:hyperlink>
      <w:r w:rsidRPr="00ED35DC">
        <w:rPr>
          <w:sz w:val="16"/>
          <w:szCs w:val="16"/>
        </w:rPr>
        <w:t xml:space="preserve"> at 51756-57. Note that LTC facilities must conduct their emergency preparedness training programs annually.</w:t>
      </w:r>
    </w:p>
  </w:footnote>
  <w:footnote w:id="18">
    <w:p w:rsidR="00702943" w:rsidP="00702943" w14:paraId="56B7211F" w14:textId="5A94F2E9">
      <w:pPr>
        <w:pStyle w:val="FootnoteText"/>
      </w:pPr>
      <w:r w:rsidRPr="00AA0E04">
        <w:rPr>
          <w:rStyle w:val="FootnoteReference"/>
          <w:sz w:val="18"/>
          <w:szCs w:val="22"/>
          <w:vertAlign w:val="superscript"/>
        </w:rPr>
        <w:footnoteRef/>
      </w:r>
      <w:r>
        <w:t xml:space="preserve"> </w:t>
      </w:r>
      <w:hyperlink r:id="rId2" w:history="1">
        <w:r w:rsidRPr="00CA1EF5">
          <w:rPr>
            <w:rStyle w:val="Hyperlink"/>
          </w:rPr>
          <w:t>2016 Final Rule</w:t>
        </w:r>
      </w:hyperlink>
      <w:r>
        <w:t xml:space="preserve"> at.639</w:t>
      </w:r>
      <w:r w:rsidR="00A052E1">
        <w:t>60</w:t>
      </w:r>
      <w:r>
        <w:t>.</w:t>
      </w:r>
    </w:p>
  </w:footnote>
  <w:footnote w:id="19">
    <w:p w:rsidR="00702943" w:rsidP="00702943" w14:paraId="4A7E74D5" w14:textId="1BB56134">
      <w:pPr>
        <w:pStyle w:val="FootnoteText"/>
      </w:pPr>
      <w:r w:rsidRPr="00F11BC1">
        <w:rPr>
          <w:rStyle w:val="FootnoteReference"/>
          <w:sz w:val="18"/>
          <w:szCs w:val="22"/>
          <w:vertAlign w:val="superscript"/>
        </w:rPr>
        <w:footnoteRef/>
      </w:r>
      <w:r w:rsidRPr="00F11BC1">
        <w:rPr>
          <w:sz w:val="18"/>
          <w:szCs w:val="22"/>
          <w:vertAlign w:val="superscript"/>
        </w:rPr>
        <w:t xml:space="preserve"> </w:t>
      </w:r>
      <w:hyperlink r:id="rId2" w:history="1">
        <w:r w:rsidRPr="00CA1EF5">
          <w:rPr>
            <w:rStyle w:val="Hyperlink"/>
          </w:rPr>
          <w:t>2016 Final Rule</w:t>
        </w:r>
      </w:hyperlink>
      <w:r>
        <w:t xml:space="preserve"> at 639</w:t>
      </w:r>
      <w:r w:rsidR="00A052E1">
        <w:t>40</w:t>
      </w:r>
      <w:r>
        <w:t xml:space="preserve"> (ASCs); 63983 (CAHs)</w:t>
      </w:r>
      <w:r w:rsidR="00BD53B7">
        <w:t>; 63973 (HHAs).</w:t>
      </w:r>
    </w:p>
  </w:footnote>
  <w:footnote w:id="20">
    <w:p w:rsidR="000C6BBE" w:rsidRPr="00CC22A0" w:rsidP="00CC22A0" w14:paraId="03F75DBD" w14:textId="5C85C161">
      <w:pPr>
        <w:rPr>
          <w:sz w:val="24"/>
        </w:rPr>
      </w:pPr>
      <w:r w:rsidRPr="0068608D">
        <w:rPr>
          <w:rStyle w:val="FootnoteReferenceinFooterChar"/>
        </w:rPr>
        <w:footnoteRef/>
      </w:r>
      <w:r>
        <w:t xml:space="preserve"> </w:t>
      </w:r>
      <w:hyperlink r:id="rId4" w:history="1">
        <w:r w:rsidRPr="00CC22A0" w:rsidR="00CC22A0">
          <w:rPr>
            <w:rStyle w:val="Hyperlink"/>
            <w:sz w:val="16"/>
            <w:szCs w:val="16"/>
          </w:rPr>
          <w:t>2019 Final Rule</w:t>
        </w:r>
      </w:hyperlink>
      <w:r w:rsidRPr="00CC22A0" w:rsidR="00CC22A0">
        <w:rPr>
          <w:sz w:val="16"/>
          <w:szCs w:val="16"/>
        </w:rPr>
        <w:t>, 51801-02.</w:t>
      </w:r>
      <w:r w:rsidRPr="00CC22A0">
        <w:rPr>
          <w:sz w:val="16"/>
          <w:szCs w:val="16"/>
        </w:rPr>
        <w:t xml:space="preserve"> Inpatient services are provided by</w:t>
      </w:r>
      <w:r w:rsidRPr="00CC22A0" w:rsidR="00B765B2">
        <w:rPr>
          <w:sz w:val="16"/>
          <w:szCs w:val="16"/>
        </w:rPr>
        <w:t xml:space="preserve"> the following</w:t>
      </w:r>
      <w:r w:rsidRPr="00CC22A0">
        <w:rPr>
          <w:sz w:val="16"/>
          <w:szCs w:val="16"/>
        </w:rPr>
        <w:t xml:space="preserve">: inpatient Hospices, Psychiatric Residential Treatment Facilities (PRTFs), hospitals, long-term care facilities (LTCFs), ICFs/IIDs, and CAHs. </w:t>
      </w:r>
      <w:hyperlink r:id="rId4" w:history="1">
        <w:r w:rsidRPr="00CC22A0" w:rsidR="00CC22A0">
          <w:rPr>
            <w:rStyle w:val="Hyperlink"/>
            <w:sz w:val="16"/>
            <w:szCs w:val="16"/>
          </w:rPr>
          <w:t>2019 Final Rule</w:t>
        </w:r>
      </w:hyperlink>
      <w:r w:rsidRPr="00CC22A0" w:rsidR="00CC22A0">
        <w:rPr>
          <w:sz w:val="16"/>
          <w:szCs w:val="16"/>
        </w:rPr>
        <w:t xml:space="preserve"> </w:t>
      </w:r>
      <w:r w:rsidR="009B5F20">
        <w:rPr>
          <w:sz w:val="16"/>
          <w:szCs w:val="16"/>
        </w:rPr>
        <w:t xml:space="preserve">at </w:t>
      </w:r>
      <w:r w:rsidRPr="00CC22A0" w:rsidR="00CC22A0">
        <w:rPr>
          <w:sz w:val="16"/>
          <w:szCs w:val="16"/>
        </w:rPr>
        <w:t>5</w:t>
      </w:r>
      <w:r w:rsidRPr="00CC22A0">
        <w:rPr>
          <w:sz w:val="16"/>
          <w:szCs w:val="16"/>
        </w:rPr>
        <w:t xml:space="preserve">1757. Although RNHCIs provide inpatient services, they are </w:t>
      </w:r>
      <w:r w:rsidRPr="000A0171" w:rsidR="003C1827">
        <w:rPr>
          <w:sz w:val="16"/>
          <w:szCs w:val="16"/>
        </w:rPr>
        <w:t xml:space="preserve">only </w:t>
      </w:r>
      <w:r w:rsidRPr="000A0171" w:rsidR="003C1827">
        <w:rPr>
          <w:w w:val="105"/>
          <w:sz w:val="16"/>
          <w:szCs w:val="16"/>
        </w:rPr>
        <w:t xml:space="preserve">required to conduct a paper-based, tabletop exercise </w:t>
      </w:r>
      <w:r w:rsidRPr="000A0171" w:rsidR="003C1827">
        <w:rPr>
          <w:spacing w:val="-2"/>
          <w:w w:val="105"/>
          <w:sz w:val="16"/>
          <w:szCs w:val="16"/>
        </w:rPr>
        <w:t>annually</w:t>
      </w:r>
      <w:r w:rsidRPr="000A0171">
        <w:rPr>
          <w:sz w:val="16"/>
          <w:szCs w:val="16"/>
        </w:rPr>
        <w:t>.</w:t>
      </w:r>
      <w:r w:rsidRPr="000A0171">
        <w:rPr>
          <w:sz w:val="16"/>
          <w:szCs w:val="16"/>
        </w:rPr>
        <w:t xml:space="preserve"> </w:t>
      </w:r>
      <w:r w:rsidRPr="000A0171" w:rsidR="0007779D">
        <w:rPr>
          <w:sz w:val="16"/>
          <w:szCs w:val="16"/>
        </w:rPr>
        <w:t>S</w:t>
      </w:r>
      <w:r w:rsidRPr="000A0171" w:rsidR="00D01862">
        <w:rPr>
          <w:sz w:val="16"/>
          <w:szCs w:val="16"/>
        </w:rPr>
        <w:t xml:space="preserve">ee </w:t>
      </w:r>
      <w:hyperlink r:id="rId2" w:history="1">
        <w:r w:rsidRPr="00CC22A0" w:rsidR="00CC22A0">
          <w:rPr>
            <w:rStyle w:val="Hyperlink"/>
            <w:sz w:val="16"/>
            <w:szCs w:val="16"/>
          </w:rPr>
          <w:t>2016 Final Rule</w:t>
        </w:r>
      </w:hyperlink>
      <w:r w:rsidRPr="00CC22A0" w:rsidR="00CC22A0">
        <w:rPr>
          <w:sz w:val="16"/>
          <w:szCs w:val="16"/>
        </w:rPr>
        <w:t xml:space="preserve"> </w:t>
      </w:r>
      <w:r w:rsidR="009B5F20">
        <w:rPr>
          <w:sz w:val="16"/>
          <w:szCs w:val="16"/>
        </w:rPr>
        <w:t xml:space="preserve">at </w:t>
      </w:r>
      <w:r w:rsidRPr="00CC22A0" w:rsidR="00D01862">
        <w:rPr>
          <w:sz w:val="16"/>
          <w:szCs w:val="16"/>
        </w:rPr>
        <w:t xml:space="preserve">63935; </w:t>
      </w:r>
      <w:hyperlink r:id="rId4" w:history="1">
        <w:r w:rsidRPr="00CC22A0" w:rsidR="00CC22A0">
          <w:rPr>
            <w:rStyle w:val="Hyperlink"/>
            <w:sz w:val="16"/>
            <w:szCs w:val="16"/>
          </w:rPr>
          <w:t>2019 Final Rule</w:t>
        </w:r>
      </w:hyperlink>
      <w:r w:rsidRPr="00CC22A0" w:rsidR="00CC22A0">
        <w:rPr>
          <w:sz w:val="16"/>
          <w:szCs w:val="16"/>
        </w:rPr>
        <w:t xml:space="preserve"> </w:t>
      </w:r>
      <w:r w:rsidR="009B5F20">
        <w:rPr>
          <w:sz w:val="16"/>
          <w:szCs w:val="16"/>
        </w:rPr>
        <w:t xml:space="preserve">at </w:t>
      </w:r>
      <w:r w:rsidRPr="00CC22A0">
        <w:rPr>
          <w:sz w:val="16"/>
          <w:szCs w:val="16"/>
        </w:rPr>
        <w:t>51757</w:t>
      </w:r>
      <w:r w:rsidRPr="00CC22A0" w:rsidR="00D01862">
        <w:rPr>
          <w:sz w:val="16"/>
          <w:szCs w:val="16"/>
        </w:rPr>
        <w:t>.</w:t>
      </w:r>
    </w:p>
  </w:footnote>
  <w:footnote w:id="21">
    <w:p w:rsidR="008F3334" w:rsidRPr="00405166" w:rsidP="008F3334" w14:paraId="272E2E44" w14:textId="5A9D1BFC">
      <w:pPr>
        <w:widowControl/>
        <w:autoSpaceDE/>
        <w:autoSpaceDN/>
        <w:adjustRightInd/>
        <w:rPr>
          <w:color w:val="1155CC"/>
          <w:sz w:val="18"/>
          <w:szCs w:val="18"/>
          <w:u w:val="single"/>
        </w:rPr>
      </w:pPr>
      <w:r w:rsidRPr="005678D5">
        <w:rPr>
          <w:rStyle w:val="FootnoteReference"/>
          <w:sz w:val="18"/>
          <w:szCs w:val="22"/>
          <w:vertAlign w:val="superscript"/>
        </w:rPr>
        <w:footnoteRef/>
      </w:r>
      <w:r w:rsidRPr="005678D5">
        <w:rPr>
          <w:vertAlign w:val="superscript"/>
        </w:rPr>
        <w:t xml:space="preserve"> </w:t>
      </w:r>
      <w:hyperlink r:id="rId2" w:history="1">
        <w:r w:rsidRPr="00CC22A0">
          <w:rPr>
            <w:rStyle w:val="Hyperlink"/>
            <w:sz w:val="16"/>
            <w:szCs w:val="16"/>
          </w:rPr>
          <w:t>2016 Final Rule</w:t>
        </w:r>
      </w:hyperlink>
      <w:r>
        <w:rPr>
          <w:sz w:val="16"/>
          <w:szCs w:val="16"/>
        </w:rPr>
        <w:t xml:space="preserve"> at</w:t>
      </w:r>
      <w:r w:rsidRPr="00FA21FD">
        <w:rPr>
          <w:color w:val="1155CC"/>
          <w:sz w:val="16"/>
          <w:szCs w:val="16"/>
          <w:u w:val="single"/>
        </w:rPr>
        <w:t xml:space="preserve"> </w:t>
      </w:r>
      <w:r w:rsidR="0007779D">
        <w:rPr>
          <w:color w:val="1155CC"/>
          <w:sz w:val="16"/>
          <w:szCs w:val="16"/>
          <w:u w:val="single"/>
        </w:rPr>
        <w:t xml:space="preserve">63983 (CAHs); </w:t>
      </w:r>
      <w:r w:rsidRPr="0007779D" w:rsidR="0007779D">
        <w:rPr>
          <w:color w:val="1155CC"/>
          <w:sz w:val="16"/>
          <w:szCs w:val="16"/>
          <w:u w:val="single"/>
        </w:rPr>
        <w:t>639</w:t>
      </w:r>
      <w:r w:rsidR="0007779D">
        <w:rPr>
          <w:color w:val="1155CC"/>
          <w:sz w:val="16"/>
          <w:szCs w:val="16"/>
          <w:u w:val="single"/>
        </w:rPr>
        <w:t>6</w:t>
      </w:r>
      <w:r w:rsidRPr="0007779D" w:rsidR="0007779D">
        <w:rPr>
          <w:color w:val="1155CC"/>
          <w:sz w:val="16"/>
          <w:szCs w:val="16"/>
          <w:u w:val="single"/>
        </w:rPr>
        <w:t>0</w:t>
      </w:r>
      <w:r w:rsidR="0007779D">
        <w:rPr>
          <w:color w:val="1155CC"/>
          <w:sz w:val="16"/>
          <w:szCs w:val="16"/>
          <w:u w:val="single"/>
        </w:rPr>
        <w:t xml:space="preserve"> (hospitals). </w:t>
      </w:r>
      <w:r w:rsidR="001F0D44">
        <w:rPr>
          <w:color w:val="1155CC"/>
          <w:sz w:val="16"/>
          <w:szCs w:val="16"/>
          <w:u w:val="single"/>
        </w:rPr>
        <w:t xml:space="preserve">There are no accredited REHs, but if their accreditation is similar to CAHs, they may also be exempt from this information collection. In addition, </w:t>
      </w:r>
      <w:r w:rsidRPr="00FA21FD">
        <w:rPr>
          <w:sz w:val="16"/>
          <w:szCs w:val="16"/>
        </w:rPr>
        <w:t xml:space="preserve">ERSD facilities </w:t>
      </w:r>
      <w:r w:rsidR="001F0D44">
        <w:rPr>
          <w:sz w:val="16"/>
          <w:szCs w:val="16"/>
        </w:rPr>
        <w:t xml:space="preserve">are also </w:t>
      </w:r>
      <w:r w:rsidRPr="00FA21FD" w:rsidR="001F0D44">
        <w:rPr>
          <w:sz w:val="16"/>
          <w:szCs w:val="16"/>
        </w:rPr>
        <w:t xml:space="preserve">exempt per </w:t>
      </w:r>
      <w:r w:rsidR="001F0D44">
        <w:rPr>
          <w:sz w:val="16"/>
          <w:szCs w:val="16"/>
        </w:rPr>
        <w:t>5 CFR §</w:t>
      </w:r>
      <w:r w:rsidRPr="00FA21FD" w:rsidR="001F0D44">
        <w:rPr>
          <w:sz w:val="16"/>
          <w:szCs w:val="16"/>
        </w:rPr>
        <w:t>1320.3(b)(2)</w:t>
      </w:r>
      <w:r w:rsidR="001F0D44">
        <w:rPr>
          <w:sz w:val="16"/>
          <w:szCs w:val="16"/>
        </w:rPr>
        <w:t xml:space="preserve"> because they</w:t>
      </w:r>
      <w:r w:rsidRPr="00FA21FD" w:rsidR="001F0D44">
        <w:rPr>
          <w:sz w:val="16"/>
          <w:szCs w:val="16"/>
        </w:rPr>
        <w:t xml:space="preserve"> </w:t>
      </w:r>
      <w:r w:rsidRPr="00FA21FD">
        <w:rPr>
          <w:sz w:val="16"/>
          <w:szCs w:val="16"/>
        </w:rPr>
        <w:t>must conduct regular testing under other CoPs</w:t>
      </w:r>
      <w:r w:rsidR="0007779D">
        <w:rPr>
          <w:sz w:val="16"/>
          <w:szCs w:val="16"/>
        </w:rPr>
        <w:t xml:space="preserve">, </w:t>
      </w:r>
      <w:r w:rsidRPr="00FA21FD">
        <w:rPr>
          <w:sz w:val="16"/>
          <w:szCs w:val="16"/>
        </w:rPr>
        <w:t xml:space="preserve">See </w:t>
      </w:r>
      <w:hyperlink r:id="rId2" w:history="1">
        <w:r w:rsidRPr="00CC22A0">
          <w:rPr>
            <w:rStyle w:val="Hyperlink"/>
            <w:sz w:val="16"/>
            <w:szCs w:val="16"/>
          </w:rPr>
          <w:t>2016 Final Rule</w:t>
        </w:r>
      </w:hyperlink>
      <w:r>
        <w:rPr>
          <w:sz w:val="16"/>
          <w:szCs w:val="16"/>
        </w:rPr>
        <w:t xml:space="preserve"> at</w:t>
      </w:r>
      <w:r w:rsidRPr="00FA21FD">
        <w:rPr>
          <w:color w:val="1155CC"/>
          <w:sz w:val="16"/>
          <w:szCs w:val="16"/>
          <w:u w:val="single"/>
        </w:rPr>
        <w:t xml:space="preserve"> 64006.</w:t>
      </w:r>
      <w:r w:rsidR="0007779D">
        <w:rPr>
          <w:color w:val="1155CC"/>
          <w:sz w:val="16"/>
          <w:szCs w:val="16"/>
          <w:u w:val="single"/>
        </w:rPr>
        <w:t xml:space="preserve"> </w:t>
      </w:r>
      <w:r w:rsidR="001F0D44">
        <w:rPr>
          <w:color w:val="1155CC"/>
          <w:sz w:val="16"/>
          <w:szCs w:val="16"/>
          <w:u w:val="single"/>
        </w:rPr>
        <w:t xml:space="preserve">Finally, the additional burden of this CoP for </w:t>
      </w:r>
      <w:r w:rsidRPr="0007779D" w:rsidR="0007779D">
        <w:rPr>
          <w:color w:val="1155CC"/>
          <w:sz w:val="16"/>
          <w:szCs w:val="16"/>
          <w:u w:val="single"/>
        </w:rPr>
        <w:t>CORF</w:t>
      </w:r>
      <w:r w:rsidR="0007779D">
        <w:rPr>
          <w:color w:val="1155CC"/>
          <w:sz w:val="16"/>
          <w:szCs w:val="16"/>
          <w:u w:val="single"/>
        </w:rPr>
        <w:t xml:space="preserve"> </w:t>
      </w:r>
      <w:r w:rsidRPr="0007779D" w:rsidR="0007779D">
        <w:rPr>
          <w:color w:val="1155CC"/>
          <w:sz w:val="16"/>
          <w:szCs w:val="16"/>
          <w:u w:val="single"/>
        </w:rPr>
        <w:t>and PT OT organizations</w:t>
      </w:r>
      <w:r w:rsidR="001F0D44">
        <w:rPr>
          <w:color w:val="1155CC"/>
          <w:sz w:val="16"/>
          <w:szCs w:val="16"/>
          <w:u w:val="single"/>
        </w:rPr>
        <w:t xml:space="preserve"> is minimal because they must </w:t>
      </w:r>
      <w:r w:rsidRPr="0007779D" w:rsidR="0007779D">
        <w:rPr>
          <w:color w:val="1155CC"/>
          <w:sz w:val="16"/>
          <w:szCs w:val="16"/>
          <w:u w:val="single"/>
        </w:rPr>
        <w:t>conduct ongoing drills and exercises to test their disaster plans</w:t>
      </w:r>
      <w:r w:rsidR="0007779D">
        <w:rPr>
          <w:color w:val="1155CC"/>
          <w:sz w:val="16"/>
          <w:szCs w:val="16"/>
          <w:u w:val="single"/>
        </w:rPr>
        <w:t xml:space="preserve">. </w:t>
      </w:r>
      <w:hyperlink r:id="rId4" w:history="1">
        <w:r w:rsidRPr="00CC22A0" w:rsidR="0007779D">
          <w:rPr>
            <w:rStyle w:val="Hyperlink"/>
            <w:sz w:val="16"/>
            <w:szCs w:val="16"/>
          </w:rPr>
          <w:t>2019 Final Rule</w:t>
        </w:r>
      </w:hyperlink>
      <w:r w:rsidRPr="00CC22A0" w:rsidR="0007779D">
        <w:rPr>
          <w:sz w:val="16"/>
          <w:szCs w:val="16"/>
        </w:rPr>
        <w:t xml:space="preserve"> </w:t>
      </w:r>
      <w:r w:rsidR="0007779D">
        <w:rPr>
          <w:sz w:val="16"/>
          <w:szCs w:val="16"/>
        </w:rPr>
        <w:t xml:space="preserve">at </w:t>
      </w:r>
      <w:r w:rsidRPr="00CC22A0" w:rsidR="0007779D">
        <w:rPr>
          <w:sz w:val="16"/>
          <w:szCs w:val="16"/>
        </w:rPr>
        <w:t>51802</w:t>
      </w:r>
      <w:r w:rsidR="0007779D">
        <w:rPr>
          <w:sz w:val="16"/>
          <w:szCs w:val="16"/>
        </w:rPr>
        <w:t>.</w:t>
      </w:r>
    </w:p>
  </w:footnote>
  <w:footnote w:id="22">
    <w:p w:rsidR="008F3334" w14:paraId="537766AE" w14:textId="728BF032">
      <w:pPr>
        <w:pStyle w:val="FootnoteText"/>
      </w:pPr>
      <w:r w:rsidRPr="008F3334">
        <w:rPr>
          <w:rStyle w:val="FootnoteReference"/>
          <w:sz w:val="18"/>
          <w:szCs w:val="22"/>
          <w:vertAlign w:val="superscript"/>
        </w:rPr>
        <w:footnoteRef/>
      </w:r>
      <w:r>
        <w:t xml:space="preserve"> </w:t>
      </w:r>
      <w:hyperlink r:id="rId2" w:history="1">
        <w:r w:rsidRPr="00CC22A0">
          <w:rPr>
            <w:rStyle w:val="Hyperlink"/>
            <w:szCs w:val="16"/>
          </w:rPr>
          <w:t>2016 Final Rule</w:t>
        </w:r>
      </w:hyperlink>
      <w:r>
        <w:rPr>
          <w:szCs w:val="16"/>
        </w:rPr>
        <w:t xml:space="preserve"> at</w:t>
      </w:r>
      <w:r w:rsidRPr="00FA21FD">
        <w:rPr>
          <w:color w:val="1155CC"/>
          <w:szCs w:val="16"/>
          <w:u w:val="single"/>
        </w:rPr>
        <w:t xml:space="preserve"> </w:t>
      </w:r>
      <w:r w:rsidR="0007779D">
        <w:rPr>
          <w:color w:val="1155CC"/>
          <w:szCs w:val="16"/>
          <w:u w:val="single"/>
        </w:rPr>
        <w:t>63940 (ASCs); 63973 (HHAs).</w:t>
      </w:r>
    </w:p>
  </w:footnote>
  <w:footnote w:id="23">
    <w:p w:rsidR="003D28C2" w:rsidRPr="00777997" w:rsidP="00777997" w14:paraId="25E04C28" w14:textId="3E8D0DC6">
      <w:pPr>
        <w:pStyle w:val="FootnoteText"/>
        <w:rPr>
          <w:szCs w:val="16"/>
        </w:rPr>
      </w:pPr>
      <w:r w:rsidRPr="00AB3E95">
        <w:rPr>
          <w:rStyle w:val="FootnoteReference"/>
          <w:sz w:val="18"/>
          <w:szCs w:val="22"/>
          <w:vertAlign w:val="superscript"/>
        </w:rPr>
        <w:footnoteRef/>
      </w:r>
      <w:r>
        <w:t xml:space="preserve"> </w:t>
      </w:r>
      <w:hyperlink r:id="rId2" w:history="1">
        <w:r w:rsidRPr="00CC22A0" w:rsidR="00777997">
          <w:rPr>
            <w:rStyle w:val="Hyperlink"/>
            <w:szCs w:val="16"/>
          </w:rPr>
          <w:t>2016 Final Rule</w:t>
        </w:r>
      </w:hyperlink>
      <w:r w:rsidR="00815239">
        <w:rPr>
          <w:szCs w:val="16"/>
        </w:rPr>
        <w:t xml:space="preserve"> at</w:t>
      </w:r>
      <w:r w:rsidRPr="00CC22A0" w:rsidR="00777997">
        <w:rPr>
          <w:szCs w:val="16"/>
        </w:rPr>
        <w:t xml:space="preserve"> 639</w:t>
      </w:r>
      <w:r w:rsidR="00777997">
        <w:rPr>
          <w:szCs w:val="16"/>
        </w:rPr>
        <w:t>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B3FAD"/>
    <w:multiLevelType w:val="hybridMultilevel"/>
    <w:tmpl w:val="1820F778"/>
    <w:lvl w:ilvl="0">
      <w:start w:val="1"/>
      <w:numFmt w:val="bullet"/>
      <w:lvlText w:val=""/>
      <w:lvlJc w:val="left"/>
      <w:pPr>
        <w:ind w:left="1167" w:hanging="360"/>
      </w:pPr>
      <w:rPr>
        <w:rFonts w:ascii="Symbol" w:hAnsi="Symbol" w:hint="default"/>
      </w:rPr>
    </w:lvl>
    <w:lvl w:ilvl="1" w:tentative="1">
      <w:start w:val="1"/>
      <w:numFmt w:val="bullet"/>
      <w:lvlText w:val="o"/>
      <w:lvlJc w:val="left"/>
      <w:pPr>
        <w:ind w:left="1887" w:hanging="360"/>
      </w:pPr>
      <w:rPr>
        <w:rFonts w:ascii="Courier New" w:hAnsi="Courier New" w:cs="Courier New" w:hint="default"/>
      </w:rPr>
    </w:lvl>
    <w:lvl w:ilvl="2" w:tentative="1">
      <w:start w:val="1"/>
      <w:numFmt w:val="bullet"/>
      <w:lvlText w:val=""/>
      <w:lvlJc w:val="left"/>
      <w:pPr>
        <w:ind w:left="2607" w:hanging="360"/>
      </w:pPr>
      <w:rPr>
        <w:rFonts w:ascii="Wingdings" w:hAnsi="Wingdings" w:hint="default"/>
      </w:rPr>
    </w:lvl>
    <w:lvl w:ilvl="3" w:tentative="1">
      <w:start w:val="1"/>
      <w:numFmt w:val="bullet"/>
      <w:lvlText w:val=""/>
      <w:lvlJc w:val="left"/>
      <w:pPr>
        <w:ind w:left="3327" w:hanging="360"/>
      </w:pPr>
      <w:rPr>
        <w:rFonts w:ascii="Symbol" w:hAnsi="Symbol" w:hint="default"/>
      </w:rPr>
    </w:lvl>
    <w:lvl w:ilvl="4" w:tentative="1">
      <w:start w:val="1"/>
      <w:numFmt w:val="bullet"/>
      <w:lvlText w:val="o"/>
      <w:lvlJc w:val="left"/>
      <w:pPr>
        <w:ind w:left="4047" w:hanging="360"/>
      </w:pPr>
      <w:rPr>
        <w:rFonts w:ascii="Courier New" w:hAnsi="Courier New" w:cs="Courier New" w:hint="default"/>
      </w:rPr>
    </w:lvl>
    <w:lvl w:ilvl="5" w:tentative="1">
      <w:start w:val="1"/>
      <w:numFmt w:val="bullet"/>
      <w:lvlText w:val=""/>
      <w:lvlJc w:val="left"/>
      <w:pPr>
        <w:ind w:left="4767" w:hanging="360"/>
      </w:pPr>
      <w:rPr>
        <w:rFonts w:ascii="Wingdings" w:hAnsi="Wingdings" w:hint="default"/>
      </w:rPr>
    </w:lvl>
    <w:lvl w:ilvl="6" w:tentative="1">
      <w:start w:val="1"/>
      <w:numFmt w:val="bullet"/>
      <w:lvlText w:val=""/>
      <w:lvlJc w:val="left"/>
      <w:pPr>
        <w:ind w:left="5487" w:hanging="360"/>
      </w:pPr>
      <w:rPr>
        <w:rFonts w:ascii="Symbol" w:hAnsi="Symbol" w:hint="default"/>
      </w:rPr>
    </w:lvl>
    <w:lvl w:ilvl="7" w:tentative="1">
      <w:start w:val="1"/>
      <w:numFmt w:val="bullet"/>
      <w:lvlText w:val="o"/>
      <w:lvlJc w:val="left"/>
      <w:pPr>
        <w:ind w:left="6207" w:hanging="360"/>
      </w:pPr>
      <w:rPr>
        <w:rFonts w:ascii="Courier New" w:hAnsi="Courier New" w:cs="Courier New" w:hint="default"/>
      </w:rPr>
    </w:lvl>
    <w:lvl w:ilvl="8" w:tentative="1">
      <w:start w:val="1"/>
      <w:numFmt w:val="bullet"/>
      <w:lvlText w:val=""/>
      <w:lvlJc w:val="left"/>
      <w:pPr>
        <w:ind w:left="6927" w:hanging="360"/>
      </w:pPr>
      <w:rPr>
        <w:rFonts w:ascii="Wingdings" w:hAnsi="Wingdings" w:hint="default"/>
      </w:rPr>
    </w:lvl>
  </w:abstractNum>
  <w:abstractNum w:abstractNumId="1">
    <w:nsid w:val="09855BF2"/>
    <w:multiLevelType w:val="hybridMultilevel"/>
    <w:tmpl w:val="18888E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160EC4"/>
    <w:multiLevelType w:val="hybridMultilevel"/>
    <w:tmpl w:val="31167A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6F7670D"/>
    <w:multiLevelType w:val="hybridMultilevel"/>
    <w:tmpl w:val="73AAABD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
    <w:nsid w:val="3CF667CD"/>
    <w:multiLevelType w:val="hybridMultilevel"/>
    <w:tmpl w:val="028CE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1625B5"/>
    <w:multiLevelType w:val="hybridMultilevel"/>
    <w:tmpl w:val="292E413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4A4C0207"/>
    <w:multiLevelType w:val="hybridMultilevel"/>
    <w:tmpl w:val="E09C436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4F7053AF"/>
    <w:multiLevelType w:val="hybridMultilevel"/>
    <w:tmpl w:val="546C0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D01E18"/>
    <w:multiLevelType w:val="hybridMultilevel"/>
    <w:tmpl w:val="EC8C4B3E"/>
    <w:lvl w:ilvl="0">
      <w:start w:val="1"/>
      <w:numFmt w:val="upperLetter"/>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CF5C3D"/>
    <w:multiLevelType w:val="hybridMultilevel"/>
    <w:tmpl w:val="C18CBB16"/>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5D75163F"/>
    <w:multiLevelType w:val="hybridMultilevel"/>
    <w:tmpl w:val="224033B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285381862">
    <w:abstractNumId w:val="5"/>
  </w:num>
  <w:num w:numId="2" w16cid:durableId="1057439015">
    <w:abstractNumId w:val="3"/>
  </w:num>
  <w:num w:numId="3" w16cid:durableId="531187012">
    <w:abstractNumId w:val="0"/>
  </w:num>
  <w:num w:numId="4" w16cid:durableId="922180913">
    <w:abstractNumId w:val="8"/>
  </w:num>
  <w:num w:numId="5" w16cid:durableId="267279474">
    <w:abstractNumId w:val="6"/>
  </w:num>
  <w:num w:numId="6" w16cid:durableId="691105000">
    <w:abstractNumId w:val="4"/>
  </w:num>
  <w:num w:numId="7" w16cid:durableId="2099132229">
    <w:abstractNumId w:val="1"/>
  </w:num>
  <w:num w:numId="8" w16cid:durableId="573010880">
    <w:abstractNumId w:val="9"/>
  </w:num>
  <w:num w:numId="9" w16cid:durableId="1042554136">
    <w:abstractNumId w:val="10"/>
  </w:num>
  <w:num w:numId="10" w16cid:durableId="1342126769">
    <w:abstractNumId w:val="7"/>
  </w:num>
  <w:num w:numId="11" w16cid:durableId="915626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228A"/>
    <w:rsid w:val="0000650A"/>
    <w:rsid w:val="00006EB8"/>
    <w:rsid w:val="0000757D"/>
    <w:rsid w:val="0001179B"/>
    <w:rsid w:val="00012CAB"/>
    <w:rsid w:val="000174BF"/>
    <w:rsid w:val="000174EE"/>
    <w:rsid w:val="00020D74"/>
    <w:rsid w:val="00021776"/>
    <w:rsid w:val="0002183A"/>
    <w:rsid w:val="00022F06"/>
    <w:rsid w:val="00026C64"/>
    <w:rsid w:val="00031DA9"/>
    <w:rsid w:val="00032F6E"/>
    <w:rsid w:val="00033CF8"/>
    <w:rsid w:val="000348D0"/>
    <w:rsid w:val="00037191"/>
    <w:rsid w:val="00037F27"/>
    <w:rsid w:val="000519C8"/>
    <w:rsid w:val="0005673A"/>
    <w:rsid w:val="000619F0"/>
    <w:rsid w:val="00063959"/>
    <w:rsid w:val="00063E1B"/>
    <w:rsid w:val="000677E9"/>
    <w:rsid w:val="00070F26"/>
    <w:rsid w:val="00072AA0"/>
    <w:rsid w:val="000744F7"/>
    <w:rsid w:val="0007779D"/>
    <w:rsid w:val="0008269B"/>
    <w:rsid w:val="000938A3"/>
    <w:rsid w:val="00096687"/>
    <w:rsid w:val="000A000F"/>
    <w:rsid w:val="000A0171"/>
    <w:rsid w:val="000A17D1"/>
    <w:rsid w:val="000A450E"/>
    <w:rsid w:val="000A4ECC"/>
    <w:rsid w:val="000A6644"/>
    <w:rsid w:val="000A6DB5"/>
    <w:rsid w:val="000B14EA"/>
    <w:rsid w:val="000B3C4F"/>
    <w:rsid w:val="000B3DF5"/>
    <w:rsid w:val="000B7C3F"/>
    <w:rsid w:val="000C5361"/>
    <w:rsid w:val="000C5E45"/>
    <w:rsid w:val="000C6BBE"/>
    <w:rsid w:val="000D0519"/>
    <w:rsid w:val="000D11AB"/>
    <w:rsid w:val="000D1676"/>
    <w:rsid w:val="000D5B51"/>
    <w:rsid w:val="000D5FCE"/>
    <w:rsid w:val="000E4BE2"/>
    <w:rsid w:val="000E58DE"/>
    <w:rsid w:val="000F1447"/>
    <w:rsid w:val="000F335A"/>
    <w:rsid w:val="000F3AF4"/>
    <w:rsid w:val="000F742F"/>
    <w:rsid w:val="001016E4"/>
    <w:rsid w:val="00110B70"/>
    <w:rsid w:val="00112A28"/>
    <w:rsid w:val="00114A62"/>
    <w:rsid w:val="0011503B"/>
    <w:rsid w:val="00122DAE"/>
    <w:rsid w:val="0012365F"/>
    <w:rsid w:val="001324FA"/>
    <w:rsid w:val="00132902"/>
    <w:rsid w:val="0013366C"/>
    <w:rsid w:val="0013558B"/>
    <w:rsid w:val="00135755"/>
    <w:rsid w:val="001364C4"/>
    <w:rsid w:val="00136E06"/>
    <w:rsid w:val="00142A85"/>
    <w:rsid w:val="00144756"/>
    <w:rsid w:val="00147115"/>
    <w:rsid w:val="001502D5"/>
    <w:rsid w:val="0015581C"/>
    <w:rsid w:val="001617D0"/>
    <w:rsid w:val="0016537C"/>
    <w:rsid w:val="00166F56"/>
    <w:rsid w:val="00172208"/>
    <w:rsid w:val="00173A2A"/>
    <w:rsid w:val="00174A34"/>
    <w:rsid w:val="0017694B"/>
    <w:rsid w:val="001810C9"/>
    <w:rsid w:val="00183323"/>
    <w:rsid w:val="00184187"/>
    <w:rsid w:val="001864BC"/>
    <w:rsid w:val="0018710A"/>
    <w:rsid w:val="001974EE"/>
    <w:rsid w:val="001A0E87"/>
    <w:rsid w:val="001A0F5B"/>
    <w:rsid w:val="001A1054"/>
    <w:rsid w:val="001A13EB"/>
    <w:rsid w:val="001A202D"/>
    <w:rsid w:val="001A339C"/>
    <w:rsid w:val="001A4274"/>
    <w:rsid w:val="001A4FF0"/>
    <w:rsid w:val="001A5C2E"/>
    <w:rsid w:val="001A6C44"/>
    <w:rsid w:val="001A73F7"/>
    <w:rsid w:val="001B4BF6"/>
    <w:rsid w:val="001B4F20"/>
    <w:rsid w:val="001C163C"/>
    <w:rsid w:val="001C3EE9"/>
    <w:rsid w:val="001C5C5B"/>
    <w:rsid w:val="001D128E"/>
    <w:rsid w:val="001D5CC9"/>
    <w:rsid w:val="001E44CE"/>
    <w:rsid w:val="001E4C6D"/>
    <w:rsid w:val="001F0D44"/>
    <w:rsid w:val="001F1E3F"/>
    <w:rsid w:val="001F2BC0"/>
    <w:rsid w:val="001F3A95"/>
    <w:rsid w:val="001F4FCE"/>
    <w:rsid w:val="001F5474"/>
    <w:rsid w:val="001F5A27"/>
    <w:rsid w:val="001F627B"/>
    <w:rsid w:val="002008CA"/>
    <w:rsid w:val="0020228D"/>
    <w:rsid w:val="00202E4D"/>
    <w:rsid w:val="00206D3B"/>
    <w:rsid w:val="002073FA"/>
    <w:rsid w:val="00212047"/>
    <w:rsid w:val="00212787"/>
    <w:rsid w:val="00221065"/>
    <w:rsid w:val="00225CDB"/>
    <w:rsid w:val="002266BF"/>
    <w:rsid w:val="00232713"/>
    <w:rsid w:val="002329DB"/>
    <w:rsid w:val="00232AE9"/>
    <w:rsid w:val="00233E19"/>
    <w:rsid w:val="00234BC5"/>
    <w:rsid w:val="00234FD2"/>
    <w:rsid w:val="00235735"/>
    <w:rsid w:val="00235902"/>
    <w:rsid w:val="00236992"/>
    <w:rsid w:val="00247D01"/>
    <w:rsid w:val="002514D4"/>
    <w:rsid w:val="00252F55"/>
    <w:rsid w:val="002555AF"/>
    <w:rsid w:val="0026072E"/>
    <w:rsid w:val="00260B06"/>
    <w:rsid w:val="00263536"/>
    <w:rsid w:val="00275504"/>
    <w:rsid w:val="0028570E"/>
    <w:rsid w:val="00290E79"/>
    <w:rsid w:val="002A333C"/>
    <w:rsid w:val="002A5587"/>
    <w:rsid w:val="002A6056"/>
    <w:rsid w:val="002A61C5"/>
    <w:rsid w:val="002B75A9"/>
    <w:rsid w:val="002C000D"/>
    <w:rsid w:val="002D0B63"/>
    <w:rsid w:val="002D3301"/>
    <w:rsid w:val="002E0FCE"/>
    <w:rsid w:val="002E1A1A"/>
    <w:rsid w:val="002E2936"/>
    <w:rsid w:val="002E4260"/>
    <w:rsid w:val="002E5556"/>
    <w:rsid w:val="002E6C49"/>
    <w:rsid w:val="002E7C46"/>
    <w:rsid w:val="002F24E6"/>
    <w:rsid w:val="002F6AE7"/>
    <w:rsid w:val="002F7BC5"/>
    <w:rsid w:val="0030020F"/>
    <w:rsid w:val="0030094E"/>
    <w:rsid w:val="003039A0"/>
    <w:rsid w:val="0030537D"/>
    <w:rsid w:val="00316DE5"/>
    <w:rsid w:val="00321166"/>
    <w:rsid w:val="00321DA0"/>
    <w:rsid w:val="0032408A"/>
    <w:rsid w:val="00325E87"/>
    <w:rsid w:val="003274B7"/>
    <w:rsid w:val="00330064"/>
    <w:rsid w:val="00335AD3"/>
    <w:rsid w:val="0034431F"/>
    <w:rsid w:val="00344616"/>
    <w:rsid w:val="00345F50"/>
    <w:rsid w:val="003463D0"/>
    <w:rsid w:val="00347B77"/>
    <w:rsid w:val="00354B39"/>
    <w:rsid w:val="00361B96"/>
    <w:rsid w:val="00361F1C"/>
    <w:rsid w:val="00361F93"/>
    <w:rsid w:val="00364903"/>
    <w:rsid w:val="003673CA"/>
    <w:rsid w:val="00373049"/>
    <w:rsid w:val="00373305"/>
    <w:rsid w:val="00373370"/>
    <w:rsid w:val="0037725E"/>
    <w:rsid w:val="00381CA0"/>
    <w:rsid w:val="003863E6"/>
    <w:rsid w:val="0039061C"/>
    <w:rsid w:val="00391977"/>
    <w:rsid w:val="0039324F"/>
    <w:rsid w:val="00395A6E"/>
    <w:rsid w:val="003A1C85"/>
    <w:rsid w:val="003A51D3"/>
    <w:rsid w:val="003A5E68"/>
    <w:rsid w:val="003A7DD5"/>
    <w:rsid w:val="003B13B2"/>
    <w:rsid w:val="003B2299"/>
    <w:rsid w:val="003B46A6"/>
    <w:rsid w:val="003B552F"/>
    <w:rsid w:val="003B5F12"/>
    <w:rsid w:val="003B6F5D"/>
    <w:rsid w:val="003B7586"/>
    <w:rsid w:val="003C1535"/>
    <w:rsid w:val="003C1827"/>
    <w:rsid w:val="003C3482"/>
    <w:rsid w:val="003D1BCF"/>
    <w:rsid w:val="003D28C2"/>
    <w:rsid w:val="003D2981"/>
    <w:rsid w:val="003D2D2E"/>
    <w:rsid w:val="003D3561"/>
    <w:rsid w:val="003D405C"/>
    <w:rsid w:val="003D4389"/>
    <w:rsid w:val="003D54E5"/>
    <w:rsid w:val="003D58C6"/>
    <w:rsid w:val="003E4A97"/>
    <w:rsid w:val="003E523C"/>
    <w:rsid w:val="003E797B"/>
    <w:rsid w:val="003F0C9D"/>
    <w:rsid w:val="003F3198"/>
    <w:rsid w:val="003F3606"/>
    <w:rsid w:val="003F49FB"/>
    <w:rsid w:val="00402858"/>
    <w:rsid w:val="004028D4"/>
    <w:rsid w:val="0040346A"/>
    <w:rsid w:val="00405166"/>
    <w:rsid w:val="00405371"/>
    <w:rsid w:val="00410AB1"/>
    <w:rsid w:val="0041264C"/>
    <w:rsid w:val="004172FD"/>
    <w:rsid w:val="00420ECE"/>
    <w:rsid w:val="00422519"/>
    <w:rsid w:val="00426902"/>
    <w:rsid w:val="00431554"/>
    <w:rsid w:val="0043285D"/>
    <w:rsid w:val="00432A97"/>
    <w:rsid w:val="004438D9"/>
    <w:rsid w:val="00443B34"/>
    <w:rsid w:val="00444236"/>
    <w:rsid w:val="00452CAA"/>
    <w:rsid w:val="00455B98"/>
    <w:rsid w:val="0046065A"/>
    <w:rsid w:val="004609CA"/>
    <w:rsid w:val="00463989"/>
    <w:rsid w:val="00464356"/>
    <w:rsid w:val="00472037"/>
    <w:rsid w:val="00473501"/>
    <w:rsid w:val="00474E4B"/>
    <w:rsid w:val="00475CB1"/>
    <w:rsid w:val="00475E5A"/>
    <w:rsid w:val="00482368"/>
    <w:rsid w:val="00486618"/>
    <w:rsid w:val="00490905"/>
    <w:rsid w:val="00492423"/>
    <w:rsid w:val="00492E09"/>
    <w:rsid w:val="00493D37"/>
    <w:rsid w:val="004953BF"/>
    <w:rsid w:val="004A1BDC"/>
    <w:rsid w:val="004A3D5F"/>
    <w:rsid w:val="004A4D42"/>
    <w:rsid w:val="004A610B"/>
    <w:rsid w:val="004A7605"/>
    <w:rsid w:val="004B0E2A"/>
    <w:rsid w:val="004B1527"/>
    <w:rsid w:val="004B27DB"/>
    <w:rsid w:val="004B621B"/>
    <w:rsid w:val="004B74A2"/>
    <w:rsid w:val="004C28B8"/>
    <w:rsid w:val="004D01AF"/>
    <w:rsid w:val="004D0EA3"/>
    <w:rsid w:val="004D2A55"/>
    <w:rsid w:val="004D3470"/>
    <w:rsid w:val="004D4BD5"/>
    <w:rsid w:val="004D4D08"/>
    <w:rsid w:val="004D5289"/>
    <w:rsid w:val="004D6831"/>
    <w:rsid w:val="004E0F52"/>
    <w:rsid w:val="004E1A54"/>
    <w:rsid w:val="004E1F90"/>
    <w:rsid w:val="004E2104"/>
    <w:rsid w:val="004E4C33"/>
    <w:rsid w:val="004E5B98"/>
    <w:rsid w:val="004E7F96"/>
    <w:rsid w:val="004E7FA4"/>
    <w:rsid w:val="004F4CE8"/>
    <w:rsid w:val="004F6692"/>
    <w:rsid w:val="0050114B"/>
    <w:rsid w:val="00504F85"/>
    <w:rsid w:val="005115B5"/>
    <w:rsid w:val="00511839"/>
    <w:rsid w:val="0051245D"/>
    <w:rsid w:val="00512F1C"/>
    <w:rsid w:val="00514E5A"/>
    <w:rsid w:val="00520054"/>
    <w:rsid w:val="00527D0A"/>
    <w:rsid w:val="00530E98"/>
    <w:rsid w:val="005325D2"/>
    <w:rsid w:val="00536038"/>
    <w:rsid w:val="00537562"/>
    <w:rsid w:val="00540999"/>
    <w:rsid w:val="00540D47"/>
    <w:rsid w:val="0054205D"/>
    <w:rsid w:val="00542E34"/>
    <w:rsid w:val="00543734"/>
    <w:rsid w:val="00543E1D"/>
    <w:rsid w:val="00545485"/>
    <w:rsid w:val="0055217A"/>
    <w:rsid w:val="005524DB"/>
    <w:rsid w:val="005555CA"/>
    <w:rsid w:val="00560E4D"/>
    <w:rsid w:val="00561AF4"/>
    <w:rsid w:val="00566BFE"/>
    <w:rsid w:val="005678D5"/>
    <w:rsid w:val="005748F8"/>
    <w:rsid w:val="005749C7"/>
    <w:rsid w:val="005762B8"/>
    <w:rsid w:val="00577E9B"/>
    <w:rsid w:val="00582EC6"/>
    <w:rsid w:val="00586BFD"/>
    <w:rsid w:val="00590BD0"/>
    <w:rsid w:val="00590FBB"/>
    <w:rsid w:val="00591E04"/>
    <w:rsid w:val="00593006"/>
    <w:rsid w:val="00593D86"/>
    <w:rsid w:val="00594C74"/>
    <w:rsid w:val="005958A0"/>
    <w:rsid w:val="00595F7A"/>
    <w:rsid w:val="00596918"/>
    <w:rsid w:val="00597957"/>
    <w:rsid w:val="005A1039"/>
    <w:rsid w:val="005A2657"/>
    <w:rsid w:val="005A64ED"/>
    <w:rsid w:val="005A6F5A"/>
    <w:rsid w:val="005A752F"/>
    <w:rsid w:val="005A7996"/>
    <w:rsid w:val="005A7E91"/>
    <w:rsid w:val="005B04CF"/>
    <w:rsid w:val="005B195D"/>
    <w:rsid w:val="005B1A10"/>
    <w:rsid w:val="005B57FF"/>
    <w:rsid w:val="005B6073"/>
    <w:rsid w:val="005B6607"/>
    <w:rsid w:val="005B6B41"/>
    <w:rsid w:val="005B6C39"/>
    <w:rsid w:val="005B745C"/>
    <w:rsid w:val="005C1F1F"/>
    <w:rsid w:val="005C2CF1"/>
    <w:rsid w:val="005C5984"/>
    <w:rsid w:val="005C5B7D"/>
    <w:rsid w:val="005C5DE3"/>
    <w:rsid w:val="005C734D"/>
    <w:rsid w:val="005D092C"/>
    <w:rsid w:val="005D3133"/>
    <w:rsid w:val="005D3EDE"/>
    <w:rsid w:val="005D5645"/>
    <w:rsid w:val="005E31E8"/>
    <w:rsid w:val="005E3CAF"/>
    <w:rsid w:val="005E58B1"/>
    <w:rsid w:val="005F0F73"/>
    <w:rsid w:val="005F365D"/>
    <w:rsid w:val="005F369B"/>
    <w:rsid w:val="005F397E"/>
    <w:rsid w:val="005F6416"/>
    <w:rsid w:val="006019FE"/>
    <w:rsid w:val="00602629"/>
    <w:rsid w:val="00603A11"/>
    <w:rsid w:val="00603DBD"/>
    <w:rsid w:val="00607404"/>
    <w:rsid w:val="00610C82"/>
    <w:rsid w:val="0061104B"/>
    <w:rsid w:val="00611AAB"/>
    <w:rsid w:val="006210F3"/>
    <w:rsid w:val="0062415B"/>
    <w:rsid w:val="006348AF"/>
    <w:rsid w:val="00636539"/>
    <w:rsid w:val="00640749"/>
    <w:rsid w:val="00643548"/>
    <w:rsid w:val="006442C0"/>
    <w:rsid w:val="006529E8"/>
    <w:rsid w:val="00655AD8"/>
    <w:rsid w:val="006623E6"/>
    <w:rsid w:val="00664891"/>
    <w:rsid w:val="00664DDA"/>
    <w:rsid w:val="0067514B"/>
    <w:rsid w:val="00676CFE"/>
    <w:rsid w:val="006806BD"/>
    <w:rsid w:val="00680D49"/>
    <w:rsid w:val="00682A43"/>
    <w:rsid w:val="006834DE"/>
    <w:rsid w:val="00683B41"/>
    <w:rsid w:val="00683CF7"/>
    <w:rsid w:val="0068608D"/>
    <w:rsid w:val="0069205B"/>
    <w:rsid w:val="006933AD"/>
    <w:rsid w:val="0069712B"/>
    <w:rsid w:val="006A16C6"/>
    <w:rsid w:val="006A72F5"/>
    <w:rsid w:val="006A7EA3"/>
    <w:rsid w:val="006B3F7B"/>
    <w:rsid w:val="006B6024"/>
    <w:rsid w:val="006B7287"/>
    <w:rsid w:val="006B791F"/>
    <w:rsid w:val="006B79C7"/>
    <w:rsid w:val="006C7C7B"/>
    <w:rsid w:val="006D0064"/>
    <w:rsid w:val="006D279A"/>
    <w:rsid w:val="006D3B9E"/>
    <w:rsid w:val="006D40CF"/>
    <w:rsid w:val="006D5D4C"/>
    <w:rsid w:val="006E393B"/>
    <w:rsid w:val="006E3BED"/>
    <w:rsid w:val="006E4E9F"/>
    <w:rsid w:val="006E716B"/>
    <w:rsid w:val="006E7751"/>
    <w:rsid w:val="006E788B"/>
    <w:rsid w:val="006F1770"/>
    <w:rsid w:val="006F7873"/>
    <w:rsid w:val="00701835"/>
    <w:rsid w:val="00702943"/>
    <w:rsid w:val="007033AC"/>
    <w:rsid w:val="007053CC"/>
    <w:rsid w:val="00705F35"/>
    <w:rsid w:val="00710C79"/>
    <w:rsid w:val="007152B6"/>
    <w:rsid w:val="00720C35"/>
    <w:rsid w:val="007234F8"/>
    <w:rsid w:val="007257E7"/>
    <w:rsid w:val="00725EE6"/>
    <w:rsid w:val="007273AF"/>
    <w:rsid w:val="00730469"/>
    <w:rsid w:val="00732226"/>
    <w:rsid w:val="0073250F"/>
    <w:rsid w:val="00732A65"/>
    <w:rsid w:val="00734B00"/>
    <w:rsid w:val="00741315"/>
    <w:rsid w:val="00747769"/>
    <w:rsid w:val="00751311"/>
    <w:rsid w:val="00752FB4"/>
    <w:rsid w:val="00753F94"/>
    <w:rsid w:val="007564FB"/>
    <w:rsid w:val="00756728"/>
    <w:rsid w:val="007577C4"/>
    <w:rsid w:val="0076146C"/>
    <w:rsid w:val="007624C4"/>
    <w:rsid w:val="0076643C"/>
    <w:rsid w:val="007672A3"/>
    <w:rsid w:val="0077039C"/>
    <w:rsid w:val="00771593"/>
    <w:rsid w:val="007771BB"/>
    <w:rsid w:val="00777997"/>
    <w:rsid w:val="00777E31"/>
    <w:rsid w:val="00782F6F"/>
    <w:rsid w:val="00782FF7"/>
    <w:rsid w:val="00783E56"/>
    <w:rsid w:val="00784167"/>
    <w:rsid w:val="0078422A"/>
    <w:rsid w:val="00784C12"/>
    <w:rsid w:val="00785C9B"/>
    <w:rsid w:val="00790185"/>
    <w:rsid w:val="007927DE"/>
    <w:rsid w:val="00792DBE"/>
    <w:rsid w:val="00797377"/>
    <w:rsid w:val="007A3E04"/>
    <w:rsid w:val="007A692A"/>
    <w:rsid w:val="007C0B33"/>
    <w:rsid w:val="007C165F"/>
    <w:rsid w:val="007C1AFF"/>
    <w:rsid w:val="007D1912"/>
    <w:rsid w:val="007D2FBE"/>
    <w:rsid w:val="007D59DD"/>
    <w:rsid w:val="007D5FD8"/>
    <w:rsid w:val="007E1B2C"/>
    <w:rsid w:val="007E6936"/>
    <w:rsid w:val="007F056A"/>
    <w:rsid w:val="007F17E1"/>
    <w:rsid w:val="007F19F3"/>
    <w:rsid w:val="007F21E9"/>
    <w:rsid w:val="007F4E7E"/>
    <w:rsid w:val="007F6C3A"/>
    <w:rsid w:val="0080057B"/>
    <w:rsid w:val="0080082D"/>
    <w:rsid w:val="00806549"/>
    <w:rsid w:val="00815239"/>
    <w:rsid w:val="00817665"/>
    <w:rsid w:val="00817B25"/>
    <w:rsid w:val="00821ECC"/>
    <w:rsid w:val="008241F6"/>
    <w:rsid w:val="00826FA4"/>
    <w:rsid w:val="008300D1"/>
    <w:rsid w:val="00832027"/>
    <w:rsid w:val="00834797"/>
    <w:rsid w:val="008408C4"/>
    <w:rsid w:val="00842189"/>
    <w:rsid w:val="00846667"/>
    <w:rsid w:val="00852913"/>
    <w:rsid w:val="00853354"/>
    <w:rsid w:val="00853DF9"/>
    <w:rsid w:val="008546CF"/>
    <w:rsid w:val="00856B19"/>
    <w:rsid w:val="00861C8E"/>
    <w:rsid w:val="00863BC7"/>
    <w:rsid w:val="00870D59"/>
    <w:rsid w:val="00871EF3"/>
    <w:rsid w:val="0087238A"/>
    <w:rsid w:val="008727D0"/>
    <w:rsid w:val="0087709D"/>
    <w:rsid w:val="00886E07"/>
    <w:rsid w:val="00887234"/>
    <w:rsid w:val="008876AF"/>
    <w:rsid w:val="00890AE0"/>
    <w:rsid w:val="00891D52"/>
    <w:rsid w:val="00893000"/>
    <w:rsid w:val="00896122"/>
    <w:rsid w:val="00896305"/>
    <w:rsid w:val="008968F5"/>
    <w:rsid w:val="008A1272"/>
    <w:rsid w:val="008A7059"/>
    <w:rsid w:val="008B3E8E"/>
    <w:rsid w:val="008B4C71"/>
    <w:rsid w:val="008B604D"/>
    <w:rsid w:val="008B7F63"/>
    <w:rsid w:val="008C01FA"/>
    <w:rsid w:val="008C20B6"/>
    <w:rsid w:val="008C370E"/>
    <w:rsid w:val="008C39A2"/>
    <w:rsid w:val="008D6325"/>
    <w:rsid w:val="008D7275"/>
    <w:rsid w:val="008E1670"/>
    <w:rsid w:val="008E1EA7"/>
    <w:rsid w:val="008E32A7"/>
    <w:rsid w:val="008E34A0"/>
    <w:rsid w:val="008E4227"/>
    <w:rsid w:val="008F1EB4"/>
    <w:rsid w:val="008F2378"/>
    <w:rsid w:val="008F30DD"/>
    <w:rsid w:val="008F3334"/>
    <w:rsid w:val="008F33A2"/>
    <w:rsid w:val="008F3A67"/>
    <w:rsid w:val="008F403B"/>
    <w:rsid w:val="00904715"/>
    <w:rsid w:val="00904F72"/>
    <w:rsid w:val="00906607"/>
    <w:rsid w:val="00910C42"/>
    <w:rsid w:val="00912A95"/>
    <w:rsid w:val="00914449"/>
    <w:rsid w:val="00916816"/>
    <w:rsid w:val="00917023"/>
    <w:rsid w:val="00917BDA"/>
    <w:rsid w:val="00926FF6"/>
    <w:rsid w:val="00927179"/>
    <w:rsid w:val="009307BC"/>
    <w:rsid w:val="009331CE"/>
    <w:rsid w:val="00934B32"/>
    <w:rsid w:val="00936BE1"/>
    <w:rsid w:val="00936CF6"/>
    <w:rsid w:val="00937AA8"/>
    <w:rsid w:val="00940C37"/>
    <w:rsid w:val="00941354"/>
    <w:rsid w:val="00941BCA"/>
    <w:rsid w:val="009440DE"/>
    <w:rsid w:val="00944FFD"/>
    <w:rsid w:val="0094673A"/>
    <w:rsid w:val="0095077B"/>
    <w:rsid w:val="00950E78"/>
    <w:rsid w:val="00953C69"/>
    <w:rsid w:val="00953DC5"/>
    <w:rsid w:val="00953E3F"/>
    <w:rsid w:val="00955BF2"/>
    <w:rsid w:val="009630F5"/>
    <w:rsid w:val="00963255"/>
    <w:rsid w:val="0096379D"/>
    <w:rsid w:val="00977AB7"/>
    <w:rsid w:val="00982E29"/>
    <w:rsid w:val="00983D4D"/>
    <w:rsid w:val="00992126"/>
    <w:rsid w:val="00992EB5"/>
    <w:rsid w:val="00993321"/>
    <w:rsid w:val="009942AF"/>
    <w:rsid w:val="009955EF"/>
    <w:rsid w:val="00997646"/>
    <w:rsid w:val="009978AC"/>
    <w:rsid w:val="009B1279"/>
    <w:rsid w:val="009B4D6B"/>
    <w:rsid w:val="009B4F76"/>
    <w:rsid w:val="009B50AC"/>
    <w:rsid w:val="009B5F20"/>
    <w:rsid w:val="009C156F"/>
    <w:rsid w:val="009D6901"/>
    <w:rsid w:val="009E55FD"/>
    <w:rsid w:val="009E63A9"/>
    <w:rsid w:val="009E6C11"/>
    <w:rsid w:val="009F0550"/>
    <w:rsid w:val="009F081B"/>
    <w:rsid w:val="009F0847"/>
    <w:rsid w:val="009F0AC5"/>
    <w:rsid w:val="009F1249"/>
    <w:rsid w:val="009F3BEE"/>
    <w:rsid w:val="009F773B"/>
    <w:rsid w:val="00A0373A"/>
    <w:rsid w:val="00A052E1"/>
    <w:rsid w:val="00A11B03"/>
    <w:rsid w:val="00A129B5"/>
    <w:rsid w:val="00A14966"/>
    <w:rsid w:val="00A217AB"/>
    <w:rsid w:val="00A22572"/>
    <w:rsid w:val="00A24532"/>
    <w:rsid w:val="00A25E52"/>
    <w:rsid w:val="00A2766E"/>
    <w:rsid w:val="00A33D81"/>
    <w:rsid w:val="00A342C2"/>
    <w:rsid w:val="00A34F65"/>
    <w:rsid w:val="00A40ED6"/>
    <w:rsid w:val="00A40ED7"/>
    <w:rsid w:val="00A427C1"/>
    <w:rsid w:val="00A43B2D"/>
    <w:rsid w:val="00A46CC0"/>
    <w:rsid w:val="00A50C70"/>
    <w:rsid w:val="00A5195B"/>
    <w:rsid w:val="00A55126"/>
    <w:rsid w:val="00A55491"/>
    <w:rsid w:val="00A57963"/>
    <w:rsid w:val="00A65EFC"/>
    <w:rsid w:val="00A74693"/>
    <w:rsid w:val="00A76722"/>
    <w:rsid w:val="00A82B92"/>
    <w:rsid w:val="00A904CF"/>
    <w:rsid w:val="00A9091A"/>
    <w:rsid w:val="00A933E1"/>
    <w:rsid w:val="00A9420D"/>
    <w:rsid w:val="00A94A40"/>
    <w:rsid w:val="00A96A56"/>
    <w:rsid w:val="00A9709C"/>
    <w:rsid w:val="00A971E5"/>
    <w:rsid w:val="00A97A52"/>
    <w:rsid w:val="00AA0385"/>
    <w:rsid w:val="00AA0E04"/>
    <w:rsid w:val="00AA1EE1"/>
    <w:rsid w:val="00AA3087"/>
    <w:rsid w:val="00AA5936"/>
    <w:rsid w:val="00AB0FE2"/>
    <w:rsid w:val="00AB24B4"/>
    <w:rsid w:val="00AB3E95"/>
    <w:rsid w:val="00AB6699"/>
    <w:rsid w:val="00AC57F3"/>
    <w:rsid w:val="00AC6188"/>
    <w:rsid w:val="00AD0E39"/>
    <w:rsid w:val="00AD1553"/>
    <w:rsid w:val="00AD49AE"/>
    <w:rsid w:val="00AD7610"/>
    <w:rsid w:val="00AE4CE9"/>
    <w:rsid w:val="00AE58CD"/>
    <w:rsid w:val="00AE5A18"/>
    <w:rsid w:val="00AF7DF3"/>
    <w:rsid w:val="00B027E2"/>
    <w:rsid w:val="00B03B85"/>
    <w:rsid w:val="00B044A9"/>
    <w:rsid w:val="00B06393"/>
    <w:rsid w:val="00B111D4"/>
    <w:rsid w:val="00B1258E"/>
    <w:rsid w:val="00B12C5D"/>
    <w:rsid w:val="00B12F91"/>
    <w:rsid w:val="00B1302A"/>
    <w:rsid w:val="00B14B5B"/>
    <w:rsid w:val="00B1742F"/>
    <w:rsid w:val="00B20F9E"/>
    <w:rsid w:val="00B25C3E"/>
    <w:rsid w:val="00B265AF"/>
    <w:rsid w:val="00B266B3"/>
    <w:rsid w:val="00B27A5E"/>
    <w:rsid w:val="00B31863"/>
    <w:rsid w:val="00B32E1E"/>
    <w:rsid w:val="00B3529D"/>
    <w:rsid w:val="00B35A23"/>
    <w:rsid w:val="00B36514"/>
    <w:rsid w:val="00B374DD"/>
    <w:rsid w:val="00B4035E"/>
    <w:rsid w:val="00B415FA"/>
    <w:rsid w:val="00B41FAF"/>
    <w:rsid w:val="00B51614"/>
    <w:rsid w:val="00B547F2"/>
    <w:rsid w:val="00B54CEA"/>
    <w:rsid w:val="00B57AB1"/>
    <w:rsid w:val="00B60B26"/>
    <w:rsid w:val="00B6515A"/>
    <w:rsid w:val="00B7092E"/>
    <w:rsid w:val="00B74923"/>
    <w:rsid w:val="00B7556B"/>
    <w:rsid w:val="00B7557D"/>
    <w:rsid w:val="00B765B2"/>
    <w:rsid w:val="00B837DE"/>
    <w:rsid w:val="00B83806"/>
    <w:rsid w:val="00B92CBF"/>
    <w:rsid w:val="00B949D1"/>
    <w:rsid w:val="00BA16D0"/>
    <w:rsid w:val="00BA2E90"/>
    <w:rsid w:val="00BA4753"/>
    <w:rsid w:val="00BB20CA"/>
    <w:rsid w:val="00BB44C2"/>
    <w:rsid w:val="00BB4A4C"/>
    <w:rsid w:val="00BC2BFA"/>
    <w:rsid w:val="00BC3B86"/>
    <w:rsid w:val="00BC5BF6"/>
    <w:rsid w:val="00BC7132"/>
    <w:rsid w:val="00BD0034"/>
    <w:rsid w:val="00BD34E3"/>
    <w:rsid w:val="00BD3E5B"/>
    <w:rsid w:val="00BD53B7"/>
    <w:rsid w:val="00BD75FB"/>
    <w:rsid w:val="00BE1A7C"/>
    <w:rsid w:val="00BE1B0E"/>
    <w:rsid w:val="00BE2E14"/>
    <w:rsid w:val="00BE392E"/>
    <w:rsid w:val="00BE3F14"/>
    <w:rsid w:val="00BE4078"/>
    <w:rsid w:val="00BE5237"/>
    <w:rsid w:val="00BE57A6"/>
    <w:rsid w:val="00BF1CE1"/>
    <w:rsid w:val="00BF59A9"/>
    <w:rsid w:val="00BF7B3C"/>
    <w:rsid w:val="00C00C32"/>
    <w:rsid w:val="00C06C7A"/>
    <w:rsid w:val="00C0795E"/>
    <w:rsid w:val="00C15802"/>
    <w:rsid w:val="00C1666A"/>
    <w:rsid w:val="00C2240D"/>
    <w:rsid w:val="00C2475B"/>
    <w:rsid w:val="00C27EF9"/>
    <w:rsid w:val="00C3039C"/>
    <w:rsid w:val="00C319E3"/>
    <w:rsid w:val="00C32BAD"/>
    <w:rsid w:val="00C35509"/>
    <w:rsid w:val="00C3770B"/>
    <w:rsid w:val="00C37C78"/>
    <w:rsid w:val="00C4489B"/>
    <w:rsid w:val="00C46B7B"/>
    <w:rsid w:val="00C479B5"/>
    <w:rsid w:val="00C50417"/>
    <w:rsid w:val="00C54E16"/>
    <w:rsid w:val="00C556FB"/>
    <w:rsid w:val="00C55866"/>
    <w:rsid w:val="00C5719B"/>
    <w:rsid w:val="00C66F19"/>
    <w:rsid w:val="00C67E31"/>
    <w:rsid w:val="00C74EE8"/>
    <w:rsid w:val="00C81152"/>
    <w:rsid w:val="00C8215B"/>
    <w:rsid w:val="00C84483"/>
    <w:rsid w:val="00C912F3"/>
    <w:rsid w:val="00C91C77"/>
    <w:rsid w:val="00C936AC"/>
    <w:rsid w:val="00C93A23"/>
    <w:rsid w:val="00C942D6"/>
    <w:rsid w:val="00CA15E4"/>
    <w:rsid w:val="00CA187A"/>
    <w:rsid w:val="00CA1EF5"/>
    <w:rsid w:val="00CA2A0B"/>
    <w:rsid w:val="00CA605C"/>
    <w:rsid w:val="00CA6543"/>
    <w:rsid w:val="00CA75D9"/>
    <w:rsid w:val="00CB1479"/>
    <w:rsid w:val="00CB2BBE"/>
    <w:rsid w:val="00CB5B42"/>
    <w:rsid w:val="00CC22A0"/>
    <w:rsid w:val="00CC27F1"/>
    <w:rsid w:val="00CC2E6C"/>
    <w:rsid w:val="00CC5309"/>
    <w:rsid w:val="00CD6B97"/>
    <w:rsid w:val="00CE0796"/>
    <w:rsid w:val="00CE2967"/>
    <w:rsid w:val="00CF11E4"/>
    <w:rsid w:val="00CF1FDC"/>
    <w:rsid w:val="00CF2409"/>
    <w:rsid w:val="00CF3942"/>
    <w:rsid w:val="00CF6A07"/>
    <w:rsid w:val="00D00A2F"/>
    <w:rsid w:val="00D01862"/>
    <w:rsid w:val="00D04EAB"/>
    <w:rsid w:val="00D075E6"/>
    <w:rsid w:val="00D076E1"/>
    <w:rsid w:val="00D1139D"/>
    <w:rsid w:val="00D14B31"/>
    <w:rsid w:val="00D164BA"/>
    <w:rsid w:val="00D21A76"/>
    <w:rsid w:val="00D24F7E"/>
    <w:rsid w:val="00D25D31"/>
    <w:rsid w:val="00D30BB5"/>
    <w:rsid w:val="00D311E6"/>
    <w:rsid w:val="00D3285D"/>
    <w:rsid w:val="00D34F84"/>
    <w:rsid w:val="00D4305E"/>
    <w:rsid w:val="00D45A76"/>
    <w:rsid w:val="00D45D9E"/>
    <w:rsid w:val="00D55363"/>
    <w:rsid w:val="00D55A4C"/>
    <w:rsid w:val="00D55E6C"/>
    <w:rsid w:val="00D57426"/>
    <w:rsid w:val="00D61B7E"/>
    <w:rsid w:val="00D625CC"/>
    <w:rsid w:val="00D65EAF"/>
    <w:rsid w:val="00D66EB8"/>
    <w:rsid w:val="00D704D1"/>
    <w:rsid w:val="00D72EFC"/>
    <w:rsid w:val="00D80209"/>
    <w:rsid w:val="00D83052"/>
    <w:rsid w:val="00D849DF"/>
    <w:rsid w:val="00D86759"/>
    <w:rsid w:val="00D910EC"/>
    <w:rsid w:val="00D94D14"/>
    <w:rsid w:val="00D95615"/>
    <w:rsid w:val="00DA0B04"/>
    <w:rsid w:val="00DA22C6"/>
    <w:rsid w:val="00DA37A7"/>
    <w:rsid w:val="00DA560A"/>
    <w:rsid w:val="00DA5D2A"/>
    <w:rsid w:val="00DB523A"/>
    <w:rsid w:val="00DC4AD9"/>
    <w:rsid w:val="00DD1982"/>
    <w:rsid w:val="00DD5D18"/>
    <w:rsid w:val="00DE236A"/>
    <w:rsid w:val="00DE29FA"/>
    <w:rsid w:val="00DE3D9D"/>
    <w:rsid w:val="00DE3F13"/>
    <w:rsid w:val="00DE4822"/>
    <w:rsid w:val="00DE6EEA"/>
    <w:rsid w:val="00DF35E4"/>
    <w:rsid w:val="00DF3B51"/>
    <w:rsid w:val="00DF5697"/>
    <w:rsid w:val="00E005DA"/>
    <w:rsid w:val="00E00DB8"/>
    <w:rsid w:val="00E10499"/>
    <w:rsid w:val="00E14F42"/>
    <w:rsid w:val="00E15FD6"/>
    <w:rsid w:val="00E20FE1"/>
    <w:rsid w:val="00E21C5F"/>
    <w:rsid w:val="00E21E0C"/>
    <w:rsid w:val="00E223CC"/>
    <w:rsid w:val="00E2247C"/>
    <w:rsid w:val="00E24FED"/>
    <w:rsid w:val="00E30E1E"/>
    <w:rsid w:val="00E35D25"/>
    <w:rsid w:val="00E35E4D"/>
    <w:rsid w:val="00E36AC4"/>
    <w:rsid w:val="00E37C59"/>
    <w:rsid w:val="00E43D69"/>
    <w:rsid w:val="00E45CEC"/>
    <w:rsid w:val="00E46573"/>
    <w:rsid w:val="00E46B5D"/>
    <w:rsid w:val="00E4726E"/>
    <w:rsid w:val="00E479E6"/>
    <w:rsid w:val="00E512D1"/>
    <w:rsid w:val="00E51396"/>
    <w:rsid w:val="00E56366"/>
    <w:rsid w:val="00E57811"/>
    <w:rsid w:val="00E61C8C"/>
    <w:rsid w:val="00E659B4"/>
    <w:rsid w:val="00E6770B"/>
    <w:rsid w:val="00E73320"/>
    <w:rsid w:val="00E74502"/>
    <w:rsid w:val="00E74B2D"/>
    <w:rsid w:val="00E752B8"/>
    <w:rsid w:val="00E76395"/>
    <w:rsid w:val="00E778A9"/>
    <w:rsid w:val="00E824E1"/>
    <w:rsid w:val="00E82FCD"/>
    <w:rsid w:val="00E8382C"/>
    <w:rsid w:val="00E87ED7"/>
    <w:rsid w:val="00E91E75"/>
    <w:rsid w:val="00E940E7"/>
    <w:rsid w:val="00E94650"/>
    <w:rsid w:val="00E95815"/>
    <w:rsid w:val="00E9776F"/>
    <w:rsid w:val="00EA0E27"/>
    <w:rsid w:val="00EA28DE"/>
    <w:rsid w:val="00EA46AB"/>
    <w:rsid w:val="00EA6F92"/>
    <w:rsid w:val="00EA7873"/>
    <w:rsid w:val="00EB1A59"/>
    <w:rsid w:val="00EB2E1F"/>
    <w:rsid w:val="00EB64A4"/>
    <w:rsid w:val="00EC207F"/>
    <w:rsid w:val="00EC2D57"/>
    <w:rsid w:val="00ED0831"/>
    <w:rsid w:val="00ED25AF"/>
    <w:rsid w:val="00ED2B79"/>
    <w:rsid w:val="00ED35DC"/>
    <w:rsid w:val="00ED5796"/>
    <w:rsid w:val="00EE00CC"/>
    <w:rsid w:val="00EE05D3"/>
    <w:rsid w:val="00EE1173"/>
    <w:rsid w:val="00EE51BE"/>
    <w:rsid w:val="00EF1982"/>
    <w:rsid w:val="00EF5D24"/>
    <w:rsid w:val="00EF7441"/>
    <w:rsid w:val="00F003B7"/>
    <w:rsid w:val="00F00AB1"/>
    <w:rsid w:val="00F01511"/>
    <w:rsid w:val="00F0210F"/>
    <w:rsid w:val="00F03863"/>
    <w:rsid w:val="00F10300"/>
    <w:rsid w:val="00F103E3"/>
    <w:rsid w:val="00F11BC1"/>
    <w:rsid w:val="00F1227C"/>
    <w:rsid w:val="00F15DB5"/>
    <w:rsid w:val="00F2184E"/>
    <w:rsid w:val="00F24AA8"/>
    <w:rsid w:val="00F267BC"/>
    <w:rsid w:val="00F303DC"/>
    <w:rsid w:val="00F320B0"/>
    <w:rsid w:val="00F32DF8"/>
    <w:rsid w:val="00F33697"/>
    <w:rsid w:val="00F35F07"/>
    <w:rsid w:val="00F407E9"/>
    <w:rsid w:val="00F40CE9"/>
    <w:rsid w:val="00F437C0"/>
    <w:rsid w:val="00F45D9B"/>
    <w:rsid w:val="00F470C3"/>
    <w:rsid w:val="00F50BD5"/>
    <w:rsid w:val="00F527CD"/>
    <w:rsid w:val="00F54B31"/>
    <w:rsid w:val="00F558E4"/>
    <w:rsid w:val="00F560AB"/>
    <w:rsid w:val="00F62D35"/>
    <w:rsid w:val="00F64148"/>
    <w:rsid w:val="00F652ED"/>
    <w:rsid w:val="00F66BFD"/>
    <w:rsid w:val="00F67AA4"/>
    <w:rsid w:val="00F7309B"/>
    <w:rsid w:val="00F745BB"/>
    <w:rsid w:val="00F82C86"/>
    <w:rsid w:val="00F83579"/>
    <w:rsid w:val="00F83A13"/>
    <w:rsid w:val="00F86481"/>
    <w:rsid w:val="00F912B7"/>
    <w:rsid w:val="00F91C3E"/>
    <w:rsid w:val="00F95E47"/>
    <w:rsid w:val="00FA21FD"/>
    <w:rsid w:val="00FA4E9B"/>
    <w:rsid w:val="00FA5F32"/>
    <w:rsid w:val="00FB2058"/>
    <w:rsid w:val="00FB555D"/>
    <w:rsid w:val="00FB6718"/>
    <w:rsid w:val="00FB7A4F"/>
    <w:rsid w:val="00FC0091"/>
    <w:rsid w:val="00FC31C1"/>
    <w:rsid w:val="00FC3B3D"/>
    <w:rsid w:val="00FC4154"/>
    <w:rsid w:val="00FC5150"/>
    <w:rsid w:val="00FD0FF7"/>
    <w:rsid w:val="00FD1135"/>
    <w:rsid w:val="00FD2619"/>
    <w:rsid w:val="00FD4E9D"/>
    <w:rsid w:val="00FD5001"/>
    <w:rsid w:val="00FD55AF"/>
    <w:rsid w:val="00FE0048"/>
    <w:rsid w:val="00FE0A9B"/>
    <w:rsid w:val="00FE183A"/>
    <w:rsid w:val="00FE6225"/>
    <w:rsid w:val="00FF0421"/>
    <w:rsid w:val="00FF13E7"/>
    <w:rsid w:val="00FF4BEB"/>
    <w:rsid w:val="594C7449"/>
    <w:rsid w:val="65DB9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E0BBB5"/>
  <w15:chartTrackingRefBased/>
  <w15:docId w15:val="{000ACD27-95AE-40E4-AAF4-069BD4BD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54E5"/>
    <w:pPr>
      <w:widowControl w:val="0"/>
      <w:autoSpaceDE w:val="0"/>
      <w:autoSpaceDN w:val="0"/>
      <w:adjustRightInd w:val="0"/>
    </w:pPr>
    <w:rPr>
      <w:szCs w:val="24"/>
    </w:rPr>
  </w:style>
  <w:style w:type="paragraph" w:styleId="Heading1">
    <w:name w:val="heading 1"/>
    <w:basedOn w:val="Normal"/>
    <w:next w:val="Normal"/>
    <w:link w:val="Heading1Char"/>
    <w:qFormat/>
    <w:rsid w:val="003D54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bCs/>
      <w:sz w:val="24"/>
      <w:u w:val="single"/>
    </w:rPr>
  </w:style>
  <w:style w:type="paragraph" w:styleId="Heading2">
    <w:name w:val="heading 2"/>
    <w:basedOn w:val="ListParagraph"/>
    <w:next w:val="Normal"/>
    <w:link w:val="Heading2Char"/>
    <w:unhideWhenUsed/>
    <w:qFormat/>
    <w:rsid w:val="003D54E5"/>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u w:val="single"/>
    </w:rPr>
  </w:style>
  <w:style w:type="paragraph" w:styleId="Heading3">
    <w:name w:val="heading 3"/>
    <w:basedOn w:val="Normal"/>
    <w:next w:val="Normal"/>
    <w:link w:val="Heading3Char"/>
    <w:unhideWhenUsed/>
    <w:qFormat/>
    <w:rsid w:val="00941B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pPr>
    <w:rPr>
      <w:sz w:val="24"/>
    </w:rPr>
  </w:style>
  <w:style w:type="paragraph" w:styleId="Heading4">
    <w:name w:val="heading 4"/>
    <w:basedOn w:val="Normal"/>
    <w:next w:val="Normal"/>
    <w:link w:val="Heading4Char"/>
    <w:unhideWhenUsed/>
    <w:qFormat/>
    <w:rsid w:val="0043155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b/>
      <w:bCs/>
      <w:sz w:val="24"/>
    </w:rPr>
  </w:style>
  <w:style w:type="paragraph" w:styleId="Heading5">
    <w:name w:val="heading 5"/>
    <w:basedOn w:val="Normal"/>
    <w:next w:val="Normal"/>
    <w:link w:val="Heading5Char"/>
    <w:unhideWhenUsed/>
    <w:qFormat/>
    <w:rsid w:val="0043155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b/>
      <w:bCs/>
      <w:sz w:val="24"/>
      <w:u w:val="single"/>
    </w:rPr>
  </w:style>
  <w:style w:type="paragraph" w:styleId="Heading6">
    <w:name w:val="heading 6"/>
    <w:basedOn w:val="Normal"/>
    <w:next w:val="Normal"/>
    <w:link w:val="Heading6Char"/>
    <w:unhideWhenUsed/>
    <w:qFormat/>
    <w:rsid w:val="0043155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olorfulList-Accent11">
    <w:name w:val="Colorful List - Accent 11"/>
    <w:basedOn w:val="Normal"/>
    <w:uiPriority w:val="99"/>
    <w:rsid w:val="00B7556B"/>
    <w:pPr>
      <w:autoSpaceDE/>
      <w:autoSpaceDN/>
      <w:adjustRightInd/>
      <w:ind w:left="720"/>
    </w:pPr>
    <w:rPr>
      <w:rFonts w:ascii="Courier" w:hAnsi="Courier"/>
      <w:sz w:val="24"/>
      <w:szCs w:val="20"/>
    </w:rPr>
  </w:style>
  <w:style w:type="character" w:styleId="HTMLCite">
    <w:name w:val="HTML Cite"/>
    <w:uiPriority w:val="99"/>
    <w:rsid w:val="00B7556B"/>
    <w:rPr>
      <w:rFonts w:cs="Times New Roman"/>
      <w:i/>
      <w:iCs/>
    </w:rPr>
  </w:style>
  <w:style w:type="paragraph" w:styleId="ListParagraph">
    <w:name w:val="List Paragraph"/>
    <w:basedOn w:val="Normal"/>
    <w:uiPriority w:val="34"/>
    <w:qFormat/>
    <w:rsid w:val="00C556FB"/>
    <w:pPr>
      <w:widowControl/>
      <w:autoSpaceDE/>
      <w:autoSpaceDN/>
      <w:adjustRightInd/>
      <w:spacing w:after="200" w:line="276" w:lineRule="auto"/>
      <w:ind w:left="720"/>
      <w:contextualSpacing/>
    </w:pPr>
    <w:rPr>
      <w:rFonts w:eastAsia="Calibri"/>
      <w:snapToGrid w:val="0"/>
      <w:color w:val="000000"/>
      <w:sz w:val="24"/>
    </w:rPr>
  </w:style>
  <w:style w:type="paragraph" w:styleId="BalloonText">
    <w:name w:val="Balloon Text"/>
    <w:basedOn w:val="Normal"/>
    <w:link w:val="BalloonTextChar"/>
    <w:rsid w:val="004B74A2"/>
    <w:rPr>
      <w:rFonts w:ascii="Tahoma" w:hAnsi="Tahoma" w:cs="Tahoma"/>
      <w:sz w:val="16"/>
      <w:szCs w:val="16"/>
    </w:rPr>
  </w:style>
  <w:style w:type="character" w:customStyle="1" w:styleId="BalloonTextChar">
    <w:name w:val="Balloon Text Char"/>
    <w:link w:val="BalloonText"/>
    <w:rsid w:val="004B74A2"/>
    <w:rPr>
      <w:rFonts w:ascii="Tahoma" w:hAnsi="Tahoma" w:cs="Tahoma"/>
      <w:sz w:val="16"/>
      <w:szCs w:val="16"/>
    </w:rPr>
  </w:style>
  <w:style w:type="paragraph" w:styleId="Header">
    <w:name w:val="header"/>
    <w:basedOn w:val="Normal"/>
    <w:link w:val="HeaderChar"/>
    <w:rsid w:val="00CF2409"/>
    <w:pPr>
      <w:tabs>
        <w:tab w:val="center" w:pos="4680"/>
        <w:tab w:val="right" w:pos="9360"/>
      </w:tabs>
    </w:pPr>
  </w:style>
  <w:style w:type="character" w:customStyle="1" w:styleId="HeaderChar">
    <w:name w:val="Header Char"/>
    <w:link w:val="Header"/>
    <w:rsid w:val="00CF2409"/>
    <w:rPr>
      <w:szCs w:val="24"/>
    </w:rPr>
  </w:style>
  <w:style w:type="paragraph" w:styleId="Footer">
    <w:name w:val="footer"/>
    <w:basedOn w:val="Normal"/>
    <w:link w:val="FooterChar"/>
    <w:uiPriority w:val="99"/>
    <w:rsid w:val="00CF2409"/>
    <w:pPr>
      <w:tabs>
        <w:tab w:val="center" w:pos="4680"/>
        <w:tab w:val="right" w:pos="9360"/>
      </w:tabs>
    </w:pPr>
  </w:style>
  <w:style w:type="character" w:customStyle="1" w:styleId="FooterChar">
    <w:name w:val="Footer Char"/>
    <w:link w:val="Footer"/>
    <w:uiPriority w:val="99"/>
    <w:rsid w:val="00CF2409"/>
    <w:rPr>
      <w:szCs w:val="24"/>
    </w:rPr>
  </w:style>
  <w:style w:type="paragraph" w:styleId="Revision">
    <w:name w:val="Revision"/>
    <w:hidden/>
    <w:uiPriority w:val="99"/>
    <w:semiHidden/>
    <w:rsid w:val="003B46A6"/>
    <w:rPr>
      <w:szCs w:val="24"/>
    </w:rPr>
  </w:style>
  <w:style w:type="character" w:styleId="CommentReference">
    <w:name w:val="annotation reference"/>
    <w:rsid w:val="00022F06"/>
    <w:rPr>
      <w:sz w:val="16"/>
      <w:szCs w:val="16"/>
    </w:rPr>
  </w:style>
  <w:style w:type="paragraph" w:styleId="CommentText">
    <w:name w:val="annotation text"/>
    <w:basedOn w:val="Normal"/>
    <w:link w:val="CommentTextChar"/>
    <w:rsid w:val="00022F06"/>
    <w:rPr>
      <w:szCs w:val="20"/>
    </w:rPr>
  </w:style>
  <w:style w:type="character" w:customStyle="1" w:styleId="CommentTextChar">
    <w:name w:val="Comment Text Char"/>
    <w:basedOn w:val="DefaultParagraphFont"/>
    <w:link w:val="CommentText"/>
    <w:rsid w:val="00022F06"/>
  </w:style>
  <w:style w:type="paragraph" w:styleId="CommentSubject">
    <w:name w:val="annotation subject"/>
    <w:basedOn w:val="CommentText"/>
    <w:next w:val="CommentText"/>
    <w:link w:val="CommentSubjectChar"/>
    <w:rsid w:val="00022F06"/>
    <w:rPr>
      <w:b/>
      <w:bCs/>
    </w:rPr>
  </w:style>
  <w:style w:type="character" w:customStyle="1" w:styleId="CommentSubjectChar">
    <w:name w:val="Comment Subject Char"/>
    <w:link w:val="CommentSubject"/>
    <w:rsid w:val="00022F06"/>
    <w:rPr>
      <w:b/>
      <w:bCs/>
    </w:rPr>
  </w:style>
  <w:style w:type="table" w:styleId="TableGrid">
    <w:name w:val="Table Grid"/>
    <w:basedOn w:val="TableNormal"/>
    <w:rsid w:val="002E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3301"/>
    <w:rPr>
      <w:color w:val="0563C1" w:themeColor="hyperlink"/>
      <w:u w:val="single"/>
    </w:rPr>
  </w:style>
  <w:style w:type="character" w:styleId="UnresolvedMention">
    <w:name w:val="Unresolved Mention"/>
    <w:basedOn w:val="DefaultParagraphFont"/>
    <w:uiPriority w:val="99"/>
    <w:semiHidden/>
    <w:unhideWhenUsed/>
    <w:rsid w:val="002D3301"/>
    <w:rPr>
      <w:color w:val="605E5C"/>
      <w:shd w:val="clear" w:color="auto" w:fill="E1DFDD"/>
    </w:rPr>
  </w:style>
  <w:style w:type="table" w:customStyle="1" w:styleId="1">
    <w:name w:val="1"/>
    <w:basedOn w:val="TableNormal"/>
    <w:rsid w:val="00D910EC"/>
    <w:rPr>
      <w:sz w:val="24"/>
      <w:szCs w:val="24"/>
    </w:rPr>
    <w:tblPr>
      <w:tblStyleRowBandSize w:val="1"/>
      <w:tblStyleColBandSize w:val="1"/>
      <w:tblCellMar>
        <w:left w:w="115" w:type="dxa"/>
        <w:right w:w="115" w:type="dxa"/>
      </w:tblCellMar>
    </w:tblPr>
  </w:style>
  <w:style w:type="paragraph" w:customStyle="1" w:styleId="Style0">
    <w:name w:val="Style0"/>
    <w:rsid w:val="002E1A1A"/>
    <w:rPr>
      <w:snapToGrid w:val="0"/>
      <w:sz w:val="24"/>
    </w:rPr>
  </w:style>
  <w:style w:type="paragraph" w:styleId="FootnoteText">
    <w:name w:val="footnote text"/>
    <w:basedOn w:val="Normal"/>
    <w:link w:val="FootnoteTextChar"/>
    <w:qFormat/>
    <w:rsid w:val="001F5474"/>
    <w:rPr>
      <w:sz w:val="16"/>
      <w:szCs w:val="20"/>
    </w:rPr>
  </w:style>
  <w:style w:type="character" w:customStyle="1" w:styleId="FootnoteTextChar">
    <w:name w:val="Footnote Text Char"/>
    <w:basedOn w:val="DefaultParagraphFont"/>
    <w:link w:val="FootnoteText"/>
    <w:rsid w:val="001F5474"/>
    <w:rPr>
      <w:sz w:val="16"/>
    </w:rPr>
  </w:style>
  <w:style w:type="character" w:customStyle="1" w:styleId="Style">
    <w:name w:val="Style"/>
    <w:basedOn w:val="FootnoteReference"/>
    <w:rsid w:val="001F5474"/>
    <w:rPr>
      <w:caps w:val="0"/>
      <w:smallCaps w:val="0"/>
      <w:strike w:val="0"/>
      <w:dstrike w:val="0"/>
      <w:vanish w:val="0"/>
      <w:sz w:val="18"/>
      <w:vertAlign w:val="superscript"/>
    </w:rPr>
  </w:style>
  <w:style w:type="character" w:customStyle="1" w:styleId="StyleFootnoteReference12ptSuperscript">
    <w:name w:val="Style Footnote Reference + 12 pt Superscript"/>
    <w:basedOn w:val="FootnoteReference"/>
    <w:rsid w:val="00212787"/>
    <w:rPr>
      <w:rFonts w:ascii="Times New Roman" w:hAnsi="Times New Roman"/>
      <w:caps w:val="0"/>
      <w:smallCaps w:val="0"/>
      <w:strike w:val="0"/>
      <w:dstrike w:val="0"/>
      <w:vanish w:val="0"/>
      <w:sz w:val="24"/>
      <w:vertAlign w:val="superscript"/>
    </w:rPr>
  </w:style>
  <w:style w:type="character" w:customStyle="1" w:styleId="StyleFootnoteReference12ptBlackSuperscript">
    <w:name w:val="Style Footnote Reference + 12 pt Black Superscript"/>
    <w:basedOn w:val="FootnoteReference"/>
    <w:qFormat/>
    <w:rsid w:val="003D28C2"/>
    <w:rPr>
      <w:color w:val="000000"/>
      <w:vertAlign w:val="superscript"/>
    </w:rPr>
  </w:style>
  <w:style w:type="paragraph" w:customStyle="1" w:styleId="FootnoteReferenceinFooter">
    <w:name w:val="Footnote Reference in Footer"/>
    <w:basedOn w:val="FootnoteText"/>
    <w:link w:val="FootnoteReferenceinFooterChar"/>
    <w:qFormat/>
    <w:rsid w:val="0068608D"/>
    <w:rPr>
      <w:sz w:val="18"/>
      <w:szCs w:val="22"/>
      <w:vertAlign w:val="superscript"/>
    </w:rPr>
  </w:style>
  <w:style w:type="character" w:customStyle="1" w:styleId="FootnoteReferenceinFooterChar">
    <w:name w:val="Footnote Reference in Footer Char"/>
    <w:basedOn w:val="FootnoteTextChar"/>
    <w:link w:val="FootnoteReferenceinFooter"/>
    <w:rsid w:val="0068608D"/>
    <w:rPr>
      <w:sz w:val="18"/>
      <w:szCs w:val="22"/>
      <w:vertAlign w:val="superscript"/>
    </w:rPr>
  </w:style>
  <w:style w:type="character" w:styleId="FollowedHyperlink">
    <w:name w:val="FollowedHyperlink"/>
    <w:basedOn w:val="DefaultParagraphFont"/>
    <w:rsid w:val="00B3529D"/>
    <w:rPr>
      <w:color w:val="954F72" w:themeColor="followedHyperlink"/>
      <w:u w:val="single"/>
    </w:rPr>
  </w:style>
  <w:style w:type="paragraph" w:styleId="Title">
    <w:name w:val="Title"/>
    <w:basedOn w:val="Normal"/>
    <w:next w:val="Normal"/>
    <w:link w:val="TitleChar"/>
    <w:qFormat/>
    <w:rsid w:val="003D5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 w:val="24"/>
      <w:u w:val="single"/>
    </w:rPr>
  </w:style>
  <w:style w:type="character" w:customStyle="1" w:styleId="TitleChar">
    <w:name w:val="Title Char"/>
    <w:basedOn w:val="DefaultParagraphFont"/>
    <w:link w:val="Title"/>
    <w:rsid w:val="003D54E5"/>
    <w:rPr>
      <w:b/>
      <w:bCs/>
      <w:sz w:val="24"/>
      <w:szCs w:val="24"/>
      <w:u w:val="single"/>
    </w:rPr>
  </w:style>
  <w:style w:type="character" w:customStyle="1" w:styleId="Heading1Char">
    <w:name w:val="Heading 1 Char"/>
    <w:basedOn w:val="DefaultParagraphFont"/>
    <w:link w:val="Heading1"/>
    <w:rsid w:val="003D54E5"/>
    <w:rPr>
      <w:b/>
      <w:bCs/>
      <w:sz w:val="24"/>
      <w:szCs w:val="24"/>
      <w:u w:val="single"/>
    </w:rPr>
  </w:style>
  <w:style w:type="character" w:customStyle="1" w:styleId="Heading2Char">
    <w:name w:val="Heading 2 Char"/>
    <w:basedOn w:val="DefaultParagraphFont"/>
    <w:link w:val="Heading2"/>
    <w:rsid w:val="003D54E5"/>
    <w:rPr>
      <w:rFonts w:eastAsia="Calibri"/>
      <w:b/>
      <w:bCs/>
      <w:snapToGrid w:val="0"/>
      <w:color w:val="000000"/>
      <w:sz w:val="24"/>
      <w:szCs w:val="24"/>
      <w:u w:val="single"/>
    </w:rPr>
  </w:style>
  <w:style w:type="character" w:customStyle="1" w:styleId="Heading3Char">
    <w:name w:val="Heading 3 Char"/>
    <w:basedOn w:val="DefaultParagraphFont"/>
    <w:link w:val="Heading3"/>
    <w:rsid w:val="00941BCA"/>
    <w:rPr>
      <w:sz w:val="24"/>
      <w:szCs w:val="24"/>
    </w:rPr>
  </w:style>
  <w:style w:type="character" w:customStyle="1" w:styleId="Heading4Char">
    <w:name w:val="Heading 4 Char"/>
    <w:basedOn w:val="DefaultParagraphFont"/>
    <w:link w:val="Heading4"/>
    <w:rsid w:val="00431554"/>
    <w:rPr>
      <w:b/>
      <w:bCs/>
      <w:sz w:val="24"/>
      <w:szCs w:val="24"/>
    </w:rPr>
  </w:style>
  <w:style w:type="character" w:customStyle="1" w:styleId="Heading5Char">
    <w:name w:val="Heading 5 Char"/>
    <w:basedOn w:val="DefaultParagraphFont"/>
    <w:link w:val="Heading5"/>
    <w:rsid w:val="00431554"/>
    <w:rPr>
      <w:b/>
      <w:bCs/>
      <w:sz w:val="24"/>
      <w:szCs w:val="24"/>
      <w:u w:val="single"/>
    </w:rPr>
  </w:style>
  <w:style w:type="character" w:customStyle="1" w:styleId="Heading6Char">
    <w:name w:val="Heading 6 Char"/>
    <w:basedOn w:val="DefaultParagraphFont"/>
    <w:link w:val="Heading6"/>
    <w:rsid w:val="00431554"/>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16/09/16/2016-21404/medicare-and-medicaid-programs-emergency-preparedness-requirements-for-medicare-and-medicaid" TargetMode="External" /><Relationship Id="rId11" Type="http://schemas.openxmlformats.org/officeDocument/2006/relationships/hyperlink" Target="https://www.federalregister.gov/documents/2018/09/20/2018-19599/medicare-and-medicaid-programs-regulatory-provisions-to-promote-program-efficiency-transparency-and" TargetMode="External" /><Relationship Id="rId12" Type="http://schemas.openxmlformats.org/officeDocument/2006/relationships/hyperlink" Target="https://www.federalregister.gov/documents/2019/09/30/2019-20736/medicare-and-medicaid-programs-regulatory-provisions-to-promote-program-efficiency-transparency-and" TargetMode="External" /><Relationship Id="rId13" Type="http://schemas.openxmlformats.org/officeDocument/2006/relationships/hyperlink" Target="https://www.bls.gov/oes/current/oes_nat.htm"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2/11/23/2022-23918/medicare-program-hospital-outpatient-prospective-payment-and-ambulatory-surgical-center-payment" TargetMode="External" /><Relationship Id="rId2" Type="http://schemas.openxmlformats.org/officeDocument/2006/relationships/hyperlink" Target="https://www.federalregister.gov/documents/2016/09/16/2016-21404/medicare-and-medicaid-programs-emergency-preparedness-requirements-for-medicare-and-medicaid" TargetMode="External" /><Relationship Id="rId3" Type="http://schemas.openxmlformats.org/officeDocument/2006/relationships/hyperlink" Target="https://www.federalregister.gov/documents/2018/09/20/2018-19599/medicare-and-medicaid-programs-regulatory-provisions-to-promote-program-efficiency-transparency-and" TargetMode="External" /><Relationship Id="rId4" Type="http://schemas.openxmlformats.org/officeDocument/2006/relationships/hyperlink" Target="https://www.federalregister.gov/documents/2019/09/30/2019-20736/medicare-and-medicaid-programs-regulatory-provisions-to-promote-program-efficiency-transparency-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11" ma:contentTypeDescription="Create a new document." ma:contentTypeScope="" ma:versionID="b61baa40dfc9c2a29e51138790b8abbe">
  <xsd:schema xmlns:xsd="http://www.w3.org/2001/XMLSchema" xmlns:xs="http://www.w3.org/2001/XMLSchema" xmlns:p="http://schemas.microsoft.com/office/2006/metadata/properties" xmlns:ns2="a2b5d05b-e785-4026-bcf1-aa182d8efbf4" xmlns:ns3="3975cba8-4a57-496a-aa93-d780dacf11e3" targetNamespace="http://schemas.microsoft.com/office/2006/metadata/properties" ma:root="true" ma:fieldsID="5e9fbd4674a39adae747724edef93f82" ns2:_="" ns3:_="">
    <xsd:import namespace="a2b5d05b-e785-4026-bcf1-aa182d8efbf4"/>
    <xsd:import namespace="3975cba8-4a57-496a-aa93-d780dacf11e3"/>
    <xsd:element name="properties">
      <xsd:complexType>
        <xsd:sequence>
          <xsd:element name="documentManagement">
            <xsd:complexType>
              <xsd:all>
                <xsd:element ref="ns2:Providers_x0020__x0026__x0020_Suppli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92622B01-9243-4548-A55E-4D2AF2B33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81CF1-913E-4EAB-A2B4-895D1EB0913A}">
  <ds:schemaRefs>
    <ds:schemaRef ds:uri="http://schemas.microsoft.com/sharepoint/v3/contenttype/forms"/>
  </ds:schemaRefs>
</ds:datastoreItem>
</file>

<file path=customXml/itemProps3.xml><?xml version="1.0" encoding="utf-8"?>
<ds:datastoreItem xmlns:ds="http://schemas.openxmlformats.org/officeDocument/2006/customXml" ds:itemID="{393F5645-8129-447C-B051-C3B2D58B0D5F}">
  <ds:schemaRefs>
    <ds:schemaRef ds:uri="http://schemas.microsoft.com/office/2006/metadata/properties"/>
    <ds:schemaRef ds:uri="http://schemas.microsoft.com/office/infopath/2007/PartnerControls"/>
    <ds:schemaRef ds:uri="a2b5d05b-e785-4026-bcf1-aa182d8efbf4"/>
  </ds:schemaRefs>
</ds:datastoreItem>
</file>

<file path=customXml/itemProps4.xml><?xml version="1.0" encoding="utf-8"?>
<ds:datastoreItem xmlns:ds="http://schemas.openxmlformats.org/officeDocument/2006/customXml" ds:itemID="{D395CB0C-63DE-44C0-93B7-4381D7C4BF36}">
  <ds:schemaRefs>
    <ds:schemaRef ds:uri="http://schemas.openxmlformats.org/officeDocument/2006/bibliography"/>
  </ds:schemaRefs>
</ds:datastoreItem>
</file>

<file path=customXml/itemProps5.xml><?xml version="1.0" encoding="utf-8"?>
<ds:datastoreItem xmlns:ds="http://schemas.openxmlformats.org/officeDocument/2006/customXml" ds:itemID="{060C9DEA-EC0C-4F1D-9696-A90978B9DF5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32</Pages>
  <Words>11393</Words>
  <Characters>70175</Characters>
  <Application>Microsoft Office Word</Application>
  <DocSecurity>0</DocSecurity>
  <Lines>3341</Lines>
  <Paragraphs>2548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9</cp:revision>
  <cp:lastPrinted>2016-10-21T20:50:00Z</cp:lastPrinted>
  <dcterms:created xsi:type="dcterms:W3CDTF">2025-02-26T19:18:00Z</dcterms:created>
  <dcterms:modified xsi:type="dcterms:W3CDTF">2026-02-06T20:06:00Z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er Name">
    <vt:lpwstr/>
  </property>
  <property fmtid="{D5CDD505-2E9C-101B-9397-08002B2CF9AE}" pid="3" name="ContentTypeId">
    <vt:lpwstr>0x010100D61EF2C577E97F43A6F1E68A7AD4EB13</vt:lpwstr>
  </property>
  <property fmtid="{D5CDD505-2E9C-101B-9397-08002B2CF9AE}" pid="4" name="Issue Code">
    <vt:lpwstr/>
  </property>
  <property fmtid="{D5CDD505-2E9C-101B-9397-08002B2CF9AE}" pid="5" name="Provider Type">
    <vt:lpwstr/>
  </property>
  <property fmtid="{D5CDD505-2E9C-101B-9397-08002B2CF9AE}" pid="6" name="_NewReviewCycle">
    <vt:lpwstr/>
  </property>
</Properties>
</file>