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E17A8" w:rsidRPr="00DE17A8" w:rsidP="00615863" w14:paraId="4FC5542D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  <w:b/>
          <w:bCs/>
        </w:rPr>
      </w:pPr>
      <w:r w:rsidRPr="00DE17A8">
        <w:rPr>
          <w:rFonts w:ascii="Times" w:hAnsi="Times"/>
          <w:b/>
          <w:bCs/>
        </w:rPr>
        <w:t>Attachment A</w:t>
      </w:r>
    </w:p>
    <w:p w:rsidR="0049171A" w:rsidP="00615863" w14:paraId="5455150C" w14:textId="47EDC29B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Public Comments Received for CMS-</w:t>
      </w:r>
      <w:r w:rsidR="00DE17A8">
        <w:rPr>
          <w:rFonts w:ascii="Times" w:hAnsi="Times"/>
        </w:rPr>
        <w:t>10</w:t>
      </w:r>
      <w:r w:rsidR="002D666B">
        <w:rPr>
          <w:rFonts w:ascii="Times" w:hAnsi="Times"/>
        </w:rPr>
        <w:t>578</w:t>
      </w:r>
    </w:p>
    <w:p w:rsidR="00615863" w:rsidP="00615863" w14:paraId="5F15562F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 w14:paraId="7829D50C" w14:textId="4E56E12E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F64B33">
        <w:t xml:space="preserve">a total of </w:t>
      </w:r>
      <w:r w:rsidR="00862F69">
        <w:t xml:space="preserve">five (5) </w:t>
      </w:r>
      <w:r w:rsidR="00F64B33">
        <w:t xml:space="preserve">submissions during the public </w:t>
      </w:r>
      <w:r w:rsidR="00862F69">
        <w:t>comment</w:t>
      </w:r>
      <w:r w:rsidR="00F64B33">
        <w:t xml:space="preserve"> period</w:t>
      </w:r>
      <w:r w:rsidR="00862F69">
        <w:t xml:space="preserve"> </w:t>
      </w:r>
      <w:r w:rsidR="00F64B33">
        <w:t xml:space="preserve">from various provider groups and individuals. After careful analysis, CMS identified that these submissions contained two (2) unique comments. This document presents the consolidation of these comments and CMS’s response. </w:t>
      </w:r>
    </w:p>
    <w:p w:rsidR="00B9148E" w:rsidP="00615863" w14:paraId="45E13622" w14:textId="77777777">
      <w:pPr>
        <w:rPr>
          <w:b/>
          <w:u w:val="single"/>
        </w:rPr>
      </w:pPr>
    </w:p>
    <w:p w:rsidR="00A832CE" w:rsidP="00A832CE" w14:paraId="5B96D833" w14:textId="77777777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832CE" w:rsidRPr="00A21042" w:rsidP="00A832CE" w14:paraId="44F0F505" w14:textId="77777777">
      <w:pPr>
        <w:rPr>
          <w:u w:val="single"/>
        </w:rPr>
      </w:pPr>
    </w:p>
    <w:p w:rsidR="00A832CE" w:rsidP="00A832CE" w14:paraId="6AF48825" w14:textId="54782B62">
      <w:r>
        <w:rPr>
          <w:rFonts w:ascii="Times" w:hAnsi="Times"/>
        </w:rPr>
        <w:t>CMS</w:t>
      </w:r>
      <w:r w:rsidRPr="003F3B78">
        <w:rPr>
          <w:rFonts w:ascii="Times" w:hAnsi="Times"/>
        </w:rPr>
        <w:t xml:space="preserve"> received </w:t>
      </w:r>
      <w:r w:rsidR="00F64B33">
        <w:rPr>
          <w:rFonts w:ascii="Times" w:hAnsi="Times"/>
        </w:rPr>
        <w:t>multiple</w:t>
      </w:r>
      <w:r w:rsidR="00261018">
        <w:rPr>
          <w:rFonts w:ascii="Times" w:hAnsi="Times"/>
        </w:rPr>
        <w:t xml:space="preserve"> </w:t>
      </w:r>
      <w:r w:rsidRPr="003F3B78">
        <w:rPr>
          <w:rFonts w:ascii="Times" w:hAnsi="Times"/>
        </w:rPr>
        <w:t>comment</w:t>
      </w:r>
      <w:r w:rsidR="006C1C81">
        <w:rPr>
          <w:rFonts w:ascii="Times" w:hAnsi="Times"/>
        </w:rPr>
        <w:t>s</w:t>
      </w:r>
      <w:r>
        <w:rPr>
          <w:rFonts w:ascii="Times" w:hAnsi="Times"/>
        </w:rPr>
        <w:t xml:space="preserve"> </w:t>
      </w:r>
      <w:r w:rsidR="006C1C81">
        <w:rPr>
          <w:rFonts w:ascii="Times" w:hAnsi="Times"/>
        </w:rPr>
        <w:t xml:space="preserve">from </w:t>
      </w:r>
      <w:r w:rsidR="00261018">
        <w:rPr>
          <w:rFonts w:ascii="Times" w:hAnsi="Times"/>
        </w:rPr>
        <w:t>p</w:t>
      </w:r>
      <w:r w:rsidR="006C1C81">
        <w:rPr>
          <w:rFonts w:ascii="Times" w:hAnsi="Times"/>
        </w:rPr>
        <w:t>rovider</w:t>
      </w:r>
      <w:r w:rsidR="00BA353A">
        <w:rPr>
          <w:rFonts w:ascii="Times" w:hAnsi="Times"/>
        </w:rPr>
        <w:t xml:space="preserve"> groups</w:t>
      </w:r>
      <w:r w:rsidR="006C1C81">
        <w:rPr>
          <w:rFonts w:ascii="Times" w:hAnsi="Times"/>
        </w:rPr>
        <w:t xml:space="preserve"> </w:t>
      </w:r>
      <w:r w:rsidR="00BC0BD1">
        <w:rPr>
          <w:rFonts w:ascii="Times" w:hAnsi="Times"/>
        </w:rPr>
        <w:t xml:space="preserve">objecting </w:t>
      </w:r>
      <w:r w:rsidR="006C1C81">
        <w:rPr>
          <w:rFonts w:ascii="Times" w:hAnsi="Times"/>
        </w:rPr>
        <w:t xml:space="preserve">to the </w:t>
      </w:r>
      <w:r w:rsidR="00F64B33">
        <w:rPr>
          <w:rFonts w:ascii="Times" w:hAnsi="Times"/>
        </w:rPr>
        <w:t xml:space="preserve">regulatory </w:t>
      </w:r>
      <w:r w:rsidR="00BC0BD1">
        <w:rPr>
          <w:rFonts w:ascii="Times" w:hAnsi="Times"/>
        </w:rPr>
        <w:t>burden</w:t>
      </w:r>
      <w:r w:rsidR="006C1C81">
        <w:rPr>
          <w:rFonts w:ascii="Times" w:hAnsi="Times"/>
        </w:rPr>
        <w:t xml:space="preserve"> </w:t>
      </w:r>
      <w:r w:rsidR="003325A8">
        <w:rPr>
          <w:rFonts w:ascii="Times" w:hAnsi="Times"/>
        </w:rPr>
        <w:t>and potential duplication of effort</w:t>
      </w:r>
      <w:r w:rsidR="00F64B33">
        <w:rPr>
          <w:rFonts w:ascii="Times" w:hAnsi="Times"/>
        </w:rPr>
        <w:t>. Specifically,</w:t>
      </w:r>
      <w:r w:rsidR="003325A8">
        <w:rPr>
          <w:rFonts w:ascii="Times" w:hAnsi="Times"/>
        </w:rPr>
        <w:t xml:space="preserve"> </w:t>
      </w:r>
      <w:r w:rsidR="00F64B33">
        <w:rPr>
          <w:rFonts w:ascii="Times" w:hAnsi="Times"/>
        </w:rPr>
        <w:t xml:space="preserve">commentors noted that compliance with </w:t>
      </w:r>
      <w:r w:rsidR="003325A8">
        <w:rPr>
          <w:rFonts w:ascii="Times" w:hAnsi="Times"/>
        </w:rPr>
        <w:t xml:space="preserve">CMS’ </w:t>
      </w:r>
      <w:r w:rsidR="00BC0BD1">
        <w:rPr>
          <w:rFonts w:ascii="Times" w:hAnsi="Times"/>
        </w:rPr>
        <w:t xml:space="preserve">Emergency Preparedness </w:t>
      </w:r>
      <w:r w:rsidR="003325A8">
        <w:rPr>
          <w:rFonts w:ascii="Times" w:hAnsi="Times"/>
        </w:rPr>
        <w:t>requirements</w:t>
      </w:r>
      <w:r w:rsidR="00F64B33">
        <w:rPr>
          <w:rFonts w:ascii="Times" w:hAnsi="Times"/>
        </w:rPr>
        <w:t xml:space="preserve"> may overlap with similar state or local </w:t>
      </w:r>
      <w:r w:rsidR="00850E23">
        <w:rPr>
          <w:rFonts w:ascii="Times" w:hAnsi="Times"/>
        </w:rPr>
        <w:t>mandates, creating redundant obligations</w:t>
      </w:r>
      <w:r w:rsidR="006C1C81">
        <w:rPr>
          <w:rFonts w:ascii="Times" w:hAnsi="Times"/>
        </w:rPr>
        <w:t>.</w:t>
      </w:r>
      <w:r w:rsidR="00BC0BD1">
        <w:rPr>
          <w:rFonts w:ascii="Times" w:hAnsi="Times"/>
        </w:rPr>
        <w:t xml:space="preserve"> </w:t>
      </w:r>
      <w:r w:rsidR="00BC2735">
        <w:rPr>
          <w:rFonts w:ascii="Times" w:hAnsi="Times"/>
        </w:rPr>
        <w:t>The commenter</w:t>
      </w:r>
      <w:r w:rsidR="006C1C81">
        <w:rPr>
          <w:rFonts w:ascii="Times" w:hAnsi="Times"/>
        </w:rPr>
        <w:t>s</w:t>
      </w:r>
      <w:r w:rsidR="00BC2735">
        <w:rPr>
          <w:rFonts w:ascii="Times" w:hAnsi="Times"/>
        </w:rPr>
        <w:t xml:space="preserve"> request</w:t>
      </w:r>
      <w:r w:rsidR="00850E23">
        <w:rPr>
          <w:rFonts w:ascii="Times" w:hAnsi="Times"/>
        </w:rPr>
        <w:t>ed that</w:t>
      </w:r>
      <w:r w:rsidR="00BC2735">
        <w:rPr>
          <w:rFonts w:ascii="Times" w:hAnsi="Times"/>
        </w:rPr>
        <w:t xml:space="preserve"> CMS refrain from adding </w:t>
      </w:r>
      <w:r w:rsidR="00416C61">
        <w:rPr>
          <w:rFonts w:ascii="Times" w:hAnsi="Times"/>
        </w:rPr>
        <w:t xml:space="preserve">to </w:t>
      </w:r>
      <w:r w:rsidR="00850E23">
        <w:rPr>
          <w:rFonts w:ascii="Times" w:hAnsi="Times"/>
        </w:rPr>
        <w:t>existing</w:t>
      </w:r>
      <w:r w:rsidR="00BC2735">
        <w:rPr>
          <w:rFonts w:ascii="Times" w:hAnsi="Times"/>
        </w:rPr>
        <w:t xml:space="preserve"> emergency management requirements.</w:t>
      </w:r>
    </w:p>
    <w:p w:rsidR="00A832CE" w:rsidP="00A832CE" w14:paraId="4217F0A6" w14:textId="77777777">
      <w:pPr>
        <w:rPr>
          <w:rFonts w:ascii="Times" w:hAnsi="Times"/>
        </w:rPr>
      </w:pPr>
    </w:p>
    <w:p w:rsidR="00A832CE" w:rsidP="00A832CE" w14:paraId="2B77D7DD" w14:textId="77777777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832CE" w:rsidP="00A832CE" w14:paraId="2FA0FEAC" w14:textId="77777777">
      <w:pPr>
        <w:rPr>
          <w:b/>
          <w:u w:val="single"/>
        </w:rPr>
      </w:pPr>
    </w:p>
    <w:p w:rsidR="003325A8" w:rsidRPr="00F26A0F" w:rsidP="00B62138" w14:paraId="47E4DEBA" w14:textId="5ADB429F">
      <w:pPr>
        <w:rPr>
          <w:b/>
        </w:rPr>
      </w:pPr>
      <w:r w:rsidRPr="00E41FB1">
        <w:rPr>
          <w:b/>
        </w:rPr>
        <w:t>CMS thanks the commenter</w:t>
      </w:r>
      <w:r>
        <w:rPr>
          <w:b/>
        </w:rPr>
        <w:t>s</w:t>
      </w:r>
      <w:r w:rsidRPr="00E41FB1">
        <w:rPr>
          <w:b/>
        </w:rPr>
        <w:t xml:space="preserve"> for </w:t>
      </w:r>
      <w:r>
        <w:rPr>
          <w:b/>
        </w:rPr>
        <w:t xml:space="preserve">sharing their </w:t>
      </w:r>
      <w:r w:rsidRPr="00A832CE">
        <w:rPr>
          <w:b/>
        </w:rPr>
        <w:t>concern</w:t>
      </w:r>
      <w:r w:rsidR="00850E23">
        <w:rPr>
          <w:b/>
        </w:rPr>
        <w:t>s</w:t>
      </w:r>
      <w:r>
        <w:rPr>
          <w:b/>
        </w:rPr>
        <w:t>.</w:t>
      </w:r>
      <w:r w:rsidRPr="00A832CE">
        <w:rPr>
          <w:b/>
        </w:rPr>
        <w:t xml:space="preserve"> </w:t>
      </w:r>
      <w:r w:rsidR="00BC2735">
        <w:rPr>
          <w:b/>
        </w:rPr>
        <w:t>It is important to clarify that the requirements subject to the Paperwork Reduction Act described herein are not new requirements. These requirements were finalized in 20</w:t>
      </w:r>
      <w:r w:rsidR="00872A06">
        <w:rPr>
          <w:b/>
        </w:rPr>
        <w:t>16, modified in 2019 to reduce burden on all affected providers and suppliers, and continue to be in effect.</w:t>
      </w:r>
      <w:r w:rsidR="00BC2735">
        <w:rPr>
          <w:b/>
        </w:rPr>
        <w:t xml:space="preserve"> </w:t>
      </w:r>
      <w:r w:rsidR="00850E23">
        <w:rPr>
          <w:b/>
        </w:rPr>
        <w:t>A</w:t>
      </w:r>
      <w:r w:rsidRPr="00F26A0F" w:rsidR="00CE154E">
        <w:rPr>
          <w:b/>
        </w:rPr>
        <w:t>ddition</w:t>
      </w:r>
      <w:r w:rsidR="00850E23">
        <w:rPr>
          <w:b/>
        </w:rPr>
        <w:t>ally</w:t>
      </w:r>
      <w:r w:rsidRPr="00F26A0F" w:rsidR="00CE154E">
        <w:rPr>
          <w:b/>
        </w:rPr>
        <w:t xml:space="preserve">, providers can meet </w:t>
      </w:r>
      <w:r w:rsidR="00D03195">
        <w:rPr>
          <w:b/>
        </w:rPr>
        <w:t>these</w:t>
      </w:r>
      <w:r w:rsidRPr="00F26A0F" w:rsidR="00CE154E">
        <w:rPr>
          <w:rFonts w:ascii="Times" w:hAnsi="Times"/>
          <w:b/>
        </w:rPr>
        <w:t xml:space="preserve"> requirements </w:t>
      </w:r>
      <w:r w:rsidR="00850E23">
        <w:rPr>
          <w:rFonts w:ascii="Times" w:hAnsi="Times"/>
          <w:b/>
        </w:rPr>
        <w:t xml:space="preserve">by </w:t>
      </w:r>
      <w:r w:rsidRPr="00F26A0F" w:rsidR="00CE154E">
        <w:rPr>
          <w:rFonts w:ascii="Times" w:hAnsi="Times"/>
          <w:b/>
        </w:rPr>
        <w:t>comply</w:t>
      </w:r>
      <w:r w:rsidR="00850E23">
        <w:rPr>
          <w:rFonts w:ascii="Times" w:hAnsi="Times"/>
          <w:b/>
        </w:rPr>
        <w:t>ing</w:t>
      </w:r>
      <w:r w:rsidRPr="00F26A0F" w:rsidR="00CE154E">
        <w:rPr>
          <w:rFonts w:ascii="Times" w:hAnsi="Times"/>
          <w:b/>
        </w:rPr>
        <w:t xml:space="preserve"> </w:t>
      </w:r>
      <w:r w:rsidRPr="00F26A0F" w:rsidR="00CE154E">
        <w:rPr>
          <w:b/>
        </w:rPr>
        <w:t>with state</w:t>
      </w:r>
      <w:r w:rsidRPr="00F26A0F" w:rsidR="00F26A0F">
        <w:rPr>
          <w:b/>
        </w:rPr>
        <w:t xml:space="preserve"> or local requirements that</w:t>
      </w:r>
      <w:r w:rsidRPr="00F26A0F" w:rsidR="00CE154E">
        <w:rPr>
          <w:b/>
        </w:rPr>
        <w:t xml:space="preserve"> meet or exceed CMS’</w:t>
      </w:r>
      <w:r w:rsidR="00850E23">
        <w:rPr>
          <w:b/>
        </w:rPr>
        <w:t>s</w:t>
      </w:r>
      <w:r w:rsidRPr="00F26A0F" w:rsidR="00CE154E">
        <w:rPr>
          <w:b/>
        </w:rPr>
        <w:t xml:space="preserve"> standards.</w:t>
      </w:r>
    </w:p>
    <w:p w:rsidR="003325A8" w:rsidRPr="00F26A0F" w:rsidP="00B62138" w14:paraId="0FD3BDE2" w14:textId="77777777">
      <w:pPr>
        <w:rPr>
          <w:b/>
        </w:rPr>
      </w:pPr>
    </w:p>
    <w:p w:rsidR="00297085" w:rsidRPr="00AD7DCB" w:rsidP="00AD7DCB" w14:paraId="31F1AC2C" w14:textId="5FBCEAB9">
      <w:pPr>
        <w:rPr>
          <w:b/>
        </w:rPr>
      </w:pPr>
      <w:r>
        <w:rPr>
          <w:b/>
        </w:rPr>
        <w:t xml:space="preserve">At this time, </w:t>
      </w:r>
      <w:r w:rsidRPr="00F26A0F" w:rsidR="00BC2735">
        <w:rPr>
          <w:b/>
        </w:rPr>
        <w:t>CMS is</w:t>
      </w:r>
      <w:r w:rsidR="00261018">
        <w:rPr>
          <w:b/>
        </w:rPr>
        <w:t xml:space="preserve"> only</w:t>
      </w:r>
      <w:r>
        <w:rPr>
          <w:b/>
        </w:rPr>
        <w:t xml:space="preserve"> </w:t>
      </w:r>
      <w:r w:rsidRPr="00F26A0F" w:rsidR="00BC2735">
        <w:rPr>
          <w:b/>
        </w:rPr>
        <w:t xml:space="preserve">reinstating </w:t>
      </w:r>
      <w:r w:rsidRPr="00F26A0F" w:rsidR="00872A06">
        <w:rPr>
          <w:b/>
        </w:rPr>
        <w:t>an expired Paperwork Reduction Act package.</w:t>
      </w:r>
      <w:r>
        <w:rPr>
          <w:rStyle w:val="FootnoteReference"/>
          <w:b/>
        </w:rPr>
        <w:footnoteReference w:id="2"/>
      </w:r>
      <w:r w:rsidR="00F26A0F">
        <w:rPr>
          <w:b/>
        </w:rPr>
        <w:t xml:space="preserve"> </w:t>
      </w:r>
      <w:r w:rsidRPr="00AD7DCB" w:rsidR="00410591">
        <w:rPr>
          <w:b/>
          <w:bCs/>
        </w:rPr>
        <w:t>Any changes to the</w:t>
      </w:r>
      <w:r w:rsidRPr="00AD7DCB" w:rsidR="005E01EC">
        <w:rPr>
          <w:b/>
          <w:bCs/>
        </w:rPr>
        <w:t xml:space="preserve"> </w:t>
      </w:r>
      <w:r w:rsidRPr="00AD7DCB" w:rsidR="0099333F">
        <w:rPr>
          <w:b/>
          <w:bCs/>
        </w:rPr>
        <w:t>current</w:t>
      </w:r>
      <w:r w:rsidRPr="00AD7DCB" w:rsidR="00410591">
        <w:rPr>
          <w:b/>
          <w:bCs/>
        </w:rPr>
        <w:t xml:space="preserve"> Emergency Preparedness Conditions of Participation (CoPs)</w:t>
      </w:r>
      <w:r w:rsidR="00850E23">
        <w:rPr>
          <w:b/>
          <w:bCs/>
        </w:rPr>
        <w:t xml:space="preserve">, </w:t>
      </w:r>
      <w:r w:rsidRPr="00AD7DCB" w:rsidR="00410591">
        <w:rPr>
          <w:b/>
          <w:bCs/>
        </w:rPr>
        <w:t xml:space="preserve">including removing </w:t>
      </w:r>
      <w:r w:rsidRPr="00AD7DCB">
        <w:rPr>
          <w:b/>
          <w:bCs/>
        </w:rPr>
        <w:t>specific</w:t>
      </w:r>
      <w:r w:rsidRPr="00AD7DCB" w:rsidR="00410591">
        <w:rPr>
          <w:b/>
          <w:bCs/>
        </w:rPr>
        <w:t xml:space="preserve"> requirement</w:t>
      </w:r>
      <w:r w:rsidRPr="00AD7DCB">
        <w:rPr>
          <w:b/>
          <w:bCs/>
        </w:rPr>
        <w:t>s</w:t>
      </w:r>
      <w:r w:rsidRPr="00AD7DCB" w:rsidR="00410591">
        <w:rPr>
          <w:b/>
          <w:bCs/>
        </w:rPr>
        <w:t xml:space="preserve"> for Medicare certification</w:t>
      </w:r>
      <w:r w:rsidR="00850E23">
        <w:rPr>
          <w:b/>
          <w:bCs/>
        </w:rPr>
        <w:t xml:space="preserve">, </w:t>
      </w:r>
      <w:r w:rsidRPr="00AD7DCB" w:rsidR="00872A06">
        <w:rPr>
          <w:b/>
          <w:bCs/>
        </w:rPr>
        <w:t xml:space="preserve">would be made through rulemaking, at which time the public would have the opportunity to provide comments on the specific policies. </w:t>
      </w:r>
    </w:p>
    <w:p w:rsidR="00422D86" w:rsidP="00422D86" w14:paraId="2C2B87EF" w14:textId="77777777">
      <w:pPr>
        <w:pStyle w:val="ListParagraph"/>
        <w:ind w:left="360"/>
        <w:rPr>
          <w:b/>
        </w:rPr>
      </w:pPr>
    </w:p>
    <w:p w:rsidR="0077401B" w:rsidRPr="0077401B" w:rsidP="00AD7DCB" w14:paraId="5D89A467" w14:textId="38C22CC6">
      <w:pPr>
        <w:rPr>
          <w:b/>
        </w:rPr>
      </w:pPr>
      <w:r w:rsidRPr="0077401B">
        <w:rPr>
          <w:b/>
          <w:bCs/>
        </w:rPr>
        <w:t>CMS offers the following resources to help providers and suppliers understand the current regulatory requirements</w:t>
      </w:r>
      <w:r w:rsidR="00850E23">
        <w:rPr>
          <w:b/>
          <w:bCs/>
        </w:rPr>
        <w:t xml:space="preserve"> and </w:t>
      </w:r>
      <w:r w:rsidRPr="0077401B">
        <w:rPr>
          <w:b/>
          <w:bCs/>
        </w:rPr>
        <w:t>flexibilities stemming from Emergency Preparedness CoPs:</w:t>
      </w:r>
    </w:p>
    <w:p w:rsidR="0077401B" w:rsidRPr="00410591" w:rsidP="0077401B" w14:paraId="0474FD7B" w14:textId="7EC42481">
      <w:pPr>
        <w:pStyle w:val="ListParagraph"/>
        <w:numPr>
          <w:ilvl w:val="0"/>
          <w:numId w:val="17"/>
        </w:numPr>
      </w:pPr>
      <w:hyperlink r:id="rId6" w:history="1">
        <w:r w:rsidRPr="00EE478E">
          <w:rPr>
            <w:rStyle w:val="Hyperlink"/>
          </w:rPr>
          <w:t>Fact Sheet: CMS Releases Updated Emergency Preparedness Guidance</w:t>
        </w:r>
      </w:hyperlink>
      <w:r>
        <w:rPr>
          <w:rStyle w:val="FootnoteReference"/>
          <w:u w:val="single"/>
        </w:rPr>
        <w:footnoteReference w:id="3"/>
      </w:r>
      <w:r w:rsidRPr="00EE478E">
        <w:t xml:space="preserve">  </w:t>
      </w:r>
      <w:r w:rsidRPr="00410591">
        <w:t xml:space="preserve"> </w:t>
      </w:r>
    </w:p>
    <w:p w:rsidR="0077401B" w:rsidRPr="00EE478E" w:rsidP="00EE478E" w14:paraId="172D070B" w14:textId="0ECB1128">
      <w:pPr>
        <w:pStyle w:val="ListParagraph"/>
        <w:numPr>
          <w:ilvl w:val="0"/>
          <w:numId w:val="17"/>
        </w:numPr>
        <w:rPr>
          <w:u w:val="single"/>
        </w:rPr>
      </w:pPr>
      <w:hyperlink r:id="rId7" w:history="1">
        <w:r w:rsidRPr="00EE478E">
          <w:rPr>
            <w:rStyle w:val="Hyperlink"/>
          </w:rPr>
          <w:t xml:space="preserve">Updated </w:t>
        </w:r>
        <w:r w:rsidRPr="00EE478E">
          <w:rPr>
            <w:rStyle w:val="Hyperlink"/>
          </w:rPr>
          <w:t>Guidance</w:t>
        </w:r>
        <w:r w:rsidRPr="00EE478E">
          <w:rPr>
            <w:rStyle w:val="Hyperlink"/>
          </w:rPr>
          <w:t xml:space="preserve"> for Emergency Preparedness - Appendix Z of State Operations Manual (SOM)</w:t>
        </w:r>
      </w:hyperlink>
      <w:r w:rsidRPr="00EE478E" w:rsidR="00EE478E">
        <w:t>, March 26, 2021</w:t>
      </w:r>
    </w:p>
    <w:p w:rsidR="0077401B" w:rsidP="0077401B" w14:paraId="3573DCAE" w14:textId="200511A9">
      <w:pPr>
        <w:pStyle w:val="ListParagraph"/>
        <w:numPr>
          <w:ilvl w:val="0"/>
          <w:numId w:val="17"/>
        </w:numPr>
      </w:pPr>
      <w:hyperlink r:id="rId8" w:history="1">
        <w:r w:rsidRPr="00422D86">
          <w:rPr>
            <w:rStyle w:val="Hyperlink"/>
          </w:rPr>
          <w:t>Appendix Z of State Operations Manual - Emergency Preparedness for All Provider and Certified Supplier Types Interpretive Guidance</w:t>
        </w:r>
        <w:r w:rsidR="00EE478E">
          <w:rPr>
            <w:rStyle w:val="Hyperlink"/>
          </w:rPr>
          <w:t>, April 16, 2021</w:t>
        </w:r>
      </w:hyperlink>
    </w:p>
    <w:p w:rsidR="001D79D3" w:rsidRPr="00261018" w:rsidP="002D7C6E" w14:paraId="46BBE0DB" w14:textId="4EF1E685">
      <w:pPr>
        <w:pStyle w:val="ListParagraph"/>
        <w:numPr>
          <w:ilvl w:val="0"/>
          <w:numId w:val="17"/>
        </w:numPr>
      </w:pPr>
      <w:hyperlink r:id="rId9" w:anchor="provider-and-supplier-specific-resources" w:history="1">
        <w:r w:rsidRPr="00422D86">
          <w:rPr>
            <w:rStyle w:val="Hyperlink"/>
          </w:rPr>
          <w:t>“Provider and Supplier Specific Resources for Emergency Preparedness Requirements for Medicare and Medicaid Participating Providers and Supplier</w:t>
        </w:r>
        <w:r>
          <w:rPr>
            <w:rStyle w:val="Hyperlink"/>
          </w:rPr>
          <w:t>s (CMS EP Rule)</w:t>
        </w:r>
      </w:hyperlink>
      <w:r>
        <w:t>,</w:t>
      </w:r>
      <w:r w:rsidRPr="00410591">
        <w:t>”</w:t>
      </w:r>
      <w:r w:rsidR="006C1C81">
        <w:t xml:space="preserve"> </w:t>
      </w:r>
      <w:r w:rsidRPr="00410591">
        <w:t>ASPR TRACIE</w:t>
      </w:r>
      <w:r>
        <w:rPr>
          <w:rStyle w:val="FootnoteReference"/>
        </w:rPr>
        <w:footnoteReference w:id="4"/>
      </w:r>
      <w:r w:rsidRPr="00410591">
        <w:t xml:space="preserve"> </w:t>
      </w:r>
    </w:p>
    <w:p w:rsidR="0011045F" w:rsidRPr="00261018" w:rsidP="00261018" w14:paraId="050D2FE3" w14:textId="25E64FB1">
      <w:pPr>
        <w:rPr>
          <w:b/>
        </w:rPr>
      </w:pPr>
      <w:r>
        <w:rPr>
          <w:b/>
          <w:u w:val="single"/>
        </w:rPr>
        <w:br w:type="page"/>
      </w:r>
      <w:r w:rsidRPr="0077401B" w:rsidR="00B35E03">
        <w:rPr>
          <w:b/>
        </w:rPr>
        <w:t xml:space="preserve"> </w:t>
      </w:r>
    </w:p>
    <w:p w:rsidR="00504A75" w:rsidRPr="00A832CE" w:rsidP="00504A75" w14:paraId="4BE95C93" w14:textId="447F762C">
      <w:pPr>
        <w:rPr>
          <w:b/>
          <w:u w:val="single"/>
        </w:rPr>
      </w:pPr>
      <w:r w:rsidRPr="00A832CE">
        <w:rPr>
          <w:b/>
          <w:u w:val="single"/>
        </w:rPr>
        <w:t xml:space="preserve">Comment:  </w:t>
      </w:r>
    </w:p>
    <w:p w:rsidR="00504A75" w:rsidRPr="00A832CE" w:rsidP="00504A75" w14:paraId="52915B07" w14:textId="77777777">
      <w:pPr>
        <w:rPr>
          <w:b/>
          <w:u w:val="single"/>
        </w:rPr>
      </w:pPr>
    </w:p>
    <w:p w:rsidR="00504A75" w:rsidRPr="00A832CE" w:rsidP="00504A75" w14:paraId="2D5DFD67" w14:textId="19624005">
      <w:pPr>
        <w:rPr>
          <w:bCs/>
        </w:rPr>
      </w:pPr>
      <w:r w:rsidRPr="00A832CE">
        <w:rPr>
          <w:bCs/>
        </w:rPr>
        <w:t xml:space="preserve">CMS received </w:t>
      </w:r>
      <w:r w:rsidR="00850E23">
        <w:rPr>
          <w:bCs/>
        </w:rPr>
        <w:t xml:space="preserve">several </w:t>
      </w:r>
      <w:r w:rsidR="00215290">
        <w:rPr>
          <w:bCs/>
        </w:rPr>
        <w:t xml:space="preserve">comments </w:t>
      </w:r>
      <w:r w:rsidR="00BA353A">
        <w:rPr>
          <w:bCs/>
        </w:rPr>
        <w:t xml:space="preserve">from individuals </w:t>
      </w:r>
      <w:r w:rsidR="00850E23">
        <w:rPr>
          <w:bCs/>
        </w:rPr>
        <w:t xml:space="preserve">expressing </w:t>
      </w:r>
      <w:r w:rsidR="00525C81">
        <w:rPr>
          <w:bCs/>
        </w:rPr>
        <w:t xml:space="preserve">support </w:t>
      </w:r>
      <w:r w:rsidR="00850E23">
        <w:rPr>
          <w:bCs/>
        </w:rPr>
        <w:t xml:space="preserve">for </w:t>
      </w:r>
      <w:r w:rsidR="00525C81">
        <w:rPr>
          <w:bCs/>
        </w:rPr>
        <w:t xml:space="preserve">the </w:t>
      </w:r>
      <w:r w:rsidR="00850E23">
        <w:rPr>
          <w:bCs/>
        </w:rPr>
        <w:t>E</w:t>
      </w:r>
      <w:r w:rsidR="00525C81">
        <w:rPr>
          <w:bCs/>
        </w:rPr>
        <w:t xml:space="preserve">mergency </w:t>
      </w:r>
      <w:r w:rsidR="00850E23">
        <w:rPr>
          <w:bCs/>
        </w:rPr>
        <w:t>P</w:t>
      </w:r>
      <w:r w:rsidR="00525C81">
        <w:rPr>
          <w:bCs/>
        </w:rPr>
        <w:t>reparedness requirements</w:t>
      </w:r>
      <w:r w:rsidR="00850E23">
        <w:rPr>
          <w:bCs/>
        </w:rPr>
        <w:t xml:space="preserve">, noting that these requirements </w:t>
      </w:r>
      <w:r w:rsidR="00BA353A">
        <w:rPr>
          <w:bCs/>
        </w:rPr>
        <w:t xml:space="preserve">help ensure </w:t>
      </w:r>
      <w:r w:rsidR="00525C81">
        <w:rPr>
          <w:bCs/>
        </w:rPr>
        <w:t xml:space="preserve">providers </w:t>
      </w:r>
      <w:r w:rsidR="00215290">
        <w:rPr>
          <w:bCs/>
        </w:rPr>
        <w:t xml:space="preserve">are </w:t>
      </w:r>
      <w:r w:rsidR="00850E23">
        <w:rPr>
          <w:bCs/>
        </w:rPr>
        <w:t xml:space="preserve">adequately </w:t>
      </w:r>
      <w:r w:rsidR="00215290">
        <w:rPr>
          <w:bCs/>
        </w:rPr>
        <w:t xml:space="preserve">prepared to respond </w:t>
      </w:r>
      <w:r w:rsidRPr="00525C81" w:rsidR="00525C81">
        <w:rPr>
          <w:bCs/>
        </w:rPr>
        <w:t>during emergencies</w:t>
      </w:r>
      <w:r w:rsidR="00215290">
        <w:rPr>
          <w:bCs/>
        </w:rPr>
        <w:t>.</w:t>
      </w:r>
    </w:p>
    <w:p w:rsidR="00504A75" w:rsidRPr="00A832CE" w:rsidP="00504A75" w14:paraId="09CF1470" w14:textId="77777777">
      <w:pPr>
        <w:rPr>
          <w:b/>
          <w:u w:val="single"/>
        </w:rPr>
      </w:pPr>
    </w:p>
    <w:p w:rsidR="00504A75" w:rsidRPr="00A832CE" w:rsidP="00504A75" w14:paraId="684FD31E" w14:textId="77777777">
      <w:pPr>
        <w:rPr>
          <w:b/>
          <w:u w:val="single"/>
        </w:rPr>
      </w:pPr>
      <w:r w:rsidRPr="00A832CE">
        <w:rPr>
          <w:b/>
          <w:u w:val="single"/>
        </w:rPr>
        <w:t xml:space="preserve">Response:  </w:t>
      </w:r>
    </w:p>
    <w:p w:rsidR="00504A75" w:rsidRPr="00A832CE" w:rsidP="00504A75" w14:paraId="59631C35" w14:textId="77777777">
      <w:pPr>
        <w:rPr>
          <w:b/>
        </w:rPr>
      </w:pPr>
    </w:p>
    <w:p w:rsidR="00215290" w:rsidP="00215290" w14:paraId="4818BD86" w14:textId="68FD9EAE">
      <w:pPr>
        <w:rPr>
          <w:b/>
        </w:rPr>
      </w:pPr>
      <w:r w:rsidRPr="00525C81">
        <w:rPr>
          <w:b/>
        </w:rPr>
        <w:t>CMS thanks the commenter</w:t>
      </w:r>
      <w:r w:rsidR="00DD2C2F">
        <w:rPr>
          <w:b/>
        </w:rPr>
        <w:t xml:space="preserve">s </w:t>
      </w:r>
      <w:r w:rsidRPr="00525C81">
        <w:rPr>
          <w:b/>
        </w:rPr>
        <w:t>and agrees</w:t>
      </w:r>
      <w:r>
        <w:rPr>
          <w:b/>
        </w:rPr>
        <w:t xml:space="preserve"> that </w:t>
      </w:r>
      <w:r w:rsidRPr="009D7DC1">
        <w:rPr>
          <w:b/>
        </w:rPr>
        <w:t xml:space="preserve">the </w:t>
      </w:r>
      <w:r>
        <w:rPr>
          <w:b/>
        </w:rPr>
        <w:t xml:space="preserve">current requirements balance the need </w:t>
      </w:r>
      <w:r w:rsidR="00DD2C2F">
        <w:rPr>
          <w:b/>
        </w:rPr>
        <w:t xml:space="preserve">for accountability and readiness </w:t>
      </w:r>
      <w:r>
        <w:rPr>
          <w:b/>
        </w:rPr>
        <w:t xml:space="preserve">– </w:t>
      </w:r>
      <w:r w:rsidR="00B61EBC">
        <w:rPr>
          <w:b/>
        </w:rPr>
        <w:t>particularly</w:t>
      </w:r>
      <w:r w:rsidR="00850E23">
        <w:rPr>
          <w:b/>
        </w:rPr>
        <w:t xml:space="preserve"> </w:t>
      </w:r>
      <w:r>
        <w:rPr>
          <w:b/>
        </w:rPr>
        <w:t xml:space="preserve">during </w:t>
      </w:r>
      <w:r w:rsidR="00850E23">
        <w:rPr>
          <w:b/>
        </w:rPr>
        <w:t xml:space="preserve">emergency </w:t>
      </w:r>
      <w:r w:rsidR="00B61EBC">
        <w:rPr>
          <w:b/>
        </w:rPr>
        <w:t>situations</w:t>
      </w:r>
      <w:r>
        <w:rPr>
          <w:b/>
        </w:rPr>
        <w:t xml:space="preserve"> – with the </w:t>
      </w:r>
      <w:r w:rsidR="00850E23">
        <w:rPr>
          <w:b/>
        </w:rPr>
        <w:t xml:space="preserve">compliance </w:t>
      </w:r>
      <w:r w:rsidR="00DD2C2F">
        <w:rPr>
          <w:b/>
        </w:rPr>
        <w:t>effort required by</w:t>
      </w:r>
      <w:r>
        <w:rPr>
          <w:b/>
        </w:rPr>
        <w:t xml:space="preserve"> providers.</w:t>
      </w:r>
    </w:p>
    <w:p w:rsidR="00215290" w:rsidP="00504A75" w14:paraId="72ADA47F" w14:textId="77777777">
      <w:pPr>
        <w:rPr>
          <w:b/>
        </w:rPr>
      </w:pPr>
    </w:p>
    <w:p w:rsidR="00215290" w:rsidP="00504A75" w14:paraId="4C17CCCD" w14:textId="77777777">
      <w:pPr>
        <w:rPr>
          <w:b/>
        </w:rPr>
      </w:pPr>
    </w:p>
    <w:p w:rsidR="00504A75" w:rsidP="00A832CE" w14:paraId="73CE4992" w14:textId="77777777">
      <w:pPr>
        <w:rPr>
          <w:b/>
        </w:rPr>
      </w:pPr>
    </w:p>
    <w:p w:rsidR="00A832CE" w:rsidP="00A832CE" w14:paraId="332E5871" w14:textId="77777777">
      <w:pPr>
        <w:rPr>
          <w:b/>
        </w:rPr>
      </w:pPr>
    </w:p>
    <w:p w:rsidR="00A832CE" w:rsidP="00A832CE" w14:paraId="3C27EC98" w14:textId="68D76A5F">
      <w:pPr>
        <w:rPr>
          <w:b/>
          <w:u w:val="single"/>
        </w:rPr>
      </w:pPr>
    </w:p>
    <w:sectPr w:rsidSect="005653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045F" w14:paraId="27AB6A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58386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45F" w14:paraId="03FF2083" w14:textId="3FB82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045F" w14:paraId="25A292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045F" w14:paraId="069B04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D18EA" w:rsidP="000C54F0" w14:paraId="075D92FF" w14:textId="77777777">
      <w:r>
        <w:separator/>
      </w:r>
    </w:p>
  </w:footnote>
  <w:footnote w:type="continuationSeparator" w:id="1">
    <w:p w:rsidR="009D18EA" w:rsidP="000C54F0" w14:paraId="5676CF3E" w14:textId="77777777">
      <w:r>
        <w:continuationSeparator/>
      </w:r>
    </w:p>
  </w:footnote>
  <w:footnote w:id="2">
    <w:p w:rsidR="00F26A0F" w:rsidRPr="00F26A0F" w:rsidP="00F26A0F" w14:paraId="675EB6B2" w14:textId="4907180E">
      <w:pPr>
        <w:pStyle w:val="ListParagraph"/>
        <w:ind w:left="0"/>
        <w:rPr>
          <w:bCs/>
          <w:sz w:val="18"/>
          <w:szCs w:val="18"/>
        </w:rPr>
      </w:pPr>
      <w:r w:rsidRPr="00F26A0F">
        <w:rPr>
          <w:rStyle w:val="FootnoteReference"/>
          <w:sz w:val="20"/>
          <w:szCs w:val="22"/>
        </w:rPr>
        <w:footnoteRef/>
      </w:r>
      <w:r w:rsidRPr="00F26A0F">
        <w:rPr>
          <w:sz w:val="22"/>
          <w:szCs w:val="22"/>
        </w:rPr>
        <w:t xml:space="preserve"> </w:t>
      </w:r>
      <w:r>
        <w:rPr>
          <w:bCs/>
          <w:sz w:val="18"/>
          <w:szCs w:val="18"/>
        </w:rPr>
        <w:t>For more details, see</w:t>
      </w:r>
      <w:r w:rsidRPr="00F26A0F">
        <w:rPr>
          <w:bCs/>
          <w:sz w:val="18"/>
          <w:szCs w:val="18"/>
        </w:rPr>
        <w:t xml:space="preserve"> “</w:t>
      </w:r>
      <w:hyperlink r:id="rId1" w:history="1">
        <w:r w:rsidRPr="00F26A0F">
          <w:rPr>
            <w:rStyle w:val="Hyperlink"/>
            <w:bCs/>
            <w:sz w:val="18"/>
            <w:szCs w:val="18"/>
          </w:rPr>
          <w:t>Supporting Statement for Emergency Preparedness Requirements for Medicare and Medicaid Participating Providers and Suppliers</w:t>
        </w:r>
      </w:hyperlink>
      <w:r>
        <w:rPr>
          <w:bCs/>
          <w:sz w:val="18"/>
          <w:szCs w:val="18"/>
        </w:rPr>
        <w:t>.</w:t>
      </w:r>
      <w:r w:rsidRPr="00F26A0F">
        <w:rPr>
          <w:bCs/>
          <w:sz w:val="18"/>
          <w:szCs w:val="18"/>
        </w:rPr>
        <w:t xml:space="preserve">” </w:t>
      </w:r>
    </w:p>
  </w:footnote>
  <w:footnote w:id="3">
    <w:p w:rsidR="00AD7DCB" w14:paraId="156F3D19" w14:textId="1610CF75">
      <w:pPr>
        <w:pStyle w:val="FootnoteText"/>
      </w:pPr>
      <w:r w:rsidRPr="00F26A0F">
        <w:rPr>
          <w:rStyle w:val="FootnoteReference"/>
          <w:sz w:val="20"/>
          <w:szCs w:val="18"/>
        </w:rPr>
        <w:footnoteRef/>
      </w:r>
      <w:r w:rsidRPr="00F26A0F">
        <w:rPr>
          <w:sz w:val="16"/>
          <w:szCs w:val="18"/>
        </w:rPr>
        <w:t xml:space="preserve"> </w:t>
      </w:r>
      <w:r>
        <w:t xml:space="preserve">Includes summary </w:t>
      </w:r>
      <w:r w:rsidR="006C1C81">
        <w:t xml:space="preserve">of the modifications </w:t>
      </w:r>
      <w:r w:rsidR="00F26A0F">
        <w:t xml:space="preserve">made </w:t>
      </w:r>
      <w:r w:rsidR="006C1C81">
        <w:t>to the Emergency Preparedness requirements</w:t>
      </w:r>
      <w:r w:rsidR="00F26A0F">
        <w:t xml:space="preserve"> by</w:t>
      </w:r>
      <w:r>
        <w:t xml:space="preserve"> </w:t>
      </w:r>
      <w:r w:rsidR="006C1C81">
        <w:t xml:space="preserve">the </w:t>
      </w:r>
      <w:r>
        <w:t>2019</w:t>
      </w:r>
      <w:r w:rsidR="006C1C81">
        <w:t xml:space="preserve"> rule</w:t>
      </w:r>
      <w:r w:rsidRPr="00AD7DCB">
        <w:t xml:space="preserve"> (84 FR 51732)</w:t>
      </w:r>
      <w:r w:rsidR="006C1C81">
        <w:t xml:space="preserve"> to reduce the burden on provider and suppliers.</w:t>
      </w:r>
    </w:p>
  </w:footnote>
  <w:footnote w:id="4">
    <w:p w:rsidR="0077401B" w:rsidP="0077401B" w14:paraId="10A9A4E1" w14:textId="5DC66B09">
      <w:pPr>
        <w:pStyle w:val="FootnoteText"/>
      </w:pPr>
      <w:r w:rsidRPr="00F26A0F">
        <w:rPr>
          <w:rStyle w:val="FootnoteReference"/>
          <w:sz w:val="20"/>
          <w:szCs w:val="18"/>
        </w:rPr>
        <w:footnoteRef/>
      </w:r>
      <w:r w:rsidRPr="00F26A0F">
        <w:rPr>
          <w:sz w:val="16"/>
          <w:szCs w:val="18"/>
        </w:rPr>
        <w:t xml:space="preserve"> </w:t>
      </w:r>
      <w:r>
        <w:t xml:space="preserve">Source: </w:t>
      </w:r>
      <w:r w:rsidR="003A7C91">
        <w:t>“</w:t>
      </w:r>
      <w:r w:rsidRPr="003A7C91" w:rsidR="003A7C91">
        <w:t>Emergency Preparedness Requirements for Medicare and Medicaid Participating Providers and Suppliers (CMS EP Rule)</w:t>
      </w:r>
      <w:r w:rsidR="003A7C91">
        <w:t xml:space="preserve">,” </w:t>
      </w:r>
      <w:r w:rsidRPr="00410591">
        <w:t>Technical Resources, Assistance Center, and Information Exchange (TRACIE)</w:t>
      </w:r>
      <w:r>
        <w:t xml:space="preserve">, </w:t>
      </w:r>
      <w:r w:rsidRPr="00410591">
        <w:t xml:space="preserve">Administration for Strategic Preparedness and Response (ASPR), </w:t>
      </w:r>
      <w:r w:rsidRPr="003A7C91">
        <w:rPr>
          <w:i/>
          <w:iCs/>
        </w:rPr>
        <w:t>U.S. Department of Health &amp; Human Services</w:t>
      </w:r>
      <w:r w:rsidR="003A7C91">
        <w:t xml:space="preserve">, Accessed on </w:t>
      </w:r>
      <w:r w:rsidR="00261018">
        <w:t>December</w:t>
      </w:r>
      <w:r w:rsidR="003A7C91">
        <w:t xml:space="preserve"> </w:t>
      </w:r>
      <w:r w:rsidR="00261018">
        <w:t>5</w:t>
      </w:r>
      <w:r w:rsidR="003A7C91">
        <w:t xml:space="preserve">, 2025 at: </w:t>
      </w:r>
      <w:hyperlink r:id="rId2" w:history="1">
        <w:r w:rsidRPr="00D071D0" w:rsidR="003A7C91">
          <w:rPr>
            <w:rStyle w:val="Hyperlink"/>
          </w:rPr>
          <w:t>https://asprtracie.hhs.gov/cmsrule</w:t>
        </w:r>
      </w:hyperlink>
      <w:r w:rsidR="003A7C9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045F" w14:paraId="1C324F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045F" w:rsidRPr="00261018" w:rsidP="00261018" w14:paraId="14A96EB0" w14:textId="6D7D6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1045F" w14:paraId="7118D5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B34FCB"/>
    <w:multiLevelType w:val="hybridMultilevel"/>
    <w:tmpl w:val="56C436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6A5E"/>
    <w:multiLevelType w:val="hybridMultilevel"/>
    <w:tmpl w:val="A0BCFD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86479"/>
    <w:multiLevelType w:val="hybridMultilevel"/>
    <w:tmpl w:val="6FE87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5705A"/>
    <w:multiLevelType w:val="multilevel"/>
    <w:tmpl w:val="F912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06BAB"/>
    <w:multiLevelType w:val="hybridMultilevel"/>
    <w:tmpl w:val="5F8CEF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0308A"/>
    <w:multiLevelType w:val="hybridMultilevel"/>
    <w:tmpl w:val="BED6B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B2C3A"/>
    <w:multiLevelType w:val="hybridMultilevel"/>
    <w:tmpl w:val="D690F51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582500"/>
    <w:multiLevelType w:val="multilevel"/>
    <w:tmpl w:val="6512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F7381C"/>
    <w:multiLevelType w:val="hybridMultilevel"/>
    <w:tmpl w:val="56EC2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241F4"/>
    <w:multiLevelType w:val="hybridMultilevel"/>
    <w:tmpl w:val="AF2CC9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830DF"/>
    <w:multiLevelType w:val="hybridMultilevel"/>
    <w:tmpl w:val="33C21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A0524C"/>
    <w:multiLevelType w:val="hybridMultilevel"/>
    <w:tmpl w:val="D9F2D6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5448FB"/>
    <w:multiLevelType w:val="hybridMultilevel"/>
    <w:tmpl w:val="F0544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E7C4B"/>
    <w:multiLevelType w:val="hybridMultilevel"/>
    <w:tmpl w:val="5F6E9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1E4"/>
    <w:multiLevelType w:val="hybridMultilevel"/>
    <w:tmpl w:val="A42253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7F4F51"/>
    <w:multiLevelType w:val="hybridMultilevel"/>
    <w:tmpl w:val="FC527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5657F"/>
    <w:multiLevelType w:val="hybridMultilevel"/>
    <w:tmpl w:val="829879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D932F0"/>
    <w:multiLevelType w:val="hybridMultilevel"/>
    <w:tmpl w:val="179632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076AF6"/>
    <w:multiLevelType w:val="hybridMultilevel"/>
    <w:tmpl w:val="A42253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3141D"/>
    <w:multiLevelType w:val="hybridMultilevel"/>
    <w:tmpl w:val="8E909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D6D34"/>
    <w:multiLevelType w:val="hybridMultilevel"/>
    <w:tmpl w:val="29142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44C34"/>
    <w:multiLevelType w:val="hybridMultilevel"/>
    <w:tmpl w:val="F9BC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65782">
    <w:abstractNumId w:val="21"/>
  </w:num>
  <w:num w:numId="2" w16cid:durableId="1153446927">
    <w:abstractNumId w:val="19"/>
  </w:num>
  <w:num w:numId="3" w16cid:durableId="1280407673">
    <w:abstractNumId w:val="4"/>
  </w:num>
  <w:num w:numId="4" w16cid:durableId="952057769">
    <w:abstractNumId w:val="16"/>
  </w:num>
  <w:num w:numId="5" w16cid:durableId="816069644">
    <w:abstractNumId w:val="8"/>
  </w:num>
  <w:num w:numId="6" w16cid:durableId="530533033">
    <w:abstractNumId w:val="17"/>
  </w:num>
  <w:num w:numId="7" w16cid:durableId="1188327053">
    <w:abstractNumId w:val="11"/>
  </w:num>
  <w:num w:numId="8" w16cid:durableId="1958412697">
    <w:abstractNumId w:val="25"/>
  </w:num>
  <w:num w:numId="9" w16cid:durableId="1757163519">
    <w:abstractNumId w:val="24"/>
  </w:num>
  <w:num w:numId="10" w16cid:durableId="1070425643">
    <w:abstractNumId w:val="18"/>
  </w:num>
  <w:num w:numId="11" w16cid:durableId="286814899">
    <w:abstractNumId w:val="2"/>
  </w:num>
  <w:num w:numId="12" w16cid:durableId="942028368">
    <w:abstractNumId w:val="23"/>
  </w:num>
  <w:num w:numId="13" w16cid:durableId="1452243102">
    <w:abstractNumId w:val="3"/>
  </w:num>
  <w:num w:numId="14" w16cid:durableId="2146041881">
    <w:abstractNumId w:val="13"/>
  </w:num>
  <w:num w:numId="15" w16cid:durableId="196504050">
    <w:abstractNumId w:val="0"/>
  </w:num>
  <w:num w:numId="16" w16cid:durableId="1067726304">
    <w:abstractNumId w:val="15"/>
  </w:num>
  <w:num w:numId="17" w16cid:durableId="276331502">
    <w:abstractNumId w:val="7"/>
  </w:num>
  <w:num w:numId="18" w16cid:durableId="933586373">
    <w:abstractNumId w:val="22"/>
  </w:num>
  <w:num w:numId="19" w16cid:durableId="1428505486">
    <w:abstractNumId w:val="10"/>
  </w:num>
  <w:num w:numId="20" w16cid:durableId="1157958423">
    <w:abstractNumId w:val="9"/>
  </w:num>
  <w:num w:numId="21" w16cid:durableId="773937383">
    <w:abstractNumId w:val="12"/>
  </w:num>
  <w:num w:numId="22" w16cid:durableId="1536194399">
    <w:abstractNumId w:val="5"/>
  </w:num>
  <w:num w:numId="23" w16cid:durableId="1864972486">
    <w:abstractNumId w:val="1"/>
  </w:num>
  <w:num w:numId="24" w16cid:durableId="1760906972">
    <w:abstractNumId w:val="6"/>
  </w:num>
  <w:num w:numId="25" w16cid:durableId="781993189">
    <w:abstractNumId w:val="14"/>
  </w:num>
  <w:num w:numId="26" w16cid:durableId="17155458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049B2"/>
    <w:rsid w:val="00022281"/>
    <w:rsid w:val="00041A73"/>
    <w:rsid w:val="00041AF4"/>
    <w:rsid w:val="000448F3"/>
    <w:rsid w:val="00044DA8"/>
    <w:rsid w:val="00062854"/>
    <w:rsid w:val="00076096"/>
    <w:rsid w:val="0009537B"/>
    <w:rsid w:val="000C0B26"/>
    <w:rsid w:val="000C5114"/>
    <w:rsid w:val="000C54F0"/>
    <w:rsid w:val="000D1DB6"/>
    <w:rsid w:val="000D6E42"/>
    <w:rsid w:val="000E03DA"/>
    <w:rsid w:val="000E562B"/>
    <w:rsid w:val="000F00F3"/>
    <w:rsid w:val="00101812"/>
    <w:rsid w:val="0011045F"/>
    <w:rsid w:val="00115D8F"/>
    <w:rsid w:val="0013460F"/>
    <w:rsid w:val="001417C9"/>
    <w:rsid w:val="00143012"/>
    <w:rsid w:val="00156E2C"/>
    <w:rsid w:val="0016736B"/>
    <w:rsid w:val="00172F37"/>
    <w:rsid w:val="00177C73"/>
    <w:rsid w:val="001946D4"/>
    <w:rsid w:val="001B2D71"/>
    <w:rsid w:val="001D2211"/>
    <w:rsid w:val="001D29FA"/>
    <w:rsid w:val="001D5836"/>
    <w:rsid w:val="001D79D3"/>
    <w:rsid w:val="001F0311"/>
    <w:rsid w:val="001F4597"/>
    <w:rsid w:val="00201B40"/>
    <w:rsid w:val="00210719"/>
    <w:rsid w:val="00215290"/>
    <w:rsid w:val="00215F01"/>
    <w:rsid w:val="002227E6"/>
    <w:rsid w:val="00261018"/>
    <w:rsid w:val="00262089"/>
    <w:rsid w:val="00271068"/>
    <w:rsid w:val="00287484"/>
    <w:rsid w:val="00294A44"/>
    <w:rsid w:val="00295AA0"/>
    <w:rsid w:val="00297085"/>
    <w:rsid w:val="002A130C"/>
    <w:rsid w:val="002B48C2"/>
    <w:rsid w:val="002D2683"/>
    <w:rsid w:val="002D666B"/>
    <w:rsid w:val="002D7C6E"/>
    <w:rsid w:val="002E27CC"/>
    <w:rsid w:val="0030010D"/>
    <w:rsid w:val="00307A4D"/>
    <w:rsid w:val="00316FAD"/>
    <w:rsid w:val="0032408A"/>
    <w:rsid w:val="003325A8"/>
    <w:rsid w:val="00341DAF"/>
    <w:rsid w:val="00347593"/>
    <w:rsid w:val="00362539"/>
    <w:rsid w:val="00366EA9"/>
    <w:rsid w:val="0037563A"/>
    <w:rsid w:val="00384B8D"/>
    <w:rsid w:val="003963C9"/>
    <w:rsid w:val="003A7A83"/>
    <w:rsid w:val="003A7C91"/>
    <w:rsid w:val="003B765F"/>
    <w:rsid w:val="003D45DD"/>
    <w:rsid w:val="003F3B78"/>
    <w:rsid w:val="003F5C39"/>
    <w:rsid w:val="004042A3"/>
    <w:rsid w:val="00410591"/>
    <w:rsid w:val="00416C61"/>
    <w:rsid w:val="00422D86"/>
    <w:rsid w:val="00432AD7"/>
    <w:rsid w:val="0044222E"/>
    <w:rsid w:val="00445452"/>
    <w:rsid w:val="004459CB"/>
    <w:rsid w:val="00446887"/>
    <w:rsid w:val="004627C5"/>
    <w:rsid w:val="004734A0"/>
    <w:rsid w:val="00475A66"/>
    <w:rsid w:val="00477266"/>
    <w:rsid w:val="00483705"/>
    <w:rsid w:val="0049171A"/>
    <w:rsid w:val="0049187E"/>
    <w:rsid w:val="00494C5B"/>
    <w:rsid w:val="004A6F6D"/>
    <w:rsid w:val="004C2B37"/>
    <w:rsid w:val="004C2F76"/>
    <w:rsid w:val="004D1B75"/>
    <w:rsid w:val="004F356A"/>
    <w:rsid w:val="004F581C"/>
    <w:rsid w:val="00504A75"/>
    <w:rsid w:val="0052121F"/>
    <w:rsid w:val="0052433B"/>
    <w:rsid w:val="00525C81"/>
    <w:rsid w:val="0052691B"/>
    <w:rsid w:val="005375AF"/>
    <w:rsid w:val="00540B45"/>
    <w:rsid w:val="005653CB"/>
    <w:rsid w:val="00580F2C"/>
    <w:rsid w:val="00581FB4"/>
    <w:rsid w:val="005A0137"/>
    <w:rsid w:val="005A151D"/>
    <w:rsid w:val="005B352E"/>
    <w:rsid w:val="005C27C8"/>
    <w:rsid w:val="005C3424"/>
    <w:rsid w:val="005D58B3"/>
    <w:rsid w:val="005D7BB9"/>
    <w:rsid w:val="005E01EC"/>
    <w:rsid w:val="00601F20"/>
    <w:rsid w:val="00615863"/>
    <w:rsid w:val="006212AB"/>
    <w:rsid w:val="0063464C"/>
    <w:rsid w:val="00634E47"/>
    <w:rsid w:val="00636B93"/>
    <w:rsid w:val="00636D92"/>
    <w:rsid w:val="0064120B"/>
    <w:rsid w:val="00653402"/>
    <w:rsid w:val="0066703A"/>
    <w:rsid w:val="00680298"/>
    <w:rsid w:val="006C1C81"/>
    <w:rsid w:val="006C3B95"/>
    <w:rsid w:val="006D02D1"/>
    <w:rsid w:val="006D4B02"/>
    <w:rsid w:val="006D518D"/>
    <w:rsid w:val="006D6922"/>
    <w:rsid w:val="006E5087"/>
    <w:rsid w:val="006E587A"/>
    <w:rsid w:val="00700A73"/>
    <w:rsid w:val="00702D1D"/>
    <w:rsid w:val="007252D1"/>
    <w:rsid w:val="00726B20"/>
    <w:rsid w:val="00736BA8"/>
    <w:rsid w:val="007502C7"/>
    <w:rsid w:val="007615B9"/>
    <w:rsid w:val="0076562D"/>
    <w:rsid w:val="007722FF"/>
    <w:rsid w:val="0077401B"/>
    <w:rsid w:val="007814FB"/>
    <w:rsid w:val="007B5CF2"/>
    <w:rsid w:val="007B66F8"/>
    <w:rsid w:val="007B7AAB"/>
    <w:rsid w:val="007C78FA"/>
    <w:rsid w:val="007C7F1B"/>
    <w:rsid w:val="007D43D4"/>
    <w:rsid w:val="007E7465"/>
    <w:rsid w:val="007F445B"/>
    <w:rsid w:val="00813E4D"/>
    <w:rsid w:val="00837ECE"/>
    <w:rsid w:val="00845CAD"/>
    <w:rsid w:val="00850E23"/>
    <w:rsid w:val="00851D32"/>
    <w:rsid w:val="00854D0B"/>
    <w:rsid w:val="00862F69"/>
    <w:rsid w:val="00864C17"/>
    <w:rsid w:val="00866C74"/>
    <w:rsid w:val="0086729A"/>
    <w:rsid w:val="008674F2"/>
    <w:rsid w:val="00871473"/>
    <w:rsid w:val="00871C35"/>
    <w:rsid w:val="00872A06"/>
    <w:rsid w:val="00873620"/>
    <w:rsid w:val="008A0D73"/>
    <w:rsid w:val="008A1A4B"/>
    <w:rsid w:val="008B313B"/>
    <w:rsid w:val="008C3C0D"/>
    <w:rsid w:val="008D4E21"/>
    <w:rsid w:val="008E0820"/>
    <w:rsid w:val="0090229E"/>
    <w:rsid w:val="00904ED2"/>
    <w:rsid w:val="009149F8"/>
    <w:rsid w:val="009154A7"/>
    <w:rsid w:val="00915CCC"/>
    <w:rsid w:val="00926CDC"/>
    <w:rsid w:val="00926EFB"/>
    <w:rsid w:val="00930852"/>
    <w:rsid w:val="00931216"/>
    <w:rsid w:val="0093121F"/>
    <w:rsid w:val="00932675"/>
    <w:rsid w:val="00933B11"/>
    <w:rsid w:val="00945C92"/>
    <w:rsid w:val="00960506"/>
    <w:rsid w:val="00961F22"/>
    <w:rsid w:val="00964B21"/>
    <w:rsid w:val="00966023"/>
    <w:rsid w:val="00966CEE"/>
    <w:rsid w:val="00972E64"/>
    <w:rsid w:val="00990BF3"/>
    <w:rsid w:val="0099333F"/>
    <w:rsid w:val="009A1E1C"/>
    <w:rsid w:val="009A2080"/>
    <w:rsid w:val="009A5E6A"/>
    <w:rsid w:val="009A6CF7"/>
    <w:rsid w:val="009B0D71"/>
    <w:rsid w:val="009C3D2A"/>
    <w:rsid w:val="009D18EA"/>
    <w:rsid w:val="009D5A79"/>
    <w:rsid w:val="009D7DC1"/>
    <w:rsid w:val="009E5767"/>
    <w:rsid w:val="009F4354"/>
    <w:rsid w:val="00A10E4F"/>
    <w:rsid w:val="00A16EE7"/>
    <w:rsid w:val="00A21042"/>
    <w:rsid w:val="00A22982"/>
    <w:rsid w:val="00A43760"/>
    <w:rsid w:val="00A51EA0"/>
    <w:rsid w:val="00A55E20"/>
    <w:rsid w:val="00A66D95"/>
    <w:rsid w:val="00A8185D"/>
    <w:rsid w:val="00A82343"/>
    <w:rsid w:val="00A832CE"/>
    <w:rsid w:val="00A869A4"/>
    <w:rsid w:val="00A90CD9"/>
    <w:rsid w:val="00AA0721"/>
    <w:rsid w:val="00AC1F0B"/>
    <w:rsid w:val="00AC457F"/>
    <w:rsid w:val="00AC53CC"/>
    <w:rsid w:val="00AC692C"/>
    <w:rsid w:val="00AC78A4"/>
    <w:rsid w:val="00AD7DCB"/>
    <w:rsid w:val="00AE0614"/>
    <w:rsid w:val="00AE702D"/>
    <w:rsid w:val="00AF22D2"/>
    <w:rsid w:val="00AF2B8B"/>
    <w:rsid w:val="00AF2B95"/>
    <w:rsid w:val="00AF4DD8"/>
    <w:rsid w:val="00AF5017"/>
    <w:rsid w:val="00B27E6A"/>
    <w:rsid w:val="00B30227"/>
    <w:rsid w:val="00B319E2"/>
    <w:rsid w:val="00B35E03"/>
    <w:rsid w:val="00B5657C"/>
    <w:rsid w:val="00B568C7"/>
    <w:rsid w:val="00B612E7"/>
    <w:rsid w:val="00B61EBC"/>
    <w:rsid w:val="00B62138"/>
    <w:rsid w:val="00B65F98"/>
    <w:rsid w:val="00B7047F"/>
    <w:rsid w:val="00B7483F"/>
    <w:rsid w:val="00B809CA"/>
    <w:rsid w:val="00B81923"/>
    <w:rsid w:val="00B9148E"/>
    <w:rsid w:val="00B94F02"/>
    <w:rsid w:val="00BA2E5D"/>
    <w:rsid w:val="00BA353A"/>
    <w:rsid w:val="00BA3AE8"/>
    <w:rsid w:val="00BC0BD1"/>
    <w:rsid w:val="00BC0DE2"/>
    <w:rsid w:val="00BC2735"/>
    <w:rsid w:val="00BD72B2"/>
    <w:rsid w:val="00BE1A41"/>
    <w:rsid w:val="00BE22CD"/>
    <w:rsid w:val="00BE65EF"/>
    <w:rsid w:val="00BF3A41"/>
    <w:rsid w:val="00BF5084"/>
    <w:rsid w:val="00C05228"/>
    <w:rsid w:val="00C0735E"/>
    <w:rsid w:val="00C178F5"/>
    <w:rsid w:val="00C27158"/>
    <w:rsid w:val="00C31039"/>
    <w:rsid w:val="00C31EB8"/>
    <w:rsid w:val="00C40B60"/>
    <w:rsid w:val="00C41084"/>
    <w:rsid w:val="00C60533"/>
    <w:rsid w:val="00C720AB"/>
    <w:rsid w:val="00C7410F"/>
    <w:rsid w:val="00C832A3"/>
    <w:rsid w:val="00C8593B"/>
    <w:rsid w:val="00C93694"/>
    <w:rsid w:val="00C93A81"/>
    <w:rsid w:val="00CA225F"/>
    <w:rsid w:val="00CA77CE"/>
    <w:rsid w:val="00CB0830"/>
    <w:rsid w:val="00CB1E3E"/>
    <w:rsid w:val="00CB66C3"/>
    <w:rsid w:val="00CC6950"/>
    <w:rsid w:val="00CC6BC9"/>
    <w:rsid w:val="00CD5771"/>
    <w:rsid w:val="00CE09B7"/>
    <w:rsid w:val="00CE154E"/>
    <w:rsid w:val="00CF75C7"/>
    <w:rsid w:val="00CF7C93"/>
    <w:rsid w:val="00D03195"/>
    <w:rsid w:val="00D071D0"/>
    <w:rsid w:val="00D14406"/>
    <w:rsid w:val="00D37A8D"/>
    <w:rsid w:val="00D410F6"/>
    <w:rsid w:val="00D426A3"/>
    <w:rsid w:val="00D46D10"/>
    <w:rsid w:val="00D934B4"/>
    <w:rsid w:val="00DA2B97"/>
    <w:rsid w:val="00DB11A5"/>
    <w:rsid w:val="00DB2CF7"/>
    <w:rsid w:val="00DB4001"/>
    <w:rsid w:val="00DC44F2"/>
    <w:rsid w:val="00DC4751"/>
    <w:rsid w:val="00DC545C"/>
    <w:rsid w:val="00DD1982"/>
    <w:rsid w:val="00DD2C2F"/>
    <w:rsid w:val="00DE17A8"/>
    <w:rsid w:val="00DE2D05"/>
    <w:rsid w:val="00DE5B73"/>
    <w:rsid w:val="00DF558A"/>
    <w:rsid w:val="00E16DFC"/>
    <w:rsid w:val="00E2291D"/>
    <w:rsid w:val="00E2537A"/>
    <w:rsid w:val="00E35B10"/>
    <w:rsid w:val="00E41FB1"/>
    <w:rsid w:val="00E44D91"/>
    <w:rsid w:val="00E46C81"/>
    <w:rsid w:val="00E51976"/>
    <w:rsid w:val="00E66853"/>
    <w:rsid w:val="00E74CC5"/>
    <w:rsid w:val="00E80738"/>
    <w:rsid w:val="00E87AFA"/>
    <w:rsid w:val="00EA18D8"/>
    <w:rsid w:val="00EA34F0"/>
    <w:rsid w:val="00EA6C52"/>
    <w:rsid w:val="00EB19AD"/>
    <w:rsid w:val="00EB6674"/>
    <w:rsid w:val="00EC00E6"/>
    <w:rsid w:val="00EC02E1"/>
    <w:rsid w:val="00EC547F"/>
    <w:rsid w:val="00ED1BC6"/>
    <w:rsid w:val="00ED4611"/>
    <w:rsid w:val="00EE478E"/>
    <w:rsid w:val="00EF7379"/>
    <w:rsid w:val="00F014CB"/>
    <w:rsid w:val="00F04051"/>
    <w:rsid w:val="00F215F3"/>
    <w:rsid w:val="00F23C69"/>
    <w:rsid w:val="00F23E22"/>
    <w:rsid w:val="00F23F68"/>
    <w:rsid w:val="00F26A0F"/>
    <w:rsid w:val="00F2738F"/>
    <w:rsid w:val="00F3089C"/>
    <w:rsid w:val="00F3456D"/>
    <w:rsid w:val="00F56CC6"/>
    <w:rsid w:val="00F64B33"/>
    <w:rsid w:val="00F67F7F"/>
    <w:rsid w:val="00F80368"/>
    <w:rsid w:val="00F87B96"/>
    <w:rsid w:val="00FA0E72"/>
    <w:rsid w:val="00FC7A8B"/>
    <w:rsid w:val="00FE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2FAAB"/>
  <w15:chartTrackingRefBased/>
  <w15:docId w15:val="{C40E5C70-0556-4782-AA49-9EA5BC40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7A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15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C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CCC"/>
  </w:style>
  <w:style w:type="paragraph" w:styleId="CommentSubject">
    <w:name w:val="annotation subject"/>
    <w:basedOn w:val="CommentText"/>
    <w:next w:val="CommentText"/>
    <w:link w:val="CommentSubjectChar"/>
    <w:rsid w:val="00915CCC"/>
    <w:rPr>
      <w:b/>
      <w:bCs/>
    </w:rPr>
  </w:style>
  <w:style w:type="character" w:customStyle="1" w:styleId="CommentSubjectChar">
    <w:name w:val="Comment Subject Char"/>
    <w:link w:val="CommentSubject"/>
    <w:rsid w:val="00915CCC"/>
    <w:rPr>
      <w:b/>
      <w:bCs/>
    </w:rPr>
  </w:style>
  <w:style w:type="paragraph" w:styleId="BalloonText">
    <w:name w:val="Balloon Text"/>
    <w:basedOn w:val="Normal"/>
    <w:link w:val="BalloonTextChar"/>
    <w:rsid w:val="00915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5C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7A83"/>
    <w:pPr>
      <w:ind w:left="720"/>
    </w:pPr>
  </w:style>
  <w:style w:type="character" w:styleId="FootnoteReference">
    <w:name w:val="footnote reference"/>
    <w:uiPriority w:val="99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0C54F0"/>
    <w:rPr>
      <w:snapToGrid w:val="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4F0"/>
    <w:rPr>
      <w:snapToGrid w:val="0"/>
      <w:sz w:val="18"/>
    </w:rPr>
  </w:style>
  <w:style w:type="character" w:customStyle="1" w:styleId="StyleFootnoteReference11ptSuperscript">
    <w:name w:val="Style Footnote Reference + 11 pt Superscript"/>
    <w:qFormat/>
    <w:rsid w:val="000C54F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superscript"/>
      <w14:shadow w14:blurRad="0" w14:dist="0" w14:dir="0" w14:sx="0" w14:sy="0" w14:kx="0" w14:ky="0" w14:algn="none">
        <w14:srgbClr w14:val="000000"/>
      </w14:shadow>
      <w14:textOutline w14:w="0" w14:cap="rnd">
        <w14:noFill/>
        <w14:prstDash w14:val="solid"/>
        <w14:bevel/>
      </w14:textOutline>
    </w:rPr>
  </w:style>
  <w:style w:type="character" w:styleId="Hyperlink">
    <w:name w:val="Hyperlink"/>
    <w:basedOn w:val="DefaultParagraphFont"/>
    <w:rsid w:val="002D7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110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04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0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45F"/>
    <w:rPr>
      <w:sz w:val="24"/>
      <w:szCs w:val="24"/>
    </w:rPr>
  </w:style>
  <w:style w:type="character" w:styleId="FollowedHyperlink">
    <w:name w:val="FollowedHyperlink"/>
    <w:basedOn w:val="DefaultParagraphFont"/>
    <w:rsid w:val="00422D8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3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cms.gov/files/document/fact-sheet-cms-releases-updated-emergency-preparedness-guidance.pdf" TargetMode="External" /><Relationship Id="rId7" Type="http://schemas.openxmlformats.org/officeDocument/2006/relationships/hyperlink" Target="https://www.cms.gov/medicareprovider-enrollment-and-certificationsurveycertificationgeninfopolicy-and-memos-states-and/updated-guidance-emergency-preparedness-appendix-z-state-operations-manual-som" TargetMode="External" /><Relationship Id="rId8" Type="http://schemas.openxmlformats.org/officeDocument/2006/relationships/hyperlink" Target="https://www.cms.gov/Regulations-and-Guidance/Guidance/Manuals/Downloads/som107ap_z_emergprep.pdf" TargetMode="External" /><Relationship Id="rId9" Type="http://schemas.openxmlformats.org/officeDocument/2006/relationships/hyperlink" Target="https://asprtracie.hhs.gov/cmsrule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ms.gov/medicare/regulations-guidance/legislation/paperwork-reduction-act-1995/pra-listing/cms-10578" TargetMode="External" /><Relationship Id="rId2" Type="http://schemas.openxmlformats.org/officeDocument/2006/relationships/hyperlink" Target="https://asprtracie.hhs.gov/cmsru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FB3F-E864-466F-80FF-C5088FB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382</Words>
  <Characters>2980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King, Denise (CMS/OSORA)</cp:lastModifiedBy>
  <cp:revision>6</cp:revision>
  <cp:lastPrinted>2005-10-18T18:27:00Z</cp:lastPrinted>
  <dcterms:created xsi:type="dcterms:W3CDTF">2025-12-09T17:04:00Z</dcterms:created>
  <dcterms:modified xsi:type="dcterms:W3CDTF">2026-02-06T19:56:00Z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