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533E8" w14:paraId="467BF169" w14:textId="024E1690">
      <w:pPr>
        <w:spacing w:after="0" w:line="259" w:lineRule="auto"/>
        <w:ind w:left="10" w:right="400" w:hanging="10"/>
        <w:jc w:val="right"/>
      </w:pPr>
      <w:r>
        <w:rPr>
          <w:b/>
          <w:sz w:val="32"/>
        </w:rPr>
        <w:t xml:space="preserve"> 202</w:t>
      </w:r>
      <w:r w:rsidR="008B35CD">
        <w:rPr>
          <w:b/>
          <w:sz w:val="32"/>
        </w:rPr>
        <w:t>6</w:t>
      </w:r>
      <w:r>
        <w:rPr>
          <w:b/>
          <w:sz w:val="32"/>
        </w:rPr>
        <w:t xml:space="preserve"> </w:t>
      </w:r>
      <w:r>
        <w:t xml:space="preserve"> </w:t>
      </w:r>
    </w:p>
    <w:p w:rsidR="006533E8" w14:paraId="1BE91B32" w14:textId="77777777">
      <w:pPr>
        <w:spacing w:after="0" w:line="259" w:lineRule="auto"/>
        <w:ind w:right="50"/>
        <w:jc w:val="right"/>
      </w:pPr>
      <w:r>
        <w:rPr>
          <w:b/>
          <w:sz w:val="34"/>
        </w:rPr>
        <w:t xml:space="preserve"> </w:t>
      </w:r>
      <w:r>
        <w:t xml:space="preserve"> </w:t>
      </w:r>
    </w:p>
    <w:p w:rsidR="006533E8" w14:paraId="58C4FCAB" w14:textId="77777777">
      <w:pPr>
        <w:spacing w:after="0" w:line="259" w:lineRule="auto"/>
        <w:ind w:right="50"/>
        <w:jc w:val="right"/>
      </w:pPr>
      <w:r>
        <w:rPr>
          <w:b/>
          <w:sz w:val="34"/>
        </w:rPr>
        <w:t xml:space="preserve"> </w:t>
      </w:r>
      <w:r>
        <w:t xml:space="preserve"> </w:t>
      </w:r>
    </w:p>
    <w:p w:rsidR="006533E8" w14:paraId="181E0C1B" w14:textId="77777777">
      <w:pPr>
        <w:spacing w:after="14" w:line="259" w:lineRule="auto"/>
        <w:ind w:right="50"/>
        <w:jc w:val="right"/>
      </w:pPr>
      <w:r>
        <w:rPr>
          <w:b/>
          <w:sz w:val="34"/>
        </w:rPr>
        <w:t xml:space="preserve"> </w:t>
      </w:r>
      <w:r>
        <w:t xml:space="preserve"> </w:t>
      </w:r>
    </w:p>
    <w:p w:rsidR="006533E8" w14:paraId="53C3356F" w14:textId="77777777">
      <w:pPr>
        <w:spacing w:after="21" w:line="263" w:lineRule="auto"/>
        <w:ind w:left="4750" w:right="0" w:firstLine="5024"/>
      </w:pPr>
      <w:r>
        <w:rPr>
          <w:b/>
          <w:sz w:val="36"/>
        </w:rPr>
        <w:t xml:space="preserve"> </w:t>
      </w:r>
      <w:r>
        <w:t xml:space="preserve"> </w:t>
      </w:r>
      <w:r>
        <w:rPr>
          <w:b/>
          <w:sz w:val="36"/>
        </w:rPr>
        <w:t xml:space="preserve">National Implementation of the  </w:t>
      </w:r>
      <w:r>
        <w:t xml:space="preserve"> </w:t>
      </w:r>
    </w:p>
    <w:p w:rsidR="006533E8" w14:paraId="02E5C410" w14:textId="77777777">
      <w:pPr>
        <w:spacing w:after="30" w:line="259" w:lineRule="auto"/>
        <w:ind w:left="10" w:right="372" w:hanging="10"/>
        <w:jc w:val="right"/>
      </w:pPr>
      <w:r>
        <w:rPr>
          <w:b/>
          <w:sz w:val="36"/>
        </w:rPr>
        <w:t xml:space="preserve">Outpatient and Ambulatory Surgery Consumer </w:t>
      </w:r>
      <w:r>
        <w:t xml:space="preserve"> </w:t>
      </w:r>
    </w:p>
    <w:p w:rsidR="006533E8" w14:paraId="439F3A08" w14:textId="77777777">
      <w:pPr>
        <w:spacing w:after="30" w:line="259" w:lineRule="auto"/>
        <w:ind w:left="10" w:right="372" w:hanging="10"/>
        <w:jc w:val="right"/>
      </w:pPr>
      <w:r>
        <w:rPr>
          <w:b/>
          <w:sz w:val="36"/>
        </w:rPr>
        <w:t xml:space="preserve"> Assessment of Healthcare Providers and Systems  </w:t>
      </w:r>
      <w:r>
        <w:t xml:space="preserve"> </w:t>
      </w:r>
    </w:p>
    <w:p w:rsidR="006533E8" w14:paraId="4E8222CB" w14:textId="77777777">
      <w:pPr>
        <w:spacing w:after="0" w:line="259" w:lineRule="auto"/>
        <w:ind w:left="10" w:right="372" w:hanging="10"/>
        <w:jc w:val="right"/>
      </w:pPr>
      <w:r>
        <w:rPr>
          <w:b/>
          <w:sz w:val="36"/>
        </w:rPr>
        <w:t xml:space="preserve">(OAS CAHPS) Survey </w:t>
      </w:r>
      <w:r>
        <w:t xml:space="preserve"> </w:t>
      </w:r>
    </w:p>
    <w:p w:rsidR="006533E8" w14:paraId="717DA713" w14:textId="77777777">
      <w:pPr>
        <w:spacing w:after="12" w:line="259" w:lineRule="auto"/>
        <w:ind w:right="0"/>
        <w:jc w:val="right"/>
      </w:pPr>
      <w:r>
        <w:rPr>
          <w:b/>
          <w:sz w:val="44"/>
        </w:rPr>
        <w:t xml:space="preserve"> </w:t>
      </w:r>
      <w:r>
        <w:t xml:space="preserve"> </w:t>
      </w:r>
    </w:p>
    <w:p w:rsidR="006533E8" w14:paraId="7C7F823A" w14:textId="77777777">
      <w:pPr>
        <w:spacing w:after="0" w:line="259" w:lineRule="auto"/>
        <w:ind w:left="10" w:right="270" w:hanging="10"/>
        <w:jc w:val="right"/>
      </w:pPr>
      <w:r>
        <w:rPr>
          <w:b/>
          <w:sz w:val="32"/>
        </w:rPr>
        <w:t>(CMS 10500; 0938-1240</w:t>
      </w:r>
      <w:r>
        <w:t>)</w:t>
      </w:r>
      <w:r>
        <w:rPr>
          <w:b/>
          <w:sz w:val="32"/>
        </w:rPr>
        <w:t xml:space="preserve"> </w:t>
      </w:r>
      <w:r>
        <w:t xml:space="preserve"> </w:t>
      </w:r>
    </w:p>
    <w:p w:rsidR="006533E8" w14:paraId="42B3F4DD" w14:textId="77777777">
      <w:pPr>
        <w:spacing w:after="0" w:line="259" w:lineRule="auto"/>
        <w:ind w:right="50"/>
        <w:jc w:val="right"/>
      </w:pPr>
      <w:r>
        <w:rPr>
          <w:b/>
          <w:sz w:val="34"/>
        </w:rPr>
        <w:t xml:space="preserve"> </w:t>
      </w:r>
      <w:r>
        <w:t xml:space="preserve"> </w:t>
      </w:r>
    </w:p>
    <w:p w:rsidR="006533E8" w14:paraId="0CC59DA0" w14:textId="77777777">
      <w:pPr>
        <w:spacing w:after="274" w:line="259" w:lineRule="auto"/>
        <w:ind w:right="50"/>
        <w:jc w:val="right"/>
      </w:pPr>
      <w:r>
        <w:rPr>
          <w:b/>
          <w:sz w:val="34"/>
        </w:rPr>
        <w:t xml:space="preserve"> </w:t>
      </w:r>
      <w:r>
        <w:t xml:space="preserve"> </w:t>
      </w:r>
    </w:p>
    <w:p w:rsidR="006533E8" w14:paraId="143CC6B7" w14:textId="77777777">
      <w:pPr>
        <w:spacing w:after="0" w:line="259" w:lineRule="auto"/>
        <w:ind w:right="395"/>
        <w:jc w:val="right"/>
      </w:pPr>
      <w:r>
        <w:rPr>
          <w:b/>
          <w:sz w:val="40"/>
        </w:rPr>
        <w:t xml:space="preserve">OMB Supporting Statement - Part A  </w:t>
      </w:r>
    </w:p>
    <w:p w:rsidR="006533E8" w14:paraId="7AA007CF" w14:textId="77777777">
      <w:pPr>
        <w:spacing w:after="0" w:line="259" w:lineRule="auto"/>
        <w:ind w:right="0"/>
        <w:jc w:val="right"/>
      </w:pPr>
      <w:r>
        <w:rPr>
          <w:b/>
          <w:sz w:val="44"/>
        </w:rPr>
        <w:t xml:space="preserve"> </w:t>
      </w:r>
      <w:r>
        <w:t xml:space="preserve"> </w:t>
      </w:r>
    </w:p>
    <w:p w:rsidR="006533E8" w14:paraId="68588C47" w14:textId="77777777">
      <w:pPr>
        <w:spacing w:after="0" w:line="259" w:lineRule="auto"/>
        <w:ind w:right="0"/>
        <w:jc w:val="right"/>
      </w:pPr>
      <w:r>
        <w:rPr>
          <w:b/>
          <w:sz w:val="44"/>
        </w:rPr>
        <w:t xml:space="preserve"> </w:t>
      </w:r>
      <w:r>
        <w:t xml:space="preserve"> </w:t>
      </w:r>
    </w:p>
    <w:p w:rsidR="006533E8" w14:paraId="280A7834" w14:textId="77777777">
      <w:pPr>
        <w:spacing w:after="0" w:line="259" w:lineRule="auto"/>
        <w:ind w:left="1145" w:right="0"/>
      </w:pPr>
      <w:r>
        <w:rPr>
          <w:b/>
          <w:sz w:val="44"/>
        </w:rPr>
        <w:t xml:space="preserve"> </w:t>
      </w:r>
      <w:r>
        <w:t xml:space="preserve"> </w:t>
      </w:r>
    </w:p>
    <w:p w:rsidR="006533E8" w14:paraId="34B238C2" w14:textId="77777777">
      <w:pPr>
        <w:spacing w:after="0" w:line="259" w:lineRule="auto"/>
        <w:ind w:left="1145" w:right="0"/>
      </w:pPr>
      <w:r>
        <w:rPr>
          <w:b/>
          <w:sz w:val="44"/>
        </w:rPr>
        <w:t xml:space="preserve"> </w:t>
      </w:r>
      <w:r>
        <w:t xml:space="preserve"> </w:t>
      </w:r>
    </w:p>
    <w:p w:rsidR="006533E8" w14:paraId="34384A76" w14:textId="77777777">
      <w:pPr>
        <w:spacing w:after="0" w:line="259" w:lineRule="auto"/>
        <w:ind w:left="1145" w:right="0"/>
      </w:pPr>
      <w:r>
        <w:rPr>
          <w:b/>
          <w:sz w:val="50"/>
        </w:rPr>
        <w:t xml:space="preserve"> </w:t>
      </w:r>
      <w:r>
        <w:t xml:space="preserve"> </w:t>
      </w:r>
    </w:p>
    <w:p w:rsidR="006533E8" w14:paraId="6E8D5E7E" w14:textId="77777777">
      <w:pPr>
        <w:spacing w:after="35" w:line="265" w:lineRule="auto"/>
        <w:ind w:left="10" w:right="371" w:hanging="10"/>
        <w:jc w:val="right"/>
      </w:pPr>
      <w:r>
        <w:rPr>
          <w:sz w:val="28"/>
        </w:rPr>
        <w:t xml:space="preserve">Prepared by </w:t>
      </w:r>
      <w:r>
        <w:t xml:space="preserve"> </w:t>
      </w:r>
    </w:p>
    <w:p w:rsidR="006533E8" w14:paraId="406EE882" w14:textId="77777777">
      <w:pPr>
        <w:spacing w:after="0" w:line="259" w:lineRule="auto"/>
        <w:ind w:left="1145" w:right="0"/>
      </w:pPr>
      <w:r>
        <w:rPr>
          <w:sz w:val="36"/>
        </w:rPr>
        <w:t xml:space="preserve"> </w:t>
      </w:r>
      <w:r>
        <w:t xml:space="preserve"> </w:t>
      </w:r>
    </w:p>
    <w:p w:rsidR="006533E8" w14:paraId="79DA89E1" w14:textId="77777777">
      <w:pPr>
        <w:spacing w:after="8" w:line="265" w:lineRule="auto"/>
        <w:ind w:left="10" w:right="371" w:hanging="10"/>
        <w:jc w:val="right"/>
      </w:pPr>
      <w:r>
        <w:rPr>
          <w:sz w:val="28"/>
        </w:rPr>
        <w:t xml:space="preserve">Division of Consumer Assessment &amp; Plan Performance </w:t>
      </w:r>
      <w:r>
        <w:t xml:space="preserve"> </w:t>
      </w:r>
    </w:p>
    <w:p w:rsidR="006533E8" w14:paraId="4FE887F4" w14:textId="77777777">
      <w:pPr>
        <w:spacing w:after="8" w:line="265" w:lineRule="auto"/>
        <w:ind w:left="4217" w:right="371" w:hanging="10"/>
        <w:jc w:val="right"/>
      </w:pPr>
      <w:r>
        <w:rPr>
          <w:sz w:val="28"/>
        </w:rPr>
        <w:t xml:space="preserve">Centers for Medicare &amp; Medicaid </w:t>
      </w:r>
      <w:r>
        <w:rPr>
          <w:sz w:val="28"/>
        </w:rPr>
        <w:t xml:space="preserve">Services </w:t>
      </w:r>
      <w:r>
        <w:t xml:space="preserve"> </w:t>
      </w:r>
      <w:r>
        <w:rPr>
          <w:sz w:val="28"/>
        </w:rPr>
        <w:t>7500</w:t>
      </w:r>
      <w:r>
        <w:rPr>
          <w:sz w:val="28"/>
        </w:rPr>
        <w:t xml:space="preserve"> Security Boulevard </w:t>
      </w:r>
    </w:p>
    <w:p w:rsidR="006533E8" w14:paraId="26B4885D" w14:textId="77777777">
      <w:pPr>
        <w:spacing w:after="8" w:line="265" w:lineRule="auto"/>
        <w:ind w:left="10" w:right="371" w:hanging="10"/>
        <w:jc w:val="right"/>
      </w:pPr>
      <w:r>
        <w:rPr>
          <w:sz w:val="28"/>
        </w:rPr>
        <w:t xml:space="preserve">Baltimore, MD 21244  </w:t>
      </w:r>
    </w:p>
    <w:p w:rsidR="006533E8" w14:paraId="76E020C3" w14:textId="77777777">
      <w:pPr>
        <w:spacing w:after="19" w:line="259" w:lineRule="auto"/>
        <w:ind w:left="3524" w:right="0"/>
        <w:jc w:val="center"/>
      </w:pPr>
      <w:r>
        <w:rPr>
          <w:sz w:val="28"/>
        </w:rPr>
        <w:t xml:space="preserve"> </w:t>
      </w:r>
    </w:p>
    <w:p w:rsidR="006533E8" w14:paraId="0F55D5E6" w14:textId="77777777">
      <w:pPr>
        <w:spacing w:after="16" w:line="259" w:lineRule="auto"/>
        <w:ind w:left="3524" w:right="0"/>
        <w:jc w:val="center"/>
      </w:pPr>
      <w:r>
        <w:rPr>
          <w:sz w:val="28"/>
        </w:rPr>
        <w:t xml:space="preserve"> </w:t>
      </w:r>
    </w:p>
    <w:p w:rsidR="006533E8" w14:paraId="6AFB922C" w14:textId="77777777">
      <w:pPr>
        <w:spacing w:after="16" w:line="259" w:lineRule="auto"/>
        <w:ind w:left="3524" w:right="0"/>
        <w:jc w:val="center"/>
      </w:pPr>
      <w:r>
        <w:rPr>
          <w:sz w:val="28"/>
        </w:rPr>
        <w:t xml:space="preserve"> </w:t>
      </w:r>
    </w:p>
    <w:p w:rsidR="006533E8" w14:paraId="502395F9" w14:textId="77777777">
      <w:pPr>
        <w:spacing w:after="16" w:line="259" w:lineRule="auto"/>
        <w:ind w:left="3524" w:right="0"/>
        <w:jc w:val="center"/>
      </w:pPr>
      <w:r>
        <w:rPr>
          <w:sz w:val="28"/>
        </w:rPr>
        <w:t xml:space="preserve"> </w:t>
      </w:r>
    </w:p>
    <w:p w:rsidR="006533E8" w14:paraId="003D5232" w14:textId="77777777">
      <w:pPr>
        <w:spacing w:after="0" w:line="259" w:lineRule="auto"/>
        <w:ind w:left="3524" w:right="0"/>
        <w:jc w:val="center"/>
      </w:pPr>
      <w:r>
        <w:rPr>
          <w:sz w:val="28"/>
        </w:rPr>
        <w:t xml:space="preserve"> </w:t>
      </w:r>
    </w:p>
    <w:p w:rsidR="006533E8" w14:paraId="4B86E862" w14:textId="77777777">
      <w:pPr>
        <w:spacing w:after="962" w:line="259" w:lineRule="auto"/>
        <w:ind w:left="3514" w:right="0"/>
        <w:jc w:val="center"/>
      </w:pPr>
      <w:r>
        <w:t xml:space="preserve"> </w:t>
      </w:r>
    </w:p>
    <w:p w:rsidR="006533E8" w14:paraId="118DD57E" w14:textId="77777777">
      <w:pPr>
        <w:spacing w:after="0" w:line="259" w:lineRule="auto"/>
        <w:ind w:left="144" w:right="0"/>
      </w:pPr>
      <w:r>
        <w:t xml:space="preserve"> </w:t>
      </w:r>
    </w:p>
    <w:p w:rsidR="008B35CD" w14:paraId="6E3476DB" w14:textId="77777777">
      <w:pPr>
        <w:spacing w:after="0" w:line="259" w:lineRule="auto"/>
        <w:ind w:left="144" w:right="0"/>
      </w:pPr>
    </w:p>
    <w:p w:rsidR="008B35CD" w14:paraId="101E2FE0" w14:textId="77777777">
      <w:pPr>
        <w:spacing w:after="0" w:line="259" w:lineRule="auto"/>
        <w:ind w:left="144" w:right="0"/>
      </w:pPr>
    </w:p>
    <w:sdt>
      <w:sdtPr>
        <w:id w:val="688645456"/>
        <w:docPartObj>
          <w:docPartGallery w:val="Table of Contents"/>
        </w:docPartObj>
      </w:sdtPr>
      <w:sdtContent>
        <w:p w:rsidR="006533E8" w14:paraId="0943F521" w14:textId="77777777">
          <w:pPr>
            <w:spacing w:after="73" w:line="259" w:lineRule="auto"/>
            <w:ind w:left="144" w:right="0"/>
          </w:pPr>
          <w:r>
            <w:rPr>
              <w:rFonts w:ascii="Cambria" w:eastAsia="Cambria" w:hAnsi="Cambria" w:cs="Cambria"/>
              <w:color w:val="365F91"/>
              <w:sz w:val="32"/>
            </w:rPr>
            <w:t xml:space="preserve">Contents  </w:t>
          </w:r>
        </w:p>
        <w:p w:rsidR="006533E8" w14:paraId="0F1FA8DD" w14:textId="77777777">
          <w:pPr>
            <w:pStyle w:val="TOC2"/>
            <w:tabs>
              <w:tab w:val="right" w:leader="dot" w:pos="9964"/>
            </w:tabs>
          </w:pPr>
          <w:r>
            <w:fldChar w:fldCharType="begin"/>
          </w:r>
          <w:r>
            <w:instrText xml:space="preserve"> TOC \o "1-2" \h \z \u </w:instrText>
          </w:r>
          <w:r>
            <w:fldChar w:fldCharType="separate"/>
          </w:r>
          <w:hyperlink w:anchor="_Toc22167">
            <w:r>
              <w:t>LIST OF ATTACHMENTS</w:t>
            </w:r>
            <w:r>
              <w:tab/>
            </w:r>
            <w:r>
              <w:fldChar w:fldCharType="begin"/>
            </w:r>
            <w:r>
              <w:instrText>PAGEREF _Toc22167 \h</w:instrText>
            </w:r>
            <w:r>
              <w:fldChar w:fldCharType="separate"/>
            </w:r>
            <w:r>
              <w:t xml:space="preserve">2  </w:t>
            </w:r>
            <w:r>
              <w:fldChar w:fldCharType="end"/>
            </w:r>
          </w:hyperlink>
        </w:p>
        <w:p w:rsidR="006533E8" w14:paraId="4C9DF0C3" w14:textId="77777777">
          <w:pPr>
            <w:pStyle w:val="TOC2"/>
            <w:tabs>
              <w:tab w:val="right" w:leader="dot" w:pos="9964"/>
            </w:tabs>
          </w:pPr>
          <w:hyperlink w:anchor="_Toc22168">
            <w:r>
              <w:t>BACKGROUND</w:t>
            </w:r>
            <w:r>
              <w:tab/>
            </w:r>
            <w:r>
              <w:fldChar w:fldCharType="begin"/>
            </w:r>
            <w:r>
              <w:instrText>PAGEREF _Toc22168 \h</w:instrText>
            </w:r>
            <w:r>
              <w:fldChar w:fldCharType="separate"/>
            </w:r>
            <w:r>
              <w:t xml:space="preserve">3  </w:t>
            </w:r>
            <w:r>
              <w:fldChar w:fldCharType="end"/>
            </w:r>
          </w:hyperlink>
        </w:p>
        <w:p w:rsidR="006533E8" w14:paraId="622A57CF" w14:textId="77777777">
          <w:pPr>
            <w:pStyle w:val="TOC1"/>
            <w:tabs>
              <w:tab w:val="right" w:leader="dot" w:pos="9964"/>
            </w:tabs>
          </w:pPr>
          <w:hyperlink w:anchor="_Toc22169">
            <w:r>
              <w:t xml:space="preserve">  </w:t>
            </w:r>
            <w:r>
              <w:rPr>
                <w:rFonts w:ascii="Times New Roman" w:eastAsia="Times New Roman" w:hAnsi="Times New Roman" w:cs="Times New Roman"/>
                <w:sz w:val="24"/>
              </w:rPr>
              <w:t>A.</w:t>
            </w:r>
            <w:r>
              <w:t xml:space="preserve">   </w:t>
            </w:r>
            <w:r>
              <w:rPr>
                <w:rFonts w:ascii="Times New Roman" w:eastAsia="Times New Roman" w:hAnsi="Times New Roman" w:cs="Times New Roman"/>
                <w:sz w:val="24"/>
              </w:rPr>
              <w:t>Justification</w:t>
            </w:r>
            <w:r>
              <w:tab/>
            </w:r>
            <w:r>
              <w:fldChar w:fldCharType="begin"/>
            </w:r>
            <w:r>
              <w:instrText>PAGEREF _Toc22169 \h</w:instrText>
            </w:r>
            <w:r>
              <w:fldChar w:fldCharType="separate"/>
            </w:r>
            <w:r>
              <w:rPr>
                <w:rFonts w:ascii="Times New Roman" w:eastAsia="Times New Roman" w:hAnsi="Times New Roman" w:cs="Times New Roman"/>
                <w:sz w:val="24"/>
              </w:rPr>
              <w:t xml:space="preserve">4  </w:t>
            </w:r>
            <w:r>
              <w:fldChar w:fldCharType="end"/>
            </w:r>
          </w:hyperlink>
        </w:p>
        <w:p w:rsidR="006533E8" w14:paraId="0D777A6B" w14:textId="77777777">
          <w:pPr>
            <w:pStyle w:val="TOC1"/>
            <w:tabs>
              <w:tab w:val="right" w:leader="dot" w:pos="9964"/>
            </w:tabs>
          </w:pPr>
          <w:hyperlink w:anchor="_Toc22170">
            <w:r>
              <w:t xml:space="preserve">  </w:t>
            </w:r>
            <w:r>
              <w:rPr>
                <w:rFonts w:ascii="Times New Roman" w:eastAsia="Times New Roman" w:hAnsi="Times New Roman" w:cs="Times New Roman"/>
                <w:sz w:val="24"/>
              </w:rPr>
              <w:t>A1.</w:t>
            </w:r>
            <w:r>
              <w:t xml:space="preserve">   </w:t>
            </w:r>
            <w:r>
              <w:rPr>
                <w:rFonts w:ascii="Times New Roman" w:eastAsia="Times New Roman" w:hAnsi="Times New Roman" w:cs="Times New Roman"/>
                <w:sz w:val="24"/>
              </w:rPr>
              <w:t>Circumstances Making the Collection of Information Necessary</w:t>
            </w:r>
            <w:r>
              <w:tab/>
            </w:r>
            <w:r>
              <w:fldChar w:fldCharType="begin"/>
            </w:r>
            <w:r>
              <w:instrText>PAGEREF _Toc22170 \h</w:instrText>
            </w:r>
            <w:r>
              <w:fldChar w:fldCharType="separate"/>
            </w:r>
            <w:r>
              <w:rPr>
                <w:rFonts w:ascii="Times New Roman" w:eastAsia="Times New Roman" w:hAnsi="Times New Roman" w:cs="Times New Roman"/>
                <w:sz w:val="24"/>
              </w:rPr>
              <w:t xml:space="preserve">4  </w:t>
            </w:r>
            <w:r>
              <w:fldChar w:fldCharType="end"/>
            </w:r>
          </w:hyperlink>
        </w:p>
        <w:p w:rsidR="006533E8" w14:paraId="3BA002A9" w14:textId="77777777">
          <w:pPr>
            <w:pStyle w:val="TOC1"/>
            <w:tabs>
              <w:tab w:val="right" w:leader="dot" w:pos="9964"/>
            </w:tabs>
          </w:pPr>
          <w:hyperlink w:anchor="_Toc22171">
            <w:r>
              <w:t xml:space="preserve">  </w:t>
            </w:r>
            <w:r>
              <w:rPr>
                <w:rFonts w:ascii="Times New Roman" w:eastAsia="Times New Roman" w:hAnsi="Times New Roman" w:cs="Times New Roman"/>
                <w:sz w:val="24"/>
              </w:rPr>
              <w:t>A2.</w:t>
            </w:r>
            <w:r>
              <w:t xml:space="preserve">   </w:t>
            </w:r>
            <w:r>
              <w:rPr>
                <w:rFonts w:ascii="Times New Roman" w:eastAsia="Times New Roman" w:hAnsi="Times New Roman" w:cs="Times New Roman"/>
                <w:sz w:val="24"/>
              </w:rPr>
              <w:t>Purpose and Use of Information Collection</w:t>
            </w:r>
            <w:r>
              <w:tab/>
            </w:r>
            <w:r>
              <w:fldChar w:fldCharType="begin"/>
            </w:r>
            <w:r>
              <w:instrText>PAGEREF _Toc22171 \h</w:instrText>
            </w:r>
            <w:r>
              <w:fldChar w:fldCharType="separate"/>
            </w:r>
            <w:r>
              <w:rPr>
                <w:rFonts w:ascii="Times New Roman" w:eastAsia="Times New Roman" w:hAnsi="Times New Roman" w:cs="Times New Roman"/>
                <w:sz w:val="24"/>
              </w:rPr>
              <w:t xml:space="preserve">4  </w:t>
            </w:r>
            <w:r>
              <w:fldChar w:fldCharType="end"/>
            </w:r>
          </w:hyperlink>
        </w:p>
        <w:p w:rsidR="006533E8" w14:paraId="0492D22F" w14:textId="77777777">
          <w:pPr>
            <w:pStyle w:val="TOC1"/>
            <w:tabs>
              <w:tab w:val="right" w:leader="dot" w:pos="9964"/>
            </w:tabs>
          </w:pPr>
          <w:hyperlink w:anchor="_Toc22172">
            <w:r>
              <w:t xml:space="preserve">  </w:t>
            </w:r>
            <w:r>
              <w:rPr>
                <w:rFonts w:ascii="Times New Roman" w:eastAsia="Times New Roman" w:hAnsi="Times New Roman" w:cs="Times New Roman"/>
                <w:sz w:val="24"/>
              </w:rPr>
              <w:t>A3.</w:t>
            </w:r>
            <w:r>
              <w:t xml:space="preserve">   </w:t>
            </w:r>
            <w:r>
              <w:rPr>
                <w:rFonts w:ascii="Times New Roman" w:eastAsia="Times New Roman" w:hAnsi="Times New Roman" w:cs="Times New Roman"/>
                <w:sz w:val="24"/>
              </w:rPr>
              <w:t>Use of Improved Information Technology and Burden Reduction</w:t>
            </w:r>
            <w:r>
              <w:tab/>
            </w:r>
            <w:r>
              <w:fldChar w:fldCharType="begin"/>
            </w:r>
            <w:r>
              <w:instrText>PAGEREF _Toc22172 \h</w:instrText>
            </w:r>
            <w:r>
              <w:fldChar w:fldCharType="separate"/>
            </w:r>
            <w:r>
              <w:rPr>
                <w:rFonts w:ascii="Times New Roman" w:eastAsia="Times New Roman" w:hAnsi="Times New Roman" w:cs="Times New Roman"/>
                <w:sz w:val="24"/>
              </w:rPr>
              <w:t xml:space="preserve">4  </w:t>
            </w:r>
            <w:r>
              <w:fldChar w:fldCharType="end"/>
            </w:r>
          </w:hyperlink>
        </w:p>
        <w:p w:rsidR="006533E8" w14:paraId="0F95FED0" w14:textId="77777777">
          <w:pPr>
            <w:pStyle w:val="TOC1"/>
            <w:tabs>
              <w:tab w:val="right" w:leader="dot" w:pos="9964"/>
            </w:tabs>
          </w:pPr>
          <w:hyperlink w:anchor="_Toc22173">
            <w:r>
              <w:t xml:space="preserve">  </w:t>
            </w:r>
            <w:r>
              <w:rPr>
                <w:rFonts w:ascii="Times New Roman" w:eastAsia="Times New Roman" w:hAnsi="Times New Roman" w:cs="Times New Roman"/>
                <w:sz w:val="24"/>
              </w:rPr>
              <w:t>A4.</w:t>
            </w:r>
            <w:r>
              <w:t xml:space="preserve">   </w:t>
            </w:r>
            <w:r>
              <w:rPr>
                <w:rFonts w:ascii="Times New Roman" w:eastAsia="Times New Roman" w:hAnsi="Times New Roman" w:cs="Times New Roman"/>
                <w:sz w:val="24"/>
              </w:rPr>
              <w:t>Efforts to Identify Duplication and Use of Similar Information</w:t>
            </w:r>
            <w:r>
              <w:tab/>
            </w:r>
            <w:r>
              <w:fldChar w:fldCharType="begin"/>
            </w:r>
            <w:r>
              <w:instrText>PAGEREF _Toc22173 \h</w:instrText>
            </w:r>
            <w:r>
              <w:fldChar w:fldCharType="separate"/>
            </w:r>
            <w:r>
              <w:rPr>
                <w:rFonts w:ascii="Times New Roman" w:eastAsia="Times New Roman" w:hAnsi="Times New Roman" w:cs="Times New Roman"/>
                <w:sz w:val="24"/>
              </w:rPr>
              <w:t xml:space="preserve">5  </w:t>
            </w:r>
            <w:r>
              <w:fldChar w:fldCharType="end"/>
            </w:r>
          </w:hyperlink>
        </w:p>
        <w:p w:rsidR="006533E8" w14:paraId="085D2BB6" w14:textId="77777777">
          <w:pPr>
            <w:pStyle w:val="TOC1"/>
            <w:tabs>
              <w:tab w:val="right" w:leader="dot" w:pos="9964"/>
            </w:tabs>
          </w:pPr>
          <w:hyperlink w:anchor="_Toc22174">
            <w:r>
              <w:t xml:space="preserve">  </w:t>
            </w:r>
            <w:r>
              <w:rPr>
                <w:rFonts w:ascii="Times New Roman" w:eastAsia="Times New Roman" w:hAnsi="Times New Roman" w:cs="Times New Roman"/>
                <w:sz w:val="24"/>
              </w:rPr>
              <w:t>A5.</w:t>
            </w:r>
            <w:r>
              <w:t xml:space="preserve">   </w:t>
            </w:r>
            <w:r>
              <w:rPr>
                <w:rFonts w:ascii="Times New Roman" w:eastAsia="Times New Roman" w:hAnsi="Times New Roman" w:cs="Times New Roman"/>
                <w:sz w:val="24"/>
              </w:rPr>
              <w:t>Impact on Small Businesses and Other Small Entities</w:t>
            </w:r>
            <w:r>
              <w:tab/>
            </w:r>
            <w:r>
              <w:fldChar w:fldCharType="begin"/>
            </w:r>
            <w:r>
              <w:instrText>PAGEREF _Toc22174 \h</w:instrText>
            </w:r>
            <w:r>
              <w:fldChar w:fldCharType="separate"/>
            </w:r>
            <w:r>
              <w:rPr>
                <w:rFonts w:ascii="Times New Roman" w:eastAsia="Times New Roman" w:hAnsi="Times New Roman" w:cs="Times New Roman"/>
                <w:sz w:val="24"/>
              </w:rPr>
              <w:t xml:space="preserve">6  </w:t>
            </w:r>
            <w:r>
              <w:fldChar w:fldCharType="end"/>
            </w:r>
          </w:hyperlink>
        </w:p>
        <w:p w:rsidR="006533E8" w14:paraId="796296CB" w14:textId="77777777">
          <w:pPr>
            <w:pStyle w:val="TOC1"/>
            <w:tabs>
              <w:tab w:val="right" w:leader="dot" w:pos="9964"/>
            </w:tabs>
          </w:pPr>
          <w:hyperlink w:anchor="_Toc22175">
            <w:r>
              <w:t xml:space="preserve">  </w:t>
            </w:r>
            <w:r>
              <w:rPr>
                <w:rFonts w:ascii="Times New Roman" w:eastAsia="Times New Roman" w:hAnsi="Times New Roman" w:cs="Times New Roman"/>
                <w:sz w:val="24"/>
              </w:rPr>
              <w:t>A6.</w:t>
            </w:r>
            <w:r>
              <w:t xml:space="preserve">   </w:t>
            </w:r>
            <w:r>
              <w:rPr>
                <w:rFonts w:ascii="Times New Roman" w:eastAsia="Times New Roman" w:hAnsi="Times New Roman" w:cs="Times New Roman"/>
                <w:sz w:val="24"/>
              </w:rPr>
              <w:t>Consequences of Collecting the Information Less Frequently</w:t>
            </w:r>
            <w:r>
              <w:tab/>
            </w:r>
            <w:r>
              <w:fldChar w:fldCharType="begin"/>
            </w:r>
            <w:r>
              <w:instrText>PAGEREF _Toc22175 \h</w:instrText>
            </w:r>
            <w:r>
              <w:fldChar w:fldCharType="separate"/>
            </w:r>
            <w:r>
              <w:rPr>
                <w:rFonts w:ascii="Times New Roman" w:eastAsia="Times New Roman" w:hAnsi="Times New Roman" w:cs="Times New Roman"/>
                <w:sz w:val="24"/>
              </w:rPr>
              <w:t xml:space="preserve">6  </w:t>
            </w:r>
            <w:r>
              <w:fldChar w:fldCharType="end"/>
            </w:r>
          </w:hyperlink>
        </w:p>
        <w:p w:rsidR="006533E8" w14:paraId="563FD3FE" w14:textId="77777777">
          <w:pPr>
            <w:pStyle w:val="TOC1"/>
            <w:tabs>
              <w:tab w:val="right" w:leader="dot" w:pos="9964"/>
            </w:tabs>
          </w:pPr>
          <w:hyperlink w:anchor="_Toc22176">
            <w:r>
              <w:t xml:space="preserve">  </w:t>
            </w:r>
            <w:r>
              <w:rPr>
                <w:rFonts w:ascii="Times New Roman" w:eastAsia="Times New Roman" w:hAnsi="Times New Roman" w:cs="Times New Roman"/>
                <w:sz w:val="24"/>
              </w:rPr>
              <w:t>A7.</w:t>
            </w:r>
            <w:r>
              <w:t xml:space="preserve">   </w:t>
            </w:r>
            <w:r>
              <w:rPr>
                <w:rFonts w:ascii="Times New Roman" w:eastAsia="Times New Roman" w:hAnsi="Times New Roman" w:cs="Times New Roman"/>
                <w:sz w:val="24"/>
              </w:rPr>
              <w:t>Special Circumstances Relating to Guidelines of 5 CFR1320.5</w:t>
            </w:r>
            <w:r>
              <w:tab/>
            </w:r>
            <w:r>
              <w:fldChar w:fldCharType="begin"/>
            </w:r>
            <w:r>
              <w:instrText>PAGEREF _Toc22176 \h</w:instrText>
            </w:r>
            <w:r>
              <w:fldChar w:fldCharType="separate"/>
            </w:r>
            <w:r>
              <w:rPr>
                <w:rFonts w:ascii="Times New Roman" w:eastAsia="Times New Roman" w:hAnsi="Times New Roman" w:cs="Times New Roman"/>
                <w:sz w:val="24"/>
              </w:rPr>
              <w:t xml:space="preserve">7  </w:t>
            </w:r>
            <w:r>
              <w:fldChar w:fldCharType="end"/>
            </w:r>
          </w:hyperlink>
        </w:p>
        <w:p w:rsidR="006533E8" w14:paraId="69B4A6FD" w14:textId="77777777">
          <w:pPr>
            <w:pStyle w:val="TOC1"/>
            <w:tabs>
              <w:tab w:val="right" w:leader="dot" w:pos="9964"/>
            </w:tabs>
          </w:pPr>
          <w:hyperlink w:anchor="_Toc22177">
            <w:r>
              <w:t xml:space="preserve">  </w:t>
            </w:r>
            <w:r>
              <w:rPr>
                <w:rFonts w:ascii="Times New Roman" w:eastAsia="Times New Roman" w:hAnsi="Times New Roman" w:cs="Times New Roman"/>
                <w:sz w:val="24"/>
              </w:rPr>
              <w:t>A8.</w:t>
            </w:r>
            <w:r>
              <w:t xml:space="preserve">   </w:t>
            </w:r>
            <w:r>
              <w:rPr>
                <w:rFonts w:ascii="Times New Roman" w:eastAsia="Times New Roman" w:hAnsi="Times New Roman" w:cs="Times New Roman"/>
                <w:sz w:val="24"/>
              </w:rPr>
              <w:t>Federal Register Notice and Efforts to Consult Outside Agencies</w:t>
            </w:r>
            <w:r>
              <w:tab/>
            </w:r>
            <w:r>
              <w:fldChar w:fldCharType="begin"/>
            </w:r>
            <w:r>
              <w:instrText>PAGEREF _Toc22177 \h</w:instrText>
            </w:r>
            <w:r>
              <w:fldChar w:fldCharType="separate"/>
            </w:r>
            <w:r>
              <w:rPr>
                <w:rFonts w:ascii="Times New Roman" w:eastAsia="Times New Roman" w:hAnsi="Times New Roman" w:cs="Times New Roman"/>
                <w:sz w:val="24"/>
              </w:rPr>
              <w:t xml:space="preserve">7  </w:t>
            </w:r>
            <w:r>
              <w:fldChar w:fldCharType="end"/>
            </w:r>
          </w:hyperlink>
        </w:p>
        <w:p w:rsidR="006533E8" w14:paraId="52773171" w14:textId="77777777">
          <w:pPr>
            <w:pStyle w:val="TOC1"/>
            <w:tabs>
              <w:tab w:val="right" w:leader="dot" w:pos="9964"/>
            </w:tabs>
          </w:pPr>
          <w:hyperlink w:anchor="_Toc22178">
            <w:r>
              <w:t xml:space="preserve">  </w:t>
            </w:r>
            <w:r>
              <w:rPr>
                <w:rFonts w:ascii="Times New Roman" w:eastAsia="Times New Roman" w:hAnsi="Times New Roman" w:cs="Times New Roman"/>
                <w:sz w:val="24"/>
              </w:rPr>
              <w:t>A9.</w:t>
            </w:r>
            <w:r>
              <w:t xml:space="preserve">   </w:t>
            </w:r>
            <w:r>
              <w:rPr>
                <w:rFonts w:ascii="Times New Roman" w:eastAsia="Times New Roman" w:hAnsi="Times New Roman" w:cs="Times New Roman"/>
                <w:sz w:val="24"/>
              </w:rPr>
              <w:t>Explanation of Any Payment or Gift to Respondents</w:t>
            </w:r>
            <w:r>
              <w:tab/>
            </w:r>
            <w:r>
              <w:fldChar w:fldCharType="begin"/>
            </w:r>
            <w:r>
              <w:instrText>PAGEREF _Toc22178 \h</w:instrText>
            </w:r>
            <w:r>
              <w:fldChar w:fldCharType="separate"/>
            </w:r>
            <w:r>
              <w:rPr>
                <w:rFonts w:ascii="Times New Roman" w:eastAsia="Times New Roman" w:hAnsi="Times New Roman" w:cs="Times New Roman"/>
                <w:sz w:val="24"/>
              </w:rPr>
              <w:t xml:space="preserve">8  </w:t>
            </w:r>
            <w:r>
              <w:fldChar w:fldCharType="end"/>
            </w:r>
          </w:hyperlink>
        </w:p>
        <w:p w:rsidR="006533E8" w14:paraId="41B0ADB8" w14:textId="77777777">
          <w:pPr>
            <w:pStyle w:val="TOC1"/>
            <w:tabs>
              <w:tab w:val="right" w:leader="dot" w:pos="9964"/>
            </w:tabs>
          </w:pPr>
          <w:hyperlink w:anchor="_Toc22179">
            <w:r>
              <w:t xml:space="preserve">  </w:t>
            </w:r>
            <w:r>
              <w:rPr>
                <w:rFonts w:ascii="Times New Roman" w:eastAsia="Times New Roman" w:hAnsi="Times New Roman" w:cs="Times New Roman"/>
                <w:sz w:val="24"/>
              </w:rPr>
              <w:t>A10.</w:t>
            </w:r>
            <w:r>
              <w:t xml:space="preserve">  </w:t>
            </w:r>
            <w:r>
              <w:rPr>
                <w:rFonts w:ascii="Times New Roman" w:eastAsia="Times New Roman" w:hAnsi="Times New Roman" w:cs="Times New Roman"/>
                <w:sz w:val="24"/>
              </w:rPr>
              <w:t>Assurances of Confidentiality Provided to Respondents</w:t>
            </w:r>
            <w:r>
              <w:tab/>
            </w:r>
            <w:r>
              <w:fldChar w:fldCharType="begin"/>
            </w:r>
            <w:r>
              <w:instrText>PAGEREF _Toc22179 \h</w:instrText>
            </w:r>
            <w:r>
              <w:fldChar w:fldCharType="separate"/>
            </w:r>
            <w:r>
              <w:rPr>
                <w:rFonts w:ascii="Times New Roman" w:eastAsia="Times New Roman" w:hAnsi="Times New Roman" w:cs="Times New Roman"/>
                <w:sz w:val="24"/>
              </w:rPr>
              <w:t xml:space="preserve">8  </w:t>
            </w:r>
            <w:r>
              <w:fldChar w:fldCharType="end"/>
            </w:r>
          </w:hyperlink>
        </w:p>
        <w:p w:rsidR="006533E8" w14:paraId="32053460" w14:textId="77777777">
          <w:pPr>
            <w:pStyle w:val="TOC1"/>
            <w:tabs>
              <w:tab w:val="right" w:leader="dot" w:pos="9964"/>
            </w:tabs>
          </w:pPr>
          <w:hyperlink w:anchor="_Toc22180">
            <w:r>
              <w:t xml:space="preserve">  </w:t>
            </w:r>
            <w:r>
              <w:rPr>
                <w:rFonts w:ascii="Times New Roman" w:eastAsia="Times New Roman" w:hAnsi="Times New Roman" w:cs="Times New Roman"/>
                <w:sz w:val="24"/>
              </w:rPr>
              <w:t>A11.</w:t>
            </w:r>
            <w:r>
              <w:t xml:space="preserve">  </w:t>
            </w:r>
            <w:r>
              <w:rPr>
                <w:rFonts w:ascii="Times New Roman" w:eastAsia="Times New Roman" w:hAnsi="Times New Roman" w:cs="Times New Roman"/>
                <w:sz w:val="24"/>
              </w:rPr>
              <w:t>Justification for Sensitive Questions</w:t>
            </w:r>
            <w:r>
              <w:tab/>
            </w:r>
            <w:r>
              <w:fldChar w:fldCharType="begin"/>
            </w:r>
            <w:r>
              <w:instrText>PAGEREF _Toc22180 \h</w:instrText>
            </w:r>
            <w:r>
              <w:fldChar w:fldCharType="separate"/>
            </w:r>
            <w:r>
              <w:rPr>
                <w:rFonts w:ascii="Times New Roman" w:eastAsia="Times New Roman" w:hAnsi="Times New Roman" w:cs="Times New Roman"/>
                <w:sz w:val="24"/>
              </w:rPr>
              <w:t xml:space="preserve">9  </w:t>
            </w:r>
            <w:r>
              <w:fldChar w:fldCharType="end"/>
            </w:r>
          </w:hyperlink>
        </w:p>
        <w:p w:rsidR="006533E8" w14:paraId="0CB71A20" w14:textId="77777777">
          <w:pPr>
            <w:pStyle w:val="TOC1"/>
            <w:tabs>
              <w:tab w:val="right" w:leader="dot" w:pos="9964"/>
            </w:tabs>
          </w:pPr>
          <w:hyperlink w:anchor="_Toc22181">
            <w:r>
              <w:t xml:space="preserve">  </w:t>
            </w:r>
            <w:r>
              <w:rPr>
                <w:rFonts w:ascii="Times New Roman" w:eastAsia="Times New Roman" w:hAnsi="Times New Roman" w:cs="Times New Roman"/>
                <w:sz w:val="24"/>
              </w:rPr>
              <w:t>A12.</w:t>
            </w:r>
            <w:r>
              <w:t xml:space="preserve">  </w:t>
            </w:r>
            <w:r>
              <w:rPr>
                <w:rFonts w:ascii="Times New Roman" w:eastAsia="Times New Roman" w:hAnsi="Times New Roman" w:cs="Times New Roman"/>
                <w:sz w:val="24"/>
              </w:rPr>
              <w:t>Estimates of Burden (Time and Cost)</w:t>
            </w:r>
            <w:r>
              <w:tab/>
            </w:r>
            <w:r>
              <w:fldChar w:fldCharType="begin"/>
            </w:r>
            <w:r>
              <w:instrText>PAGEREF _Toc22181 \h</w:instrText>
            </w:r>
            <w:r>
              <w:fldChar w:fldCharType="separate"/>
            </w:r>
            <w:r>
              <w:rPr>
                <w:rFonts w:ascii="Times New Roman" w:eastAsia="Times New Roman" w:hAnsi="Times New Roman" w:cs="Times New Roman"/>
                <w:sz w:val="24"/>
              </w:rPr>
              <w:t xml:space="preserve">9  </w:t>
            </w:r>
            <w:r>
              <w:fldChar w:fldCharType="end"/>
            </w:r>
          </w:hyperlink>
        </w:p>
        <w:p w:rsidR="006533E8" w14:paraId="6771E988" w14:textId="77777777">
          <w:pPr>
            <w:pStyle w:val="TOC1"/>
            <w:tabs>
              <w:tab w:val="right" w:leader="dot" w:pos="9964"/>
            </w:tabs>
          </w:pPr>
          <w:hyperlink w:anchor="_Toc22182">
            <w:r>
              <w:t xml:space="preserve">  </w:t>
            </w:r>
            <w:r>
              <w:rPr>
                <w:rFonts w:ascii="Times New Roman" w:eastAsia="Times New Roman" w:hAnsi="Times New Roman" w:cs="Times New Roman"/>
                <w:sz w:val="24"/>
              </w:rPr>
              <w:t>A13.</w:t>
            </w:r>
            <w:r>
              <w:t xml:space="preserve">  </w:t>
            </w:r>
            <w:r>
              <w:rPr>
                <w:rFonts w:ascii="Times New Roman" w:eastAsia="Times New Roman" w:hAnsi="Times New Roman" w:cs="Times New Roman"/>
                <w:sz w:val="24"/>
              </w:rPr>
              <w:t>Estimates of Annualized Respondent Capital and Maintenance Cost</w:t>
            </w:r>
            <w:r>
              <w:tab/>
            </w:r>
            <w:r>
              <w:fldChar w:fldCharType="begin"/>
            </w:r>
            <w:r>
              <w:instrText>PAGEREF _Toc22182 \h</w:instrText>
            </w:r>
            <w:r>
              <w:fldChar w:fldCharType="separate"/>
            </w:r>
            <w:r>
              <w:rPr>
                <w:rFonts w:ascii="Times New Roman" w:eastAsia="Times New Roman" w:hAnsi="Times New Roman" w:cs="Times New Roman"/>
                <w:sz w:val="24"/>
              </w:rPr>
              <w:t xml:space="preserve">11  </w:t>
            </w:r>
            <w:r>
              <w:fldChar w:fldCharType="end"/>
            </w:r>
          </w:hyperlink>
        </w:p>
        <w:p w:rsidR="006533E8" w14:paraId="1818F12F" w14:textId="77777777">
          <w:pPr>
            <w:pStyle w:val="TOC1"/>
            <w:tabs>
              <w:tab w:val="right" w:leader="dot" w:pos="9964"/>
            </w:tabs>
          </w:pPr>
          <w:hyperlink w:anchor="_Toc22183">
            <w:r>
              <w:t xml:space="preserve">  </w:t>
            </w:r>
            <w:r>
              <w:rPr>
                <w:rFonts w:ascii="Times New Roman" w:eastAsia="Times New Roman" w:hAnsi="Times New Roman" w:cs="Times New Roman"/>
                <w:sz w:val="24"/>
              </w:rPr>
              <w:t>A14.</w:t>
            </w:r>
            <w:r>
              <w:t xml:space="preserve">  </w:t>
            </w:r>
            <w:r>
              <w:rPr>
                <w:rFonts w:ascii="Times New Roman" w:eastAsia="Times New Roman" w:hAnsi="Times New Roman" w:cs="Times New Roman"/>
                <w:sz w:val="24"/>
              </w:rPr>
              <w:t>Estimates of Annualized Costs to the Federal Government</w:t>
            </w:r>
            <w:r>
              <w:tab/>
            </w:r>
            <w:r>
              <w:fldChar w:fldCharType="begin"/>
            </w:r>
            <w:r>
              <w:instrText>PAGEREF _Toc22183 \h</w:instrText>
            </w:r>
            <w:r>
              <w:fldChar w:fldCharType="separate"/>
            </w:r>
            <w:r>
              <w:rPr>
                <w:rFonts w:ascii="Times New Roman" w:eastAsia="Times New Roman" w:hAnsi="Times New Roman" w:cs="Times New Roman"/>
                <w:sz w:val="24"/>
              </w:rPr>
              <w:t xml:space="preserve">12  </w:t>
            </w:r>
            <w:r>
              <w:fldChar w:fldCharType="end"/>
            </w:r>
          </w:hyperlink>
        </w:p>
        <w:p w:rsidR="006533E8" w14:paraId="0FE94556" w14:textId="77777777">
          <w:pPr>
            <w:pStyle w:val="TOC1"/>
            <w:tabs>
              <w:tab w:val="right" w:leader="dot" w:pos="9964"/>
            </w:tabs>
          </w:pPr>
          <w:hyperlink w:anchor="_Toc22184">
            <w:r>
              <w:t xml:space="preserve">  </w:t>
            </w:r>
            <w:r>
              <w:rPr>
                <w:rFonts w:ascii="Times New Roman" w:eastAsia="Times New Roman" w:hAnsi="Times New Roman" w:cs="Times New Roman"/>
                <w:sz w:val="24"/>
              </w:rPr>
              <w:t>A15.</w:t>
            </w:r>
            <w:r>
              <w:t xml:space="preserve">  </w:t>
            </w:r>
            <w:r>
              <w:rPr>
                <w:rFonts w:ascii="Times New Roman" w:eastAsia="Times New Roman" w:hAnsi="Times New Roman" w:cs="Times New Roman"/>
                <w:sz w:val="24"/>
              </w:rPr>
              <w:t>Explanation for Program Changes or Adjustments</w:t>
            </w:r>
            <w:r>
              <w:tab/>
            </w:r>
            <w:r>
              <w:fldChar w:fldCharType="begin"/>
            </w:r>
            <w:r>
              <w:instrText>PAGEREF _Toc22184 \h</w:instrText>
            </w:r>
            <w:r>
              <w:fldChar w:fldCharType="separate"/>
            </w:r>
            <w:r>
              <w:rPr>
                <w:rFonts w:ascii="Times New Roman" w:eastAsia="Times New Roman" w:hAnsi="Times New Roman" w:cs="Times New Roman"/>
                <w:sz w:val="24"/>
              </w:rPr>
              <w:t xml:space="preserve">12  </w:t>
            </w:r>
            <w:r>
              <w:fldChar w:fldCharType="end"/>
            </w:r>
          </w:hyperlink>
        </w:p>
        <w:p w:rsidR="006533E8" w14:paraId="03159CA2" w14:textId="77777777">
          <w:pPr>
            <w:pStyle w:val="TOC1"/>
            <w:tabs>
              <w:tab w:val="right" w:leader="dot" w:pos="9964"/>
            </w:tabs>
          </w:pPr>
          <w:hyperlink w:anchor="_Toc22185">
            <w:r>
              <w:t xml:space="preserve">  </w:t>
            </w:r>
            <w:r>
              <w:rPr>
                <w:rFonts w:ascii="Times New Roman" w:eastAsia="Times New Roman" w:hAnsi="Times New Roman" w:cs="Times New Roman"/>
                <w:sz w:val="24"/>
              </w:rPr>
              <w:t>A16.</w:t>
            </w:r>
            <w:r>
              <w:t xml:space="preserve">  </w:t>
            </w:r>
            <w:r>
              <w:rPr>
                <w:rFonts w:ascii="Times New Roman" w:eastAsia="Times New Roman" w:hAnsi="Times New Roman" w:cs="Times New Roman"/>
                <w:sz w:val="24"/>
              </w:rPr>
              <w:t>Plans for Tabulation and Publication and Project Time Schedule</w:t>
            </w:r>
            <w:r>
              <w:tab/>
            </w:r>
            <w:r>
              <w:fldChar w:fldCharType="begin"/>
            </w:r>
            <w:r>
              <w:instrText>PAGEREF _Toc22185 \h</w:instrText>
            </w:r>
            <w:r>
              <w:fldChar w:fldCharType="separate"/>
            </w:r>
            <w:r>
              <w:rPr>
                <w:rFonts w:ascii="Times New Roman" w:eastAsia="Times New Roman" w:hAnsi="Times New Roman" w:cs="Times New Roman"/>
                <w:sz w:val="24"/>
              </w:rPr>
              <w:t xml:space="preserve">13  </w:t>
            </w:r>
            <w:r>
              <w:fldChar w:fldCharType="end"/>
            </w:r>
          </w:hyperlink>
        </w:p>
        <w:p w:rsidR="006533E8" w14:paraId="6F26A2A7" w14:textId="77777777">
          <w:pPr>
            <w:pStyle w:val="TOC1"/>
            <w:tabs>
              <w:tab w:val="right" w:leader="dot" w:pos="9964"/>
            </w:tabs>
          </w:pPr>
          <w:hyperlink w:anchor="_Toc22186">
            <w:r>
              <w:t xml:space="preserve">  </w:t>
            </w:r>
            <w:r>
              <w:rPr>
                <w:rFonts w:ascii="Times New Roman" w:eastAsia="Times New Roman" w:hAnsi="Times New Roman" w:cs="Times New Roman"/>
                <w:sz w:val="24"/>
              </w:rPr>
              <w:t>A17.</w:t>
            </w:r>
            <w:r>
              <w:t xml:space="preserve">  </w:t>
            </w:r>
            <w:r>
              <w:rPr>
                <w:rFonts w:ascii="Times New Roman" w:eastAsia="Times New Roman" w:hAnsi="Times New Roman" w:cs="Times New Roman"/>
                <w:sz w:val="24"/>
              </w:rPr>
              <w:t>Reason(s) Display of OMB Expiration Date is Inappropriate</w:t>
            </w:r>
            <w:r>
              <w:tab/>
            </w:r>
            <w:r>
              <w:fldChar w:fldCharType="begin"/>
            </w:r>
            <w:r>
              <w:instrText>PAGEREF _Toc22186 \h</w:instrText>
            </w:r>
            <w:r>
              <w:fldChar w:fldCharType="separate"/>
            </w:r>
            <w:r>
              <w:rPr>
                <w:rFonts w:ascii="Times New Roman" w:eastAsia="Times New Roman" w:hAnsi="Times New Roman" w:cs="Times New Roman"/>
                <w:sz w:val="24"/>
              </w:rPr>
              <w:t xml:space="preserve">13  </w:t>
            </w:r>
            <w:r>
              <w:fldChar w:fldCharType="end"/>
            </w:r>
          </w:hyperlink>
        </w:p>
        <w:p w:rsidR="006533E8" w14:paraId="383ADC87" w14:textId="77777777">
          <w:pPr>
            <w:pStyle w:val="TOC1"/>
            <w:tabs>
              <w:tab w:val="right" w:leader="dot" w:pos="9964"/>
            </w:tabs>
          </w:pPr>
          <w:hyperlink w:anchor="_Toc22187">
            <w:r>
              <w:t xml:space="preserve">  </w:t>
            </w:r>
            <w:r>
              <w:rPr>
                <w:rFonts w:ascii="Times New Roman" w:eastAsia="Times New Roman" w:hAnsi="Times New Roman" w:cs="Times New Roman"/>
                <w:sz w:val="24"/>
              </w:rPr>
              <w:t>A18.</w:t>
            </w:r>
            <w:r>
              <w:t xml:space="preserve">  </w:t>
            </w:r>
            <w:r>
              <w:rPr>
                <w:rFonts w:ascii="Times New Roman" w:eastAsia="Times New Roman" w:hAnsi="Times New Roman" w:cs="Times New Roman"/>
                <w:sz w:val="24"/>
              </w:rPr>
              <w:t>Exceptions to Certification for Paperwork Reduction Act Submissions</w:t>
            </w:r>
            <w:r>
              <w:tab/>
            </w:r>
            <w:r>
              <w:fldChar w:fldCharType="begin"/>
            </w:r>
            <w:r>
              <w:instrText>PAGEREF _Toc22187 \h</w:instrText>
            </w:r>
            <w:r>
              <w:fldChar w:fldCharType="separate"/>
            </w:r>
            <w:r>
              <w:rPr>
                <w:rFonts w:ascii="Times New Roman" w:eastAsia="Times New Roman" w:hAnsi="Times New Roman" w:cs="Times New Roman"/>
                <w:sz w:val="24"/>
              </w:rPr>
              <w:t xml:space="preserve">13  </w:t>
            </w:r>
            <w:r>
              <w:fldChar w:fldCharType="end"/>
            </w:r>
          </w:hyperlink>
        </w:p>
        <w:p w:rsidR="006533E8" w14:paraId="452AFB30" w14:textId="77777777">
          <w:r>
            <w:fldChar w:fldCharType="end"/>
          </w:r>
        </w:p>
      </w:sdtContent>
    </w:sdt>
    <w:p w:rsidR="008B35CD" w14:paraId="5DC731D8" w14:textId="77777777">
      <w:pPr>
        <w:pStyle w:val="Heading2"/>
        <w:spacing w:after="292" w:line="254" w:lineRule="auto"/>
        <w:ind w:left="139" w:right="396" w:firstLine="0"/>
      </w:pPr>
      <w:bookmarkStart w:id="0" w:name="_Toc22167"/>
    </w:p>
    <w:p w:rsidR="008B35CD" w14:paraId="72BE5E78" w14:textId="77777777">
      <w:pPr>
        <w:pStyle w:val="Heading2"/>
        <w:spacing w:after="292" w:line="254" w:lineRule="auto"/>
        <w:ind w:left="139" w:right="396" w:firstLine="0"/>
      </w:pPr>
    </w:p>
    <w:p w:rsidR="008B35CD" w14:paraId="51813865" w14:textId="77777777">
      <w:pPr>
        <w:pStyle w:val="Heading2"/>
        <w:spacing w:after="292" w:line="254" w:lineRule="auto"/>
        <w:ind w:left="139" w:right="396" w:firstLine="0"/>
      </w:pPr>
    </w:p>
    <w:p w:rsidR="008B35CD" w14:paraId="4A2A973C" w14:textId="77777777">
      <w:pPr>
        <w:pStyle w:val="Heading2"/>
        <w:spacing w:after="292" w:line="254" w:lineRule="auto"/>
        <w:ind w:left="139" w:right="396" w:firstLine="0"/>
      </w:pPr>
    </w:p>
    <w:p w:rsidR="006533E8" w14:paraId="1CF3399B" w14:textId="4FB0BC09">
      <w:pPr>
        <w:pStyle w:val="Heading2"/>
        <w:spacing w:after="292" w:line="254" w:lineRule="auto"/>
        <w:ind w:left="139" w:right="396" w:firstLine="0"/>
      </w:pPr>
      <w:r>
        <w:t xml:space="preserve">LIST OF ATTACHMENTS </w:t>
      </w:r>
      <w:r>
        <w:rPr>
          <w:b w:val="0"/>
        </w:rPr>
        <w:t xml:space="preserve"> </w:t>
      </w:r>
      <w:bookmarkEnd w:id="0"/>
    </w:p>
    <w:p w:rsidR="006533E8" w14:paraId="39F5A8A1" w14:textId="77777777">
      <w:pPr>
        <w:spacing w:after="568"/>
        <w:ind w:left="955" w:right="396"/>
      </w:pPr>
      <w:r>
        <w:t xml:space="preserve">Attachment A </w:t>
      </w:r>
      <w:r>
        <w:t>–</w:t>
      </w:r>
      <w:r>
        <w:t xml:space="preserve"> OAS CAHPS Survey Instrument (Mail) </w:t>
      </w:r>
    </w:p>
    <w:p w:rsidR="006533E8" w14:paraId="2053009B" w14:textId="77777777">
      <w:pPr>
        <w:spacing w:after="568"/>
        <w:ind w:left="955" w:right="396"/>
      </w:pPr>
      <w:r>
        <w:t xml:space="preserve">Attachment B </w:t>
      </w:r>
      <w:r>
        <w:t>–</w:t>
      </w:r>
      <w:r>
        <w:t xml:space="preserve"> OAS CAHPS Survey Instrument (Telephone)  </w:t>
      </w:r>
    </w:p>
    <w:p w:rsidR="006533E8" w14:paraId="2B4B052A" w14:textId="77777777">
      <w:pPr>
        <w:spacing w:after="568"/>
        <w:ind w:left="955" w:right="396"/>
      </w:pPr>
      <w:r>
        <w:t xml:space="preserve">Attachment C </w:t>
      </w:r>
      <w:r>
        <w:t>–</w:t>
      </w:r>
      <w:r>
        <w:t xml:space="preserve"> OAS CAHPS Survey Instrument (Web)  </w:t>
      </w:r>
    </w:p>
    <w:p w:rsidR="006533E8" w14:paraId="7811E157" w14:textId="77777777">
      <w:pPr>
        <w:spacing w:after="567"/>
        <w:ind w:left="955" w:right="396"/>
      </w:pPr>
      <w:r>
        <w:t xml:space="preserve">Attachment D1-D4 </w:t>
      </w:r>
      <w:r>
        <w:t>–</w:t>
      </w:r>
      <w:r>
        <w:t xml:space="preserve"> OAS CAHPS Supporting Materials   </w:t>
      </w:r>
    </w:p>
    <w:p w:rsidR="006533E8" w14:paraId="60FEB293" w14:textId="77777777">
      <w:pPr>
        <w:spacing w:after="568"/>
        <w:ind w:left="955" w:right="396"/>
      </w:pPr>
      <w:r>
        <w:t xml:space="preserve">Attachment E1-E3 </w:t>
      </w:r>
      <w:r>
        <w:t>–</w:t>
      </w:r>
      <w:r>
        <w:t xml:space="preserve"> OAS CAHPS Spanish Survey Translations (Mail, Telephone, Web)   </w:t>
      </w:r>
    </w:p>
    <w:p w:rsidR="006533E8" w14:paraId="2615A7DE" w14:textId="77777777">
      <w:pPr>
        <w:spacing w:after="568"/>
        <w:ind w:left="955" w:right="396"/>
      </w:pPr>
      <w:r>
        <w:t xml:space="preserve">Attachment F </w:t>
      </w:r>
      <w:r>
        <w:t>–</w:t>
      </w:r>
      <w:r>
        <w:t xml:space="preserve"> OAS CAHPS Survey Crosswalk </w:t>
      </w:r>
    </w:p>
    <w:p w:rsidR="006533E8" w14:paraId="27D5A9CB" w14:textId="77777777">
      <w:pPr>
        <w:spacing w:after="5" w:line="744" w:lineRule="auto"/>
        <w:ind w:left="955" w:right="1316"/>
      </w:pPr>
      <w:r>
        <w:t xml:space="preserve">Attachment G </w:t>
      </w:r>
      <w:r>
        <w:t>–</w:t>
      </w:r>
      <w:r>
        <w:t xml:space="preserve"> Sixty Day Federal Register Notice </w:t>
      </w:r>
      <w:r>
        <w:t>–</w:t>
      </w:r>
      <w:r>
        <w:t xml:space="preserve"> OAS </w:t>
      </w:r>
      <w:r>
        <w:t>CAHPS  Attachment</w:t>
      </w:r>
      <w:r>
        <w:t xml:space="preserve"> H </w:t>
      </w:r>
      <w:r>
        <w:t>–</w:t>
      </w:r>
      <w:r>
        <w:t xml:space="preserve"> Responses to Public Comments </w:t>
      </w:r>
    </w:p>
    <w:p w:rsidR="006533E8" w14:paraId="4ADFA8C9" w14:textId="77777777">
      <w:pPr>
        <w:spacing w:after="95" w:line="259" w:lineRule="auto"/>
        <w:ind w:left="144" w:right="0"/>
      </w:pPr>
      <w:r>
        <w:rPr>
          <w:b/>
        </w:rPr>
        <w:t xml:space="preserve"> </w:t>
      </w:r>
      <w:r>
        <w:t xml:space="preserve"> </w:t>
      </w:r>
    </w:p>
    <w:p w:rsidR="006533E8" w14:paraId="015B1146" w14:textId="77777777">
      <w:pPr>
        <w:spacing w:after="35" w:line="259" w:lineRule="auto"/>
        <w:ind w:left="144" w:right="0"/>
      </w:pPr>
      <w:r>
        <w:rPr>
          <w:b/>
        </w:rPr>
        <w:t xml:space="preserve"> </w:t>
      </w:r>
      <w:r>
        <w:t xml:space="preserve"> </w:t>
      </w:r>
    </w:p>
    <w:p w:rsidR="006533E8" w14:paraId="1DB24D46" w14:textId="77777777">
      <w:pPr>
        <w:spacing w:after="0" w:line="259" w:lineRule="auto"/>
        <w:ind w:left="144" w:right="0"/>
      </w:pPr>
      <w:r>
        <w:t xml:space="preserve">  </w:t>
      </w:r>
      <w:r>
        <w:tab/>
      </w:r>
      <w:r>
        <w:rPr>
          <w:b/>
        </w:rPr>
        <w:t xml:space="preserve"> </w:t>
      </w:r>
      <w:r>
        <w:t xml:space="preserve"> </w:t>
      </w:r>
      <w:r>
        <w:tab/>
        <w:t xml:space="preserve"> </w:t>
      </w:r>
    </w:p>
    <w:p w:rsidR="008B35CD" w14:paraId="077F36A8" w14:textId="77777777">
      <w:pPr>
        <w:spacing w:after="0" w:line="259" w:lineRule="auto"/>
        <w:ind w:left="144" w:right="0"/>
      </w:pPr>
    </w:p>
    <w:p w:rsidR="008B35CD" w14:paraId="5C61023A" w14:textId="77777777">
      <w:pPr>
        <w:spacing w:after="0" w:line="259" w:lineRule="auto"/>
        <w:ind w:left="144" w:right="0"/>
      </w:pPr>
    </w:p>
    <w:p w:rsidR="008B35CD" w14:paraId="2DF93D60" w14:textId="77777777">
      <w:pPr>
        <w:spacing w:after="0" w:line="259" w:lineRule="auto"/>
        <w:ind w:left="144" w:right="0"/>
      </w:pPr>
    </w:p>
    <w:p w:rsidR="008B35CD" w14:paraId="25B302A7" w14:textId="77777777">
      <w:pPr>
        <w:spacing w:after="0" w:line="259" w:lineRule="auto"/>
        <w:ind w:left="144" w:right="0"/>
      </w:pPr>
    </w:p>
    <w:p w:rsidR="008B35CD" w14:paraId="644E965E" w14:textId="77777777">
      <w:pPr>
        <w:spacing w:after="0" w:line="259" w:lineRule="auto"/>
        <w:ind w:left="144" w:right="0"/>
      </w:pPr>
    </w:p>
    <w:p w:rsidR="008B35CD" w14:paraId="6EE6613F" w14:textId="77777777">
      <w:pPr>
        <w:spacing w:after="0" w:line="259" w:lineRule="auto"/>
        <w:ind w:left="144" w:right="0"/>
      </w:pPr>
    </w:p>
    <w:p w:rsidR="006533E8" w14:paraId="5C4B3BAA" w14:textId="77777777">
      <w:pPr>
        <w:pStyle w:val="Heading2"/>
        <w:ind w:left="139" w:right="1314"/>
      </w:pPr>
      <w:bookmarkStart w:id="1" w:name="_Toc22168"/>
      <w:r>
        <w:t xml:space="preserve">BACKGROUND  </w:t>
      </w:r>
      <w:bookmarkEnd w:id="1"/>
    </w:p>
    <w:p w:rsidR="006533E8" w14:paraId="4D3CC7CE" w14:textId="77777777">
      <w:pPr>
        <w:spacing w:after="102"/>
        <w:ind w:left="139" w:right="396" w:firstLine="720"/>
      </w:pPr>
      <w:r>
        <w:t>Since 1995, the Agency for Healthcare Research an Quality (AHRQ) and its Consumer Assessment of Healthcare Providers and Systems (CAHPS®) Consortium, in conjunction with the Centers for Medicare &amp; Medicaid Services (CMS), have developed standardized CAHPS Surveys and tools for a variety of patient populations, including commercially insured ambulatory patients, patients whose care is covered by Medicare and Medicaid, dialysis patients, home health patients, hospital inpatients, dental patients, and patients</w:t>
      </w:r>
      <w:r>
        <w:t xml:space="preserve"> who receive behavioral health care and </w:t>
      </w:r>
      <w:r>
        <w:t xml:space="preserve">services. The purpose of the CAHPS family of surveys is to collect data about patients’ </w:t>
      </w:r>
      <w:r>
        <w:t xml:space="preserve">assessment and rating of the care they receive from their health care provider or health care system.  </w:t>
      </w:r>
    </w:p>
    <w:p w:rsidR="006533E8" w14:paraId="2FCA004E" w14:textId="77777777">
      <w:pPr>
        <w:spacing w:after="0"/>
        <w:ind w:left="139" w:right="396" w:firstLine="720"/>
      </w:pPr>
      <w:r>
        <w:t xml:space="preserve">In 2012, CMS began development of a survey to serve as a standardized survey, now called the Consumer Assessment of Healthcare Providers and Systems Outpatient and  </w:t>
      </w:r>
    </w:p>
    <w:p w:rsidR="006533E8" w14:paraId="737A7B56" w14:textId="77777777">
      <w:pPr>
        <w:spacing w:after="131"/>
        <w:ind w:left="139" w:right="396"/>
      </w:pPr>
      <w:r>
        <w:t>Ambulatory Surgery CAHPS (OAS CAHPS) Survey, to measure the experiences of patients who receive outpatient surgical care from hospital-based outpatient surgical departments and independently owned ambulatory surgery centers. Its development included literature reviews, expert panel input, focus groups, cognitive testing, and multiple rounds of public comment. A national field test in 2014 confirmed the reliability and validity of the survey, which was then refined and streamlined. Additional mode experiment</w:t>
      </w:r>
      <w:r>
        <w:t xml:space="preserve">s in 2015 and 2019 tested mail, phone, web, and mixed administration methods, showing that while patient characteristics such as age, health, and education influence responses, these can be addressed through patient-mix adjustments. In 2022, the OAS CAHPS survey consisted of 34 questions for quality improvement and public reporting purposes.  </w:t>
      </w:r>
    </w:p>
    <w:p w:rsidR="006533E8" w14:paraId="3CDA8BA0" w14:textId="77777777">
      <w:pPr>
        <w:spacing w:after="131"/>
        <w:ind w:left="139" w:right="396" w:firstLine="725"/>
      </w:pPr>
      <w:r>
        <w:t xml:space="preserve">Currently, CMS is seeking approval under the Paperwork Reduction Act (PRA) to continue administering OAS CAHPS nationally with an update to the race/ethnicity question to comply with </w:t>
      </w:r>
      <w:hyperlink r:id="rId4">
        <w:r>
          <w:rPr>
            <w:color w:val="0000FF"/>
            <w:u w:val="single" w:color="0000FF"/>
          </w:rPr>
          <w:t>Statistical Policy Directive No. 15: Standards for Maintaining, Collecting, and</w:t>
        </w:r>
      </w:hyperlink>
      <w:hyperlink r:id="rId4">
        <w:r>
          <w:rPr>
            <w:color w:val="0000FF"/>
          </w:rPr>
          <w:t xml:space="preserve"> </w:t>
        </w:r>
      </w:hyperlink>
      <w:hyperlink r:id="rId4">
        <w:r>
          <w:rPr>
            <w:color w:val="0000FF"/>
            <w:u w:val="single" w:color="0000FF"/>
          </w:rPr>
          <w:t>Presenting Federal Data on Race and Ethnicity</w:t>
        </w:r>
      </w:hyperlink>
      <w:hyperlink r:id="rId4">
        <w:r>
          <w:t xml:space="preserve"> </w:t>
        </w:r>
      </w:hyperlink>
      <w:r>
        <w:t xml:space="preserve">(SPD 15). This revision will reduce the total number of questions in the OAS CAHPS survey instrument from 34 questions to 32 questions. </w:t>
      </w:r>
    </w:p>
    <w:p w:rsidR="006533E8" w14:paraId="272B5CDB" w14:textId="77777777">
      <w:pPr>
        <w:spacing w:after="96" w:line="259" w:lineRule="auto"/>
        <w:ind w:left="144" w:right="0"/>
      </w:pPr>
      <w:r>
        <w:t xml:space="preserve"> </w:t>
      </w:r>
    </w:p>
    <w:p w:rsidR="006533E8" w14:paraId="45960E55" w14:textId="77777777">
      <w:pPr>
        <w:spacing w:after="96" w:line="259" w:lineRule="auto"/>
        <w:ind w:right="221"/>
        <w:jc w:val="center"/>
      </w:pPr>
      <w:r>
        <w:rPr>
          <w:b/>
          <w:u w:val="single" w:color="000000"/>
        </w:rPr>
        <w:t>Synopsis of changes to requirements and burden for National Implementation</w:t>
      </w:r>
      <w:r>
        <w:rPr>
          <w:b/>
        </w:rPr>
        <w:t xml:space="preserve">. </w:t>
      </w:r>
    </w:p>
    <w:p w:rsidR="006533E8" w14:paraId="28B0A560" w14:textId="77777777">
      <w:pPr>
        <w:spacing w:after="102"/>
        <w:ind w:left="139" w:right="396" w:firstLine="720"/>
      </w:pPr>
      <w:r>
        <w:t xml:space="preserve"> As documented in the CY 2022 OPPS/ASC Final Rule (86 FR 63863 through 63866), OAS CAHPS Survey data was linked to reimbursement beginning with CY 2024 for HOPDs and CY 2025 for ASCs.    </w:t>
      </w:r>
    </w:p>
    <w:p w:rsidR="006533E8" w14:paraId="1BC52D31" w14:textId="77777777">
      <w:pPr>
        <w:ind w:left="139" w:right="396" w:firstLine="720"/>
      </w:pPr>
      <w:r>
        <w:t xml:space="preserve">CMS is requesting a Revision approval clearance from the Office of Management and Budget (OMB) to continue national implementation of the OAS CAHPS Survey to measure </w:t>
      </w:r>
      <w:r>
        <w:t>patients’ experience of care with outpatient and ambulatory surgery centers.</w:t>
      </w:r>
      <w:r>
        <w:rPr>
          <w:b/>
        </w:rPr>
        <w:t xml:space="preserve"> </w:t>
      </w:r>
      <w:r>
        <w:t xml:space="preserve">Changes planned for the OAS CAHPS Survey in 2027 include revisions to the race and ethnicity questions. Per OMB directive, a single race/ethnicity question will be added to replace the separate race and ethnicity questions that had been included. The revised survey consists of 33 questions. The updated versions of the OAS CAHPS Survey instruments and supporting materials survey can be found in </w:t>
      </w:r>
      <w:r>
        <w:rPr>
          <w:b/>
          <w:i/>
        </w:rPr>
        <w:t>Attachments A (Mail version)</w:t>
      </w:r>
      <w:r>
        <w:t>,</w:t>
      </w:r>
      <w:r>
        <w:rPr>
          <w:b/>
          <w:i/>
        </w:rPr>
        <w:t xml:space="preserve"> B (Telep</w:t>
      </w:r>
      <w:r>
        <w:rPr>
          <w:b/>
          <w:i/>
        </w:rPr>
        <w:t>hone version)</w:t>
      </w:r>
      <w:r>
        <w:t xml:space="preserve">, and </w:t>
      </w:r>
      <w:r>
        <w:rPr>
          <w:b/>
          <w:i/>
        </w:rPr>
        <w:t>C (Web version)</w:t>
      </w:r>
      <w:r>
        <w:t xml:space="preserve">. A crosswalk of survey changes can be found in </w:t>
      </w:r>
      <w:r>
        <w:rPr>
          <w:b/>
          <w:i/>
        </w:rPr>
        <w:t>Attachment F</w:t>
      </w:r>
      <w:r>
        <w:t xml:space="preserve"> </w:t>
      </w:r>
      <w:r>
        <w:rPr>
          <w:b/>
          <w:i/>
        </w:rPr>
        <w:t>(OAS CAHPS Survey Crosswalk).</w:t>
      </w:r>
      <w:r>
        <w:t xml:space="preserve">   </w:t>
      </w:r>
    </w:p>
    <w:p w:rsidR="006533E8" w14:paraId="7663780E" w14:textId="77777777">
      <w:pPr>
        <w:spacing w:after="0"/>
        <w:ind w:left="139" w:right="396" w:firstLine="360"/>
      </w:pPr>
      <w:r>
        <w:t xml:space="preserve">The burden estimates in section A.12 have been updated to reflect the anticipated participation rates for HOPDs and ASCs.  </w:t>
      </w:r>
    </w:p>
    <w:p w:rsidR="006533E8" w14:paraId="6101A752" w14:textId="77777777">
      <w:pPr>
        <w:spacing w:after="158" w:line="259" w:lineRule="auto"/>
        <w:ind w:left="144" w:right="0"/>
      </w:pPr>
      <w:r>
        <w:rPr>
          <w:b/>
          <w:i/>
        </w:rPr>
        <w:t xml:space="preserve"> </w:t>
      </w:r>
      <w:r>
        <w:t xml:space="preserve"> </w:t>
      </w:r>
    </w:p>
    <w:p w:rsidR="006533E8" w14:paraId="177CE6E8" w14:textId="77777777">
      <w:pPr>
        <w:pStyle w:val="Heading1"/>
        <w:tabs>
          <w:tab w:val="center" w:pos="1804"/>
        </w:tabs>
        <w:ind w:left="0" w:firstLine="0"/>
      </w:pPr>
      <w:bookmarkStart w:id="2" w:name="_Toc22169"/>
      <w:r>
        <w:t>A</w:t>
      </w:r>
      <w:r>
        <w:t xml:space="preserve">.  </w:t>
      </w:r>
      <w:r>
        <w:tab/>
      </w:r>
      <w:r>
        <w:t xml:space="preserve">JUSTIFICATION  </w:t>
      </w:r>
      <w:bookmarkEnd w:id="2"/>
    </w:p>
    <w:p w:rsidR="006533E8" w14:paraId="2DB31E43" w14:textId="77777777">
      <w:pPr>
        <w:pStyle w:val="Heading1"/>
        <w:tabs>
          <w:tab w:val="center" w:pos="4237"/>
        </w:tabs>
        <w:ind w:left="0" w:firstLine="0"/>
      </w:pPr>
      <w:bookmarkStart w:id="3" w:name="_Toc22170"/>
      <w:r>
        <w:t xml:space="preserve">A1.  </w:t>
      </w:r>
      <w:r>
        <w:tab/>
      </w:r>
      <w:r>
        <w:t xml:space="preserve">Circumstances Making the Collection of Information Necessary  </w:t>
      </w:r>
      <w:bookmarkEnd w:id="3"/>
    </w:p>
    <w:p w:rsidR="006533E8" w14:paraId="4B9CAADC" w14:textId="77777777">
      <w:pPr>
        <w:spacing w:after="102"/>
        <w:ind w:left="139" w:right="396" w:firstLine="720"/>
      </w:pPr>
      <w:r>
        <w:t xml:space="preserve">As documented in the CY 2022 OPPS/ASC Final Rule (86 FR 63863 through 63866), OAS CAHPS Survey data was linked to reimbursement beginning with CY 2024 for HOPDs and CY 2025 for ASCs.  </w:t>
      </w:r>
    </w:p>
    <w:p w:rsidR="006533E8" w14:paraId="54538E71" w14:textId="77777777">
      <w:pPr>
        <w:spacing w:after="102"/>
        <w:ind w:left="139" w:right="396" w:firstLine="720"/>
      </w:pPr>
      <w:r>
        <w:t xml:space="preserve">HOPDs and ASCs contract with a CMS-approved, independent third-party survey vendor to implement the survey on their behalf and to submit the OAS CAHPS data to CMS. CMS publicly reports comparative results from OAS CAHPS after each facility has conducted data collection for 4 quarters. Data from OAS CAHPS </w:t>
      </w:r>
      <w:r>
        <w:t>enable</w:t>
      </w:r>
      <w:r>
        <w:t xml:space="preserve"> consumers to make more informed decisions when choosing an outpatient surgery facility, </w:t>
      </w:r>
      <w:r>
        <w:t>aid facilities</w:t>
      </w:r>
      <w:r>
        <w:t xml:space="preserve"> in their quality improvement efforts, and help CMS monitor the performance of outpatient surgery facilities. Considering the increasing Medicare expenditures for outpatient surgical services from HOPDs and ASCs, the implementation of OAS CAHPS provides CMS with much-needed statistically valid data from the patient perspective to inform quality improvement and comparative consumer information about s</w:t>
      </w:r>
      <w:r>
        <w:t xml:space="preserve">pecific facilities.  </w:t>
      </w:r>
    </w:p>
    <w:p w:rsidR="006533E8" w14:paraId="248C5AB2" w14:textId="77777777">
      <w:pPr>
        <w:spacing w:after="135"/>
        <w:ind w:left="139" w:right="396" w:firstLine="720"/>
      </w:pPr>
      <w:r>
        <w:t xml:space="preserve">This OMB submission is in support of continuing national implementation of OAS CAHPS for HOPDs and ASCs.   </w:t>
      </w:r>
    </w:p>
    <w:p w:rsidR="006533E8" w14:paraId="378029BE" w14:textId="77777777">
      <w:pPr>
        <w:spacing w:after="146" w:line="259" w:lineRule="auto"/>
        <w:ind w:left="864" w:right="0"/>
      </w:pPr>
      <w:r>
        <w:rPr>
          <w:sz w:val="25"/>
        </w:rPr>
        <w:t xml:space="preserve"> </w:t>
      </w:r>
      <w:r>
        <w:t xml:space="preserve"> </w:t>
      </w:r>
    </w:p>
    <w:p w:rsidR="006533E8" w14:paraId="4ACE3803" w14:textId="77777777">
      <w:pPr>
        <w:pStyle w:val="Heading1"/>
        <w:tabs>
          <w:tab w:val="center" w:pos="3271"/>
        </w:tabs>
        <w:spacing w:after="84"/>
        <w:ind w:left="0" w:firstLine="0"/>
      </w:pPr>
      <w:bookmarkStart w:id="4" w:name="_Toc22171"/>
      <w:r>
        <w:t xml:space="preserve">A2.  </w:t>
      </w:r>
      <w:r>
        <w:tab/>
      </w:r>
      <w:r>
        <w:rPr>
          <w:sz w:val="25"/>
        </w:rPr>
        <w:t xml:space="preserve">Purpose and Use of Information Collection </w:t>
      </w:r>
      <w:r>
        <w:rPr>
          <w:b w:val="0"/>
        </w:rPr>
        <w:t xml:space="preserve"> </w:t>
      </w:r>
      <w:bookmarkEnd w:id="4"/>
    </w:p>
    <w:p w:rsidR="006533E8" w14:paraId="6447AAB2" w14:textId="77777777">
      <w:pPr>
        <w:spacing w:after="163"/>
        <w:ind w:left="139" w:right="396"/>
      </w:pPr>
      <w:r>
        <w:t xml:space="preserve">The information collected in the OAS CAHPS Survey will be used for the following purposes:  </w:t>
      </w:r>
    </w:p>
    <w:p w:rsidR="006533E8" w14:paraId="2C6C662D" w14:textId="77777777">
      <w:pPr>
        <w:numPr>
          <w:ilvl w:val="0"/>
          <w:numId w:val="1"/>
        </w:numPr>
        <w:spacing w:after="163"/>
        <w:ind w:right="396" w:hanging="360"/>
      </w:pPr>
      <w:r>
        <w:t xml:space="preserve">To provide a source of information from which patient experience of care measures can be publicly reported to beneficiaries to help them make informed decisions for outpatient surgery facility </w:t>
      </w:r>
      <w:r>
        <w:t>selection;</w:t>
      </w:r>
      <w:r>
        <w:t xml:space="preserve">  </w:t>
      </w:r>
    </w:p>
    <w:p w:rsidR="006533E8" w14:paraId="55989B52" w14:textId="77777777">
      <w:pPr>
        <w:numPr>
          <w:ilvl w:val="0"/>
          <w:numId w:val="1"/>
        </w:numPr>
        <w:spacing w:after="162"/>
        <w:ind w:right="396" w:hanging="360"/>
      </w:pPr>
      <w:r>
        <w:t xml:space="preserve">To aid facilities with their internal quality improvement efforts and external benchmarking with other facilities; and  </w:t>
      </w:r>
    </w:p>
    <w:p w:rsidR="006533E8" w14:paraId="5A8B83DC" w14:textId="77777777">
      <w:pPr>
        <w:numPr>
          <w:ilvl w:val="0"/>
          <w:numId w:val="1"/>
        </w:numPr>
        <w:spacing w:after="109"/>
        <w:ind w:right="396" w:hanging="360"/>
      </w:pPr>
      <w:r>
        <w:t xml:space="preserve">To provide CMS with information for monitoring and public reporting purposes.  </w:t>
      </w:r>
    </w:p>
    <w:p w:rsidR="006533E8" w14:paraId="354E7E6B" w14:textId="77777777">
      <w:pPr>
        <w:spacing w:after="102"/>
        <w:ind w:left="139" w:right="396" w:firstLine="720"/>
      </w:pPr>
      <w:r>
        <w:t>OAS CAHPS scores have been publicly reported on the Medicare.gov website since 2018 and have been used in the payment determination for Outpatient Prospective Payment System (OPPS) for hospitals that participate in the Hospital Outpatient Quality Reporting (Hospital OQR) program beginning with the CY 2024 data collection period and will be used for the payment determinations for ASC Payment System for ASCs that participate in the ASC Quality Reporting Program (ASCQR) beginning with the CY 2025 data collecti</w:t>
      </w:r>
      <w:r>
        <w:t xml:space="preserve">on period.   </w:t>
      </w:r>
    </w:p>
    <w:p w:rsidR="006533E8" w14:paraId="1F548D24" w14:textId="77777777">
      <w:pPr>
        <w:spacing w:after="33" w:line="259" w:lineRule="auto"/>
        <w:ind w:left="864" w:right="0"/>
      </w:pPr>
      <w:r>
        <w:t xml:space="preserve">  </w:t>
      </w:r>
    </w:p>
    <w:p w:rsidR="006533E8" w14:paraId="09B74F62" w14:textId="77777777">
      <w:pPr>
        <w:pStyle w:val="Heading1"/>
        <w:tabs>
          <w:tab w:val="center" w:pos="4308"/>
        </w:tabs>
        <w:ind w:left="0" w:firstLine="0"/>
      </w:pPr>
      <w:bookmarkStart w:id="5" w:name="_Toc22172"/>
      <w:r>
        <w:t xml:space="preserve">A3.  </w:t>
      </w:r>
      <w:r>
        <w:tab/>
        <w:t xml:space="preserve">Use of Improved Information Technology and Burden Reduction  </w:t>
      </w:r>
      <w:bookmarkEnd w:id="5"/>
    </w:p>
    <w:p w:rsidR="006533E8" w14:paraId="586D2A02" w14:textId="77777777">
      <w:pPr>
        <w:spacing w:after="102"/>
        <w:ind w:left="139" w:right="396" w:firstLine="720"/>
      </w:pPr>
      <w:r>
        <w:t xml:space="preserve">The national implementation of OAS CAHPS is designed to allow third-party, CMS- approved survey vendors to administer OAS CAHPS using mail-only, telephone-only, mixed </w:t>
      </w:r>
      <w:r>
        <w:t xml:space="preserve">mode (mail with telephone follow-up), mixed-mode (web with mail follow-up), or mixed-mode (web with telephone follow-up).  </w:t>
      </w:r>
    </w:p>
    <w:p w:rsidR="006533E8" w14:paraId="6EF16C89" w14:textId="77777777">
      <w:pPr>
        <w:spacing w:after="102"/>
        <w:ind w:left="139" w:right="396" w:firstLine="720"/>
      </w:pPr>
      <w:r>
        <w:t xml:space="preserve">The CMS-approved survey vendors who administer the survey use an electronic data collection system if they administer a telephone-only or mixed-mode survey using web.   </w:t>
      </w:r>
    </w:p>
    <w:p w:rsidR="006533E8" w14:paraId="3EDDAD7E" w14:textId="77777777">
      <w:pPr>
        <w:spacing w:after="163"/>
        <w:ind w:left="139" w:right="396" w:firstLine="720"/>
      </w:pPr>
      <w:r>
        <w:t xml:space="preserve">As with a Computer Assisted Telephone Interview (CATI) system, web administration offers numerous advantages, including the following:  </w:t>
      </w:r>
    </w:p>
    <w:p w:rsidR="006533E8" w14:paraId="5955A000" w14:textId="77777777">
      <w:pPr>
        <w:numPr>
          <w:ilvl w:val="0"/>
          <w:numId w:val="2"/>
        </w:numPr>
        <w:spacing w:after="167"/>
        <w:ind w:right="396" w:hanging="360"/>
      </w:pPr>
      <w:r>
        <w:t xml:space="preserve">costs less than in-person data </w:t>
      </w:r>
      <w:r>
        <w:t>collection;</w:t>
      </w:r>
      <w:r>
        <w:t xml:space="preserve">  </w:t>
      </w:r>
    </w:p>
    <w:p w:rsidR="006533E8" w14:paraId="44E8090D" w14:textId="77777777">
      <w:pPr>
        <w:numPr>
          <w:ilvl w:val="0"/>
          <w:numId w:val="2"/>
        </w:numPr>
        <w:spacing w:after="167"/>
        <w:ind w:right="396" w:hanging="360"/>
      </w:pPr>
      <w:r>
        <w:t xml:space="preserve">allows for a shorter data collection </w:t>
      </w:r>
      <w:r>
        <w:t>period;</w:t>
      </w:r>
      <w:r>
        <w:t xml:space="preserve">  </w:t>
      </w:r>
    </w:p>
    <w:p w:rsidR="006533E8" w14:paraId="14B00487" w14:textId="77777777">
      <w:pPr>
        <w:numPr>
          <w:ilvl w:val="0"/>
          <w:numId w:val="2"/>
        </w:numPr>
        <w:spacing w:after="165"/>
        <w:ind w:right="396" w:hanging="360"/>
      </w:pPr>
      <w:r>
        <w:t xml:space="preserve">reduces item nonresponse because the system controls the flow of the interview and complex </w:t>
      </w:r>
      <w:r>
        <w:t>routing;</w:t>
      </w:r>
      <w:r>
        <w:t xml:space="preserve">  </w:t>
      </w:r>
    </w:p>
    <w:p w:rsidR="006533E8" w14:paraId="3FAA697D" w14:textId="77777777">
      <w:pPr>
        <w:numPr>
          <w:ilvl w:val="0"/>
          <w:numId w:val="2"/>
        </w:numPr>
        <w:spacing w:after="165"/>
        <w:ind w:right="396" w:hanging="360"/>
      </w:pPr>
      <w:r>
        <w:t xml:space="preserve">increases data quality by allowing consistency and data range checks on respondent </w:t>
      </w:r>
      <w:r>
        <w:t>answers;</w:t>
      </w:r>
      <w:r>
        <w:t xml:space="preserve">  </w:t>
      </w:r>
    </w:p>
    <w:p w:rsidR="006533E8" w14:paraId="079DADF7" w14:textId="77777777">
      <w:pPr>
        <w:numPr>
          <w:ilvl w:val="0"/>
          <w:numId w:val="2"/>
        </w:numPr>
        <w:spacing w:after="165"/>
        <w:ind w:right="396" w:hanging="360"/>
      </w:pPr>
      <w:r>
        <w:t xml:space="preserve">creates a centralization of process/quality control; and  </w:t>
      </w:r>
    </w:p>
    <w:p w:rsidR="006533E8" w14:paraId="47279022" w14:textId="77777777">
      <w:pPr>
        <w:numPr>
          <w:ilvl w:val="0"/>
          <w:numId w:val="2"/>
        </w:numPr>
        <w:spacing w:after="136"/>
        <w:ind w:right="396" w:hanging="360"/>
      </w:pPr>
      <w:r>
        <w:t xml:space="preserve">reduces post-interview processing time and costs.  </w:t>
      </w:r>
    </w:p>
    <w:p w:rsidR="006533E8" w14:paraId="53D1330E" w14:textId="77777777">
      <w:pPr>
        <w:spacing w:after="96" w:line="259" w:lineRule="auto"/>
        <w:ind w:left="144" w:right="0"/>
      </w:pPr>
      <w:r>
        <w:t xml:space="preserve"> </w:t>
      </w:r>
    </w:p>
    <w:p w:rsidR="006533E8" w14:paraId="1BA07D99" w14:textId="77777777">
      <w:pPr>
        <w:spacing w:after="102"/>
        <w:ind w:right="396" w:firstLine="720"/>
      </w:pPr>
      <w:r>
        <w:t xml:space="preserve">The OAS CAHPS Survey and its implementation protocols can be found in the current version of the OAS CAHPS Protocol and Guidelines Manual (Version 9.0, November 2024), located at: </w:t>
      </w:r>
      <w:hyperlink r:id="rId5">
        <w:r>
          <w:t xml:space="preserve">Survey Materials </w:t>
        </w:r>
      </w:hyperlink>
      <w:hyperlink r:id="rId5">
        <w:r>
          <w:t>(</w:t>
        </w:r>
      </w:hyperlink>
      <w:hyperlink r:id="rId5">
        <w:r>
          <w:rPr>
            <w:color w:val="0000FF"/>
            <w:u w:val="single" w:color="0000FF"/>
          </w:rPr>
          <w:t>Survey Materials (oascahps.org)</w:t>
        </w:r>
      </w:hyperlink>
      <w:hyperlink r:id="rId6">
        <w:r>
          <w:t>)</w:t>
        </w:r>
      </w:hyperlink>
      <w:hyperlink r:id="rId6">
        <w:r>
          <w:t>.</w:t>
        </w:r>
      </w:hyperlink>
      <w:hyperlink r:id="rId6">
        <w:r>
          <w:t xml:space="preserve"> </w:t>
        </w:r>
      </w:hyperlink>
    </w:p>
    <w:p w:rsidR="006533E8" w14:paraId="76FF246E" w14:textId="77777777">
      <w:pPr>
        <w:spacing w:after="102"/>
        <w:ind w:left="139" w:right="396"/>
      </w:pPr>
      <w:r>
        <w:t xml:space="preserve">Currently, the OAS CAHPS Survey instruments and materials are translated into five languages: Spanish, Simplified Chinese, Traditional Chinese, Korean and Russian. CMS regularly asks for feedback on the need for additional languages and will continue to include additional languages as needs arise. Translations are available at </w:t>
      </w:r>
      <w:hyperlink r:id="rId5">
        <w:r>
          <w:rPr>
            <w:color w:val="0000FF"/>
            <w:u w:val="single" w:color="0000FF"/>
          </w:rPr>
          <w:t>https://oascahps.org/Survey</w:t>
        </w:r>
      </w:hyperlink>
      <w:hyperlink r:id="rId5">
        <w:r>
          <w:rPr>
            <w:color w:val="0000FF"/>
            <w:u w:val="single" w:color="0000FF"/>
          </w:rPr>
          <w:t>-</w:t>
        </w:r>
      </w:hyperlink>
      <w:hyperlink r:id="rId5">
        <w:r>
          <w:rPr>
            <w:color w:val="0000FF"/>
            <w:u w:val="single" w:color="0000FF"/>
          </w:rPr>
          <w:t>Materials</w:t>
        </w:r>
      </w:hyperlink>
      <w:hyperlink r:id="rId5">
        <w:r>
          <w:t>.</w:t>
        </w:r>
      </w:hyperlink>
      <w:r>
        <w:t xml:space="preserve"> </w:t>
      </w:r>
    </w:p>
    <w:p w:rsidR="006533E8" w14:paraId="35258599" w14:textId="77777777">
      <w:pPr>
        <w:spacing w:after="141" w:line="259" w:lineRule="auto"/>
        <w:ind w:left="144" w:right="0"/>
      </w:pPr>
      <w:r>
        <w:t xml:space="preserve"> </w:t>
      </w:r>
    </w:p>
    <w:p w:rsidR="006533E8" w14:paraId="7B831F50" w14:textId="77777777">
      <w:pPr>
        <w:pStyle w:val="Heading1"/>
        <w:tabs>
          <w:tab w:val="center" w:pos="4291"/>
        </w:tabs>
        <w:ind w:left="0" w:firstLine="0"/>
      </w:pPr>
      <w:bookmarkStart w:id="6" w:name="_Toc22173"/>
      <w:r>
        <w:t xml:space="preserve">A4.  </w:t>
      </w:r>
      <w:r>
        <w:tab/>
        <w:t xml:space="preserve">Efforts to Identify Duplication and Use of Similar Information  </w:t>
      </w:r>
      <w:bookmarkEnd w:id="6"/>
    </w:p>
    <w:p w:rsidR="006533E8" w14:paraId="70552D01" w14:textId="77777777">
      <w:pPr>
        <w:spacing w:after="105"/>
        <w:ind w:left="139" w:right="396" w:firstLine="720"/>
      </w:pPr>
      <w:r>
        <w:t xml:space="preserve">OAS CAHPS was designed to collect information that is fundamentally different from other CAHPS or patient experience of care surveys. CMS is not aware of any existing validated survey instrument where the unit of analysis is the hospital outpatient department or ambulatory surgery facility, and the focus of the survey is on patient-reported experience of care. The information collected through this survey will therefore not duplicate any other effort and is not obtainable from any other source.  </w:t>
      </w:r>
    </w:p>
    <w:p w:rsidR="006533E8" w14:paraId="0EAC83C4" w14:textId="77777777">
      <w:pPr>
        <w:spacing w:after="0"/>
        <w:ind w:left="139" w:right="396" w:firstLine="720"/>
      </w:pPr>
      <w:r>
        <w:t xml:space="preserve">Before the national implementation of the OAS CAHPS Survey, many HOPDs and ASCs were already carrying out their own patient experience of care surveys. These diverse surveys did not allow for comparisons across outpatient surgical facilities. Making comparative performance information available to the public can help consumers make more informed choices when selecting an outpatient surgery facility and can create incentives for facilities to improve care they </w:t>
      </w:r>
    </w:p>
    <w:p w:rsidR="006533E8" w14:paraId="0B47A82F" w14:textId="77777777">
      <w:pPr>
        <w:spacing w:after="105"/>
        <w:ind w:left="139" w:right="396"/>
      </w:pPr>
      <w:r>
        <w:t xml:space="preserve">provide. OAS CAHPS provides a standardized tool for collecting such information and comparisons across all facilities to enable consumers to compare facilities.  </w:t>
      </w:r>
    </w:p>
    <w:p w:rsidR="006533E8" w14:paraId="570BCC78" w14:textId="77777777">
      <w:pPr>
        <w:spacing w:after="0" w:line="259" w:lineRule="auto"/>
        <w:ind w:left="864" w:right="0"/>
      </w:pPr>
      <w:r>
        <w:t xml:space="preserve">  </w:t>
      </w:r>
    </w:p>
    <w:p w:rsidR="006533E8" w14:paraId="7AAFF6AD" w14:textId="77777777">
      <w:pPr>
        <w:pStyle w:val="Heading1"/>
        <w:tabs>
          <w:tab w:val="center" w:pos="3704"/>
        </w:tabs>
        <w:ind w:left="0" w:firstLine="0"/>
      </w:pPr>
      <w:bookmarkStart w:id="7" w:name="_Toc22174"/>
      <w:r>
        <w:t xml:space="preserve">A5.  </w:t>
      </w:r>
      <w:r>
        <w:tab/>
        <w:t xml:space="preserve">Impact on Small Businesses and Other Small Entities  </w:t>
      </w:r>
      <w:bookmarkEnd w:id="7"/>
    </w:p>
    <w:p w:rsidR="006533E8" w14:paraId="4B9737F1" w14:textId="77777777">
      <w:pPr>
        <w:spacing w:after="131"/>
        <w:ind w:left="139" w:right="396" w:firstLine="720"/>
      </w:pPr>
      <w:r>
        <w:t xml:space="preserve">Hospitals are not generally considered to be small businesses. Some ASCs are small businesses, but CMS has implemented protocols that allow smaller facilities to request an exemption from participation. HOPDs and ASCs that treated fewer than 60 survey-eligible patients in the year preceding the data collection period have the option to submit a request for exemption from participating in the OAS CAHPS Survey. An additional exemption applies for ASCs that had fewer than 240 Medicare claims in the prior year </w:t>
      </w:r>
      <w:r>
        <w:t xml:space="preserve">to the data collection year. This exemption does not require an exemption request. </w:t>
      </w:r>
    </w:p>
    <w:p w:rsidR="006533E8" w14:paraId="034A0460" w14:textId="77777777">
      <w:pPr>
        <w:spacing w:after="163"/>
        <w:ind w:left="139" w:right="396" w:firstLine="720"/>
      </w:pPr>
      <w:r>
        <w:t xml:space="preserve">They can choose to administer OAS CAHPS by mail, phone, mail with telephone </w:t>
      </w:r>
      <w:r>
        <w:t>followup</w:t>
      </w:r>
      <w:r>
        <w:t xml:space="preserve">, web with mail follow-up, or web with telephone follow-up. Costs associated with collecting OAS CAHPS will vary depending on: </w:t>
      </w:r>
    </w:p>
    <w:p w:rsidR="006533E8" w14:paraId="499698F6" w14:textId="77777777">
      <w:pPr>
        <w:numPr>
          <w:ilvl w:val="0"/>
          <w:numId w:val="3"/>
        </w:numPr>
        <w:ind w:right="396" w:hanging="360"/>
      </w:pPr>
      <w:r>
        <w:t xml:space="preserve">The mode of survey administration facilities </w:t>
      </w:r>
      <w:r>
        <w:t>choose</w:t>
      </w:r>
      <w:r>
        <w:t xml:space="preserve"> to collect patient survey data, </w:t>
      </w:r>
    </w:p>
    <w:p w:rsidR="006533E8" w14:paraId="3176F727" w14:textId="77777777">
      <w:pPr>
        <w:numPr>
          <w:ilvl w:val="0"/>
          <w:numId w:val="3"/>
        </w:numPr>
        <w:ind w:right="396" w:hanging="360"/>
      </w:pPr>
      <w:r>
        <w:t xml:space="preserve">The number of patients surveyed (target is 300 completed surveys per year for HOPDs and 200 completed surveys per year for ASCs) </w:t>
      </w:r>
    </w:p>
    <w:p w:rsidR="006533E8" w14:paraId="3BF45F39" w14:textId="77777777">
      <w:pPr>
        <w:numPr>
          <w:ilvl w:val="0"/>
          <w:numId w:val="3"/>
        </w:numPr>
        <w:spacing w:after="130"/>
        <w:ind w:right="396" w:hanging="360"/>
      </w:pPr>
      <w:r>
        <w:t xml:space="preserve">Whether it is possible to incorporate OAS CAHPS into their existing survey processes if the HOPD or ASC currently collects data </w:t>
      </w:r>
    </w:p>
    <w:p w:rsidR="006533E8" w14:paraId="28F5CF32" w14:textId="77777777">
      <w:pPr>
        <w:spacing w:after="131"/>
        <w:ind w:left="139" w:right="396" w:firstLine="720"/>
      </w:pPr>
      <w:r>
        <w:t xml:space="preserve">Some smaller HOPDs and ASCs that participate in OAS CAHPS might be unable to reach the target number of completed surveys in a 12-month period. In such cases, the HOPD or ASC should sample all patients and attempt to obtain as many completes as possible. OAS CAHPS scores based on fewer than the target 300 or 200 completed surveys are publicly reported but the lower reliability of these scores is noted by an appropriate footnote. </w:t>
      </w:r>
    </w:p>
    <w:p w:rsidR="006533E8" w14:paraId="791A818F" w14:textId="77777777">
      <w:pPr>
        <w:spacing w:after="161" w:line="259" w:lineRule="auto"/>
        <w:ind w:left="850" w:right="0"/>
      </w:pPr>
      <w:r>
        <w:t xml:space="preserve">  </w:t>
      </w:r>
    </w:p>
    <w:p w:rsidR="006533E8" w14:paraId="08E94755" w14:textId="77777777">
      <w:pPr>
        <w:pStyle w:val="Heading1"/>
        <w:tabs>
          <w:tab w:val="center" w:pos="4077"/>
        </w:tabs>
        <w:ind w:left="0" w:firstLine="0"/>
      </w:pPr>
      <w:bookmarkStart w:id="8" w:name="_Toc22175"/>
      <w:r>
        <w:t xml:space="preserve">A6.  </w:t>
      </w:r>
      <w:r>
        <w:tab/>
        <w:t xml:space="preserve">Consequences of Collecting </w:t>
      </w:r>
      <w:r>
        <w:t>the Information</w:t>
      </w:r>
      <w:r>
        <w:t xml:space="preserve"> Less Frequently  </w:t>
      </w:r>
      <w:bookmarkEnd w:id="8"/>
    </w:p>
    <w:p w:rsidR="006533E8" w14:paraId="78624F6F" w14:textId="77777777">
      <w:pPr>
        <w:spacing w:after="134"/>
        <w:ind w:left="139" w:right="396" w:firstLine="720"/>
      </w:pPr>
      <w:r>
        <w:t xml:space="preserve">The national implementation of OAS CAHPS </w:t>
      </w:r>
      <w:r>
        <w:t>on a monthly basis</w:t>
      </w:r>
      <w:r>
        <w:t xml:space="preserve"> allows for the collection </w:t>
      </w:r>
      <w:r>
        <w:t xml:space="preserve">of data about patients’ experience with outpatient surgical care at different points in time during a </w:t>
      </w:r>
      <w:r>
        <w:t xml:space="preserve">calendar year. Monthly implementation also allows sampled patients to assess their experience at the facility soon after their surgery or procedure is performed. Participating facilities provide a sample frame consisting of patients who received at least one surgery or procedure during the sample month to their survey vendor at least </w:t>
      </w:r>
      <w:r>
        <w:t>on a monthly basis</w:t>
      </w:r>
      <w:r>
        <w:t>. Many faci</w:t>
      </w:r>
      <w:r>
        <w:t xml:space="preserve">lities choose to have their vendor do continuous sampling </w:t>
      </w:r>
      <w:r>
        <w:t>in order to</w:t>
      </w:r>
      <w:r>
        <w:t xml:space="preserve"> have more timely data on the experience of their patients. Vendors initiate </w:t>
      </w:r>
      <w:r>
        <w:t>the data</w:t>
      </w:r>
      <w:r>
        <w:t xml:space="preserve"> collection from patients no later than 3 weeks after the sample month closes. Respondent burden is increased, and the recall factor becomes a problem if patients are asked to recall their care experiences after longer lapses of time. Monthly sampling and administering the survey within 3 weeks after the close of the sample month reduce the amount of time </w:t>
      </w:r>
      <w:r>
        <w:t xml:space="preserve">between outpatient care event and survey completion. CMS does not believe that a less frequent data collection period will result in the most accurate and complete data for public reporting and quality monitoring purposes. Although data collection will be completed by vendors on a continuous or monthly basis, data will be submitted to CMS quarterly.  </w:t>
      </w:r>
    </w:p>
    <w:p w:rsidR="006533E8" w14:paraId="6E8E4112" w14:textId="77777777">
      <w:pPr>
        <w:spacing w:after="140" w:line="259" w:lineRule="auto"/>
        <w:ind w:left="864" w:right="0"/>
      </w:pPr>
      <w:r>
        <w:rPr>
          <w:sz w:val="25"/>
        </w:rPr>
        <w:t xml:space="preserve"> </w:t>
      </w:r>
      <w:r>
        <w:t xml:space="preserve"> </w:t>
      </w:r>
    </w:p>
    <w:p w:rsidR="006533E8" w14:paraId="6263312B" w14:textId="77777777">
      <w:pPr>
        <w:spacing w:after="0" w:line="259" w:lineRule="auto"/>
        <w:ind w:left="144" w:right="0"/>
      </w:pPr>
      <w:r>
        <w:rPr>
          <w:b/>
        </w:rPr>
        <w:t xml:space="preserve"> </w:t>
      </w:r>
      <w:r>
        <w:rPr>
          <w:b/>
        </w:rPr>
        <w:tab/>
        <w:t xml:space="preserve"> </w:t>
      </w:r>
    </w:p>
    <w:p w:rsidR="006533E8" w14:paraId="1262328A" w14:textId="77777777">
      <w:pPr>
        <w:pStyle w:val="Heading1"/>
        <w:tabs>
          <w:tab w:val="center" w:pos="4135"/>
        </w:tabs>
        <w:ind w:left="0" w:firstLine="0"/>
      </w:pPr>
      <w:bookmarkStart w:id="9" w:name="_Toc22176"/>
      <w:r>
        <w:t xml:space="preserve">A7.  </w:t>
      </w:r>
      <w:r>
        <w:tab/>
        <w:t xml:space="preserve">Special Circumstances Relating to Guidelines of 5 CFR1320.5 </w:t>
      </w:r>
      <w:r>
        <w:rPr>
          <w:b w:val="0"/>
        </w:rPr>
        <w:t xml:space="preserve"> </w:t>
      </w:r>
      <w:bookmarkEnd w:id="9"/>
    </w:p>
    <w:p w:rsidR="006533E8" w14:paraId="5C398B88" w14:textId="77777777">
      <w:pPr>
        <w:spacing w:after="154"/>
        <w:ind w:left="139" w:right="108"/>
      </w:pPr>
      <w:r>
        <w:rPr>
          <w:b/>
        </w:rPr>
        <w:t xml:space="preserve"> </w:t>
      </w:r>
      <w:r>
        <w:t xml:space="preserve">There are no special circumstances that would require an information collection to be conducted in a manner that requires respondents to:  </w:t>
      </w:r>
    </w:p>
    <w:p w:rsidR="006533E8" w14:paraId="26AAD17A" w14:textId="77777777">
      <w:pPr>
        <w:numPr>
          <w:ilvl w:val="0"/>
          <w:numId w:val="4"/>
        </w:numPr>
        <w:ind w:right="396" w:hanging="360"/>
      </w:pPr>
      <w:r>
        <w:t xml:space="preserve">Report information to the agency more often than </w:t>
      </w:r>
      <w:r>
        <w:t>quarterly;</w:t>
      </w:r>
      <w:r>
        <w:t xml:space="preserve">  </w:t>
      </w:r>
    </w:p>
    <w:p w:rsidR="006533E8" w14:paraId="0232EC79" w14:textId="77777777">
      <w:pPr>
        <w:numPr>
          <w:ilvl w:val="0"/>
          <w:numId w:val="4"/>
        </w:numPr>
        <w:ind w:right="396" w:hanging="360"/>
      </w:pPr>
      <w:r>
        <w:t xml:space="preserve">Prepare a written response to a collection of information in fewer than 30 days after receipt of </w:t>
      </w:r>
      <w:r>
        <w:t>it;</w:t>
      </w:r>
      <w:r>
        <w:t xml:space="preserve">   </w:t>
      </w:r>
    </w:p>
    <w:p w:rsidR="006533E8" w14:paraId="76A68571" w14:textId="77777777">
      <w:pPr>
        <w:numPr>
          <w:ilvl w:val="0"/>
          <w:numId w:val="4"/>
        </w:numPr>
        <w:ind w:right="396" w:hanging="360"/>
      </w:pPr>
      <w:r>
        <w:t xml:space="preserve">Submit more than an original and two copies of any </w:t>
      </w:r>
      <w:r>
        <w:t>document;</w:t>
      </w:r>
      <w:r>
        <w:t xml:space="preserve">  </w:t>
      </w:r>
    </w:p>
    <w:p w:rsidR="006533E8" w14:paraId="6D5A35B0" w14:textId="77777777">
      <w:pPr>
        <w:numPr>
          <w:ilvl w:val="0"/>
          <w:numId w:val="4"/>
        </w:numPr>
        <w:ind w:right="396" w:hanging="360"/>
      </w:pPr>
      <w:r>
        <w:t xml:space="preserve">Retain records, other than health, medical, government contract, grant-in-aid, or tax records for more than three </w:t>
      </w:r>
      <w:r>
        <w:t>years;</w:t>
      </w:r>
      <w:r>
        <w:t xml:space="preserve">  </w:t>
      </w:r>
    </w:p>
    <w:p w:rsidR="006533E8" w14:paraId="38CA9899" w14:textId="77777777">
      <w:pPr>
        <w:numPr>
          <w:ilvl w:val="0"/>
          <w:numId w:val="4"/>
        </w:numPr>
        <w:ind w:right="396" w:hanging="360"/>
      </w:pPr>
      <w:r>
        <w:t xml:space="preserve">Collect data in connection with a statistical survey that is not designed to produce valid and reliable results that can be generalized to the universe of study,  </w:t>
      </w:r>
    </w:p>
    <w:p w:rsidR="006533E8" w14:paraId="4F4D0291" w14:textId="77777777">
      <w:pPr>
        <w:numPr>
          <w:ilvl w:val="0"/>
          <w:numId w:val="4"/>
        </w:numPr>
        <w:ind w:right="396" w:hanging="360"/>
      </w:pPr>
      <w:r>
        <w:t xml:space="preserve">Use a statistical data classification that has not been reviewed and approved by </w:t>
      </w:r>
      <w:r>
        <w:t>OMB;</w:t>
      </w:r>
      <w:r>
        <w:t xml:space="preserve">  </w:t>
      </w:r>
    </w:p>
    <w:p w:rsidR="006533E8" w14:paraId="58685E79" w14:textId="77777777">
      <w:pPr>
        <w:numPr>
          <w:ilvl w:val="0"/>
          <w:numId w:val="4"/>
        </w:numPr>
        <w:ind w:right="396" w:hanging="360"/>
      </w:pPr>
      <w: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6533E8" w14:paraId="36FD3414" w14:textId="77777777">
      <w:pPr>
        <w:numPr>
          <w:ilvl w:val="0"/>
          <w:numId w:val="4"/>
        </w:numPr>
        <w:spacing w:after="120"/>
        <w:ind w:right="396" w:hanging="360"/>
      </w:pPr>
      <w:r>
        <w:t xml:space="preserve">Submit proprietary trade </w:t>
      </w:r>
      <w:r>
        <w:t>secret</w:t>
      </w:r>
      <w:r>
        <w:t xml:space="preserve">, or other confidential information unless the agency can demonstrate that it has instituted procedures to protect the information's confidentiality to the extent permitted by law.  </w:t>
      </w:r>
    </w:p>
    <w:p w:rsidR="006533E8" w14:paraId="2AC3C13A" w14:textId="77777777">
      <w:pPr>
        <w:spacing w:after="158" w:line="259" w:lineRule="auto"/>
        <w:ind w:left="864" w:right="0"/>
      </w:pPr>
      <w:r>
        <w:t xml:space="preserve">  </w:t>
      </w:r>
    </w:p>
    <w:p w:rsidR="006533E8" w14:paraId="32D89F5E" w14:textId="77777777">
      <w:pPr>
        <w:pStyle w:val="Heading1"/>
        <w:tabs>
          <w:tab w:val="center" w:pos="4225"/>
        </w:tabs>
        <w:ind w:left="0" w:firstLine="0"/>
      </w:pPr>
      <w:bookmarkStart w:id="10" w:name="_Toc22177"/>
      <w:r>
        <w:t xml:space="preserve">A8.  </w:t>
      </w:r>
      <w:r>
        <w:tab/>
        <w:t xml:space="preserve">Federal Register Notice and Efforts to Consult Outside Agencies  </w:t>
      </w:r>
      <w:bookmarkEnd w:id="10"/>
    </w:p>
    <w:p w:rsidR="006533E8" w14:paraId="3B66B60F" w14:textId="6E9162A7">
      <w:pPr>
        <w:spacing w:after="101"/>
        <w:ind w:left="139" w:right="396"/>
      </w:pPr>
      <w:r>
        <w:t xml:space="preserve">The 60-day notice was published in the Federal Register on </w:t>
      </w:r>
      <w:r w:rsidR="008B35CD">
        <w:t>11/28/2025</w:t>
      </w:r>
      <w:r>
        <w:t xml:space="preserve"> </w:t>
      </w:r>
      <w:r w:rsidR="008B35CD">
        <w:t>(</w:t>
      </w:r>
      <w:r w:rsidRPr="008B35CD" w:rsidR="008B35CD">
        <w:t>90 FR 54693</w:t>
      </w:r>
      <w:r w:rsidR="008B35CD">
        <w:t>)</w:t>
      </w:r>
      <w:r>
        <w:t xml:space="preserve">.  </w:t>
      </w:r>
    </w:p>
    <w:p w:rsidR="008B35CD" w14:paraId="495B3E37" w14:textId="3B77ABDB">
      <w:pPr>
        <w:spacing w:after="101"/>
        <w:ind w:left="139" w:right="396"/>
      </w:pPr>
      <w:r>
        <w:t>No comments were received during the 60-day comment period.</w:t>
      </w:r>
    </w:p>
    <w:p w:rsidR="008B35CD" w14:paraId="5F04D6D9" w14:textId="77777777">
      <w:pPr>
        <w:spacing w:after="101"/>
        <w:ind w:left="139" w:right="396"/>
      </w:pPr>
    </w:p>
    <w:p w:rsidR="008B35CD" w:rsidP="008B35CD" w14:paraId="4EC6A56F" w14:textId="7580CB8F">
      <w:pPr>
        <w:spacing w:after="101"/>
        <w:ind w:left="139" w:right="396"/>
      </w:pPr>
      <w:r>
        <w:t xml:space="preserve">The </w:t>
      </w:r>
      <w:r>
        <w:t>3</w:t>
      </w:r>
      <w:r>
        <w:t>0-day notice was published in the Federal Register on [</w:t>
      </w:r>
      <w:r>
        <w:rPr>
          <w:shd w:val="clear" w:color="auto" w:fill="FFFF00"/>
        </w:rPr>
        <w:t>date</w:t>
      </w:r>
      <w:r>
        <w:t>] (</w:t>
      </w:r>
      <w:r>
        <w:rPr>
          <w:shd w:val="clear" w:color="auto" w:fill="FFFF00"/>
        </w:rPr>
        <w:t>##</w:t>
      </w:r>
      <w:r>
        <w:t xml:space="preserve"> FR </w:t>
      </w:r>
      <w:r>
        <w:rPr>
          <w:shd w:val="clear" w:color="auto" w:fill="FFFF00"/>
        </w:rPr>
        <w:t>#####</w:t>
      </w:r>
      <w:r>
        <w:t>)</w:t>
      </w:r>
      <w:r>
        <w:t xml:space="preserve">.  </w:t>
      </w:r>
    </w:p>
    <w:p w:rsidR="006533E8" w14:paraId="6E634047" w14:textId="77777777">
      <w:pPr>
        <w:spacing w:after="99" w:line="259" w:lineRule="auto"/>
        <w:ind w:left="850" w:right="0"/>
      </w:pPr>
      <w:r>
        <w:t xml:space="preserve"> </w:t>
      </w:r>
    </w:p>
    <w:p w:rsidR="006533E8" w14:paraId="70A5D408" w14:textId="77777777">
      <w:pPr>
        <w:pStyle w:val="Heading4"/>
        <w:spacing w:after="213"/>
        <w:ind w:left="874" w:right="1314"/>
      </w:pPr>
      <w:r>
        <w:t xml:space="preserve">A.8.1 Outside Consultations </w:t>
      </w:r>
      <w:r>
        <w:rPr>
          <w:b w:val="0"/>
        </w:rPr>
        <w:t xml:space="preserve"> </w:t>
      </w:r>
    </w:p>
    <w:p w:rsidR="006533E8" w14:paraId="24C43B02" w14:textId="77777777">
      <w:pPr>
        <w:spacing w:after="165"/>
        <w:ind w:left="139" w:right="396" w:firstLine="720"/>
      </w:pPr>
      <w:r>
        <w:t xml:space="preserve">As part of survey development and plans for implementation, CMS received feedback from the following organizations:  </w:t>
      </w:r>
    </w:p>
    <w:p w:rsidR="006533E8" w14:paraId="17187832" w14:textId="77777777">
      <w:pPr>
        <w:numPr>
          <w:ilvl w:val="0"/>
          <w:numId w:val="5"/>
        </w:numPr>
        <w:ind w:right="396" w:hanging="360"/>
      </w:pPr>
      <w:r>
        <w:t xml:space="preserve">Accreditation Association for Ambulatory Health Care Institute for Quality Improvement  </w:t>
      </w:r>
    </w:p>
    <w:p w:rsidR="006533E8" w14:paraId="20C7E00C" w14:textId="77777777">
      <w:pPr>
        <w:numPr>
          <w:ilvl w:val="0"/>
          <w:numId w:val="5"/>
        </w:numPr>
        <w:ind w:right="396" w:hanging="360"/>
      </w:pPr>
      <w:r>
        <w:t xml:space="preserve">Ambulatory Surgery Center Association  </w:t>
      </w:r>
    </w:p>
    <w:p w:rsidR="006533E8" w14:paraId="2EEAE395" w14:textId="77777777">
      <w:pPr>
        <w:numPr>
          <w:ilvl w:val="0"/>
          <w:numId w:val="5"/>
        </w:numPr>
        <w:ind w:right="396" w:hanging="360"/>
      </w:pPr>
      <w:r>
        <w:t xml:space="preserve">Ambulatory Surgery Center Quality Collaboration  </w:t>
      </w:r>
    </w:p>
    <w:p w:rsidR="006533E8" w14:paraId="04299FF4" w14:textId="77777777">
      <w:pPr>
        <w:numPr>
          <w:ilvl w:val="0"/>
          <w:numId w:val="5"/>
        </w:numPr>
        <w:ind w:right="396" w:hanging="360"/>
      </w:pPr>
      <w:r>
        <w:t>AmSurg</w:t>
      </w:r>
      <w:r>
        <w:t xml:space="preserve">  </w:t>
      </w:r>
    </w:p>
    <w:p w:rsidR="006533E8" w14:paraId="4BE9F86E" w14:textId="77777777">
      <w:pPr>
        <w:numPr>
          <w:ilvl w:val="0"/>
          <w:numId w:val="5"/>
        </w:numPr>
        <w:ind w:right="396" w:hanging="360"/>
      </w:pPr>
      <w:r>
        <w:t xml:space="preserve">Anesthesia Quality Institute  </w:t>
      </w:r>
    </w:p>
    <w:p w:rsidR="006533E8" w14:paraId="69EC74EA" w14:textId="77777777">
      <w:pPr>
        <w:numPr>
          <w:ilvl w:val="0"/>
          <w:numId w:val="5"/>
        </w:numPr>
        <w:ind w:right="396" w:hanging="360"/>
      </w:pPr>
      <w:r>
        <w:t xml:space="preserve">BayCare health System  </w:t>
      </w:r>
    </w:p>
    <w:p w:rsidR="006533E8" w14:paraId="2F4E36DC" w14:textId="77777777">
      <w:pPr>
        <w:numPr>
          <w:ilvl w:val="0"/>
          <w:numId w:val="5"/>
        </w:numPr>
        <w:ind w:right="396" w:hanging="360"/>
      </w:pPr>
      <w:r>
        <w:t xml:space="preserve">Carilion Clinic Orthopedics  </w:t>
      </w:r>
    </w:p>
    <w:p w:rsidR="006533E8" w14:paraId="669B6771" w14:textId="77777777">
      <w:pPr>
        <w:numPr>
          <w:ilvl w:val="0"/>
          <w:numId w:val="5"/>
        </w:numPr>
        <w:ind w:right="396" w:hanging="360"/>
      </w:pPr>
      <w:r>
        <w:t xml:space="preserve">Cleveland Clinic Health System  </w:t>
      </w:r>
    </w:p>
    <w:p w:rsidR="006533E8" w14:paraId="72DC4BDD" w14:textId="77777777">
      <w:pPr>
        <w:numPr>
          <w:ilvl w:val="0"/>
          <w:numId w:val="5"/>
        </w:numPr>
        <w:ind w:right="396" w:hanging="360"/>
      </w:pPr>
      <w:r>
        <w:t>HONOReform</w:t>
      </w:r>
      <w:r>
        <w:t xml:space="preserve">  </w:t>
      </w:r>
    </w:p>
    <w:p w:rsidR="006533E8" w14:paraId="08575A1F" w14:textId="77777777">
      <w:pPr>
        <w:numPr>
          <w:ilvl w:val="0"/>
          <w:numId w:val="5"/>
        </w:numPr>
        <w:ind w:right="396" w:hanging="360"/>
      </w:pPr>
      <w:r>
        <w:t xml:space="preserve">Hospital Corporation of America  </w:t>
      </w:r>
    </w:p>
    <w:p w:rsidR="006533E8" w14:paraId="1A28FC0E" w14:textId="77777777">
      <w:pPr>
        <w:numPr>
          <w:ilvl w:val="0"/>
          <w:numId w:val="5"/>
        </w:numPr>
        <w:ind w:right="396" w:hanging="360"/>
      </w:pPr>
      <w:r>
        <w:t xml:space="preserve">McLeod Health  </w:t>
      </w:r>
    </w:p>
    <w:p w:rsidR="006533E8" w14:paraId="315A5FAE" w14:textId="77777777">
      <w:pPr>
        <w:numPr>
          <w:ilvl w:val="0"/>
          <w:numId w:val="5"/>
        </w:numPr>
        <w:ind w:right="396" w:hanging="360"/>
      </w:pPr>
      <w:r>
        <w:t xml:space="preserve">National Center for Health Statistics  </w:t>
      </w:r>
    </w:p>
    <w:p w:rsidR="006533E8" w14:paraId="731571B2" w14:textId="77777777">
      <w:pPr>
        <w:numPr>
          <w:ilvl w:val="0"/>
          <w:numId w:val="5"/>
        </w:numPr>
        <w:ind w:right="396" w:hanging="360"/>
      </w:pPr>
      <w:r>
        <w:t xml:space="preserve">National Partnership for Women &amp; Families  </w:t>
      </w:r>
    </w:p>
    <w:p w:rsidR="006533E8" w14:paraId="18B7B18D" w14:textId="77777777">
      <w:pPr>
        <w:numPr>
          <w:ilvl w:val="0"/>
          <w:numId w:val="5"/>
        </w:numPr>
        <w:ind w:right="396" w:hanging="360"/>
      </w:pPr>
      <w:r>
        <w:t xml:space="preserve">Ohio State Government  </w:t>
      </w:r>
    </w:p>
    <w:p w:rsidR="006533E8" w14:paraId="5A2339AD" w14:textId="77777777">
      <w:pPr>
        <w:numPr>
          <w:ilvl w:val="0"/>
          <w:numId w:val="5"/>
        </w:numPr>
        <w:ind w:right="396" w:hanging="360"/>
      </w:pPr>
      <w:r>
        <w:t xml:space="preserve">Providence Hospital  </w:t>
      </w:r>
    </w:p>
    <w:p w:rsidR="006533E8" w14:paraId="14687851" w14:textId="77777777">
      <w:pPr>
        <w:numPr>
          <w:ilvl w:val="0"/>
          <w:numId w:val="5"/>
        </w:numPr>
        <w:ind w:right="396" w:hanging="360"/>
      </w:pPr>
      <w:r>
        <w:t xml:space="preserve">The Joint Commission  </w:t>
      </w:r>
    </w:p>
    <w:p w:rsidR="006533E8" w14:paraId="06DC866F" w14:textId="77777777">
      <w:pPr>
        <w:numPr>
          <w:ilvl w:val="0"/>
          <w:numId w:val="5"/>
        </w:numPr>
        <w:ind w:right="396" w:hanging="360"/>
      </w:pPr>
      <w:r>
        <w:t xml:space="preserve">Trinity Surgery Center  </w:t>
      </w:r>
    </w:p>
    <w:p w:rsidR="006533E8" w14:paraId="551DFCFB" w14:textId="77777777">
      <w:pPr>
        <w:numPr>
          <w:ilvl w:val="0"/>
          <w:numId w:val="5"/>
        </w:numPr>
        <w:spacing w:after="126"/>
        <w:ind w:right="396" w:hanging="360"/>
      </w:pPr>
      <w:r>
        <w:t xml:space="preserve">University of North Carolina at Chapel Hill    </w:t>
      </w:r>
    </w:p>
    <w:p w:rsidR="006533E8" w14:paraId="7A7F0CE9" w14:textId="77777777">
      <w:pPr>
        <w:spacing w:after="127" w:line="259" w:lineRule="auto"/>
        <w:ind w:left="1584" w:right="0"/>
      </w:pPr>
      <w:r>
        <w:t xml:space="preserve">  </w:t>
      </w:r>
    </w:p>
    <w:p w:rsidR="006533E8" w14:paraId="771F3DC7" w14:textId="77777777">
      <w:pPr>
        <w:pStyle w:val="Heading1"/>
        <w:spacing w:after="6" w:line="346" w:lineRule="auto"/>
        <w:ind w:left="264" w:right="3331" w:firstLine="0"/>
      </w:pPr>
      <w:bookmarkStart w:id="11" w:name="_Toc22178"/>
      <w:r>
        <w:t xml:space="preserve">A9.  Explanation of Any Payment or Gift to Respondents  </w:t>
      </w:r>
      <w:bookmarkEnd w:id="11"/>
    </w:p>
    <w:p w:rsidR="006533E8" w14:paraId="0491F44E" w14:textId="77777777">
      <w:pPr>
        <w:spacing w:after="6" w:line="346" w:lineRule="auto"/>
        <w:ind w:left="264" w:right="3331"/>
      </w:pPr>
      <w:r>
        <w:t xml:space="preserve">No payments or gifts will be provided to respondents.  </w:t>
      </w:r>
    </w:p>
    <w:p w:rsidR="006533E8" w14:paraId="6E56154C" w14:textId="77777777">
      <w:pPr>
        <w:spacing w:after="73" w:line="259" w:lineRule="auto"/>
        <w:ind w:left="864" w:right="0"/>
      </w:pPr>
      <w:r>
        <w:rPr>
          <w:sz w:val="25"/>
        </w:rPr>
        <w:t xml:space="preserve"> </w:t>
      </w:r>
      <w:r>
        <w:t xml:space="preserve"> </w:t>
      </w:r>
    </w:p>
    <w:p w:rsidR="006533E8" w14:paraId="777BF0F4" w14:textId="77777777">
      <w:pPr>
        <w:pStyle w:val="Heading1"/>
        <w:ind w:left="257" w:right="1314"/>
      </w:pPr>
      <w:bookmarkStart w:id="12" w:name="_Toc22179"/>
      <w:r>
        <w:t xml:space="preserve">A10. Assurances of Confidentiality Provided to Respondents  </w:t>
      </w:r>
      <w:bookmarkEnd w:id="12"/>
    </w:p>
    <w:p w:rsidR="006533E8" w14:paraId="68D7B3A7" w14:textId="77777777">
      <w:pPr>
        <w:spacing w:after="102"/>
        <w:ind w:left="139" w:right="396" w:firstLine="720"/>
      </w:pPr>
      <w:r>
        <w:t xml:space="preserve">Individuals contacted as part of this data collection will be assured of the confidentiality of their replies under 42 U.S.C. 1306, 20 CFR 401 and 422, 5 U.S.C. 552 (Freedom of Information Act), 5 U.S.C. 552a (Privacy Act of 1974), and OMB Circular A-130. The participant will be told the purposes for which the information is collected and that, in accordance with this statute, any identifiable information about them will not be used or disclosed for any other purpose. However, in instances where respondent </w:t>
      </w:r>
      <w:r>
        <w:t xml:space="preserve">identity is needed, the information collection will fully comply with all aspects of the Privacy Act.  </w:t>
      </w:r>
    </w:p>
    <w:p w:rsidR="006533E8" w14:paraId="361406FA" w14:textId="77777777">
      <w:pPr>
        <w:spacing w:after="105"/>
        <w:ind w:left="139" w:right="396" w:firstLine="720"/>
      </w:pPr>
      <w:r>
        <w:t xml:space="preserve">Concern </w:t>
      </w:r>
      <w:r>
        <w:t>for</w:t>
      </w:r>
      <w:r>
        <w:t xml:space="preserve"> </w:t>
      </w:r>
      <w:r>
        <w:t>the confidentiality</w:t>
      </w:r>
      <w:r>
        <w:t xml:space="preserve"> and protection of respondents’ rights is critically important </w:t>
      </w:r>
      <w:r>
        <w:t>on</w:t>
      </w:r>
      <w:r>
        <w:t xml:space="preserve"> any patient experience of care survey. Some patients might not be willing to participate in the survey for fear of retribution from the facility, Medicare, Medicaid, or other </w:t>
      </w:r>
      <w:r>
        <w:t>payer</w:t>
      </w:r>
      <w:r>
        <w:t>. There is also a concern that some patients might respond to the survey but might respond in a way that does not reflect their actual experiences with outpatient surgical care. Therefore, assurances of confidentiality are critically important</w:t>
      </w:r>
      <w:r>
        <w:t xml:space="preserve"> with this patient population.  </w:t>
      </w:r>
    </w:p>
    <w:p w:rsidR="006533E8" w14:paraId="395C8195" w14:textId="77777777">
      <w:pPr>
        <w:spacing w:after="105"/>
        <w:ind w:left="139" w:right="396" w:firstLine="720"/>
      </w:pPr>
      <w:r>
        <w:t>OAS CAHPS patients will be more willing to participate if an outside organization administers the survey. In addition, the HOPDs and ASCs will be asked not to discuss OAS CAHPS with their patients, and especially in any way that might influence the patient</w:t>
      </w:r>
      <w:r>
        <w:t xml:space="preserve">s’ decision </w:t>
      </w:r>
      <w:r>
        <w:t xml:space="preserve">to participate in the survey or their responses to the survey. The cover letter included with the mail survey questionnaire or the email for the web survey, which are sent to sample patients, will </w:t>
      </w:r>
      <w:r>
        <w:t xml:space="preserve">encourage patients to call the survey vendor’s </w:t>
      </w:r>
      <w:r>
        <w:t xml:space="preserve">toll-free telephone number if they have any questions about the survey.  </w:t>
      </w:r>
    </w:p>
    <w:p w:rsidR="006533E8" w14:paraId="2CE40606" w14:textId="77777777">
      <w:pPr>
        <w:spacing w:after="105"/>
        <w:ind w:left="139" w:right="396" w:firstLine="720"/>
      </w:pPr>
      <w:r>
        <w:t xml:space="preserve">Survey vendors approved to conduct OAS CAHPS for participating facilities are required to have systems and methods in place to protect the identity of sampled patients and the confidential nature of the data that they provide. The survey vendors submit only de-identified survey data for analysis.  </w:t>
      </w:r>
    </w:p>
    <w:p w:rsidR="006533E8" w14:paraId="42C7E64D" w14:textId="77777777">
      <w:pPr>
        <w:spacing w:after="163"/>
        <w:ind w:left="139" w:right="396" w:firstLine="720"/>
      </w:pPr>
      <w:r>
        <w:t xml:space="preserve">OAS CAHPS vendors will be required to include the following assurances of confidentiality in communications with sample patients:  </w:t>
      </w:r>
    </w:p>
    <w:p w:rsidR="006533E8" w14:paraId="09DAF4D0" w14:textId="77777777">
      <w:pPr>
        <w:numPr>
          <w:ilvl w:val="0"/>
          <w:numId w:val="6"/>
        </w:numPr>
        <w:ind w:right="396" w:hanging="360"/>
      </w:pPr>
      <w:r>
        <w:t xml:space="preserve">the purposes of the survey and how survey results will be </w:t>
      </w:r>
      <w:r>
        <w:t>used;</w:t>
      </w:r>
      <w:r>
        <w:t xml:space="preserve">  </w:t>
      </w:r>
    </w:p>
    <w:p w:rsidR="006533E8" w14:paraId="2FEE8510" w14:textId="77777777">
      <w:pPr>
        <w:numPr>
          <w:ilvl w:val="0"/>
          <w:numId w:val="6"/>
        </w:numPr>
        <w:ind w:right="396" w:hanging="360"/>
      </w:pPr>
      <w:r>
        <w:t xml:space="preserve">participation in OAS CAHPS is </w:t>
      </w:r>
      <w:r>
        <w:t>voluntary;</w:t>
      </w:r>
      <w:r>
        <w:t xml:space="preserve">  </w:t>
      </w:r>
    </w:p>
    <w:p w:rsidR="006533E8" w14:paraId="6C7384CF" w14:textId="77777777">
      <w:pPr>
        <w:numPr>
          <w:ilvl w:val="0"/>
          <w:numId w:val="6"/>
        </w:numPr>
        <w:ind w:right="396" w:hanging="360"/>
      </w:pPr>
      <w:r>
        <w:t>the information they provide is protected by federal law (Privacy Act</w:t>
      </w:r>
      <w:r>
        <w:t>);</w:t>
      </w:r>
      <w:r>
        <w:t xml:space="preserve">  </w:t>
      </w:r>
    </w:p>
    <w:p w:rsidR="006533E8" w14:paraId="26BAFCC6" w14:textId="77777777">
      <w:pPr>
        <w:numPr>
          <w:ilvl w:val="0"/>
          <w:numId w:val="6"/>
        </w:numPr>
        <w:ind w:right="396" w:hanging="360"/>
      </w:pPr>
      <w:r>
        <w:t xml:space="preserve">their survey responses will never be linked to their name or other identifying </w:t>
      </w:r>
      <w:r>
        <w:t>information;</w:t>
      </w:r>
      <w:r>
        <w:t xml:space="preserve">  </w:t>
      </w:r>
    </w:p>
    <w:p w:rsidR="006533E8" w14:paraId="6E801045" w14:textId="77777777">
      <w:pPr>
        <w:numPr>
          <w:ilvl w:val="0"/>
          <w:numId w:val="6"/>
        </w:numPr>
        <w:spacing w:after="28" w:line="260" w:lineRule="auto"/>
        <w:ind w:right="396" w:hanging="360"/>
      </w:pPr>
      <w:r>
        <w:t xml:space="preserve">all respondents’ survey responses will be reported in aggregate, no facility will see their </w:t>
      </w:r>
      <w:r>
        <w:t xml:space="preserve">individual answers; and </w:t>
      </w:r>
    </w:p>
    <w:p w:rsidR="006533E8" w14:paraId="41FD06D3" w14:textId="77777777">
      <w:pPr>
        <w:numPr>
          <w:ilvl w:val="0"/>
          <w:numId w:val="6"/>
        </w:numPr>
        <w:spacing w:after="121" w:line="259" w:lineRule="auto"/>
        <w:ind w:right="396" w:hanging="360"/>
      </w:pPr>
      <w:r>
        <w:t xml:space="preserve">they can skip or refuse to answer any question they do not feel comfortable with. </w:t>
      </w:r>
    </w:p>
    <w:p w:rsidR="006533E8" w14:paraId="22FBABE3" w14:textId="77777777">
      <w:pPr>
        <w:spacing w:after="160" w:line="259" w:lineRule="auto"/>
        <w:ind w:left="1584" w:right="0"/>
      </w:pPr>
      <w:r>
        <w:t xml:space="preserve"> </w:t>
      </w:r>
    </w:p>
    <w:p w:rsidR="006533E8" w14:paraId="2BFDF823" w14:textId="77777777">
      <w:pPr>
        <w:pStyle w:val="Heading1"/>
        <w:tabs>
          <w:tab w:val="center" w:pos="2794"/>
        </w:tabs>
        <w:ind w:left="0" w:firstLine="0"/>
      </w:pPr>
      <w:bookmarkStart w:id="13" w:name="_Toc22180"/>
      <w:r>
        <w:t xml:space="preserve">A11.  </w:t>
      </w:r>
      <w:r>
        <w:tab/>
        <w:t xml:space="preserve">Justification for Sensitive Questions  </w:t>
      </w:r>
      <w:bookmarkEnd w:id="13"/>
    </w:p>
    <w:p w:rsidR="006533E8" w14:paraId="492513EE" w14:textId="77777777">
      <w:pPr>
        <w:spacing w:after="132"/>
        <w:ind w:left="139" w:right="396" w:firstLine="720"/>
      </w:pPr>
      <w:r>
        <w:t xml:space="preserve">Information collected in this survey is not considered to be of a sensitive nature. Questions in the survey are confined to respondent interactions and experiences with their outpatient surgery facility.  </w:t>
      </w:r>
    </w:p>
    <w:p w:rsidR="006533E8" w14:paraId="2E7A7AA9" w14:textId="77777777">
      <w:pPr>
        <w:spacing w:after="160" w:line="259" w:lineRule="auto"/>
        <w:ind w:left="1584" w:right="0"/>
      </w:pPr>
      <w:r>
        <w:t xml:space="preserve">  </w:t>
      </w:r>
    </w:p>
    <w:p w:rsidR="006533E8" w14:paraId="2BC08022" w14:textId="77777777">
      <w:pPr>
        <w:pStyle w:val="Heading1"/>
        <w:tabs>
          <w:tab w:val="center" w:pos="2891"/>
        </w:tabs>
        <w:ind w:left="0" w:firstLine="0"/>
      </w:pPr>
      <w:bookmarkStart w:id="14" w:name="_Toc22181"/>
      <w:r>
        <w:t xml:space="preserve">A12.  </w:t>
      </w:r>
      <w:r>
        <w:tab/>
        <w:t xml:space="preserve">Estimates of Burden (Time and Cost)  </w:t>
      </w:r>
      <w:bookmarkEnd w:id="14"/>
    </w:p>
    <w:p w:rsidR="006533E8" w14:paraId="130070EB" w14:textId="77777777">
      <w:pPr>
        <w:spacing w:after="93" w:line="259" w:lineRule="auto"/>
        <w:ind w:left="125" w:right="0" w:hanging="10"/>
      </w:pPr>
      <w:r>
        <w:rPr>
          <w:i/>
        </w:rPr>
        <w:t xml:space="preserve">Wage Estimates  </w:t>
      </w:r>
    </w:p>
    <w:p w:rsidR="006533E8" w14:paraId="12F8B5AD" w14:textId="77777777">
      <w:pPr>
        <w:spacing w:after="0"/>
        <w:ind w:left="139" w:right="396" w:firstLine="720"/>
      </w:pPr>
      <w:r>
        <w:rPr>
          <w:u w:val="single" w:color="000000"/>
        </w:rPr>
        <w:t>Individuals.</w:t>
      </w:r>
      <w:r>
        <w:t xml:space="preserve"> To derive average costs for individuals we used data from the U.S. Bureau of </w:t>
      </w:r>
      <w:r>
        <w:t>Labor Statistics’ May 20</w:t>
      </w:r>
      <w:r>
        <w:t>24 National Occupational Employment and Wage Estimates for our salary estimate (</w:t>
      </w:r>
      <w:hyperlink r:id="rId7" w:anchor="/industry/000000">
        <w:r>
          <w:rPr>
            <w:color w:val="0000FF"/>
            <w:u w:val="single" w:color="0000FF"/>
          </w:rPr>
          <w:t xml:space="preserve">https://data.bls.gov/oes/ </w:t>
        </w:r>
      </w:hyperlink>
      <w:hyperlink r:id="rId7" w:anchor="/industry/000000">
        <w:r>
          <w:rPr>
            <w:color w:val="0000FF"/>
            <w:u w:val="single" w:color="0000FF"/>
          </w:rPr>
          <w:t xml:space="preserve">- </w:t>
        </w:r>
      </w:hyperlink>
      <w:hyperlink r:id="rId7" w:anchor="/industry/000000">
        <w:r>
          <w:rPr>
            <w:color w:val="0000FF"/>
            <w:u w:val="single" w:color="0000FF"/>
          </w:rPr>
          <w:t>/industry/00000</w:t>
        </w:r>
      </w:hyperlink>
      <w:hyperlink r:id="rId8">
        <w:r>
          <w:rPr>
            <w:color w:val="0000FF"/>
            <w:u w:val="single" w:color="0000FF"/>
          </w:rPr>
          <w:t>0</w:t>
        </w:r>
      </w:hyperlink>
      <w:hyperlink r:id="rId8">
        <w:r>
          <w:t>)</w:t>
        </w:r>
      </w:hyperlink>
      <w:hyperlink r:id="rId8">
        <w:r>
          <w:t>.</w:t>
        </w:r>
      </w:hyperlink>
      <w:r>
        <w:t xml:space="preserve"> We believe that the burden will be addressed under All Occupations (occupation code 00-0000) at $32.66/hour since the group of individual respondents varies widely from working and nonworking individuals and by respondent age, location, years of employment, and educational attainment, etc.  </w:t>
      </w:r>
    </w:p>
    <w:p w:rsidR="006533E8" w14:paraId="6A5E5A34" w14:textId="77777777">
      <w:pPr>
        <w:spacing w:after="0" w:line="259" w:lineRule="auto"/>
        <w:ind w:left="144" w:right="0"/>
      </w:pPr>
      <w:r>
        <w:t xml:space="preserve">  </w:t>
      </w:r>
    </w:p>
    <w:p w:rsidR="006533E8" w14:paraId="40B76B1C" w14:textId="77777777">
      <w:pPr>
        <w:spacing w:after="102"/>
        <w:ind w:left="139" w:right="396" w:firstLine="720"/>
      </w:pPr>
      <w:r>
        <w:t xml:space="preserve">Unlike our private sector adjustment to the respondent hourly wage (see below), we are </w:t>
      </w:r>
      <w:r>
        <w:t xml:space="preserve">not adjusting this figure for fringe benefits and overhead since the individuals’ activities would </w:t>
      </w:r>
      <w:r>
        <w:t xml:space="preserve">occur outside the scope of their employment.   </w:t>
      </w:r>
    </w:p>
    <w:p w:rsidR="006533E8" w14:paraId="5794F26D" w14:textId="77777777">
      <w:pPr>
        <w:spacing w:after="0" w:line="259" w:lineRule="auto"/>
        <w:ind w:left="144" w:right="0"/>
      </w:pPr>
      <w:r>
        <w:t xml:space="preserve">  </w:t>
      </w:r>
    </w:p>
    <w:p w:rsidR="006533E8" w14:paraId="082536F6" w14:textId="77777777">
      <w:pPr>
        <w:spacing w:after="0"/>
        <w:ind w:left="139" w:right="396" w:firstLine="720"/>
      </w:pPr>
      <w:r>
        <w:rPr>
          <w:u w:val="single" w:color="000000"/>
        </w:rPr>
        <w:t>Private Sector.</w:t>
      </w:r>
      <w:r>
        <w:t xml:space="preserve"> To derive average costs for HOPDs and ASCs, we used data from the U.S. </w:t>
      </w:r>
      <w:r>
        <w:t>Bureau of Labor Statistics’ May 20</w:t>
      </w:r>
      <w:r>
        <w:t>24 National Occupational Employment and Wage Estimates for all salary estimates (</w:t>
      </w:r>
      <w:hyperlink r:id="rId8">
        <w:r>
          <w:rPr>
            <w:color w:val="1F419A"/>
            <w:u w:val="single" w:color="1F419A"/>
          </w:rPr>
          <w:t>www.bls.gov/oes/current/oes_nat.ht</w:t>
        </w:r>
      </w:hyperlink>
      <w:hyperlink r:id="rId8">
        <w:r>
          <w:rPr>
            <w:color w:val="1F419A"/>
            <w:u w:val="single" w:color="1F419A"/>
          </w:rPr>
          <w:t>m</w:t>
        </w:r>
      </w:hyperlink>
      <w:hyperlink r:id="rId8">
        <w:r>
          <w:t>)</w:t>
        </w:r>
      </w:hyperlink>
      <w:hyperlink r:id="rId8">
        <w:r>
          <w:t>.</w:t>
        </w:r>
      </w:hyperlink>
      <w:r>
        <w:t xml:space="preserve"> We believe that the burden will be addressed by a database and network administrators and architects (occupation code 15-1240) at $55.69/hour. As indicated below we are adjusting our employee hourly wage estimate by a factor of 100 percent to $111.38/hour.  </w:t>
      </w:r>
    </w:p>
    <w:p w:rsidR="006533E8" w14:paraId="16BA3C68" w14:textId="77777777">
      <w:pPr>
        <w:spacing w:after="0" w:line="259" w:lineRule="auto"/>
        <w:ind w:left="144" w:right="0"/>
      </w:pPr>
      <w:r>
        <w:t xml:space="preserve">  </w:t>
      </w:r>
    </w:p>
    <w:p w:rsidR="006533E8" w14:paraId="01AC2EBD" w14:textId="77777777">
      <w:pPr>
        <w:spacing w:after="100"/>
        <w:ind w:left="139" w:right="396" w:firstLine="720"/>
      </w:pPr>
      <w:r>
        <w:t xml:space="preserve">The 100 percent adjustments are rough estimates, both because fringe benefits and overhead costs vary significantly from employer to employer, and because methods of estimating these costs vary widely from study to study. Nonetheless, there is no practical alternative, and we </w:t>
      </w:r>
      <w:r>
        <w:t xml:space="preserve">believe that doubling the hourly wage to estimate total cost is a reasonably accurate estimation method.  </w:t>
      </w:r>
    </w:p>
    <w:p w:rsidR="006533E8" w14:paraId="4589AAAD" w14:textId="77777777">
      <w:pPr>
        <w:spacing w:after="0" w:line="259" w:lineRule="auto"/>
        <w:ind w:left="864" w:right="0"/>
      </w:pPr>
      <w:r>
        <w:t xml:space="preserve">  </w:t>
      </w:r>
    </w:p>
    <w:p w:rsidR="006533E8" w14:paraId="4D659A85" w14:textId="77777777">
      <w:pPr>
        <w:spacing w:after="93" w:line="259" w:lineRule="auto"/>
        <w:ind w:left="125" w:right="0" w:hanging="10"/>
      </w:pPr>
      <w:r>
        <w:rPr>
          <w:i/>
        </w:rPr>
        <w:t xml:space="preserve">Information Collection Requirements and Burden Estimates  </w:t>
      </w:r>
    </w:p>
    <w:p w:rsidR="006533E8" w14:paraId="4DE5D1D5" w14:textId="77777777">
      <w:pPr>
        <w:spacing w:after="0"/>
        <w:ind w:left="139" w:right="396" w:firstLine="720"/>
      </w:pPr>
      <w:r>
        <w:rPr>
          <w:u w:val="single" w:color="000000"/>
        </w:rPr>
        <w:t>Individuals.</w:t>
      </w:r>
      <w:r>
        <w:t xml:space="preserve"> We continue to estimate that it takes approximately 8 minutes (0.13 hours) to complete the survey. Estimated annualized burden hours and costs to the respondent for the national implementation are shown in </w:t>
      </w:r>
      <w:r>
        <w:rPr>
          <w:b/>
        </w:rPr>
        <w:t xml:space="preserve">Exhibits A-1 (Estimated Time) </w:t>
      </w:r>
      <w:r>
        <w:t>and</w:t>
      </w:r>
      <w:r>
        <w:rPr>
          <w:b/>
        </w:rPr>
        <w:t xml:space="preserve"> A-2 (Estimated Cost)</w:t>
      </w:r>
      <w:r>
        <w:t>. These estimates assume a total of 11,596 HOPDs and ASCs (the universe of Medicare certified facilities). The estimated count of Medicare-certified ASCs assumed to be eligible for participation in the OAS CAHPS Survey is 4,908.</w:t>
      </w:r>
      <w:r>
        <w:rPr>
          <w:vertAlign w:val="superscript"/>
        </w:rPr>
        <w:t>1</w:t>
      </w:r>
      <w:r>
        <w:t xml:space="preserve"> The estimated count o</w:t>
      </w:r>
      <w:r>
        <w:t>f Medicare-certified HOPDs is assumed to be 3,519.</w:t>
      </w:r>
      <w:r>
        <w:rPr>
          <w:vertAlign w:val="superscript"/>
        </w:rPr>
        <w:t>2</w:t>
      </w:r>
      <w:r>
        <w:t xml:space="preserve"> Thus, the total number of participating HOPDs and ASCs for 2026 is estimated to be 8,427. From initial implementation we have better estimates of the number of facilities (HOPDs and ASCs) that are required to participate. HOPDs and ASCs with small numbers of eligible patients do not have to participate in OAS CAHPS. Each participating HOPD will have approximately 300 survey completes and each ASC will have approximately 200 survey completes, thus the total</w:t>
      </w:r>
      <w:r>
        <w:t xml:space="preserve"> number of expected respondents is 2,037,300.   </w:t>
      </w:r>
      <w:r>
        <w:rPr>
          <w:b/>
        </w:rPr>
        <w:t xml:space="preserve"> Exhibit A-1. Estimated Time (Annual)  </w:t>
      </w:r>
    </w:p>
    <w:tbl>
      <w:tblPr>
        <w:tblStyle w:val="TableGrid"/>
        <w:tblW w:w="9390" w:type="dxa"/>
        <w:tblInd w:w="202" w:type="dxa"/>
        <w:tblCellMar>
          <w:top w:w="71" w:type="dxa"/>
          <w:left w:w="0" w:type="dxa"/>
          <w:bottom w:w="37" w:type="dxa"/>
          <w:right w:w="0" w:type="dxa"/>
        </w:tblCellMar>
        <w:tblLook w:val="04A0"/>
      </w:tblPr>
      <w:tblGrid>
        <w:gridCol w:w="3182"/>
        <w:gridCol w:w="1810"/>
        <w:gridCol w:w="1532"/>
        <w:gridCol w:w="1474"/>
        <w:gridCol w:w="1392"/>
      </w:tblGrid>
      <w:tr w14:paraId="4599FE21" w14:textId="77777777">
        <w:tblPrEx>
          <w:tblW w:w="9390" w:type="dxa"/>
          <w:tblInd w:w="202" w:type="dxa"/>
          <w:tblCellMar>
            <w:top w:w="71" w:type="dxa"/>
            <w:left w:w="0" w:type="dxa"/>
            <w:bottom w:w="37" w:type="dxa"/>
            <w:right w:w="0" w:type="dxa"/>
          </w:tblCellMar>
          <w:tblLook w:val="04A0"/>
        </w:tblPrEx>
        <w:trPr>
          <w:trHeight w:val="1071"/>
        </w:trPr>
        <w:tc>
          <w:tcPr>
            <w:tcW w:w="3183" w:type="dxa"/>
            <w:tcBorders>
              <w:top w:val="single" w:sz="12" w:space="0" w:color="000000"/>
              <w:left w:val="nil"/>
              <w:bottom w:val="single" w:sz="4" w:space="0" w:color="000000"/>
              <w:right w:val="nil"/>
            </w:tcBorders>
            <w:vAlign w:val="bottom"/>
          </w:tcPr>
          <w:p w:rsidR="006533E8" w14:paraId="04AFB957" w14:textId="77777777">
            <w:pPr>
              <w:spacing w:after="0" w:line="259" w:lineRule="auto"/>
              <w:ind w:right="131"/>
              <w:jc w:val="center"/>
            </w:pPr>
            <w:r>
              <w:rPr>
                <w:b/>
                <w:sz w:val="22"/>
              </w:rPr>
              <w:t xml:space="preserve">Form Name </w:t>
            </w:r>
            <w:r>
              <w:t xml:space="preserve"> </w:t>
            </w:r>
          </w:p>
        </w:tc>
        <w:tc>
          <w:tcPr>
            <w:tcW w:w="1810" w:type="dxa"/>
            <w:tcBorders>
              <w:top w:val="single" w:sz="12" w:space="0" w:color="000000"/>
              <w:left w:val="nil"/>
              <w:bottom w:val="single" w:sz="4" w:space="0" w:color="000000"/>
              <w:right w:val="nil"/>
            </w:tcBorders>
            <w:vAlign w:val="bottom"/>
          </w:tcPr>
          <w:p w:rsidR="006533E8" w14:paraId="6465F3BA" w14:textId="77777777">
            <w:pPr>
              <w:spacing w:after="0" w:line="259" w:lineRule="auto"/>
              <w:ind w:left="7" w:right="0" w:firstLine="89"/>
            </w:pPr>
            <w:r>
              <w:rPr>
                <w:b/>
                <w:sz w:val="22"/>
              </w:rPr>
              <w:t xml:space="preserve">Number of Respondents </w:t>
            </w:r>
            <w:r>
              <w:t xml:space="preserve"> </w:t>
            </w:r>
          </w:p>
        </w:tc>
        <w:tc>
          <w:tcPr>
            <w:tcW w:w="1532" w:type="dxa"/>
            <w:tcBorders>
              <w:top w:val="single" w:sz="12" w:space="0" w:color="000000"/>
              <w:left w:val="nil"/>
              <w:bottom w:val="single" w:sz="4" w:space="0" w:color="000000"/>
              <w:right w:val="nil"/>
            </w:tcBorders>
            <w:vAlign w:val="center"/>
          </w:tcPr>
          <w:p w:rsidR="006533E8" w14:paraId="36441E75" w14:textId="77777777">
            <w:pPr>
              <w:spacing w:after="0" w:line="259" w:lineRule="auto"/>
              <w:ind w:left="202" w:right="0"/>
            </w:pPr>
            <w:r>
              <w:rPr>
                <w:b/>
                <w:sz w:val="22"/>
              </w:rPr>
              <w:t xml:space="preserve">Number of </w:t>
            </w:r>
            <w:r>
              <w:t xml:space="preserve"> </w:t>
            </w:r>
          </w:p>
          <w:p w:rsidR="006533E8" w14:paraId="6E5139F4" w14:textId="77777777">
            <w:pPr>
              <w:spacing w:after="0" w:line="259" w:lineRule="auto"/>
              <w:ind w:left="156" w:right="0" w:hanging="113"/>
            </w:pPr>
            <w:r>
              <w:rPr>
                <w:b/>
                <w:sz w:val="22"/>
              </w:rPr>
              <w:t xml:space="preserve">Responses per Respondent </w:t>
            </w:r>
            <w:r>
              <w:t xml:space="preserve"> </w:t>
            </w:r>
          </w:p>
        </w:tc>
        <w:tc>
          <w:tcPr>
            <w:tcW w:w="1474" w:type="dxa"/>
            <w:tcBorders>
              <w:top w:val="single" w:sz="12" w:space="0" w:color="000000"/>
              <w:left w:val="nil"/>
              <w:bottom w:val="single" w:sz="4" w:space="0" w:color="000000"/>
              <w:right w:val="nil"/>
            </w:tcBorders>
            <w:vAlign w:val="bottom"/>
          </w:tcPr>
          <w:p w:rsidR="006533E8" w14:paraId="3D294279" w14:textId="77777777">
            <w:pPr>
              <w:spacing w:after="0" w:line="259" w:lineRule="auto"/>
              <w:ind w:left="242" w:right="0" w:hanging="38"/>
            </w:pPr>
            <w:r>
              <w:rPr>
                <w:b/>
                <w:sz w:val="22"/>
              </w:rPr>
              <w:t xml:space="preserve">Hours per Response </w:t>
            </w:r>
            <w:r>
              <w:t xml:space="preserve"> </w:t>
            </w:r>
          </w:p>
        </w:tc>
        <w:tc>
          <w:tcPr>
            <w:tcW w:w="1392" w:type="dxa"/>
            <w:tcBorders>
              <w:top w:val="single" w:sz="12" w:space="0" w:color="000000"/>
              <w:left w:val="nil"/>
              <w:bottom w:val="single" w:sz="4" w:space="0" w:color="000000"/>
              <w:right w:val="nil"/>
            </w:tcBorders>
            <w:vAlign w:val="bottom"/>
          </w:tcPr>
          <w:p w:rsidR="006533E8" w14:paraId="72E7E71B" w14:textId="77777777">
            <w:pPr>
              <w:spacing w:after="0" w:line="259" w:lineRule="auto"/>
              <w:ind w:left="341" w:right="0" w:hanging="341"/>
            </w:pPr>
            <w:r>
              <w:rPr>
                <w:b/>
                <w:sz w:val="22"/>
              </w:rPr>
              <w:t xml:space="preserve">Total Burden Hours </w:t>
            </w:r>
            <w:r>
              <w:t xml:space="preserve"> </w:t>
            </w:r>
          </w:p>
        </w:tc>
      </w:tr>
      <w:tr w14:paraId="74E3D5EA" w14:textId="77777777">
        <w:tblPrEx>
          <w:tblW w:w="9390" w:type="dxa"/>
          <w:tblInd w:w="202" w:type="dxa"/>
          <w:tblCellMar>
            <w:top w:w="71" w:type="dxa"/>
            <w:left w:w="0" w:type="dxa"/>
            <w:bottom w:w="37" w:type="dxa"/>
            <w:right w:w="0" w:type="dxa"/>
          </w:tblCellMar>
          <w:tblLook w:val="04A0"/>
        </w:tblPrEx>
        <w:trPr>
          <w:trHeight w:val="526"/>
        </w:trPr>
        <w:tc>
          <w:tcPr>
            <w:tcW w:w="3183" w:type="dxa"/>
            <w:tcBorders>
              <w:top w:val="single" w:sz="4" w:space="0" w:color="000000"/>
              <w:left w:val="nil"/>
              <w:bottom w:val="single" w:sz="12" w:space="0" w:color="000000"/>
              <w:right w:val="nil"/>
            </w:tcBorders>
            <w:vAlign w:val="center"/>
          </w:tcPr>
          <w:p w:rsidR="006533E8" w14:paraId="3FB713A0" w14:textId="77777777">
            <w:pPr>
              <w:spacing w:after="0" w:line="259" w:lineRule="auto"/>
              <w:ind w:left="137" w:right="0"/>
            </w:pPr>
            <w:r>
              <w:rPr>
                <w:sz w:val="22"/>
              </w:rPr>
              <w:t xml:space="preserve">OAS CAHPS Survey </w:t>
            </w:r>
            <w:r>
              <w:t xml:space="preserve"> </w:t>
            </w:r>
          </w:p>
        </w:tc>
        <w:tc>
          <w:tcPr>
            <w:tcW w:w="1810" w:type="dxa"/>
            <w:tcBorders>
              <w:top w:val="single" w:sz="4" w:space="0" w:color="000000"/>
              <w:left w:val="nil"/>
              <w:bottom w:val="single" w:sz="12" w:space="0" w:color="000000"/>
              <w:right w:val="nil"/>
            </w:tcBorders>
            <w:vAlign w:val="center"/>
          </w:tcPr>
          <w:p w:rsidR="006533E8" w14:paraId="6D78C095" w14:textId="77777777">
            <w:pPr>
              <w:spacing w:after="0" w:line="259" w:lineRule="auto"/>
              <w:ind w:left="48" w:right="0"/>
              <w:jc w:val="center"/>
            </w:pPr>
            <w:r>
              <w:rPr>
                <w:sz w:val="22"/>
              </w:rPr>
              <w:t xml:space="preserve">2,037,300 </w:t>
            </w:r>
          </w:p>
        </w:tc>
        <w:tc>
          <w:tcPr>
            <w:tcW w:w="1532" w:type="dxa"/>
            <w:tcBorders>
              <w:top w:val="single" w:sz="4" w:space="0" w:color="000000"/>
              <w:left w:val="nil"/>
              <w:bottom w:val="single" w:sz="12" w:space="0" w:color="000000"/>
              <w:right w:val="nil"/>
            </w:tcBorders>
            <w:vAlign w:val="center"/>
          </w:tcPr>
          <w:p w:rsidR="006533E8" w14:paraId="4C80FDB4" w14:textId="77777777">
            <w:pPr>
              <w:spacing w:after="0" w:line="259" w:lineRule="auto"/>
              <w:ind w:right="110"/>
              <w:jc w:val="center"/>
            </w:pPr>
            <w:r>
              <w:rPr>
                <w:sz w:val="22"/>
              </w:rPr>
              <w:t xml:space="preserve">1 </w:t>
            </w:r>
            <w:r>
              <w:t xml:space="preserve"> </w:t>
            </w:r>
          </w:p>
        </w:tc>
        <w:tc>
          <w:tcPr>
            <w:tcW w:w="1474" w:type="dxa"/>
            <w:tcBorders>
              <w:top w:val="single" w:sz="4" w:space="0" w:color="000000"/>
              <w:left w:val="nil"/>
              <w:bottom w:val="single" w:sz="12" w:space="0" w:color="000000"/>
              <w:right w:val="nil"/>
            </w:tcBorders>
            <w:vAlign w:val="center"/>
          </w:tcPr>
          <w:p w:rsidR="006533E8" w14:paraId="0B91B9B0" w14:textId="77777777">
            <w:pPr>
              <w:spacing w:after="0" w:line="259" w:lineRule="auto"/>
              <w:ind w:right="113"/>
              <w:jc w:val="center"/>
            </w:pPr>
            <w:r>
              <w:rPr>
                <w:sz w:val="22"/>
              </w:rPr>
              <w:t xml:space="preserve">0.13 </w:t>
            </w:r>
            <w:r>
              <w:t xml:space="preserve"> </w:t>
            </w:r>
          </w:p>
        </w:tc>
        <w:tc>
          <w:tcPr>
            <w:tcW w:w="1392" w:type="dxa"/>
            <w:tcBorders>
              <w:top w:val="single" w:sz="4" w:space="0" w:color="000000"/>
              <w:left w:val="nil"/>
              <w:bottom w:val="single" w:sz="12" w:space="0" w:color="000000"/>
              <w:right w:val="nil"/>
            </w:tcBorders>
            <w:vAlign w:val="center"/>
          </w:tcPr>
          <w:p w:rsidR="006533E8" w14:paraId="708D3980" w14:textId="77777777">
            <w:pPr>
              <w:spacing w:after="0" w:line="259" w:lineRule="auto"/>
              <w:ind w:right="106"/>
              <w:jc w:val="right"/>
            </w:pPr>
            <w:r>
              <w:rPr>
                <w:sz w:val="22"/>
              </w:rPr>
              <w:t xml:space="preserve"> 264,849 </w:t>
            </w:r>
          </w:p>
        </w:tc>
      </w:tr>
      <w:tr w14:paraId="2A3269A8" w14:textId="77777777">
        <w:tblPrEx>
          <w:tblW w:w="9390" w:type="dxa"/>
          <w:tblInd w:w="202" w:type="dxa"/>
          <w:tblCellMar>
            <w:top w:w="71" w:type="dxa"/>
            <w:left w:w="0" w:type="dxa"/>
            <w:bottom w:w="37" w:type="dxa"/>
            <w:right w:w="0" w:type="dxa"/>
          </w:tblCellMar>
          <w:tblLook w:val="04A0"/>
        </w:tblPrEx>
        <w:trPr>
          <w:trHeight w:val="720"/>
        </w:trPr>
        <w:tc>
          <w:tcPr>
            <w:tcW w:w="3183" w:type="dxa"/>
            <w:tcBorders>
              <w:top w:val="single" w:sz="12" w:space="0" w:color="000000"/>
              <w:left w:val="nil"/>
              <w:bottom w:val="single" w:sz="12" w:space="0" w:color="000000"/>
              <w:right w:val="nil"/>
            </w:tcBorders>
          </w:tcPr>
          <w:p w:rsidR="006533E8" w14:paraId="639259EE" w14:textId="77777777">
            <w:pPr>
              <w:spacing w:after="93" w:line="259" w:lineRule="auto"/>
              <w:ind w:left="662" w:right="0"/>
            </w:pPr>
            <w:r>
              <w:t xml:space="preserve"> </w:t>
            </w:r>
          </w:p>
          <w:p w:rsidR="006533E8" w14:paraId="0090FD45" w14:textId="77777777">
            <w:pPr>
              <w:spacing w:after="0" w:line="259" w:lineRule="auto"/>
              <w:ind w:left="2" w:right="0"/>
            </w:pPr>
            <w:r>
              <w:rPr>
                <w:b/>
              </w:rPr>
              <w:t>Exhibit A-2. Estimated Cost (</w:t>
            </w:r>
          </w:p>
        </w:tc>
        <w:tc>
          <w:tcPr>
            <w:tcW w:w="1810" w:type="dxa"/>
            <w:tcBorders>
              <w:top w:val="single" w:sz="12" w:space="0" w:color="000000"/>
              <w:left w:val="nil"/>
              <w:bottom w:val="single" w:sz="12" w:space="0" w:color="000000"/>
              <w:right w:val="nil"/>
            </w:tcBorders>
            <w:vAlign w:val="bottom"/>
          </w:tcPr>
          <w:p w:rsidR="006533E8" w14:paraId="5550F291" w14:textId="77777777">
            <w:pPr>
              <w:spacing w:after="0" w:line="259" w:lineRule="auto"/>
              <w:ind w:left="-161" w:right="0"/>
            </w:pPr>
            <w:r>
              <w:rPr>
                <w:b/>
              </w:rPr>
              <w:t xml:space="preserve">Annual) </w:t>
            </w:r>
          </w:p>
        </w:tc>
        <w:tc>
          <w:tcPr>
            <w:tcW w:w="1532" w:type="dxa"/>
            <w:tcBorders>
              <w:top w:val="single" w:sz="12" w:space="0" w:color="000000"/>
              <w:left w:val="nil"/>
              <w:bottom w:val="single" w:sz="12" w:space="0" w:color="000000"/>
              <w:right w:val="nil"/>
            </w:tcBorders>
          </w:tcPr>
          <w:p w:rsidR="006533E8" w14:paraId="1D768EDA" w14:textId="77777777">
            <w:pPr>
              <w:spacing w:after="160" w:line="259" w:lineRule="auto"/>
              <w:ind w:right="0"/>
            </w:pPr>
          </w:p>
        </w:tc>
        <w:tc>
          <w:tcPr>
            <w:tcW w:w="1474" w:type="dxa"/>
            <w:tcBorders>
              <w:top w:val="single" w:sz="12" w:space="0" w:color="000000"/>
              <w:left w:val="nil"/>
              <w:bottom w:val="single" w:sz="12" w:space="0" w:color="000000"/>
              <w:right w:val="nil"/>
            </w:tcBorders>
          </w:tcPr>
          <w:p w:rsidR="006533E8" w14:paraId="68530EE5" w14:textId="77777777">
            <w:pPr>
              <w:spacing w:after="160" w:line="259" w:lineRule="auto"/>
              <w:ind w:right="0"/>
            </w:pPr>
          </w:p>
        </w:tc>
        <w:tc>
          <w:tcPr>
            <w:tcW w:w="1392" w:type="dxa"/>
            <w:tcBorders>
              <w:top w:val="single" w:sz="12" w:space="0" w:color="000000"/>
              <w:left w:val="nil"/>
              <w:bottom w:val="single" w:sz="12" w:space="0" w:color="000000"/>
              <w:right w:val="nil"/>
            </w:tcBorders>
          </w:tcPr>
          <w:p w:rsidR="006533E8" w14:paraId="556F4EE4" w14:textId="77777777">
            <w:pPr>
              <w:spacing w:after="160" w:line="259" w:lineRule="auto"/>
              <w:ind w:right="0"/>
            </w:pPr>
          </w:p>
        </w:tc>
      </w:tr>
      <w:tr w14:paraId="3D6C5293" w14:textId="77777777">
        <w:tblPrEx>
          <w:tblW w:w="9390" w:type="dxa"/>
          <w:tblInd w:w="202" w:type="dxa"/>
          <w:tblCellMar>
            <w:top w:w="71" w:type="dxa"/>
            <w:left w:w="0" w:type="dxa"/>
            <w:bottom w:w="37" w:type="dxa"/>
            <w:right w:w="0" w:type="dxa"/>
          </w:tblCellMar>
          <w:tblLook w:val="04A0"/>
        </w:tblPrEx>
        <w:trPr>
          <w:trHeight w:val="1073"/>
        </w:trPr>
        <w:tc>
          <w:tcPr>
            <w:tcW w:w="3183" w:type="dxa"/>
            <w:tcBorders>
              <w:top w:val="single" w:sz="12" w:space="0" w:color="000000"/>
              <w:left w:val="nil"/>
              <w:bottom w:val="single" w:sz="4" w:space="0" w:color="000000"/>
              <w:right w:val="nil"/>
            </w:tcBorders>
            <w:vAlign w:val="bottom"/>
          </w:tcPr>
          <w:p w:rsidR="006533E8" w14:paraId="6B0C09ED" w14:textId="77777777">
            <w:pPr>
              <w:spacing w:after="0" w:line="259" w:lineRule="auto"/>
              <w:ind w:right="146"/>
              <w:jc w:val="center"/>
            </w:pPr>
            <w:r>
              <w:rPr>
                <w:b/>
                <w:sz w:val="22"/>
              </w:rPr>
              <w:t xml:space="preserve">Form Name </w:t>
            </w:r>
            <w:r>
              <w:t xml:space="preserve"> </w:t>
            </w:r>
          </w:p>
        </w:tc>
        <w:tc>
          <w:tcPr>
            <w:tcW w:w="1810" w:type="dxa"/>
            <w:tcBorders>
              <w:top w:val="single" w:sz="12" w:space="0" w:color="000000"/>
              <w:left w:val="nil"/>
              <w:bottom w:val="single" w:sz="4" w:space="0" w:color="000000"/>
              <w:right w:val="nil"/>
            </w:tcBorders>
            <w:vAlign w:val="bottom"/>
          </w:tcPr>
          <w:p w:rsidR="006533E8" w14:paraId="47E5B645" w14:textId="77777777">
            <w:pPr>
              <w:spacing w:after="0" w:line="259" w:lineRule="auto"/>
              <w:ind w:left="-7" w:right="0" w:firstLine="89"/>
            </w:pPr>
            <w:r>
              <w:rPr>
                <w:b/>
                <w:sz w:val="22"/>
              </w:rPr>
              <w:t xml:space="preserve">Number of Respondents </w:t>
            </w:r>
            <w:r>
              <w:t xml:space="preserve"> </w:t>
            </w:r>
          </w:p>
        </w:tc>
        <w:tc>
          <w:tcPr>
            <w:tcW w:w="1532" w:type="dxa"/>
            <w:tcBorders>
              <w:top w:val="single" w:sz="12" w:space="0" w:color="000000"/>
              <w:left w:val="nil"/>
              <w:bottom w:val="single" w:sz="4" w:space="0" w:color="000000"/>
              <w:right w:val="nil"/>
            </w:tcBorders>
            <w:vAlign w:val="bottom"/>
          </w:tcPr>
          <w:p w:rsidR="006533E8" w14:paraId="528E4191" w14:textId="77777777">
            <w:pPr>
              <w:spacing w:after="0" w:line="259" w:lineRule="auto"/>
              <w:ind w:left="341" w:right="0" w:hanging="341"/>
            </w:pPr>
            <w:r>
              <w:rPr>
                <w:b/>
                <w:sz w:val="22"/>
              </w:rPr>
              <w:t xml:space="preserve">Total Burden Hours </w:t>
            </w:r>
            <w:r>
              <w:t xml:space="preserve"> </w:t>
            </w:r>
          </w:p>
        </w:tc>
        <w:tc>
          <w:tcPr>
            <w:tcW w:w="1474" w:type="dxa"/>
            <w:tcBorders>
              <w:top w:val="single" w:sz="12" w:space="0" w:color="000000"/>
              <w:left w:val="nil"/>
              <w:bottom w:val="single" w:sz="4" w:space="0" w:color="000000"/>
              <w:right w:val="nil"/>
            </w:tcBorders>
            <w:vAlign w:val="center"/>
          </w:tcPr>
          <w:p w:rsidR="006533E8" w14:paraId="367642F9" w14:textId="77777777">
            <w:pPr>
              <w:spacing w:after="0" w:line="259" w:lineRule="auto"/>
              <w:ind w:left="242" w:right="0"/>
            </w:pPr>
            <w:r>
              <w:rPr>
                <w:b/>
                <w:sz w:val="22"/>
              </w:rPr>
              <w:t xml:space="preserve">Average </w:t>
            </w:r>
            <w:r>
              <w:t xml:space="preserve"> </w:t>
            </w:r>
          </w:p>
          <w:p w:rsidR="006533E8" w14:paraId="71F4287D" w14:textId="77777777">
            <w:pPr>
              <w:spacing w:after="0" w:line="259" w:lineRule="auto"/>
              <w:ind w:left="413" w:right="0" w:hanging="413"/>
            </w:pPr>
            <w:r>
              <w:rPr>
                <w:b/>
                <w:sz w:val="22"/>
              </w:rPr>
              <w:t xml:space="preserve">Hourly Wage Rate </w:t>
            </w:r>
            <w:r>
              <w:t xml:space="preserve"> </w:t>
            </w:r>
          </w:p>
        </w:tc>
        <w:tc>
          <w:tcPr>
            <w:tcW w:w="1392" w:type="dxa"/>
            <w:tcBorders>
              <w:top w:val="single" w:sz="12" w:space="0" w:color="000000"/>
              <w:left w:val="nil"/>
              <w:bottom w:val="single" w:sz="4" w:space="0" w:color="000000"/>
              <w:right w:val="nil"/>
            </w:tcBorders>
            <w:vAlign w:val="bottom"/>
          </w:tcPr>
          <w:p w:rsidR="006533E8" w14:paraId="3EC2420A" w14:textId="77777777">
            <w:pPr>
              <w:spacing w:after="0" w:line="259" w:lineRule="auto"/>
              <w:ind w:left="305" w:right="0" w:hanging="139"/>
            </w:pPr>
            <w:r>
              <w:rPr>
                <w:b/>
                <w:sz w:val="22"/>
              </w:rPr>
              <w:t xml:space="preserve">Total Cost Burden </w:t>
            </w:r>
            <w:r>
              <w:t xml:space="preserve"> </w:t>
            </w:r>
          </w:p>
        </w:tc>
      </w:tr>
      <w:tr w14:paraId="3ADF2594" w14:textId="77777777">
        <w:tblPrEx>
          <w:tblW w:w="9390" w:type="dxa"/>
          <w:tblInd w:w="202" w:type="dxa"/>
          <w:tblCellMar>
            <w:top w:w="71" w:type="dxa"/>
            <w:left w:w="0" w:type="dxa"/>
            <w:bottom w:w="37" w:type="dxa"/>
            <w:right w:w="0" w:type="dxa"/>
          </w:tblCellMar>
          <w:tblLook w:val="04A0"/>
        </w:tblPrEx>
        <w:trPr>
          <w:trHeight w:val="526"/>
        </w:trPr>
        <w:tc>
          <w:tcPr>
            <w:tcW w:w="3183" w:type="dxa"/>
            <w:tcBorders>
              <w:top w:val="single" w:sz="4" w:space="0" w:color="000000"/>
              <w:left w:val="nil"/>
              <w:bottom w:val="single" w:sz="12" w:space="0" w:color="000000"/>
              <w:right w:val="nil"/>
            </w:tcBorders>
            <w:vAlign w:val="center"/>
          </w:tcPr>
          <w:p w:rsidR="006533E8" w14:paraId="7FA89C2D" w14:textId="77777777">
            <w:pPr>
              <w:spacing w:after="0" w:line="259" w:lineRule="auto"/>
              <w:ind w:left="137" w:right="0"/>
            </w:pPr>
            <w:r>
              <w:rPr>
                <w:sz w:val="22"/>
              </w:rPr>
              <w:t xml:space="preserve">OAS CAHPS Survey </w:t>
            </w:r>
            <w:r>
              <w:t xml:space="preserve"> </w:t>
            </w:r>
          </w:p>
        </w:tc>
        <w:tc>
          <w:tcPr>
            <w:tcW w:w="1810" w:type="dxa"/>
            <w:tcBorders>
              <w:top w:val="single" w:sz="4" w:space="0" w:color="000000"/>
              <w:left w:val="nil"/>
              <w:bottom w:val="single" w:sz="12" w:space="0" w:color="000000"/>
              <w:right w:val="nil"/>
            </w:tcBorders>
            <w:vAlign w:val="center"/>
          </w:tcPr>
          <w:p w:rsidR="006533E8" w14:paraId="027C7532" w14:textId="77777777">
            <w:pPr>
              <w:spacing w:after="0" w:line="259" w:lineRule="auto"/>
              <w:ind w:left="48" w:right="0"/>
              <w:jc w:val="center"/>
            </w:pPr>
            <w:r>
              <w:rPr>
                <w:sz w:val="22"/>
              </w:rPr>
              <w:t xml:space="preserve">2,037,300 </w:t>
            </w:r>
          </w:p>
        </w:tc>
        <w:tc>
          <w:tcPr>
            <w:tcW w:w="1532" w:type="dxa"/>
            <w:tcBorders>
              <w:top w:val="single" w:sz="4" w:space="0" w:color="000000"/>
              <w:left w:val="nil"/>
              <w:bottom w:val="single" w:sz="12" w:space="0" w:color="000000"/>
              <w:right w:val="nil"/>
            </w:tcBorders>
            <w:vAlign w:val="center"/>
          </w:tcPr>
          <w:p w:rsidR="006533E8" w14:paraId="7BA8A29A" w14:textId="77777777">
            <w:pPr>
              <w:spacing w:after="0" w:line="259" w:lineRule="auto"/>
              <w:ind w:left="274" w:right="0"/>
            </w:pPr>
            <w:r>
              <w:rPr>
                <w:sz w:val="22"/>
              </w:rPr>
              <w:t xml:space="preserve">264,849 </w:t>
            </w:r>
            <w:r>
              <w:t xml:space="preserve"> </w:t>
            </w:r>
          </w:p>
        </w:tc>
        <w:tc>
          <w:tcPr>
            <w:tcW w:w="1474" w:type="dxa"/>
            <w:tcBorders>
              <w:top w:val="single" w:sz="4" w:space="0" w:color="000000"/>
              <w:left w:val="nil"/>
              <w:bottom w:val="single" w:sz="12" w:space="0" w:color="000000"/>
              <w:right w:val="nil"/>
            </w:tcBorders>
            <w:vAlign w:val="center"/>
          </w:tcPr>
          <w:p w:rsidR="006533E8" w14:paraId="0F72EAEE" w14:textId="77777777">
            <w:pPr>
              <w:spacing w:after="0" w:line="259" w:lineRule="auto"/>
              <w:ind w:right="154"/>
              <w:jc w:val="center"/>
            </w:pPr>
            <w:r>
              <w:rPr>
                <w:sz w:val="22"/>
              </w:rPr>
              <w:t xml:space="preserve">$32.66/hr. </w:t>
            </w:r>
            <w:r>
              <w:t xml:space="preserve"> </w:t>
            </w:r>
          </w:p>
        </w:tc>
        <w:tc>
          <w:tcPr>
            <w:tcW w:w="1392" w:type="dxa"/>
            <w:tcBorders>
              <w:top w:val="single" w:sz="4" w:space="0" w:color="000000"/>
              <w:left w:val="nil"/>
              <w:bottom w:val="single" w:sz="12" w:space="0" w:color="000000"/>
              <w:right w:val="nil"/>
            </w:tcBorders>
            <w:vAlign w:val="center"/>
          </w:tcPr>
          <w:p w:rsidR="006533E8" w14:paraId="46AB761E" w14:textId="77777777">
            <w:pPr>
              <w:spacing w:after="0" w:line="259" w:lineRule="auto"/>
              <w:ind w:right="106"/>
              <w:jc w:val="right"/>
            </w:pPr>
            <w:r>
              <w:rPr>
                <w:sz w:val="22"/>
              </w:rPr>
              <w:t xml:space="preserve">$8,649,968  </w:t>
            </w:r>
          </w:p>
        </w:tc>
      </w:tr>
    </w:tbl>
    <w:p w:rsidR="006533E8" w14:paraId="1DB17FF3" w14:textId="77777777">
      <w:pPr>
        <w:spacing w:after="93" w:line="259" w:lineRule="auto"/>
        <w:ind w:left="864" w:right="0"/>
      </w:pPr>
      <w:r>
        <w:t xml:space="preserve">  </w:t>
      </w:r>
    </w:p>
    <w:p w:rsidR="008B35CD" w:rsidP="008B35CD" w14:paraId="0195E032" w14:textId="77777777">
      <w:pPr>
        <w:spacing w:after="0" w:line="259" w:lineRule="auto"/>
        <w:ind w:left="144" w:right="0"/>
      </w:pPr>
      <w:r>
        <w:rPr>
          <w:u w:val="single" w:color="000000"/>
        </w:rPr>
        <w:t>Facilities.</w:t>
      </w:r>
      <w:r>
        <w:t xml:space="preserve"> </w:t>
      </w:r>
      <w:r>
        <w:t xml:space="preserve">Each facility participating in OAS CAHPS must prepare and submit to its survey vendor a file containing patient data on patients served the preceding month that will be used by the survey vendor to select the sample and field the survey. Preparing this file (essentially the sampling frame) for most HOPDs and ASCs can vary by the required level of effort. The data elements needed on the sample frame </w:t>
      </w:r>
      <w:r>
        <w:t>is</w:t>
      </w:r>
      <w:r>
        <w:t xml:space="preserve"> kept at a minimum to reduce the burden on all participating facilities.</w:t>
      </w:r>
      <w:r>
        <w:t xml:space="preserve"> </w:t>
      </w:r>
      <w:r>
        <w:rPr>
          <w:rFonts w:ascii="Calibri" w:eastAsia="Calibri" w:hAnsi="Calibri" w:cs="Calibri"/>
          <w:noProof/>
          <w:sz w:val="22"/>
        </w:rPr>
        <mc:AlternateContent>
          <mc:Choice Requires="wpg">
            <w:drawing>
              <wp:inline distT="0" distB="0" distL="0" distR="0">
                <wp:extent cx="1828800" cy="8509"/>
                <wp:effectExtent l="0" t="0" r="0" b="0"/>
                <wp:docPr id="20541" name="Group 20541"/>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0" cy="8509"/>
                          <a:chOff x="0" y="0"/>
                          <a:chExt cx="1828800" cy="8509"/>
                        </a:xfrm>
                      </wpg:grpSpPr>
                      <wps:wsp xmlns:wps="http://schemas.microsoft.com/office/word/2010/wordprocessingShape">
                        <wps:cNvPr id="22799" name="Shape 22799"/>
                        <wps:cNvSpPr/>
                        <wps:spPr>
                          <a:xfrm>
                            <a:off x="0" y="0"/>
                            <a:ext cx="1828800" cy="9144"/>
                          </a:xfrm>
                          <a:custGeom>
                            <a:avLst/>
                            <a:gdLst/>
                            <a:rect l="0" t="0" r="0" b="0"/>
                            <a:pathLst>
                              <a:path fill="norm" h="9144" w="1828800" stroke="1">
                                <a:moveTo>
                                  <a:pt x="0" y="0"/>
                                </a:moveTo>
                                <a:lnTo>
                                  <a:pt x="1828800" y="0"/>
                                </a:lnTo>
                                <a:lnTo>
                                  <a:pt x="1828800" y="9144"/>
                                </a:lnTo>
                                <a:lnTo>
                                  <a:pt x="0" y="9144"/>
                                </a:lnTo>
                                <a:lnTo>
                                  <a:pt x="0" y="0"/>
                                </a:lnTo>
                              </a:path>
                            </a:pathLst>
                          </a:custGeom>
                          <a:solidFill>
                            <a:srgbClr val="000000"/>
                          </a:solidFill>
                          <a:ln w="0">
                            <a:noFill/>
                            <a:miter lim="127000"/>
                          </a:ln>
                          <a:effectLst/>
                        </wps:spPr>
                        <wps:bodyPr/>
                      </wps:wsp>
                    </wpg:wgp>
                  </a:graphicData>
                </a:graphic>
              </wp:inline>
            </w:drawing>
          </mc:Choice>
          <mc:Fallback>
            <w:pict>
              <v:group id="Group 20541" o:spid="_x0000_i1025" style="width:2in;height:0.65pt;mso-position-horizontal-relative:char;mso-position-vertical-relative:line" coordsize="18288,85">
                <v:shape id="Shape 22799" o:spid="_x0000_s1026" style="width:18288;height:91;mso-wrap-style:square;position:absolute;visibility:visible;v-text-anchor:top" coordsize="1828800,9144" path="m,l1828800,l1828800,9144l,9144,,e" fillcolor="black" stroked="f">
                  <v:stroke joinstyle="miter"/>
                  <v:path arrowok="t" textboxrect="0,0,1828800,9144"/>
                </v:shape>
                <w10:wrap type="none"/>
                <w10:anchorlock/>
              </v:group>
            </w:pict>
          </mc:Fallback>
        </mc:AlternateContent>
      </w:r>
      <w:r>
        <w:t xml:space="preserve">  </w:t>
      </w:r>
    </w:p>
    <w:p w:rsidR="008B35CD" w:rsidP="008B35CD" w14:paraId="6DC6A21F" w14:textId="77777777">
      <w:pPr>
        <w:spacing w:after="0" w:line="259" w:lineRule="auto"/>
        <w:ind w:left="125" w:right="0" w:hanging="10"/>
      </w:pPr>
      <w:r>
        <w:rPr>
          <w:sz w:val="16"/>
        </w:rPr>
        <w:t>1</w:t>
      </w:r>
      <w:r>
        <w:t xml:space="preserve"> </w:t>
      </w:r>
    </w:p>
    <w:p w:rsidR="008B35CD" w:rsidP="008B35CD" w14:paraId="784675CC" w14:textId="77777777">
      <w:pPr>
        <w:spacing w:after="0" w:line="249" w:lineRule="auto"/>
        <w:ind w:left="139" w:right="0" w:hanging="10"/>
      </w:pPr>
      <w:r>
        <w:rPr>
          <w:sz w:val="20"/>
        </w:rPr>
        <w:t xml:space="preserve"> CMS data: </w:t>
      </w:r>
      <w:r>
        <w:rPr>
          <w:sz w:val="20"/>
        </w:rPr>
        <w:t>QualityNet</w:t>
      </w:r>
      <w:r>
        <w:rPr>
          <w:sz w:val="20"/>
        </w:rPr>
        <w:t xml:space="preserve"> Listing of ASCs with Medicare Claims plus ASCs that voluntarily choose to participate even though they are exempt because they have low volume</w:t>
      </w:r>
      <w:r>
        <w:t xml:space="preserve"> </w:t>
      </w:r>
    </w:p>
    <w:p w:rsidR="008B35CD" w:rsidP="008B35CD" w14:paraId="42220620" w14:textId="77777777">
      <w:pPr>
        <w:spacing w:after="0" w:line="259" w:lineRule="auto"/>
        <w:ind w:left="125" w:right="0" w:hanging="10"/>
      </w:pPr>
      <w:r>
        <w:rPr>
          <w:sz w:val="16"/>
        </w:rPr>
        <w:t>2</w:t>
      </w:r>
      <w:r>
        <w:t xml:space="preserve"> </w:t>
      </w:r>
    </w:p>
    <w:p w:rsidR="008B35CD" w:rsidP="008B35CD" w14:paraId="2E51CC92" w14:textId="77777777">
      <w:pPr>
        <w:spacing w:after="0" w:line="249" w:lineRule="auto"/>
        <w:ind w:left="139" w:right="0" w:hanging="10"/>
      </w:pPr>
      <w:r>
        <w:rPr>
          <w:sz w:val="20"/>
        </w:rPr>
        <w:t xml:space="preserve"> CMS data: Public Reporting Open Listing of HOPDs </w:t>
      </w:r>
      <w:r>
        <w:t xml:space="preserve"> </w:t>
      </w:r>
    </w:p>
    <w:p w:rsidR="006533E8" w14:paraId="3D86574F" w14:textId="1321D9CE">
      <w:pPr>
        <w:spacing w:after="0"/>
        <w:ind w:left="139" w:right="396" w:firstLine="720"/>
      </w:pPr>
      <w:r>
        <w:t xml:space="preserve">The burden associated with this survey administration is the time and effort put forth by the facility to prepare and submit the file containing patient data on patients. We have determined that the provision of the files will take 28 hours for each HOPD/ASC annually. The activities for facilities include contracting with an approved survey vendor and authorizing the vendor on the OAS CAHPS website.  </w:t>
      </w:r>
    </w:p>
    <w:p w:rsidR="006533E8" w14:paraId="65D036DB" w14:textId="77777777">
      <w:pPr>
        <w:spacing w:after="148"/>
        <w:ind w:left="139" w:right="396" w:firstLine="720"/>
      </w:pPr>
      <w:r>
        <w:t xml:space="preserve">CMS believes that the 28 hours of labor, which the HOPD/ASC will need to provide patient records annually, can be conducted by a database and network administrator and architect at $111.38/hour.   </w:t>
      </w:r>
    </w:p>
    <w:p w:rsidR="006533E8" w14:paraId="6229AE4B" w14:textId="77777777">
      <w:pPr>
        <w:spacing w:after="1"/>
        <w:ind w:left="139" w:right="396" w:firstLine="710"/>
      </w:pPr>
      <w:r>
        <w:t xml:space="preserve">Assuming 8,427 facilities participate in the OAS CAHPS, in </w:t>
      </w:r>
      <w:r>
        <w:rPr>
          <w:b/>
        </w:rPr>
        <w:t>Exhibit A-3a</w:t>
      </w:r>
      <w:r>
        <w:t xml:space="preserve">, we have summarized the estimated time for the facilities to prepare the patient records. In </w:t>
      </w:r>
      <w:r>
        <w:rPr>
          <w:b/>
        </w:rPr>
        <w:t>Exhibit A-3b</w:t>
      </w:r>
      <w:r>
        <w:t xml:space="preserve">, we have summarized the estimated cost to the facilities for preparing the patient records.  </w:t>
      </w:r>
    </w:p>
    <w:p w:rsidR="006533E8" w14:paraId="74105E51" w14:textId="77777777">
      <w:pPr>
        <w:spacing w:after="1" w:line="259" w:lineRule="auto"/>
        <w:ind w:left="850" w:right="0"/>
      </w:pPr>
      <w:r>
        <w:t xml:space="preserve"> </w:t>
      </w:r>
    </w:p>
    <w:p w:rsidR="006533E8" w14:paraId="32FF38EC" w14:textId="77777777">
      <w:pPr>
        <w:pStyle w:val="Heading4"/>
        <w:spacing w:after="0"/>
        <w:ind w:left="139" w:right="1314"/>
      </w:pPr>
      <w:r>
        <w:t xml:space="preserve"> Exhibit A-3a. Estimated Time for Facilities to Prepare Patient Records </w:t>
      </w:r>
      <w:r>
        <w:rPr>
          <w:b w:val="0"/>
        </w:rPr>
        <w:t xml:space="preserve"> </w:t>
      </w:r>
    </w:p>
    <w:tbl>
      <w:tblPr>
        <w:tblStyle w:val="TableGrid"/>
        <w:tblW w:w="9390" w:type="dxa"/>
        <w:tblInd w:w="223" w:type="dxa"/>
        <w:tblCellMar>
          <w:top w:w="155" w:type="dxa"/>
          <w:left w:w="0" w:type="dxa"/>
          <w:bottom w:w="37" w:type="dxa"/>
          <w:right w:w="0" w:type="dxa"/>
        </w:tblCellMar>
        <w:tblLook w:val="04A0"/>
      </w:tblPr>
      <w:tblGrid>
        <w:gridCol w:w="5340"/>
        <w:gridCol w:w="1380"/>
        <w:gridCol w:w="1393"/>
        <w:gridCol w:w="1277"/>
      </w:tblGrid>
      <w:tr w14:paraId="077244C4" w14:textId="77777777">
        <w:tblPrEx>
          <w:tblW w:w="9390" w:type="dxa"/>
          <w:tblInd w:w="223" w:type="dxa"/>
          <w:tblCellMar>
            <w:top w:w="155" w:type="dxa"/>
            <w:left w:w="0" w:type="dxa"/>
            <w:bottom w:w="37" w:type="dxa"/>
            <w:right w:w="0" w:type="dxa"/>
          </w:tblCellMar>
          <w:tblLook w:val="04A0"/>
        </w:tblPrEx>
        <w:trPr>
          <w:trHeight w:val="1313"/>
        </w:trPr>
        <w:tc>
          <w:tcPr>
            <w:tcW w:w="8114" w:type="dxa"/>
            <w:gridSpan w:val="3"/>
            <w:tcBorders>
              <w:top w:val="single" w:sz="12" w:space="0" w:color="000000"/>
              <w:left w:val="nil"/>
              <w:bottom w:val="single" w:sz="4" w:space="0" w:color="000000"/>
              <w:right w:val="nil"/>
            </w:tcBorders>
          </w:tcPr>
          <w:p w:rsidR="006533E8" w14:paraId="04377401" w14:textId="77777777">
            <w:pPr>
              <w:spacing w:after="63" w:line="259" w:lineRule="auto"/>
              <w:ind w:left="3359" w:right="0"/>
              <w:jc w:val="center"/>
            </w:pPr>
            <w:r>
              <w:rPr>
                <w:b/>
                <w:sz w:val="22"/>
              </w:rPr>
              <w:t xml:space="preserve">Number of </w:t>
            </w:r>
            <w:r>
              <w:t xml:space="preserve"> </w:t>
            </w:r>
          </w:p>
          <w:p w:rsidR="006533E8" w14:paraId="5E69FBAA" w14:textId="77777777">
            <w:pPr>
              <w:tabs>
                <w:tab w:val="center" w:pos="5735"/>
                <w:tab w:val="center" w:pos="7199"/>
              </w:tabs>
              <w:spacing w:after="0" w:line="259" w:lineRule="auto"/>
              <w:ind w:right="0"/>
            </w:pPr>
            <w:r>
              <w:rPr>
                <w:rFonts w:ascii="Calibri" w:eastAsia="Calibri" w:hAnsi="Calibri" w:cs="Calibri"/>
                <w:sz w:val="22"/>
              </w:rPr>
              <w:tab/>
            </w:r>
            <w:r>
              <w:rPr>
                <w:b/>
                <w:sz w:val="22"/>
              </w:rPr>
              <w:t xml:space="preserve">Responses </w:t>
            </w:r>
            <w:r>
              <w:rPr>
                <w:sz w:val="37"/>
                <w:vertAlign w:val="superscript"/>
              </w:rPr>
              <w:t xml:space="preserve"> </w:t>
            </w:r>
            <w:r>
              <w:rPr>
                <w:sz w:val="37"/>
                <w:vertAlign w:val="superscript"/>
              </w:rPr>
              <w:tab/>
            </w:r>
            <w:r>
              <w:rPr>
                <w:b/>
                <w:sz w:val="22"/>
              </w:rPr>
              <w:t xml:space="preserve">Average </w:t>
            </w:r>
            <w:r>
              <w:t xml:space="preserve"> </w:t>
            </w:r>
          </w:p>
          <w:p w:rsidR="006533E8" w14:paraId="22E89688" w14:textId="77777777">
            <w:pPr>
              <w:tabs>
                <w:tab w:val="center" w:pos="4274"/>
                <w:tab w:val="center" w:pos="5734"/>
                <w:tab w:val="center" w:pos="7199"/>
              </w:tabs>
              <w:spacing w:after="0" w:line="259" w:lineRule="auto"/>
              <w:ind w:right="0"/>
            </w:pPr>
            <w:r>
              <w:rPr>
                <w:rFonts w:ascii="Calibri" w:eastAsia="Calibri" w:hAnsi="Calibri" w:cs="Calibri"/>
                <w:sz w:val="22"/>
              </w:rPr>
              <w:tab/>
            </w:r>
            <w:r>
              <w:rPr>
                <w:b/>
                <w:sz w:val="22"/>
              </w:rPr>
              <w:t xml:space="preserve">Number of </w:t>
            </w:r>
            <w:r>
              <w:rPr>
                <w:b/>
                <w:sz w:val="22"/>
              </w:rPr>
              <w:tab/>
            </w:r>
            <w:r>
              <w:rPr>
                <w:b/>
                <w:sz w:val="22"/>
              </w:rPr>
              <w:t xml:space="preserve">Per </w:t>
            </w:r>
            <w:r>
              <w:rPr>
                <w:sz w:val="37"/>
                <w:vertAlign w:val="superscript"/>
              </w:rPr>
              <w:t xml:space="preserve"> </w:t>
            </w:r>
            <w:r>
              <w:rPr>
                <w:sz w:val="37"/>
                <w:vertAlign w:val="superscript"/>
              </w:rPr>
              <w:tab/>
            </w:r>
            <w:r>
              <w:rPr>
                <w:b/>
                <w:sz w:val="22"/>
              </w:rPr>
              <w:t xml:space="preserve">Hours per </w:t>
            </w:r>
          </w:p>
          <w:p w:rsidR="006533E8" w14:paraId="4FE396DA" w14:textId="77777777">
            <w:pPr>
              <w:tabs>
                <w:tab w:val="center" w:pos="1783"/>
                <w:tab w:val="center" w:pos="4275"/>
                <w:tab w:val="center" w:pos="5735"/>
                <w:tab w:val="center" w:pos="7198"/>
              </w:tabs>
              <w:spacing w:after="0" w:line="259" w:lineRule="auto"/>
              <w:ind w:right="0"/>
            </w:pPr>
            <w:r>
              <w:rPr>
                <w:rFonts w:ascii="Calibri" w:eastAsia="Calibri" w:hAnsi="Calibri" w:cs="Calibri"/>
                <w:sz w:val="22"/>
              </w:rPr>
              <w:tab/>
            </w:r>
            <w:r>
              <w:rPr>
                <w:b/>
                <w:sz w:val="22"/>
              </w:rPr>
              <w:t xml:space="preserve">Form </w:t>
            </w:r>
            <w:r>
              <w:rPr>
                <w:b/>
                <w:sz w:val="22"/>
              </w:rPr>
              <w:t xml:space="preserve">Name </w:t>
            </w:r>
            <w:r>
              <w:t xml:space="preserve"> </w:t>
            </w:r>
            <w:r>
              <w:tab/>
            </w:r>
            <w:r>
              <w:rPr>
                <w:b/>
                <w:sz w:val="22"/>
              </w:rPr>
              <w:t xml:space="preserve">Respondents </w:t>
            </w:r>
            <w:r>
              <w:t xml:space="preserve"> </w:t>
            </w:r>
            <w:r>
              <w:tab/>
            </w:r>
            <w:r>
              <w:rPr>
                <w:b/>
                <w:sz w:val="22"/>
              </w:rPr>
              <w:t xml:space="preserve">Respondent </w:t>
            </w:r>
            <w:r>
              <w:rPr>
                <w:sz w:val="37"/>
                <w:vertAlign w:val="superscript"/>
              </w:rPr>
              <w:t xml:space="preserve"> </w:t>
            </w:r>
            <w:r>
              <w:rPr>
                <w:sz w:val="37"/>
                <w:vertAlign w:val="superscript"/>
              </w:rPr>
              <w:tab/>
            </w:r>
            <w:r>
              <w:rPr>
                <w:b/>
                <w:sz w:val="22"/>
              </w:rPr>
              <w:t xml:space="preserve">Response </w:t>
            </w:r>
            <w:r>
              <w:t xml:space="preserve"> </w:t>
            </w:r>
          </w:p>
        </w:tc>
        <w:tc>
          <w:tcPr>
            <w:tcW w:w="1277" w:type="dxa"/>
            <w:tcBorders>
              <w:top w:val="single" w:sz="12" w:space="0" w:color="000000"/>
              <w:left w:val="nil"/>
              <w:bottom w:val="single" w:sz="4" w:space="0" w:color="000000"/>
              <w:right w:val="nil"/>
            </w:tcBorders>
            <w:vAlign w:val="bottom"/>
          </w:tcPr>
          <w:p w:rsidR="006533E8" w14:paraId="691F12EB" w14:textId="77777777">
            <w:pPr>
              <w:spacing w:after="0" w:line="259" w:lineRule="auto"/>
              <w:ind w:right="184"/>
              <w:jc w:val="center"/>
            </w:pPr>
            <w:r>
              <w:rPr>
                <w:b/>
                <w:sz w:val="22"/>
              </w:rPr>
              <w:t xml:space="preserve">Total </w:t>
            </w:r>
            <w:r>
              <w:t xml:space="preserve"> </w:t>
            </w:r>
          </w:p>
          <w:p w:rsidR="006533E8" w14:paraId="6825A686" w14:textId="77777777">
            <w:pPr>
              <w:spacing w:after="0" w:line="259" w:lineRule="auto"/>
              <w:ind w:left="252" w:right="0" w:hanging="60"/>
            </w:pPr>
            <w:r>
              <w:rPr>
                <w:b/>
                <w:sz w:val="22"/>
              </w:rPr>
              <w:t xml:space="preserve">Burden Hours </w:t>
            </w:r>
            <w:r>
              <w:t xml:space="preserve"> </w:t>
            </w:r>
          </w:p>
        </w:tc>
      </w:tr>
      <w:tr w14:paraId="4F2DC4DE" w14:textId="77777777">
        <w:tblPrEx>
          <w:tblW w:w="9390" w:type="dxa"/>
          <w:tblInd w:w="223" w:type="dxa"/>
          <w:tblCellMar>
            <w:top w:w="155" w:type="dxa"/>
            <w:left w:w="0" w:type="dxa"/>
            <w:bottom w:w="37" w:type="dxa"/>
            <w:right w:w="0" w:type="dxa"/>
          </w:tblCellMar>
          <w:tblLook w:val="04A0"/>
        </w:tblPrEx>
        <w:trPr>
          <w:trHeight w:val="780"/>
        </w:trPr>
        <w:tc>
          <w:tcPr>
            <w:tcW w:w="8114" w:type="dxa"/>
            <w:gridSpan w:val="3"/>
            <w:tcBorders>
              <w:top w:val="single" w:sz="4" w:space="0" w:color="000000"/>
              <w:left w:val="nil"/>
              <w:bottom w:val="single" w:sz="12" w:space="0" w:color="000000"/>
              <w:right w:val="nil"/>
            </w:tcBorders>
            <w:vAlign w:val="center"/>
          </w:tcPr>
          <w:p w:rsidR="006533E8" w14:paraId="45C4BDC3" w14:textId="77777777">
            <w:pPr>
              <w:spacing w:after="109" w:line="259" w:lineRule="auto"/>
              <w:ind w:left="137" w:right="0"/>
            </w:pPr>
            <w:r>
              <w:rPr>
                <w:sz w:val="22"/>
              </w:rPr>
              <w:t xml:space="preserve">HOPDs/ASCs Patient Records for </w:t>
            </w:r>
          </w:p>
          <w:p w:rsidR="006533E8" w14:paraId="27B0C246" w14:textId="77777777">
            <w:pPr>
              <w:tabs>
                <w:tab w:val="center" w:pos="4651"/>
                <w:tab w:val="center" w:pos="5735"/>
                <w:tab w:val="center" w:pos="7196"/>
              </w:tabs>
              <w:spacing w:after="0" w:line="259" w:lineRule="auto"/>
              <w:ind w:right="0"/>
            </w:pPr>
            <w:r>
              <w:rPr>
                <w:sz w:val="22"/>
              </w:rPr>
              <w:t xml:space="preserve">National Implementation  </w:t>
            </w:r>
            <w:r>
              <w:t xml:space="preserve"> </w:t>
            </w:r>
            <w:r>
              <w:tab/>
            </w:r>
            <w:r>
              <w:rPr>
                <w:sz w:val="22"/>
              </w:rPr>
              <w:t xml:space="preserve">8,427  </w:t>
            </w:r>
            <w:r>
              <w:t xml:space="preserve"> </w:t>
            </w:r>
            <w:r>
              <w:tab/>
            </w:r>
            <w:r>
              <w:rPr>
                <w:sz w:val="22"/>
              </w:rPr>
              <w:t xml:space="preserve">1 </w:t>
            </w:r>
            <w:r>
              <w:t xml:space="preserve"> </w:t>
            </w:r>
            <w:r>
              <w:tab/>
            </w:r>
            <w:r>
              <w:rPr>
                <w:sz w:val="22"/>
              </w:rPr>
              <w:t xml:space="preserve">28 </w:t>
            </w:r>
            <w:r>
              <w:t xml:space="preserve"> </w:t>
            </w:r>
          </w:p>
        </w:tc>
        <w:tc>
          <w:tcPr>
            <w:tcW w:w="1277" w:type="dxa"/>
            <w:tcBorders>
              <w:top w:val="single" w:sz="4" w:space="0" w:color="000000"/>
              <w:left w:val="nil"/>
              <w:bottom w:val="single" w:sz="12" w:space="0" w:color="000000"/>
              <w:right w:val="nil"/>
            </w:tcBorders>
            <w:vAlign w:val="bottom"/>
          </w:tcPr>
          <w:p w:rsidR="006533E8" w14:paraId="4319C881" w14:textId="77777777">
            <w:pPr>
              <w:spacing w:after="0" w:line="259" w:lineRule="auto"/>
              <w:ind w:right="108"/>
              <w:jc w:val="right"/>
            </w:pPr>
            <w:r>
              <w:rPr>
                <w:sz w:val="22"/>
              </w:rPr>
              <w:t>235,956</w:t>
            </w:r>
            <w:r>
              <w:t xml:space="preserve"> </w:t>
            </w:r>
          </w:p>
        </w:tc>
      </w:tr>
      <w:tr w14:paraId="07387CDC" w14:textId="77777777">
        <w:tblPrEx>
          <w:tblW w:w="9390" w:type="dxa"/>
          <w:tblInd w:w="223" w:type="dxa"/>
          <w:tblCellMar>
            <w:top w:w="155" w:type="dxa"/>
            <w:left w:w="0" w:type="dxa"/>
            <w:bottom w:w="37" w:type="dxa"/>
            <w:right w:w="0" w:type="dxa"/>
          </w:tblCellMar>
          <w:tblLook w:val="04A0"/>
        </w:tblPrEx>
        <w:trPr>
          <w:trHeight w:val="627"/>
        </w:trPr>
        <w:tc>
          <w:tcPr>
            <w:tcW w:w="8114" w:type="dxa"/>
            <w:gridSpan w:val="3"/>
            <w:tcBorders>
              <w:top w:val="single" w:sz="12" w:space="0" w:color="000000"/>
              <w:left w:val="nil"/>
              <w:bottom w:val="single" w:sz="12" w:space="0" w:color="000000"/>
              <w:right w:val="nil"/>
            </w:tcBorders>
            <w:vAlign w:val="bottom"/>
          </w:tcPr>
          <w:p w:rsidR="006533E8" w14:paraId="29E667D8" w14:textId="77777777">
            <w:pPr>
              <w:spacing w:after="0" w:line="259" w:lineRule="auto"/>
              <w:ind w:left="-19" w:right="0"/>
            </w:pPr>
            <w:r>
              <w:rPr>
                <w:b/>
              </w:rPr>
              <w:t xml:space="preserve">Exhibit A-3b. Estimated Cost for Facilities to Prepare Patient Records  </w:t>
            </w:r>
          </w:p>
        </w:tc>
        <w:tc>
          <w:tcPr>
            <w:tcW w:w="1277" w:type="dxa"/>
            <w:tcBorders>
              <w:top w:val="single" w:sz="12" w:space="0" w:color="000000"/>
              <w:left w:val="nil"/>
              <w:bottom w:val="single" w:sz="12" w:space="0" w:color="000000"/>
              <w:right w:val="nil"/>
            </w:tcBorders>
          </w:tcPr>
          <w:p w:rsidR="006533E8" w14:paraId="072A923A" w14:textId="77777777">
            <w:pPr>
              <w:spacing w:after="160" w:line="259" w:lineRule="auto"/>
              <w:ind w:right="0"/>
            </w:pPr>
          </w:p>
        </w:tc>
      </w:tr>
      <w:tr w14:paraId="5A26EE6E" w14:textId="77777777">
        <w:tblPrEx>
          <w:tblW w:w="9390" w:type="dxa"/>
          <w:tblInd w:w="223" w:type="dxa"/>
          <w:tblCellMar>
            <w:top w:w="155" w:type="dxa"/>
            <w:left w:w="0" w:type="dxa"/>
            <w:bottom w:w="37" w:type="dxa"/>
            <w:right w:w="0" w:type="dxa"/>
          </w:tblCellMar>
          <w:tblLook w:val="04A0"/>
        </w:tblPrEx>
        <w:trPr>
          <w:trHeight w:val="1073"/>
        </w:trPr>
        <w:tc>
          <w:tcPr>
            <w:tcW w:w="5341" w:type="dxa"/>
            <w:tcBorders>
              <w:top w:val="single" w:sz="12" w:space="0" w:color="000000"/>
              <w:left w:val="nil"/>
              <w:bottom w:val="single" w:sz="4" w:space="0" w:color="000000"/>
              <w:right w:val="nil"/>
            </w:tcBorders>
            <w:vAlign w:val="bottom"/>
          </w:tcPr>
          <w:p w:rsidR="006533E8" w14:paraId="1D1AC9D5" w14:textId="77777777">
            <w:pPr>
              <w:spacing w:after="43" w:line="259" w:lineRule="auto"/>
              <w:ind w:right="590"/>
              <w:jc w:val="right"/>
            </w:pPr>
            <w:r>
              <w:rPr>
                <w:b/>
                <w:sz w:val="22"/>
              </w:rPr>
              <w:t xml:space="preserve">Number of </w:t>
            </w:r>
          </w:p>
          <w:p w:rsidR="006533E8" w14:paraId="27BDB5EA" w14:textId="77777777">
            <w:pPr>
              <w:tabs>
                <w:tab w:val="center" w:pos="1766"/>
                <w:tab w:val="center" w:pos="4241"/>
              </w:tabs>
              <w:spacing w:after="0" w:line="259" w:lineRule="auto"/>
              <w:ind w:right="0"/>
            </w:pPr>
            <w:r>
              <w:rPr>
                <w:rFonts w:ascii="Calibri" w:eastAsia="Calibri" w:hAnsi="Calibri" w:cs="Calibri"/>
                <w:sz w:val="22"/>
              </w:rPr>
              <w:tab/>
            </w:r>
            <w:r>
              <w:rPr>
                <w:b/>
                <w:sz w:val="22"/>
              </w:rPr>
              <w:t xml:space="preserve">Form </w:t>
            </w:r>
            <w:r>
              <w:rPr>
                <w:b/>
                <w:sz w:val="22"/>
              </w:rPr>
              <w:t xml:space="preserve">Name </w:t>
            </w:r>
            <w:r>
              <w:t xml:space="preserve"> </w:t>
            </w:r>
            <w:r>
              <w:tab/>
            </w:r>
            <w:r>
              <w:rPr>
                <w:b/>
                <w:sz w:val="22"/>
              </w:rPr>
              <w:t xml:space="preserve">Respondents </w:t>
            </w:r>
            <w:r>
              <w:t xml:space="preserve"> </w:t>
            </w:r>
          </w:p>
        </w:tc>
        <w:tc>
          <w:tcPr>
            <w:tcW w:w="1380" w:type="dxa"/>
            <w:tcBorders>
              <w:top w:val="single" w:sz="12" w:space="0" w:color="000000"/>
              <w:left w:val="nil"/>
              <w:bottom w:val="single" w:sz="4" w:space="0" w:color="000000"/>
              <w:right w:val="nil"/>
            </w:tcBorders>
            <w:vAlign w:val="center"/>
          </w:tcPr>
          <w:p w:rsidR="006533E8" w14:paraId="33F89B10" w14:textId="77777777">
            <w:pPr>
              <w:spacing w:after="0" w:line="259" w:lineRule="auto"/>
              <w:ind w:left="103" w:right="0"/>
            </w:pPr>
            <w:r>
              <w:rPr>
                <w:b/>
                <w:sz w:val="22"/>
              </w:rPr>
              <w:t xml:space="preserve">Total </w:t>
            </w:r>
            <w:r>
              <w:t xml:space="preserve"> </w:t>
            </w:r>
          </w:p>
          <w:p w:rsidR="006533E8" w14:paraId="63619279" w14:textId="77777777">
            <w:pPr>
              <w:spacing w:after="0" w:line="259" w:lineRule="auto"/>
              <w:ind w:right="0"/>
            </w:pPr>
            <w:r>
              <w:rPr>
                <w:b/>
                <w:sz w:val="22"/>
              </w:rPr>
              <w:t xml:space="preserve">Burden </w:t>
            </w:r>
            <w:r>
              <w:t xml:space="preserve"> </w:t>
            </w:r>
          </w:p>
          <w:p w:rsidR="006533E8" w14:paraId="313D07BF" w14:textId="77777777">
            <w:pPr>
              <w:spacing w:after="0" w:line="259" w:lineRule="auto"/>
              <w:ind w:left="60" w:right="0"/>
            </w:pPr>
            <w:r>
              <w:rPr>
                <w:b/>
                <w:sz w:val="22"/>
              </w:rPr>
              <w:t xml:space="preserve">Hours </w:t>
            </w:r>
            <w:r>
              <w:t xml:space="preserve"> </w:t>
            </w:r>
          </w:p>
        </w:tc>
        <w:tc>
          <w:tcPr>
            <w:tcW w:w="1393" w:type="dxa"/>
            <w:tcBorders>
              <w:top w:val="single" w:sz="12" w:space="0" w:color="000000"/>
              <w:left w:val="nil"/>
              <w:bottom w:val="single" w:sz="4" w:space="0" w:color="000000"/>
              <w:right w:val="nil"/>
            </w:tcBorders>
            <w:vAlign w:val="center"/>
          </w:tcPr>
          <w:p w:rsidR="006533E8" w14:paraId="0D5EF16C" w14:textId="77777777">
            <w:pPr>
              <w:spacing w:after="0" w:line="259" w:lineRule="auto"/>
              <w:ind w:left="34" w:right="0"/>
            </w:pPr>
            <w:r>
              <w:rPr>
                <w:b/>
                <w:sz w:val="22"/>
              </w:rPr>
              <w:t xml:space="preserve">Average </w:t>
            </w:r>
          </w:p>
          <w:p w:rsidR="006533E8" w14:paraId="0E607735" w14:textId="77777777">
            <w:pPr>
              <w:spacing w:after="0" w:line="259" w:lineRule="auto"/>
              <w:ind w:left="91" w:right="0"/>
            </w:pPr>
            <w:r>
              <w:rPr>
                <w:b/>
                <w:sz w:val="22"/>
              </w:rPr>
              <w:t xml:space="preserve">Cost to </w:t>
            </w:r>
            <w:r>
              <w:t xml:space="preserve"> </w:t>
            </w:r>
          </w:p>
          <w:p w:rsidR="006533E8" w14:paraId="25C9DDDC" w14:textId="77777777">
            <w:pPr>
              <w:spacing w:after="0" w:line="259" w:lineRule="auto"/>
              <w:ind w:left="2" w:right="0"/>
            </w:pPr>
            <w:r>
              <w:rPr>
                <w:b/>
                <w:sz w:val="22"/>
              </w:rPr>
              <w:t xml:space="preserve">Contract </w:t>
            </w:r>
            <w:r>
              <w:t xml:space="preserve"> </w:t>
            </w:r>
          </w:p>
        </w:tc>
        <w:tc>
          <w:tcPr>
            <w:tcW w:w="1277" w:type="dxa"/>
            <w:tcBorders>
              <w:top w:val="single" w:sz="12" w:space="0" w:color="000000"/>
              <w:left w:val="nil"/>
              <w:bottom w:val="single" w:sz="4" w:space="0" w:color="000000"/>
              <w:right w:val="nil"/>
            </w:tcBorders>
            <w:vAlign w:val="bottom"/>
          </w:tcPr>
          <w:p w:rsidR="006533E8" w14:paraId="4C50FDD7" w14:textId="77777777">
            <w:pPr>
              <w:spacing w:after="0" w:line="259" w:lineRule="auto"/>
              <w:ind w:left="137" w:right="0" w:hanging="137"/>
            </w:pPr>
            <w:r>
              <w:rPr>
                <w:b/>
                <w:sz w:val="22"/>
              </w:rPr>
              <w:t xml:space="preserve">Total Cost Burden </w:t>
            </w:r>
            <w:r>
              <w:t xml:space="preserve"> </w:t>
            </w:r>
          </w:p>
        </w:tc>
      </w:tr>
      <w:tr w14:paraId="12B6D016" w14:textId="77777777">
        <w:tblPrEx>
          <w:tblW w:w="9390" w:type="dxa"/>
          <w:tblInd w:w="223" w:type="dxa"/>
          <w:tblCellMar>
            <w:top w:w="155" w:type="dxa"/>
            <w:left w:w="0" w:type="dxa"/>
            <w:bottom w:w="37" w:type="dxa"/>
            <w:right w:w="0" w:type="dxa"/>
          </w:tblCellMar>
          <w:tblLook w:val="04A0"/>
        </w:tblPrEx>
        <w:trPr>
          <w:trHeight w:val="782"/>
        </w:trPr>
        <w:tc>
          <w:tcPr>
            <w:tcW w:w="5341" w:type="dxa"/>
            <w:tcBorders>
              <w:top w:val="single" w:sz="4" w:space="0" w:color="000000"/>
              <w:left w:val="nil"/>
              <w:bottom w:val="single" w:sz="12" w:space="0" w:color="000000"/>
              <w:right w:val="nil"/>
            </w:tcBorders>
            <w:vAlign w:val="center"/>
          </w:tcPr>
          <w:p w:rsidR="006533E8" w14:paraId="2295DD2F" w14:textId="77777777">
            <w:pPr>
              <w:spacing w:after="89" w:line="259" w:lineRule="auto"/>
              <w:ind w:left="137" w:right="0"/>
            </w:pPr>
            <w:r>
              <w:rPr>
                <w:sz w:val="22"/>
              </w:rPr>
              <w:t xml:space="preserve">HOPDs/ASCs Patient Records for </w:t>
            </w:r>
          </w:p>
          <w:p w:rsidR="006533E8" w14:paraId="6A532B23" w14:textId="77777777">
            <w:pPr>
              <w:tabs>
                <w:tab w:val="center" w:pos="4610"/>
              </w:tabs>
              <w:spacing w:after="0" w:line="259" w:lineRule="auto"/>
              <w:ind w:right="0"/>
            </w:pPr>
            <w:r>
              <w:rPr>
                <w:sz w:val="22"/>
              </w:rPr>
              <w:t xml:space="preserve">National Implementation  </w:t>
            </w:r>
            <w:r>
              <w:t xml:space="preserve"> </w:t>
            </w:r>
            <w:r>
              <w:tab/>
            </w:r>
            <w:r>
              <w:rPr>
                <w:sz w:val="34"/>
                <w:vertAlign w:val="subscript"/>
              </w:rPr>
              <w:t>8</w:t>
            </w:r>
            <w:r>
              <w:rPr>
                <w:sz w:val="22"/>
              </w:rPr>
              <w:t xml:space="preserve">,427 </w:t>
            </w:r>
            <w:r>
              <w:t xml:space="preserve"> </w:t>
            </w:r>
          </w:p>
        </w:tc>
        <w:tc>
          <w:tcPr>
            <w:tcW w:w="1380" w:type="dxa"/>
            <w:tcBorders>
              <w:top w:val="single" w:sz="4" w:space="0" w:color="000000"/>
              <w:left w:val="nil"/>
              <w:bottom w:val="single" w:sz="12" w:space="0" w:color="000000"/>
              <w:right w:val="nil"/>
            </w:tcBorders>
            <w:vAlign w:val="bottom"/>
          </w:tcPr>
          <w:p w:rsidR="006533E8" w14:paraId="13AAE078" w14:textId="77777777">
            <w:pPr>
              <w:spacing w:after="0" w:line="259" w:lineRule="auto"/>
              <w:ind w:left="50" w:right="0"/>
            </w:pPr>
            <w:r>
              <w:rPr>
                <w:sz w:val="22"/>
              </w:rPr>
              <w:t>235,956</w:t>
            </w:r>
            <w:r>
              <w:t xml:space="preserve"> </w:t>
            </w:r>
          </w:p>
        </w:tc>
        <w:tc>
          <w:tcPr>
            <w:tcW w:w="1393" w:type="dxa"/>
            <w:tcBorders>
              <w:top w:val="single" w:sz="4" w:space="0" w:color="000000"/>
              <w:left w:val="nil"/>
              <w:bottom w:val="single" w:sz="12" w:space="0" w:color="000000"/>
              <w:right w:val="nil"/>
            </w:tcBorders>
            <w:vAlign w:val="bottom"/>
          </w:tcPr>
          <w:p w:rsidR="006533E8" w14:paraId="1D720DA6" w14:textId="77777777">
            <w:pPr>
              <w:spacing w:after="0" w:line="259" w:lineRule="auto"/>
              <w:ind w:right="0"/>
            </w:pPr>
            <w:r>
              <w:rPr>
                <w:sz w:val="22"/>
              </w:rPr>
              <w:t xml:space="preserve">$111.38/hr. </w:t>
            </w:r>
            <w:r>
              <w:t xml:space="preserve"> </w:t>
            </w:r>
          </w:p>
        </w:tc>
        <w:tc>
          <w:tcPr>
            <w:tcW w:w="1277" w:type="dxa"/>
            <w:tcBorders>
              <w:top w:val="single" w:sz="4" w:space="0" w:color="000000"/>
              <w:left w:val="nil"/>
              <w:bottom w:val="single" w:sz="12" w:space="0" w:color="000000"/>
              <w:right w:val="nil"/>
            </w:tcBorders>
            <w:vAlign w:val="bottom"/>
          </w:tcPr>
          <w:p w:rsidR="006533E8" w14:paraId="3B8259AB" w14:textId="77777777">
            <w:pPr>
              <w:spacing w:after="0" w:line="259" w:lineRule="auto"/>
              <w:ind w:left="125" w:right="0"/>
            </w:pPr>
            <w:r>
              <w:rPr>
                <w:sz w:val="22"/>
              </w:rPr>
              <w:t xml:space="preserve">$26,280,779 </w:t>
            </w:r>
          </w:p>
        </w:tc>
      </w:tr>
    </w:tbl>
    <w:p w:rsidR="006533E8" w14:paraId="0A59A31A" w14:textId="77777777">
      <w:pPr>
        <w:spacing w:after="93" w:line="259" w:lineRule="auto"/>
        <w:ind w:left="864" w:right="0"/>
      </w:pPr>
      <w:r>
        <w:t xml:space="preserve">  </w:t>
      </w:r>
    </w:p>
    <w:p w:rsidR="006533E8" w14:paraId="2BD2DE62" w14:textId="77777777">
      <w:pPr>
        <w:spacing w:after="0" w:line="259" w:lineRule="auto"/>
        <w:ind w:left="125" w:right="0" w:hanging="10"/>
      </w:pPr>
      <w:r>
        <w:rPr>
          <w:i/>
        </w:rPr>
        <w:t xml:space="preserve">Burden Summary for Individual Respondents and Facilities  </w:t>
      </w:r>
    </w:p>
    <w:p w:rsidR="006533E8" w14:paraId="53AA2972" w14:textId="77777777">
      <w:pPr>
        <w:spacing w:after="0" w:line="259" w:lineRule="auto"/>
        <w:ind w:left="144" w:right="0"/>
      </w:pPr>
      <w:r>
        <w:t xml:space="preserve">  </w:t>
      </w:r>
    </w:p>
    <w:tbl>
      <w:tblPr>
        <w:tblStyle w:val="TableGrid"/>
        <w:tblW w:w="8603" w:type="dxa"/>
        <w:tblInd w:w="157" w:type="dxa"/>
        <w:tblCellMar>
          <w:top w:w="139" w:type="dxa"/>
          <w:left w:w="0" w:type="dxa"/>
          <w:bottom w:w="30" w:type="dxa"/>
          <w:right w:w="0" w:type="dxa"/>
        </w:tblCellMar>
        <w:tblLook w:val="04A0"/>
      </w:tblPr>
      <w:tblGrid>
        <w:gridCol w:w="1861"/>
        <w:gridCol w:w="1360"/>
        <w:gridCol w:w="1175"/>
        <w:gridCol w:w="1090"/>
        <w:gridCol w:w="967"/>
        <w:gridCol w:w="946"/>
        <w:gridCol w:w="1204"/>
      </w:tblGrid>
      <w:tr w14:paraId="17700CD9" w14:textId="77777777">
        <w:tblPrEx>
          <w:tblW w:w="8603" w:type="dxa"/>
          <w:tblInd w:w="157" w:type="dxa"/>
          <w:tblCellMar>
            <w:top w:w="139" w:type="dxa"/>
            <w:left w:w="0" w:type="dxa"/>
            <w:bottom w:w="30" w:type="dxa"/>
            <w:right w:w="0" w:type="dxa"/>
          </w:tblCellMar>
          <w:tblLook w:val="04A0"/>
        </w:tblPrEx>
        <w:trPr>
          <w:trHeight w:val="989"/>
        </w:trPr>
        <w:tc>
          <w:tcPr>
            <w:tcW w:w="1861" w:type="dxa"/>
            <w:tcBorders>
              <w:top w:val="single" w:sz="4" w:space="0" w:color="000000"/>
              <w:left w:val="single" w:sz="4" w:space="0" w:color="000000"/>
              <w:bottom w:val="single" w:sz="4" w:space="0" w:color="000000"/>
              <w:right w:val="single" w:sz="4" w:space="0" w:color="000000"/>
            </w:tcBorders>
            <w:vAlign w:val="bottom"/>
          </w:tcPr>
          <w:p w:rsidR="006533E8" w14:paraId="4204DE12" w14:textId="77777777">
            <w:pPr>
              <w:spacing w:after="0" w:line="259" w:lineRule="auto"/>
              <w:ind w:left="133" w:right="0"/>
            </w:pPr>
            <w:r>
              <w:rPr>
                <w:b/>
                <w:sz w:val="22"/>
              </w:rPr>
              <w:t xml:space="preserve">Respondent Type </w:t>
            </w:r>
          </w:p>
        </w:tc>
        <w:tc>
          <w:tcPr>
            <w:tcW w:w="1360" w:type="dxa"/>
            <w:tcBorders>
              <w:top w:val="single" w:sz="4" w:space="0" w:color="000000"/>
              <w:left w:val="single" w:sz="4" w:space="0" w:color="000000"/>
              <w:bottom w:val="single" w:sz="4" w:space="0" w:color="000000"/>
              <w:right w:val="single" w:sz="4" w:space="0" w:color="000000"/>
            </w:tcBorders>
            <w:vAlign w:val="bottom"/>
          </w:tcPr>
          <w:p w:rsidR="006533E8" w14:paraId="4FC82258" w14:textId="77777777">
            <w:pPr>
              <w:spacing w:after="0" w:line="259" w:lineRule="auto"/>
              <w:ind w:left="-29" w:right="0"/>
              <w:jc w:val="both"/>
            </w:pPr>
            <w:r>
              <w:t xml:space="preserve"> </w:t>
            </w:r>
            <w:r>
              <w:rPr>
                <w:b/>
                <w:sz w:val="22"/>
              </w:rPr>
              <w:t xml:space="preserve">Respondents </w:t>
            </w:r>
          </w:p>
        </w:tc>
        <w:tc>
          <w:tcPr>
            <w:tcW w:w="1175" w:type="dxa"/>
            <w:tcBorders>
              <w:top w:val="single" w:sz="4" w:space="0" w:color="000000"/>
              <w:left w:val="single" w:sz="4" w:space="0" w:color="000000"/>
              <w:bottom w:val="single" w:sz="4" w:space="0" w:color="000000"/>
              <w:right w:val="single" w:sz="4" w:space="0" w:color="000000"/>
            </w:tcBorders>
            <w:vAlign w:val="center"/>
          </w:tcPr>
          <w:p w:rsidR="006533E8" w14:paraId="4BDA6096" w14:textId="77777777">
            <w:pPr>
              <w:spacing w:after="0" w:line="259" w:lineRule="auto"/>
              <w:ind w:right="2"/>
              <w:jc w:val="center"/>
            </w:pPr>
            <w:r>
              <w:rPr>
                <w:b/>
                <w:sz w:val="22"/>
              </w:rPr>
              <w:t xml:space="preserve">Total </w:t>
            </w:r>
            <w:r>
              <w:t xml:space="preserve"> </w:t>
            </w:r>
          </w:p>
          <w:p w:rsidR="006533E8" w14:paraId="13B8336F" w14:textId="77777777">
            <w:pPr>
              <w:spacing w:after="0" w:line="259" w:lineRule="auto"/>
              <w:ind w:left="109" w:right="0"/>
            </w:pPr>
            <w:r>
              <w:rPr>
                <w:b/>
                <w:sz w:val="22"/>
              </w:rPr>
              <w:t xml:space="preserve">Responses </w:t>
            </w:r>
            <w:r>
              <w:t xml:space="preserve"> </w:t>
            </w:r>
          </w:p>
          <w:p w:rsidR="006533E8" w14:paraId="1C99F41B" w14:textId="77777777">
            <w:pPr>
              <w:spacing w:after="0" w:line="259" w:lineRule="auto"/>
              <w:ind w:left="124" w:right="0"/>
            </w:pPr>
            <w:r>
              <w:rPr>
                <w:b/>
                <w:sz w:val="22"/>
              </w:rPr>
              <w:t xml:space="preserve">(per year) </w:t>
            </w:r>
            <w:r>
              <w:t xml:space="preserve"> </w:t>
            </w:r>
          </w:p>
        </w:tc>
        <w:tc>
          <w:tcPr>
            <w:tcW w:w="1090" w:type="dxa"/>
            <w:tcBorders>
              <w:top w:val="single" w:sz="4" w:space="0" w:color="000000"/>
              <w:left w:val="single" w:sz="4" w:space="0" w:color="000000"/>
              <w:bottom w:val="single" w:sz="4" w:space="0" w:color="000000"/>
              <w:right w:val="single" w:sz="4" w:space="0" w:color="000000"/>
            </w:tcBorders>
            <w:vAlign w:val="center"/>
          </w:tcPr>
          <w:p w:rsidR="006533E8" w14:paraId="59366DEC" w14:textId="77777777">
            <w:pPr>
              <w:spacing w:after="0" w:line="259" w:lineRule="auto"/>
              <w:ind w:left="120" w:right="0"/>
            </w:pPr>
            <w:r>
              <w:rPr>
                <w:b/>
                <w:sz w:val="22"/>
              </w:rPr>
              <w:t xml:space="preserve">Time per </w:t>
            </w:r>
            <w:r>
              <w:t xml:space="preserve"> </w:t>
            </w:r>
          </w:p>
          <w:p w:rsidR="006533E8" w14:paraId="1823E6D4" w14:textId="77777777">
            <w:pPr>
              <w:spacing w:after="10" w:line="259" w:lineRule="auto"/>
              <w:ind w:left="132" w:right="0"/>
            </w:pPr>
            <w:r>
              <w:rPr>
                <w:b/>
                <w:sz w:val="22"/>
              </w:rPr>
              <w:t xml:space="preserve">Response </w:t>
            </w:r>
          </w:p>
          <w:p w:rsidR="006533E8" w14:paraId="345B22AA" w14:textId="77777777">
            <w:pPr>
              <w:spacing w:after="0" w:line="259" w:lineRule="auto"/>
              <w:ind w:left="56" w:right="0"/>
              <w:jc w:val="center"/>
            </w:pPr>
            <w:r>
              <w:rPr>
                <w:b/>
                <w:sz w:val="22"/>
              </w:rPr>
              <w:t>(</w:t>
            </w:r>
            <w:r>
              <w:rPr>
                <w:b/>
                <w:sz w:val="22"/>
              </w:rPr>
              <w:t>hr</w:t>
            </w:r>
            <w:r>
              <w:rPr>
                <w:b/>
                <w:sz w:val="22"/>
              </w:rPr>
              <w:t xml:space="preserve">) </w:t>
            </w:r>
            <w:r>
              <w:t xml:space="preserve"> </w:t>
            </w:r>
          </w:p>
        </w:tc>
        <w:tc>
          <w:tcPr>
            <w:tcW w:w="967" w:type="dxa"/>
            <w:tcBorders>
              <w:top w:val="single" w:sz="4" w:space="0" w:color="000000"/>
              <w:left w:val="single" w:sz="4" w:space="0" w:color="000000"/>
              <w:bottom w:val="single" w:sz="4" w:space="0" w:color="000000"/>
              <w:right w:val="single" w:sz="4" w:space="0" w:color="000000"/>
            </w:tcBorders>
          </w:tcPr>
          <w:p w:rsidR="006533E8" w14:paraId="274DB0D2" w14:textId="77777777">
            <w:pPr>
              <w:spacing w:after="0" w:line="259" w:lineRule="auto"/>
              <w:ind w:right="4"/>
              <w:jc w:val="center"/>
            </w:pPr>
            <w:r>
              <w:rPr>
                <w:b/>
                <w:sz w:val="22"/>
              </w:rPr>
              <w:t xml:space="preserve">Total </w:t>
            </w:r>
            <w:r>
              <w:t xml:space="preserve"> </w:t>
            </w:r>
          </w:p>
          <w:p w:rsidR="006533E8" w14:paraId="6A8532B1" w14:textId="77777777">
            <w:pPr>
              <w:spacing w:after="33" w:line="259" w:lineRule="auto"/>
              <w:ind w:right="6"/>
              <w:jc w:val="center"/>
            </w:pPr>
            <w:r>
              <w:rPr>
                <w:b/>
                <w:sz w:val="22"/>
              </w:rPr>
              <w:t xml:space="preserve">Time </w:t>
            </w:r>
            <w:r>
              <w:t xml:space="preserve"> </w:t>
            </w:r>
          </w:p>
          <w:p w:rsidR="006533E8" w14:paraId="12F6984E" w14:textId="77777777">
            <w:pPr>
              <w:spacing w:after="0" w:line="259" w:lineRule="auto"/>
              <w:ind w:right="4"/>
              <w:jc w:val="center"/>
            </w:pPr>
            <w:r>
              <w:rPr>
                <w:b/>
                <w:sz w:val="22"/>
              </w:rPr>
              <w:t>(</w:t>
            </w:r>
            <w:r>
              <w:rPr>
                <w:b/>
                <w:sz w:val="22"/>
              </w:rPr>
              <w:t>hr</w:t>
            </w:r>
            <w:r>
              <w:rPr>
                <w:b/>
                <w:sz w:val="22"/>
              </w:rPr>
              <w:t xml:space="preserve">) </w:t>
            </w:r>
            <w:r>
              <w:t xml:space="preserve"> </w:t>
            </w:r>
          </w:p>
        </w:tc>
        <w:tc>
          <w:tcPr>
            <w:tcW w:w="946" w:type="dxa"/>
            <w:tcBorders>
              <w:top w:val="single" w:sz="4" w:space="0" w:color="000000"/>
              <w:left w:val="single" w:sz="4" w:space="0" w:color="000000"/>
              <w:bottom w:val="single" w:sz="4" w:space="0" w:color="000000"/>
              <w:right w:val="single" w:sz="4" w:space="0" w:color="000000"/>
            </w:tcBorders>
          </w:tcPr>
          <w:p w:rsidR="006533E8" w14:paraId="193DA04F" w14:textId="77777777">
            <w:pPr>
              <w:spacing w:after="0" w:line="259" w:lineRule="auto"/>
              <w:ind w:left="197" w:right="0"/>
            </w:pPr>
            <w:r>
              <w:rPr>
                <w:b/>
                <w:sz w:val="22"/>
              </w:rPr>
              <w:t xml:space="preserve">Labor </w:t>
            </w:r>
            <w:r>
              <w:t xml:space="preserve"> </w:t>
            </w:r>
          </w:p>
          <w:p w:rsidR="006533E8" w14:paraId="6C3BC479" w14:textId="77777777">
            <w:pPr>
              <w:spacing w:after="33" w:line="259" w:lineRule="auto"/>
              <w:ind w:right="1"/>
              <w:jc w:val="center"/>
            </w:pPr>
            <w:r>
              <w:rPr>
                <w:b/>
                <w:sz w:val="22"/>
              </w:rPr>
              <w:t xml:space="preserve">Rate </w:t>
            </w:r>
            <w:r>
              <w:t xml:space="preserve"> </w:t>
            </w:r>
          </w:p>
          <w:p w:rsidR="006533E8" w14:paraId="4BED44A0" w14:textId="77777777">
            <w:pPr>
              <w:spacing w:after="0" w:line="259" w:lineRule="auto"/>
              <w:ind w:left="1" w:right="0"/>
              <w:jc w:val="center"/>
            </w:pPr>
            <w:r>
              <w:rPr>
                <w:b/>
                <w:sz w:val="22"/>
              </w:rPr>
              <w:t>($/</w:t>
            </w:r>
            <w:r>
              <w:rPr>
                <w:b/>
                <w:sz w:val="22"/>
              </w:rPr>
              <w:t>hr</w:t>
            </w:r>
            <w:r>
              <w:rPr>
                <w:b/>
                <w:sz w:val="22"/>
              </w:rPr>
              <w:t xml:space="preserve">) </w:t>
            </w:r>
            <w:r>
              <w:t xml:space="preserve"> </w:t>
            </w:r>
          </w:p>
        </w:tc>
        <w:tc>
          <w:tcPr>
            <w:tcW w:w="1204" w:type="dxa"/>
            <w:tcBorders>
              <w:top w:val="single" w:sz="4" w:space="0" w:color="000000"/>
              <w:left w:val="single" w:sz="4" w:space="0" w:color="000000"/>
              <w:bottom w:val="single" w:sz="4" w:space="0" w:color="000000"/>
              <w:right w:val="single" w:sz="4" w:space="0" w:color="000000"/>
            </w:tcBorders>
            <w:vAlign w:val="bottom"/>
          </w:tcPr>
          <w:p w:rsidR="006533E8" w14:paraId="686E92E7" w14:textId="77777777">
            <w:pPr>
              <w:spacing w:after="182" w:line="259" w:lineRule="auto"/>
              <w:ind w:left="120" w:right="0"/>
            </w:pPr>
            <w:r>
              <w:rPr>
                <w:b/>
                <w:sz w:val="22"/>
              </w:rPr>
              <w:t xml:space="preserve">Total Cost </w:t>
            </w:r>
          </w:p>
          <w:p w:rsidR="006533E8" w14:paraId="75068D85" w14:textId="77777777">
            <w:pPr>
              <w:spacing w:after="0" w:line="259" w:lineRule="auto"/>
              <w:ind w:left="6" w:right="0"/>
              <w:jc w:val="center"/>
            </w:pPr>
            <w:r>
              <w:rPr>
                <w:b/>
                <w:sz w:val="22"/>
              </w:rPr>
              <w:t xml:space="preserve">($) </w:t>
            </w:r>
            <w:r>
              <w:t xml:space="preserve"> </w:t>
            </w:r>
          </w:p>
        </w:tc>
      </w:tr>
      <w:tr w14:paraId="0F08F3F8" w14:textId="77777777">
        <w:tblPrEx>
          <w:tblW w:w="8603" w:type="dxa"/>
          <w:tblInd w:w="157" w:type="dxa"/>
          <w:tblCellMar>
            <w:top w:w="139" w:type="dxa"/>
            <w:left w:w="0" w:type="dxa"/>
            <w:bottom w:w="30" w:type="dxa"/>
            <w:right w:w="0" w:type="dxa"/>
          </w:tblCellMar>
          <w:tblLook w:val="04A0"/>
        </w:tblPrEx>
        <w:trPr>
          <w:trHeight w:val="386"/>
        </w:trPr>
        <w:tc>
          <w:tcPr>
            <w:tcW w:w="1861" w:type="dxa"/>
            <w:tcBorders>
              <w:top w:val="single" w:sz="4" w:space="0" w:color="000000"/>
              <w:left w:val="single" w:sz="4" w:space="0" w:color="000000"/>
              <w:bottom w:val="single" w:sz="4" w:space="0" w:color="000000"/>
              <w:right w:val="single" w:sz="4" w:space="0" w:color="000000"/>
            </w:tcBorders>
          </w:tcPr>
          <w:p w:rsidR="006533E8" w14:paraId="40A9991A" w14:textId="77777777">
            <w:pPr>
              <w:spacing w:after="0" w:line="259" w:lineRule="auto"/>
              <w:ind w:left="104" w:right="0"/>
            </w:pPr>
            <w:r>
              <w:rPr>
                <w:sz w:val="22"/>
              </w:rPr>
              <w:t xml:space="preserve">Respondents </w:t>
            </w:r>
            <w:r>
              <w:t xml:space="preserve"> </w:t>
            </w:r>
          </w:p>
        </w:tc>
        <w:tc>
          <w:tcPr>
            <w:tcW w:w="1360" w:type="dxa"/>
            <w:tcBorders>
              <w:top w:val="single" w:sz="4" w:space="0" w:color="000000"/>
              <w:left w:val="single" w:sz="4" w:space="0" w:color="000000"/>
              <w:bottom w:val="single" w:sz="4" w:space="0" w:color="000000"/>
              <w:right w:val="single" w:sz="4" w:space="0" w:color="000000"/>
            </w:tcBorders>
          </w:tcPr>
          <w:p w:rsidR="006533E8" w14:paraId="45636418" w14:textId="77777777">
            <w:pPr>
              <w:spacing w:after="0" w:line="259" w:lineRule="auto"/>
              <w:ind w:right="104"/>
              <w:jc w:val="right"/>
            </w:pPr>
            <w:r>
              <w:rPr>
                <w:sz w:val="22"/>
              </w:rPr>
              <w:t xml:space="preserve">2,037,300 </w:t>
            </w:r>
          </w:p>
        </w:tc>
        <w:tc>
          <w:tcPr>
            <w:tcW w:w="1175" w:type="dxa"/>
            <w:tcBorders>
              <w:top w:val="single" w:sz="4" w:space="0" w:color="000000"/>
              <w:left w:val="single" w:sz="4" w:space="0" w:color="000000"/>
              <w:bottom w:val="single" w:sz="4" w:space="0" w:color="000000"/>
              <w:right w:val="single" w:sz="4" w:space="0" w:color="000000"/>
            </w:tcBorders>
          </w:tcPr>
          <w:p w:rsidR="006533E8" w14:paraId="1103CAE8" w14:textId="77777777">
            <w:pPr>
              <w:spacing w:after="0" w:line="259" w:lineRule="auto"/>
              <w:ind w:right="103"/>
              <w:jc w:val="right"/>
            </w:pPr>
            <w:r>
              <w:rPr>
                <w:sz w:val="22"/>
              </w:rPr>
              <w:t xml:space="preserve">2,037,300 </w:t>
            </w:r>
          </w:p>
        </w:tc>
        <w:tc>
          <w:tcPr>
            <w:tcW w:w="1090" w:type="dxa"/>
            <w:tcBorders>
              <w:top w:val="single" w:sz="4" w:space="0" w:color="000000"/>
              <w:left w:val="single" w:sz="4" w:space="0" w:color="000000"/>
              <w:bottom w:val="single" w:sz="4" w:space="0" w:color="000000"/>
              <w:right w:val="single" w:sz="4" w:space="0" w:color="000000"/>
            </w:tcBorders>
          </w:tcPr>
          <w:p w:rsidR="006533E8" w14:paraId="598BE61E" w14:textId="77777777">
            <w:pPr>
              <w:spacing w:after="0" w:line="259" w:lineRule="auto"/>
              <w:ind w:right="106"/>
              <w:jc w:val="right"/>
            </w:pPr>
            <w:r>
              <w:rPr>
                <w:sz w:val="22"/>
              </w:rPr>
              <w:t xml:space="preserve">0.13  </w:t>
            </w:r>
          </w:p>
        </w:tc>
        <w:tc>
          <w:tcPr>
            <w:tcW w:w="967" w:type="dxa"/>
            <w:tcBorders>
              <w:top w:val="single" w:sz="4" w:space="0" w:color="000000"/>
              <w:left w:val="single" w:sz="4" w:space="0" w:color="000000"/>
              <w:bottom w:val="single" w:sz="4" w:space="0" w:color="000000"/>
              <w:right w:val="single" w:sz="4" w:space="0" w:color="000000"/>
            </w:tcBorders>
          </w:tcPr>
          <w:p w:rsidR="006533E8" w14:paraId="670803CF" w14:textId="77777777">
            <w:pPr>
              <w:spacing w:after="0" w:line="259" w:lineRule="auto"/>
              <w:ind w:left="158" w:right="0"/>
            </w:pPr>
            <w:r>
              <w:rPr>
                <w:sz w:val="22"/>
              </w:rPr>
              <w:t xml:space="preserve">264,849 </w:t>
            </w:r>
          </w:p>
        </w:tc>
        <w:tc>
          <w:tcPr>
            <w:tcW w:w="946" w:type="dxa"/>
            <w:tcBorders>
              <w:top w:val="single" w:sz="4" w:space="0" w:color="000000"/>
              <w:left w:val="single" w:sz="4" w:space="0" w:color="000000"/>
              <w:bottom w:val="single" w:sz="4" w:space="0" w:color="000000"/>
              <w:right w:val="single" w:sz="4" w:space="0" w:color="000000"/>
            </w:tcBorders>
          </w:tcPr>
          <w:p w:rsidR="006533E8" w14:paraId="39870027" w14:textId="77777777">
            <w:pPr>
              <w:spacing w:after="0" w:line="259" w:lineRule="auto"/>
              <w:ind w:right="106"/>
              <w:jc w:val="right"/>
            </w:pPr>
            <w:r>
              <w:rPr>
                <w:sz w:val="22"/>
              </w:rPr>
              <w:t xml:space="preserve">32.66  </w:t>
            </w:r>
          </w:p>
        </w:tc>
        <w:tc>
          <w:tcPr>
            <w:tcW w:w="1204" w:type="dxa"/>
            <w:tcBorders>
              <w:top w:val="single" w:sz="4" w:space="0" w:color="000000"/>
              <w:left w:val="single" w:sz="4" w:space="0" w:color="000000"/>
              <w:bottom w:val="single" w:sz="4" w:space="0" w:color="000000"/>
              <w:right w:val="single" w:sz="4" w:space="0" w:color="000000"/>
            </w:tcBorders>
          </w:tcPr>
          <w:p w:rsidR="006533E8" w14:paraId="0B1DBDD9" w14:textId="77777777">
            <w:pPr>
              <w:spacing w:after="0" w:line="259" w:lineRule="auto"/>
              <w:ind w:right="100"/>
              <w:jc w:val="right"/>
            </w:pPr>
            <w:r>
              <w:rPr>
                <w:sz w:val="22"/>
              </w:rPr>
              <w:t xml:space="preserve">8,649,968 </w:t>
            </w:r>
          </w:p>
        </w:tc>
      </w:tr>
      <w:tr w14:paraId="78936281" w14:textId="77777777">
        <w:tblPrEx>
          <w:tblW w:w="8603" w:type="dxa"/>
          <w:tblInd w:w="157" w:type="dxa"/>
          <w:tblCellMar>
            <w:top w:w="139" w:type="dxa"/>
            <w:left w:w="0" w:type="dxa"/>
            <w:bottom w:w="30" w:type="dxa"/>
            <w:right w:w="0" w:type="dxa"/>
          </w:tblCellMar>
          <w:tblLook w:val="04A0"/>
        </w:tblPrEx>
        <w:trPr>
          <w:trHeight w:val="404"/>
        </w:trPr>
        <w:tc>
          <w:tcPr>
            <w:tcW w:w="1861" w:type="dxa"/>
            <w:tcBorders>
              <w:top w:val="single" w:sz="4" w:space="0" w:color="000000"/>
              <w:left w:val="single" w:sz="4" w:space="0" w:color="000000"/>
              <w:bottom w:val="single" w:sz="4" w:space="0" w:color="000000"/>
              <w:right w:val="single" w:sz="4" w:space="0" w:color="000000"/>
            </w:tcBorders>
          </w:tcPr>
          <w:p w:rsidR="006533E8" w14:paraId="6584252B" w14:textId="77777777">
            <w:pPr>
              <w:spacing w:after="0" w:line="259" w:lineRule="auto"/>
              <w:ind w:left="104" w:right="0"/>
              <w:jc w:val="both"/>
            </w:pPr>
            <w:r>
              <w:rPr>
                <w:sz w:val="22"/>
              </w:rPr>
              <w:t xml:space="preserve">HOPDs and ASCs </w:t>
            </w:r>
            <w:r>
              <w:t xml:space="preserve"> </w:t>
            </w:r>
          </w:p>
        </w:tc>
        <w:tc>
          <w:tcPr>
            <w:tcW w:w="1360" w:type="dxa"/>
            <w:tcBorders>
              <w:top w:val="single" w:sz="4" w:space="0" w:color="000000"/>
              <w:left w:val="single" w:sz="4" w:space="0" w:color="000000"/>
              <w:bottom w:val="single" w:sz="4" w:space="0" w:color="000000"/>
              <w:right w:val="single" w:sz="4" w:space="0" w:color="000000"/>
            </w:tcBorders>
          </w:tcPr>
          <w:p w:rsidR="006533E8" w14:paraId="1992C5AE" w14:textId="77777777">
            <w:pPr>
              <w:spacing w:after="0" w:line="259" w:lineRule="auto"/>
              <w:ind w:right="104"/>
              <w:jc w:val="right"/>
            </w:pPr>
            <w:r>
              <w:rPr>
                <w:sz w:val="22"/>
              </w:rPr>
              <w:t xml:space="preserve">8,427 </w:t>
            </w:r>
          </w:p>
        </w:tc>
        <w:tc>
          <w:tcPr>
            <w:tcW w:w="1175" w:type="dxa"/>
            <w:tcBorders>
              <w:top w:val="single" w:sz="4" w:space="0" w:color="000000"/>
              <w:left w:val="single" w:sz="4" w:space="0" w:color="000000"/>
              <w:bottom w:val="single" w:sz="4" w:space="0" w:color="000000"/>
              <w:right w:val="single" w:sz="4" w:space="0" w:color="000000"/>
            </w:tcBorders>
          </w:tcPr>
          <w:p w:rsidR="006533E8" w14:paraId="2EB65CA2" w14:textId="77777777">
            <w:pPr>
              <w:spacing w:after="0" w:line="259" w:lineRule="auto"/>
              <w:ind w:right="103"/>
              <w:jc w:val="right"/>
            </w:pPr>
            <w:r>
              <w:rPr>
                <w:sz w:val="22"/>
              </w:rPr>
              <w:t xml:space="preserve">8,427 </w:t>
            </w:r>
          </w:p>
        </w:tc>
        <w:tc>
          <w:tcPr>
            <w:tcW w:w="1090" w:type="dxa"/>
            <w:tcBorders>
              <w:top w:val="single" w:sz="4" w:space="0" w:color="000000"/>
              <w:left w:val="single" w:sz="4" w:space="0" w:color="000000"/>
              <w:bottom w:val="single" w:sz="4" w:space="0" w:color="000000"/>
              <w:right w:val="single" w:sz="4" w:space="0" w:color="000000"/>
            </w:tcBorders>
          </w:tcPr>
          <w:p w:rsidR="006533E8" w14:paraId="250C8413" w14:textId="77777777">
            <w:pPr>
              <w:spacing w:after="0" w:line="259" w:lineRule="auto"/>
              <w:ind w:right="106"/>
              <w:jc w:val="right"/>
            </w:pPr>
            <w:r>
              <w:rPr>
                <w:sz w:val="22"/>
              </w:rPr>
              <w:t xml:space="preserve">28.00  </w:t>
            </w:r>
          </w:p>
        </w:tc>
        <w:tc>
          <w:tcPr>
            <w:tcW w:w="967" w:type="dxa"/>
            <w:tcBorders>
              <w:top w:val="single" w:sz="4" w:space="0" w:color="000000"/>
              <w:left w:val="single" w:sz="4" w:space="0" w:color="000000"/>
              <w:bottom w:val="single" w:sz="4" w:space="0" w:color="000000"/>
              <w:right w:val="single" w:sz="4" w:space="0" w:color="000000"/>
            </w:tcBorders>
          </w:tcPr>
          <w:p w:rsidR="006533E8" w14:paraId="6C33A2D8" w14:textId="77777777">
            <w:pPr>
              <w:spacing w:after="0" w:line="259" w:lineRule="auto"/>
              <w:ind w:left="144" w:right="0"/>
            </w:pPr>
            <w:r>
              <w:rPr>
                <w:sz w:val="22"/>
              </w:rPr>
              <w:t xml:space="preserve">235,956 </w:t>
            </w:r>
          </w:p>
        </w:tc>
        <w:tc>
          <w:tcPr>
            <w:tcW w:w="946" w:type="dxa"/>
            <w:tcBorders>
              <w:top w:val="single" w:sz="4" w:space="0" w:color="000000"/>
              <w:left w:val="single" w:sz="4" w:space="0" w:color="000000"/>
              <w:bottom w:val="single" w:sz="4" w:space="0" w:color="000000"/>
              <w:right w:val="single" w:sz="4" w:space="0" w:color="000000"/>
            </w:tcBorders>
          </w:tcPr>
          <w:p w:rsidR="006533E8" w14:paraId="13FB1F6C" w14:textId="77777777">
            <w:pPr>
              <w:spacing w:after="0" w:line="259" w:lineRule="auto"/>
              <w:ind w:right="106"/>
              <w:jc w:val="right"/>
            </w:pPr>
            <w:r>
              <w:rPr>
                <w:sz w:val="22"/>
              </w:rPr>
              <w:t xml:space="preserve">111.38  </w:t>
            </w:r>
          </w:p>
        </w:tc>
        <w:tc>
          <w:tcPr>
            <w:tcW w:w="1204" w:type="dxa"/>
            <w:tcBorders>
              <w:top w:val="single" w:sz="4" w:space="0" w:color="000000"/>
              <w:left w:val="single" w:sz="4" w:space="0" w:color="000000"/>
              <w:bottom w:val="single" w:sz="4" w:space="0" w:color="000000"/>
              <w:right w:val="single" w:sz="4" w:space="0" w:color="000000"/>
            </w:tcBorders>
          </w:tcPr>
          <w:p w:rsidR="006533E8" w14:paraId="23F13BE4" w14:textId="77777777">
            <w:pPr>
              <w:spacing w:after="0" w:line="259" w:lineRule="auto"/>
              <w:ind w:left="110" w:right="0"/>
            </w:pPr>
            <w:r>
              <w:rPr>
                <w:sz w:val="22"/>
              </w:rPr>
              <w:t xml:space="preserve">26,280,779 </w:t>
            </w:r>
          </w:p>
        </w:tc>
      </w:tr>
      <w:tr w14:paraId="47CCFB6B" w14:textId="77777777">
        <w:tblPrEx>
          <w:tblW w:w="8603" w:type="dxa"/>
          <w:tblInd w:w="157" w:type="dxa"/>
          <w:tblCellMar>
            <w:top w:w="139" w:type="dxa"/>
            <w:left w:w="0" w:type="dxa"/>
            <w:bottom w:w="30" w:type="dxa"/>
            <w:right w:w="0" w:type="dxa"/>
          </w:tblCellMar>
          <w:tblLook w:val="04A0"/>
        </w:tblPrEx>
        <w:trPr>
          <w:trHeight w:val="391"/>
        </w:trPr>
        <w:tc>
          <w:tcPr>
            <w:tcW w:w="1861" w:type="dxa"/>
            <w:tcBorders>
              <w:top w:val="single" w:sz="4" w:space="0" w:color="000000"/>
              <w:left w:val="single" w:sz="4" w:space="0" w:color="000000"/>
              <w:bottom w:val="single" w:sz="8" w:space="0" w:color="000000"/>
              <w:right w:val="single" w:sz="4" w:space="0" w:color="000000"/>
            </w:tcBorders>
            <w:shd w:val="clear" w:color="auto" w:fill="D9D9D9"/>
            <w:vAlign w:val="bottom"/>
          </w:tcPr>
          <w:p w:rsidR="006533E8" w14:paraId="4936F669" w14:textId="77777777">
            <w:pPr>
              <w:spacing w:after="0" w:line="259" w:lineRule="auto"/>
              <w:ind w:left="104" w:right="0"/>
            </w:pPr>
            <w:r>
              <w:rPr>
                <w:b/>
                <w:sz w:val="22"/>
              </w:rPr>
              <w:t xml:space="preserve">TOTAL </w:t>
            </w:r>
            <w:r>
              <w:t xml:space="preserve"> </w:t>
            </w:r>
          </w:p>
        </w:tc>
        <w:tc>
          <w:tcPr>
            <w:tcW w:w="1360" w:type="dxa"/>
            <w:tcBorders>
              <w:top w:val="single" w:sz="4" w:space="0" w:color="000000"/>
              <w:left w:val="single" w:sz="4" w:space="0" w:color="000000"/>
              <w:bottom w:val="single" w:sz="8" w:space="0" w:color="000000"/>
              <w:right w:val="single" w:sz="4" w:space="0" w:color="000000"/>
            </w:tcBorders>
            <w:shd w:val="clear" w:color="auto" w:fill="D9D9D9"/>
            <w:vAlign w:val="bottom"/>
          </w:tcPr>
          <w:p w:rsidR="006533E8" w14:paraId="5C97E43F" w14:textId="77777777">
            <w:pPr>
              <w:spacing w:after="0" w:line="259" w:lineRule="auto"/>
              <w:ind w:right="104"/>
              <w:jc w:val="right"/>
            </w:pPr>
            <w:r>
              <w:rPr>
                <w:b/>
                <w:sz w:val="22"/>
              </w:rPr>
              <w:t xml:space="preserve">2,045,727 </w:t>
            </w:r>
          </w:p>
        </w:tc>
        <w:tc>
          <w:tcPr>
            <w:tcW w:w="1175" w:type="dxa"/>
            <w:tcBorders>
              <w:top w:val="single" w:sz="4" w:space="0" w:color="000000"/>
              <w:left w:val="single" w:sz="4" w:space="0" w:color="000000"/>
              <w:bottom w:val="single" w:sz="8" w:space="0" w:color="000000"/>
              <w:right w:val="single" w:sz="4" w:space="0" w:color="000000"/>
            </w:tcBorders>
            <w:shd w:val="clear" w:color="auto" w:fill="D9D9D9"/>
            <w:vAlign w:val="bottom"/>
          </w:tcPr>
          <w:p w:rsidR="006533E8" w14:paraId="4A1C3760" w14:textId="77777777">
            <w:pPr>
              <w:spacing w:after="0" w:line="259" w:lineRule="auto"/>
              <w:ind w:right="106"/>
              <w:jc w:val="right"/>
            </w:pPr>
            <w:r>
              <w:rPr>
                <w:b/>
                <w:sz w:val="22"/>
              </w:rPr>
              <w:t xml:space="preserve">2,045,727  </w:t>
            </w:r>
          </w:p>
        </w:tc>
        <w:tc>
          <w:tcPr>
            <w:tcW w:w="1090" w:type="dxa"/>
            <w:tcBorders>
              <w:top w:val="single" w:sz="4" w:space="0" w:color="000000"/>
              <w:left w:val="single" w:sz="4" w:space="0" w:color="000000"/>
              <w:bottom w:val="single" w:sz="8" w:space="0" w:color="000000"/>
              <w:right w:val="single" w:sz="4" w:space="0" w:color="000000"/>
            </w:tcBorders>
            <w:shd w:val="clear" w:color="auto" w:fill="D9D9D9"/>
            <w:vAlign w:val="bottom"/>
          </w:tcPr>
          <w:p w:rsidR="006533E8" w14:paraId="37854CB2" w14:textId="77777777">
            <w:pPr>
              <w:spacing w:after="0" w:line="259" w:lineRule="auto"/>
              <w:ind w:left="110" w:right="0"/>
            </w:pPr>
            <w:r>
              <w:rPr>
                <w:b/>
                <w:sz w:val="22"/>
              </w:rPr>
              <w:t xml:space="preserve">  </w:t>
            </w:r>
            <w:r>
              <w:rPr>
                <w:sz w:val="22"/>
              </w:rPr>
              <w:t xml:space="preserve"> </w:t>
            </w:r>
          </w:p>
        </w:tc>
        <w:tc>
          <w:tcPr>
            <w:tcW w:w="967" w:type="dxa"/>
            <w:tcBorders>
              <w:top w:val="single" w:sz="4" w:space="0" w:color="000000"/>
              <w:left w:val="single" w:sz="4" w:space="0" w:color="000000"/>
              <w:bottom w:val="single" w:sz="8" w:space="0" w:color="000000"/>
              <w:right w:val="single" w:sz="4" w:space="0" w:color="000000"/>
            </w:tcBorders>
            <w:shd w:val="clear" w:color="auto" w:fill="D9D9D9"/>
            <w:vAlign w:val="bottom"/>
          </w:tcPr>
          <w:p w:rsidR="006533E8" w14:paraId="0FDC14F2" w14:textId="77777777">
            <w:pPr>
              <w:spacing w:after="0" w:line="259" w:lineRule="auto"/>
              <w:ind w:left="158" w:right="0"/>
            </w:pPr>
            <w:r>
              <w:rPr>
                <w:b/>
                <w:sz w:val="22"/>
              </w:rPr>
              <w:t xml:space="preserve">500,805 </w:t>
            </w:r>
          </w:p>
        </w:tc>
        <w:tc>
          <w:tcPr>
            <w:tcW w:w="946" w:type="dxa"/>
            <w:tcBorders>
              <w:top w:val="single" w:sz="4" w:space="0" w:color="000000"/>
              <w:left w:val="single" w:sz="4" w:space="0" w:color="000000"/>
              <w:bottom w:val="single" w:sz="8" w:space="0" w:color="000000"/>
              <w:right w:val="single" w:sz="4" w:space="0" w:color="000000"/>
            </w:tcBorders>
            <w:shd w:val="clear" w:color="auto" w:fill="D9D9D9"/>
            <w:vAlign w:val="bottom"/>
          </w:tcPr>
          <w:p w:rsidR="006533E8" w14:paraId="091C37F2" w14:textId="77777777">
            <w:pPr>
              <w:spacing w:after="0" w:line="259" w:lineRule="auto"/>
              <w:ind w:left="108" w:right="0"/>
            </w:pPr>
            <w:r>
              <w:rPr>
                <w:sz w:val="22"/>
              </w:rPr>
              <w:t xml:space="preserve"> </w:t>
            </w:r>
          </w:p>
        </w:tc>
        <w:tc>
          <w:tcPr>
            <w:tcW w:w="1204" w:type="dxa"/>
            <w:tcBorders>
              <w:top w:val="single" w:sz="4" w:space="0" w:color="000000"/>
              <w:left w:val="single" w:sz="4" w:space="0" w:color="000000"/>
              <w:bottom w:val="single" w:sz="8" w:space="0" w:color="000000"/>
              <w:right w:val="single" w:sz="4" w:space="0" w:color="000000"/>
            </w:tcBorders>
            <w:shd w:val="clear" w:color="auto" w:fill="D9D9D9"/>
            <w:vAlign w:val="bottom"/>
          </w:tcPr>
          <w:p w:rsidR="006533E8" w14:paraId="1A9B02F4" w14:textId="77777777">
            <w:pPr>
              <w:spacing w:after="0" w:line="259" w:lineRule="auto"/>
              <w:ind w:left="110" w:right="0"/>
            </w:pPr>
            <w:r>
              <w:rPr>
                <w:b/>
                <w:sz w:val="22"/>
              </w:rPr>
              <w:t xml:space="preserve"> 34,930,748 </w:t>
            </w:r>
          </w:p>
        </w:tc>
      </w:tr>
    </w:tbl>
    <w:p w:rsidR="006533E8" w14:paraId="1DD61B3A" w14:textId="77777777">
      <w:pPr>
        <w:spacing w:after="160" w:line="259" w:lineRule="auto"/>
        <w:ind w:left="144" w:right="0"/>
      </w:pPr>
      <w:r>
        <w:t xml:space="preserve">  </w:t>
      </w:r>
    </w:p>
    <w:p w:rsidR="006533E8" w14:paraId="39DF545E" w14:textId="77777777">
      <w:pPr>
        <w:pStyle w:val="Heading1"/>
        <w:tabs>
          <w:tab w:val="center" w:pos="4459"/>
        </w:tabs>
        <w:ind w:left="0" w:firstLine="0"/>
      </w:pPr>
      <w:bookmarkStart w:id="15" w:name="_Toc22182"/>
      <w:r>
        <w:t xml:space="preserve">A13.  </w:t>
      </w:r>
      <w:r>
        <w:tab/>
      </w:r>
      <w:r>
        <w:t xml:space="preserve">Estimates of Annualized Respondent Capital and Maintenance Cost  </w:t>
      </w:r>
      <w:bookmarkEnd w:id="15"/>
    </w:p>
    <w:p w:rsidR="006533E8" w14:paraId="47B45AE3" w14:textId="77777777">
      <w:pPr>
        <w:spacing w:after="102"/>
        <w:ind w:left="139" w:right="396" w:firstLine="720"/>
      </w:pPr>
      <w:r>
        <w:t xml:space="preserve">The only cost is that for the time of the respondent. There is no anticipated recordkeeping burden because respondents are not required to keep a copy of the survey.  </w:t>
      </w:r>
    </w:p>
    <w:p w:rsidR="006533E8" w14:paraId="6D0F8DE7" w14:textId="77777777">
      <w:pPr>
        <w:ind w:left="139" w:right="396" w:firstLine="720"/>
      </w:pPr>
      <w:r>
        <w:t xml:space="preserve">Capital and maintenance costs include the purchase of equipment, computers or computer software or services, or storage facilities for records, </w:t>
      </w:r>
      <w:r>
        <w:t>as a result of</w:t>
      </w:r>
      <w:r>
        <w:t xml:space="preserve"> complying with this data collection. For national implementation, we have determined that there is an annual-time cost to the HOPDs/ASCs to secure the services of approved OAS CAHPS survey vendors to conduct OAS CAHPS on their behalf. In </w:t>
      </w:r>
      <w:r>
        <w:rPr>
          <w:b/>
        </w:rPr>
        <w:t>Exhibit A-4</w:t>
      </w:r>
      <w:r>
        <w:t>, we have summarized the estimated cost burden to the facilities for securing the services of a survey vendor. Assuming 8,427 facilities participate in the OAS CAHPS, at the estimated cost of $4,000 for contract costs, then the total cost is estima</w:t>
      </w:r>
      <w:r>
        <w:t xml:space="preserve">ted to be $33,708,000.  </w:t>
      </w:r>
    </w:p>
    <w:p w:rsidR="006533E8" w14:paraId="08C3D626" w14:textId="77777777">
      <w:pPr>
        <w:pStyle w:val="Heading4"/>
        <w:spacing w:after="0"/>
        <w:ind w:left="1569" w:right="1314" w:hanging="1440"/>
      </w:pPr>
      <w:r>
        <w:t xml:space="preserve">Exhibit A-4. Estimated Cost Burden to Facilities for Survey Vendors for National Implementation  </w:t>
      </w:r>
    </w:p>
    <w:tbl>
      <w:tblPr>
        <w:tblStyle w:val="TableGrid"/>
        <w:tblW w:w="9390" w:type="dxa"/>
        <w:tblInd w:w="223" w:type="dxa"/>
        <w:tblCellMar>
          <w:top w:w="155" w:type="dxa"/>
          <w:left w:w="0" w:type="dxa"/>
          <w:bottom w:w="77" w:type="dxa"/>
          <w:right w:w="115" w:type="dxa"/>
        </w:tblCellMar>
        <w:tblLook w:val="04A0"/>
      </w:tblPr>
      <w:tblGrid>
        <w:gridCol w:w="3672"/>
        <w:gridCol w:w="1709"/>
        <w:gridCol w:w="1392"/>
        <w:gridCol w:w="1335"/>
        <w:gridCol w:w="1282"/>
      </w:tblGrid>
      <w:tr w14:paraId="18A1101A" w14:textId="77777777">
        <w:tblPrEx>
          <w:tblW w:w="9390" w:type="dxa"/>
          <w:tblInd w:w="223" w:type="dxa"/>
          <w:tblCellMar>
            <w:top w:w="155" w:type="dxa"/>
            <w:left w:w="0" w:type="dxa"/>
            <w:bottom w:w="77" w:type="dxa"/>
            <w:right w:w="115" w:type="dxa"/>
          </w:tblCellMar>
          <w:tblLook w:val="04A0"/>
        </w:tblPrEx>
        <w:trPr>
          <w:trHeight w:val="1073"/>
        </w:trPr>
        <w:tc>
          <w:tcPr>
            <w:tcW w:w="3673" w:type="dxa"/>
            <w:tcBorders>
              <w:top w:val="single" w:sz="12" w:space="0" w:color="000000"/>
              <w:left w:val="nil"/>
              <w:bottom w:val="single" w:sz="4" w:space="0" w:color="000000"/>
              <w:right w:val="nil"/>
            </w:tcBorders>
            <w:vAlign w:val="bottom"/>
          </w:tcPr>
          <w:p w:rsidR="006533E8" w14:paraId="5BFB33C3" w14:textId="77777777">
            <w:pPr>
              <w:spacing w:after="0" w:line="259" w:lineRule="auto"/>
              <w:ind w:left="8" w:right="0"/>
              <w:jc w:val="center"/>
            </w:pPr>
            <w:r>
              <w:rPr>
                <w:b/>
                <w:sz w:val="22"/>
              </w:rPr>
              <w:t xml:space="preserve">Form Name </w:t>
            </w:r>
            <w:r>
              <w:t xml:space="preserve"> </w:t>
            </w:r>
          </w:p>
        </w:tc>
        <w:tc>
          <w:tcPr>
            <w:tcW w:w="1709" w:type="dxa"/>
            <w:tcBorders>
              <w:top w:val="single" w:sz="12" w:space="0" w:color="000000"/>
              <w:left w:val="nil"/>
              <w:bottom w:val="single" w:sz="4" w:space="0" w:color="000000"/>
              <w:right w:val="nil"/>
            </w:tcBorders>
            <w:vAlign w:val="bottom"/>
          </w:tcPr>
          <w:p w:rsidR="006533E8" w14:paraId="4EFDB660" w14:textId="77777777">
            <w:pPr>
              <w:spacing w:after="0" w:line="259" w:lineRule="auto"/>
              <w:ind w:right="0" w:firstLine="89"/>
            </w:pPr>
            <w:r>
              <w:rPr>
                <w:b/>
                <w:sz w:val="22"/>
              </w:rPr>
              <w:t xml:space="preserve">Number of Respondents </w:t>
            </w:r>
            <w:r>
              <w:t xml:space="preserve"> </w:t>
            </w:r>
          </w:p>
        </w:tc>
        <w:tc>
          <w:tcPr>
            <w:tcW w:w="1392" w:type="dxa"/>
            <w:tcBorders>
              <w:top w:val="single" w:sz="12" w:space="0" w:color="000000"/>
              <w:left w:val="nil"/>
              <w:bottom w:val="single" w:sz="4" w:space="0" w:color="000000"/>
              <w:right w:val="nil"/>
            </w:tcBorders>
            <w:vAlign w:val="center"/>
          </w:tcPr>
          <w:p w:rsidR="006533E8" w14:paraId="764A6859" w14:textId="77777777">
            <w:pPr>
              <w:spacing w:after="0" w:line="259" w:lineRule="auto"/>
              <w:ind w:left="103" w:right="0"/>
            </w:pPr>
            <w:r>
              <w:rPr>
                <w:b/>
                <w:sz w:val="22"/>
              </w:rPr>
              <w:t xml:space="preserve">Total </w:t>
            </w:r>
            <w:r>
              <w:t xml:space="preserve"> </w:t>
            </w:r>
          </w:p>
          <w:p w:rsidR="006533E8" w14:paraId="1F92189E" w14:textId="77777777">
            <w:pPr>
              <w:spacing w:after="0" w:line="259" w:lineRule="auto"/>
              <w:ind w:left="60" w:right="0" w:hanging="60"/>
            </w:pPr>
            <w:r>
              <w:rPr>
                <w:b/>
                <w:sz w:val="22"/>
              </w:rPr>
              <w:t xml:space="preserve">Burden Hours </w:t>
            </w:r>
            <w:r>
              <w:t xml:space="preserve"> </w:t>
            </w:r>
          </w:p>
        </w:tc>
        <w:tc>
          <w:tcPr>
            <w:tcW w:w="1335" w:type="dxa"/>
            <w:tcBorders>
              <w:top w:val="single" w:sz="12" w:space="0" w:color="000000"/>
              <w:left w:val="nil"/>
              <w:bottom w:val="single" w:sz="4" w:space="0" w:color="000000"/>
              <w:right w:val="nil"/>
            </w:tcBorders>
            <w:vAlign w:val="center"/>
          </w:tcPr>
          <w:p w:rsidR="006533E8" w14:paraId="42C729A9" w14:textId="77777777">
            <w:pPr>
              <w:spacing w:after="0" w:line="259" w:lineRule="auto"/>
              <w:ind w:left="31" w:right="0"/>
            </w:pPr>
            <w:r>
              <w:rPr>
                <w:b/>
                <w:sz w:val="22"/>
              </w:rPr>
              <w:t xml:space="preserve">Average </w:t>
            </w:r>
          </w:p>
          <w:p w:rsidR="006533E8" w14:paraId="6D95FE13" w14:textId="77777777">
            <w:pPr>
              <w:spacing w:after="0" w:line="259" w:lineRule="auto"/>
              <w:ind w:left="89" w:right="0"/>
            </w:pPr>
            <w:r>
              <w:rPr>
                <w:b/>
                <w:sz w:val="22"/>
              </w:rPr>
              <w:t xml:space="preserve">Cost to </w:t>
            </w:r>
            <w:r>
              <w:t xml:space="preserve"> </w:t>
            </w:r>
          </w:p>
          <w:p w:rsidR="006533E8" w14:paraId="2E411C42" w14:textId="77777777">
            <w:pPr>
              <w:spacing w:after="0" w:line="259" w:lineRule="auto"/>
              <w:ind w:right="0"/>
            </w:pPr>
            <w:r>
              <w:rPr>
                <w:b/>
                <w:sz w:val="22"/>
              </w:rPr>
              <w:t xml:space="preserve">Contract </w:t>
            </w:r>
            <w:r>
              <w:t xml:space="preserve"> </w:t>
            </w:r>
          </w:p>
        </w:tc>
        <w:tc>
          <w:tcPr>
            <w:tcW w:w="1282" w:type="dxa"/>
            <w:tcBorders>
              <w:top w:val="single" w:sz="12" w:space="0" w:color="000000"/>
              <w:left w:val="nil"/>
              <w:bottom w:val="single" w:sz="4" w:space="0" w:color="000000"/>
              <w:right w:val="nil"/>
            </w:tcBorders>
            <w:vAlign w:val="bottom"/>
          </w:tcPr>
          <w:p w:rsidR="006533E8" w14:paraId="12E5E579" w14:textId="77777777">
            <w:pPr>
              <w:spacing w:after="0" w:line="259" w:lineRule="auto"/>
              <w:ind w:left="197" w:right="0" w:hanging="137"/>
            </w:pPr>
            <w:r>
              <w:rPr>
                <w:b/>
                <w:sz w:val="22"/>
              </w:rPr>
              <w:t xml:space="preserve">Total Cost Burden </w:t>
            </w:r>
            <w:r>
              <w:t xml:space="preserve"> </w:t>
            </w:r>
          </w:p>
        </w:tc>
      </w:tr>
      <w:tr w14:paraId="4DF0C9F7" w14:textId="77777777">
        <w:tblPrEx>
          <w:tblW w:w="9390" w:type="dxa"/>
          <w:tblInd w:w="223" w:type="dxa"/>
          <w:tblCellMar>
            <w:top w:w="155" w:type="dxa"/>
            <w:left w:w="0" w:type="dxa"/>
            <w:bottom w:w="77" w:type="dxa"/>
            <w:right w:w="115" w:type="dxa"/>
          </w:tblCellMar>
          <w:tblLook w:val="04A0"/>
        </w:tblPrEx>
        <w:trPr>
          <w:trHeight w:val="780"/>
        </w:trPr>
        <w:tc>
          <w:tcPr>
            <w:tcW w:w="3673" w:type="dxa"/>
            <w:tcBorders>
              <w:top w:val="single" w:sz="4" w:space="0" w:color="000000"/>
              <w:left w:val="nil"/>
              <w:bottom w:val="single" w:sz="12" w:space="0" w:color="000000"/>
              <w:right w:val="nil"/>
            </w:tcBorders>
            <w:vAlign w:val="center"/>
          </w:tcPr>
          <w:p w:rsidR="006533E8" w14:paraId="75F3714F" w14:textId="77777777">
            <w:pPr>
              <w:spacing w:after="0" w:line="259" w:lineRule="auto"/>
              <w:ind w:left="137" w:right="0"/>
            </w:pPr>
            <w:r>
              <w:rPr>
                <w:sz w:val="22"/>
              </w:rPr>
              <w:t xml:space="preserve">HOPDs/ASCs contracting with Survey Vendors  </w:t>
            </w:r>
            <w:r>
              <w:t xml:space="preserve"> </w:t>
            </w:r>
          </w:p>
        </w:tc>
        <w:tc>
          <w:tcPr>
            <w:tcW w:w="1709" w:type="dxa"/>
            <w:tcBorders>
              <w:top w:val="single" w:sz="4" w:space="0" w:color="000000"/>
              <w:left w:val="nil"/>
              <w:bottom w:val="single" w:sz="12" w:space="0" w:color="000000"/>
              <w:right w:val="nil"/>
            </w:tcBorders>
            <w:vAlign w:val="center"/>
          </w:tcPr>
          <w:p w:rsidR="006533E8" w14:paraId="174EE8ED" w14:textId="77777777">
            <w:pPr>
              <w:spacing w:after="23" w:line="259" w:lineRule="auto"/>
              <w:ind w:left="350" w:right="0"/>
            </w:pPr>
            <w:r>
              <w:rPr>
                <w:sz w:val="22"/>
              </w:rPr>
              <w:t xml:space="preserve">8,427 </w:t>
            </w:r>
          </w:p>
          <w:p w:rsidR="006533E8" w14:paraId="494A7E13" w14:textId="77777777">
            <w:pPr>
              <w:spacing w:after="0" w:line="259" w:lineRule="auto"/>
              <w:ind w:left="350" w:right="0"/>
            </w:pPr>
            <w:r>
              <w:rPr>
                <w:sz w:val="22"/>
              </w:rPr>
              <w:t xml:space="preserve">  </w:t>
            </w:r>
            <w:r>
              <w:t xml:space="preserve"> </w:t>
            </w:r>
          </w:p>
        </w:tc>
        <w:tc>
          <w:tcPr>
            <w:tcW w:w="1392" w:type="dxa"/>
            <w:tcBorders>
              <w:top w:val="single" w:sz="4" w:space="0" w:color="000000"/>
              <w:left w:val="nil"/>
              <w:bottom w:val="single" w:sz="12" w:space="0" w:color="000000"/>
              <w:right w:val="nil"/>
            </w:tcBorders>
          </w:tcPr>
          <w:p w:rsidR="006533E8" w14:paraId="49D37EA9" w14:textId="77777777">
            <w:pPr>
              <w:spacing w:after="0" w:line="259" w:lineRule="auto"/>
              <w:ind w:left="194" w:right="0"/>
            </w:pPr>
            <w:r>
              <w:rPr>
                <w:sz w:val="22"/>
              </w:rPr>
              <w:t xml:space="preserve">NA </w:t>
            </w:r>
            <w:r>
              <w:t xml:space="preserve"> </w:t>
            </w:r>
          </w:p>
        </w:tc>
        <w:tc>
          <w:tcPr>
            <w:tcW w:w="1335" w:type="dxa"/>
            <w:tcBorders>
              <w:top w:val="single" w:sz="4" w:space="0" w:color="000000"/>
              <w:left w:val="nil"/>
              <w:bottom w:val="single" w:sz="12" w:space="0" w:color="000000"/>
              <w:right w:val="nil"/>
            </w:tcBorders>
          </w:tcPr>
          <w:p w:rsidR="006533E8" w14:paraId="51AEF87A" w14:textId="77777777">
            <w:pPr>
              <w:spacing w:after="0" w:line="259" w:lineRule="auto"/>
              <w:ind w:left="120" w:right="0"/>
            </w:pPr>
            <w:r>
              <w:rPr>
                <w:sz w:val="22"/>
              </w:rPr>
              <w:t xml:space="preserve">$4,000  </w:t>
            </w:r>
          </w:p>
        </w:tc>
        <w:tc>
          <w:tcPr>
            <w:tcW w:w="1282" w:type="dxa"/>
            <w:tcBorders>
              <w:top w:val="single" w:sz="4" w:space="0" w:color="000000"/>
              <w:left w:val="nil"/>
              <w:bottom w:val="single" w:sz="12" w:space="0" w:color="000000"/>
              <w:right w:val="nil"/>
            </w:tcBorders>
            <w:vAlign w:val="center"/>
          </w:tcPr>
          <w:p w:rsidR="006533E8" w14:paraId="407F4D6B" w14:textId="77777777">
            <w:pPr>
              <w:spacing w:after="0" w:line="259" w:lineRule="auto"/>
              <w:ind w:right="0"/>
            </w:pPr>
            <w:r>
              <w:rPr>
                <w:sz w:val="22"/>
              </w:rPr>
              <w:t xml:space="preserve">$33,708,000 </w:t>
            </w:r>
          </w:p>
          <w:p w:rsidR="006533E8" w14:paraId="6EC9C754" w14:textId="77777777">
            <w:pPr>
              <w:spacing w:after="0" w:line="259" w:lineRule="auto"/>
              <w:ind w:right="0"/>
            </w:pPr>
            <w:r>
              <w:rPr>
                <w:sz w:val="22"/>
              </w:rPr>
              <w:t xml:space="preserve"> </w:t>
            </w:r>
          </w:p>
        </w:tc>
      </w:tr>
    </w:tbl>
    <w:p w:rsidR="006533E8" w14:paraId="2980EAAA" w14:textId="77777777">
      <w:pPr>
        <w:spacing w:after="171" w:line="259" w:lineRule="auto"/>
        <w:ind w:left="144" w:right="0"/>
      </w:pPr>
      <w:r>
        <w:rPr>
          <w:sz w:val="23"/>
        </w:rPr>
        <w:t xml:space="preserve"> </w:t>
      </w:r>
      <w:r>
        <w:t xml:space="preserve"> </w:t>
      </w:r>
    </w:p>
    <w:p w:rsidR="006533E8" w14:paraId="51B73EBE" w14:textId="77777777">
      <w:pPr>
        <w:pStyle w:val="Heading1"/>
        <w:tabs>
          <w:tab w:val="center" w:pos="3964"/>
        </w:tabs>
        <w:ind w:left="0" w:firstLine="0"/>
      </w:pPr>
      <w:bookmarkStart w:id="16" w:name="_Toc22183"/>
      <w:r>
        <w:t xml:space="preserve">A14.  </w:t>
      </w:r>
      <w:r>
        <w:tab/>
        <w:t xml:space="preserve">Estimates of Annualized Costs to the Federal Government  </w:t>
      </w:r>
      <w:bookmarkEnd w:id="16"/>
    </w:p>
    <w:p w:rsidR="006533E8" w14:paraId="7DEEE7B2" w14:textId="77777777">
      <w:pPr>
        <w:spacing w:after="102"/>
        <w:ind w:left="139" w:right="396" w:firstLine="720"/>
      </w:pPr>
      <w:r>
        <w:t xml:space="preserve">The annual cost to the government for the OAS CAHPS contractor to coordinate national implementation activities includes vendor training program, vendor approval process, technical assistance, overseeing data quality, maintaining a data submission infrastructure, survey management tool, and project website, analyzing the data, </w:t>
      </w:r>
      <w:r>
        <w:t>making adjustments</w:t>
      </w:r>
      <w:r>
        <w:t xml:space="preserve"> for patient-mix, and preparing public reporting formats. The annual cost to the Federal Government is estimated to be $2,000,000.   </w:t>
      </w:r>
    </w:p>
    <w:p w:rsidR="006533E8" w14:paraId="513B8E5A" w14:textId="77777777">
      <w:pPr>
        <w:spacing w:after="160" w:line="259" w:lineRule="auto"/>
        <w:ind w:left="864" w:right="0"/>
      </w:pPr>
      <w:r>
        <w:t xml:space="preserve">  </w:t>
      </w:r>
    </w:p>
    <w:p w:rsidR="006533E8" w14:paraId="74D0E1BE" w14:textId="77777777">
      <w:pPr>
        <w:pStyle w:val="Heading1"/>
        <w:tabs>
          <w:tab w:val="center" w:pos="3577"/>
        </w:tabs>
        <w:ind w:left="0" w:firstLine="0"/>
      </w:pPr>
      <w:bookmarkStart w:id="17" w:name="_Toc22184"/>
      <w:r>
        <w:t xml:space="preserve">A15.  </w:t>
      </w:r>
      <w:r>
        <w:tab/>
        <w:t xml:space="preserve">Explanation for Program Changes or Adjustments  </w:t>
      </w:r>
      <w:bookmarkEnd w:id="17"/>
    </w:p>
    <w:p w:rsidR="006533E8" w14:paraId="0C712811" w14:textId="77777777">
      <w:pPr>
        <w:spacing w:after="138"/>
        <w:ind w:left="139" w:right="396" w:firstLine="720"/>
      </w:pPr>
      <w:r>
        <w:t xml:space="preserve">CMS plans to continue participation based on reimbursement for HOPDs and ASCs. </w:t>
      </w:r>
      <w:r>
        <w:t xml:space="preserve">The total number of HOPDs and ASCs that are expected to participate is based on the current participation rates. The change in number of facilities we expect to </w:t>
      </w:r>
      <w:r>
        <w:t>participate</w:t>
      </w:r>
      <w:r>
        <w:t xml:space="preserve"> has decreased to 8,427 from 10,243, due to participation rates since national implementation has been linked to reimbursement. The current burden tables reflect the expected participation rates for the facilities. The increase in average hourly rates is based on updated Bureau of Labor Statistics data.   </w:t>
      </w:r>
    </w:p>
    <w:p w:rsidR="006533E8" w14:paraId="6C1AD955" w14:textId="77777777">
      <w:pPr>
        <w:spacing w:after="161"/>
        <w:ind w:left="139" w:right="396" w:firstLine="720"/>
      </w:pPr>
      <w:r>
        <w:rPr>
          <w:sz w:val="25"/>
        </w:rPr>
        <w:t xml:space="preserve"> </w:t>
      </w:r>
      <w:r>
        <w:t xml:space="preserve">To meet SPD-15 requirements, CMS will replace three race/ethnicity questions with a single question, lowering the total number of survey questions from 34 to 32 questions. The race/ethnicity questions removed are as follows:  </w:t>
      </w:r>
    </w:p>
    <w:p w:rsidR="006533E8" w14:paraId="5D1084D1" w14:textId="77777777">
      <w:pPr>
        <w:numPr>
          <w:ilvl w:val="0"/>
          <w:numId w:val="7"/>
        </w:numPr>
        <w:spacing w:after="5"/>
        <w:ind w:right="396" w:hanging="360"/>
      </w:pPr>
      <w:r>
        <w:t xml:space="preserve">Are you of Hispanic, Latino, or Spanish origin? </w:t>
      </w:r>
    </w:p>
    <w:p w:rsidR="006533E8" w14:paraId="5DC43857" w14:textId="77777777">
      <w:pPr>
        <w:numPr>
          <w:ilvl w:val="0"/>
          <w:numId w:val="7"/>
        </w:numPr>
        <w:spacing w:after="5"/>
        <w:ind w:right="396" w:hanging="360"/>
      </w:pPr>
      <w:r>
        <w:t xml:space="preserve">Which group best describes you? </w:t>
      </w:r>
    </w:p>
    <w:p w:rsidR="006533E8" w14:paraId="4BB24975" w14:textId="77777777">
      <w:pPr>
        <w:numPr>
          <w:ilvl w:val="0"/>
          <w:numId w:val="7"/>
        </w:numPr>
        <w:spacing w:after="83"/>
        <w:ind w:right="396" w:hanging="360"/>
      </w:pPr>
      <w:r>
        <w:t xml:space="preserve">What is your race? You may select one or more categories. </w:t>
      </w:r>
    </w:p>
    <w:p w:rsidR="006533E8" w14:paraId="11B8DDE8" w14:textId="77777777">
      <w:pPr>
        <w:spacing w:after="157"/>
        <w:ind w:left="850" w:right="396"/>
      </w:pPr>
      <w:r>
        <w:t xml:space="preserve">The new question added is as follows:  </w:t>
      </w:r>
    </w:p>
    <w:p w:rsidR="006533E8" w14:paraId="7C25BCEF" w14:textId="77777777">
      <w:pPr>
        <w:numPr>
          <w:ilvl w:val="0"/>
          <w:numId w:val="7"/>
        </w:numPr>
        <w:spacing w:after="88"/>
        <w:ind w:right="396" w:hanging="360"/>
      </w:pPr>
      <w:r>
        <w:t xml:space="preserve">What is your race or ethnicity? Please mark one or more. </w:t>
      </w:r>
    </w:p>
    <w:p w:rsidR="006533E8" w14:paraId="4ECE0ABE" w14:textId="77777777">
      <w:pPr>
        <w:spacing w:after="131"/>
        <w:ind w:left="139" w:right="396"/>
      </w:pPr>
      <w:r>
        <w:t xml:space="preserve">A crosswalk of the survey changes can be found in </w:t>
      </w:r>
      <w:r>
        <w:rPr>
          <w:b/>
          <w:i/>
        </w:rPr>
        <w:t>Attachment F</w:t>
      </w:r>
      <w:r>
        <w:t xml:space="preserve"> </w:t>
      </w:r>
      <w:r>
        <w:rPr>
          <w:b/>
          <w:i/>
        </w:rPr>
        <w:t>(OAS CAHPS Survey Crosswalk).</w:t>
      </w:r>
      <w:r>
        <w:t xml:space="preserve">   </w:t>
      </w:r>
    </w:p>
    <w:p w:rsidR="006533E8" w14:paraId="517F06D8" w14:textId="77777777">
      <w:pPr>
        <w:spacing w:after="131"/>
        <w:ind w:left="139" w:right="396"/>
      </w:pPr>
      <w:r>
        <w:t xml:space="preserve">Since the reduction in questions is minimal, CMS does not expect the survey completion time to change. </w:t>
      </w:r>
    </w:p>
    <w:p w:rsidR="006533E8" w14:paraId="113674EC" w14:textId="77777777">
      <w:pPr>
        <w:spacing w:after="0" w:line="259" w:lineRule="auto"/>
        <w:ind w:left="864" w:right="0"/>
      </w:pPr>
      <w:r>
        <w:t xml:space="preserve"> </w:t>
      </w:r>
    </w:p>
    <w:p w:rsidR="006533E8" w14:paraId="71303D26" w14:textId="77777777">
      <w:pPr>
        <w:pStyle w:val="Heading1"/>
        <w:tabs>
          <w:tab w:val="center" w:pos="4277"/>
        </w:tabs>
        <w:ind w:left="0" w:firstLine="0"/>
      </w:pPr>
      <w:bookmarkStart w:id="18" w:name="_Toc22185"/>
      <w:r>
        <w:t xml:space="preserve">A16.  </w:t>
      </w:r>
      <w:r>
        <w:tab/>
        <w:t xml:space="preserve">Plans for Tabulation and Publication and Project Time Schedule  </w:t>
      </w:r>
      <w:bookmarkEnd w:id="18"/>
    </w:p>
    <w:p w:rsidR="006533E8" w14:paraId="62A6DC94" w14:textId="77777777">
      <w:pPr>
        <w:spacing w:after="134"/>
        <w:ind w:left="139" w:right="396" w:firstLine="720"/>
      </w:pPr>
      <w:r>
        <w:t xml:space="preserve">OAS CAHPS is part of the CMS goal to share as much data as possible with the public about our Medicare-approved HOPDs and ASCs, by providing valid quality data to the public. Data collection for the national implementation of OAS CAHPS began in 2016. CMS has publicly reported OAS CAHPS data on a quarterly basis since 2018. The OAS CAHPS results </w:t>
      </w:r>
      <w:r>
        <w:t xml:space="preserve">that are publicly reported reflect one year’s worth of data. In each quarterly data submission, we </w:t>
      </w:r>
      <w:r>
        <w:t xml:space="preserve">adjust the survey results patient mix. Prior to public reporting each quarter, we provide preview reports to all participating HOPDs and ASCs so that they see their own survey data that will be publicly reported. The public reports show corresponding State and National averages so the public </w:t>
      </w:r>
      <w:r>
        <w:t xml:space="preserve">can assess how the HOPDs’ and ASCs’ data compare with the State and National averaged </w:t>
      </w:r>
      <w:r>
        <w:t xml:space="preserve">OAS CAHPS data. OAS CAHPS summary </w:t>
      </w:r>
      <w:r>
        <w:t xml:space="preserve">data that are linked to reimbursement are posted on the CMS Care Compare site and </w:t>
      </w:r>
      <w:r>
        <w:t>in</w:t>
      </w:r>
      <w:r>
        <w:t xml:space="preserve"> the Provider Data Catalog site. </w:t>
      </w:r>
      <w:r>
        <w:rPr>
          <w:sz w:val="22"/>
        </w:rPr>
        <w:t xml:space="preserve">  </w:t>
      </w:r>
    </w:p>
    <w:p w:rsidR="006533E8" w14:paraId="36690AAF" w14:textId="77777777">
      <w:pPr>
        <w:spacing w:after="0"/>
        <w:ind w:left="139" w:right="396" w:firstLine="696"/>
      </w:pPr>
      <w:r>
        <w:rPr>
          <w:u w:val="single" w:color="000000"/>
        </w:rPr>
        <w:t>Participation Linked to Reimbursement for HOPDs</w:t>
      </w:r>
      <w:r>
        <w:t xml:space="preserve"> began with the data collection period CY 2024, OAS CAHPS Survey data were linked to reimbursement for HOPDs. The survey </w:t>
      </w:r>
    </w:p>
    <w:p w:rsidR="006533E8" w14:paraId="76CBAB25" w14:textId="77777777">
      <w:pPr>
        <w:spacing w:after="5"/>
        <w:ind w:left="139" w:right="396"/>
      </w:pPr>
      <w:r>
        <w:t xml:space="preserve">results for HOPDs will be publicly reported on the Care Compare Web </w:t>
      </w:r>
    </w:p>
    <w:p w:rsidR="006533E8" w14:paraId="7E71A6E5" w14:textId="77777777">
      <w:pPr>
        <w:spacing w:after="109" w:line="248" w:lineRule="auto"/>
        <w:ind w:left="149" w:right="0" w:hanging="10"/>
      </w:pPr>
      <w:r>
        <w:t>site,</w:t>
      </w:r>
      <w:hyperlink r:id="rId9">
        <w:r>
          <w:t xml:space="preserve"> </w:t>
        </w:r>
      </w:hyperlink>
      <w:hyperlink r:id="rId9">
        <w:r>
          <w:rPr>
            <w:color w:val="0000FF"/>
            <w:u w:val="single" w:color="0000FF"/>
          </w:rPr>
          <w:t>https://www.medicare.gov/care</w:t>
        </w:r>
      </w:hyperlink>
      <w:hyperlink r:id="rId9">
        <w:r>
          <w:rPr>
            <w:color w:val="0000FF"/>
            <w:u w:val="single" w:color="0000FF"/>
          </w:rPr>
          <w:t>-</w:t>
        </w:r>
      </w:hyperlink>
      <w:hyperlink r:id="rId9">
        <w:r>
          <w:rPr>
            <w:color w:val="0000FF"/>
            <w:u w:val="single" w:color="0000FF"/>
          </w:rPr>
          <w:t>compare/</w:t>
        </w:r>
      </w:hyperlink>
      <w:hyperlink r:id="rId9">
        <w:r>
          <w:t>,</w:t>
        </w:r>
      </w:hyperlink>
      <w:r>
        <w:t xml:space="preserve"> beginning Fall 2025, and in the Provider Data Catalog,</w:t>
      </w:r>
      <w:hyperlink r:id="rId10">
        <w:r>
          <w:t xml:space="preserve"> </w:t>
        </w:r>
      </w:hyperlink>
      <w:hyperlink r:id="rId10">
        <w:r>
          <w:rPr>
            <w:color w:val="0000FF"/>
            <w:u w:val="single" w:color="0000FF"/>
          </w:rPr>
          <w:t>https://data.medicare.gov/provider</w:t>
        </w:r>
      </w:hyperlink>
      <w:hyperlink r:id="rId10">
        <w:r>
          <w:rPr>
            <w:color w:val="0000FF"/>
            <w:u w:val="single" w:color="0000FF"/>
          </w:rPr>
          <w:t>-</w:t>
        </w:r>
      </w:hyperlink>
      <w:hyperlink r:id="rId10">
        <w:r>
          <w:rPr>
            <w:color w:val="0000FF"/>
            <w:u w:val="single" w:color="0000FF"/>
          </w:rPr>
          <w:t>data</w:t>
        </w:r>
      </w:hyperlink>
      <w:hyperlink r:id="rId10">
        <w:r>
          <w:t>.</w:t>
        </w:r>
      </w:hyperlink>
      <w:r>
        <w:t xml:space="preserve"> </w:t>
      </w:r>
    </w:p>
    <w:p w:rsidR="006533E8" w14:paraId="691C9427" w14:textId="77777777">
      <w:pPr>
        <w:spacing w:after="0"/>
        <w:ind w:left="139" w:right="396" w:firstLine="720"/>
      </w:pPr>
      <w:r>
        <w:rPr>
          <w:u w:val="single" w:color="000000"/>
        </w:rPr>
        <w:t>Participation Linked to Reimbursement for ASCs</w:t>
      </w:r>
      <w:r>
        <w:t xml:space="preserve"> began with the data collection period CY </w:t>
      </w:r>
      <w:r>
        <w:t>2025,</w:t>
      </w:r>
      <w:r>
        <w:t xml:space="preserve"> OAS CAHPS Survey data will be linked to reimbursement for ASCs. The survey </w:t>
      </w:r>
    </w:p>
    <w:p w:rsidR="006533E8" w14:paraId="086C8AD7" w14:textId="77777777">
      <w:pPr>
        <w:spacing w:after="5"/>
        <w:ind w:left="139" w:right="396"/>
      </w:pPr>
      <w:r>
        <w:t xml:space="preserve">results for ASCs will be publicly reported on the Care Compare Web site, </w:t>
      </w:r>
    </w:p>
    <w:p w:rsidR="006533E8" w14:paraId="47171872" w14:textId="77777777">
      <w:pPr>
        <w:spacing w:after="141" w:line="248" w:lineRule="auto"/>
        <w:ind w:left="149" w:right="0" w:hanging="10"/>
      </w:pPr>
      <w:hyperlink r:id="rId9">
        <w:r>
          <w:rPr>
            <w:color w:val="0000FF"/>
            <w:u w:val="single" w:color="0000FF"/>
          </w:rPr>
          <w:t>https://www.medicare.gov/care</w:t>
        </w:r>
      </w:hyperlink>
      <w:hyperlink r:id="rId9">
        <w:r>
          <w:rPr>
            <w:color w:val="0000FF"/>
            <w:u w:val="single" w:color="0000FF"/>
          </w:rPr>
          <w:t>-</w:t>
        </w:r>
      </w:hyperlink>
      <w:hyperlink r:id="rId9">
        <w:r>
          <w:rPr>
            <w:color w:val="0000FF"/>
            <w:u w:val="single" w:color="0000FF"/>
          </w:rPr>
          <w:t>compare/</w:t>
        </w:r>
      </w:hyperlink>
      <w:hyperlink r:id="rId9">
        <w:r>
          <w:t>,</w:t>
        </w:r>
      </w:hyperlink>
      <w:r>
        <w:t xml:space="preserve"> beginning Fall 2026, and in the Provider Data Catalog, </w:t>
      </w:r>
      <w:hyperlink r:id="rId11">
        <w:r>
          <w:rPr>
            <w:color w:val="0000FF"/>
            <w:u w:val="single" w:color="0000FF"/>
          </w:rPr>
          <w:t>https://data.medicare.gov/provider</w:t>
        </w:r>
      </w:hyperlink>
      <w:hyperlink r:id="rId11">
        <w:r>
          <w:rPr>
            <w:color w:val="0000FF"/>
            <w:u w:val="single" w:color="0000FF"/>
          </w:rPr>
          <w:t>-</w:t>
        </w:r>
      </w:hyperlink>
      <w:hyperlink r:id="rId11">
        <w:r>
          <w:rPr>
            <w:color w:val="0000FF"/>
            <w:u w:val="single" w:color="0000FF"/>
          </w:rPr>
          <w:t>data/</w:t>
        </w:r>
      </w:hyperlink>
      <w:hyperlink r:id="rId11">
        <w:r>
          <w:t>.</w:t>
        </w:r>
      </w:hyperlink>
      <w:r>
        <w:t xml:space="preserve"> </w:t>
      </w:r>
    </w:p>
    <w:p w:rsidR="006533E8" w14:paraId="5C11AC0C" w14:textId="77777777">
      <w:pPr>
        <w:spacing w:after="107" w:line="259" w:lineRule="auto"/>
        <w:ind w:left="864" w:right="0"/>
      </w:pPr>
      <w:r>
        <w:rPr>
          <w:sz w:val="25"/>
        </w:rPr>
        <w:t xml:space="preserve"> </w:t>
      </w:r>
      <w:r>
        <w:t xml:space="preserve"> </w:t>
      </w:r>
    </w:p>
    <w:p w:rsidR="006533E8" w14:paraId="2D023202" w14:textId="77777777">
      <w:pPr>
        <w:pStyle w:val="Heading1"/>
        <w:ind w:left="257" w:right="1314"/>
      </w:pPr>
      <w:bookmarkStart w:id="19" w:name="_Toc22186"/>
      <w:r>
        <w:t xml:space="preserve">A17.  Reason(s) Display of OMB Expiration Date is Inappropriate  </w:t>
      </w:r>
      <w:bookmarkEnd w:id="19"/>
    </w:p>
    <w:p w:rsidR="006533E8" w14:paraId="484554E9" w14:textId="77777777">
      <w:pPr>
        <w:spacing w:after="0"/>
        <w:ind w:left="245" w:right="1134" w:firstLine="605"/>
      </w:pPr>
      <w:r>
        <w:t xml:space="preserve">CMS does not seek this exemption. The OMB Expiration Date will be on OAS CAHPS Survey mailings for the mail survey and included on the first introductory screen of the web survey or on the web survey letters.  </w:t>
      </w:r>
    </w:p>
    <w:p w:rsidR="006533E8" w14:paraId="26D754D9" w14:textId="77777777">
      <w:pPr>
        <w:spacing w:after="100" w:line="259" w:lineRule="auto"/>
        <w:ind w:left="247" w:right="0"/>
      </w:pPr>
      <w:r>
        <w:t xml:space="preserve"> </w:t>
      </w:r>
    </w:p>
    <w:p w:rsidR="006533E8" w14:paraId="2DDED962" w14:textId="77777777">
      <w:pPr>
        <w:pStyle w:val="Heading1"/>
        <w:spacing w:line="346" w:lineRule="auto"/>
        <w:ind w:left="257" w:right="1314"/>
      </w:pPr>
      <w:bookmarkStart w:id="20" w:name="_Toc22187"/>
      <w:r>
        <w:t xml:space="preserve">A18.  Exceptions to Certification for Paperwork Reduction Act Submissions </w:t>
      </w:r>
      <w:bookmarkEnd w:id="20"/>
    </w:p>
    <w:p w:rsidR="006533E8" w14:paraId="59464231" w14:textId="77777777">
      <w:pPr>
        <w:spacing w:after="100" w:line="346" w:lineRule="auto"/>
        <w:ind w:left="257" w:right="1314" w:hanging="10"/>
      </w:pPr>
      <w:r>
        <w:rPr>
          <w:b/>
        </w:rPr>
        <w:t xml:space="preserve"> </w:t>
      </w:r>
      <w:r>
        <w:t xml:space="preserve">There are no exceptions to this certificate statement.  </w:t>
      </w:r>
    </w:p>
    <w:sectPr>
      <w:footerReference w:type="even" r:id="rId12"/>
      <w:footerReference w:type="default" r:id="rId13"/>
      <w:footerReference w:type="first" r:id="rId14"/>
      <w:pgSz w:w="12240" w:h="15840"/>
      <w:pgMar w:top="1497" w:right="980" w:bottom="901" w:left="1296" w:header="720" w:footer="720" w:gutter="0"/>
      <w:pgNumType w:start="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3E8" w14:paraId="7B2A958C" w14:textId="77777777">
    <w:pPr>
      <w:spacing w:after="0" w:line="259" w:lineRule="auto"/>
      <w:ind w:right="257"/>
      <w:jc w:val="center"/>
    </w:pP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3E8" w14:paraId="51B77C85" w14:textId="77777777">
    <w:pPr>
      <w:spacing w:after="0" w:line="259" w:lineRule="auto"/>
      <w:ind w:right="257"/>
      <w:jc w:val="center"/>
    </w:pP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3E8" w14:paraId="79D456D8" w14:textId="77777777">
    <w:pPr>
      <w:spacing w:after="160" w:line="259" w:lineRule="auto"/>
      <w:ind w:right="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2F273A"/>
    <w:multiLevelType w:val="hybridMultilevel"/>
    <w:tmpl w:val="3D9611F8"/>
    <w:lvl w:ilvl="0">
      <w:start w:val="1"/>
      <w:numFmt w:val="bullet"/>
      <w:lvlText w:val="•"/>
      <w:lvlJc w:val="left"/>
      <w:pPr>
        <w:ind w:left="15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23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30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7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44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51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9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6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73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3B933F80"/>
    <w:multiLevelType w:val="hybridMultilevel"/>
    <w:tmpl w:val="C344860E"/>
    <w:lvl w:ilvl="0">
      <w:start w:val="1"/>
      <w:numFmt w:val="bullet"/>
      <w:lvlText w:val="•"/>
      <w:lvlJc w:val="left"/>
      <w:pPr>
        <w:ind w:left="1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8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nsid w:val="44BA5943"/>
    <w:multiLevelType w:val="hybridMultilevel"/>
    <w:tmpl w:val="30C42F64"/>
    <w:lvl w:ilvl="0">
      <w:start w:val="1"/>
      <w:numFmt w:val="bullet"/>
      <w:lvlText w:val="•"/>
      <w:lvlJc w:val="left"/>
      <w:pPr>
        <w:ind w:left="8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nsid w:val="59AB3A90"/>
    <w:multiLevelType w:val="hybridMultilevel"/>
    <w:tmpl w:val="CE2AC3E0"/>
    <w:lvl w:ilvl="0">
      <w:start w:val="1"/>
      <w:numFmt w:val="bullet"/>
      <w:lvlText w:val="•"/>
      <w:lvlJc w:val="left"/>
      <w:pPr>
        <w:ind w:left="1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8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nsid w:val="60AC77D6"/>
    <w:multiLevelType w:val="hybridMultilevel"/>
    <w:tmpl w:val="3BC20D64"/>
    <w:lvl w:ilvl="0">
      <w:start w:val="1"/>
      <w:numFmt w:val="bullet"/>
      <w:lvlText w:val="•"/>
      <w:lvlJc w:val="left"/>
      <w:pPr>
        <w:ind w:left="15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nsid w:val="6245319D"/>
    <w:multiLevelType w:val="hybridMultilevel"/>
    <w:tmpl w:val="2ABE2F5C"/>
    <w:lvl w:ilvl="0">
      <w:start w:val="1"/>
      <w:numFmt w:val="bullet"/>
      <w:lvlText w:val="•"/>
      <w:lvlJc w:val="left"/>
      <w:pPr>
        <w:ind w:left="8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nsid w:val="796022F0"/>
    <w:multiLevelType w:val="hybridMultilevel"/>
    <w:tmpl w:val="FCD873EC"/>
    <w:lvl w:ilvl="0">
      <w:start w:val="1"/>
      <w:numFmt w:val="bullet"/>
      <w:lvlText w:val="•"/>
      <w:lvlJc w:val="left"/>
      <w:pPr>
        <w:ind w:left="1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8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080104657">
    <w:abstractNumId w:val="2"/>
  </w:num>
  <w:num w:numId="2" w16cid:durableId="1730302708">
    <w:abstractNumId w:val="0"/>
  </w:num>
  <w:num w:numId="3" w16cid:durableId="138620468">
    <w:abstractNumId w:val="5"/>
  </w:num>
  <w:num w:numId="4" w16cid:durableId="2098356290">
    <w:abstractNumId w:val="6"/>
  </w:num>
  <w:num w:numId="5" w16cid:durableId="1800490423">
    <w:abstractNumId w:val="1"/>
  </w:num>
  <w:num w:numId="6" w16cid:durableId="1399283223">
    <w:abstractNumId w:val="3"/>
  </w:num>
  <w:num w:numId="7" w16cid:durableId="11773867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3E8"/>
    <w:rsid w:val="006533E8"/>
    <w:rsid w:val="007009C8"/>
    <w:rsid w:val="008B35CD"/>
    <w:rsid w:val="009E36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3B11CC"/>
  <w15:docId w15:val="{E21A454F-636E-407A-9D8D-92076263C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7" w:line="254" w:lineRule="auto"/>
      <w:ind w:right="397"/>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00" w:line="259" w:lineRule="auto"/>
      <w:ind w:left="154"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00" w:line="259" w:lineRule="auto"/>
      <w:ind w:left="154"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0" w:line="259" w:lineRule="auto"/>
      <w:ind w:left="10" w:right="397" w:hanging="10"/>
      <w:jc w:val="right"/>
      <w:outlineLvl w:val="2"/>
    </w:pPr>
    <w:rPr>
      <w:rFonts w:ascii="Times New Roman" w:eastAsia="Times New Roman" w:hAnsi="Times New Roman" w:cs="Times New Roman"/>
      <w:color w:val="000000"/>
    </w:rPr>
  </w:style>
  <w:style w:type="paragraph" w:styleId="Heading4">
    <w:name w:val="heading 4"/>
    <w:next w:val="Normal"/>
    <w:link w:val="Heading4Char"/>
    <w:uiPriority w:val="9"/>
    <w:unhideWhenUsed/>
    <w:qFormat/>
    <w:pPr>
      <w:keepNext/>
      <w:keepLines/>
      <w:spacing w:after="100" w:line="259" w:lineRule="auto"/>
      <w:ind w:left="154" w:hanging="10"/>
      <w:outlineLvl w:val="3"/>
    </w:pPr>
    <w:rPr>
      <w:rFonts w:ascii="Times New Roman" w:eastAsia="Times New Roman" w:hAnsi="Times New Roman" w:cs="Times New Roman"/>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paragraph" w:styleId="TOC1">
    <w:name w:val="toc 1"/>
    <w:hidden/>
    <w:pPr>
      <w:spacing w:line="259" w:lineRule="auto"/>
      <w:ind w:left="15" w:right="15"/>
    </w:pPr>
    <w:rPr>
      <w:rFonts w:ascii="Calibri" w:eastAsia="Calibri" w:hAnsi="Calibri" w:cs="Calibri"/>
      <w:color w:val="000000"/>
      <w:sz w:val="22"/>
    </w:rPr>
  </w:style>
  <w:style w:type="paragraph" w:styleId="TOC2">
    <w:name w:val="toc 2"/>
    <w:hidden/>
    <w:pPr>
      <w:spacing w:after="114" w:line="259" w:lineRule="auto"/>
      <w:ind w:left="555" w:right="414" w:hanging="10"/>
      <w:jc w:val="right"/>
    </w:pPr>
    <w:rPr>
      <w:rFonts w:ascii="Times New Roman" w:eastAsia="Times New Roman" w:hAnsi="Times New Roman" w:cs="Times New Roman"/>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ata.medicare.gov/provider-data" TargetMode="External" /><Relationship Id="rId11" Type="http://schemas.openxmlformats.org/officeDocument/2006/relationships/hyperlink" Target="https://data.medicare.gov/provider-data/"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ederalregister.gov/documents/2024/03/29/2024-06469/revisions-to-ombs-statistical-policy-directive-no-15-standards-for-maintaining-collecting-and" TargetMode="External" /><Relationship Id="rId5" Type="http://schemas.openxmlformats.org/officeDocument/2006/relationships/hyperlink" Target="https://oascahps.org/Survey-Materials" TargetMode="External" /><Relationship Id="rId6" Type="http://schemas.openxmlformats.org/officeDocument/2006/relationships/hyperlink" Target="http://www.hcahpsonline.org/en/quality-assurance/" TargetMode="External" /><Relationship Id="rId7" Type="http://schemas.openxmlformats.org/officeDocument/2006/relationships/hyperlink" Target="https://data.bls.gov/oes/" TargetMode="External" /><Relationship Id="rId8" Type="http://schemas.openxmlformats.org/officeDocument/2006/relationships/hyperlink" Target="https://www.bls.gov/oes/current/oes_nat.htm" TargetMode="External" /><Relationship Id="rId9" Type="http://schemas.openxmlformats.org/officeDocument/2006/relationships/hyperlink" Target="https://www.medicare.gov/care-compar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5354</Words>
  <Characters>29452</Characters>
  <Application>Microsoft Office Word</Application>
  <DocSecurity>0</DocSecurity>
  <Lines>755</Lines>
  <Paragraphs>470</Paragraphs>
  <ScaleCrop>false</ScaleCrop>
  <HeadingPairs>
    <vt:vector size="2" baseType="variant">
      <vt:variant>
        <vt:lpstr>Title</vt:lpstr>
      </vt:variant>
      <vt:variant>
        <vt:i4>1</vt:i4>
      </vt:variant>
    </vt:vector>
  </HeadingPairs>
  <TitlesOfParts>
    <vt:vector size="1" baseType="lpstr">
      <vt:lpstr>OMB Supporting Statement - Part A</vt:lpstr>
    </vt:vector>
  </TitlesOfParts>
  <Company>Center For Medicaid Services</Company>
  <LinksUpToDate>false</LinksUpToDate>
  <CharactersWithSpaces>34336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 - Part A</dc:title>
  <dc:subject>OMB Supporting Statement - Part A</dc:subject>
  <dc:creator>Centers for Medicare and Medicaid Services</dc:creator>
  <cp:keywords>"OAS CAHPS;OMB statement A;2021 submission"</cp:keywords>
  <cp:lastModifiedBy>McKenzie, Stephan (CMS/OSORA)</cp:lastModifiedBy>
  <cp:revision>2</cp:revision>
  <dcterms:created xsi:type="dcterms:W3CDTF">2026-02-12T17:32:00Z</dcterms:created>
  <dcterms:modified xsi:type="dcterms:W3CDTF">2026-02-12T17:32:00Z</dcterms:modified>
</cp:coreProperties>
</file>