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2CE1" w14:paraId="3A6FA642" w14:textId="746B0832">
      <w:pPr>
        <w:rPr>
          <w:b/>
          <w:bCs/>
          <w:sz w:val="28"/>
        </w:rPr>
      </w:pPr>
    </w:p>
    <w:p w:rsidR="005E714A" w:rsidP="00F06866" w14:paraId="6704B53B" w14:textId="74939813">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376DF8" w:rsidRPr="00103AA0" w:rsidP="00103AA0" w14:paraId="765817F0" w14:textId="52A3D6C3">
      <w:pPr>
        <w:spacing w:before="240"/>
      </w:pPr>
      <w:r>
        <w:rPr>
          <w:b/>
          <w:noProof/>
          <w:color w:val="2B579A"/>
          <w:shd w:val="clear" w:color="auto" w:fill="E6E6E6"/>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51AD2B71" w:rsidR="005E714A">
        <w:rPr>
          <w:b/>
          <w:bCs/>
        </w:rPr>
        <w:t>TITLE OF INFORMATION COLLECTION:</w:t>
      </w:r>
      <w:r w:rsidR="00454372">
        <w:t xml:space="preserve"> Office of Refugee Resettlement</w:t>
      </w:r>
      <w:r w:rsidR="00103AA0">
        <w:t xml:space="preserve"> </w:t>
      </w:r>
      <w:r w:rsidR="00454372">
        <w:t>Unaccompanied Alien Children Bureau</w:t>
      </w:r>
      <w:r w:rsidR="00103AA0">
        <w:t xml:space="preserve"> </w:t>
      </w:r>
      <w:r w:rsidRPr="00A54864">
        <w:t xml:space="preserve">Post-Release Services Application Ongoing User Feedback </w:t>
      </w:r>
    </w:p>
    <w:p w:rsidR="00340E84" w14:paraId="5D046B21" w14:textId="77777777"/>
    <w:p w:rsidR="00376DF8" w:rsidP="00554E21" w14:paraId="7B6B6177" w14:textId="78F79C05">
      <w:pPr>
        <w:spacing w:after="120"/>
        <w:rPr>
          <w:bCs/>
        </w:rPr>
      </w:pPr>
      <w:r w:rsidRPr="2C8FB7A6">
        <w:rPr>
          <w:b/>
          <w:bCs/>
        </w:rPr>
        <w:t>PURPOSE AND USE:</w:t>
      </w:r>
      <w:r w:rsidR="001432CD">
        <w:t xml:space="preserve"> The </w:t>
      </w:r>
      <w:r w:rsidR="00BA1ACD">
        <w:t xml:space="preserve">Office of Refugee Resettlement (ORR) Unaccompanied Alien Children (UAC) </w:t>
      </w:r>
      <w:r w:rsidR="001432CD">
        <w:t xml:space="preserve">Bureau </w:t>
      </w:r>
      <w:r w:rsidR="009333E4">
        <w:t>plans to request information to assess how the</w:t>
      </w:r>
      <w:r w:rsidR="00CC04A1">
        <w:t xml:space="preserve"> </w:t>
      </w:r>
      <w:r w:rsidRPr="00031520">
        <w:rPr>
          <w:bCs/>
        </w:rPr>
        <w:t xml:space="preserve">Post-Release Services (PRS) Application </w:t>
      </w:r>
      <w:r w:rsidR="00CC04A1">
        <w:t>meets</w:t>
      </w:r>
      <w:r w:rsidRPr="00031520">
        <w:rPr>
          <w:bCs/>
        </w:rPr>
        <w:t xml:space="preserve"> the needs of Provider Administrators and Case Managers</w:t>
      </w:r>
      <w:r w:rsidR="008D07A2">
        <w:t>. The goal i</w:t>
      </w:r>
      <w:r w:rsidR="00D66567">
        <w:t xml:space="preserve">s to evaluate </w:t>
      </w:r>
      <w:r w:rsidR="007F6506">
        <w:t>usability, identify areas for improvement, and enhance the overall user experience for PRS providers.</w:t>
      </w:r>
      <w:r>
        <w:t xml:space="preserve"> </w:t>
      </w:r>
      <w:r w:rsidRPr="00255925" w:rsidR="007953B8">
        <w:t xml:space="preserve">All responses are anonymous and personally identifiable information (PII) </w:t>
      </w:r>
      <w:r w:rsidRPr="00255925" w:rsidR="003C3C7A">
        <w:t>is not collected.</w:t>
      </w:r>
      <w:r w:rsidRPr="00A07BDD">
        <w:t xml:space="preserve"> </w:t>
      </w:r>
      <w:r w:rsidR="00BA1ACD">
        <w:t>This request includes t</w:t>
      </w:r>
      <w:r w:rsidR="00554E21">
        <w:t>w</w:t>
      </w:r>
      <w:r w:rsidR="00BA1ACD">
        <w:t>o information collections:</w:t>
      </w:r>
    </w:p>
    <w:p w:rsidR="00376DF8" w:rsidRPr="00031520" w:rsidP="00554E21" w14:paraId="4140D157" w14:textId="7A90919E">
      <w:pPr>
        <w:spacing w:after="120"/>
        <w:ind w:left="900" w:hanging="360"/>
        <w:rPr>
          <w:bCs/>
        </w:rPr>
      </w:pPr>
      <w:r>
        <w:t>1.</w:t>
      </w:r>
      <w:r>
        <w:tab/>
        <w:t xml:space="preserve">PRS Application Usability Survey: </w:t>
      </w:r>
      <w:r w:rsidR="00D74023">
        <w:t>This survey establishes a usability</w:t>
      </w:r>
      <w:r>
        <w:t xml:space="preserve"> benchmark and </w:t>
      </w:r>
      <w:r w:rsidR="00D74023">
        <w:t xml:space="preserve">enables ORR to </w:t>
      </w:r>
      <w:r>
        <w:t>track users</w:t>
      </w:r>
      <w:r w:rsidR="00064A63">
        <w:t>’</w:t>
      </w:r>
      <w:r>
        <w:t xml:space="preserve"> assessment of the application</w:t>
      </w:r>
      <w:r w:rsidR="00064A63">
        <w:t>’</w:t>
      </w:r>
      <w:r>
        <w:t>s usability</w:t>
      </w:r>
      <w:r w:rsidR="00064A63">
        <w:t xml:space="preserve"> over time</w:t>
      </w:r>
      <w:r>
        <w:t>.</w:t>
      </w:r>
      <w:r w:rsidR="00064A63">
        <w:t xml:space="preserve"> The data collected wil</w:t>
      </w:r>
      <w:r w:rsidR="005B355C">
        <w:t>l help to</w:t>
      </w:r>
      <w:r w:rsidR="7B7678F9">
        <w:t xml:space="preserve"> understand how the Office of Refugee Resettlement's Post-Release Services (PRS) Application is meeting the needs of Provider Administrators and Case Managers and how we can improve the tool's usability.</w:t>
      </w:r>
    </w:p>
    <w:p w:rsidR="00C8488C" w:rsidP="00CB0928" w14:paraId="76E2C579" w14:textId="30E4B12E">
      <w:pPr>
        <w:ind w:left="900" w:hanging="360"/>
      </w:pPr>
      <w:r w:rsidRPr="00031520">
        <w:rPr>
          <w:bCs/>
        </w:rPr>
        <w:t>2.</w:t>
      </w:r>
      <w:r w:rsidRPr="00031520">
        <w:rPr>
          <w:bCs/>
        </w:rPr>
        <w:tab/>
        <w:t xml:space="preserve">Single Ease Question: </w:t>
      </w:r>
      <w:r w:rsidR="005B355C">
        <w:t>This</w:t>
      </w:r>
      <w:r w:rsidRPr="00031520">
        <w:rPr>
          <w:bCs/>
        </w:rPr>
        <w:t xml:space="preserve"> brief survey </w:t>
      </w:r>
      <w:r w:rsidR="00DC70E7">
        <w:t xml:space="preserve">solicits targeted feedback on </w:t>
      </w:r>
      <w:r w:rsidRPr="00031520">
        <w:rPr>
          <w:bCs/>
        </w:rPr>
        <w:t>individual feature designs</w:t>
      </w:r>
      <w:r w:rsidRPr="00CB0928" w:rsidR="5EBECF1C">
        <w:t xml:space="preserve"> to improve usability</w:t>
      </w:r>
      <w:r w:rsidR="00631480">
        <w:t xml:space="preserve"> for the PRS Application</w:t>
      </w:r>
      <w:r w:rsidRPr="00CB0928" w:rsidR="5EBECF1C">
        <w:t xml:space="preserve">. The data will be used </w:t>
      </w:r>
      <w:r w:rsidRPr="00CB0928" w:rsidR="601768D7">
        <w:t>to i</w:t>
      </w:r>
      <w:r w:rsidRPr="00CB0928" w:rsidR="6DB40460">
        <w:t>nform</w:t>
      </w:r>
      <w:r w:rsidRPr="00CB0928" w:rsidR="601768D7">
        <w:t xml:space="preserve"> future application design.</w:t>
      </w:r>
    </w:p>
    <w:p w:rsidR="00BA1ACD" w:rsidP="00554E21" w14:paraId="53CBAF83" w14:textId="77777777">
      <w:pPr>
        <w:rPr>
          <w:highlight w:val="yellow"/>
        </w:rPr>
      </w:pPr>
    </w:p>
    <w:p w:rsidR="00BA1ACD" w14:paraId="6D3CC749" w14:textId="714DB516">
      <w:r>
        <w:rPr>
          <w:snapToGrid w:val="0"/>
        </w:rPr>
        <w:t>We intend to use the surveys repeatedly through June 2028.</w:t>
      </w:r>
    </w:p>
    <w:p w:rsidR="00C8488C" w:rsidP="00434E33" w14:paraId="0FB4871F" w14:textId="77777777">
      <w:pPr>
        <w:pStyle w:val="Header"/>
        <w:tabs>
          <w:tab w:val="clear" w:pos="4320"/>
          <w:tab w:val="clear" w:pos="8640"/>
        </w:tabs>
        <w:rPr>
          <w:b/>
        </w:rPr>
      </w:pPr>
    </w:p>
    <w:p w:rsidR="00C8488C" w:rsidP="005A05AC" w14:paraId="55E177D6" w14:textId="5D789B52">
      <w:pPr>
        <w:pStyle w:val="Header"/>
        <w:tabs>
          <w:tab w:val="clear" w:pos="4320"/>
          <w:tab w:val="clear" w:pos="8640"/>
        </w:tabs>
      </w:pPr>
      <w:r w:rsidRPr="00434E33">
        <w:rPr>
          <w:b/>
        </w:rPr>
        <w:t>DESCRIPTION OF RESPONDENTS</w:t>
      </w:r>
      <w:r>
        <w:t xml:space="preserve">: </w:t>
      </w:r>
      <w:r w:rsidRPr="00A54864" w:rsidR="00376DF8">
        <w:t>ORR PRS user</w:t>
      </w:r>
      <w:r w:rsidR="00BA1ACD">
        <w:t>s,</w:t>
      </w:r>
      <w:r w:rsidR="00554E21">
        <w:t xml:space="preserve"> </w:t>
      </w:r>
      <w:r w:rsidR="00BA1ACD">
        <w:t xml:space="preserve">which </w:t>
      </w:r>
      <w:r w:rsidRPr="00A54864" w:rsidR="00376DF8">
        <w:t>includ</w:t>
      </w:r>
      <w:r w:rsidR="00BA1ACD">
        <w:t>e</w:t>
      </w:r>
      <w:r w:rsidRPr="00A54864" w:rsidR="00376DF8">
        <w:t xml:space="preserve"> PRS Provider </w:t>
      </w:r>
      <w:r w:rsidR="00BA1ACD">
        <w:t xml:space="preserve"> </w:t>
      </w:r>
      <w:r w:rsidRPr="00A54864" w:rsidR="00376DF8">
        <w:t>Administrators and PRS Case Managers</w:t>
      </w:r>
      <w:r w:rsidR="00BA1ACD">
        <w:t>.</w:t>
      </w:r>
    </w:p>
    <w:p w:rsidR="00E26329" w14:paraId="5A2A73FA" w14:textId="77777777">
      <w:pPr>
        <w:rPr>
          <w:b/>
        </w:rPr>
      </w:pPr>
    </w:p>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36D187C6">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Pr="00E201FC" w:rsidR="00E201FC">
        <w:rPr>
          <w:b/>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D30BF8E" w14:textId="46478072">
      <w:pPr>
        <w:pStyle w:val="BodyTextIndent"/>
        <w:tabs>
          <w:tab w:val="left" w:pos="360"/>
        </w:tabs>
        <w:ind w:left="0"/>
        <w:rPr>
          <w:bCs/>
          <w:sz w:val="24"/>
        </w:rPr>
      </w:pPr>
      <w:r w:rsidRPr="00F06866">
        <w:rPr>
          <w:bCs/>
          <w:sz w:val="24"/>
        </w:rPr>
        <w:t>[</w:t>
      </w:r>
      <w:r w:rsidRPr="00E201FC" w:rsidR="00E201FC">
        <w:rPr>
          <w:b/>
          <w:sz w:val="24"/>
        </w:rPr>
        <w:t>X</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5231B6DA"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5840A43B" w14:textId="77777777">
      <w:pPr>
        <w:pStyle w:val="Header"/>
        <w:tabs>
          <w:tab w:val="clear" w:pos="4320"/>
          <w:tab w:val="clear" w:pos="8640"/>
        </w:tabs>
      </w:pPr>
    </w:p>
    <w:p w:rsidR="00CA2650" w14:paraId="42E95FDF" w14:textId="77777777">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97544A1" w14:textId="77777777"/>
    <w:p w:rsidR="009C13B9" w:rsidP="009C13B9" w14:paraId="42D693BA" w14:textId="5342E3A8">
      <w:r>
        <w:t>Name</w:t>
      </w:r>
      <w:r w:rsidR="00340E84">
        <w:t xml:space="preserve"> and affiliation</w:t>
      </w:r>
      <w:r>
        <w:t>:</w:t>
      </w:r>
      <w:r w:rsidRPr="005A05AC" w:rsidR="00E201FC">
        <w:t xml:space="preserve"> </w:t>
      </w:r>
      <w:r w:rsidRPr="00103AA0" w:rsidR="24C25714">
        <w:rPr>
          <w:u w:val="single"/>
        </w:rPr>
        <w:t>Steve Goodrich</w:t>
      </w:r>
      <w:r w:rsidRPr="00103AA0" w:rsidR="00E201FC">
        <w:rPr>
          <w:rStyle w:val="inline-comment-marker"/>
          <w:u w:val="single"/>
        </w:rPr>
        <w:t xml:space="preserve">, Digital Product Manager, </w:t>
      </w:r>
      <w:r w:rsidR="00103AA0">
        <w:rPr>
          <w:rStyle w:val="inline-comment-marker"/>
          <w:u w:val="single"/>
        </w:rPr>
        <w:t>ACF ORR</w:t>
      </w:r>
    </w:p>
    <w:p w:rsidR="009C13B9" w:rsidP="009C13B9" w14:paraId="3CEE2C19" w14:textId="77777777">
      <w:pPr>
        <w:pStyle w:val="ListParagraph"/>
        <w:ind w:left="360"/>
      </w:pPr>
    </w:p>
    <w:p w:rsidR="009C13B9" w:rsidP="009C13B9" w14:paraId="181E99A5" w14:textId="4F9ACA0D">
      <w:r>
        <w:t>To assist review, please provide answers to the following question</w:t>
      </w:r>
      <w:r w:rsidR="00340E84">
        <w:t>s</w:t>
      </w:r>
      <w:r>
        <w:t>:</w:t>
      </w:r>
    </w:p>
    <w:p w:rsidR="009C13B9" w:rsidP="009C13B9" w14:paraId="68F90B42" w14:textId="2FB4E961">
      <w:pPr>
        <w:pStyle w:val="ListParagraph"/>
        <w:ind w:left="360"/>
      </w:pPr>
    </w:p>
    <w:p w:rsidR="009C13B9" w:rsidRPr="00C86E91" w:rsidP="00C86E91" w14:paraId="3531C549" w14:textId="77777777">
      <w:pPr>
        <w:rPr>
          <w:b/>
        </w:rPr>
      </w:pPr>
      <w:r w:rsidRPr="00C86E91">
        <w:rPr>
          <w:b/>
        </w:rPr>
        <w:t>Personally Identifiable Information:</w:t>
      </w:r>
    </w:p>
    <w:p w:rsidR="00C86E91" w:rsidP="00C86E91" w14:paraId="516A40FC" w14:textId="042258C8">
      <w:pPr>
        <w:pStyle w:val="ListParagraph"/>
        <w:numPr>
          <w:ilvl w:val="0"/>
          <w:numId w:val="18"/>
        </w:numPr>
      </w:pPr>
      <w:r>
        <w:t>Is</w:t>
      </w:r>
      <w:r w:rsidR="00237B48">
        <w:t xml:space="preserve"> personally identifiable information (PII) collected</w:t>
      </w:r>
      <w:r>
        <w:t xml:space="preserve">?  </w:t>
      </w:r>
      <w:r w:rsidR="009239AA">
        <w:t>[  ] Yes  [</w:t>
      </w:r>
      <w:r w:rsidRPr="00015EB7" w:rsidR="00E201FC">
        <w:rPr>
          <w:b/>
          <w:bCs/>
        </w:rPr>
        <w:t>X</w:t>
      </w:r>
      <w:r w:rsidR="009239AA">
        <w:t xml:space="preserve">]  No </w:t>
      </w:r>
    </w:p>
    <w:p w:rsidR="00C86E91" w:rsidP="00C86E91" w14:paraId="744BD79D"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p>
    <w:p w:rsidR="00C86E91" w:rsidP="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14:paraId="18869D1A" w14:textId="77777777">
      <w:pPr>
        <w:pStyle w:val="ListParagraph"/>
        <w:ind w:left="0"/>
        <w:rPr>
          <w:b/>
        </w:rPr>
      </w:pPr>
    </w:p>
    <w:p w:rsidR="00C86E91" w:rsidP="763201CD" w14:paraId="6567916E" w14:textId="0D59079B">
      <w:r w:rsidRPr="763201CD">
        <w:rPr>
          <w:b/>
          <w:bCs/>
        </w:rPr>
        <w:t>Tokens of Appreciation or Honoraria:</w:t>
      </w:r>
    </w:p>
    <w:p w:rsidR="00C86E91" w:rsidP="763201CD" w14:paraId="2E1C8400" w14:textId="2D430504">
      <w:r w:rsidRPr="42398F09">
        <w:t xml:space="preserve">Will a token of appreciation or honoraria be </w:t>
      </w:r>
      <w:r w:rsidRPr="42398F09">
        <w:rPr>
          <w:color w:val="000000" w:themeColor="text1"/>
        </w:rPr>
        <w:t xml:space="preserve">provided to participants? </w:t>
      </w:r>
      <w:r>
        <w:t xml:space="preserve">  [  ] Yes </w:t>
      </w:r>
      <w:r w:rsidR="00E201FC">
        <w:t>[</w:t>
      </w:r>
      <w:r w:rsidRPr="00015EB7" w:rsidR="00E201FC">
        <w:rPr>
          <w:b/>
          <w:bCs/>
        </w:rPr>
        <w:t>X</w:t>
      </w:r>
      <w:r>
        <w:t xml:space="preserve">] No  </w:t>
      </w:r>
    </w:p>
    <w:p w:rsidR="004D6E14" w14:paraId="1700CE24" w14:textId="77777777">
      <w:pPr>
        <w:rPr>
          <w:b/>
        </w:rPr>
      </w:pPr>
    </w:p>
    <w:p w:rsidR="005E714A" w:rsidP="00C86E91" w14:paraId="23B139B4" w14:textId="77777777">
      <w:pPr>
        <w:rPr>
          <w:i/>
        </w:rPr>
      </w:pPr>
      <w:r>
        <w:rPr>
          <w:b/>
        </w:rPr>
        <w:t>BURDEN HOUR</w:t>
      </w:r>
      <w:r w:rsidR="00441434">
        <w:rPr>
          <w:b/>
        </w:rPr>
        <w:t>S</w:t>
      </w:r>
      <w:r>
        <w:t xml:space="preserve"> </w:t>
      </w:r>
    </w:p>
    <w:p w:rsidR="006832D9" w:rsidRPr="006832D9" w:rsidP="00F3170F" w14:paraId="60FF74AC" w14:textId="77777777">
      <w:pPr>
        <w:keepNext/>
        <w:keepLines/>
        <w:rPr>
          <w:b/>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85"/>
        <w:gridCol w:w="2070"/>
        <w:gridCol w:w="1890"/>
        <w:gridCol w:w="1710"/>
        <w:gridCol w:w="1710"/>
        <w:gridCol w:w="1003"/>
      </w:tblGrid>
      <w:tr w14:paraId="14D0480D" w14:textId="77777777" w:rsidTr="7E833132">
        <w:tblPrEx>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1885" w:type="dxa"/>
          </w:tcPr>
          <w:p w:rsidR="00340E84" w:rsidRPr="0001027E" w:rsidP="00C8488C" w14:paraId="674C58C3" w14:textId="6D90EE58">
            <w:pPr>
              <w:rPr>
                <w:b/>
              </w:rPr>
            </w:pPr>
            <w:r>
              <w:rPr>
                <w:b/>
              </w:rPr>
              <w:t>Information Collection</w:t>
            </w:r>
          </w:p>
        </w:tc>
        <w:tc>
          <w:tcPr>
            <w:tcW w:w="2070" w:type="dxa"/>
          </w:tcPr>
          <w:p w:rsidR="00340E84" w:rsidRPr="0001027E" w:rsidP="00C8488C" w14:paraId="432BD2DC" w14:textId="11A0F7BA">
            <w:pPr>
              <w:rPr>
                <w:b/>
              </w:rPr>
            </w:pPr>
            <w:r w:rsidRPr="0001027E">
              <w:rPr>
                <w:b/>
              </w:rPr>
              <w:t xml:space="preserve">Category of Respondent </w:t>
            </w:r>
          </w:p>
        </w:tc>
        <w:tc>
          <w:tcPr>
            <w:tcW w:w="1890" w:type="dxa"/>
          </w:tcPr>
          <w:p w:rsidR="00340E84" w:rsidRPr="0001027E" w:rsidP="00843796" w14:paraId="03451CBD" w14:textId="77777777">
            <w:pPr>
              <w:rPr>
                <w:b/>
              </w:rPr>
            </w:pPr>
            <w:r w:rsidRPr="0001027E">
              <w:rPr>
                <w:b/>
              </w:rPr>
              <w:t>No. of Respondents</w:t>
            </w:r>
          </w:p>
        </w:tc>
        <w:tc>
          <w:tcPr>
            <w:tcW w:w="1710" w:type="dxa"/>
          </w:tcPr>
          <w:p w:rsidR="00340E84" w:rsidRPr="0001027E" w:rsidP="00843796" w14:paraId="3F9470DC" w14:textId="5E8AEB1B">
            <w:pPr>
              <w:rPr>
                <w:b/>
              </w:rPr>
            </w:pPr>
            <w:r>
              <w:rPr>
                <w:b/>
              </w:rPr>
              <w:t>No. of Responses per Respondent</w:t>
            </w:r>
          </w:p>
        </w:tc>
        <w:tc>
          <w:tcPr>
            <w:tcW w:w="1710" w:type="dxa"/>
          </w:tcPr>
          <w:p w:rsidR="00340E84" w:rsidRPr="0001027E" w:rsidP="00843796" w14:paraId="0D6C37D5" w14:textId="2CA736C1">
            <w:pPr>
              <w:rPr>
                <w:b/>
              </w:rPr>
            </w:pPr>
            <w:r>
              <w:rPr>
                <w:b/>
              </w:rPr>
              <w:t>Estimated Time per Response</w:t>
            </w:r>
            <w:r>
              <w:rPr>
                <w:b/>
              </w:rPr>
              <w:t xml:space="preserve"> </w:t>
            </w:r>
          </w:p>
        </w:tc>
        <w:tc>
          <w:tcPr>
            <w:tcW w:w="1003" w:type="dxa"/>
          </w:tcPr>
          <w:p w:rsidR="00340E84" w:rsidRPr="0001027E" w:rsidP="00843796" w14:paraId="0BA6B090" w14:textId="162A9184">
            <w:pPr>
              <w:rPr>
                <w:b/>
              </w:rPr>
            </w:pPr>
            <w:r w:rsidRPr="0001027E">
              <w:rPr>
                <w:b/>
              </w:rPr>
              <w:t>Burden</w:t>
            </w:r>
            <w:r>
              <w:rPr>
                <w:b/>
              </w:rPr>
              <w:t xml:space="preserve"> Hours</w:t>
            </w:r>
          </w:p>
        </w:tc>
      </w:tr>
      <w:tr w14:paraId="1F158995" w14:textId="77777777" w:rsidTr="004F29C9">
        <w:tblPrEx>
          <w:tblW w:w="10268" w:type="dxa"/>
          <w:tblLayout w:type="fixed"/>
          <w:tblLook w:val="01E0"/>
        </w:tblPrEx>
        <w:trPr>
          <w:trHeight w:val="274"/>
        </w:trPr>
        <w:tc>
          <w:tcPr>
            <w:tcW w:w="1885" w:type="dxa"/>
          </w:tcPr>
          <w:p w:rsidR="00340E84" w:rsidP="00843796" w14:paraId="585F12D8" w14:textId="6A019BE5">
            <w:r>
              <w:t>PRS Application Usability Survey</w:t>
            </w:r>
          </w:p>
        </w:tc>
        <w:tc>
          <w:tcPr>
            <w:tcW w:w="2070" w:type="dxa"/>
          </w:tcPr>
          <w:p w:rsidR="00340E84" w:rsidP="00843796" w14:paraId="1568D5FE" w14:textId="5FB73D90">
            <w:r>
              <w:t>Private Sector – Contractor PRS Provider Administrators and Case Managers</w:t>
            </w:r>
          </w:p>
        </w:tc>
        <w:tc>
          <w:tcPr>
            <w:tcW w:w="1890" w:type="dxa"/>
            <w:vAlign w:val="center"/>
          </w:tcPr>
          <w:p w:rsidR="00340E84" w:rsidP="004F29C9" w14:paraId="71E63EBF" w14:textId="49C0608B">
            <w:pPr>
              <w:jc w:val="center"/>
            </w:pPr>
            <w:r>
              <w:t>100</w:t>
            </w:r>
          </w:p>
        </w:tc>
        <w:tc>
          <w:tcPr>
            <w:tcW w:w="1710" w:type="dxa"/>
            <w:vAlign w:val="center"/>
          </w:tcPr>
          <w:p w:rsidR="00340E84" w:rsidP="004F29C9" w14:paraId="593F10F4" w14:textId="3543A8B7">
            <w:pPr>
              <w:jc w:val="center"/>
            </w:pPr>
            <w:r>
              <w:t>1</w:t>
            </w:r>
          </w:p>
        </w:tc>
        <w:tc>
          <w:tcPr>
            <w:tcW w:w="1710" w:type="dxa"/>
            <w:vAlign w:val="center"/>
          </w:tcPr>
          <w:p w:rsidR="00340E84" w:rsidP="004F29C9" w14:paraId="29021E8C" w14:textId="46553252">
            <w:pPr>
              <w:jc w:val="center"/>
            </w:pPr>
            <w:r>
              <w:t>8 minutes</w:t>
            </w:r>
          </w:p>
        </w:tc>
        <w:tc>
          <w:tcPr>
            <w:tcW w:w="1003" w:type="dxa"/>
            <w:vAlign w:val="center"/>
          </w:tcPr>
          <w:p w:rsidR="00340E84" w:rsidP="004F29C9" w14:paraId="515AAFC2" w14:textId="02D6EA6F">
            <w:pPr>
              <w:jc w:val="center"/>
            </w:pPr>
            <w:r>
              <w:t>13.3</w:t>
            </w:r>
          </w:p>
        </w:tc>
      </w:tr>
      <w:tr w14:paraId="468A1D2D" w14:textId="77777777" w:rsidTr="004F29C9">
        <w:tblPrEx>
          <w:tblW w:w="10268" w:type="dxa"/>
          <w:tblLayout w:type="fixed"/>
          <w:tblLook w:val="01E0"/>
        </w:tblPrEx>
        <w:trPr>
          <w:trHeight w:val="274"/>
        </w:trPr>
        <w:tc>
          <w:tcPr>
            <w:tcW w:w="1885" w:type="dxa"/>
          </w:tcPr>
          <w:p w:rsidR="00340E84" w:rsidP="00843796" w14:paraId="35C47455" w14:textId="4D81EF95">
            <w:r>
              <w:t>PRS Application Single Ease Question</w:t>
            </w:r>
          </w:p>
        </w:tc>
        <w:tc>
          <w:tcPr>
            <w:tcW w:w="2070" w:type="dxa"/>
          </w:tcPr>
          <w:p w:rsidR="00340E84" w:rsidP="00843796" w14:paraId="184BE662" w14:textId="7B28ED50">
            <w:r>
              <w:t>Private Sector – Contractor PRS Provider Administrators and Case Managers</w:t>
            </w:r>
          </w:p>
        </w:tc>
        <w:tc>
          <w:tcPr>
            <w:tcW w:w="1890" w:type="dxa"/>
            <w:vAlign w:val="center"/>
          </w:tcPr>
          <w:p w:rsidR="00340E84" w:rsidP="004F29C9" w14:paraId="32D1FB7E" w14:textId="6B56DCF5">
            <w:pPr>
              <w:jc w:val="center"/>
            </w:pPr>
            <w:r>
              <w:t>100</w:t>
            </w:r>
          </w:p>
        </w:tc>
        <w:tc>
          <w:tcPr>
            <w:tcW w:w="1710" w:type="dxa"/>
            <w:vAlign w:val="center"/>
          </w:tcPr>
          <w:p w:rsidR="00340E84" w:rsidP="004F29C9" w14:paraId="62283D9B" w14:textId="7BEBB0BA">
            <w:pPr>
              <w:jc w:val="center"/>
            </w:pPr>
            <w:r>
              <w:t>8</w:t>
            </w:r>
          </w:p>
        </w:tc>
        <w:tc>
          <w:tcPr>
            <w:tcW w:w="1710" w:type="dxa"/>
            <w:vAlign w:val="center"/>
          </w:tcPr>
          <w:p w:rsidR="00340E84" w:rsidP="004F29C9" w14:paraId="3CA9EBF6" w14:textId="40FD4B19">
            <w:pPr>
              <w:jc w:val="center"/>
            </w:pPr>
            <w:r>
              <w:t>3 minutes</w:t>
            </w:r>
          </w:p>
        </w:tc>
        <w:tc>
          <w:tcPr>
            <w:tcW w:w="1003" w:type="dxa"/>
            <w:vAlign w:val="center"/>
          </w:tcPr>
          <w:p w:rsidR="00340E84" w:rsidP="004F29C9" w14:paraId="5DCE1861" w14:textId="51EFBF8C">
            <w:pPr>
              <w:jc w:val="center"/>
            </w:pPr>
            <w:r>
              <w:t>40</w:t>
            </w:r>
          </w:p>
        </w:tc>
      </w:tr>
      <w:tr w14:paraId="7DE107E6" w14:textId="77777777" w:rsidTr="004F29C9">
        <w:tblPrEx>
          <w:tblW w:w="10268" w:type="dxa"/>
          <w:tblLayout w:type="fixed"/>
          <w:tblLook w:val="01E0"/>
        </w:tblPrEx>
        <w:trPr>
          <w:trHeight w:val="289"/>
        </w:trPr>
        <w:tc>
          <w:tcPr>
            <w:tcW w:w="3955" w:type="dxa"/>
            <w:gridSpan w:val="2"/>
            <w:vAlign w:val="center"/>
          </w:tcPr>
          <w:p w:rsidR="00340E84" w:rsidRPr="0001027E" w:rsidP="004D46E9" w14:paraId="3B8E1C51" w14:textId="4CAFB0FA">
            <w:pPr>
              <w:jc w:val="right"/>
              <w:rPr>
                <w:b/>
              </w:rPr>
            </w:pPr>
            <w:r w:rsidRPr="0001027E">
              <w:rPr>
                <w:b/>
              </w:rPr>
              <w:t>Totals</w:t>
            </w:r>
          </w:p>
        </w:tc>
        <w:tc>
          <w:tcPr>
            <w:tcW w:w="1890" w:type="dxa"/>
            <w:vAlign w:val="center"/>
          </w:tcPr>
          <w:p w:rsidR="00340E84" w:rsidRPr="0001027E" w:rsidP="004F29C9" w14:paraId="55E12884" w14:textId="3DE5500A">
            <w:pPr>
              <w:jc w:val="center"/>
              <w:rPr>
                <w:b/>
              </w:rPr>
            </w:pPr>
            <w:r>
              <w:rPr>
                <w:b/>
              </w:rPr>
              <w:t>1</w:t>
            </w:r>
            <w:r w:rsidR="007B1912">
              <w:rPr>
                <w:b/>
              </w:rPr>
              <w:t>00</w:t>
            </w:r>
          </w:p>
        </w:tc>
        <w:tc>
          <w:tcPr>
            <w:tcW w:w="1710" w:type="dxa"/>
            <w:vAlign w:val="center"/>
          </w:tcPr>
          <w:p w:rsidR="00340E84" w:rsidP="004F29C9" w14:paraId="1DB2365D" w14:textId="04782295">
            <w:pPr>
              <w:jc w:val="center"/>
            </w:pPr>
            <w:r>
              <w:t>9</w:t>
            </w:r>
          </w:p>
        </w:tc>
        <w:tc>
          <w:tcPr>
            <w:tcW w:w="1710" w:type="dxa"/>
            <w:vAlign w:val="center"/>
          </w:tcPr>
          <w:p w:rsidR="00340E84" w:rsidP="004F29C9" w14:paraId="39DC28AB" w14:textId="528F75E9">
            <w:pPr>
              <w:jc w:val="center"/>
            </w:pPr>
            <w:r>
              <w:t>Avg: 3.53 min</w:t>
            </w:r>
          </w:p>
        </w:tc>
        <w:tc>
          <w:tcPr>
            <w:tcW w:w="1003" w:type="dxa"/>
            <w:vAlign w:val="center"/>
          </w:tcPr>
          <w:p w:rsidR="00340E84" w:rsidRPr="0001027E" w:rsidP="004F29C9" w14:paraId="4E11045B" w14:textId="36687778">
            <w:pPr>
              <w:jc w:val="center"/>
              <w:rPr>
                <w:b/>
              </w:rPr>
            </w:pPr>
            <w:r>
              <w:rPr>
                <w:b/>
              </w:rPr>
              <w:t>53</w:t>
            </w:r>
          </w:p>
        </w:tc>
      </w:tr>
    </w:tbl>
    <w:p w:rsidR="00F3170F" w:rsidP="7E833132" w14:paraId="3CF8F186" w14:textId="525D6A30"/>
    <w:p w:rsidR="001214C6" w14:paraId="3CF77C9A" w14:textId="77777777">
      <w:pPr>
        <w:rPr>
          <w:b/>
          <w:highlight w:val="yellow"/>
        </w:rPr>
      </w:pPr>
    </w:p>
    <w:p w:rsidR="005E714A" w:rsidP="7E833132" w14:paraId="35567BF8" w14:textId="66B2A64F">
      <w:r w:rsidRPr="62A7A00B">
        <w:rPr>
          <w:b/>
          <w:bCs/>
        </w:rPr>
        <w:t xml:space="preserve">FEDERAL </w:t>
      </w:r>
      <w:r w:rsidRPr="62A7A00B" w:rsidR="009F5923">
        <w:rPr>
          <w:b/>
          <w:bCs/>
        </w:rPr>
        <w:t>COST</w:t>
      </w:r>
      <w:r w:rsidRPr="62A7A00B" w:rsidR="00F06866">
        <w:rPr>
          <w:b/>
          <w:bCs/>
        </w:rPr>
        <w:t>:</w:t>
      </w:r>
      <w:r w:rsidRPr="62A7A00B" w:rsidR="00895229">
        <w:rPr>
          <w:b/>
          <w:bCs/>
        </w:rPr>
        <w:t xml:space="preserve"> </w:t>
      </w:r>
      <w:r w:rsidRPr="62A7A00B" w:rsidR="00C86E91">
        <w:rPr>
          <w:b/>
          <w:bCs/>
        </w:rPr>
        <w:t xml:space="preserve"> </w:t>
      </w:r>
      <w:r w:rsidR="00C86E91">
        <w:t xml:space="preserve">The estimated annual cost to the Federal government is </w:t>
      </w:r>
      <w:r w:rsidRPr="62A7A00B" w:rsidR="005E1C47">
        <w:rPr>
          <w:b/>
          <w:bCs/>
        </w:rPr>
        <w:t>$</w:t>
      </w:r>
      <w:r w:rsidRPr="62A7A00B" w:rsidR="21F65676">
        <w:rPr>
          <w:b/>
          <w:bCs/>
        </w:rPr>
        <w:t>4</w:t>
      </w:r>
      <w:r w:rsidRPr="62A7A00B" w:rsidR="005E1C47">
        <w:rPr>
          <w:b/>
          <w:bCs/>
        </w:rPr>
        <w:t>,160</w:t>
      </w:r>
      <w:r w:rsidRPr="62A7A00B" w:rsidR="71F5DECE">
        <w:rPr>
          <w:b/>
          <w:bCs/>
        </w:rPr>
        <w:t>.</w:t>
      </w:r>
    </w:p>
    <w:p w:rsidR="00ED6492" w14:paraId="51DEAE36" w14:textId="77777777">
      <w:pPr>
        <w:rPr>
          <w:b/>
          <w:bCs/>
          <w:u w:val="single"/>
        </w:rPr>
      </w:pPr>
    </w:p>
    <w:tbl>
      <w:tblPr>
        <w:tblW w:w="10268" w:type="dxa"/>
        <w:tblBorders>
          <w:top w:val="single" w:sz="6" w:space="0" w:color="auto"/>
          <w:left w:val="single" w:sz="6" w:space="0" w:color="auto"/>
          <w:bottom w:val="single" w:sz="6" w:space="0" w:color="auto"/>
          <w:right w:val="single" w:sz="6" w:space="0" w:color="auto"/>
        </w:tblBorders>
        <w:tblLayout w:type="fixed"/>
        <w:tblLook w:val="04A0"/>
      </w:tblPr>
      <w:tblGrid>
        <w:gridCol w:w="1871"/>
        <w:gridCol w:w="5681"/>
        <w:gridCol w:w="1590"/>
        <w:gridCol w:w="1126"/>
      </w:tblGrid>
      <w:tr w14:paraId="3189D335" w14:textId="77777777" w:rsidTr="62A7A00B">
        <w:tblPrEx>
          <w:tblW w:w="10268" w:type="dxa"/>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169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015EB7" w:rsidP="006509E3" w14:paraId="641C81E8" w14:textId="77777777">
            <w:pPr>
              <w:spacing w:beforeAutospacing="1" w:afterAutospacing="1"/>
              <w:jc w:val="center"/>
              <w:rPr>
                <w:color w:val="000000" w:themeColor="text1"/>
              </w:rPr>
            </w:pPr>
            <w:r w:rsidRPr="7E833132">
              <w:rPr>
                <w:rStyle w:val="Strong"/>
                <w:color w:val="000000" w:themeColor="text1"/>
              </w:rPr>
              <w:t>Total Number of Federal Staff</w:t>
            </w:r>
          </w:p>
        </w:tc>
        <w:tc>
          <w:tcPr>
            <w:tcW w:w="51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015EB7" w:rsidP="62A7A00B" w14:paraId="34B083F6" w14:textId="7F3250FE">
            <w:pPr>
              <w:spacing w:beforeAutospacing="1" w:afterAutospacing="1"/>
              <w:jc w:val="center"/>
              <w:rPr>
                <w:color w:val="000000" w:themeColor="text1"/>
              </w:rPr>
            </w:pPr>
            <w:r w:rsidRPr="62A7A00B">
              <w:rPr>
                <w:rStyle w:val="Strong"/>
                <w:color w:val="000000" w:themeColor="text1"/>
              </w:rPr>
              <w:t xml:space="preserve">Estimated Time </w:t>
            </w:r>
            <w:r w:rsidR="00C7706F">
              <w:rPr>
                <w:rStyle w:val="Strong"/>
                <w:color w:val="000000" w:themeColor="text1"/>
              </w:rPr>
              <w:t>f</w:t>
            </w:r>
            <w:r w:rsidRPr="62A7A00B">
              <w:rPr>
                <w:rStyle w:val="Strong"/>
                <w:color w:val="000000" w:themeColor="text1"/>
              </w:rPr>
              <w:t>or Reviewing Findings</w:t>
            </w:r>
          </w:p>
        </w:tc>
        <w:tc>
          <w:tcPr>
            <w:tcW w:w="14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015EB7" w:rsidP="006509E3" w14:paraId="72C356AC" w14:textId="77777777">
            <w:pPr>
              <w:spacing w:beforeAutospacing="1" w:afterAutospacing="1"/>
              <w:jc w:val="center"/>
              <w:rPr>
                <w:color w:val="000000" w:themeColor="text1"/>
              </w:rPr>
            </w:pPr>
            <w:r w:rsidRPr="7E833132">
              <w:rPr>
                <w:rStyle w:val="Strong"/>
                <w:color w:val="000000" w:themeColor="text1"/>
              </w:rPr>
              <w:t>Average Hourly Wage</w:t>
            </w:r>
          </w:p>
        </w:tc>
        <w:tc>
          <w:tcPr>
            <w:tcW w:w="10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015EB7" w:rsidP="006509E3" w14:paraId="4AE0EA50" w14:textId="77777777">
            <w:pPr>
              <w:spacing w:beforeAutospacing="1" w:afterAutospacing="1"/>
              <w:jc w:val="center"/>
              <w:rPr>
                <w:color w:val="000000" w:themeColor="text1"/>
              </w:rPr>
            </w:pPr>
            <w:r w:rsidRPr="7E833132">
              <w:rPr>
                <w:rStyle w:val="Strong"/>
                <w:color w:val="000000" w:themeColor="text1"/>
              </w:rPr>
              <w:t>Total Cost</w:t>
            </w:r>
          </w:p>
        </w:tc>
      </w:tr>
      <w:tr w14:paraId="0AE989F9" w14:textId="77777777" w:rsidTr="62A7A00B">
        <w:tblPrEx>
          <w:tblW w:w="10268" w:type="dxa"/>
          <w:tblLayout w:type="fixed"/>
          <w:tblLook w:val="04A0"/>
        </w:tblPrEx>
        <w:trPr>
          <w:trHeight w:val="300"/>
        </w:trPr>
        <w:tc>
          <w:tcPr>
            <w:tcW w:w="169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rsidR="00015EB7" w:rsidP="006509E3" w14:paraId="0F78716C" w14:textId="77777777">
            <w:pPr>
              <w:jc w:val="center"/>
              <w:rPr>
                <w:color w:val="000000" w:themeColor="text1"/>
              </w:rPr>
            </w:pPr>
            <w:r w:rsidRPr="7E833132">
              <w:rPr>
                <w:color w:val="000000" w:themeColor="text1"/>
              </w:rPr>
              <w:t>3</w:t>
            </w:r>
          </w:p>
        </w:tc>
        <w:tc>
          <w:tcPr>
            <w:tcW w:w="51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rsidR="00015EB7" w:rsidRPr="005A05AC" w:rsidP="62A7A00B" w14:paraId="1AA3F58F" w14:textId="5CB608AD">
            <w:pPr>
              <w:spacing w:beforeAutospacing="1" w:afterAutospacing="1"/>
              <w:jc w:val="center"/>
              <w:rPr>
                <w:rStyle w:val="inline-comment-marker"/>
                <w:u w:val="single"/>
              </w:rPr>
            </w:pPr>
            <w:r w:rsidRPr="62A7A00B">
              <w:rPr>
                <w:rStyle w:val="inline-comment-marker"/>
              </w:rPr>
              <w:t>12 hours per staff, per year</w:t>
            </w:r>
          </w:p>
        </w:tc>
        <w:tc>
          <w:tcPr>
            <w:tcW w:w="14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rsidR="00015EB7" w:rsidP="62A7A00B" w14:paraId="1F1020B4" w14:textId="14817D05">
            <w:pPr>
              <w:spacing w:beforeAutospacing="1" w:afterAutospacing="1"/>
              <w:jc w:val="center"/>
              <w:rPr>
                <w:color w:val="000000" w:themeColor="text1"/>
              </w:rPr>
            </w:pPr>
            <w:r w:rsidRPr="62A7A00B">
              <w:rPr>
                <w:rStyle w:val="inline-comment-marker"/>
                <w:color w:val="000000" w:themeColor="text1"/>
              </w:rPr>
              <w:t>$</w:t>
            </w:r>
            <w:r w:rsidRPr="62A7A00B" w:rsidR="28823A14">
              <w:rPr>
                <w:rStyle w:val="inline-comment-marker"/>
                <w:color w:val="000000" w:themeColor="text1"/>
              </w:rPr>
              <w:t>58</w:t>
            </w:r>
          </w:p>
        </w:tc>
        <w:tc>
          <w:tcPr>
            <w:tcW w:w="10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rsidR="00015EB7" w:rsidRPr="005A05AC" w:rsidP="006509E3" w14:paraId="48C3643E" w14:textId="2832CD83">
            <w:pPr>
              <w:pStyle w:val="NormalWeb"/>
              <w:spacing w:line="259" w:lineRule="auto"/>
              <w:jc w:val="center"/>
              <w:rPr>
                <w:color w:val="000000" w:themeColor="text1"/>
              </w:rPr>
            </w:pPr>
            <w:r w:rsidRPr="62A7A00B">
              <w:rPr>
                <w:color w:val="auto"/>
              </w:rPr>
              <w:t>$</w:t>
            </w:r>
            <w:r w:rsidRPr="62A7A00B" w:rsidR="4EADB10A">
              <w:rPr>
                <w:color w:val="auto"/>
              </w:rPr>
              <w:t>4160</w:t>
            </w:r>
          </w:p>
        </w:tc>
      </w:tr>
    </w:tbl>
    <w:p w:rsidR="0069403B" w:rsidP="00F06866" w14:paraId="0FC66E6B" w14:textId="77777777">
      <w:pPr>
        <w:rPr>
          <w:b/>
        </w:rPr>
      </w:pPr>
    </w:p>
    <w:p w:rsidR="7A670759" w:rsidP="62A7A00B" w14:paraId="1D024923" w14:textId="4F136B59">
      <w:pPr>
        <w:spacing w:after="120"/>
      </w:pPr>
      <w:r w:rsidRPr="62A7A00B">
        <w:rPr>
          <w:color w:val="000000" w:themeColor="text1"/>
        </w:rPr>
        <w:t xml:space="preserve">The annualized cost estimate for each of these instruments considers the time of </w:t>
      </w:r>
      <w:r w:rsidRPr="62A7A00B" w:rsidR="4EAA711B">
        <w:rPr>
          <w:color w:val="000000" w:themeColor="text1"/>
        </w:rPr>
        <w:t>three</w:t>
      </w:r>
      <w:r w:rsidRPr="62A7A00B">
        <w:rPr>
          <w:color w:val="000000" w:themeColor="text1"/>
        </w:rPr>
        <w:t xml:space="preserve"> </w:t>
      </w:r>
      <w:r w:rsidRPr="62A7A00B" w:rsidR="17E6BDAE">
        <w:rPr>
          <w:color w:val="000000" w:themeColor="text1"/>
        </w:rPr>
        <w:t xml:space="preserve">Step 1 </w:t>
      </w:r>
      <w:r w:rsidRPr="62A7A00B">
        <w:rPr>
          <w:color w:val="000000" w:themeColor="text1"/>
        </w:rPr>
        <w:t>GS-13</w:t>
      </w:r>
      <w:r w:rsidRPr="62A7A00B" w:rsidR="471ECEAF">
        <w:rPr>
          <w:color w:val="000000" w:themeColor="text1"/>
        </w:rPr>
        <w:t xml:space="preserve"> employees</w:t>
      </w:r>
      <w:r w:rsidRPr="62A7A00B">
        <w:rPr>
          <w:color w:val="000000" w:themeColor="text1"/>
        </w:rPr>
        <w:t xml:space="preserve"> in the Washington, DC locality to review information following submittal.  No additional costs will be incurred by the Federal government.  The hourly rate was multiplied by two to account for fringe benefits and overhead.</w:t>
      </w:r>
    </w:p>
    <w:p w:rsidR="00F06866" w:rsidP="009B1EC8" w14:paraId="4A86B57E" w14:textId="77777777">
      <w:pPr>
        <w:spacing w:after="120"/>
        <w:rPr>
          <w:b/>
        </w:rPr>
      </w:pPr>
      <w:r>
        <w:rPr>
          <w:b/>
        </w:rPr>
        <w:t>The</w:t>
      </w:r>
      <w:r w:rsidR="0069403B">
        <w:rPr>
          <w:b/>
        </w:rPr>
        <w:t xml:space="preserve"> select</w:t>
      </w:r>
      <w:r>
        <w:rPr>
          <w:b/>
        </w:rPr>
        <w:t>ion of your targeted respondents</w:t>
      </w:r>
    </w:p>
    <w:p w:rsidR="0069403B" w:rsidP="0069403B" w14:paraId="2CED8C93" w14:textId="107D7B7C">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EC30B4">
        <w:t>[</w:t>
      </w:r>
      <w:r w:rsidRPr="00AC4266" w:rsidR="00EC30B4">
        <w:rPr>
          <w:b/>
          <w:bCs/>
        </w:rPr>
        <w:t>X</w:t>
      </w:r>
      <w:r>
        <w:t>] Yes</w:t>
      </w:r>
      <w:r>
        <w:tab/>
        <w:t>[ ] No</w:t>
      </w:r>
    </w:p>
    <w:p w:rsidR="00636621" w:rsidP="00636621" w14:paraId="3036A929" w14:textId="77777777">
      <w:pPr>
        <w:pStyle w:val="ListParagraph"/>
      </w:pPr>
    </w:p>
    <w:p w:rsidR="00636621" w:rsidP="001B0AAA" w14:paraId="3C0467DB" w14:textId="2B52BAE3">
      <w:r>
        <w:t>If the answer is yes, please provide a description of both below</w:t>
      </w:r>
      <w:r w:rsidR="00A403BB">
        <w:t xml:space="preserve"> (or attach the sampling plan)</w:t>
      </w:r>
      <w:r w:rsidR="19C53F9D">
        <w:t>.</w:t>
      </w:r>
      <w:r>
        <w:t xml:space="preserve">   If the answer is no, please provide a description of how you plan to identify your potential group of respondents</w:t>
      </w:r>
      <w:r w:rsidR="001B0AAA">
        <w:t xml:space="preserve"> and how you will select them</w:t>
      </w:r>
      <w:r w:rsidR="19BDAF8E">
        <w:t>.</w:t>
      </w:r>
    </w:p>
    <w:p w:rsidR="00A403BB" w:rsidRPr="00D93125" w:rsidP="00D93125" w14:paraId="2987496D" w14:textId="14579220">
      <w:pPr>
        <w:pStyle w:val="NormalWeb"/>
        <w:rPr>
          <w:i/>
        </w:rPr>
      </w:pPr>
      <w:r w:rsidRPr="00AC4266">
        <w:rPr>
          <w:rStyle w:val="Emphasis"/>
          <w:i w:val="0"/>
          <w:iCs w:val="0"/>
        </w:rPr>
        <w:t>The list of potential respondents is the group of users for the application. Up to 3,500 users (PRS Provider Administrators and Case Managers) from PRS program</w:t>
      </w:r>
      <w:r w:rsidR="00AC4266">
        <w:rPr>
          <w:rStyle w:val="Emphasis"/>
          <w:i w:val="0"/>
          <w:iCs w:val="0"/>
        </w:rPr>
        <w:t>s</w:t>
      </w:r>
      <w:r w:rsidRPr="00AC4266">
        <w:rPr>
          <w:rStyle w:val="Emphasis"/>
          <w:i w:val="0"/>
          <w:iCs w:val="0"/>
        </w:rPr>
        <w:t xml:space="preserve">, </w:t>
      </w:r>
      <w:r w:rsidR="00AC4266">
        <w:rPr>
          <w:rStyle w:val="Emphasis"/>
          <w:i w:val="0"/>
          <w:iCs w:val="0"/>
        </w:rPr>
        <w:t>who are</w:t>
      </w:r>
      <w:r w:rsidRPr="00AC4266">
        <w:rPr>
          <w:rStyle w:val="Emphasis"/>
          <w:i w:val="0"/>
          <w:iCs w:val="0"/>
        </w:rPr>
        <w:t xml:space="preserve"> deployed across PRS Provider organizations, will use the PRS Application. We will request voluntary responses from this group </w:t>
      </w:r>
      <w:r w:rsidRPr="00AC4266" w:rsidR="00AC4266">
        <w:rPr>
          <w:rStyle w:val="Emphasis"/>
          <w:i w:val="0"/>
          <w:iCs w:val="0"/>
        </w:rPr>
        <w:t xml:space="preserve">via an email list-serve </w:t>
      </w:r>
      <w:r w:rsidRPr="00AC4266">
        <w:rPr>
          <w:rStyle w:val="Emphasis"/>
          <w:i w:val="0"/>
          <w:iCs w:val="0"/>
        </w:rPr>
        <w:t>as we continue to develop and improve the application. </w:t>
      </w:r>
    </w:p>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61E81F00">
      <w:pPr>
        <w:ind w:left="720"/>
      </w:pPr>
      <w:r>
        <w:t>[</w:t>
      </w:r>
      <w:r w:rsidRPr="00AC4266">
        <w:rPr>
          <w:b/>
          <w:bCs/>
        </w:rPr>
        <w:t>X</w:t>
      </w:r>
      <w:r w:rsidR="00A403BB">
        <w:t>] Web-based</w:t>
      </w:r>
      <w:r>
        <w:t xml:space="preserve"> or other forms of Social Media </w:t>
      </w:r>
    </w:p>
    <w:p w:rsidR="001B0AAA" w:rsidP="001B0AAA" w14:paraId="38AA56E5" w14:textId="77777777">
      <w:pPr>
        <w:ind w:left="720"/>
      </w:pPr>
      <w:r>
        <w:t xml:space="preserve">[ </w:t>
      </w:r>
      <w:r>
        <w:t xml:space="preserve"> </w:t>
      </w:r>
      <w:r>
        <w:t>] Telephone</w:t>
      </w:r>
      <w:r>
        <w:tab/>
      </w:r>
    </w:p>
    <w:p w:rsidR="001B0AAA" w:rsidP="001B0AAA" w14:paraId="79D471B8" w14:textId="77777777">
      <w:pPr>
        <w:ind w:left="720"/>
      </w:pPr>
      <w:r>
        <w:t>[</w:t>
      </w:r>
      <w:r>
        <w:t xml:space="preserve"> </w:t>
      </w:r>
      <w:r>
        <w:t xml:space="preserve"> ] In-person</w:t>
      </w:r>
      <w:r>
        <w:tab/>
      </w:r>
    </w:p>
    <w:p w:rsidR="001B0AAA" w:rsidP="001B0AAA" w14:paraId="661B9A93" w14:textId="77777777">
      <w:pPr>
        <w:ind w:left="720"/>
      </w:pPr>
      <w:r>
        <w:t xml:space="preserve">[ </w:t>
      </w:r>
      <w:r>
        <w:t xml:space="preserve"> </w:t>
      </w:r>
      <w:r>
        <w:t>] Mail</w:t>
      </w:r>
      <w:r>
        <w:t xml:space="preserve"> </w:t>
      </w:r>
    </w:p>
    <w:p w:rsidR="001B0AAA" w:rsidP="001B0AAA" w14:paraId="4C05E79F" w14:textId="4FE91476">
      <w:pPr>
        <w:ind w:left="720"/>
      </w:pPr>
      <w:r>
        <w:t xml:space="preserve">[ </w:t>
      </w:r>
      <w:r>
        <w:t xml:space="preserve"> </w:t>
      </w:r>
      <w:r>
        <w:t>] Other, Explain</w:t>
      </w:r>
    </w:p>
    <w:p w:rsidR="00340E84" w:rsidP="001B0AAA" w14:paraId="3BC2CAC2" w14:textId="77777777">
      <w:pPr>
        <w:ind w:left="720"/>
      </w:pPr>
    </w:p>
    <w:p w:rsidR="00F24CFC" w:rsidP="00F24CFC" w14:paraId="1993A005" w14:textId="1458443F">
      <w:pPr>
        <w:pStyle w:val="ListParagraph"/>
        <w:numPr>
          <w:ilvl w:val="0"/>
          <w:numId w:val="17"/>
        </w:numPr>
      </w:pPr>
      <w:r>
        <w:t xml:space="preserve">Will interviewers or facilitators be used?  [  ] Yes </w:t>
      </w:r>
      <w:r w:rsidR="00EC30B4">
        <w:t>[</w:t>
      </w:r>
      <w:r w:rsidRPr="00AC4266" w:rsidR="00EC30B4">
        <w:rPr>
          <w:b/>
          <w:bCs/>
        </w:rPr>
        <w:t>X</w:t>
      </w:r>
      <w:r>
        <w:t>] No</w:t>
      </w:r>
    </w:p>
    <w:p w:rsidR="00F24CFC" w:rsidP="00F24CFC" w14:paraId="4F6EB0D0" w14:textId="77777777">
      <w:pPr>
        <w:pStyle w:val="ListParagraph"/>
        <w:ind w:left="360"/>
      </w:pPr>
      <w:r>
        <w:t xml:space="preserve"> </w:t>
      </w:r>
    </w:p>
    <w:p w:rsidR="00CE5BCE" w14:paraId="66D211AF" w14:textId="4DD41DAC">
      <w:pPr>
        <w:rPr>
          <w:b/>
          <w:bCs/>
          <w:sz w:val="28"/>
        </w:rPr>
      </w:pP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5098418">
    <w:abstractNumId w:val="11"/>
  </w:num>
  <w:num w:numId="2" w16cid:durableId="322320519">
    <w:abstractNumId w:val="18"/>
  </w:num>
  <w:num w:numId="3" w16cid:durableId="56559454">
    <w:abstractNumId w:val="17"/>
  </w:num>
  <w:num w:numId="4" w16cid:durableId="398749592">
    <w:abstractNumId w:val="19"/>
  </w:num>
  <w:num w:numId="5" w16cid:durableId="1152063476">
    <w:abstractNumId w:val="3"/>
  </w:num>
  <w:num w:numId="6" w16cid:durableId="1717386465">
    <w:abstractNumId w:val="1"/>
  </w:num>
  <w:num w:numId="7" w16cid:durableId="1896771014">
    <w:abstractNumId w:val="9"/>
  </w:num>
  <w:num w:numId="8" w16cid:durableId="27026990">
    <w:abstractNumId w:val="14"/>
  </w:num>
  <w:num w:numId="9" w16cid:durableId="259262918">
    <w:abstractNumId w:val="10"/>
  </w:num>
  <w:num w:numId="10" w16cid:durableId="20673169">
    <w:abstractNumId w:val="2"/>
  </w:num>
  <w:num w:numId="11" w16cid:durableId="1114786263">
    <w:abstractNumId w:val="6"/>
  </w:num>
  <w:num w:numId="12" w16cid:durableId="2100128997">
    <w:abstractNumId w:val="7"/>
  </w:num>
  <w:num w:numId="13" w16cid:durableId="711155273">
    <w:abstractNumId w:val="0"/>
  </w:num>
  <w:num w:numId="14" w16cid:durableId="1429502277">
    <w:abstractNumId w:val="16"/>
  </w:num>
  <w:num w:numId="15" w16cid:durableId="1543056259">
    <w:abstractNumId w:val="13"/>
  </w:num>
  <w:num w:numId="16" w16cid:durableId="11299836">
    <w:abstractNumId w:val="12"/>
  </w:num>
  <w:num w:numId="17" w16cid:durableId="75133636">
    <w:abstractNumId w:val="4"/>
  </w:num>
  <w:num w:numId="18" w16cid:durableId="1365330390">
    <w:abstractNumId w:val="5"/>
  </w:num>
  <w:num w:numId="19" w16cid:durableId="1886790524">
    <w:abstractNumId w:val="8"/>
  </w:num>
  <w:num w:numId="20" w16cid:durableId="17921698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03EC"/>
    <w:rsid w:val="00015EB7"/>
    <w:rsid w:val="00023A57"/>
    <w:rsid w:val="00031520"/>
    <w:rsid w:val="00047A64"/>
    <w:rsid w:val="00064A63"/>
    <w:rsid w:val="00065D78"/>
    <w:rsid w:val="00067329"/>
    <w:rsid w:val="000A70BD"/>
    <w:rsid w:val="000B2838"/>
    <w:rsid w:val="000B3BA3"/>
    <w:rsid w:val="000D44CA"/>
    <w:rsid w:val="000E0BCC"/>
    <w:rsid w:val="000E200B"/>
    <w:rsid w:val="000F68BE"/>
    <w:rsid w:val="00100A7B"/>
    <w:rsid w:val="00103AA0"/>
    <w:rsid w:val="001214C6"/>
    <w:rsid w:val="001432CD"/>
    <w:rsid w:val="00160FB7"/>
    <w:rsid w:val="001927A4"/>
    <w:rsid w:val="00194AC6"/>
    <w:rsid w:val="001A23B0"/>
    <w:rsid w:val="001A25CC"/>
    <w:rsid w:val="001B0AAA"/>
    <w:rsid w:val="001C39F7"/>
    <w:rsid w:val="00214820"/>
    <w:rsid w:val="00223D58"/>
    <w:rsid w:val="00234A11"/>
    <w:rsid w:val="00237B48"/>
    <w:rsid w:val="0024521E"/>
    <w:rsid w:val="002542A2"/>
    <w:rsid w:val="00255925"/>
    <w:rsid w:val="00263C3D"/>
    <w:rsid w:val="0026782F"/>
    <w:rsid w:val="00274D0B"/>
    <w:rsid w:val="00286545"/>
    <w:rsid w:val="00291DB0"/>
    <w:rsid w:val="0029684C"/>
    <w:rsid w:val="002B052D"/>
    <w:rsid w:val="002B34CD"/>
    <w:rsid w:val="002B3C95"/>
    <w:rsid w:val="002D0B92"/>
    <w:rsid w:val="002D7FC6"/>
    <w:rsid w:val="002E3DBE"/>
    <w:rsid w:val="003003D9"/>
    <w:rsid w:val="003108AF"/>
    <w:rsid w:val="00340E84"/>
    <w:rsid w:val="00355234"/>
    <w:rsid w:val="00376DF8"/>
    <w:rsid w:val="003C3C7A"/>
    <w:rsid w:val="003D137A"/>
    <w:rsid w:val="003D5BBE"/>
    <w:rsid w:val="003E3C61"/>
    <w:rsid w:val="003F1C5B"/>
    <w:rsid w:val="00432865"/>
    <w:rsid w:val="00434E33"/>
    <w:rsid w:val="00441434"/>
    <w:rsid w:val="0045264C"/>
    <w:rsid w:val="00454372"/>
    <w:rsid w:val="00465CD4"/>
    <w:rsid w:val="00471C2E"/>
    <w:rsid w:val="00482CE1"/>
    <w:rsid w:val="004876EC"/>
    <w:rsid w:val="004D46E9"/>
    <w:rsid w:val="004D5A5F"/>
    <w:rsid w:val="004D6E14"/>
    <w:rsid w:val="004F29C9"/>
    <w:rsid w:val="005009B0"/>
    <w:rsid w:val="00520589"/>
    <w:rsid w:val="00554E21"/>
    <w:rsid w:val="005A05AC"/>
    <w:rsid w:val="005A1006"/>
    <w:rsid w:val="005B18C1"/>
    <w:rsid w:val="005B355C"/>
    <w:rsid w:val="005C667C"/>
    <w:rsid w:val="005C77DA"/>
    <w:rsid w:val="005E1C47"/>
    <w:rsid w:val="005E714A"/>
    <w:rsid w:val="005F693D"/>
    <w:rsid w:val="00610B3F"/>
    <w:rsid w:val="006140A0"/>
    <w:rsid w:val="006149B9"/>
    <w:rsid w:val="00631480"/>
    <w:rsid w:val="00636621"/>
    <w:rsid w:val="00642B49"/>
    <w:rsid w:val="006509E3"/>
    <w:rsid w:val="006832D9"/>
    <w:rsid w:val="00691AE3"/>
    <w:rsid w:val="0069403B"/>
    <w:rsid w:val="006B2BF6"/>
    <w:rsid w:val="006B5830"/>
    <w:rsid w:val="006F3DDE"/>
    <w:rsid w:val="006F416F"/>
    <w:rsid w:val="00704678"/>
    <w:rsid w:val="007425E7"/>
    <w:rsid w:val="00756302"/>
    <w:rsid w:val="00784816"/>
    <w:rsid w:val="007953B8"/>
    <w:rsid w:val="007B1912"/>
    <w:rsid w:val="007B4E13"/>
    <w:rsid w:val="007F6506"/>
    <w:rsid w:val="007F7080"/>
    <w:rsid w:val="00802607"/>
    <w:rsid w:val="008101A5"/>
    <w:rsid w:val="00822664"/>
    <w:rsid w:val="00830827"/>
    <w:rsid w:val="00843796"/>
    <w:rsid w:val="00895229"/>
    <w:rsid w:val="008A5BC0"/>
    <w:rsid w:val="008B2EB3"/>
    <w:rsid w:val="008D07A2"/>
    <w:rsid w:val="008F0203"/>
    <w:rsid w:val="008F50D4"/>
    <w:rsid w:val="009239AA"/>
    <w:rsid w:val="00925144"/>
    <w:rsid w:val="009333E4"/>
    <w:rsid w:val="00935ADA"/>
    <w:rsid w:val="00946B6C"/>
    <w:rsid w:val="00955A71"/>
    <w:rsid w:val="0096108F"/>
    <w:rsid w:val="009B1EC8"/>
    <w:rsid w:val="009C13B9"/>
    <w:rsid w:val="009D01A2"/>
    <w:rsid w:val="009F5923"/>
    <w:rsid w:val="009F69BB"/>
    <w:rsid w:val="00A07BDD"/>
    <w:rsid w:val="00A326CE"/>
    <w:rsid w:val="00A335DB"/>
    <w:rsid w:val="00A403BB"/>
    <w:rsid w:val="00A4421F"/>
    <w:rsid w:val="00A501B5"/>
    <w:rsid w:val="00A54864"/>
    <w:rsid w:val="00A61314"/>
    <w:rsid w:val="00A674DF"/>
    <w:rsid w:val="00A83AA6"/>
    <w:rsid w:val="00A934D6"/>
    <w:rsid w:val="00A97F0B"/>
    <w:rsid w:val="00AC4266"/>
    <w:rsid w:val="00AE1809"/>
    <w:rsid w:val="00AE30D7"/>
    <w:rsid w:val="00B21251"/>
    <w:rsid w:val="00B23F80"/>
    <w:rsid w:val="00B23F85"/>
    <w:rsid w:val="00B33101"/>
    <w:rsid w:val="00B514A4"/>
    <w:rsid w:val="00B80D76"/>
    <w:rsid w:val="00BA1ACD"/>
    <w:rsid w:val="00BA2105"/>
    <w:rsid w:val="00BA7E06"/>
    <w:rsid w:val="00BB43B5"/>
    <w:rsid w:val="00BB6219"/>
    <w:rsid w:val="00BD290F"/>
    <w:rsid w:val="00BD453F"/>
    <w:rsid w:val="00BD6B8D"/>
    <w:rsid w:val="00C14CC4"/>
    <w:rsid w:val="00C2634F"/>
    <w:rsid w:val="00C33C52"/>
    <w:rsid w:val="00C40D8B"/>
    <w:rsid w:val="00C4161A"/>
    <w:rsid w:val="00C6205B"/>
    <w:rsid w:val="00C7205B"/>
    <w:rsid w:val="00C76058"/>
    <w:rsid w:val="00C7706F"/>
    <w:rsid w:val="00C8407A"/>
    <w:rsid w:val="00C8488C"/>
    <w:rsid w:val="00C86E91"/>
    <w:rsid w:val="00CA2650"/>
    <w:rsid w:val="00CA3FC0"/>
    <w:rsid w:val="00CB0928"/>
    <w:rsid w:val="00CB1078"/>
    <w:rsid w:val="00CC04A1"/>
    <w:rsid w:val="00CC6FAF"/>
    <w:rsid w:val="00CE5BCE"/>
    <w:rsid w:val="00CF6542"/>
    <w:rsid w:val="00D04B3B"/>
    <w:rsid w:val="00D24698"/>
    <w:rsid w:val="00D41D4B"/>
    <w:rsid w:val="00D54C74"/>
    <w:rsid w:val="00D6383F"/>
    <w:rsid w:val="00D63ED3"/>
    <w:rsid w:val="00D66567"/>
    <w:rsid w:val="00D74023"/>
    <w:rsid w:val="00D84311"/>
    <w:rsid w:val="00D93125"/>
    <w:rsid w:val="00DB59D0"/>
    <w:rsid w:val="00DC33D3"/>
    <w:rsid w:val="00DC70E7"/>
    <w:rsid w:val="00DD43CC"/>
    <w:rsid w:val="00DE0827"/>
    <w:rsid w:val="00DE227A"/>
    <w:rsid w:val="00DE745E"/>
    <w:rsid w:val="00E201FC"/>
    <w:rsid w:val="00E26329"/>
    <w:rsid w:val="00E40B50"/>
    <w:rsid w:val="00E43ADF"/>
    <w:rsid w:val="00E46CD4"/>
    <w:rsid w:val="00E50293"/>
    <w:rsid w:val="00E65FFC"/>
    <w:rsid w:val="00E744EA"/>
    <w:rsid w:val="00E80951"/>
    <w:rsid w:val="00E854FE"/>
    <w:rsid w:val="00E86CC6"/>
    <w:rsid w:val="00EB56B3"/>
    <w:rsid w:val="00EC30B4"/>
    <w:rsid w:val="00ED6492"/>
    <w:rsid w:val="00EF2095"/>
    <w:rsid w:val="00F06866"/>
    <w:rsid w:val="00F15956"/>
    <w:rsid w:val="00F16B38"/>
    <w:rsid w:val="00F24CFC"/>
    <w:rsid w:val="00F2736A"/>
    <w:rsid w:val="00F3170F"/>
    <w:rsid w:val="00F45AD8"/>
    <w:rsid w:val="00F47FE8"/>
    <w:rsid w:val="00F6639F"/>
    <w:rsid w:val="00F83A28"/>
    <w:rsid w:val="00F976B0"/>
    <w:rsid w:val="00FA6DE7"/>
    <w:rsid w:val="00FA79EB"/>
    <w:rsid w:val="00FC0A8E"/>
    <w:rsid w:val="00FE2F53"/>
    <w:rsid w:val="00FE2FA6"/>
    <w:rsid w:val="00FE3DF2"/>
    <w:rsid w:val="090C9A06"/>
    <w:rsid w:val="0B89D331"/>
    <w:rsid w:val="0F468704"/>
    <w:rsid w:val="110897D3"/>
    <w:rsid w:val="15216339"/>
    <w:rsid w:val="15B68B45"/>
    <w:rsid w:val="17E6BDAE"/>
    <w:rsid w:val="185C5D82"/>
    <w:rsid w:val="19BDAF8E"/>
    <w:rsid w:val="19C53F9D"/>
    <w:rsid w:val="1A332D23"/>
    <w:rsid w:val="1C842398"/>
    <w:rsid w:val="1CB2DF61"/>
    <w:rsid w:val="1FA79D26"/>
    <w:rsid w:val="21F65676"/>
    <w:rsid w:val="24632FEA"/>
    <w:rsid w:val="24C25714"/>
    <w:rsid w:val="27783794"/>
    <w:rsid w:val="28823A14"/>
    <w:rsid w:val="28A177CC"/>
    <w:rsid w:val="28D7C5E6"/>
    <w:rsid w:val="2BE10ACF"/>
    <w:rsid w:val="2C8FB7A6"/>
    <w:rsid w:val="2E4E42BE"/>
    <w:rsid w:val="3265F0B8"/>
    <w:rsid w:val="38DDD94D"/>
    <w:rsid w:val="3B639D74"/>
    <w:rsid w:val="3C2E3DD8"/>
    <w:rsid w:val="3DD1E216"/>
    <w:rsid w:val="42398F09"/>
    <w:rsid w:val="471ECEAF"/>
    <w:rsid w:val="4A4DD8E2"/>
    <w:rsid w:val="4B3100B5"/>
    <w:rsid w:val="4CB5BB4D"/>
    <w:rsid w:val="4EAA711B"/>
    <w:rsid w:val="4EADB10A"/>
    <w:rsid w:val="51AD2B71"/>
    <w:rsid w:val="55531D6B"/>
    <w:rsid w:val="5EBECF1C"/>
    <w:rsid w:val="5EFC95CE"/>
    <w:rsid w:val="601768D7"/>
    <w:rsid w:val="62A7A00B"/>
    <w:rsid w:val="6463F6F2"/>
    <w:rsid w:val="65635AF8"/>
    <w:rsid w:val="65F6BC27"/>
    <w:rsid w:val="68415CC6"/>
    <w:rsid w:val="692F2AB0"/>
    <w:rsid w:val="6A486CBB"/>
    <w:rsid w:val="6D24C21C"/>
    <w:rsid w:val="6DB40460"/>
    <w:rsid w:val="71F5DECE"/>
    <w:rsid w:val="75D1B2DA"/>
    <w:rsid w:val="763201CD"/>
    <w:rsid w:val="7A670759"/>
    <w:rsid w:val="7B7678F9"/>
    <w:rsid w:val="7E833132"/>
    <w:rsid w:val="7F3E29A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9FCAB620-246E-4DF7-A0FD-D0E6DF2F3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A54864"/>
    <w:rPr>
      <w:sz w:val="24"/>
      <w:szCs w:val="24"/>
    </w:rPr>
  </w:style>
  <w:style w:type="character" w:styleId="Strong">
    <w:name w:val="Strong"/>
    <w:basedOn w:val="DefaultParagraphFont"/>
    <w:uiPriority w:val="22"/>
    <w:qFormat/>
    <w:rsid w:val="00A54864"/>
    <w:rPr>
      <w:b/>
      <w:bCs/>
    </w:rPr>
  </w:style>
  <w:style w:type="character" w:styleId="Emphasis">
    <w:name w:val="Emphasis"/>
    <w:basedOn w:val="DefaultParagraphFont"/>
    <w:uiPriority w:val="20"/>
    <w:qFormat/>
    <w:rsid w:val="00E201FC"/>
    <w:rPr>
      <w:i/>
      <w:iCs/>
    </w:rPr>
  </w:style>
  <w:style w:type="character" w:customStyle="1" w:styleId="inline-comment-marker">
    <w:name w:val="inline-comment-marker"/>
    <w:basedOn w:val="DefaultParagraphFont"/>
    <w:rsid w:val="00E201FC"/>
  </w:style>
  <w:style w:type="paragraph" w:customStyle="1" w:styleId="paragraph">
    <w:name w:val="paragraph"/>
    <w:basedOn w:val="Normal"/>
    <w:rsid w:val="001214C6"/>
    <w:pPr>
      <w:spacing w:before="100" w:beforeAutospacing="1" w:after="100" w:afterAutospacing="1"/>
    </w:pPr>
  </w:style>
  <w:style w:type="character" w:customStyle="1" w:styleId="normaltextrun">
    <w:name w:val="normaltextrun"/>
    <w:basedOn w:val="DefaultParagraphFont"/>
    <w:rsid w:val="001214C6"/>
  </w:style>
  <w:style w:type="character" w:customStyle="1" w:styleId="eop">
    <w:name w:val="eop"/>
    <w:basedOn w:val="DefaultParagraphFont"/>
    <w:rsid w:val="001214C6"/>
  </w:style>
  <w:style w:type="character" w:styleId="Hyperlink">
    <w:name w:val="Hyperlink"/>
    <w:basedOn w:val="DefaultParagraphFont"/>
    <w:uiPriority w:val="99"/>
    <w:unhideWhenUsed/>
    <w:rsid w:val="00A07BDD"/>
    <w:rPr>
      <w:color w:val="0563C1" w:themeColor="hyperlink"/>
      <w:u w:val="singl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7" ma:contentTypeDescription="Create a new document." ma:contentTypeScope="" ma:versionID="761866ccfff4678c99677b397a6a6e37">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cb4803a35dd99b2af3c80de0cab6b181"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Props1.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2.xml><?xml version="1.0" encoding="utf-8"?>
<ds:datastoreItem xmlns:ds="http://schemas.openxmlformats.org/officeDocument/2006/customXml" ds:itemID="{EEF41208-AAD7-404D-BF7F-61E7FD506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4.xml><?xml version="1.0" encoding="utf-8"?>
<ds:datastoreItem xmlns:ds="http://schemas.openxmlformats.org/officeDocument/2006/customXml" ds:itemID="{04F48E35-C6C4-43AB-BD92-9B9CC7C329B5}">
  <ds:schemaRefs>
    <ds:schemaRef ds:uri="http://schemas.microsoft.com/office/infopath/2007/PartnerControls"/>
    <ds:schemaRef ds:uri="http://purl.org/dc/elements/1.1/"/>
    <ds:schemaRef ds:uri="http://schemas.microsoft.com/office/2006/metadata/properties"/>
    <ds:schemaRef ds:uri="6f2f78f1-91a5-4d68-8b46-c99d45c19e6d"/>
    <ds:schemaRef ds:uri="http://purl.org/dc/terms/"/>
    <ds:schemaRef ds:uri="http://schemas.openxmlformats.org/package/2006/metadata/core-properties"/>
    <ds:schemaRef ds:uri="http://schemas.microsoft.com/office/2006/documentManagement/types"/>
    <ds:schemaRef ds:uri="23ef38b6-7648-470d-b5e3-09395448522b"/>
    <ds:schemaRef ds:uri="http://www.w3.org/XML/1998/namespace"/>
    <ds:schemaRef ds:uri="http://purl.org/dc/dcmitype/"/>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800</Words>
  <Characters>4393</Characters>
  <Application>Microsoft Office Word</Application>
  <DocSecurity>0</DocSecurity>
  <Lines>36</Lines>
  <Paragraphs>10</Paragraphs>
  <ScaleCrop>false</ScaleCrop>
  <Company>ssa</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ACF PRA</cp:lastModifiedBy>
  <cp:revision>3</cp:revision>
  <cp:lastPrinted>2010-10-04T15:59:00Z</cp:lastPrinted>
  <dcterms:created xsi:type="dcterms:W3CDTF">2025-11-19T14:13:00Z</dcterms:created>
  <dcterms:modified xsi:type="dcterms:W3CDTF">2025-11-19T16:10:00Z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Description0">
    <vt:lpwstr/>
  </property>
  <property fmtid="{D5CDD505-2E9C-101B-9397-08002B2CF9AE}" pid="4" name="MediaServiceImageTags">
    <vt:lpwstr/>
  </property>
  <property fmtid="{D5CDD505-2E9C-101B-9397-08002B2CF9AE}" pid="5" name="_NewReviewCycle">
    <vt:lpwstr/>
  </property>
</Properties>
</file>