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005038" w:rsidP="00005038" w14:paraId="39336BB3" w14:textId="61B2B18B">
      <w:pPr>
        <w:tabs>
          <w:tab w:val="center" w:pos="4680"/>
        </w:tabs>
        <w:suppressAutoHyphens/>
        <w:jc w:val="center"/>
        <w:rPr>
          <w:rFonts w:ascii="Arial" w:hAnsi="Arial" w:cs="Arial"/>
          <w:b/>
          <w:bCs/>
          <w:sz w:val="36"/>
          <w:szCs w:val="36"/>
        </w:rPr>
      </w:pPr>
      <w:r w:rsidRPr="004F7B95">
        <w:rPr>
          <w:rFonts w:ascii="Times New Roman" w:hAnsi="Times New Roman"/>
          <w:sz w:val="24"/>
          <w:szCs w:val="24"/>
        </w:rPr>
        <w:tab/>
      </w:r>
      <w:r w:rsidRPr="00400F05" w:rsidR="00746492">
        <w:rPr>
          <w:rFonts w:ascii="Arial" w:eastAsia="Arial Unicode MS" w:hAnsi="Arial" w:cs="Arial"/>
          <w:b/>
          <w:bCs/>
          <w:noProof/>
          <w:sz w:val="36"/>
          <w:szCs w:val="36"/>
        </w:rPr>
        <w:t>Office of Refugee Resettlement (ORR) Services for Survivors of Torture (SOT) Program Data Points (PDP) and Performance Progress Reports (PPR)</w:t>
      </w: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21EBBEB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005038">
        <w:rPr>
          <w:rFonts w:ascii="Arial" w:hAnsi="Arial" w:cs="Arial"/>
          <w:color w:val="auto"/>
          <w:sz w:val="32"/>
          <w:szCs w:val="32"/>
        </w:rPr>
        <w:t>0599</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72B677FB">
      <w:pPr>
        <w:pStyle w:val="ReportCover-Date"/>
        <w:jc w:val="center"/>
        <w:rPr>
          <w:rFonts w:ascii="Arial" w:hAnsi="Arial" w:cs="Arial"/>
          <w:color w:val="auto"/>
        </w:rPr>
      </w:pPr>
      <w:r>
        <w:rPr>
          <w:rFonts w:ascii="Arial" w:hAnsi="Arial" w:cs="Arial"/>
          <w:color w:val="auto"/>
        </w:rPr>
        <w:t>February 2026</w:t>
      </w:r>
    </w:p>
    <w:p w:rsidR="00160621" w:rsidP="7B0E0B3A" w14:paraId="753A1E04" w14:textId="23E55AF2">
      <w:pPr>
        <w:jc w:val="center"/>
        <w:rPr>
          <w:rFonts w:ascii="Arial" w:hAnsi="Arial" w:cs="Arial"/>
          <w:b/>
          <w:bCs/>
          <w:sz w:val="32"/>
          <w:szCs w:val="32"/>
        </w:rPr>
      </w:pPr>
      <w:r w:rsidRPr="7B0E0B3A">
        <w:rPr>
          <w:rFonts w:ascii="Arial" w:hAnsi="Arial" w:cs="Arial"/>
          <w:b/>
          <w:bCs/>
          <w:sz w:val="32"/>
          <w:szCs w:val="32"/>
        </w:rPr>
        <w:t xml:space="preserve">Type of Request: </w:t>
      </w:r>
      <w:r w:rsidR="00F35FDF">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425A8ADE">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12574917">
      <w:pPr>
        <w:jc w:val="center"/>
        <w:rPr>
          <w:rFonts w:ascii="Arial" w:hAnsi="Arial" w:cs="Arial"/>
        </w:rPr>
      </w:pPr>
      <w:r>
        <w:rPr>
          <w:rFonts w:ascii="Arial" w:hAnsi="Arial" w:cs="Arial"/>
        </w:rPr>
        <w:t xml:space="preserve">Office </w:t>
      </w:r>
      <w:r w:rsidR="00AE1368">
        <w:rPr>
          <w:rFonts w:ascii="Arial" w:hAnsi="Arial" w:cs="Arial"/>
        </w:rPr>
        <w:t>of Refugee Resettl</w:t>
      </w:r>
      <w:r>
        <w:rPr>
          <w:rFonts w:ascii="Arial" w:hAnsi="Arial" w:cs="Arial"/>
        </w:rPr>
        <w:t>ement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CE3477" w:rsidRPr="006256EB" w:rsidP="00CE3477" w14:paraId="4E1BB357" w14:textId="6911ACC4">
      <w:pPr>
        <w:ind w:left="360"/>
        <w:rPr>
          <w:rFonts w:ascii="Times New Roman" w:hAnsi="Times New Roman"/>
          <w:snapToGrid/>
          <w:sz w:val="24"/>
          <w:szCs w:val="24"/>
        </w:rPr>
      </w:pPr>
      <w:r w:rsidRPr="004C7BA9">
        <w:rPr>
          <w:rFonts w:ascii="Times New Roman" w:hAnsi="Times New Roman"/>
          <w:snapToGrid/>
          <w:sz w:val="24"/>
          <w:szCs w:val="24"/>
        </w:rPr>
        <w:t xml:space="preserve">The Administration for Children and Families (ACF) Office of Refugee Resettlement (ORR) intends to </w:t>
      </w:r>
      <w:r w:rsidR="00CA458D">
        <w:rPr>
          <w:rFonts w:ascii="Times New Roman" w:hAnsi="Times New Roman"/>
          <w:snapToGrid/>
          <w:sz w:val="24"/>
          <w:szCs w:val="24"/>
        </w:rPr>
        <w:t xml:space="preserve">continue </w:t>
      </w:r>
      <w:r w:rsidRPr="004C7BA9">
        <w:rPr>
          <w:rFonts w:ascii="Times New Roman" w:hAnsi="Times New Roman"/>
          <w:snapToGrid/>
          <w:sz w:val="24"/>
          <w:szCs w:val="24"/>
        </w:rPr>
        <w:t>collect</w:t>
      </w:r>
      <w:r w:rsidR="00CA458D">
        <w:rPr>
          <w:rFonts w:ascii="Times New Roman" w:hAnsi="Times New Roman"/>
          <w:snapToGrid/>
          <w:sz w:val="24"/>
          <w:szCs w:val="24"/>
        </w:rPr>
        <w:t>ing</w:t>
      </w:r>
      <w:r w:rsidRPr="004C7BA9">
        <w:rPr>
          <w:rFonts w:ascii="Times New Roman" w:hAnsi="Times New Roman"/>
          <w:snapToGrid/>
          <w:sz w:val="24"/>
          <w:szCs w:val="24"/>
        </w:rPr>
        <w:t xml:space="preserve"> demographic, programmatic, and outcome data on Services for Survivors of Torture (SOT) grant recipients and the clients they serve. </w:t>
      </w:r>
      <w:r w:rsidR="00931393">
        <w:rPr>
          <w:rFonts w:ascii="Times New Roman" w:hAnsi="Times New Roman"/>
          <w:snapToGrid/>
          <w:sz w:val="24"/>
          <w:szCs w:val="24"/>
        </w:rPr>
        <w:t xml:space="preserve">ORR has made minor revisions to this </w:t>
      </w:r>
      <w:r w:rsidRPr="004C7BA9">
        <w:rPr>
          <w:rFonts w:ascii="Times New Roman" w:hAnsi="Times New Roman"/>
          <w:snapToGrid/>
          <w:sz w:val="24"/>
          <w:szCs w:val="24"/>
        </w:rPr>
        <w:t xml:space="preserve">collection of information </w:t>
      </w:r>
      <w:r>
        <w:rPr>
          <w:rFonts w:ascii="Times New Roman" w:hAnsi="Times New Roman"/>
          <w:snapToGrid/>
          <w:sz w:val="24"/>
          <w:szCs w:val="24"/>
        </w:rPr>
        <w:t>aimed at reducing burden and ensuring the data collection is limited to what is</w:t>
      </w:r>
      <w:r w:rsidRPr="004C7BA9" w:rsidR="004A785D">
        <w:rPr>
          <w:rFonts w:ascii="Times New Roman" w:hAnsi="Times New Roman"/>
          <w:snapToGrid/>
          <w:sz w:val="24"/>
          <w:szCs w:val="24"/>
        </w:rPr>
        <w:t xml:space="preserve"> </w:t>
      </w:r>
      <w:r w:rsidRPr="004C7BA9">
        <w:rPr>
          <w:rFonts w:ascii="Times New Roman" w:hAnsi="Times New Roman"/>
          <w:snapToGrid/>
          <w:sz w:val="24"/>
          <w:szCs w:val="24"/>
        </w:rPr>
        <w:t>necessary for</w:t>
      </w:r>
      <w:r w:rsidR="004317FF">
        <w:rPr>
          <w:rFonts w:ascii="Times New Roman" w:hAnsi="Times New Roman"/>
          <w:snapToGrid/>
          <w:sz w:val="24"/>
          <w:szCs w:val="24"/>
        </w:rPr>
        <w:t xml:space="preserve"> program oversight and </w:t>
      </w:r>
      <w:r w:rsidR="001D7633">
        <w:rPr>
          <w:rFonts w:ascii="Times New Roman" w:hAnsi="Times New Roman"/>
          <w:snapToGrid/>
          <w:sz w:val="24"/>
          <w:szCs w:val="24"/>
        </w:rPr>
        <w:t xml:space="preserve">to measure effectiveness. </w:t>
      </w:r>
      <w:r>
        <w:rPr>
          <w:rFonts w:ascii="Times New Roman" w:hAnsi="Times New Roman"/>
          <w:snapToGrid/>
          <w:sz w:val="24"/>
          <w:szCs w:val="24"/>
        </w:rPr>
        <w:t xml:space="preserve">Revisions include </w:t>
      </w:r>
      <w:r w:rsidRPr="006256EB">
        <w:rPr>
          <w:rFonts w:ascii="Times New Roman" w:hAnsi="Times New Roman"/>
          <w:snapToGrid/>
          <w:sz w:val="24"/>
          <w:szCs w:val="24"/>
        </w:rPr>
        <w:t>expand</w:t>
      </w:r>
      <w:r>
        <w:rPr>
          <w:rFonts w:ascii="Times New Roman" w:hAnsi="Times New Roman"/>
          <w:snapToGrid/>
          <w:sz w:val="24"/>
          <w:szCs w:val="24"/>
        </w:rPr>
        <w:t>ing</w:t>
      </w:r>
      <w:r w:rsidRPr="006256EB">
        <w:rPr>
          <w:rFonts w:ascii="Times New Roman" w:hAnsi="Times New Roman"/>
          <w:snapToGrid/>
          <w:sz w:val="24"/>
          <w:szCs w:val="24"/>
        </w:rPr>
        <w:t xml:space="preserve"> and clarif</w:t>
      </w:r>
      <w:r>
        <w:rPr>
          <w:rFonts w:ascii="Times New Roman" w:hAnsi="Times New Roman"/>
          <w:snapToGrid/>
          <w:sz w:val="24"/>
          <w:szCs w:val="24"/>
        </w:rPr>
        <w:t>ying</w:t>
      </w:r>
      <w:r w:rsidRPr="006256EB">
        <w:rPr>
          <w:rFonts w:ascii="Times New Roman" w:hAnsi="Times New Roman"/>
          <w:snapToGrid/>
          <w:sz w:val="24"/>
          <w:szCs w:val="24"/>
        </w:rPr>
        <w:t xml:space="preserve"> reporting guidance</w:t>
      </w:r>
      <w:r w:rsidR="00B84EBE">
        <w:rPr>
          <w:rFonts w:ascii="Times New Roman" w:hAnsi="Times New Roman"/>
          <w:snapToGrid/>
          <w:sz w:val="24"/>
          <w:szCs w:val="24"/>
        </w:rPr>
        <w:t xml:space="preserve"> and </w:t>
      </w:r>
      <w:r w:rsidRPr="006971DA" w:rsidR="00B84EBE">
        <w:rPr>
          <w:rFonts w:ascii="Times New Roman" w:hAnsi="Times New Roman"/>
          <w:snapToGrid/>
          <w:sz w:val="24"/>
          <w:szCs w:val="24"/>
        </w:rPr>
        <w:t>removing some subcategories for demographic</w:t>
      </w:r>
      <w:r w:rsidR="00117805">
        <w:rPr>
          <w:rFonts w:ascii="Times New Roman" w:hAnsi="Times New Roman"/>
          <w:snapToGrid/>
          <w:sz w:val="24"/>
          <w:szCs w:val="24"/>
        </w:rPr>
        <w:t xml:space="preserve"> and program indicators</w:t>
      </w:r>
      <w:r w:rsidR="000F1C03">
        <w:rPr>
          <w:rFonts w:ascii="Times New Roman" w:hAnsi="Times New Roman"/>
          <w:snapToGrid/>
          <w:sz w:val="24"/>
          <w:szCs w:val="24"/>
        </w:rPr>
        <w:t xml:space="preserve"> which</w:t>
      </w:r>
      <w:r w:rsidR="00641D83">
        <w:rPr>
          <w:rFonts w:ascii="Times New Roman" w:hAnsi="Times New Roman"/>
          <w:snapToGrid/>
          <w:sz w:val="24"/>
          <w:szCs w:val="24"/>
        </w:rPr>
        <w:t xml:space="preserve"> </w:t>
      </w:r>
      <w:r w:rsidR="005D4B40">
        <w:rPr>
          <w:rFonts w:ascii="Times New Roman" w:hAnsi="Times New Roman"/>
          <w:snapToGrid/>
          <w:sz w:val="24"/>
          <w:szCs w:val="24"/>
        </w:rPr>
        <w:t>are not used by the program office</w:t>
      </w:r>
      <w:r w:rsidRPr="006256EB">
        <w:rPr>
          <w:rFonts w:ascii="Times New Roman" w:hAnsi="Times New Roman"/>
          <w:snapToGrid/>
          <w:sz w:val="24"/>
          <w:szCs w:val="24"/>
        </w:rPr>
        <w:t xml:space="preserve">. </w:t>
      </w:r>
    </w:p>
    <w:p w:rsidR="00CE3477" w:rsidP="004C7BA9" w14:paraId="1F0F9FED" w14:textId="77777777">
      <w:pPr>
        <w:widowControl/>
        <w:tabs>
          <w:tab w:val="num" w:pos="360"/>
        </w:tabs>
        <w:ind w:left="360"/>
        <w:rPr>
          <w:rFonts w:ascii="Times New Roman" w:hAnsi="Times New Roman"/>
          <w:snapToGrid/>
          <w:sz w:val="24"/>
          <w:szCs w:val="24"/>
        </w:rPr>
      </w:pPr>
    </w:p>
    <w:p w:rsidR="004C7BA9" w:rsidRPr="004C7BA9" w:rsidP="004C7BA9" w14:paraId="21BB5A11" w14:textId="131B72CB">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 </w:t>
      </w:r>
      <w:r w:rsidR="00FE4CA7">
        <w:rPr>
          <w:rFonts w:ascii="Times New Roman" w:hAnsi="Times New Roman"/>
          <w:snapToGrid/>
          <w:sz w:val="24"/>
          <w:szCs w:val="24"/>
        </w:rPr>
        <w:t>The information collection</w:t>
      </w:r>
      <w:r w:rsidRPr="004C7BA9">
        <w:rPr>
          <w:rFonts w:ascii="Times New Roman" w:hAnsi="Times New Roman"/>
          <w:snapToGrid/>
          <w:sz w:val="24"/>
          <w:szCs w:val="24"/>
        </w:rPr>
        <w:t xml:space="preserve"> is authorized under Section 5(a) of the "Torture Victims Relief Act of 1998," Pub. L. 105-320 (22 U.S.C. § 2152 note) Assistance for Treatment of Torture Victims.  </w:t>
      </w:r>
    </w:p>
    <w:p w:rsidR="00790D2C" w:rsidRPr="004F7B95" w:rsidP="00D7443D" w14:paraId="6A4D4BDD" w14:textId="77777777">
      <w:pPr>
        <w:widowControl/>
        <w:tabs>
          <w:tab w:val="num" w:pos="360"/>
        </w:tabs>
        <w:ind w:left="360"/>
        <w:rPr>
          <w:rFonts w:ascii="Times New Roman" w:hAnsi="Times New Roman"/>
          <w:snapToGrid/>
          <w:sz w:val="24"/>
          <w:szCs w:val="24"/>
        </w:rPr>
      </w:pPr>
    </w:p>
    <w:p w:rsidR="002C3C4F" w:rsidRPr="00075889" w:rsidP="235231AB" w14:paraId="3264479C" w14:textId="77777777">
      <w:pPr>
        <w:widowControl/>
        <w:numPr>
          <w:ilvl w:val="0"/>
          <w:numId w:val="3"/>
        </w:numPr>
        <w:tabs>
          <w:tab w:val="num" w:pos="360"/>
        </w:tabs>
        <w:spacing w:after="120"/>
        <w:ind w:left="360"/>
        <w:rPr>
          <w:rFonts w:ascii="Times New Roman" w:hAnsi="Times New Roman"/>
          <w:b/>
          <w:bCs/>
          <w:snapToGrid/>
          <w:sz w:val="24"/>
          <w:szCs w:val="24"/>
        </w:rPr>
      </w:pPr>
      <w:r w:rsidRPr="235231AB">
        <w:rPr>
          <w:rFonts w:ascii="Times New Roman" w:hAnsi="Times New Roman"/>
          <w:b/>
          <w:bCs/>
          <w:snapToGrid/>
          <w:sz w:val="24"/>
          <w:szCs w:val="24"/>
        </w:rPr>
        <w:t>P</w:t>
      </w:r>
      <w:r w:rsidRPr="235231AB">
        <w:rPr>
          <w:rFonts w:ascii="Times New Roman" w:hAnsi="Times New Roman"/>
          <w:b/>
          <w:bCs/>
          <w:snapToGrid/>
          <w:sz w:val="24"/>
          <w:szCs w:val="24"/>
        </w:rPr>
        <w:t xml:space="preserve">urpose and Use of the Information Collection </w:t>
      </w:r>
    </w:p>
    <w:p w:rsidR="00790D2C" w:rsidP="00D7443D" w14:paraId="4C1BFBD8" w14:textId="60391FF9">
      <w:pPr>
        <w:widowControl/>
        <w:tabs>
          <w:tab w:val="num" w:pos="360"/>
        </w:tabs>
        <w:ind w:left="360"/>
        <w:rPr>
          <w:rFonts w:ascii="Times New Roman" w:hAnsi="Times New Roman"/>
          <w:snapToGrid/>
          <w:sz w:val="24"/>
          <w:szCs w:val="24"/>
        </w:rPr>
      </w:pPr>
      <w:r w:rsidRPr="00664BBD">
        <w:rPr>
          <w:rFonts w:ascii="Times New Roman" w:hAnsi="Times New Roman"/>
          <w:snapToGrid/>
          <w:sz w:val="24"/>
          <w:szCs w:val="24"/>
        </w:rPr>
        <w:t>Grant recipients submit aggregated data on new and continuing clients annually, including demographic information, characteristics related to experiences of torture, services received, and well-being across s</w:t>
      </w:r>
      <w:r w:rsidR="00AE4103">
        <w:rPr>
          <w:rFonts w:ascii="Times New Roman" w:hAnsi="Times New Roman"/>
          <w:snapToGrid/>
          <w:sz w:val="24"/>
          <w:szCs w:val="24"/>
        </w:rPr>
        <w:t>even</w:t>
      </w:r>
      <w:r w:rsidRPr="00664BBD">
        <w:rPr>
          <w:rFonts w:ascii="Times New Roman" w:hAnsi="Times New Roman"/>
          <w:snapToGrid/>
          <w:sz w:val="24"/>
          <w:szCs w:val="24"/>
        </w:rPr>
        <w:t xml:space="preserve"> outcome domains. Grant recipients also provide information about community attendance at trainings and pro-bono services donated to the program. This data collection allow</w:t>
      </w:r>
      <w:r w:rsidR="004A785D">
        <w:rPr>
          <w:rFonts w:ascii="Times New Roman" w:hAnsi="Times New Roman"/>
          <w:snapToGrid/>
          <w:sz w:val="24"/>
          <w:szCs w:val="24"/>
        </w:rPr>
        <w:t>s</w:t>
      </w:r>
      <w:r w:rsidRPr="00664BBD">
        <w:rPr>
          <w:rFonts w:ascii="Times New Roman" w:hAnsi="Times New Roman"/>
          <w:snapToGrid/>
          <w:sz w:val="24"/>
          <w:szCs w:val="24"/>
        </w:rPr>
        <w:t xml:space="preserve"> ORR to learn more about the populations served by SOT grant recipients; the types and effectiveness of services provided; methods, challenges, and facilitators of implementing services; and grant recipients’ progress towards programmatic goals. The data collected also</w:t>
      </w:r>
      <w:r w:rsidR="00FF7EBD">
        <w:rPr>
          <w:rFonts w:ascii="Times New Roman" w:hAnsi="Times New Roman"/>
          <w:snapToGrid/>
          <w:sz w:val="24"/>
          <w:szCs w:val="24"/>
        </w:rPr>
        <w:t xml:space="preserve"> inform</w:t>
      </w:r>
      <w:r w:rsidR="004A785D">
        <w:rPr>
          <w:rFonts w:ascii="Times New Roman" w:hAnsi="Times New Roman"/>
          <w:snapToGrid/>
          <w:sz w:val="24"/>
          <w:szCs w:val="24"/>
        </w:rPr>
        <w:t>s</w:t>
      </w:r>
      <w:r w:rsidR="00FF7EBD">
        <w:rPr>
          <w:rFonts w:ascii="Times New Roman" w:hAnsi="Times New Roman"/>
          <w:snapToGrid/>
          <w:sz w:val="24"/>
          <w:szCs w:val="24"/>
        </w:rPr>
        <w:t xml:space="preserve"> </w:t>
      </w:r>
      <w:r w:rsidRPr="00664BBD">
        <w:rPr>
          <w:rFonts w:ascii="Times New Roman" w:hAnsi="Times New Roman"/>
          <w:snapToGrid/>
          <w:sz w:val="24"/>
          <w:szCs w:val="24"/>
        </w:rPr>
        <w:t xml:space="preserve">technical assistance </w:t>
      </w:r>
      <w:r w:rsidR="00FF7EBD">
        <w:rPr>
          <w:rFonts w:ascii="Times New Roman" w:hAnsi="Times New Roman"/>
          <w:snapToGrid/>
          <w:sz w:val="24"/>
          <w:szCs w:val="24"/>
        </w:rPr>
        <w:t xml:space="preserve">activities </w:t>
      </w:r>
      <w:r w:rsidR="00E6531C">
        <w:rPr>
          <w:rFonts w:ascii="Times New Roman" w:hAnsi="Times New Roman"/>
          <w:snapToGrid/>
          <w:sz w:val="24"/>
          <w:szCs w:val="24"/>
        </w:rPr>
        <w:t xml:space="preserve">for </w:t>
      </w:r>
      <w:r w:rsidRPr="00664BBD">
        <w:rPr>
          <w:rFonts w:ascii="Times New Roman" w:hAnsi="Times New Roman"/>
          <w:snapToGrid/>
          <w:sz w:val="24"/>
          <w:szCs w:val="24"/>
        </w:rPr>
        <w:t xml:space="preserve">grant recipients. A summary of the information collected </w:t>
      </w:r>
      <w:r w:rsidR="004A785D">
        <w:rPr>
          <w:rFonts w:ascii="Times New Roman" w:hAnsi="Times New Roman"/>
          <w:snapToGrid/>
          <w:sz w:val="24"/>
          <w:szCs w:val="24"/>
        </w:rPr>
        <w:t xml:space="preserve">is and </w:t>
      </w:r>
      <w:r w:rsidRPr="00664BBD">
        <w:rPr>
          <w:rFonts w:ascii="Times New Roman" w:hAnsi="Times New Roman"/>
          <w:snapToGrid/>
          <w:sz w:val="24"/>
          <w:szCs w:val="24"/>
        </w:rPr>
        <w:t>will</w:t>
      </w:r>
      <w:r w:rsidR="004A785D">
        <w:rPr>
          <w:rFonts w:ascii="Times New Roman" w:hAnsi="Times New Roman"/>
          <w:snapToGrid/>
          <w:sz w:val="24"/>
          <w:szCs w:val="24"/>
        </w:rPr>
        <w:t xml:space="preserve"> continue to</w:t>
      </w:r>
      <w:r w:rsidRPr="00664BBD">
        <w:rPr>
          <w:rFonts w:ascii="Times New Roman" w:hAnsi="Times New Roman"/>
          <w:snapToGrid/>
          <w:sz w:val="24"/>
          <w:szCs w:val="24"/>
        </w:rPr>
        <w:t xml:space="preserve"> be used by ORR in reports to stakeholders, including a required report to Congress, and in </w:t>
      </w:r>
      <w:r w:rsidR="000F1C03">
        <w:rPr>
          <w:rFonts w:ascii="Times New Roman" w:hAnsi="Times New Roman"/>
          <w:snapToGrid/>
          <w:sz w:val="24"/>
          <w:szCs w:val="24"/>
        </w:rPr>
        <w:t xml:space="preserve">support of </w:t>
      </w:r>
      <w:r w:rsidRPr="00664BBD">
        <w:rPr>
          <w:rFonts w:ascii="Times New Roman" w:hAnsi="Times New Roman"/>
          <w:snapToGrid/>
          <w:sz w:val="24"/>
          <w:szCs w:val="24"/>
        </w:rPr>
        <w:t xml:space="preserve">funding requests.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C90589" w:rsidRPr="00C90589" w:rsidP="00C90589" w14:paraId="5A7C9059" w14:textId="5CA253A2">
      <w:pPr>
        <w:widowControl/>
        <w:tabs>
          <w:tab w:val="num" w:pos="360"/>
        </w:tabs>
        <w:ind w:left="360"/>
        <w:rPr>
          <w:rFonts w:ascii="Times New Roman" w:hAnsi="Times New Roman"/>
          <w:snapToGrid/>
          <w:sz w:val="24"/>
          <w:szCs w:val="24"/>
        </w:rPr>
      </w:pPr>
      <w:r w:rsidRPr="00C90589">
        <w:rPr>
          <w:rFonts w:ascii="Times New Roman" w:hAnsi="Times New Roman"/>
          <w:snapToGrid/>
          <w:sz w:val="24"/>
          <w:szCs w:val="24"/>
        </w:rPr>
        <w:t>PDPs: Data entry for PDPs takes place in the ORR Refugee Arrivals Data System (RADS), an information technology platform used for enhanced data collection and record keeping. To facilitate data entry, ORR provide</w:t>
      </w:r>
      <w:r w:rsidR="00135732">
        <w:rPr>
          <w:rFonts w:ascii="Times New Roman" w:hAnsi="Times New Roman"/>
          <w:snapToGrid/>
          <w:sz w:val="24"/>
          <w:szCs w:val="24"/>
        </w:rPr>
        <w:t>s</w:t>
      </w:r>
      <w:r w:rsidRPr="00C90589">
        <w:rPr>
          <w:rFonts w:ascii="Times New Roman" w:hAnsi="Times New Roman"/>
          <w:snapToGrid/>
          <w:sz w:val="24"/>
          <w:szCs w:val="24"/>
        </w:rPr>
        <w:t xml:space="preserve"> an optional tracking spreadsheet where grant recipients can enter individual client information and produce an aggregated report to enter into RADS. </w:t>
      </w:r>
    </w:p>
    <w:p w:rsidR="00C90589" w:rsidRPr="00C90589" w:rsidP="00C90589" w14:paraId="77BA8689" w14:textId="77777777">
      <w:pPr>
        <w:widowControl/>
        <w:tabs>
          <w:tab w:val="num" w:pos="360"/>
        </w:tabs>
        <w:ind w:left="360"/>
        <w:rPr>
          <w:rFonts w:ascii="Times New Roman" w:hAnsi="Times New Roman"/>
          <w:snapToGrid/>
          <w:sz w:val="24"/>
          <w:szCs w:val="24"/>
        </w:rPr>
      </w:pPr>
    </w:p>
    <w:p w:rsidR="00D60543" w:rsidRPr="004F7B95" w:rsidP="00F17811" w14:paraId="5F5541A7" w14:textId="2887D717">
      <w:pPr>
        <w:widowControl/>
        <w:tabs>
          <w:tab w:val="num" w:pos="360"/>
        </w:tabs>
        <w:ind w:left="360"/>
        <w:rPr>
          <w:rFonts w:ascii="Times New Roman" w:hAnsi="Times New Roman"/>
          <w:snapToGrid/>
          <w:sz w:val="24"/>
          <w:szCs w:val="24"/>
        </w:rPr>
      </w:pPr>
      <w:r w:rsidRPr="00C90589">
        <w:rPr>
          <w:rFonts w:ascii="Times New Roman" w:hAnsi="Times New Roman"/>
          <w:snapToGrid/>
          <w:sz w:val="24"/>
          <w:szCs w:val="24"/>
        </w:rPr>
        <w:t xml:space="preserve">PPRs: PPRs are primarily narrative reports on grant recipients’ progress towards their goals and are formatted as Word documents or PDFs. Grant recipients submit PPRs to ORR by uploading their files to GrantSolutions, an internet portal.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64082C42" w14:textId="49AEA242">
      <w:pPr>
        <w:widowControl/>
        <w:tabs>
          <w:tab w:val="num" w:pos="360"/>
        </w:tabs>
        <w:ind w:left="360"/>
        <w:rPr>
          <w:rFonts w:ascii="Times New Roman" w:hAnsi="Times New Roman"/>
          <w:snapToGrid/>
          <w:sz w:val="24"/>
          <w:szCs w:val="24"/>
        </w:rPr>
      </w:pPr>
      <w:r w:rsidRPr="006971DA">
        <w:rPr>
          <w:rFonts w:ascii="Times New Roman" w:hAnsi="Times New Roman"/>
          <w:snapToGrid/>
          <w:sz w:val="24"/>
          <w:szCs w:val="24"/>
        </w:rPr>
        <w:t xml:space="preserve">This is a revised data collection for the cohort of SOT grant recipients. ORR is the funding agency for the SOT program and as such is the only agency collecting program-specific information of this kind from the grant recipients.  </w:t>
      </w:r>
    </w:p>
    <w:p w:rsidR="00022586" w:rsidRPr="004F7B95" w:rsidP="00AD5665" w14:paraId="3A8002CC" w14:textId="77777777">
      <w:pPr>
        <w:widowControl/>
        <w:tabs>
          <w:tab w:val="num" w:pos="360"/>
        </w:tabs>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6256EB" w:rsidRPr="006256EB" w:rsidP="006256EB" w14:paraId="3A8D7276" w14:textId="6626903D">
      <w:pPr>
        <w:ind w:left="360"/>
        <w:rPr>
          <w:rFonts w:ascii="Times New Roman" w:hAnsi="Times New Roman"/>
          <w:snapToGrid/>
          <w:sz w:val="24"/>
          <w:szCs w:val="24"/>
        </w:rPr>
      </w:pPr>
      <w:r w:rsidRPr="006256EB">
        <w:rPr>
          <w:rFonts w:ascii="Times New Roman" w:hAnsi="Times New Roman"/>
          <w:snapToGrid/>
          <w:sz w:val="24"/>
          <w:szCs w:val="24"/>
        </w:rPr>
        <w:t xml:space="preserve">Respondents are recipients of a Services for SOT grant and may include some </w:t>
      </w:r>
      <w:r>
        <w:rPr>
          <w:rFonts w:ascii="Times New Roman" w:hAnsi="Times New Roman"/>
          <w:snapToGrid/>
          <w:sz w:val="24"/>
          <w:szCs w:val="24"/>
        </w:rPr>
        <w:t>s</w:t>
      </w:r>
      <w:r w:rsidRPr="006256EB">
        <w:rPr>
          <w:rFonts w:ascii="Times New Roman" w:hAnsi="Times New Roman"/>
          <w:snapToGrid/>
          <w:sz w:val="24"/>
          <w:szCs w:val="24"/>
        </w:rPr>
        <w:t xml:space="preserve">mall </w:t>
      </w:r>
      <w:r>
        <w:rPr>
          <w:rFonts w:ascii="Times New Roman" w:hAnsi="Times New Roman"/>
          <w:snapToGrid/>
          <w:sz w:val="24"/>
          <w:szCs w:val="24"/>
        </w:rPr>
        <w:t>e</w:t>
      </w:r>
      <w:r w:rsidRPr="006256EB">
        <w:rPr>
          <w:rFonts w:ascii="Times New Roman" w:hAnsi="Times New Roman"/>
          <w:snapToGrid/>
          <w:sz w:val="24"/>
          <w:szCs w:val="24"/>
        </w:rPr>
        <w:t xml:space="preserve">ntities as grant recipients are comprised of non-profit social service, health, and higher education organizations, states, municipalities, and for-profit organizations. </w:t>
      </w:r>
      <w:r w:rsidR="00B84EBE">
        <w:rPr>
          <w:rFonts w:ascii="Times New Roman" w:hAnsi="Times New Roman"/>
          <w:snapToGrid/>
          <w:sz w:val="24"/>
          <w:szCs w:val="24"/>
        </w:rPr>
        <w:t xml:space="preserve">ORR has </w:t>
      </w:r>
      <w:r w:rsidR="00B84EBE">
        <w:rPr>
          <w:rFonts w:ascii="Times New Roman" w:hAnsi="Times New Roman"/>
          <w:snapToGrid/>
          <w:sz w:val="24"/>
          <w:szCs w:val="24"/>
        </w:rPr>
        <w:t>made revisions to</w:t>
      </w:r>
      <w:r w:rsidR="00B84EBE">
        <w:rPr>
          <w:rFonts w:ascii="Times New Roman" w:hAnsi="Times New Roman"/>
          <w:snapToGrid/>
          <w:sz w:val="24"/>
          <w:szCs w:val="24"/>
        </w:rPr>
        <w:t xml:space="preserve"> reduce burden on grant recipients, as described in A12. </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3BFCAFD">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Information Less Frequently </w:t>
      </w:r>
    </w:p>
    <w:p w:rsidR="00D60543" w:rsidP="003B176D" w14:paraId="2A0F47DE" w14:textId="5B8BF456">
      <w:pPr>
        <w:widowControl/>
        <w:tabs>
          <w:tab w:val="num" w:pos="360"/>
        </w:tabs>
        <w:ind w:left="360"/>
        <w:rPr>
          <w:rFonts w:ascii="Times New Roman" w:hAnsi="Times New Roman"/>
          <w:snapToGrid/>
          <w:sz w:val="24"/>
          <w:szCs w:val="24"/>
        </w:rPr>
      </w:pPr>
      <w:r w:rsidRPr="003B176D">
        <w:rPr>
          <w:rFonts w:ascii="Times New Roman" w:hAnsi="Times New Roman"/>
          <w:snapToGrid/>
          <w:sz w:val="24"/>
          <w:szCs w:val="24"/>
        </w:rPr>
        <w:t>SOT grant recipients receive five-year awards, and PDP reporting occurs at the end of each fiscal year while PPR reporting occurs at mid-year and at the end of each fiscal year</w:t>
      </w:r>
      <w:r w:rsidR="000D47BF">
        <w:rPr>
          <w:rFonts w:ascii="Times New Roman" w:hAnsi="Times New Roman"/>
          <w:snapToGrid/>
          <w:sz w:val="24"/>
          <w:szCs w:val="24"/>
        </w:rPr>
        <w:t>, with the exception of the PPR</w:t>
      </w:r>
      <w:r w:rsidR="00A5573B">
        <w:rPr>
          <w:rFonts w:ascii="Times New Roman" w:hAnsi="Times New Roman"/>
          <w:snapToGrid/>
          <w:sz w:val="24"/>
          <w:szCs w:val="24"/>
        </w:rPr>
        <w:t>-B Program Metrics which is collected annually</w:t>
      </w:r>
      <w:r w:rsidRPr="003B176D">
        <w:rPr>
          <w:rFonts w:ascii="Times New Roman" w:hAnsi="Times New Roman"/>
          <w:snapToGrid/>
          <w:sz w:val="24"/>
          <w:szCs w:val="24"/>
        </w:rPr>
        <w:t>. Not collecting this information or collecting this information less frequently would compromise ORR’s ability to assess the performance of the SOT program, track how grant recipients are using government funds, the demographic information of the clients, and the outputs and outcomes of the program.</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9C2DE1" w:rsidP="00022586" w14:paraId="2936D2FA" w14:textId="49E604CF">
      <w:pPr>
        <w:widowControl/>
        <w:tabs>
          <w:tab w:val="num" w:pos="360"/>
        </w:tabs>
        <w:ind w:left="360"/>
        <w:rPr>
          <w:rFonts w:ascii="Times New Roman" w:hAnsi="Times New Roman"/>
          <w:snapToGrid/>
          <w:sz w:val="24"/>
          <w:szCs w:val="24"/>
        </w:rPr>
      </w:pPr>
      <w:r w:rsidRPr="00FF2559">
        <w:rPr>
          <w:rFonts w:ascii="Times New Roman" w:hAnsi="Times New Roman"/>
          <w:snapToGrid/>
          <w:sz w:val="24"/>
          <w:szCs w:val="24"/>
        </w:rPr>
        <w:t>The special circumstances listed under 5 CFR 1320.5 are not applicable to this collection of information</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2908B3B1" w14:paraId="016A1F70" w14:textId="0C0D028A">
      <w:pPr>
        <w:tabs>
          <w:tab w:val="num" w:pos="360"/>
        </w:tabs>
        <w:ind w:left="360"/>
        <w:rPr>
          <w:rFonts w:ascii="Times New Roman" w:hAnsi="Times New Roman"/>
          <w:sz w:val="24"/>
          <w:szCs w:val="24"/>
          <w:highlight w:val="green"/>
        </w:rPr>
      </w:pPr>
      <w:r w:rsidRPr="2908B3B1">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842589">
        <w:rPr>
          <w:rFonts w:ascii="Times New Roman" w:hAnsi="Times New Roman"/>
          <w:sz w:val="24"/>
          <w:szCs w:val="24"/>
        </w:rPr>
        <w:t xml:space="preserve">December 18, 2025 </w:t>
      </w:r>
      <w:r w:rsidRPr="2908B3B1" w:rsidR="4944AE1E">
        <w:rPr>
          <w:rFonts w:ascii="Times New Roman" w:hAnsi="Times New Roman"/>
          <w:sz w:val="24"/>
          <w:szCs w:val="24"/>
        </w:rPr>
        <w:t>(</w:t>
      </w:r>
      <w:r w:rsidR="00842589">
        <w:rPr>
          <w:rFonts w:ascii="Times New Roman" w:hAnsi="Times New Roman"/>
          <w:sz w:val="24"/>
          <w:szCs w:val="24"/>
        </w:rPr>
        <w:t>90</w:t>
      </w:r>
      <w:r w:rsidRPr="2908B3B1" w:rsidR="2B0F2214">
        <w:rPr>
          <w:rFonts w:ascii="Times New Roman" w:hAnsi="Times New Roman"/>
          <w:sz w:val="24"/>
          <w:szCs w:val="24"/>
        </w:rPr>
        <w:t xml:space="preserve"> FR</w:t>
      </w:r>
      <w:r w:rsidRPr="2908B3B1">
        <w:rPr>
          <w:rFonts w:ascii="Times New Roman" w:hAnsi="Times New Roman"/>
          <w:sz w:val="24"/>
          <w:szCs w:val="24"/>
        </w:rPr>
        <w:t xml:space="preserve"> </w:t>
      </w:r>
      <w:r w:rsidR="00842589">
        <w:rPr>
          <w:rFonts w:ascii="Times New Roman" w:hAnsi="Times New Roman"/>
          <w:sz w:val="24"/>
          <w:szCs w:val="24"/>
        </w:rPr>
        <w:t>59126</w:t>
      </w:r>
      <w:r w:rsidRPr="2908B3B1" w:rsidR="3C79C695">
        <w:rPr>
          <w:rFonts w:ascii="Times New Roman" w:hAnsi="Times New Roman"/>
          <w:sz w:val="24"/>
          <w:szCs w:val="24"/>
        </w:rPr>
        <w:t>)</w:t>
      </w:r>
      <w:r w:rsidRPr="2908B3B1">
        <w:rPr>
          <w:rFonts w:ascii="Times New Roman" w:hAnsi="Times New Roman"/>
          <w:sz w:val="24"/>
          <w:szCs w:val="24"/>
        </w:rPr>
        <w:t xml:space="preserve"> and provided a sixty-day period for public comment.  During the notice and comment period, </w:t>
      </w:r>
      <w:r w:rsidRPr="00D356D3" w:rsidR="00D356D3">
        <w:rPr>
          <w:rFonts w:ascii="Times New Roman" w:hAnsi="Times New Roman"/>
          <w:sz w:val="24"/>
          <w:szCs w:val="24"/>
        </w:rPr>
        <w:t>w</w:t>
      </w:r>
      <w:r w:rsidRPr="00D356D3">
        <w:rPr>
          <w:rFonts w:ascii="Times New Roman" w:hAnsi="Times New Roman"/>
          <w:sz w:val="24"/>
          <w:szCs w:val="24"/>
        </w:rPr>
        <w:t>e did not receive comments.</w:t>
      </w:r>
      <w:r w:rsidRPr="2908B3B1">
        <w:rPr>
          <w:rFonts w:ascii="Times New Roman" w:hAnsi="Times New Roman"/>
          <w:sz w:val="24"/>
          <w:szCs w:val="24"/>
        </w:rPr>
        <w:t xml:space="preserve"> </w:t>
      </w:r>
    </w:p>
    <w:p w:rsidR="009C2DE1" w:rsidRPr="004F7B95" w:rsidP="2908B3B1" w14:paraId="5F44B472" w14:textId="77777777">
      <w:pPr>
        <w:widowControl/>
        <w:tabs>
          <w:tab w:val="num" w:pos="360"/>
        </w:tabs>
        <w:ind w:left="360"/>
        <w:rPr>
          <w:rFonts w:ascii="Times New Roman" w:hAnsi="Times New Roman"/>
          <w:snapToGrid/>
          <w:sz w:val="24"/>
          <w:szCs w:val="24"/>
          <w:highlight w:val="green"/>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B1A12" w:rsidP="00022586" w14:paraId="533734B7" w14:textId="76417BBD">
      <w:pPr>
        <w:widowControl/>
        <w:tabs>
          <w:tab w:val="num" w:pos="360"/>
        </w:tabs>
        <w:ind w:left="360"/>
        <w:rPr>
          <w:rFonts w:ascii="Times New Roman" w:hAnsi="Times New Roman"/>
          <w:snapToGrid/>
          <w:sz w:val="24"/>
          <w:szCs w:val="24"/>
        </w:rPr>
      </w:pPr>
      <w:r w:rsidRPr="00BF42C5">
        <w:rPr>
          <w:rFonts w:ascii="Times New Roman" w:hAnsi="Times New Roman"/>
          <w:snapToGrid/>
          <w:sz w:val="24"/>
          <w:szCs w:val="24"/>
        </w:rPr>
        <w:t xml:space="preserve">No payment or gift will be provided </w:t>
      </w:r>
      <w:r w:rsidRPr="00BF42C5">
        <w:rPr>
          <w:rFonts w:ascii="Times New Roman" w:hAnsi="Times New Roman"/>
          <w:snapToGrid/>
          <w:sz w:val="24"/>
          <w:szCs w:val="24"/>
        </w:rPr>
        <w:t>to</w:t>
      </w:r>
      <w:r w:rsidRPr="00BF42C5">
        <w:rPr>
          <w:rFonts w:ascii="Times New Roman" w:hAnsi="Times New Roman"/>
          <w:snapToGrid/>
          <w:sz w:val="24"/>
          <w:szCs w:val="24"/>
        </w:rPr>
        <w:t xml:space="preserve"> respondents. Completing this collection of information is a condition of the SOT grant award.</w:t>
      </w:r>
    </w:p>
    <w:p w:rsidR="00D60543" w:rsidP="00022586" w14:paraId="07EE3689" w14:textId="77777777">
      <w:pPr>
        <w:widowControl/>
        <w:tabs>
          <w:tab w:val="num" w:pos="360"/>
        </w:tabs>
        <w:ind w:left="360"/>
        <w:rPr>
          <w:rFonts w:ascii="Times New Roman" w:hAnsi="Times New Roman"/>
          <w:snapToGrid/>
          <w:sz w:val="24"/>
          <w:szCs w:val="24"/>
        </w:rPr>
      </w:pPr>
    </w:p>
    <w:p w:rsidR="002C3C4F" w:rsidRPr="004E699C" w:rsidP="0052310C" w14:paraId="4874FACA" w14:textId="77777777">
      <w:pPr>
        <w:widowControl/>
        <w:numPr>
          <w:ilvl w:val="0"/>
          <w:numId w:val="3"/>
        </w:numPr>
        <w:tabs>
          <w:tab w:val="num" w:pos="360"/>
        </w:tabs>
        <w:spacing w:after="24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A04EF3" w:rsidP="0052310C" w14:paraId="4AC5F4AB" w14:textId="144B1EFC">
      <w:pPr>
        <w:widowControl/>
        <w:tabs>
          <w:tab w:val="num" w:pos="360"/>
        </w:tabs>
        <w:ind w:left="360"/>
        <w:rPr>
          <w:rFonts w:ascii="Times New Roman" w:hAnsi="Times New Roman"/>
          <w:snapToGrid/>
          <w:sz w:val="24"/>
          <w:szCs w:val="24"/>
        </w:rPr>
      </w:pPr>
      <w:r w:rsidRPr="004E699C">
        <w:rPr>
          <w:rFonts w:ascii="Times New Roman" w:hAnsi="Times New Roman"/>
          <w:snapToGrid/>
          <w:sz w:val="24"/>
          <w:szCs w:val="24"/>
        </w:rPr>
        <w:t xml:space="preserve">No assurance of confidentiality is provided, but ORR makes best efforts to maintain the privacy of all records. This information collection does not include client-level identifiable information but grant recipients and some grantee staff may be named.  </w:t>
      </w:r>
    </w:p>
    <w:p w:rsidR="00177E2A" w:rsidP="0052310C" w14:paraId="62C5AB99" w14:textId="77777777">
      <w:pPr>
        <w:widowControl/>
        <w:tabs>
          <w:tab w:val="num" w:pos="360"/>
        </w:tabs>
        <w:ind w:left="360"/>
        <w:rPr>
          <w:rFonts w:ascii="Times New Roman" w:hAnsi="Times New Roman"/>
          <w:snapToGrid/>
          <w:sz w:val="24"/>
          <w:szCs w:val="24"/>
        </w:rPr>
      </w:pPr>
    </w:p>
    <w:p w:rsidR="00D356D3" w:rsidP="0052310C" w14:paraId="726FFEB8" w14:textId="77777777">
      <w:pPr>
        <w:widowControl/>
        <w:tabs>
          <w:tab w:val="num" w:pos="360"/>
        </w:tabs>
        <w:ind w:left="360"/>
        <w:rPr>
          <w:rFonts w:ascii="Times New Roman" w:hAnsi="Times New Roman"/>
          <w:snapToGrid/>
          <w:sz w:val="24"/>
          <w:szCs w:val="24"/>
        </w:rPr>
      </w:pPr>
    </w:p>
    <w:p w:rsidR="00D356D3" w:rsidP="0052310C" w14:paraId="061B9541" w14:textId="77777777">
      <w:pPr>
        <w:widowControl/>
        <w:tabs>
          <w:tab w:val="num" w:pos="360"/>
        </w:tabs>
        <w:ind w:left="360"/>
        <w:rPr>
          <w:rFonts w:ascii="Times New Roman" w:hAnsi="Times New Roman"/>
          <w:snapToGrid/>
          <w:sz w:val="24"/>
          <w:szCs w:val="24"/>
        </w:rPr>
      </w:pPr>
    </w:p>
    <w:p w:rsidR="00D356D3" w:rsidP="0052310C" w14:paraId="17F18D33" w14:textId="77777777">
      <w:pPr>
        <w:widowControl/>
        <w:tabs>
          <w:tab w:val="num" w:pos="360"/>
        </w:tabs>
        <w:ind w:left="360"/>
        <w:rPr>
          <w:rFonts w:ascii="Times New Roman" w:hAnsi="Times New Roman"/>
          <w:snapToGrid/>
          <w:sz w:val="24"/>
          <w:szCs w:val="24"/>
        </w:rPr>
      </w:pPr>
    </w:p>
    <w:p w:rsidR="002C3C4F" w:rsidP="00854F23"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713E42" w:rsidRPr="000D162D" w:rsidP="00713E42" w14:paraId="72F6D13A" w14:textId="0E6D0767">
      <w:pPr>
        <w:widowControl/>
        <w:ind w:left="360"/>
        <w:rPr>
          <w:rFonts w:ascii="Times New Roman" w:hAnsi="Times New Roman"/>
          <w:bCs/>
          <w:snapToGrid/>
          <w:sz w:val="24"/>
          <w:szCs w:val="24"/>
        </w:rPr>
      </w:pPr>
      <w:r w:rsidRPr="000D162D">
        <w:rPr>
          <w:rFonts w:ascii="Times New Roman" w:hAnsi="Times New Roman"/>
          <w:bCs/>
          <w:snapToGrid/>
          <w:sz w:val="24"/>
          <w:szCs w:val="24"/>
        </w:rPr>
        <w:t>The PDPs include aggregated responses to sensitive questions relating to the nature of the torture clients experienced and the reasons they were targeted for torture. The majority of this is information that recipients already collect from clients as part of their client intake process; as such, the information is not collected solely for the PDPs. SOT recipients report aggregate program data and do not include individual client data.</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CB1A12" w:rsidP="5A42027D" w14:paraId="55C33B29" w14:textId="207480E7">
      <w:pPr>
        <w:widowControl/>
        <w:spacing w:after="60"/>
        <w:ind w:left="360"/>
        <w:rPr>
          <w:rFonts w:ascii="Times New Roman" w:hAnsi="Times New Roman"/>
          <w:i/>
          <w:iCs/>
          <w:sz w:val="24"/>
          <w:szCs w:val="24"/>
        </w:rPr>
      </w:pPr>
      <w:r w:rsidRPr="5A42027D">
        <w:rPr>
          <w:rFonts w:ascii="Times New Roman" w:hAnsi="Times New Roman"/>
          <w:i/>
          <w:iCs/>
          <w:sz w:val="24"/>
          <w:szCs w:val="24"/>
        </w:rPr>
        <w:t>Estimated Burden Hours</w:t>
      </w:r>
    </w:p>
    <w:p w:rsidR="007F68EA" w:rsidRPr="00AB2620" w:rsidP="5A42027D" w14:paraId="1E17A006" w14:textId="78733BC0">
      <w:pPr>
        <w:widowControl/>
        <w:spacing w:after="60"/>
        <w:ind w:left="360"/>
        <w:rPr>
          <w:rFonts w:ascii="Times New Roman" w:hAnsi="Times New Roman"/>
          <w:sz w:val="24"/>
          <w:szCs w:val="24"/>
        </w:rPr>
      </w:pPr>
      <w:r w:rsidRPr="006256EB">
        <w:rPr>
          <w:rFonts w:ascii="Times New Roman" w:hAnsi="Times New Roman"/>
          <w:snapToGrid/>
          <w:sz w:val="24"/>
          <w:szCs w:val="24"/>
        </w:rPr>
        <w:t>To reduce the burden on grant recipients, ORR has expanded and clarified reporting guidance</w:t>
      </w:r>
      <w:r w:rsidRPr="00B84EBE">
        <w:rPr>
          <w:rFonts w:ascii="Times New Roman" w:hAnsi="Times New Roman"/>
          <w:sz w:val="24"/>
          <w:szCs w:val="24"/>
        </w:rPr>
        <w:t xml:space="preserve"> </w:t>
      </w:r>
      <w:r>
        <w:rPr>
          <w:rFonts w:ascii="Times New Roman" w:hAnsi="Times New Roman"/>
          <w:sz w:val="24"/>
          <w:szCs w:val="24"/>
        </w:rPr>
        <w:t>which results in the removal of</w:t>
      </w:r>
      <w:r w:rsidRPr="00AB2620">
        <w:rPr>
          <w:rFonts w:ascii="Times New Roman" w:hAnsi="Times New Roman"/>
          <w:sz w:val="24"/>
          <w:szCs w:val="24"/>
        </w:rPr>
        <w:t xml:space="preserve"> a total of twelve subcategories for two program indicators and </w:t>
      </w:r>
      <w:r>
        <w:rPr>
          <w:rFonts w:ascii="Times New Roman" w:hAnsi="Times New Roman"/>
          <w:sz w:val="24"/>
          <w:szCs w:val="24"/>
        </w:rPr>
        <w:t xml:space="preserve">a </w:t>
      </w:r>
      <w:r w:rsidRPr="00AB2620">
        <w:rPr>
          <w:rFonts w:ascii="Times New Roman" w:hAnsi="Times New Roman"/>
          <w:sz w:val="24"/>
          <w:szCs w:val="24"/>
        </w:rPr>
        <w:t>reduc</w:t>
      </w:r>
      <w:r>
        <w:rPr>
          <w:rFonts w:ascii="Times New Roman" w:hAnsi="Times New Roman"/>
          <w:sz w:val="24"/>
          <w:szCs w:val="24"/>
        </w:rPr>
        <w:t>ed</w:t>
      </w:r>
      <w:r w:rsidRPr="00AB2620">
        <w:rPr>
          <w:rFonts w:ascii="Times New Roman" w:hAnsi="Times New Roman"/>
          <w:sz w:val="24"/>
          <w:szCs w:val="24"/>
        </w:rPr>
        <w:t xml:space="preserve"> frequency of reporting percentage-based outcomes in the program metrics.</w:t>
      </w:r>
      <w:r w:rsidRPr="006256EB">
        <w:rPr>
          <w:rFonts w:ascii="Times New Roman" w:hAnsi="Times New Roman"/>
          <w:snapToGrid/>
          <w:sz w:val="24"/>
          <w:szCs w:val="24"/>
        </w:rPr>
        <w:t xml:space="preserve"> </w:t>
      </w:r>
      <w:r w:rsidRPr="00AB2620" w:rsidR="00AB2620">
        <w:rPr>
          <w:rFonts w:ascii="Times New Roman" w:hAnsi="Times New Roman"/>
          <w:sz w:val="24"/>
          <w:szCs w:val="24"/>
        </w:rPr>
        <w:t xml:space="preserve">ORR has also added one subcategory in one program </w:t>
      </w:r>
      <w:r w:rsidR="007B16A4">
        <w:rPr>
          <w:rFonts w:ascii="Times New Roman" w:hAnsi="Times New Roman"/>
          <w:sz w:val="24"/>
          <w:szCs w:val="24"/>
        </w:rPr>
        <w:t>data point</w:t>
      </w:r>
      <w:r w:rsidRPr="00AB2620" w:rsidR="00AB2620">
        <w:rPr>
          <w:rFonts w:ascii="Times New Roman" w:hAnsi="Times New Roman"/>
          <w:sz w:val="24"/>
          <w:szCs w:val="24"/>
        </w:rPr>
        <w:t xml:space="preserve">.  </w:t>
      </w:r>
      <w:r>
        <w:rPr>
          <w:rFonts w:ascii="Times New Roman" w:hAnsi="Times New Roman"/>
          <w:sz w:val="24"/>
          <w:szCs w:val="24"/>
        </w:rPr>
        <w:t xml:space="preserve">Additionally, ORR </w:t>
      </w:r>
      <w:r w:rsidRPr="006256EB">
        <w:rPr>
          <w:rFonts w:ascii="Times New Roman" w:hAnsi="Times New Roman"/>
          <w:snapToGrid/>
          <w:sz w:val="24"/>
          <w:szCs w:val="24"/>
        </w:rPr>
        <w:t>developed an optional data validation worksheet</w:t>
      </w:r>
      <w:r w:rsidR="00722358">
        <w:rPr>
          <w:rFonts w:ascii="Times New Roman" w:hAnsi="Times New Roman"/>
          <w:snapToGrid/>
          <w:sz w:val="24"/>
          <w:szCs w:val="24"/>
        </w:rPr>
        <w:t>, embedded in the PDP form,</w:t>
      </w:r>
      <w:r w:rsidRPr="006256EB">
        <w:rPr>
          <w:rFonts w:ascii="Times New Roman" w:hAnsi="Times New Roman"/>
          <w:snapToGrid/>
          <w:sz w:val="24"/>
          <w:szCs w:val="24"/>
        </w:rPr>
        <w:t xml:space="preserve"> to promote data quality</w:t>
      </w:r>
      <w:r w:rsidR="00722358">
        <w:rPr>
          <w:rFonts w:ascii="Times New Roman" w:hAnsi="Times New Roman"/>
          <w:snapToGrid/>
          <w:sz w:val="24"/>
          <w:szCs w:val="24"/>
        </w:rPr>
        <w:t>.  ORR also provides as a resource</w:t>
      </w:r>
      <w:r w:rsidRPr="006256EB">
        <w:rPr>
          <w:rFonts w:ascii="Times New Roman" w:hAnsi="Times New Roman"/>
          <w:snapToGrid/>
          <w:sz w:val="24"/>
          <w:szCs w:val="24"/>
        </w:rPr>
        <w:t xml:space="preserve"> an optional client tracking tool</w:t>
      </w:r>
      <w:r w:rsidR="00722358">
        <w:rPr>
          <w:rFonts w:ascii="Times New Roman" w:hAnsi="Times New Roman"/>
          <w:snapToGrid/>
          <w:sz w:val="24"/>
          <w:szCs w:val="24"/>
        </w:rPr>
        <w:t xml:space="preserve"> that</w:t>
      </w:r>
      <w:r w:rsidRPr="006256EB">
        <w:rPr>
          <w:rFonts w:ascii="Times New Roman" w:hAnsi="Times New Roman"/>
          <w:snapToGrid/>
          <w:sz w:val="24"/>
          <w:szCs w:val="24"/>
        </w:rPr>
        <w:t xml:space="preserve"> recipients can use to aggregate data. </w:t>
      </w:r>
      <w:r w:rsidRPr="00AB2620" w:rsidR="00AB2620">
        <w:rPr>
          <w:rFonts w:ascii="Times New Roman" w:hAnsi="Times New Roman"/>
          <w:sz w:val="24"/>
          <w:szCs w:val="24"/>
        </w:rPr>
        <w:t>Overall, these changes have</w:t>
      </w:r>
      <w:r w:rsidR="007B16A4">
        <w:rPr>
          <w:rFonts w:ascii="Times New Roman" w:hAnsi="Times New Roman"/>
          <w:sz w:val="24"/>
          <w:szCs w:val="24"/>
        </w:rPr>
        <w:t xml:space="preserve"> helped to</w:t>
      </w:r>
      <w:r w:rsidRPr="00AB2620" w:rsidR="00AB2620">
        <w:rPr>
          <w:rFonts w:ascii="Times New Roman" w:hAnsi="Times New Roman"/>
          <w:sz w:val="24"/>
          <w:szCs w:val="24"/>
        </w:rPr>
        <w:t xml:space="preserve"> reduce the estimated reporting burden by 30 percent</w:t>
      </w:r>
      <w:r>
        <w:rPr>
          <w:rFonts w:ascii="Times New Roman" w:hAnsi="Times New Roman"/>
          <w:sz w:val="24"/>
          <w:szCs w:val="24"/>
        </w:rPr>
        <w:t>, from an average of six hours per response to an average of 4.2 hours per response</w:t>
      </w:r>
      <w:r w:rsidRPr="00AB2620" w:rsidR="00AB2620">
        <w:rPr>
          <w:rFonts w:ascii="Times New Roman" w:hAnsi="Times New Roman"/>
          <w:sz w:val="24"/>
          <w:szCs w:val="24"/>
        </w:rPr>
        <w:t>.</w:t>
      </w:r>
    </w:p>
    <w:p w:rsidR="00CB1A12" w:rsidRPr="004F7B95" w:rsidP="5A42027D" w14:paraId="491EE3AF" w14:textId="416B8AEF">
      <w:pPr>
        <w:widowControl/>
        <w:ind w:left="360"/>
      </w:pPr>
      <w:r w:rsidRPr="5A42027D">
        <w:rPr>
          <w:rFonts w:ascii="Times New Roman" w:hAnsi="Times New Roman"/>
          <w:i/>
          <w:iCs/>
          <w:sz w:val="24"/>
          <w:szCs w:val="24"/>
        </w:rPr>
        <w:t xml:space="preserve"> </w:t>
      </w:r>
    </w:p>
    <w:p w:rsidR="00B84EBE" w:rsidRPr="003263D8" w:rsidP="00B84EBE" w14:paraId="2935CD41" w14:textId="77777777">
      <w:pPr>
        <w:widowControl/>
        <w:ind w:left="360"/>
        <w:rPr>
          <w:rFonts w:ascii="Times New Roman" w:hAnsi="Times New Roman"/>
          <w:snapToGrid/>
          <w:sz w:val="24"/>
          <w:szCs w:val="24"/>
        </w:rPr>
      </w:pPr>
      <w:r w:rsidRPr="003263D8">
        <w:rPr>
          <w:rFonts w:ascii="Times New Roman" w:hAnsi="Times New Roman"/>
          <w:snapToGrid/>
          <w:sz w:val="24"/>
          <w:szCs w:val="24"/>
        </w:rPr>
        <w:t xml:space="preserve">Burden for the PDPs was calculated by estimating the length of time it would take the respondent to review instructions, collate the information needed to respond to the 19 Program Indicators and 7 Outcome Indicators on the form, and enter the data into the RADS database. Burden for the PPRs was calculated by estimating the length of time it would take the respondent to review instructions, complete the data elements (1 through 9), sign the PPR Cover Page, collate information, and provide performance narratives for the three Program Assessment Areas. </w:t>
      </w:r>
    </w:p>
    <w:p w:rsidR="00BF37A3" w:rsidP="5A42027D" w14:paraId="2FD60F41" w14:textId="77777777">
      <w:pPr>
        <w:widowControl/>
        <w:spacing w:after="60"/>
        <w:ind w:left="360"/>
        <w:rPr>
          <w:rFonts w:ascii="Times New Roman" w:hAnsi="Times New Roman"/>
          <w:i/>
          <w:iCs/>
          <w:sz w:val="24"/>
          <w:szCs w:val="24"/>
          <w:highlight w:val="yellow"/>
        </w:rPr>
      </w:pPr>
    </w:p>
    <w:tbl>
      <w:tblPr>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35"/>
        <w:gridCol w:w="1350"/>
        <w:gridCol w:w="1350"/>
        <w:gridCol w:w="1260"/>
        <w:gridCol w:w="1080"/>
        <w:gridCol w:w="1350"/>
        <w:gridCol w:w="1105"/>
      </w:tblGrid>
      <w:tr w14:paraId="230FE56D" w14:textId="77777777" w:rsidTr="00177E2A">
        <w:tblPrEx>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435" w:type="dxa"/>
            <w:shd w:val="clear" w:color="auto" w:fill="BFBFBF" w:themeFill="background1" w:themeFillShade="BF"/>
            <w:vAlign w:val="center"/>
          </w:tcPr>
          <w:p w:rsidR="00B3772B" w:rsidRPr="00177E2A" w:rsidP="662E7714" w14:paraId="710C0652" w14:textId="77777777">
            <w:pPr>
              <w:jc w:val="center"/>
              <w:rPr>
                <w:rFonts w:ascii="Times New Roman" w:hAnsi="Times New Roman"/>
                <w:b/>
                <w:bCs/>
              </w:rPr>
            </w:pPr>
            <w:r w:rsidRPr="00177E2A">
              <w:rPr>
                <w:rFonts w:ascii="Times New Roman" w:hAnsi="Times New Roman"/>
                <w:b/>
                <w:bCs/>
              </w:rPr>
              <w:t>Information Collection Title</w:t>
            </w:r>
          </w:p>
        </w:tc>
        <w:tc>
          <w:tcPr>
            <w:tcW w:w="1350" w:type="dxa"/>
            <w:shd w:val="clear" w:color="auto" w:fill="BFBFBF" w:themeFill="background1" w:themeFillShade="BF"/>
            <w:vAlign w:val="center"/>
          </w:tcPr>
          <w:p w:rsidR="00B3772B" w:rsidRPr="00177E2A" w:rsidP="004F7B95" w14:paraId="755B72E5" w14:textId="77777777">
            <w:pPr>
              <w:jc w:val="center"/>
              <w:rPr>
                <w:rFonts w:ascii="Times New Roman" w:hAnsi="Times New Roman"/>
                <w:b/>
                <w:bCs/>
                <w:szCs w:val="24"/>
              </w:rPr>
            </w:pPr>
            <w:r w:rsidRPr="00177E2A">
              <w:rPr>
                <w:rFonts w:ascii="Times New Roman" w:hAnsi="Times New Roman"/>
                <w:b/>
                <w:bCs/>
                <w:szCs w:val="24"/>
              </w:rPr>
              <w:t>Total Number of Respondents</w:t>
            </w:r>
          </w:p>
        </w:tc>
        <w:tc>
          <w:tcPr>
            <w:tcW w:w="1350" w:type="dxa"/>
            <w:shd w:val="clear" w:color="auto" w:fill="BFBFBF" w:themeFill="background1" w:themeFillShade="BF"/>
            <w:vAlign w:val="center"/>
          </w:tcPr>
          <w:p w:rsidR="00B3772B" w:rsidRPr="00177E2A" w:rsidP="004F7B95" w14:paraId="5053A5D0" w14:textId="77C82690">
            <w:pPr>
              <w:jc w:val="center"/>
              <w:rPr>
                <w:rFonts w:ascii="Times New Roman" w:hAnsi="Times New Roman"/>
                <w:b/>
                <w:bCs/>
                <w:szCs w:val="24"/>
              </w:rPr>
            </w:pPr>
            <w:r w:rsidRPr="00177E2A">
              <w:rPr>
                <w:rFonts w:ascii="Times New Roman" w:hAnsi="Times New Roman"/>
                <w:b/>
                <w:bCs/>
                <w:szCs w:val="24"/>
              </w:rPr>
              <w:t xml:space="preserve">Annual </w:t>
            </w:r>
            <w:r w:rsidRPr="00177E2A">
              <w:rPr>
                <w:rFonts w:ascii="Times New Roman" w:hAnsi="Times New Roman"/>
                <w:b/>
                <w:bCs/>
                <w:szCs w:val="24"/>
              </w:rPr>
              <w:t>Number of Responses Per Respondent</w:t>
            </w:r>
          </w:p>
        </w:tc>
        <w:tc>
          <w:tcPr>
            <w:tcW w:w="1260" w:type="dxa"/>
            <w:shd w:val="clear" w:color="auto" w:fill="BFBFBF" w:themeFill="background1" w:themeFillShade="BF"/>
            <w:vAlign w:val="center"/>
          </w:tcPr>
          <w:p w:rsidR="00B3772B" w:rsidRPr="00177E2A" w:rsidP="004F7B95" w14:paraId="340D08AF" w14:textId="77777777">
            <w:pPr>
              <w:jc w:val="center"/>
              <w:rPr>
                <w:rFonts w:ascii="Times New Roman" w:hAnsi="Times New Roman"/>
                <w:b/>
                <w:bCs/>
                <w:szCs w:val="24"/>
              </w:rPr>
            </w:pPr>
            <w:r w:rsidRPr="00177E2A">
              <w:rPr>
                <w:rFonts w:ascii="Times New Roman" w:hAnsi="Times New Roman"/>
                <w:b/>
                <w:bCs/>
                <w:szCs w:val="24"/>
              </w:rPr>
              <w:t xml:space="preserve">Average </w:t>
            </w:r>
            <w:r w:rsidRPr="00177E2A">
              <w:rPr>
                <w:rFonts w:ascii="Times New Roman" w:hAnsi="Times New Roman"/>
                <w:b/>
                <w:bCs/>
                <w:szCs w:val="24"/>
              </w:rPr>
              <w:t>Burden</w:t>
            </w:r>
            <w:r w:rsidRPr="00177E2A">
              <w:rPr>
                <w:rFonts w:ascii="Times New Roman" w:hAnsi="Times New Roman"/>
                <w:b/>
                <w:bCs/>
                <w:szCs w:val="24"/>
              </w:rPr>
              <w:t xml:space="preserve"> Hours Per Response</w:t>
            </w:r>
          </w:p>
        </w:tc>
        <w:tc>
          <w:tcPr>
            <w:tcW w:w="1080" w:type="dxa"/>
            <w:shd w:val="clear" w:color="auto" w:fill="BFBFBF" w:themeFill="background1" w:themeFillShade="BF"/>
            <w:vAlign w:val="center"/>
          </w:tcPr>
          <w:p w:rsidR="00B3772B" w:rsidRPr="00177E2A" w:rsidP="004F7B95" w14:paraId="3AE1FC11" w14:textId="77777777">
            <w:pPr>
              <w:jc w:val="center"/>
              <w:rPr>
                <w:rFonts w:ascii="Times New Roman" w:hAnsi="Times New Roman"/>
                <w:b/>
                <w:bCs/>
                <w:szCs w:val="24"/>
              </w:rPr>
            </w:pPr>
            <w:r w:rsidRPr="00177E2A">
              <w:rPr>
                <w:rFonts w:ascii="Times New Roman" w:hAnsi="Times New Roman"/>
                <w:b/>
                <w:bCs/>
                <w:szCs w:val="24"/>
              </w:rPr>
              <w:t>Annual Burden Hours</w:t>
            </w:r>
          </w:p>
        </w:tc>
        <w:tc>
          <w:tcPr>
            <w:tcW w:w="1350" w:type="dxa"/>
            <w:shd w:val="clear" w:color="auto" w:fill="BFBFBF" w:themeFill="background1" w:themeFillShade="BF"/>
            <w:vAlign w:val="center"/>
          </w:tcPr>
          <w:p w:rsidR="00B3772B" w:rsidRPr="00177E2A" w:rsidP="004F7B95" w14:paraId="0A8FF52A" w14:textId="77777777">
            <w:pPr>
              <w:jc w:val="center"/>
              <w:rPr>
                <w:rFonts w:ascii="Times New Roman" w:hAnsi="Times New Roman"/>
                <w:b/>
                <w:bCs/>
                <w:szCs w:val="24"/>
              </w:rPr>
            </w:pPr>
            <w:r w:rsidRPr="00177E2A">
              <w:rPr>
                <w:rFonts w:ascii="Times New Roman" w:hAnsi="Times New Roman"/>
                <w:b/>
                <w:bCs/>
                <w:szCs w:val="24"/>
              </w:rPr>
              <w:t>Average Hourly Wage</w:t>
            </w:r>
          </w:p>
        </w:tc>
        <w:tc>
          <w:tcPr>
            <w:tcW w:w="1105" w:type="dxa"/>
            <w:shd w:val="clear" w:color="auto" w:fill="BFBFBF" w:themeFill="background1" w:themeFillShade="BF"/>
            <w:vAlign w:val="center"/>
          </w:tcPr>
          <w:p w:rsidR="00B3772B" w:rsidRPr="00177E2A" w:rsidP="004F7B95" w14:paraId="4FBD0FB1" w14:textId="78C6BE33">
            <w:pPr>
              <w:jc w:val="center"/>
              <w:rPr>
                <w:rFonts w:ascii="Times New Roman" w:hAnsi="Times New Roman"/>
                <w:b/>
                <w:bCs/>
                <w:szCs w:val="24"/>
              </w:rPr>
            </w:pPr>
            <w:r w:rsidRPr="00177E2A">
              <w:rPr>
                <w:rFonts w:ascii="Times New Roman" w:hAnsi="Times New Roman"/>
                <w:b/>
                <w:bCs/>
                <w:szCs w:val="24"/>
              </w:rPr>
              <w:t xml:space="preserve">Total </w:t>
            </w:r>
            <w:r w:rsidRPr="00177E2A" w:rsidR="000A1F7C">
              <w:rPr>
                <w:rFonts w:ascii="Times New Roman" w:hAnsi="Times New Roman"/>
                <w:b/>
                <w:bCs/>
                <w:szCs w:val="24"/>
              </w:rPr>
              <w:t xml:space="preserve">Estimated </w:t>
            </w:r>
            <w:r w:rsidRPr="00177E2A">
              <w:rPr>
                <w:rFonts w:ascii="Times New Roman" w:hAnsi="Times New Roman"/>
                <w:b/>
                <w:bCs/>
                <w:szCs w:val="24"/>
              </w:rPr>
              <w:t>Annual Cost</w:t>
            </w:r>
          </w:p>
        </w:tc>
      </w:tr>
      <w:tr w14:paraId="5140B154" w14:textId="77777777" w:rsidTr="00177E2A">
        <w:tblPrEx>
          <w:tblW w:w="8930" w:type="dxa"/>
          <w:jc w:val="center"/>
          <w:tblLayout w:type="fixed"/>
          <w:tblLook w:val="00A0"/>
        </w:tblPrEx>
        <w:trPr>
          <w:trHeight w:val="432"/>
          <w:jc w:val="center"/>
        </w:trPr>
        <w:tc>
          <w:tcPr>
            <w:tcW w:w="1435" w:type="dxa"/>
            <w:vAlign w:val="center"/>
          </w:tcPr>
          <w:p w:rsidR="00B3772B" w:rsidRPr="0082140A" w:rsidP="00025E16" w14:paraId="33E13E32" w14:textId="5FC7BC19">
            <w:pPr>
              <w:tabs>
                <w:tab w:val="center" w:pos="4320"/>
                <w:tab w:val="right" w:pos="8640"/>
              </w:tabs>
              <w:rPr>
                <w:rFonts w:ascii="Times New Roman" w:hAnsi="Times New Roman"/>
                <w:szCs w:val="24"/>
              </w:rPr>
            </w:pPr>
            <w:r w:rsidRPr="0082140A">
              <w:rPr>
                <w:rFonts w:ascii="Times New Roman" w:hAnsi="Times New Roman"/>
                <w:szCs w:val="24"/>
              </w:rPr>
              <w:t>Program Data Points Form (PDPs)</w:t>
            </w:r>
          </w:p>
        </w:tc>
        <w:tc>
          <w:tcPr>
            <w:tcW w:w="1350" w:type="dxa"/>
            <w:vAlign w:val="center"/>
          </w:tcPr>
          <w:p w:rsidR="00B3772B" w:rsidRPr="0082140A" w:rsidP="00025E16" w14:paraId="631BD576" w14:textId="0C87EEAA">
            <w:pPr>
              <w:tabs>
                <w:tab w:val="center" w:pos="4320"/>
                <w:tab w:val="right" w:pos="8640"/>
              </w:tabs>
              <w:jc w:val="center"/>
              <w:rPr>
                <w:rFonts w:ascii="Times New Roman" w:hAnsi="Times New Roman"/>
                <w:szCs w:val="24"/>
              </w:rPr>
            </w:pPr>
            <w:r w:rsidRPr="0082140A">
              <w:rPr>
                <w:rFonts w:ascii="Times New Roman" w:hAnsi="Times New Roman"/>
                <w:szCs w:val="24"/>
              </w:rPr>
              <w:t>35</w:t>
            </w:r>
          </w:p>
        </w:tc>
        <w:tc>
          <w:tcPr>
            <w:tcW w:w="1350" w:type="dxa"/>
            <w:vAlign w:val="center"/>
          </w:tcPr>
          <w:p w:rsidR="00B3772B" w:rsidRPr="0082140A" w:rsidP="00025E16" w14:paraId="3DD8ECC7" w14:textId="55DBB298">
            <w:pPr>
              <w:tabs>
                <w:tab w:val="center" w:pos="4320"/>
                <w:tab w:val="right" w:pos="8640"/>
              </w:tabs>
              <w:jc w:val="center"/>
              <w:rPr>
                <w:rFonts w:ascii="Times New Roman" w:hAnsi="Times New Roman"/>
                <w:szCs w:val="24"/>
              </w:rPr>
            </w:pPr>
            <w:r w:rsidRPr="0082140A">
              <w:rPr>
                <w:rFonts w:ascii="Times New Roman" w:hAnsi="Times New Roman"/>
                <w:szCs w:val="24"/>
              </w:rPr>
              <w:t>1</w:t>
            </w:r>
          </w:p>
        </w:tc>
        <w:tc>
          <w:tcPr>
            <w:tcW w:w="1260" w:type="dxa"/>
            <w:vAlign w:val="center"/>
          </w:tcPr>
          <w:p w:rsidR="00B3772B" w:rsidRPr="00177E2A" w:rsidP="00025E16" w14:paraId="46007120" w14:textId="7569BB6B">
            <w:pPr>
              <w:tabs>
                <w:tab w:val="center" w:pos="4320"/>
                <w:tab w:val="right" w:pos="8640"/>
              </w:tabs>
              <w:jc w:val="center"/>
              <w:rPr>
                <w:rFonts w:ascii="Times New Roman" w:hAnsi="Times New Roman"/>
                <w:szCs w:val="24"/>
              </w:rPr>
            </w:pPr>
            <w:r w:rsidRPr="00177E2A">
              <w:rPr>
                <w:rFonts w:ascii="Times New Roman" w:hAnsi="Times New Roman"/>
                <w:szCs w:val="24"/>
              </w:rPr>
              <w:t>4.2</w:t>
            </w:r>
          </w:p>
        </w:tc>
        <w:tc>
          <w:tcPr>
            <w:tcW w:w="1080" w:type="dxa"/>
            <w:vAlign w:val="center"/>
          </w:tcPr>
          <w:p w:rsidR="00B3772B" w:rsidRPr="00177E2A" w:rsidP="00025E16" w14:paraId="25670C73" w14:textId="2F2DED7E">
            <w:pPr>
              <w:tabs>
                <w:tab w:val="center" w:pos="4320"/>
                <w:tab w:val="right" w:pos="8640"/>
              </w:tabs>
              <w:jc w:val="center"/>
              <w:rPr>
                <w:rFonts w:ascii="Times New Roman" w:hAnsi="Times New Roman"/>
                <w:szCs w:val="24"/>
              </w:rPr>
            </w:pPr>
            <w:r w:rsidRPr="00177E2A">
              <w:rPr>
                <w:rFonts w:ascii="Times New Roman" w:hAnsi="Times New Roman"/>
                <w:szCs w:val="24"/>
              </w:rPr>
              <w:t>147</w:t>
            </w:r>
          </w:p>
        </w:tc>
        <w:tc>
          <w:tcPr>
            <w:tcW w:w="1350" w:type="dxa"/>
            <w:vAlign w:val="center"/>
          </w:tcPr>
          <w:p w:rsidR="00B3772B" w:rsidRPr="00177E2A" w:rsidP="00025E16" w14:paraId="7D556C98" w14:textId="209E0733">
            <w:pPr>
              <w:tabs>
                <w:tab w:val="center" w:pos="4320"/>
                <w:tab w:val="right" w:pos="8640"/>
              </w:tabs>
              <w:jc w:val="center"/>
              <w:rPr>
                <w:rFonts w:ascii="Times New Roman" w:hAnsi="Times New Roman"/>
                <w:szCs w:val="24"/>
              </w:rPr>
            </w:pPr>
            <w:r w:rsidRPr="00177E2A">
              <w:rPr>
                <w:rFonts w:ascii="Times New Roman" w:hAnsi="Times New Roman"/>
                <w:szCs w:val="24"/>
              </w:rPr>
              <w:t>$</w:t>
            </w:r>
            <w:r w:rsidR="00224D84">
              <w:rPr>
                <w:rFonts w:ascii="Times New Roman" w:hAnsi="Times New Roman"/>
                <w:szCs w:val="24"/>
              </w:rPr>
              <w:t>82.78</w:t>
            </w:r>
          </w:p>
        </w:tc>
        <w:tc>
          <w:tcPr>
            <w:tcW w:w="1105" w:type="dxa"/>
            <w:vAlign w:val="center"/>
          </w:tcPr>
          <w:p w:rsidR="00B3772B" w:rsidRPr="00177E2A" w:rsidP="00025E16" w14:paraId="5133F4BC" w14:textId="77AB246D">
            <w:pPr>
              <w:tabs>
                <w:tab w:val="center" w:pos="4320"/>
                <w:tab w:val="right" w:pos="8640"/>
              </w:tabs>
              <w:jc w:val="center"/>
              <w:rPr>
                <w:rFonts w:ascii="Times New Roman" w:hAnsi="Times New Roman"/>
                <w:szCs w:val="24"/>
              </w:rPr>
            </w:pPr>
            <w:r w:rsidRPr="00177E2A">
              <w:rPr>
                <w:rFonts w:ascii="Times New Roman" w:hAnsi="Times New Roman"/>
                <w:szCs w:val="24"/>
              </w:rPr>
              <w:t>$</w:t>
            </w:r>
            <w:r w:rsidR="00224D84">
              <w:rPr>
                <w:rFonts w:ascii="Times New Roman" w:hAnsi="Times New Roman"/>
                <w:szCs w:val="24"/>
              </w:rPr>
              <w:t>12,169</w:t>
            </w:r>
          </w:p>
        </w:tc>
      </w:tr>
      <w:tr w14:paraId="66E3DD67" w14:textId="77777777" w:rsidTr="00177E2A">
        <w:tblPrEx>
          <w:tblW w:w="8930" w:type="dxa"/>
          <w:jc w:val="center"/>
          <w:tblLayout w:type="fixed"/>
          <w:tblLook w:val="00A0"/>
        </w:tblPrEx>
        <w:trPr>
          <w:trHeight w:val="432"/>
          <w:jc w:val="center"/>
        </w:trPr>
        <w:tc>
          <w:tcPr>
            <w:tcW w:w="1435" w:type="dxa"/>
            <w:vAlign w:val="center"/>
          </w:tcPr>
          <w:p w:rsidR="00B3772B" w:rsidRPr="0082140A" w:rsidP="00025E16" w14:paraId="39DFC5F9" w14:textId="4E3DB75F">
            <w:pPr>
              <w:tabs>
                <w:tab w:val="center" w:pos="4320"/>
                <w:tab w:val="right" w:pos="8640"/>
              </w:tabs>
              <w:rPr>
                <w:rFonts w:ascii="Times New Roman" w:hAnsi="Times New Roman"/>
                <w:szCs w:val="24"/>
              </w:rPr>
            </w:pPr>
            <w:r w:rsidRPr="0082140A">
              <w:rPr>
                <w:rFonts w:ascii="Times New Roman" w:hAnsi="Times New Roman"/>
                <w:szCs w:val="24"/>
              </w:rPr>
              <w:t>Performance Progress Reports (PPRs) – Parts A and B</w:t>
            </w:r>
          </w:p>
        </w:tc>
        <w:tc>
          <w:tcPr>
            <w:tcW w:w="1350" w:type="dxa"/>
            <w:vAlign w:val="center"/>
          </w:tcPr>
          <w:p w:rsidR="00B3772B" w:rsidRPr="0082140A" w:rsidP="00025E16" w14:paraId="58BAAEDB" w14:textId="30B098C5">
            <w:pPr>
              <w:tabs>
                <w:tab w:val="center" w:pos="4320"/>
                <w:tab w:val="right" w:pos="8640"/>
              </w:tabs>
              <w:jc w:val="center"/>
              <w:rPr>
                <w:rFonts w:ascii="Times New Roman" w:hAnsi="Times New Roman"/>
                <w:szCs w:val="24"/>
              </w:rPr>
            </w:pPr>
            <w:r w:rsidRPr="0082140A">
              <w:rPr>
                <w:rFonts w:ascii="Times New Roman" w:hAnsi="Times New Roman"/>
                <w:szCs w:val="24"/>
              </w:rPr>
              <w:t>35</w:t>
            </w:r>
          </w:p>
        </w:tc>
        <w:tc>
          <w:tcPr>
            <w:tcW w:w="1350" w:type="dxa"/>
            <w:vAlign w:val="center"/>
          </w:tcPr>
          <w:p w:rsidR="00B3772B" w:rsidRPr="0082140A" w:rsidP="00025E16" w14:paraId="0CD2F9C1" w14:textId="01E18E91">
            <w:pPr>
              <w:tabs>
                <w:tab w:val="center" w:pos="4320"/>
                <w:tab w:val="right" w:pos="8640"/>
              </w:tabs>
              <w:jc w:val="center"/>
              <w:rPr>
                <w:rFonts w:ascii="Times New Roman" w:hAnsi="Times New Roman"/>
                <w:szCs w:val="24"/>
              </w:rPr>
            </w:pPr>
            <w:r w:rsidRPr="0082140A">
              <w:rPr>
                <w:rFonts w:ascii="Times New Roman" w:hAnsi="Times New Roman"/>
                <w:szCs w:val="24"/>
              </w:rPr>
              <w:t>2</w:t>
            </w:r>
          </w:p>
        </w:tc>
        <w:tc>
          <w:tcPr>
            <w:tcW w:w="1260" w:type="dxa"/>
            <w:vAlign w:val="center"/>
          </w:tcPr>
          <w:p w:rsidR="00B3772B" w:rsidRPr="00177E2A" w:rsidP="00025E16" w14:paraId="14C40DB3" w14:textId="46A353F9">
            <w:pPr>
              <w:tabs>
                <w:tab w:val="center" w:pos="4320"/>
                <w:tab w:val="right" w:pos="8640"/>
              </w:tabs>
              <w:jc w:val="center"/>
              <w:rPr>
                <w:rFonts w:ascii="Times New Roman" w:hAnsi="Times New Roman"/>
                <w:szCs w:val="24"/>
              </w:rPr>
            </w:pPr>
            <w:r w:rsidRPr="00177E2A">
              <w:rPr>
                <w:rFonts w:ascii="Times New Roman" w:hAnsi="Times New Roman"/>
                <w:szCs w:val="24"/>
              </w:rPr>
              <w:t>4.2</w:t>
            </w:r>
          </w:p>
        </w:tc>
        <w:tc>
          <w:tcPr>
            <w:tcW w:w="1080" w:type="dxa"/>
            <w:vAlign w:val="center"/>
          </w:tcPr>
          <w:p w:rsidR="00B3772B" w:rsidRPr="00177E2A" w:rsidP="00025E16" w14:paraId="1557247F" w14:textId="702EB6A9">
            <w:pPr>
              <w:tabs>
                <w:tab w:val="center" w:pos="4320"/>
                <w:tab w:val="right" w:pos="8640"/>
              </w:tabs>
              <w:jc w:val="center"/>
              <w:rPr>
                <w:rFonts w:ascii="Times New Roman" w:hAnsi="Times New Roman"/>
                <w:szCs w:val="24"/>
              </w:rPr>
            </w:pPr>
            <w:r w:rsidRPr="00177E2A">
              <w:rPr>
                <w:rFonts w:ascii="Times New Roman" w:hAnsi="Times New Roman"/>
                <w:szCs w:val="24"/>
              </w:rPr>
              <w:t>294</w:t>
            </w:r>
          </w:p>
        </w:tc>
        <w:tc>
          <w:tcPr>
            <w:tcW w:w="1350" w:type="dxa"/>
            <w:vAlign w:val="center"/>
          </w:tcPr>
          <w:p w:rsidR="00B3772B" w:rsidRPr="00177E2A" w:rsidP="00025E16" w14:paraId="4B1FC7E5" w14:textId="24F0E5B8">
            <w:pPr>
              <w:tabs>
                <w:tab w:val="center" w:pos="4320"/>
                <w:tab w:val="right" w:pos="8640"/>
              </w:tabs>
              <w:jc w:val="center"/>
              <w:rPr>
                <w:rFonts w:ascii="Times New Roman" w:hAnsi="Times New Roman"/>
                <w:szCs w:val="24"/>
              </w:rPr>
            </w:pPr>
            <w:r w:rsidRPr="00177E2A">
              <w:rPr>
                <w:rFonts w:ascii="Times New Roman" w:hAnsi="Times New Roman"/>
                <w:szCs w:val="24"/>
              </w:rPr>
              <w:t>$</w:t>
            </w:r>
            <w:r w:rsidR="00224D84">
              <w:rPr>
                <w:rFonts w:ascii="Times New Roman" w:hAnsi="Times New Roman"/>
                <w:szCs w:val="24"/>
              </w:rPr>
              <w:t>82.78</w:t>
            </w:r>
          </w:p>
        </w:tc>
        <w:tc>
          <w:tcPr>
            <w:tcW w:w="1105" w:type="dxa"/>
            <w:vAlign w:val="center"/>
          </w:tcPr>
          <w:p w:rsidR="00B3772B" w:rsidRPr="00177E2A" w:rsidP="00025E16" w14:paraId="1D447908" w14:textId="2C3029F9">
            <w:pPr>
              <w:tabs>
                <w:tab w:val="center" w:pos="4320"/>
                <w:tab w:val="right" w:pos="8640"/>
              </w:tabs>
              <w:jc w:val="center"/>
              <w:rPr>
                <w:rFonts w:ascii="Times New Roman" w:hAnsi="Times New Roman"/>
                <w:szCs w:val="24"/>
              </w:rPr>
            </w:pPr>
            <w:r w:rsidRPr="00177E2A">
              <w:rPr>
                <w:rFonts w:ascii="Times New Roman" w:hAnsi="Times New Roman"/>
                <w:szCs w:val="24"/>
              </w:rPr>
              <w:t>$</w:t>
            </w:r>
            <w:r w:rsidR="00224D84">
              <w:rPr>
                <w:rFonts w:ascii="Times New Roman" w:hAnsi="Times New Roman"/>
                <w:szCs w:val="24"/>
              </w:rPr>
              <w:t>24,337</w:t>
            </w:r>
          </w:p>
        </w:tc>
      </w:tr>
      <w:tr w14:paraId="68F71184" w14:textId="77777777" w:rsidTr="00177E2A">
        <w:tblPrEx>
          <w:tblW w:w="8930" w:type="dxa"/>
          <w:jc w:val="center"/>
          <w:tblLayout w:type="fixed"/>
          <w:tblLook w:val="00A0"/>
        </w:tblPrEx>
        <w:trPr>
          <w:trHeight w:val="737"/>
          <w:jc w:val="center"/>
        </w:trPr>
        <w:tc>
          <w:tcPr>
            <w:tcW w:w="5395" w:type="dxa"/>
            <w:gridSpan w:val="4"/>
            <w:vAlign w:val="center"/>
          </w:tcPr>
          <w:p w:rsidR="000E2A2D" w:rsidRPr="00B84EBE" w:rsidP="00177E2A" w14:paraId="63D46081" w14:textId="4EC710A5">
            <w:pPr>
              <w:tabs>
                <w:tab w:val="center" w:pos="4320"/>
                <w:tab w:val="right" w:pos="8640"/>
              </w:tabs>
              <w:ind w:left="1440"/>
              <w:rPr>
                <w:rFonts w:ascii="Times New Roman" w:hAnsi="Times New Roman"/>
                <w:b/>
                <w:bCs/>
              </w:rPr>
            </w:pPr>
            <w:r w:rsidRPr="00B84EBE">
              <w:rPr>
                <w:rFonts w:ascii="Times New Roman" w:hAnsi="Times New Roman"/>
                <w:b/>
                <w:bCs/>
              </w:rPr>
              <w:t xml:space="preserve">         </w:t>
            </w:r>
            <w:r w:rsidRPr="00B84EBE">
              <w:rPr>
                <w:rFonts w:ascii="Times New Roman" w:hAnsi="Times New Roman"/>
                <w:b/>
                <w:bCs/>
              </w:rPr>
              <w:t>Estimated Annual Burden</w:t>
            </w:r>
            <w:r w:rsidRPr="00B84EBE">
              <w:rPr>
                <w:rFonts w:ascii="Times New Roman" w:hAnsi="Times New Roman"/>
                <w:b/>
                <w:bCs/>
              </w:rPr>
              <w:t xml:space="preserve"> Total</w:t>
            </w:r>
            <w:r w:rsidRPr="00B84EBE">
              <w:rPr>
                <w:rFonts w:ascii="Times New Roman" w:hAnsi="Times New Roman"/>
                <w:b/>
                <w:bCs/>
              </w:rPr>
              <w:t xml:space="preserve">: </w:t>
            </w:r>
          </w:p>
        </w:tc>
        <w:tc>
          <w:tcPr>
            <w:tcW w:w="1080" w:type="dxa"/>
            <w:vAlign w:val="center"/>
          </w:tcPr>
          <w:p w:rsidR="00E66F92" w:rsidRPr="00B84EBE" w:rsidP="00177E2A" w14:paraId="0E599890" w14:textId="45D665F4">
            <w:pPr>
              <w:widowControl/>
              <w:jc w:val="center"/>
              <w:rPr>
                <w:rFonts w:ascii="Times New Roman" w:hAnsi="Times New Roman"/>
                <w:b/>
                <w:bCs/>
              </w:rPr>
            </w:pPr>
            <w:r w:rsidRPr="00177E2A">
              <w:rPr>
                <w:rFonts w:ascii="Times New Roman" w:hAnsi="Times New Roman"/>
                <w:b/>
                <w:bCs/>
              </w:rPr>
              <w:t>441</w:t>
            </w:r>
          </w:p>
        </w:tc>
        <w:tc>
          <w:tcPr>
            <w:tcW w:w="1350" w:type="dxa"/>
          </w:tcPr>
          <w:p w:rsidR="000E2A2D" w:rsidRPr="00B84EBE" w:rsidP="001D0DA1" w14:paraId="051B8F8E" w14:textId="77777777">
            <w:pPr>
              <w:widowControl/>
              <w:jc w:val="center"/>
              <w:rPr>
                <w:rFonts w:ascii="Times New Roman" w:hAnsi="Times New Roman"/>
                <w:b/>
                <w:bCs/>
              </w:rPr>
            </w:pPr>
            <w:r w:rsidRPr="00B84EBE">
              <w:rPr>
                <w:rFonts w:ascii="Times New Roman" w:hAnsi="Times New Roman"/>
                <w:b/>
                <w:bCs/>
              </w:rPr>
              <w:t xml:space="preserve">Estimated Annual </w:t>
            </w:r>
          </w:p>
          <w:p w:rsidR="000D4254" w:rsidRPr="00B84EBE" w:rsidP="001D0DA1" w14:paraId="05063CD5" w14:textId="691CC3F6">
            <w:pPr>
              <w:widowControl/>
              <w:jc w:val="center"/>
              <w:rPr>
                <w:rFonts w:ascii="Times New Roman" w:hAnsi="Times New Roman"/>
                <w:b/>
                <w:bCs/>
              </w:rPr>
            </w:pPr>
            <w:r w:rsidRPr="00B84EBE">
              <w:rPr>
                <w:rFonts w:ascii="Times New Roman" w:hAnsi="Times New Roman"/>
                <w:b/>
                <w:bCs/>
              </w:rPr>
              <w:t>Cost Total:</w:t>
            </w:r>
          </w:p>
        </w:tc>
        <w:tc>
          <w:tcPr>
            <w:tcW w:w="1105" w:type="dxa"/>
            <w:vAlign w:val="center"/>
          </w:tcPr>
          <w:p w:rsidR="000E2A2D" w:rsidRPr="00B84EBE" w:rsidP="001D0DA1" w14:paraId="5B5863BC" w14:textId="2ECE8463">
            <w:pPr>
              <w:widowControl/>
              <w:jc w:val="center"/>
              <w:rPr>
                <w:rFonts w:ascii="Times New Roman" w:hAnsi="Times New Roman"/>
                <w:b/>
                <w:bCs/>
              </w:rPr>
            </w:pPr>
            <w:r w:rsidRPr="00177E2A">
              <w:rPr>
                <w:rFonts w:ascii="Times New Roman" w:hAnsi="Times New Roman"/>
                <w:b/>
                <w:bCs/>
              </w:rPr>
              <w:t>$</w:t>
            </w:r>
            <w:r w:rsidR="0035668B">
              <w:rPr>
                <w:rFonts w:ascii="Times New Roman" w:hAnsi="Times New Roman"/>
                <w:b/>
                <w:bCs/>
              </w:rPr>
              <w:t>36,506</w:t>
            </w:r>
          </w:p>
        </w:tc>
      </w:tr>
    </w:tbl>
    <w:p w:rsidR="00CB1A12" w:rsidP="00DE529D" w14:paraId="6967D635" w14:textId="77777777">
      <w:pPr>
        <w:widowControl/>
        <w:ind w:left="360"/>
        <w:rPr>
          <w:rFonts w:ascii="Times New Roman" w:hAnsi="Times New Roman"/>
          <w:snapToGrid/>
          <w:sz w:val="24"/>
          <w:szCs w:val="24"/>
        </w:rPr>
      </w:pPr>
    </w:p>
    <w:p w:rsidR="00177E2A" w:rsidP="00DE529D" w14:paraId="58E335C0" w14:textId="77777777">
      <w:pPr>
        <w:widowControl/>
        <w:ind w:left="360"/>
        <w:rPr>
          <w:rFonts w:ascii="Times New Roman" w:hAnsi="Times New Roman"/>
          <w:snapToGrid/>
          <w:sz w:val="24"/>
          <w:szCs w:val="24"/>
        </w:rPr>
      </w:pPr>
    </w:p>
    <w:p w:rsidR="00B84EBE" w:rsidRPr="00E27046" w:rsidP="00B84EBE" w14:paraId="0C8A07C8" w14:textId="77777777">
      <w:pPr>
        <w:widowControl/>
        <w:spacing w:after="60"/>
        <w:ind w:left="360"/>
        <w:rPr>
          <w:rFonts w:ascii="Times New Roman" w:hAnsi="Times New Roman"/>
          <w:i/>
          <w:iCs/>
          <w:sz w:val="24"/>
          <w:szCs w:val="24"/>
        </w:rPr>
      </w:pPr>
      <w:r w:rsidRPr="00E27046">
        <w:rPr>
          <w:rFonts w:ascii="Times New Roman" w:hAnsi="Times New Roman"/>
          <w:i/>
          <w:iCs/>
          <w:sz w:val="24"/>
          <w:szCs w:val="24"/>
        </w:rPr>
        <w:t xml:space="preserve">Estimated Cost </w:t>
      </w:r>
      <w:r w:rsidRPr="00E27046">
        <w:rPr>
          <w:rFonts w:ascii="Times New Roman" w:hAnsi="Times New Roman"/>
          <w:i/>
          <w:iCs/>
          <w:sz w:val="24"/>
          <w:szCs w:val="24"/>
        </w:rPr>
        <w:t>to</w:t>
      </w:r>
      <w:r w:rsidRPr="00E27046">
        <w:rPr>
          <w:rFonts w:ascii="Times New Roman" w:hAnsi="Times New Roman"/>
          <w:i/>
          <w:iCs/>
          <w:sz w:val="24"/>
          <w:szCs w:val="24"/>
        </w:rPr>
        <w:t xml:space="preserve"> Respondents</w:t>
      </w:r>
    </w:p>
    <w:p w:rsidR="00D60543" w:rsidP="00DE529D" w14:paraId="344EF814" w14:textId="61E266B3">
      <w:pPr>
        <w:widowControl/>
        <w:ind w:left="360"/>
        <w:rPr>
          <w:rFonts w:ascii="Times New Roman" w:hAnsi="Times New Roman"/>
          <w:snapToGrid/>
          <w:sz w:val="24"/>
          <w:szCs w:val="24"/>
        </w:rPr>
      </w:pPr>
      <w:r w:rsidRPr="003263D8">
        <w:rPr>
          <w:rFonts w:ascii="Times New Roman" w:hAnsi="Times New Roman"/>
          <w:snapToGrid/>
          <w:sz w:val="24"/>
          <w:szCs w:val="24"/>
        </w:rPr>
        <w:t xml:space="preserve">The cost to respondents was calculated using the Bureau of Labor Statistics (BLS) job code for Social </w:t>
      </w:r>
      <w:r w:rsidR="00993E92">
        <w:rPr>
          <w:rFonts w:ascii="Times New Roman" w:hAnsi="Times New Roman"/>
          <w:snapToGrid/>
          <w:sz w:val="24"/>
          <w:szCs w:val="24"/>
        </w:rPr>
        <w:t xml:space="preserve">and Community </w:t>
      </w:r>
      <w:r w:rsidRPr="003263D8">
        <w:rPr>
          <w:rFonts w:ascii="Times New Roman" w:hAnsi="Times New Roman"/>
          <w:snapToGrid/>
          <w:sz w:val="24"/>
          <w:szCs w:val="24"/>
        </w:rPr>
        <w:t>Service Managers [11-9151] and wage data from May 202</w:t>
      </w:r>
      <w:r w:rsidR="00993E92">
        <w:rPr>
          <w:rFonts w:ascii="Times New Roman" w:hAnsi="Times New Roman"/>
          <w:snapToGrid/>
          <w:sz w:val="24"/>
          <w:szCs w:val="24"/>
        </w:rPr>
        <w:t>4</w:t>
      </w:r>
      <w:r w:rsidRPr="003263D8">
        <w:rPr>
          <w:rFonts w:ascii="Times New Roman" w:hAnsi="Times New Roman"/>
          <w:snapToGrid/>
          <w:sz w:val="24"/>
          <w:szCs w:val="24"/>
        </w:rPr>
        <w:t>, which is $</w:t>
      </w:r>
      <w:r w:rsidR="00993E92">
        <w:rPr>
          <w:rFonts w:ascii="Times New Roman" w:hAnsi="Times New Roman"/>
          <w:snapToGrid/>
          <w:sz w:val="24"/>
          <w:szCs w:val="24"/>
        </w:rPr>
        <w:t>41.39</w:t>
      </w:r>
      <w:r w:rsidRPr="003263D8">
        <w:rPr>
          <w:rFonts w:ascii="Times New Roman" w:hAnsi="Times New Roman"/>
          <w:snapToGrid/>
          <w:sz w:val="24"/>
          <w:szCs w:val="24"/>
        </w:rPr>
        <w:t xml:space="preserve"> per hour. To account for fringe benefits and overhead the rate was multiplied by two which is $</w:t>
      </w:r>
      <w:r w:rsidR="00224D84">
        <w:rPr>
          <w:rFonts w:ascii="Times New Roman" w:hAnsi="Times New Roman"/>
          <w:snapToGrid/>
          <w:sz w:val="24"/>
          <w:szCs w:val="24"/>
        </w:rPr>
        <w:t>82.78</w:t>
      </w:r>
      <w:r w:rsidRPr="003263D8">
        <w:rPr>
          <w:rFonts w:ascii="Times New Roman" w:hAnsi="Times New Roman"/>
          <w:snapToGrid/>
          <w:sz w:val="24"/>
          <w:szCs w:val="24"/>
        </w:rPr>
        <w:t>. The estimate of annualized cost to respondents for hour burden is $</w:t>
      </w:r>
      <w:r w:rsidR="00DF6C28">
        <w:rPr>
          <w:rFonts w:ascii="Times New Roman" w:hAnsi="Times New Roman"/>
          <w:snapToGrid/>
          <w:sz w:val="24"/>
          <w:szCs w:val="24"/>
        </w:rPr>
        <w:t>82.78</w:t>
      </w:r>
      <w:r w:rsidRPr="003263D8">
        <w:rPr>
          <w:rFonts w:ascii="Times New Roman" w:hAnsi="Times New Roman"/>
          <w:snapToGrid/>
          <w:sz w:val="24"/>
          <w:szCs w:val="24"/>
        </w:rPr>
        <w:t xml:space="preserve"> times </w:t>
      </w:r>
      <w:r w:rsidR="00DF6C28">
        <w:rPr>
          <w:rFonts w:ascii="Times New Roman" w:hAnsi="Times New Roman"/>
          <w:snapToGrid/>
          <w:sz w:val="24"/>
          <w:szCs w:val="24"/>
        </w:rPr>
        <w:t>441</w:t>
      </w:r>
      <w:r w:rsidRPr="003263D8">
        <w:rPr>
          <w:rFonts w:ascii="Times New Roman" w:hAnsi="Times New Roman"/>
          <w:snapToGrid/>
          <w:sz w:val="24"/>
          <w:szCs w:val="24"/>
        </w:rPr>
        <w:t xml:space="preserve"> hours or $</w:t>
      </w:r>
      <w:r w:rsidR="00DF6C28">
        <w:rPr>
          <w:rFonts w:ascii="Times New Roman" w:hAnsi="Times New Roman"/>
          <w:snapToGrid/>
          <w:sz w:val="24"/>
          <w:szCs w:val="24"/>
        </w:rPr>
        <w:t>36,506</w:t>
      </w:r>
      <w:r w:rsidRPr="003263D8">
        <w:rPr>
          <w:rFonts w:ascii="Times New Roman" w:hAnsi="Times New Roman"/>
          <w:snapToGrid/>
          <w:sz w:val="24"/>
          <w:szCs w:val="24"/>
        </w:rPr>
        <w:t>.</w:t>
      </w:r>
      <w:r w:rsidR="00177E2A">
        <w:rPr>
          <w:rFonts w:ascii="Times New Roman" w:hAnsi="Times New Roman"/>
          <w:snapToGrid/>
          <w:sz w:val="24"/>
          <w:szCs w:val="24"/>
        </w:rPr>
        <w:t xml:space="preserve"> </w:t>
      </w:r>
      <w:hyperlink r:id="rId10" w:anchor="/industry/000000" w:history="1">
        <w:r w:rsidRPr="009C300E" w:rsidR="00177E2A">
          <w:rPr>
            <w:rStyle w:val="Hyperlink"/>
            <w:rFonts w:ascii="Times New Roman" w:hAnsi="Times New Roman"/>
            <w:snapToGrid/>
            <w:sz w:val="24"/>
            <w:szCs w:val="24"/>
          </w:rPr>
          <w:t>https://data.bls.gov/oes/#/industry/000000</w:t>
        </w:r>
      </w:hyperlink>
    </w:p>
    <w:p w:rsidR="00177E2A" w:rsidRPr="004F7B95" w:rsidP="00DE529D" w14:paraId="3C3EFD0F"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E35014" w:rsidRPr="00E35014" w:rsidP="00E35014" w14:paraId="6B63379C" w14:textId="77777777">
      <w:pPr>
        <w:widowControl/>
        <w:ind w:left="360"/>
        <w:rPr>
          <w:rFonts w:ascii="Times New Roman" w:hAnsi="Times New Roman"/>
          <w:snapToGrid/>
          <w:sz w:val="24"/>
          <w:szCs w:val="24"/>
        </w:rPr>
      </w:pPr>
      <w:r w:rsidRPr="00E35014">
        <w:rPr>
          <w:rFonts w:ascii="Times New Roman" w:hAnsi="Times New Roman"/>
          <w:snapToGrid/>
          <w:sz w:val="24"/>
          <w:szCs w:val="24"/>
        </w:rPr>
        <w:t xml:space="preserve">There are no other costs </w:t>
      </w:r>
      <w:r w:rsidRPr="00E35014">
        <w:rPr>
          <w:rFonts w:ascii="Times New Roman" w:hAnsi="Times New Roman"/>
          <w:snapToGrid/>
          <w:sz w:val="24"/>
          <w:szCs w:val="24"/>
        </w:rPr>
        <w:t>to</w:t>
      </w:r>
      <w:r w:rsidRPr="00E35014">
        <w:rPr>
          <w:rFonts w:ascii="Times New Roman" w:hAnsi="Times New Roman"/>
          <w:snapToGrid/>
          <w:sz w:val="24"/>
          <w:szCs w:val="24"/>
        </w:rPr>
        <w:t xml:space="preserve"> respondents and record keepers.</w:t>
      </w:r>
    </w:p>
    <w:p w:rsidR="00D60543" w:rsidP="00DE529D" w14:paraId="2FEAF873" w14:textId="77777777">
      <w:pPr>
        <w:widowControl/>
        <w:ind w:left="360"/>
        <w:rPr>
          <w:rFonts w:ascii="Times New Roman" w:hAnsi="Times New Roman"/>
          <w:snapToGrid/>
          <w:sz w:val="24"/>
          <w:szCs w:val="24"/>
        </w:rPr>
      </w:pPr>
    </w:p>
    <w:p w:rsidR="002C3C4F" w:rsidRPr="00075889" w:rsidP="00817E2B" w14:paraId="3C0D7334" w14:textId="646A477C">
      <w:pPr>
        <w:widowControl/>
        <w:numPr>
          <w:ilvl w:val="0"/>
          <w:numId w:val="3"/>
        </w:numPr>
        <w:tabs>
          <w:tab w:val="num" w:pos="360"/>
        </w:tabs>
        <w:spacing w:after="120"/>
        <w:ind w:left="360"/>
        <w:rPr>
          <w:rFonts w:ascii="Times New Roman" w:hAnsi="Times New Roman"/>
          <w:b/>
          <w:snapToGrid/>
          <w:sz w:val="24"/>
          <w:szCs w:val="24"/>
        </w:rPr>
      </w:pPr>
      <w:r>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45"/>
        <w:gridCol w:w="1350"/>
        <w:gridCol w:w="1530"/>
        <w:gridCol w:w="990"/>
        <w:gridCol w:w="1800"/>
        <w:gridCol w:w="1260"/>
      </w:tblGrid>
      <w:tr w14:paraId="21CE6221" w14:textId="77777777" w:rsidTr="00177E2A">
        <w:tblPrEx>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245" w:type="dxa"/>
            <w:shd w:val="clear" w:color="auto" w:fill="BFBFBF"/>
            <w:vAlign w:val="center"/>
          </w:tcPr>
          <w:p w:rsidR="00A7505A" w:rsidRPr="00405C10" w:rsidP="0034769E" w14:paraId="7D5899E0"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350" w:type="dxa"/>
            <w:shd w:val="clear" w:color="auto" w:fill="BFBFBF"/>
            <w:vAlign w:val="center"/>
          </w:tcPr>
          <w:p w:rsidR="00A7505A" w:rsidRPr="00405C10" w:rsidP="0034769E" w14:paraId="4B14212F" w14:textId="77777777">
            <w:pPr>
              <w:jc w:val="center"/>
              <w:rPr>
                <w:rFonts w:ascii="Times New Roman" w:hAnsi="Times New Roman"/>
                <w:szCs w:val="24"/>
              </w:rPr>
            </w:pPr>
            <w:r w:rsidRPr="00405C10">
              <w:rPr>
                <w:rFonts w:ascii="Times New Roman" w:hAnsi="Times New Roman"/>
                <w:szCs w:val="24"/>
              </w:rPr>
              <w:t xml:space="preserve">Total Number of </w:t>
            </w:r>
            <w:r>
              <w:rPr>
                <w:rFonts w:ascii="Times New Roman" w:hAnsi="Times New Roman"/>
                <w:szCs w:val="24"/>
              </w:rPr>
              <w:t>Federal Employees</w:t>
            </w:r>
          </w:p>
        </w:tc>
        <w:tc>
          <w:tcPr>
            <w:tcW w:w="1530" w:type="dxa"/>
            <w:shd w:val="clear" w:color="auto" w:fill="BFBFBF"/>
            <w:vAlign w:val="center"/>
          </w:tcPr>
          <w:p w:rsidR="00A7505A" w:rsidRPr="00405C10" w:rsidP="0034769E" w14:paraId="5E49D6D3" w14:textId="77777777">
            <w:pPr>
              <w:jc w:val="center"/>
              <w:rPr>
                <w:rFonts w:ascii="Times New Roman" w:hAnsi="Times New Roman"/>
                <w:szCs w:val="24"/>
              </w:rPr>
            </w:pPr>
            <w:r>
              <w:rPr>
                <w:rFonts w:ascii="Times New Roman" w:hAnsi="Times New Roman"/>
                <w:szCs w:val="24"/>
              </w:rPr>
              <w:t>Average Number of Hours Per Staff</w:t>
            </w:r>
          </w:p>
        </w:tc>
        <w:tc>
          <w:tcPr>
            <w:tcW w:w="990" w:type="dxa"/>
            <w:shd w:val="clear" w:color="auto" w:fill="BFBFBF"/>
            <w:vAlign w:val="center"/>
          </w:tcPr>
          <w:p w:rsidR="00A7505A" w:rsidRPr="00405C10" w:rsidP="0034769E" w14:paraId="51C332D2" w14:textId="77777777">
            <w:pPr>
              <w:jc w:val="center"/>
              <w:rPr>
                <w:rFonts w:ascii="Times New Roman" w:hAnsi="Times New Roman"/>
                <w:szCs w:val="24"/>
              </w:rPr>
            </w:pPr>
            <w:r>
              <w:rPr>
                <w:rFonts w:ascii="Times New Roman" w:hAnsi="Times New Roman"/>
                <w:szCs w:val="24"/>
              </w:rPr>
              <w:t>Average Total Number of Hours</w:t>
            </w:r>
          </w:p>
        </w:tc>
        <w:tc>
          <w:tcPr>
            <w:tcW w:w="1800" w:type="dxa"/>
            <w:shd w:val="clear" w:color="auto" w:fill="BFBFBF"/>
            <w:vAlign w:val="center"/>
          </w:tcPr>
          <w:p w:rsidR="00A7505A" w:rsidRPr="00405C10" w:rsidP="0034769E" w14:paraId="488177C8" w14:textId="77777777">
            <w:pPr>
              <w:jc w:val="center"/>
              <w:rPr>
                <w:rFonts w:ascii="Times New Roman" w:hAnsi="Times New Roman"/>
                <w:szCs w:val="24"/>
              </w:rPr>
            </w:pPr>
            <w:r w:rsidRPr="00405C10">
              <w:rPr>
                <w:rFonts w:ascii="Times New Roman" w:hAnsi="Times New Roman"/>
                <w:bCs/>
                <w:szCs w:val="24"/>
              </w:rPr>
              <w:t>Average Hourly Wage</w:t>
            </w:r>
          </w:p>
        </w:tc>
        <w:tc>
          <w:tcPr>
            <w:tcW w:w="1260" w:type="dxa"/>
            <w:shd w:val="clear" w:color="auto" w:fill="BFBFBF"/>
            <w:vAlign w:val="center"/>
          </w:tcPr>
          <w:p w:rsidR="00A7505A" w:rsidRPr="00405C10" w:rsidP="0034769E" w14:paraId="29DD172A" w14:textId="77777777">
            <w:pPr>
              <w:jc w:val="center"/>
              <w:rPr>
                <w:rFonts w:ascii="Times New Roman" w:hAnsi="Times New Roman"/>
                <w:szCs w:val="24"/>
              </w:rPr>
            </w:pPr>
            <w:r w:rsidRPr="00405C10">
              <w:rPr>
                <w:rFonts w:ascii="Times New Roman" w:hAnsi="Times New Roman"/>
                <w:bCs/>
                <w:szCs w:val="24"/>
              </w:rPr>
              <w:t>Total Annual Cost</w:t>
            </w:r>
          </w:p>
        </w:tc>
      </w:tr>
      <w:tr w14:paraId="0CB09F1C" w14:textId="77777777" w:rsidTr="00177E2A">
        <w:tblPrEx>
          <w:tblW w:w="9175" w:type="dxa"/>
          <w:jc w:val="center"/>
          <w:tblLayout w:type="fixed"/>
          <w:tblLook w:val="00A0"/>
        </w:tblPrEx>
        <w:trPr>
          <w:trHeight w:val="432"/>
          <w:jc w:val="center"/>
        </w:trPr>
        <w:tc>
          <w:tcPr>
            <w:tcW w:w="2245" w:type="dxa"/>
            <w:vAlign w:val="center"/>
          </w:tcPr>
          <w:p w:rsidR="00C35961" w:rsidRPr="00405C10" w:rsidP="00C35961" w14:paraId="0597447D" w14:textId="77777777">
            <w:pPr>
              <w:tabs>
                <w:tab w:val="center" w:pos="4320"/>
                <w:tab w:val="right" w:pos="8640"/>
              </w:tabs>
              <w:rPr>
                <w:rFonts w:ascii="Times New Roman" w:hAnsi="Times New Roman"/>
                <w:szCs w:val="24"/>
              </w:rPr>
            </w:pPr>
            <w:r>
              <w:rPr>
                <w:rFonts w:ascii="Times New Roman" w:hAnsi="Times New Roman"/>
                <w:szCs w:val="24"/>
              </w:rPr>
              <w:t>Program Data Points Form (PDPs)</w:t>
            </w:r>
          </w:p>
        </w:tc>
        <w:tc>
          <w:tcPr>
            <w:tcW w:w="1350" w:type="dxa"/>
            <w:vAlign w:val="center"/>
          </w:tcPr>
          <w:p w:rsidR="00C35961" w:rsidRPr="00A87F5C" w:rsidP="00C35961" w14:paraId="172B213E" w14:textId="77777777">
            <w:pPr>
              <w:tabs>
                <w:tab w:val="center" w:pos="4320"/>
                <w:tab w:val="right" w:pos="8640"/>
              </w:tabs>
              <w:jc w:val="center"/>
              <w:rPr>
                <w:rFonts w:ascii="Times New Roman" w:hAnsi="Times New Roman"/>
                <w:szCs w:val="24"/>
              </w:rPr>
            </w:pPr>
            <w:r>
              <w:rPr>
                <w:rFonts w:ascii="Times New Roman" w:hAnsi="Times New Roman"/>
                <w:szCs w:val="24"/>
              </w:rPr>
              <w:t xml:space="preserve">2 </w:t>
            </w:r>
          </w:p>
        </w:tc>
        <w:tc>
          <w:tcPr>
            <w:tcW w:w="1530" w:type="dxa"/>
            <w:vAlign w:val="center"/>
          </w:tcPr>
          <w:p w:rsidR="00C35961" w:rsidRPr="00405C10" w:rsidP="00C35961" w14:paraId="6CA6F2FB" w14:textId="77777777">
            <w:pPr>
              <w:tabs>
                <w:tab w:val="center" w:pos="4320"/>
                <w:tab w:val="right" w:pos="8640"/>
              </w:tabs>
              <w:jc w:val="center"/>
              <w:rPr>
                <w:rFonts w:ascii="Times New Roman" w:hAnsi="Times New Roman"/>
                <w:szCs w:val="24"/>
              </w:rPr>
            </w:pPr>
            <w:r>
              <w:rPr>
                <w:rFonts w:ascii="Times New Roman" w:hAnsi="Times New Roman"/>
                <w:szCs w:val="24"/>
              </w:rPr>
              <w:t>20</w:t>
            </w:r>
          </w:p>
        </w:tc>
        <w:tc>
          <w:tcPr>
            <w:tcW w:w="990" w:type="dxa"/>
            <w:vAlign w:val="center"/>
          </w:tcPr>
          <w:p w:rsidR="00C35961" w:rsidRPr="00405C10" w:rsidP="00C35961" w14:paraId="5BC46E82" w14:textId="77777777">
            <w:pPr>
              <w:tabs>
                <w:tab w:val="center" w:pos="4320"/>
                <w:tab w:val="right" w:pos="8640"/>
              </w:tabs>
              <w:jc w:val="center"/>
              <w:rPr>
                <w:rFonts w:ascii="Times New Roman" w:hAnsi="Times New Roman"/>
                <w:szCs w:val="24"/>
              </w:rPr>
            </w:pPr>
            <w:r>
              <w:rPr>
                <w:rFonts w:ascii="Times New Roman" w:hAnsi="Times New Roman"/>
                <w:szCs w:val="24"/>
              </w:rPr>
              <w:t>40</w:t>
            </w:r>
          </w:p>
        </w:tc>
        <w:tc>
          <w:tcPr>
            <w:tcW w:w="1800" w:type="dxa"/>
            <w:vAlign w:val="center"/>
          </w:tcPr>
          <w:p w:rsidR="00C35961" w:rsidRPr="00405C10" w:rsidP="00C35961" w14:paraId="19D05DA7" w14:textId="7E7B665D">
            <w:pPr>
              <w:tabs>
                <w:tab w:val="center" w:pos="4320"/>
                <w:tab w:val="right" w:pos="8640"/>
              </w:tabs>
              <w:jc w:val="center"/>
              <w:rPr>
                <w:rFonts w:ascii="Times New Roman" w:hAnsi="Times New Roman"/>
                <w:szCs w:val="24"/>
              </w:rPr>
            </w:pPr>
            <w:r>
              <w:rPr>
                <w:rFonts w:ascii="Times New Roman" w:hAnsi="Times New Roman"/>
                <w:szCs w:val="24"/>
              </w:rPr>
              <w:t>$</w:t>
            </w:r>
            <w:r w:rsidR="007B79E3">
              <w:rPr>
                <w:rFonts w:ascii="Times New Roman" w:hAnsi="Times New Roman"/>
                <w:szCs w:val="24"/>
              </w:rPr>
              <w:t>121.76</w:t>
            </w:r>
          </w:p>
        </w:tc>
        <w:tc>
          <w:tcPr>
            <w:tcW w:w="1260" w:type="dxa"/>
            <w:vAlign w:val="center"/>
          </w:tcPr>
          <w:p w:rsidR="00C35961" w:rsidRPr="00405C10" w:rsidP="00C35961" w14:paraId="69A57CC6" w14:textId="5F12E961">
            <w:pPr>
              <w:tabs>
                <w:tab w:val="center" w:pos="4320"/>
                <w:tab w:val="right" w:pos="8640"/>
              </w:tabs>
              <w:jc w:val="center"/>
              <w:rPr>
                <w:rFonts w:ascii="Times New Roman" w:hAnsi="Times New Roman"/>
                <w:szCs w:val="24"/>
              </w:rPr>
            </w:pPr>
            <w:r>
              <w:rPr>
                <w:rFonts w:ascii="Times New Roman" w:hAnsi="Times New Roman"/>
                <w:szCs w:val="24"/>
              </w:rPr>
              <w:t>$</w:t>
            </w:r>
            <w:r w:rsidR="007B79E3">
              <w:rPr>
                <w:rFonts w:ascii="Times New Roman" w:hAnsi="Times New Roman"/>
                <w:szCs w:val="24"/>
              </w:rPr>
              <w:t>4,870</w:t>
            </w:r>
          </w:p>
        </w:tc>
      </w:tr>
      <w:tr w14:paraId="0BBB5174" w14:textId="77777777" w:rsidTr="00177E2A">
        <w:tblPrEx>
          <w:tblW w:w="9175" w:type="dxa"/>
          <w:jc w:val="center"/>
          <w:tblLayout w:type="fixed"/>
          <w:tblLook w:val="00A0"/>
        </w:tblPrEx>
        <w:trPr>
          <w:trHeight w:val="432"/>
          <w:jc w:val="center"/>
        </w:trPr>
        <w:tc>
          <w:tcPr>
            <w:tcW w:w="2245" w:type="dxa"/>
            <w:vAlign w:val="center"/>
          </w:tcPr>
          <w:p w:rsidR="00C35961" w:rsidRPr="00405C10" w:rsidP="00C35961" w14:paraId="6ED4AD37" w14:textId="77777777">
            <w:pPr>
              <w:tabs>
                <w:tab w:val="center" w:pos="4320"/>
                <w:tab w:val="right" w:pos="8640"/>
              </w:tabs>
              <w:rPr>
                <w:rFonts w:ascii="Times New Roman" w:hAnsi="Times New Roman"/>
                <w:szCs w:val="24"/>
              </w:rPr>
            </w:pPr>
            <w:r>
              <w:rPr>
                <w:rFonts w:ascii="Times New Roman" w:hAnsi="Times New Roman"/>
                <w:szCs w:val="24"/>
              </w:rPr>
              <w:t>Performance Progress Reports (PPRs) – Parts A and B</w:t>
            </w:r>
          </w:p>
        </w:tc>
        <w:tc>
          <w:tcPr>
            <w:tcW w:w="1350" w:type="dxa"/>
            <w:vAlign w:val="center"/>
          </w:tcPr>
          <w:p w:rsidR="00C35961" w:rsidRPr="00A87F5C" w:rsidP="00C35961" w14:paraId="70061216" w14:textId="77777777">
            <w:pPr>
              <w:tabs>
                <w:tab w:val="center" w:pos="4320"/>
                <w:tab w:val="right" w:pos="8640"/>
              </w:tabs>
              <w:jc w:val="center"/>
              <w:rPr>
                <w:rFonts w:ascii="Times New Roman" w:hAnsi="Times New Roman"/>
                <w:szCs w:val="24"/>
              </w:rPr>
            </w:pPr>
            <w:r>
              <w:rPr>
                <w:rFonts w:ascii="Times New Roman" w:hAnsi="Times New Roman"/>
                <w:szCs w:val="24"/>
              </w:rPr>
              <w:t>2</w:t>
            </w:r>
          </w:p>
        </w:tc>
        <w:tc>
          <w:tcPr>
            <w:tcW w:w="1530" w:type="dxa"/>
            <w:vAlign w:val="center"/>
          </w:tcPr>
          <w:p w:rsidR="00C35961" w:rsidRPr="00405C10" w:rsidP="00C35961" w14:paraId="33F0C09E" w14:textId="77777777">
            <w:pPr>
              <w:tabs>
                <w:tab w:val="center" w:pos="4320"/>
                <w:tab w:val="right" w:pos="8640"/>
              </w:tabs>
              <w:jc w:val="center"/>
              <w:rPr>
                <w:rFonts w:ascii="Times New Roman" w:hAnsi="Times New Roman"/>
                <w:szCs w:val="24"/>
              </w:rPr>
            </w:pPr>
            <w:r>
              <w:rPr>
                <w:rFonts w:ascii="Times New Roman" w:hAnsi="Times New Roman"/>
                <w:szCs w:val="24"/>
              </w:rPr>
              <w:t>18</w:t>
            </w:r>
          </w:p>
        </w:tc>
        <w:tc>
          <w:tcPr>
            <w:tcW w:w="990" w:type="dxa"/>
            <w:vAlign w:val="center"/>
          </w:tcPr>
          <w:p w:rsidR="00C35961" w:rsidRPr="00405C10" w:rsidP="00C35961" w14:paraId="361A3328" w14:textId="77777777">
            <w:pPr>
              <w:tabs>
                <w:tab w:val="center" w:pos="4320"/>
                <w:tab w:val="right" w:pos="8640"/>
              </w:tabs>
              <w:jc w:val="center"/>
              <w:rPr>
                <w:rFonts w:ascii="Times New Roman" w:hAnsi="Times New Roman"/>
                <w:szCs w:val="24"/>
              </w:rPr>
            </w:pPr>
            <w:r>
              <w:rPr>
                <w:rFonts w:ascii="Times New Roman" w:hAnsi="Times New Roman"/>
                <w:szCs w:val="24"/>
              </w:rPr>
              <w:t>36</w:t>
            </w:r>
          </w:p>
        </w:tc>
        <w:tc>
          <w:tcPr>
            <w:tcW w:w="1800" w:type="dxa"/>
            <w:vAlign w:val="center"/>
          </w:tcPr>
          <w:p w:rsidR="00C35961" w:rsidRPr="00405C10" w:rsidP="00C35961" w14:paraId="2629637E" w14:textId="73902825">
            <w:pPr>
              <w:tabs>
                <w:tab w:val="center" w:pos="4320"/>
                <w:tab w:val="right" w:pos="8640"/>
              </w:tabs>
              <w:jc w:val="center"/>
              <w:rPr>
                <w:rFonts w:ascii="Times New Roman" w:hAnsi="Times New Roman"/>
                <w:szCs w:val="24"/>
              </w:rPr>
            </w:pPr>
            <w:r>
              <w:rPr>
                <w:rFonts w:ascii="Times New Roman" w:hAnsi="Times New Roman"/>
                <w:szCs w:val="24"/>
              </w:rPr>
              <w:t>$</w:t>
            </w:r>
            <w:r w:rsidR="007B79E3">
              <w:rPr>
                <w:rFonts w:ascii="Times New Roman" w:hAnsi="Times New Roman"/>
                <w:szCs w:val="24"/>
              </w:rPr>
              <w:t>121.76</w:t>
            </w:r>
          </w:p>
        </w:tc>
        <w:tc>
          <w:tcPr>
            <w:tcW w:w="1260" w:type="dxa"/>
            <w:vAlign w:val="center"/>
          </w:tcPr>
          <w:p w:rsidR="00C35961" w:rsidRPr="00405C10" w:rsidP="00C35961" w14:paraId="1CDAAA13" w14:textId="7C610195">
            <w:pPr>
              <w:tabs>
                <w:tab w:val="center" w:pos="4320"/>
                <w:tab w:val="right" w:pos="8640"/>
              </w:tabs>
              <w:jc w:val="center"/>
              <w:rPr>
                <w:rFonts w:ascii="Times New Roman" w:hAnsi="Times New Roman"/>
                <w:szCs w:val="24"/>
              </w:rPr>
            </w:pPr>
            <w:r>
              <w:rPr>
                <w:rFonts w:ascii="Times New Roman" w:hAnsi="Times New Roman"/>
                <w:szCs w:val="24"/>
              </w:rPr>
              <w:t>$</w:t>
            </w:r>
            <w:r w:rsidR="007B79E3">
              <w:rPr>
                <w:rFonts w:ascii="Times New Roman" w:hAnsi="Times New Roman"/>
                <w:szCs w:val="24"/>
              </w:rPr>
              <w:t>4,383</w:t>
            </w:r>
          </w:p>
        </w:tc>
      </w:tr>
      <w:tr w14:paraId="46A177F8" w14:textId="77777777" w:rsidTr="00177E2A">
        <w:tblPrEx>
          <w:tblW w:w="9175" w:type="dxa"/>
          <w:jc w:val="center"/>
          <w:tblLayout w:type="fixed"/>
          <w:tblLook w:val="00A0"/>
        </w:tblPrEx>
        <w:trPr>
          <w:jc w:val="center"/>
        </w:trPr>
        <w:tc>
          <w:tcPr>
            <w:tcW w:w="5125" w:type="dxa"/>
            <w:gridSpan w:val="3"/>
            <w:vAlign w:val="center"/>
          </w:tcPr>
          <w:p w:rsidR="00D643D2" w:rsidRPr="00405C10" w:rsidP="00D643D2" w14:paraId="2C308B9C"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w:t>
            </w:r>
            <w:r>
              <w:rPr>
                <w:rFonts w:ascii="Times New Roman" w:hAnsi="Times New Roman"/>
                <w:b/>
                <w:szCs w:val="24"/>
              </w:rPr>
              <w:t xml:space="preserve">l Hours </w:t>
            </w:r>
            <w:r w:rsidRPr="00405C10">
              <w:rPr>
                <w:rFonts w:ascii="Times New Roman" w:hAnsi="Times New Roman"/>
                <w:b/>
                <w:szCs w:val="24"/>
              </w:rPr>
              <w:t>Total</w:t>
            </w:r>
            <w:r>
              <w:rPr>
                <w:rFonts w:ascii="Times New Roman" w:hAnsi="Times New Roman"/>
                <w:b/>
                <w:szCs w:val="24"/>
              </w:rPr>
              <w:t>:</w:t>
            </w:r>
          </w:p>
        </w:tc>
        <w:tc>
          <w:tcPr>
            <w:tcW w:w="990" w:type="dxa"/>
            <w:vAlign w:val="center"/>
          </w:tcPr>
          <w:p w:rsidR="00D643D2" w:rsidRPr="00405C10" w:rsidP="00D643D2" w14:paraId="5D68A98D" w14:textId="77777777">
            <w:pPr>
              <w:tabs>
                <w:tab w:val="center" w:pos="4320"/>
                <w:tab w:val="right" w:pos="8640"/>
              </w:tabs>
              <w:jc w:val="center"/>
              <w:rPr>
                <w:rFonts w:ascii="Times New Roman" w:hAnsi="Times New Roman"/>
                <w:b/>
                <w:szCs w:val="24"/>
              </w:rPr>
            </w:pPr>
            <w:r>
              <w:rPr>
                <w:rFonts w:ascii="Times New Roman" w:hAnsi="Times New Roman"/>
                <w:b/>
                <w:szCs w:val="24"/>
              </w:rPr>
              <w:t>76</w:t>
            </w:r>
          </w:p>
        </w:tc>
        <w:tc>
          <w:tcPr>
            <w:tcW w:w="1800" w:type="dxa"/>
            <w:vAlign w:val="center"/>
          </w:tcPr>
          <w:p w:rsidR="00D643D2" w:rsidRPr="00405C10" w:rsidP="00D643D2" w14:paraId="133D63D0" w14:textId="77777777">
            <w:pPr>
              <w:tabs>
                <w:tab w:val="center" w:pos="4320"/>
                <w:tab w:val="right" w:pos="8640"/>
              </w:tabs>
              <w:rPr>
                <w:rFonts w:ascii="Times New Roman" w:hAnsi="Times New Roman"/>
                <w:b/>
                <w:szCs w:val="24"/>
              </w:rPr>
            </w:pPr>
            <w:r w:rsidRPr="00405C10">
              <w:rPr>
                <w:rFonts w:ascii="Times New Roman" w:hAnsi="Times New Roman"/>
                <w:b/>
                <w:szCs w:val="24"/>
              </w:rPr>
              <w:t xml:space="preserve">Estimated Annual Cost Total: </w:t>
            </w:r>
          </w:p>
        </w:tc>
        <w:tc>
          <w:tcPr>
            <w:tcW w:w="1260" w:type="dxa"/>
            <w:vAlign w:val="center"/>
          </w:tcPr>
          <w:p w:rsidR="00D643D2" w:rsidRPr="00405C10" w:rsidP="00D643D2" w14:paraId="352AD105" w14:textId="3086B1EF">
            <w:pPr>
              <w:tabs>
                <w:tab w:val="center" w:pos="4320"/>
                <w:tab w:val="right" w:pos="8640"/>
              </w:tabs>
              <w:jc w:val="center"/>
              <w:rPr>
                <w:rFonts w:ascii="Times New Roman" w:hAnsi="Times New Roman"/>
                <w:b/>
                <w:szCs w:val="24"/>
              </w:rPr>
            </w:pPr>
            <w:r>
              <w:rPr>
                <w:rFonts w:ascii="Times New Roman" w:hAnsi="Times New Roman"/>
                <w:b/>
                <w:szCs w:val="24"/>
              </w:rPr>
              <w:t>$</w:t>
            </w:r>
            <w:r w:rsidR="007B79E3">
              <w:rPr>
                <w:rFonts w:ascii="Times New Roman" w:hAnsi="Times New Roman"/>
                <w:b/>
                <w:szCs w:val="24"/>
              </w:rPr>
              <w:t xml:space="preserve">9,254 </w:t>
            </w:r>
          </w:p>
        </w:tc>
      </w:tr>
    </w:tbl>
    <w:p w:rsidR="007935D5" w:rsidRPr="004F7B95" w:rsidP="00DE529D" w14:paraId="6B09616D" w14:textId="77777777">
      <w:pPr>
        <w:widowControl/>
        <w:ind w:left="360"/>
        <w:rPr>
          <w:rFonts w:ascii="Times New Roman" w:hAnsi="Times New Roman"/>
          <w:snapToGrid/>
          <w:sz w:val="24"/>
          <w:szCs w:val="24"/>
        </w:rPr>
      </w:pPr>
    </w:p>
    <w:p w:rsidR="006160DD" w:rsidRPr="00EC26A5" w:rsidP="006160DD" w14:paraId="277DF86E" w14:textId="1AE17B52">
      <w:pPr>
        <w:widowControl/>
        <w:ind w:left="360"/>
        <w:rPr>
          <w:rFonts w:ascii="Times New Roman" w:hAnsi="Times New Roman"/>
          <w:snapToGrid/>
          <w:sz w:val="24"/>
          <w:szCs w:val="24"/>
        </w:rPr>
      </w:pPr>
      <w:r w:rsidRPr="00EC26A5">
        <w:rPr>
          <w:rFonts w:ascii="Times New Roman" w:hAnsi="Times New Roman"/>
          <w:sz w:val="24"/>
          <w:szCs w:val="24"/>
        </w:rPr>
        <w:t xml:space="preserve">The cost to </w:t>
      </w:r>
      <w:r>
        <w:rPr>
          <w:rFonts w:ascii="Times New Roman" w:hAnsi="Times New Roman"/>
          <w:sz w:val="24"/>
          <w:szCs w:val="24"/>
        </w:rPr>
        <w:t xml:space="preserve">the Federal Government </w:t>
      </w:r>
      <w:r w:rsidRPr="00EC26A5">
        <w:rPr>
          <w:rFonts w:ascii="Times New Roman" w:hAnsi="Times New Roman"/>
          <w:sz w:val="24"/>
          <w:szCs w:val="24"/>
        </w:rPr>
        <w:t>was calculated using the</w:t>
      </w:r>
      <w:r w:rsidR="00D37208">
        <w:rPr>
          <w:rFonts w:ascii="Times New Roman" w:hAnsi="Times New Roman"/>
          <w:sz w:val="24"/>
          <w:szCs w:val="24"/>
        </w:rPr>
        <w:t xml:space="preserve"> average</w:t>
      </w:r>
      <w:r>
        <w:rPr>
          <w:rFonts w:ascii="Times New Roman" w:hAnsi="Times New Roman"/>
          <w:sz w:val="24"/>
          <w:szCs w:val="24"/>
        </w:rPr>
        <w:t xml:space="preserve"> hourly rate for General Schedule 12 and General Schedule 13</w:t>
      </w:r>
      <w:r w:rsidR="00D37208">
        <w:rPr>
          <w:rFonts w:ascii="Times New Roman" w:hAnsi="Times New Roman"/>
          <w:sz w:val="24"/>
          <w:szCs w:val="24"/>
        </w:rPr>
        <w:t>, Step 5</w:t>
      </w:r>
      <w:r>
        <w:rPr>
          <w:rFonts w:ascii="Times New Roman" w:hAnsi="Times New Roman"/>
          <w:sz w:val="24"/>
          <w:szCs w:val="24"/>
        </w:rPr>
        <w:t xml:space="preserve"> positions which is $60.</w:t>
      </w:r>
      <w:r w:rsidR="00D37208">
        <w:rPr>
          <w:rFonts w:ascii="Times New Roman" w:hAnsi="Times New Roman"/>
          <w:sz w:val="24"/>
          <w:szCs w:val="24"/>
        </w:rPr>
        <w:t>8</w:t>
      </w:r>
      <w:r>
        <w:rPr>
          <w:rFonts w:ascii="Times New Roman" w:hAnsi="Times New Roman"/>
          <w:sz w:val="24"/>
          <w:szCs w:val="24"/>
        </w:rPr>
        <w:t>8 per the</w:t>
      </w:r>
      <w:r w:rsidRPr="00EC26A5">
        <w:rPr>
          <w:rFonts w:ascii="Times New Roman" w:hAnsi="Times New Roman"/>
          <w:sz w:val="24"/>
          <w:szCs w:val="24"/>
        </w:rPr>
        <w:t xml:space="preserve"> </w:t>
      </w:r>
      <w:r>
        <w:rPr>
          <w:rFonts w:ascii="Times New Roman" w:hAnsi="Times New Roman"/>
          <w:sz w:val="24"/>
          <w:szCs w:val="24"/>
        </w:rPr>
        <w:t xml:space="preserve">Office of Personnel Management </w:t>
      </w:r>
      <w:r w:rsidRPr="00EC26A5">
        <w:rPr>
          <w:rFonts w:ascii="Times New Roman" w:hAnsi="Times New Roman"/>
          <w:sz w:val="24"/>
          <w:szCs w:val="24"/>
        </w:rPr>
        <w:t>(</w:t>
      </w:r>
      <w:r>
        <w:rPr>
          <w:rFonts w:ascii="Times New Roman" w:hAnsi="Times New Roman"/>
          <w:sz w:val="24"/>
          <w:szCs w:val="24"/>
        </w:rPr>
        <w:t>OPM</w:t>
      </w:r>
      <w:r w:rsidRPr="00EC26A5">
        <w:rPr>
          <w:rFonts w:ascii="Times New Roman" w:hAnsi="Times New Roman"/>
          <w:sz w:val="24"/>
          <w:szCs w:val="24"/>
        </w:rPr>
        <w:t xml:space="preserve">) </w:t>
      </w:r>
      <w:r>
        <w:rPr>
          <w:rFonts w:ascii="Times New Roman" w:hAnsi="Times New Roman"/>
          <w:sz w:val="24"/>
          <w:szCs w:val="24"/>
        </w:rPr>
        <w:t>202</w:t>
      </w:r>
      <w:r w:rsidR="00D37208">
        <w:rPr>
          <w:rFonts w:ascii="Times New Roman" w:hAnsi="Times New Roman"/>
          <w:sz w:val="24"/>
          <w:szCs w:val="24"/>
        </w:rPr>
        <w:t>6</w:t>
      </w:r>
      <w:r>
        <w:rPr>
          <w:rFonts w:ascii="Times New Roman" w:hAnsi="Times New Roman"/>
          <w:sz w:val="24"/>
          <w:szCs w:val="24"/>
        </w:rPr>
        <w:t xml:space="preserve"> General Schedule Locality Pay Tables</w:t>
      </w:r>
      <w:r w:rsidR="00D37208">
        <w:rPr>
          <w:rFonts w:ascii="Times New Roman" w:hAnsi="Times New Roman"/>
          <w:sz w:val="24"/>
          <w:szCs w:val="24"/>
        </w:rPr>
        <w:t xml:space="preserve"> for </w:t>
      </w:r>
      <w:r w:rsidRPr="00D37208" w:rsidR="00D37208">
        <w:rPr>
          <w:rFonts w:ascii="Times New Roman" w:hAnsi="Times New Roman"/>
          <w:sz w:val="24"/>
          <w:szCs w:val="24"/>
        </w:rPr>
        <w:t>Washington-Baltimore-Arlington, DC-MD-VA-WV-PA</w:t>
      </w:r>
      <w:r w:rsidRPr="00EC26A5">
        <w:rPr>
          <w:rFonts w:ascii="Times New Roman" w:hAnsi="Times New Roman"/>
          <w:snapToGrid/>
          <w:sz w:val="24"/>
          <w:szCs w:val="24"/>
        </w:rPr>
        <w:t xml:space="preserve">. To account for fringe benefits and overhead the rate was multiplied by </w:t>
      </w:r>
      <w:r w:rsidRPr="00EC26A5">
        <w:rPr>
          <w:rFonts w:ascii="Times New Roman" w:hAnsi="Times New Roman"/>
          <w:snapToGrid/>
          <w:sz w:val="24"/>
          <w:szCs w:val="24"/>
        </w:rPr>
        <w:t>two</w:t>
      </w:r>
      <w:r w:rsidRPr="00EC26A5">
        <w:rPr>
          <w:rFonts w:ascii="Times New Roman" w:hAnsi="Times New Roman"/>
          <w:snapToGrid/>
          <w:sz w:val="24"/>
          <w:szCs w:val="24"/>
        </w:rPr>
        <w:t xml:space="preserve"> which </w:t>
      </w:r>
      <w:r w:rsidRPr="00EC26A5">
        <w:rPr>
          <w:rFonts w:ascii="Times New Roman" w:hAnsi="Times New Roman"/>
          <w:snapToGrid/>
          <w:sz w:val="24"/>
          <w:szCs w:val="24"/>
        </w:rPr>
        <w:t>is</w:t>
      </w:r>
      <w:r w:rsidRPr="00EC26A5">
        <w:rPr>
          <w:rFonts w:ascii="Times New Roman" w:hAnsi="Times New Roman"/>
          <w:snapToGrid/>
          <w:sz w:val="24"/>
          <w:szCs w:val="24"/>
        </w:rPr>
        <w:t xml:space="preserve"> $</w:t>
      </w:r>
      <w:r w:rsidR="00D37208">
        <w:rPr>
          <w:rFonts w:ascii="Times New Roman" w:hAnsi="Times New Roman"/>
          <w:snapToGrid/>
          <w:sz w:val="24"/>
          <w:szCs w:val="24"/>
        </w:rPr>
        <w:t>121.76</w:t>
      </w:r>
      <w:r w:rsidRPr="00EC26A5">
        <w:rPr>
          <w:rFonts w:ascii="Times New Roman" w:hAnsi="Times New Roman"/>
          <w:snapToGrid/>
          <w:sz w:val="24"/>
          <w:szCs w:val="24"/>
        </w:rPr>
        <w:t xml:space="preserve">. The estimate of annualized cost to </w:t>
      </w:r>
      <w:r>
        <w:rPr>
          <w:rFonts w:ascii="Times New Roman" w:hAnsi="Times New Roman"/>
          <w:snapToGrid/>
          <w:sz w:val="24"/>
          <w:szCs w:val="24"/>
        </w:rPr>
        <w:t xml:space="preserve">the Federal Government </w:t>
      </w:r>
      <w:r w:rsidRPr="00EC26A5">
        <w:rPr>
          <w:rFonts w:ascii="Times New Roman" w:hAnsi="Times New Roman"/>
          <w:snapToGrid/>
          <w:sz w:val="24"/>
          <w:szCs w:val="24"/>
        </w:rPr>
        <w:t>is $</w:t>
      </w:r>
      <w:r w:rsidR="00D37208">
        <w:rPr>
          <w:rFonts w:ascii="Times New Roman" w:hAnsi="Times New Roman"/>
          <w:snapToGrid/>
          <w:sz w:val="24"/>
          <w:szCs w:val="24"/>
        </w:rPr>
        <w:t>121.76</w:t>
      </w:r>
      <w:r>
        <w:rPr>
          <w:rFonts w:ascii="Times New Roman" w:hAnsi="Times New Roman"/>
          <w:snapToGrid/>
          <w:sz w:val="24"/>
          <w:szCs w:val="24"/>
        </w:rPr>
        <w:t xml:space="preserve"> </w:t>
      </w:r>
      <w:r w:rsidRPr="00EC26A5">
        <w:rPr>
          <w:rFonts w:ascii="Times New Roman" w:hAnsi="Times New Roman"/>
          <w:snapToGrid/>
          <w:sz w:val="24"/>
          <w:szCs w:val="24"/>
        </w:rPr>
        <w:t xml:space="preserve">times </w:t>
      </w:r>
      <w:r>
        <w:rPr>
          <w:rFonts w:ascii="Times New Roman" w:hAnsi="Times New Roman"/>
          <w:snapToGrid/>
          <w:sz w:val="24"/>
          <w:szCs w:val="24"/>
        </w:rPr>
        <w:t xml:space="preserve">76 </w:t>
      </w:r>
      <w:r w:rsidRPr="00EC26A5">
        <w:rPr>
          <w:rFonts w:ascii="Times New Roman" w:hAnsi="Times New Roman"/>
          <w:snapToGrid/>
          <w:sz w:val="24"/>
          <w:szCs w:val="24"/>
        </w:rPr>
        <w:t>hours or $</w:t>
      </w:r>
      <w:r>
        <w:rPr>
          <w:rFonts w:ascii="Times New Roman" w:hAnsi="Times New Roman"/>
          <w:snapToGrid/>
          <w:sz w:val="24"/>
          <w:szCs w:val="24"/>
        </w:rPr>
        <w:t>9,161.80.</w:t>
      </w:r>
    </w:p>
    <w:p w:rsidR="00935CED" w:rsidP="006160DD" w14:paraId="653C0321" w14:textId="27B4D1D6">
      <w:pPr>
        <w:widowControl/>
        <w:ind w:left="360"/>
        <w:rPr>
          <w:rFonts w:ascii="Times New Roman" w:hAnsi="Times New Roman"/>
          <w:snapToGrid/>
          <w:sz w:val="24"/>
          <w:szCs w:val="24"/>
        </w:rPr>
      </w:pPr>
      <w:hyperlink r:id="rId11" w:history="1">
        <w:r w:rsidRPr="00537D44">
          <w:rPr>
            <w:rStyle w:val="Hyperlink"/>
            <w:rFonts w:ascii="Times New Roman" w:hAnsi="Times New Roman"/>
            <w:snapToGrid/>
            <w:sz w:val="24"/>
            <w:szCs w:val="24"/>
          </w:rPr>
          <w:t>https://www.opm.gov/policy-data-oversight/pay-leave/salaries-wages/2026/general-schedule/</w:t>
        </w:r>
      </w:hyperlink>
    </w:p>
    <w:p w:rsidR="00D37208" w:rsidP="006160DD" w14:paraId="639BFACA"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A04EF3" w:rsidP="004F7B95" w14:paraId="10D6D58F" w14:textId="014D87F0">
      <w:pPr>
        <w:widowControl/>
        <w:ind w:left="360"/>
        <w:rPr>
          <w:rFonts w:ascii="Times New Roman" w:hAnsi="Times New Roman"/>
          <w:snapToGrid/>
          <w:sz w:val="24"/>
          <w:szCs w:val="24"/>
        </w:rPr>
      </w:pPr>
      <w:r>
        <w:rPr>
          <w:rFonts w:ascii="Times New Roman" w:hAnsi="Times New Roman"/>
          <w:snapToGrid/>
          <w:sz w:val="24"/>
          <w:szCs w:val="24"/>
        </w:rPr>
        <w:t>Th</w:t>
      </w:r>
      <w:r w:rsidR="00984EE4">
        <w:rPr>
          <w:rFonts w:ascii="Times New Roman" w:hAnsi="Times New Roman"/>
          <w:snapToGrid/>
          <w:sz w:val="24"/>
          <w:szCs w:val="24"/>
        </w:rPr>
        <w:t xml:space="preserve">is request is </w:t>
      </w:r>
      <w:r w:rsidR="00C46994">
        <w:rPr>
          <w:rFonts w:ascii="Times New Roman" w:hAnsi="Times New Roman"/>
          <w:snapToGrid/>
          <w:sz w:val="24"/>
          <w:szCs w:val="24"/>
        </w:rPr>
        <w:t xml:space="preserve">to </w:t>
      </w:r>
      <w:r w:rsidR="003B0E9E">
        <w:rPr>
          <w:rFonts w:ascii="Times New Roman" w:hAnsi="Times New Roman"/>
          <w:snapToGrid/>
          <w:sz w:val="24"/>
          <w:szCs w:val="24"/>
        </w:rPr>
        <w:t>exten</w:t>
      </w:r>
      <w:r w:rsidR="00C46994">
        <w:rPr>
          <w:rFonts w:ascii="Times New Roman" w:hAnsi="Times New Roman"/>
          <w:snapToGrid/>
          <w:sz w:val="24"/>
          <w:szCs w:val="24"/>
        </w:rPr>
        <w:t xml:space="preserve">d </w:t>
      </w:r>
      <w:r w:rsidR="003B0E9E">
        <w:rPr>
          <w:rFonts w:ascii="Times New Roman" w:hAnsi="Times New Roman"/>
          <w:snapToGrid/>
          <w:sz w:val="24"/>
          <w:szCs w:val="24"/>
        </w:rPr>
        <w:t xml:space="preserve">an existing data collection </w:t>
      </w:r>
      <w:r w:rsidR="007B79E3">
        <w:rPr>
          <w:rFonts w:ascii="Times New Roman" w:hAnsi="Times New Roman"/>
          <w:snapToGrid/>
          <w:sz w:val="24"/>
          <w:szCs w:val="24"/>
        </w:rPr>
        <w:t xml:space="preserve">system </w:t>
      </w:r>
      <w:r w:rsidR="003B0E9E">
        <w:rPr>
          <w:rFonts w:ascii="Times New Roman" w:hAnsi="Times New Roman"/>
          <w:snapToGrid/>
          <w:sz w:val="24"/>
          <w:szCs w:val="24"/>
        </w:rPr>
        <w:t>with minor changes</w:t>
      </w:r>
      <w:r w:rsidR="00C46994">
        <w:rPr>
          <w:rFonts w:ascii="Times New Roman" w:hAnsi="Times New Roman"/>
          <w:snapToGrid/>
          <w:sz w:val="24"/>
          <w:szCs w:val="24"/>
        </w:rPr>
        <w:t>,</w:t>
      </w:r>
      <w:r w:rsidR="000A6480">
        <w:rPr>
          <w:rFonts w:ascii="Times New Roman" w:hAnsi="Times New Roman"/>
          <w:snapToGrid/>
          <w:sz w:val="24"/>
          <w:szCs w:val="24"/>
        </w:rPr>
        <w:t xml:space="preserve"> </w:t>
      </w:r>
      <w:r w:rsidR="00405132">
        <w:rPr>
          <w:rFonts w:ascii="Times New Roman" w:hAnsi="Times New Roman"/>
          <w:snapToGrid/>
          <w:sz w:val="24"/>
          <w:szCs w:val="24"/>
        </w:rPr>
        <w:t xml:space="preserve">removing </w:t>
      </w:r>
      <w:r w:rsidR="009E68C8">
        <w:rPr>
          <w:rFonts w:ascii="Times New Roman" w:hAnsi="Times New Roman"/>
          <w:snapToGrid/>
          <w:sz w:val="24"/>
          <w:szCs w:val="24"/>
        </w:rPr>
        <w:t xml:space="preserve">a few </w:t>
      </w:r>
      <w:r w:rsidR="00405132">
        <w:rPr>
          <w:rFonts w:ascii="Times New Roman" w:hAnsi="Times New Roman"/>
          <w:snapToGrid/>
          <w:sz w:val="24"/>
          <w:szCs w:val="24"/>
        </w:rPr>
        <w:t xml:space="preserve">subcategories for program </w:t>
      </w:r>
      <w:r w:rsidR="00F8243C">
        <w:rPr>
          <w:rFonts w:ascii="Times New Roman" w:hAnsi="Times New Roman"/>
          <w:snapToGrid/>
          <w:sz w:val="24"/>
          <w:szCs w:val="24"/>
        </w:rPr>
        <w:t>indicators</w:t>
      </w:r>
      <w:r w:rsidR="00C46994">
        <w:rPr>
          <w:rFonts w:ascii="Times New Roman" w:hAnsi="Times New Roman"/>
          <w:snapToGrid/>
          <w:sz w:val="24"/>
          <w:szCs w:val="24"/>
        </w:rPr>
        <w:t xml:space="preserve">, and </w:t>
      </w:r>
      <w:r w:rsidR="005E6D90">
        <w:rPr>
          <w:rFonts w:ascii="Times New Roman" w:hAnsi="Times New Roman"/>
          <w:snapToGrid/>
          <w:sz w:val="24"/>
          <w:szCs w:val="24"/>
        </w:rPr>
        <w:t>reducing</w:t>
      </w:r>
      <w:r w:rsidR="000A6480">
        <w:rPr>
          <w:rFonts w:ascii="Times New Roman" w:hAnsi="Times New Roman"/>
          <w:snapToGrid/>
          <w:sz w:val="24"/>
          <w:szCs w:val="24"/>
        </w:rPr>
        <w:t xml:space="preserve"> </w:t>
      </w:r>
      <w:r w:rsidR="00F8243C">
        <w:rPr>
          <w:rFonts w:ascii="Times New Roman" w:hAnsi="Times New Roman"/>
          <w:snapToGrid/>
          <w:sz w:val="24"/>
          <w:szCs w:val="24"/>
        </w:rPr>
        <w:t xml:space="preserve">the </w:t>
      </w:r>
      <w:r w:rsidR="00BF1C1F">
        <w:rPr>
          <w:rFonts w:ascii="Times New Roman" w:hAnsi="Times New Roman"/>
          <w:snapToGrid/>
          <w:sz w:val="24"/>
          <w:szCs w:val="24"/>
        </w:rPr>
        <w:t xml:space="preserve">amount </w:t>
      </w:r>
      <w:r w:rsidR="00F8243C">
        <w:rPr>
          <w:rFonts w:ascii="Times New Roman" w:hAnsi="Times New Roman"/>
          <w:snapToGrid/>
          <w:sz w:val="24"/>
          <w:szCs w:val="24"/>
        </w:rPr>
        <w:t xml:space="preserve">of </w:t>
      </w:r>
      <w:r w:rsidR="00CF5E2B">
        <w:rPr>
          <w:rFonts w:ascii="Times New Roman" w:hAnsi="Times New Roman"/>
          <w:snapToGrid/>
          <w:sz w:val="24"/>
          <w:szCs w:val="24"/>
        </w:rPr>
        <w:t xml:space="preserve">information </w:t>
      </w:r>
      <w:r w:rsidR="00F8243C">
        <w:rPr>
          <w:rFonts w:ascii="Times New Roman" w:hAnsi="Times New Roman"/>
          <w:snapToGrid/>
          <w:sz w:val="24"/>
          <w:szCs w:val="24"/>
        </w:rPr>
        <w:t>report</w:t>
      </w:r>
      <w:r w:rsidR="00CF5E2B">
        <w:rPr>
          <w:rFonts w:ascii="Times New Roman" w:hAnsi="Times New Roman"/>
          <w:snapToGrid/>
          <w:sz w:val="24"/>
          <w:szCs w:val="24"/>
        </w:rPr>
        <w:t>ed</w:t>
      </w:r>
      <w:r w:rsidR="00F8243C">
        <w:rPr>
          <w:rFonts w:ascii="Times New Roman" w:hAnsi="Times New Roman"/>
          <w:snapToGrid/>
          <w:sz w:val="24"/>
          <w:szCs w:val="24"/>
        </w:rPr>
        <w:t xml:space="preserve"> </w:t>
      </w:r>
      <w:r w:rsidR="00CF5E2B">
        <w:rPr>
          <w:rFonts w:ascii="Times New Roman" w:hAnsi="Times New Roman"/>
          <w:snapToGrid/>
          <w:sz w:val="24"/>
          <w:szCs w:val="24"/>
        </w:rPr>
        <w:t>in</w:t>
      </w:r>
      <w:r w:rsidR="00BF1C1F">
        <w:rPr>
          <w:rFonts w:ascii="Times New Roman" w:hAnsi="Times New Roman"/>
          <w:snapToGrid/>
          <w:sz w:val="24"/>
          <w:szCs w:val="24"/>
        </w:rPr>
        <w:t xml:space="preserve"> </w:t>
      </w:r>
      <w:r w:rsidR="00F8243C">
        <w:rPr>
          <w:rFonts w:ascii="Times New Roman" w:hAnsi="Times New Roman"/>
          <w:snapToGrid/>
          <w:sz w:val="24"/>
          <w:szCs w:val="24"/>
        </w:rPr>
        <w:t>the</w:t>
      </w:r>
      <w:r w:rsidR="000A6480">
        <w:rPr>
          <w:rFonts w:ascii="Times New Roman" w:hAnsi="Times New Roman"/>
          <w:snapToGrid/>
          <w:sz w:val="24"/>
          <w:szCs w:val="24"/>
        </w:rPr>
        <w:t xml:space="preserve"> PPR-B Metrics</w:t>
      </w:r>
      <w:r w:rsidR="005E6D90">
        <w:rPr>
          <w:rFonts w:ascii="Times New Roman" w:hAnsi="Times New Roman"/>
          <w:snapToGrid/>
          <w:sz w:val="24"/>
          <w:szCs w:val="24"/>
        </w:rPr>
        <w:t xml:space="preserve"> </w:t>
      </w:r>
      <w:r w:rsidR="00A37166">
        <w:rPr>
          <w:rFonts w:ascii="Times New Roman" w:hAnsi="Times New Roman"/>
          <w:snapToGrid/>
          <w:sz w:val="24"/>
          <w:szCs w:val="24"/>
        </w:rPr>
        <w:t xml:space="preserve">to </w:t>
      </w:r>
      <w:r w:rsidR="005E6D90">
        <w:rPr>
          <w:rFonts w:ascii="Times New Roman" w:hAnsi="Times New Roman"/>
          <w:snapToGrid/>
          <w:sz w:val="24"/>
          <w:szCs w:val="24"/>
        </w:rPr>
        <w:t xml:space="preserve">minimize </w:t>
      </w:r>
      <w:r w:rsidR="00A37166">
        <w:rPr>
          <w:rFonts w:ascii="Times New Roman" w:hAnsi="Times New Roman"/>
          <w:snapToGrid/>
          <w:sz w:val="24"/>
          <w:szCs w:val="24"/>
        </w:rPr>
        <w:t xml:space="preserve">the burden on respondents. </w:t>
      </w:r>
      <w:r w:rsidR="00405132">
        <w:rPr>
          <w:rFonts w:ascii="Times New Roman" w:hAnsi="Times New Roman"/>
          <w:snapToGrid/>
          <w:sz w:val="24"/>
          <w:szCs w:val="24"/>
        </w:rPr>
        <w:t xml:space="preserve"> </w:t>
      </w:r>
      <w:r w:rsidR="00B84EBE">
        <w:rPr>
          <w:rFonts w:ascii="Times New Roman" w:hAnsi="Times New Roman"/>
          <w:snapToGrid/>
          <w:sz w:val="24"/>
          <w:szCs w:val="24"/>
        </w:rPr>
        <w:t>See section A12 for additional information.</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7935D5" w:rsidP="00DE529D" w14:paraId="6AAAC2FE" w14:textId="5F54AE24">
      <w:pPr>
        <w:widowControl/>
        <w:ind w:left="360"/>
        <w:rPr>
          <w:rFonts w:ascii="Times New Roman" w:hAnsi="Times New Roman"/>
          <w:snapToGrid/>
          <w:sz w:val="24"/>
          <w:szCs w:val="24"/>
        </w:rPr>
      </w:pPr>
      <w:r w:rsidRPr="001934EB">
        <w:rPr>
          <w:rFonts w:ascii="Times New Roman" w:hAnsi="Times New Roman"/>
          <w:snapToGrid/>
          <w:sz w:val="24"/>
          <w:szCs w:val="24"/>
        </w:rPr>
        <w:t xml:space="preserve">No complex analyses are planned for this data. ORR will produce summary information describing the PDP data on an annual basis to share with Congress for appropriation requests </w:t>
      </w:r>
      <w:r w:rsidRPr="001934EB">
        <w:rPr>
          <w:rFonts w:ascii="Times New Roman" w:hAnsi="Times New Roman"/>
          <w:snapToGrid/>
          <w:sz w:val="24"/>
          <w:szCs w:val="24"/>
        </w:rPr>
        <w:t>and annual reports and with SOT program recipients to share trends in the demographics of clients served and service outcomes.</w:t>
      </w:r>
    </w:p>
    <w:p w:rsidR="00D60543" w:rsidP="00DE529D" w14:paraId="34078ADA"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EA0225" w14:paraId="14F40E7C" w14:textId="104364B7">
      <w:pPr>
        <w:widowControl/>
        <w:ind w:left="450" w:hanging="90"/>
        <w:rPr>
          <w:rFonts w:ascii="Times New Roman" w:hAnsi="Times New Roman"/>
          <w:snapToGrid/>
          <w:sz w:val="24"/>
          <w:szCs w:val="24"/>
        </w:rPr>
      </w:pPr>
      <w:r w:rsidRPr="00EA0225">
        <w:rPr>
          <w:rFonts w:ascii="Times New Roman" w:hAnsi="Times New Roman"/>
          <w:snapToGrid/>
          <w:sz w:val="24"/>
          <w:szCs w:val="24"/>
        </w:rPr>
        <w:t>Exemption from displaying OMB expiration date is not being sought.</w:t>
      </w:r>
    </w:p>
    <w:p w:rsidR="00D60543" w:rsidP="00DE529D" w14:paraId="71DC6EEE"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C6643A" w:rsidP="00DE529D" w14:paraId="53A56BC6" w14:textId="5FA83993">
      <w:pPr>
        <w:widowControl/>
        <w:ind w:left="360"/>
        <w:rPr>
          <w:rFonts w:ascii="Times New Roman" w:hAnsi="Times New Roman"/>
          <w:snapToGrid/>
          <w:sz w:val="24"/>
          <w:szCs w:val="24"/>
        </w:rPr>
      </w:pPr>
      <w:r w:rsidRPr="00C6643A">
        <w:rPr>
          <w:rFonts w:ascii="Times New Roman" w:hAnsi="Times New Roman"/>
          <w:snapToGrid/>
          <w:sz w:val="24"/>
          <w:szCs w:val="24"/>
        </w:rPr>
        <w:t>No exceptions are necessary for this information collection.</w:t>
      </w:r>
    </w:p>
    <w:sectPr w:rsidSect="00D356D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440" w:right="1440" w:bottom="162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37DAC" w14:paraId="1F638C99" w14:textId="77777777">
      <w:pPr>
        <w:spacing w:line="20" w:lineRule="exact"/>
        <w:rPr>
          <w:sz w:val="24"/>
        </w:rPr>
      </w:pPr>
    </w:p>
  </w:endnote>
  <w:endnote w:type="continuationSeparator" w:id="1">
    <w:p w:rsidR="00F37DAC" w14:paraId="5B6257FA" w14:textId="77777777">
      <w:r>
        <w:rPr>
          <w:sz w:val="24"/>
        </w:rPr>
        <w:t xml:space="preserve"> </w:t>
      </w:r>
    </w:p>
  </w:endnote>
  <w:endnote w:type="continuationNotice" w:id="2">
    <w:p w:rsidR="00F37DAC" w14:paraId="3B5C1A6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37DAC" w14:paraId="1092B689" w14:textId="77777777">
      <w:r>
        <w:rPr>
          <w:sz w:val="24"/>
        </w:rPr>
        <w:separator/>
      </w:r>
    </w:p>
  </w:footnote>
  <w:footnote w:type="continuationSeparator" w:id="1">
    <w:p w:rsidR="00F37DAC" w14:paraId="03F506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60482621">
    <w:abstractNumId w:val="11"/>
  </w:num>
  <w:num w:numId="2" w16cid:durableId="2130120977">
    <w:abstractNumId w:val="12"/>
  </w:num>
  <w:num w:numId="3" w16cid:durableId="755857553">
    <w:abstractNumId w:val="14"/>
  </w:num>
  <w:num w:numId="4" w16cid:durableId="1398671602">
    <w:abstractNumId w:val="5"/>
  </w:num>
  <w:num w:numId="5" w16cid:durableId="765462529">
    <w:abstractNumId w:val="7"/>
  </w:num>
  <w:num w:numId="6" w16cid:durableId="315693904">
    <w:abstractNumId w:val="10"/>
  </w:num>
  <w:num w:numId="7" w16cid:durableId="178007583">
    <w:abstractNumId w:val="2"/>
  </w:num>
  <w:num w:numId="8" w16cid:durableId="1033530491">
    <w:abstractNumId w:val="9"/>
  </w:num>
  <w:num w:numId="9" w16cid:durableId="989359637">
    <w:abstractNumId w:val="15"/>
  </w:num>
  <w:num w:numId="10" w16cid:durableId="830415426">
    <w:abstractNumId w:val="8"/>
  </w:num>
  <w:num w:numId="11" w16cid:durableId="637036264">
    <w:abstractNumId w:val="6"/>
  </w:num>
  <w:num w:numId="12" w16cid:durableId="2076664211">
    <w:abstractNumId w:val="0"/>
  </w:num>
  <w:num w:numId="13" w16cid:durableId="1765610581">
    <w:abstractNumId w:val="17"/>
  </w:num>
  <w:num w:numId="14" w16cid:durableId="748162206">
    <w:abstractNumId w:val="1"/>
  </w:num>
  <w:num w:numId="15" w16cid:durableId="321588692">
    <w:abstractNumId w:val="3"/>
  </w:num>
  <w:num w:numId="16" w16cid:durableId="1718890444">
    <w:abstractNumId w:val="13"/>
  </w:num>
  <w:num w:numId="17" w16cid:durableId="1699892973">
    <w:abstractNumId w:val="18"/>
  </w:num>
  <w:num w:numId="18" w16cid:durableId="1632665368">
    <w:abstractNumId w:val="4"/>
  </w:num>
  <w:num w:numId="19" w16cid:durableId="247010380">
    <w:abstractNumId w:val="19"/>
  </w:num>
  <w:num w:numId="20" w16cid:durableId="3908104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5038"/>
    <w:rsid w:val="000101E7"/>
    <w:rsid w:val="00014ACF"/>
    <w:rsid w:val="00022586"/>
    <w:rsid w:val="00025B4C"/>
    <w:rsid w:val="00025E16"/>
    <w:rsid w:val="00056C4B"/>
    <w:rsid w:val="000641BC"/>
    <w:rsid w:val="00075889"/>
    <w:rsid w:val="0009007E"/>
    <w:rsid w:val="000A1F7C"/>
    <w:rsid w:val="000A6480"/>
    <w:rsid w:val="000A6A39"/>
    <w:rsid w:val="000D162D"/>
    <w:rsid w:val="000D4254"/>
    <w:rsid w:val="000D47BF"/>
    <w:rsid w:val="000E18B5"/>
    <w:rsid w:val="000E2A2D"/>
    <w:rsid w:val="000F069F"/>
    <w:rsid w:val="000F1C03"/>
    <w:rsid w:val="00102200"/>
    <w:rsid w:val="00117805"/>
    <w:rsid w:val="001337B5"/>
    <w:rsid w:val="00135732"/>
    <w:rsid w:val="001407FD"/>
    <w:rsid w:val="0014145B"/>
    <w:rsid w:val="00160621"/>
    <w:rsid w:val="00177E2A"/>
    <w:rsid w:val="00186385"/>
    <w:rsid w:val="00186EF6"/>
    <w:rsid w:val="001934EB"/>
    <w:rsid w:val="00195D5B"/>
    <w:rsid w:val="001C483C"/>
    <w:rsid w:val="001C7FFE"/>
    <w:rsid w:val="001D0DA1"/>
    <w:rsid w:val="001D1651"/>
    <w:rsid w:val="001D7633"/>
    <w:rsid w:val="00203632"/>
    <w:rsid w:val="00222C7F"/>
    <w:rsid w:val="00224D84"/>
    <w:rsid w:val="00226C42"/>
    <w:rsid w:val="00234235"/>
    <w:rsid w:val="00245150"/>
    <w:rsid w:val="002464EB"/>
    <w:rsid w:val="002509BD"/>
    <w:rsid w:val="00266F33"/>
    <w:rsid w:val="00286B17"/>
    <w:rsid w:val="00290A1C"/>
    <w:rsid w:val="0029589B"/>
    <w:rsid w:val="00296738"/>
    <w:rsid w:val="002B114D"/>
    <w:rsid w:val="002C3C4F"/>
    <w:rsid w:val="002C4F75"/>
    <w:rsid w:val="002D239A"/>
    <w:rsid w:val="002E10D1"/>
    <w:rsid w:val="002E43FB"/>
    <w:rsid w:val="002E6302"/>
    <w:rsid w:val="002F3601"/>
    <w:rsid w:val="002F6622"/>
    <w:rsid w:val="00303921"/>
    <w:rsid w:val="00311148"/>
    <w:rsid w:val="00311936"/>
    <w:rsid w:val="003216EF"/>
    <w:rsid w:val="0032485E"/>
    <w:rsid w:val="003263D8"/>
    <w:rsid w:val="00332D13"/>
    <w:rsid w:val="003341A6"/>
    <w:rsid w:val="003405A4"/>
    <w:rsid w:val="00340746"/>
    <w:rsid w:val="0034769E"/>
    <w:rsid w:val="00354319"/>
    <w:rsid w:val="00356467"/>
    <w:rsid w:val="0035668B"/>
    <w:rsid w:val="0038209B"/>
    <w:rsid w:val="003B0E9E"/>
    <w:rsid w:val="003B176D"/>
    <w:rsid w:val="003B7A50"/>
    <w:rsid w:val="003C1D6E"/>
    <w:rsid w:val="003C4CBB"/>
    <w:rsid w:val="003E6EA3"/>
    <w:rsid w:val="00400F05"/>
    <w:rsid w:val="00402D24"/>
    <w:rsid w:val="00405132"/>
    <w:rsid w:val="00405C10"/>
    <w:rsid w:val="004110F5"/>
    <w:rsid w:val="00422E1D"/>
    <w:rsid w:val="004317FF"/>
    <w:rsid w:val="0043796F"/>
    <w:rsid w:val="00447342"/>
    <w:rsid w:val="004602FE"/>
    <w:rsid w:val="004649AA"/>
    <w:rsid w:val="0046616C"/>
    <w:rsid w:val="00467954"/>
    <w:rsid w:val="004753BB"/>
    <w:rsid w:val="00476C1F"/>
    <w:rsid w:val="00480072"/>
    <w:rsid w:val="004841C5"/>
    <w:rsid w:val="00490457"/>
    <w:rsid w:val="0049119A"/>
    <w:rsid w:val="004943E0"/>
    <w:rsid w:val="0049699B"/>
    <w:rsid w:val="004A16AE"/>
    <w:rsid w:val="004A652F"/>
    <w:rsid w:val="004A785D"/>
    <w:rsid w:val="004C0A59"/>
    <w:rsid w:val="004C7BA9"/>
    <w:rsid w:val="004E699C"/>
    <w:rsid w:val="004F45CE"/>
    <w:rsid w:val="004F7B95"/>
    <w:rsid w:val="00511496"/>
    <w:rsid w:val="0051278C"/>
    <w:rsid w:val="00522C18"/>
    <w:rsid w:val="0052310C"/>
    <w:rsid w:val="005368C7"/>
    <w:rsid w:val="00537D44"/>
    <w:rsid w:val="00541E51"/>
    <w:rsid w:val="00542953"/>
    <w:rsid w:val="00551CEC"/>
    <w:rsid w:val="005520C3"/>
    <w:rsid w:val="00556056"/>
    <w:rsid w:val="0058167D"/>
    <w:rsid w:val="005824BD"/>
    <w:rsid w:val="00597E7F"/>
    <w:rsid w:val="005A6D3E"/>
    <w:rsid w:val="005B00FC"/>
    <w:rsid w:val="005B22D4"/>
    <w:rsid w:val="005B2BB5"/>
    <w:rsid w:val="005C60F1"/>
    <w:rsid w:val="005D1B7E"/>
    <w:rsid w:val="005D274E"/>
    <w:rsid w:val="005D4B40"/>
    <w:rsid w:val="005D61DB"/>
    <w:rsid w:val="005E0B35"/>
    <w:rsid w:val="005E6D90"/>
    <w:rsid w:val="005F0ED4"/>
    <w:rsid w:val="0060001C"/>
    <w:rsid w:val="00603498"/>
    <w:rsid w:val="006160DD"/>
    <w:rsid w:val="006256EB"/>
    <w:rsid w:val="00634E1D"/>
    <w:rsid w:val="00640565"/>
    <w:rsid w:val="00641D83"/>
    <w:rsid w:val="00651F0F"/>
    <w:rsid w:val="00664BBD"/>
    <w:rsid w:val="00681E38"/>
    <w:rsid w:val="006971DA"/>
    <w:rsid w:val="006B1006"/>
    <w:rsid w:val="006B2726"/>
    <w:rsid w:val="006D1643"/>
    <w:rsid w:val="006E48BA"/>
    <w:rsid w:val="006E6629"/>
    <w:rsid w:val="006F062D"/>
    <w:rsid w:val="006F589F"/>
    <w:rsid w:val="006F68BE"/>
    <w:rsid w:val="00707AFB"/>
    <w:rsid w:val="00713E42"/>
    <w:rsid w:val="00722358"/>
    <w:rsid w:val="00746492"/>
    <w:rsid w:val="00762C40"/>
    <w:rsid w:val="00764654"/>
    <w:rsid w:val="00786793"/>
    <w:rsid w:val="00790D2C"/>
    <w:rsid w:val="007935D5"/>
    <w:rsid w:val="007A0FBE"/>
    <w:rsid w:val="007B16A4"/>
    <w:rsid w:val="007B79E3"/>
    <w:rsid w:val="007C5923"/>
    <w:rsid w:val="007E48CC"/>
    <w:rsid w:val="007F68EA"/>
    <w:rsid w:val="0080325F"/>
    <w:rsid w:val="008032E7"/>
    <w:rsid w:val="0081085C"/>
    <w:rsid w:val="00817E2B"/>
    <w:rsid w:val="00821177"/>
    <w:rsid w:val="0082140A"/>
    <w:rsid w:val="00841BDF"/>
    <w:rsid w:val="00842589"/>
    <w:rsid w:val="00844513"/>
    <w:rsid w:val="0084609A"/>
    <w:rsid w:val="00846E18"/>
    <w:rsid w:val="00854F23"/>
    <w:rsid w:val="008900A8"/>
    <w:rsid w:val="008955AC"/>
    <w:rsid w:val="008A3273"/>
    <w:rsid w:val="008D0C3C"/>
    <w:rsid w:val="008F7221"/>
    <w:rsid w:val="009113FF"/>
    <w:rsid w:val="00931393"/>
    <w:rsid w:val="009349D0"/>
    <w:rsid w:val="00935CED"/>
    <w:rsid w:val="00936A53"/>
    <w:rsid w:val="009443B8"/>
    <w:rsid w:val="009451B1"/>
    <w:rsid w:val="00945B72"/>
    <w:rsid w:val="00957799"/>
    <w:rsid w:val="00962045"/>
    <w:rsid w:val="00966622"/>
    <w:rsid w:val="00984EE4"/>
    <w:rsid w:val="00993E92"/>
    <w:rsid w:val="009A3FB9"/>
    <w:rsid w:val="009B7A70"/>
    <w:rsid w:val="009C2DE1"/>
    <w:rsid w:val="009C300E"/>
    <w:rsid w:val="009C5213"/>
    <w:rsid w:val="009D789F"/>
    <w:rsid w:val="009E6157"/>
    <w:rsid w:val="009E68C8"/>
    <w:rsid w:val="009F5543"/>
    <w:rsid w:val="009F58E1"/>
    <w:rsid w:val="00A04EF3"/>
    <w:rsid w:val="00A05B31"/>
    <w:rsid w:val="00A061B9"/>
    <w:rsid w:val="00A159FC"/>
    <w:rsid w:val="00A160B5"/>
    <w:rsid w:val="00A37166"/>
    <w:rsid w:val="00A421E5"/>
    <w:rsid w:val="00A45F0C"/>
    <w:rsid w:val="00A5573B"/>
    <w:rsid w:val="00A61AC0"/>
    <w:rsid w:val="00A733A6"/>
    <w:rsid w:val="00A7505A"/>
    <w:rsid w:val="00A77AC0"/>
    <w:rsid w:val="00A77BF5"/>
    <w:rsid w:val="00A879F5"/>
    <w:rsid w:val="00A87F5C"/>
    <w:rsid w:val="00A918E4"/>
    <w:rsid w:val="00A9231F"/>
    <w:rsid w:val="00A95951"/>
    <w:rsid w:val="00AA7B9B"/>
    <w:rsid w:val="00AB2620"/>
    <w:rsid w:val="00AD5665"/>
    <w:rsid w:val="00AD5ED7"/>
    <w:rsid w:val="00AE1368"/>
    <w:rsid w:val="00AE4103"/>
    <w:rsid w:val="00AF1A9C"/>
    <w:rsid w:val="00AF399C"/>
    <w:rsid w:val="00AF4347"/>
    <w:rsid w:val="00AF5FE7"/>
    <w:rsid w:val="00B001FE"/>
    <w:rsid w:val="00B14349"/>
    <w:rsid w:val="00B252FD"/>
    <w:rsid w:val="00B26652"/>
    <w:rsid w:val="00B27347"/>
    <w:rsid w:val="00B3772B"/>
    <w:rsid w:val="00B70827"/>
    <w:rsid w:val="00B716A7"/>
    <w:rsid w:val="00B754C5"/>
    <w:rsid w:val="00B84243"/>
    <w:rsid w:val="00B84EBE"/>
    <w:rsid w:val="00BC3444"/>
    <w:rsid w:val="00BC38FD"/>
    <w:rsid w:val="00BD378C"/>
    <w:rsid w:val="00BD5055"/>
    <w:rsid w:val="00BF1C1F"/>
    <w:rsid w:val="00BF37A3"/>
    <w:rsid w:val="00BF42C5"/>
    <w:rsid w:val="00C02282"/>
    <w:rsid w:val="00C13BA6"/>
    <w:rsid w:val="00C13E7E"/>
    <w:rsid w:val="00C22D3C"/>
    <w:rsid w:val="00C31D14"/>
    <w:rsid w:val="00C35961"/>
    <w:rsid w:val="00C46994"/>
    <w:rsid w:val="00C6643A"/>
    <w:rsid w:val="00C70C16"/>
    <w:rsid w:val="00C77745"/>
    <w:rsid w:val="00C90589"/>
    <w:rsid w:val="00CA458D"/>
    <w:rsid w:val="00CB1A12"/>
    <w:rsid w:val="00CD3BE1"/>
    <w:rsid w:val="00CE3477"/>
    <w:rsid w:val="00CE53AB"/>
    <w:rsid w:val="00CE6182"/>
    <w:rsid w:val="00CF5E2B"/>
    <w:rsid w:val="00D02EF1"/>
    <w:rsid w:val="00D176EB"/>
    <w:rsid w:val="00D203FE"/>
    <w:rsid w:val="00D344B2"/>
    <w:rsid w:val="00D356D3"/>
    <w:rsid w:val="00D37208"/>
    <w:rsid w:val="00D6023E"/>
    <w:rsid w:val="00D60543"/>
    <w:rsid w:val="00D60FAC"/>
    <w:rsid w:val="00D643D2"/>
    <w:rsid w:val="00D67D80"/>
    <w:rsid w:val="00D7443D"/>
    <w:rsid w:val="00D806D3"/>
    <w:rsid w:val="00D9034B"/>
    <w:rsid w:val="00D9648C"/>
    <w:rsid w:val="00D9720E"/>
    <w:rsid w:val="00DB2443"/>
    <w:rsid w:val="00DC1C23"/>
    <w:rsid w:val="00DE529D"/>
    <w:rsid w:val="00DF5D33"/>
    <w:rsid w:val="00DF6C28"/>
    <w:rsid w:val="00E01B4E"/>
    <w:rsid w:val="00E03559"/>
    <w:rsid w:val="00E11D5A"/>
    <w:rsid w:val="00E26F6B"/>
    <w:rsid w:val="00E27046"/>
    <w:rsid w:val="00E35014"/>
    <w:rsid w:val="00E368FB"/>
    <w:rsid w:val="00E4383A"/>
    <w:rsid w:val="00E6531C"/>
    <w:rsid w:val="00E66F92"/>
    <w:rsid w:val="00E73FC2"/>
    <w:rsid w:val="00EA0225"/>
    <w:rsid w:val="00EB41A7"/>
    <w:rsid w:val="00EC26A5"/>
    <w:rsid w:val="00EC698B"/>
    <w:rsid w:val="00ED782E"/>
    <w:rsid w:val="00EF7AC9"/>
    <w:rsid w:val="00F02021"/>
    <w:rsid w:val="00F10B17"/>
    <w:rsid w:val="00F17811"/>
    <w:rsid w:val="00F210CA"/>
    <w:rsid w:val="00F23A1E"/>
    <w:rsid w:val="00F35FDF"/>
    <w:rsid w:val="00F37D21"/>
    <w:rsid w:val="00F37DAC"/>
    <w:rsid w:val="00F441F2"/>
    <w:rsid w:val="00F45D13"/>
    <w:rsid w:val="00F711F9"/>
    <w:rsid w:val="00F73B1F"/>
    <w:rsid w:val="00F8243C"/>
    <w:rsid w:val="00F83116"/>
    <w:rsid w:val="00F85B1E"/>
    <w:rsid w:val="00FA5092"/>
    <w:rsid w:val="00FA6794"/>
    <w:rsid w:val="00FB4221"/>
    <w:rsid w:val="00FB7547"/>
    <w:rsid w:val="00FE0FDC"/>
    <w:rsid w:val="00FE4CA7"/>
    <w:rsid w:val="00FF2124"/>
    <w:rsid w:val="00FF2559"/>
    <w:rsid w:val="00FF7CE7"/>
    <w:rsid w:val="00FF7EBD"/>
    <w:rsid w:val="049BC524"/>
    <w:rsid w:val="0EF57BEA"/>
    <w:rsid w:val="0F1C5FC2"/>
    <w:rsid w:val="20F9498C"/>
    <w:rsid w:val="235231AB"/>
    <w:rsid w:val="23DFF974"/>
    <w:rsid w:val="28CE150C"/>
    <w:rsid w:val="2908B3B1"/>
    <w:rsid w:val="2A6FE676"/>
    <w:rsid w:val="2B0F2214"/>
    <w:rsid w:val="3C16D1C5"/>
    <w:rsid w:val="3C79C695"/>
    <w:rsid w:val="43DCFA87"/>
    <w:rsid w:val="4944AE1E"/>
    <w:rsid w:val="4C28E974"/>
    <w:rsid w:val="5A42027D"/>
    <w:rsid w:val="65D56E8D"/>
    <w:rsid w:val="662E7714"/>
    <w:rsid w:val="689E69F9"/>
    <w:rsid w:val="6A068E70"/>
    <w:rsid w:val="77C5AD30"/>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9A3FB9"/>
    <w:rPr>
      <w:color w:val="605E5C"/>
      <w:shd w:val="clear" w:color="auto" w:fill="E1DFDD"/>
    </w:rPr>
  </w:style>
  <w:style w:type="character" w:styleId="FollowedHyperlink">
    <w:name w:val="FollowedHyperlink"/>
    <w:basedOn w:val="DefaultParagraphFont"/>
    <w:rsid w:val="00993E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yperlink" Target="https://www.opm.gov/policy-data-oversight/pay-leave/salaries-wages/2026/general-schedul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b34640c-b230-4aea-83bd-19c0811e10f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39878A7DC3234E8458710E85AF48B5" ma:contentTypeVersion="18" ma:contentTypeDescription="Create a new document." ma:contentTypeScope="" ma:versionID="e3e271f0741f93c22d1761eeb84bfdaa">
  <xsd:schema xmlns:xsd="http://www.w3.org/2001/XMLSchema" xmlns:xs="http://www.w3.org/2001/XMLSchema" xmlns:p="http://schemas.microsoft.com/office/2006/metadata/properties" xmlns:ns1="http://schemas.microsoft.com/sharepoint/v3" xmlns:ns3="ab34640c-b230-4aea-83bd-19c0811e10f6" xmlns:ns4="1522ec36-28c0-472d-ac15-74a8e0146ec7" targetNamespace="http://schemas.microsoft.com/office/2006/metadata/properties" ma:root="true" ma:fieldsID="648e44c29aafe22962860a9a9042dd98" ns1:_="" ns3:_="" ns4:_="">
    <xsd:import namespace="http://schemas.microsoft.com/sharepoint/v3"/>
    <xsd:import namespace="ab34640c-b230-4aea-83bd-19c0811e10f6"/>
    <xsd:import namespace="1522ec36-28c0-472d-ac15-74a8e0146ec7"/>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4640c-b230-4aea-83bd-19c0811e10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2ec36-28c0-472d-ac15-74a8e0146ec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http://schemas.microsoft.com/sharepoint/v3"/>
    <ds:schemaRef ds:uri="ab34640c-b230-4aea-83bd-19c0811e10f6"/>
  </ds:schemaRefs>
</ds:datastoreItem>
</file>

<file path=customXml/itemProps2.xml><?xml version="1.0" encoding="utf-8"?>
<ds:datastoreItem xmlns:ds="http://schemas.openxmlformats.org/officeDocument/2006/customXml" ds:itemID="{ED79824E-3124-4597-AA5C-D2135257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34640c-b230-4aea-83bd-19c0811e10f6"/>
    <ds:schemaRef ds:uri="1522ec36-28c0-472d-ac15-74a8e0146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86010647-A343-4519-BBF8-466C8954E5F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34</TotalTime>
  <Pages>6</Pages>
  <Words>1551</Words>
  <Characters>8964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2026-01-16T17:45:00Z</dcterms:created>
  <dcterms:modified xsi:type="dcterms:W3CDTF">2026-02-17T15:02:00Z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0x010100F739878A7DC3234E8458710E85AF48B5</vt:lpwstr>
  </property>
</Properties>
</file>