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25092" w:rsidRPr="006400B7" w:rsidP="00CA7414" w14:paraId="1C9EC8C9" w14:textId="77777777">
      <w:pPr>
        <w:spacing w:after="0" w:line="240" w:lineRule="auto"/>
        <w:rPr>
          <w:rFonts w:ascii="Times New Roman" w:hAnsi="Times New Roman" w:cs="Times New Roman"/>
          <w:b/>
          <w:color w:val="000000" w:themeColor="text1"/>
          <w:sz w:val="24"/>
          <w:szCs w:val="24"/>
        </w:rPr>
      </w:pPr>
      <w:r w:rsidRPr="006400B7">
        <w:rPr>
          <w:rFonts w:ascii="Times New Roman" w:hAnsi="Times New Roman" w:cs="Times New Roman"/>
          <w:b/>
          <w:color w:val="000000" w:themeColor="text1"/>
          <w:sz w:val="24"/>
          <w:szCs w:val="24"/>
        </w:rPr>
        <w:t>B. Statistical Methods</w:t>
      </w:r>
    </w:p>
    <w:p w:rsidR="007358F1" w:rsidRPr="006400B7" w:rsidP="00CA7414" w14:paraId="1289757A" w14:textId="77777777">
      <w:pPr>
        <w:spacing w:after="0" w:line="240" w:lineRule="auto"/>
        <w:rPr>
          <w:rFonts w:ascii="Times New Roman" w:hAnsi="Times New Roman" w:cs="Times New Roman"/>
          <w:color w:val="000000" w:themeColor="text1"/>
          <w:sz w:val="24"/>
          <w:szCs w:val="24"/>
        </w:rPr>
      </w:pPr>
    </w:p>
    <w:p w:rsidR="001072B6" w:rsidRPr="006400B7" w:rsidP="00CA7414" w14:paraId="3E6C9479" w14:textId="77777777">
      <w:pPr>
        <w:pStyle w:val="ListParagraph"/>
        <w:numPr>
          <w:ilvl w:val="0"/>
          <w:numId w:val="1"/>
        </w:numPr>
        <w:spacing w:after="0" w:line="240" w:lineRule="auto"/>
        <w:rPr>
          <w:rFonts w:ascii="Times New Roman" w:hAnsi="Times New Roman" w:cs="Times New Roman"/>
          <w:color w:val="000000" w:themeColor="text1"/>
          <w:sz w:val="24"/>
          <w:szCs w:val="24"/>
        </w:rPr>
      </w:pPr>
      <w:r w:rsidRPr="006400B7">
        <w:rPr>
          <w:rFonts w:ascii="Times New Roman" w:hAnsi="Times New Roman" w:cs="Times New Roman"/>
          <w:color w:val="000000" w:themeColor="text1"/>
          <w:sz w:val="24"/>
          <w:szCs w:val="24"/>
          <w:u w:val="single"/>
        </w:rPr>
        <w:t>Universe and Respondent Selection</w:t>
      </w:r>
    </w:p>
    <w:p w:rsidR="001072B6" w:rsidRPr="006400B7" w:rsidP="00CA7414" w14:paraId="6688C6EA" w14:textId="77777777">
      <w:pPr>
        <w:pStyle w:val="ListParagraph"/>
        <w:spacing w:after="0" w:line="240" w:lineRule="auto"/>
        <w:ind w:left="360"/>
        <w:rPr>
          <w:rFonts w:ascii="Times New Roman" w:hAnsi="Times New Roman" w:cs="Times New Roman"/>
          <w:color w:val="000000" w:themeColor="text1"/>
          <w:sz w:val="24"/>
          <w:szCs w:val="24"/>
          <w:u w:val="single"/>
        </w:rPr>
      </w:pPr>
    </w:p>
    <w:p w:rsidR="000C3C1C" w:rsidRPr="006400B7" w:rsidP="00CA7414" w14:paraId="2843DA7F" w14:textId="334E0407">
      <w:pPr>
        <w:spacing w:after="0" w:line="240" w:lineRule="auto"/>
        <w:ind w:left="720" w:right="-540"/>
        <w:contextualSpacing/>
        <w:rPr>
          <w:rFonts w:ascii="Times New Roman" w:hAnsi="Times New Roman" w:cs="Times New Roman"/>
          <w:color w:val="000000" w:themeColor="text1"/>
          <w:sz w:val="28"/>
          <w:szCs w:val="24"/>
        </w:rPr>
      </w:pPr>
      <w:r w:rsidRPr="006400B7">
        <w:rPr>
          <w:rFonts w:ascii="Times New Roman" w:eastAsia="Times New Roman" w:hAnsi="Times New Roman" w:cs="Times New Roman"/>
          <w:color w:val="000000" w:themeColor="text1"/>
          <w:sz w:val="24"/>
          <w:bdr w:val="none" w:sz="0" w:space="0" w:color="auto" w:frame="1"/>
        </w:rPr>
        <w:t>The potential respondent universe includes the</w:t>
      </w:r>
      <w:r w:rsidRPr="006400B7" w:rsidR="00476901">
        <w:rPr>
          <w:rFonts w:ascii="Times New Roman" w:eastAsia="Times New Roman" w:hAnsi="Times New Roman" w:cs="Times New Roman"/>
          <w:color w:val="000000" w:themeColor="text1"/>
          <w:sz w:val="24"/>
          <w:bdr w:val="none" w:sz="0" w:space="0" w:color="auto" w:frame="1"/>
        </w:rPr>
        <w:t xml:space="preserve"> 16,788</w:t>
      </w:r>
      <w:r w:rsidRPr="006400B7" w:rsidR="007435DC">
        <w:rPr>
          <w:rFonts w:ascii="Times New Roman" w:eastAsia="Times New Roman" w:hAnsi="Times New Roman" w:cs="Times New Roman"/>
          <w:color w:val="000000" w:themeColor="text1"/>
          <w:sz w:val="24"/>
          <w:bdr w:val="none" w:sz="0" w:space="0" w:color="auto" w:frame="1"/>
        </w:rPr>
        <w:t xml:space="preserve"> </w:t>
      </w:r>
      <w:r w:rsidRPr="006400B7">
        <w:rPr>
          <w:rFonts w:ascii="Times New Roman" w:eastAsia="Times New Roman" w:hAnsi="Times New Roman" w:cs="Times New Roman"/>
          <w:color w:val="000000" w:themeColor="text1"/>
          <w:sz w:val="24"/>
          <w:bdr w:val="none" w:sz="0" w:space="0" w:color="auto" w:frame="1"/>
        </w:rPr>
        <w:t xml:space="preserve">LEAs throughout the nation </w:t>
      </w:r>
      <w:r w:rsidRPr="006400B7" w:rsidR="00B6635C">
        <w:rPr>
          <w:rFonts w:ascii="Times New Roman" w:eastAsia="Times New Roman" w:hAnsi="Times New Roman" w:cs="Times New Roman"/>
          <w:color w:val="000000" w:themeColor="text1"/>
          <w:sz w:val="24"/>
          <w:bdr w:val="none" w:sz="0" w:space="0" w:color="auto" w:frame="1"/>
        </w:rPr>
        <w:t>certified</w:t>
      </w:r>
      <w:r w:rsidRPr="006400B7">
        <w:rPr>
          <w:rFonts w:ascii="Times New Roman" w:eastAsia="Times New Roman" w:hAnsi="Times New Roman" w:cs="Times New Roman"/>
          <w:color w:val="000000" w:themeColor="text1"/>
          <w:sz w:val="24"/>
          <w:bdr w:val="none" w:sz="0" w:space="0" w:color="auto" w:frame="1"/>
        </w:rPr>
        <w:t xml:space="preserve"> to submit crime statistics via NIBRS in 20</w:t>
      </w:r>
      <w:r w:rsidRPr="006400B7" w:rsidR="007435DC">
        <w:rPr>
          <w:rFonts w:ascii="Times New Roman" w:eastAsia="Times New Roman" w:hAnsi="Times New Roman" w:cs="Times New Roman"/>
          <w:color w:val="000000" w:themeColor="text1"/>
          <w:sz w:val="24"/>
          <w:bdr w:val="none" w:sz="0" w:space="0" w:color="auto" w:frame="1"/>
        </w:rPr>
        <w:t>24</w:t>
      </w:r>
      <w:r w:rsidRPr="006400B7">
        <w:rPr>
          <w:rFonts w:ascii="Times New Roman" w:eastAsia="Times New Roman" w:hAnsi="Times New Roman" w:cs="Times New Roman"/>
          <w:color w:val="000000" w:themeColor="text1"/>
          <w:sz w:val="24"/>
          <w:bdr w:val="none" w:sz="0" w:space="0" w:color="auto" w:frame="1"/>
        </w:rPr>
        <w:t>.  The FBI</w:t>
      </w:r>
      <w:r w:rsidRPr="006400B7" w:rsidR="007435DC">
        <w:rPr>
          <w:rFonts w:ascii="Times New Roman" w:eastAsia="Times New Roman" w:hAnsi="Times New Roman" w:cs="Times New Roman"/>
          <w:color w:val="000000" w:themeColor="text1"/>
          <w:sz w:val="24"/>
          <w:bdr w:val="none" w:sz="0" w:space="0" w:color="auto" w:frame="1"/>
        </w:rPr>
        <w:t>’s</w:t>
      </w:r>
      <w:r w:rsidRPr="006400B7">
        <w:rPr>
          <w:rFonts w:ascii="Times New Roman" w:eastAsia="Times New Roman" w:hAnsi="Times New Roman" w:cs="Times New Roman"/>
          <w:color w:val="000000" w:themeColor="text1"/>
          <w:sz w:val="24"/>
          <w:bdr w:val="none" w:sz="0" w:space="0" w:color="auto" w:frame="1"/>
        </w:rPr>
        <w:t xml:space="preserve"> UCR Program received 1-12 months of crime </w:t>
      </w:r>
      <w:r w:rsidRPr="006400B7" w:rsidR="001F550E">
        <w:rPr>
          <w:rFonts w:ascii="Times New Roman" w:eastAsia="Times New Roman" w:hAnsi="Times New Roman" w:cs="Times New Roman"/>
          <w:color w:val="000000" w:themeColor="text1"/>
          <w:sz w:val="24"/>
          <w:bdr w:val="none" w:sz="0" w:space="0" w:color="auto" w:frame="1"/>
        </w:rPr>
        <w:t>data</w:t>
      </w:r>
      <w:r w:rsidRPr="006400B7">
        <w:rPr>
          <w:rFonts w:ascii="Times New Roman" w:eastAsia="Times New Roman" w:hAnsi="Times New Roman" w:cs="Times New Roman"/>
          <w:color w:val="000000" w:themeColor="text1"/>
          <w:sz w:val="24"/>
          <w:bdr w:val="none" w:sz="0" w:space="0" w:color="auto" w:frame="1"/>
        </w:rPr>
        <w:t xml:space="preserve"> from </w:t>
      </w:r>
      <w:r w:rsidRPr="006400B7" w:rsidR="009455DC">
        <w:rPr>
          <w:rFonts w:ascii="Times New Roman" w:eastAsia="Times New Roman" w:hAnsi="Times New Roman" w:cs="Times New Roman"/>
          <w:color w:val="000000" w:themeColor="text1"/>
          <w:sz w:val="24"/>
          <w:bdr w:val="none" w:sz="0" w:space="0" w:color="auto" w:frame="1"/>
        </w:rPr>
        <w:t xml:space="preserve">14,677 </w:t>
      </w:r>
      <w:r w:rsidRPr="006400B7">
        <w:rPr>
          <w:rFonts w:ascii="Times New Roman" w:eastAsia="Times New Roman" w:hAnsi="Times New Roman" w:cs="Times New Roman"/>
          <w:color w:val="000000" w:themeColor="text1"/>
          <w:sz w:val="24"/>
          <w:bdr w:val="none" w:sz="0" w:space="0" w:color="auto" w:frame="1"/>
        </w:rPr>
        <w:t>of those agencies.  </w:t>
      </w:r>
      <w:r w:rsidRPr="006400B7" w:rsidR="00861CFE">
        <w:rPr>
          <w:rFonts w:ascii="Times New Roman" w:hAnsi="Times New Roman" w:cs="Times New Roman"/>
          <w:color w:val="000000" w:themeColor="text1"/>
          <w:sz w:val="24"/>
          <w:szCs w:val="24"/>
        </w:rPr>
        <w:t>N</w:t>
      </w:r>
      <w:r w:rsidRPr="006400B7" w:rsidR="00A265C7">
        <w:rPr>
          <w:rFonts w:ascii="Times New Roman" w:hAnsi="Times New Roman" w:cs="Times New Roman"/>
          <w:color w:val="000000" w:themeColor="text1"/>
          <w:sz w:val="24"/>
          <w:szCs w:val="24"/>
        </w:rPr>
        <w:t xml:space="preserve">early three-fourths (12,507 agencies; 74.5 percent) </w:t>
      </w:r>
      <w:r w:rsidR="00A85C91">
        <w:rPr>
          <w:rFonts w:ascii="Times New Roman" w:hAnsi="Times New Roman" w:cs="Times New Roman"/>
          <w:color w:val="000000" w:themeColor="text1"/>
          <w:sz w:val="24"/>
          <w:szCs w:val="24"/>
        </w:rPr>
        <w:t xml:space="preserve">of the 16,788 </w:t>
      </w:r>
      <w:r w:rsidR="00904984">
        <w:rPr>
          <w:rFonts w:ascii="Times New Roman" w:hAnsi="Times New Roman" w:cs="Times New Roman"/>
          <w:color w:val="000000" w:themeColor="text1"/>
          <w:sz w:val="24"/>
          <w:szCs w:val="24"/>
        </w:rPr>
        <w:t xml:space="preserve">LEAs </w:t>
      </w:r>
      <w:r w:rsidRPr="006400B7" w:rsidR="00A265C7">
        <w:rPr>
          <w:rFonts w:ascii="Times New Roman" w:hAnsi="Times New Roman" w:cs="Times New Roman"/>
          <w:color w:val="000000" w:themeColor="text1"/>
          <w:sz w:val="24"/>
          <w:szCs w:val="24"/>
        </w:rPr>
        <w:t xml:space="preserve">submitted 12 months of information.  </w:t>
      </w:r>
      <w:r w:rsidRPr="006400B7">
        <w:rPr>
          <w:rFonts w:ascii="Times New Roman" w:eastAsia="Times New Roman" w:hAnsi="Times New Roman" w:cs="Times New Roman"/>
          <w:color w:val="000000" w:themeColor="text1"/>
          <w:sz w:val="24"/>
          <w:bdr w:val="none" w:sz="0" w:space="0" w:color="auto" w:frame="1"/>
        </w:rPr>
        <w:t xml:space="preserve">The remaining </w:t>
      </w:r>
      <w:r w:rsidRPr="006400B7" w:rsidR="00892F31">
        <w:rPr>
          <w:rFonts w:ascii="Times New Roman" w:eastAsia="Times New Roman" w:hAnsi="Times New Roman" w:cs="Times New Roman"/>
          <w:color w:val="000000" w:themeColor="text1"/>
          <w:sz w:val="24"/>
          <w:bdr w:val="none" w:sz="0" w:space="0" w:color="auto" w:frame="1"/>
        </w:rPr>
        <w:t>2,111</w:t>
      </w:r>
      <w:r w:rsidRPr="006400B7" w:rsidR="00010AA9">
        <w:rPr>
          <w:rFonts w:ascii="Times New Roman" w:eastAsia="Times New Roman" w:hAnsi="Times New Roman" w:cs="Times New Roman"/>
          <w:color w:val="000000" w:themeColor="text1"/>
          <w:sz w:val="24"/>
          <w:bdr w:val="none" w:sz="0" w:space="0" w:color="auto" w:frame="1"/>
        </w:rPr>
        <w:t> </w:t>
      </w:r>
      <w:r w:rsidRPr="006400B7">
        <w:rPr>
          <w:rFonts w:ascii="Times New Roman" w:eastAsia="Times New Roman" w:hAnsi="Times New Roman" w:cs="Times New Roman"/>
          <w:color w:val="000000" w:themeColor="text1"/>
          <w:sz w:val="24"/>
          <w:bdr w:val="none" w:sz="0" w:space="0" w:color="auto" w:frame="1"/>
        </w:rPr>
        <w:t xml:space="preserve">LEAs eligible to submit data under NIBRS did not report any </w:t>
      </w:r>
      <w:r w:rsidRPr="006400B7" w:rsidR="00D25707">
        <w:rPr>
          <w:rFonts w:ascii="Times New Roman" w:eastAsia="Times New Roman" w:hAnsi="Times New Roman" w:cs="Times New Roman"/>
          <w:color w:val="000000" w:themeColor="text1"/>
          <w:sz w:val="24"/>
          <w:bdr w:val="none" w:sz="0" w:space="0" w:color="auto" w:frame="1"/>
        </w:rPr>
        <w:t xml:space="preserve">information </w:t>
      </w:r>
      <w:r w:rsidRPr="006400B7">
        <w:rPr>
          <w:rFonts w:ascii="Times New Roman" w:eastAsia="Times New Roman" w:hAnsi="Times New Roman" w:cs="Times New Roman"/>
          <w:color w:val="000000" w:themeColor="text1"/>
          <w:sz w:val="24"/>
          <w:bdr w:val="none" w:sz="0" w:space="0" w:color="auto" w:frame="1"/>
        </w:rPr>
        <w:t>to the FBI</w:t>
      </w:r>
      <w:r w:rsidRPr="006400B7" w:rsidR="00892F31">
        <w:rPr>
          <w:rFonts w:ascii="Times New Roman" w:eastAsia="Times New Roman" w:hAnsi="Times New Roman" w:cs="Times New Roman"/>
          <w:color w:val="000000" w:themeColor="text1"/>
          <w:sz w:val="24"/>
          <w:bdr w:val="none" w:sz="0" w:space="0" w:color="auto" w:frame="1"/>
        </w:rPr>
        <w:t>’s</w:t>
      </w:r>
      <w:r w:rsidRPr="006400B7">
        <w:rPr>
          <w:rFonts w:ascii="Times New Roman" w:eastAsia="Times New Roman" w:hAnsi="Times New Roman" w:cs="Times New Roman"/>
          <w:color w:val="000000" w:themeColor="text1"/>
          <w:sz w:val="24"/>
          <w:bdr w:val="none" w:sz="0" w:space="0" w:color="auto" w:frame="1"/>
        </w:rPr>
        <w:t xml:space="preserve"> UCR Program in 20</w:t>
      </w:r>
      <w:r w:rsidRPr="006400B7" w:rsidR="00892F31">
        <w:rPr>
          <w:rFonts w:ascii="Times New Roman" w:eastAsia="Times New Roman" w:hAnsi="Times New Roman" w:cs="Times New Roman"/>
          <w:color w:val="000000" w:themeColor="text1"/>
          <w:sz w:val="24"/>
          <w:bdr w:val="none" w:sz="0" w:space="0" w:color="auto" w:frame="1"/>
        </w:rPr>
        <w:t>24</w:t>
      </w:r>
      <w:r w:rsidRPr="006400B7">
        <w:rPr>
          <w:rFonts w:ascii="Times New Roman" w:eastAsia="Times New Roman" w:hAnsi="Times New Roman" w:cs="Times New Roman"/>
          <w:color w:val="000000" w:themeColor="text1"/>
          <w:sz w:val="24"/>
          <w:bdr w:val="none" w:sz="0" w:space="0" w:color="auto" w:frame="1"/>
        </w:rPr>
        <w:t xml:space="preserve">.  The table below shows the number of LEAs eligible to submit data via NIBRS </w:t>
      </w:r>
      <w:r w:rsidRPr="006400B7" w:rsidR="005C639A">
        <w:rPr>
          <w:rFonts w:ascii="Times New Roman" w:eastAsia="Times New Roman" w:hAnsi="Times New Roman" w:cs="Times New Roman"/>
          <w:color w:val="000000" w:themeColor="text1"/>
          <w:sz w:val="24"/>
          <w:bdr w:val="none" w:sz="0" w:space="0" w:color="auto" w:frame="1"/>
        </w:rPr>
        <w:t xml:space="preserve">along with </w:t>
      </w:r>
      <w:r w:rsidRPr="006400B7">
        <w:rPr>
          <w:rFonts w:ascii="Times New Roman" w:eastAsia="Times New Roman" w:hAnsi="Times New Roman" w:cs="Times New Roman"/>
          <w:color w:val="000000" w:themeColor="text1"/>
          <w:sz w:val="24"/>
          <w:bdr w:val="none" w:sz="0" w:space="0" w:color="auto" w:frame="1"/>
        </w:rPr>
        <w:t>the number of months submitted. </w:t>
      </w:r>
      <w:r w:rsidRPr="006400B7">
        <w:rPr>
          <w:rFonts w:ascii="Times New Roman" w:hAnsi="Times New Roman" w:cs="Times New Roman"/>
          <w:color w:val="000000" w:themeColor="text1"/>
          <w:sz w:val="28"/>
          <w:szCs w:val="24"/>
        </w:rPr>
        <w:t xml:space="preserve"> </w:t>
      </w:r>
    </w:p>
    <w:p w:rsidR="00331551" w:rsidRPr="006400B7" w:rsidP="00CA7414" w14:paraId="278DC9D1" w14:textId="1FD88F24">
      <w:pPr>
        <w:pStyle w:val="ListParagraph"/>
        <w:spacing w:after="0" w:line="240" w:lineRule="auto"/>
        <w:ind w:left="360"/>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50"/>
        <w:tblW w:w="4140" w:type="dxa"/>
        <w:jc w:val="center"/>
        <w:tblBorders>
          <w:left w:val="none" w:sz="0" w:space="0" w:color="auto"/>
          <w:right w:val="none" w:sz="0" w:space="0" w:color="auto"/>
          <w:insideH w:val="none" w:sz="0" w:space="0" w:color="auto"/>
          <w:insideV w:val="none" w:sz="0" w:space="0" w:color="auto"/>
        </w:tblBorders>
        <w:tblLook w:val="04A0"/>
      </w:tblPr>
      <w:tblGrid>
        <w:gridCol w:w="1800"/>
        <w:gridCol w:w="2340"/>
      </w:tblGrid>
      <w:tr w14:paraId="1114A609" w14:textId="77777777" w:rsidTr="004A3C73">
        <w:tblPrEx>
          <w:tblW w:w="4140" w:type="dxa"/>
          <w:jc w:val="center"/>
          <w:tblBorders>
            <w:left w:val="none" w:sz="0" w:space="0" w:color="auto"/>
            <w:right w:val="none" w:sz="0" w:space="0" w:color="auto"/>
            <w:insideH w:val="none" w:sz="0" w:space="0" w:color="auto"/>
            <w:insideV w:val="none" w:sz="0" w:space="0" w:color="auto"/>
          </w:tblBorders>
          <w:tblLook w:val="04A0"/>
        </w:tblPrEx>
        <w:trPr>
          <w:trHeight w:hRule="exact" w:val="259"/>
          <w:jc w:val="center"/>
        </w:trPr>
        <w:tc>
          <w:tcPr>
            <w:tcW w:w="4140" w:type="dxa"/>
            <w:gridSpan w:val="2"/>
            <w:tcBorders>
              <w:top w:val="single" w:sz="8" w:space="0" w:color="auto"/>
              <w:bottom w:val="single" w:sz="8" w:space="0" w:color="auto"/>
            </w:tcBorders>
            <w:vAlign w:val="center"/>
          </w:tcPr>
          <w:p w:rsidR="00061182" w:rsidRPr="006400B7" w:rsidP="00CA7414" w14:paraId="3774A618" w14:textId="71380E12">
            <w:pPr>
              <w:tabs>
                <w:tab w:val="left" w:pos="360"/>
              </w:tabs>
              <w:contextualSpacing/>
              <w:rPr>
                <w:rFonts w:ascii="Times New Roman" w:hAnsi="Times New Roman" w:cs="Times New Roman"/>
                <w:b/>
                <w:color w:val="000000" w:themeColor="text1"/>
                <w:sz w:val="20"/>
                <w:szCs w:val="20"/>
              </w:rPr>
            </w:pPr>
            <w:r w:rsidRPr="006400B7">
              <w:rPr>
                <w:rFonts w:ascii="Times New Roman" w:hAnsi="Times New Roman" w:cs="Times New Roman"/>
                <w:b/>
                <w:color w:val="000000" w:themeColor="text1"/>
                <w:sz w:val="20"/>
                <w:szCs w:val="20"/>
              </w:rPr>
              <w:t>Number of Agencies by Months of Data</w:t>
            </w:r>
            <w:r w:rsidR="004A3C73">
              <w:rPr>
                <w:rFonts w:ascii="Times New Roman" w:hAnsi="Times New Roman" w:cs="Times New Roman"/>
                <w:b/>
                <w:color w:val="000000" w:themeColor="text1"/>
                <w:sz w:val="20"/>
                <w:szCs w:val="20"/>
              </w:rPr>
              <w:t>, 2024</w:t>
            </w:r>
            <w:r w:rsidRPr="006400B7">
              <w:rPr>
                <w:rFonts w:ascii="Times New Roman" w:hAnsi="Times New Roman" w:cs="Times New Roman"/>
                <w:b/>
                <w:color w:val="000000" w:themeColor="text1"/>
                <w:sz w:val="20"/>
                <w:szCs w:val="20"/>
              </w:rPr>
              <w:t xml:space="preserve"> Submitted, 2024</w:t>
            </w:r>
          </w:p>
        </w:tc>
      </w:tr>
      <w:tr w14:paraId="7DC4B882" w14:textId="77777777" w:rsidTr="004A3C73">
        <w:tblPrEx>
          <w:tblW w:w="4140" w:type="dxa"/>
          <w:jc w:val="center"/>
          <w:tblLook w:val="04A0"/>
        </w:tblPrEx>
        <w:trPr>
          <w:trHeight w:hRule="exact" w:val="566"/>
          <w:jc w:val="center"/>
        </w:trPr>
        <w:tc>
          <w:tcPr>
            <w:tcW w:w="1800" w:type="dxa"/>
            <w:tcBorders>
              <w:top w:val="single" w:sz="8" w:space="0" w:color="auto"/>
              <w:bottom w:val="single" w:sz="8" w:space="0" w:color="auto"/>
            </w:tcBorders>
            <w:vAlign w:val="center"/>
          </w:tcPr>
          <w:p w:rsidR="00061182" w:rsidRPr="006400B7" w:rsidP="00CA7414" w14:paraId="60326D67" w14:textId="77777777">
            <w:pPr>
              <w:tabs>
                <w:tab w:val="left" w:pos="360"/>
              </w:tabs>
              <w:contextualSpacing/>
              <w:rPr>
                <w:rFonts w:ascii="Times New Roman" w:hAnsi="Times New Roman" w:cs="Times New Roman"/>
                <w:b/>
                <w:color w:val="000000" w:themeColor="text1"/>
                <w:sz w:val="20"/>
                <w:szCs w:val="20"/>
              </w:rPr>
            </w:pPr>
            <w:r w:rsidRPr="006400B7">
              <w:rPr>
                <w:rFonts w:ascii="Times New Roman" w:hAnsi="Times New Roman" w:cs="Times New Roman"/>
                <w:b/>
                <w:color w:val="000000" w:themeColor="text1"/>
                <w:sz w:val="20"/>
                <w:szCs w:val="20"/>
              </w:rPr>
              <w:t xml:space="preserve">Number </w:t>
            </w:r>
          </w:p>
          <w:p w:rsidR="00061182" w:rsidRPr="006400B7" w:rsidP="00CA7414" w14:paraId="099BE2DC" w14:textId="77777777">
            <w:pPr>
              <w:tabs>
                <w:tab w:val="left" w:pos="360"/>
              </w:tabs>
              <w:contextualSpacing/>
              <w:rPr>
                <w:rFonts w:ascii="Times New Roman" w:hAnsi="Times New Roman" w:cs="Times New Roman"/>
                <w:b/>
                <w:color w:val="000000" w:themeColor="text1"/>
                <w:sz w:val="20"/>
                <w:szCs w:val="20"/>
              </w:rPr>
            </w:pPr>
            <w:r w:rsidRPr="006400B7">
              <w:rPr>
                <w:rFonts w:ascii="Times New Roman" w:hAnsi="Times New Roman" w:cs="Times New Roman"/>
                <w:b/>
                <w:color w:val="000000" w:themeColor="text1"/>
                <w:sz w:val="20"/>
                <w:szCs w:val="20"/>
              </w:rPr>
              <w:t>of Months</w:t>
            </w:r>
          </w:p>
        </w:tc>
        <w:tc>
          <w:tcPr>
            <w:tcW w:w="2340" w:type="dxa"/>
            <w:tcBorders>
              <w:top w:val="single" w:sz="8" w:space="0" w:color="auto"/>
              <w:bottom w:val="single" w:sz="8" w:space="0" w:color="auto"/>
            </w:tcBorders>
            <w:vAlign w:val="center"/>
          </w:tcPr>
          <w:p w:rsidR="00061182" w:rsidRPr="006400B7" w:rsidP="00CA7414" w14:paraId="3C5ACE9D" w14:textId="77777777">
            <w:pPr>
              <w:tabs>
                <w:tab w:val="left" w:pos="360"/>
              </w:tabs>
              <w:contextualSpacing/>
              <w:jc w:val="right"/>
              <w:rPr>
                <w:rFonts w:ascii="Times New Roman" w:hAnsi="Times New Roman" w:cs="Times New Roman"/>
                <w:b/>
                <w:color w:val="000000" w:themeColor="text1"/>
                <w:sz w:val="20"/>
                <w:szCs w:val="20"/>
              </w:rPr>
            </w:pPr>
            <w:r w:rsidRPr="006400B7">
              <w:rPr>
                <w:rFonts w:ascii="Times New Roman" w:hAnsi="Times New Roman" w:cs="Times New Roman"/>
                <w:b/>
                <w:color w:val="000000" w:themeColor="text1"/>
                <w:sz w:val="20"/>
                <w:szCs w:val="20"/>
              </w:rPr>
              <w:t xml:space="preserve">Number </w:t>
            </w:r>
          </w:p>
          <w:p w:rsidR="00061182" w:rsidRPr="006400B7" w:rsidP="00CA7414" w14:paraId="02B53BD3" w14:textId="77777777">
            <w:pPr>
              <w:tabs>
                <w:tab w:val="left" w:pos="360"/>
              </w:tabs>
              <w:contextualSpacing/>
              <w:jc w:val="right"/>
              <w:rPr>
                <w:rFonts w:ascii="Times New Roman" w:hAnsi="Times New Roman" w:cs="Times New Roman"/>
                <w:b/>
                <w:color w:val="000000" w:themeColor="text1"/>
                <w:sz w:val="20"/>
                <w:szCs w:val="20"/>
              </w:rPr>
            </w:pPr>
            <w:r w:rsidRPr="006400B7">
              <w:rPr>
                <w:rFonts w:ascii="Times New Roman" w:hAnsi="Times New Roman" w:cs="Times New Roman"/>
                <w:b/>
                <w:color w:val="000000" w:themeColor="text1"/>
                <w:sz w:val="20"/>
                <w:szCs w:val="20"/>
              </w:rPr>
              <w:t>of Agencies</w:t>
            </w:r>
          </w:p>
        </w:tc>
      </w:tr>
      <w:tr w14:paraId="44443A4C" w14:textId="77777777" w:rsidTr="004A3C73">
        <w:tblPrEx>
          <w:tblW w:w="4140" w:type="dxa"/>
          <w:jc w:val="center"/>
          <w:tblLook w:val="04A0"/>
        </w:tblPrEx>
        <w:trPr>
          <w:trHeight w:hRule="exact" w:val="259"/>
          <w:jc w:val="center"/>
        </w:trPr>
        <w:tc>
          <w:tcPr>
            <w:tcW w:w="1800" w:type="dxa"/>
            <w:tcBorders>
              <w:top w:val="single" w:sz="8" w:space="0" w:color="auto"/>
            </w:tcBorders>
            <w:vAlign w:val="center"/>
          </w:tcPr>
          <w:p w:rsidR="00061182" w:rsidRPr="006400B7" w:rsidP="00CA7414" w14:paraId="7EE74F88" w14:textId="77777777">
            <w:pPr>
              <w:tabs>
                <w:tab w:val="left" w:pos="360"/>
              </w:tabs>
              <w:contextualSpacing/>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0 months</w:t>
            </w:r>
          </w:p>
        </w:tc>
        <w:tc>
          <w:tcPr>
            <w:tcW w:w="2340" w:type="dxa"/>
            <w:tcBorders>
              <w:top w:val="single" w:sz="8" w:space="0" w:color="auto"/>
            </w:tcBorders>
            <w:vAlign w:val="center"/>
          </w:tcPr>
          <w:p w:rsidR="00061182" w:rsidRPr="006400B7" w:rsidP="00CA7414" w14:paraId="0AE3125D" w14:textId="77777777">
            <w:pPr>
              <w:tabs>
                <w:tab w:val="left" w:pos="360"/>
              </w:tabs>
              <w:contextualSpacing/>
              <w:jc w:val="right"/>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2,111</w:t>
            </w:r>
          </w:p>
        </w:tc>
      </w:tr>
      <w:tr w14:paraId="1EF5F931" w14:textId="77777777" w:rsidTr="004A3C73">
        <w:tblPrEx>
          <w:tblW w:w="4140" w:type="dxa"/>
          <w:jc w:val="center"/>
          <w:tblLook w:val="04A0"/>
        </w:tblPrEx>
        <w:trPr>
          <w:trHeight w:hRule="exact" w:val="259"/>
          <w:jc w:val="center"/>
        </w:trPr>
        <w:tc>
          <w:tcPr>
            <w:tcW w:w="1800" w:type="dxa"/>
            <w:vAlign w:val="center"/>
          </w:tcPr>
          <w:p w:rsidR="00061182" w:rsidRPr="006400B7" w:rsidP="00CA7414" w14:paraId="087D5E83" w14:textId="77777777">
            <w:pPr>
              <w:tabs>
                <w:tab w:val="left" w:pos="360"/>
              </w:tabs>
              <w:contextualSpacing/>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1 month</w:t>
            </w:r>
          </w:p>
        </w:tc>
        <w:tc>
          <w:tcPr>
            <w:tcW w:w="2340" w:type="dxa"/>
            <w:tcBorders>
              <w:top w:val="nil"/>
              <w:left w:val="nil"/>
              <w:bottom w:val="nil"/>
              <w:right w:val="nil"/>
            </w:tcBorders>
            <w:vAlign w:val="center"/>
          </w:tcPr>
          <w:p w:rsidR="00061182" w:rsidRPr="006400B7" w:rsidP="00CA7414" w14:paraId="4C9F8674" w14:textId="77777777">
            <w:pPr>
              <w:tabs>
                <w:tab w:val="left" w:pos="360"/>
              </w:tabs>
              <w:contextualSpacing/>
              <w:jc w:val="right"/>
              <w:rPr>
                <w:rFonts w:ascii="Times New Roman" w:hAnsi="Times New Roman" w:cs="Times New Roman"/>
                <w:bCs/>
                <w:color w:val="000000" w:themeColor="text1"/>
                <w:sz w:val="20"/>
                <w:szCs w:val="20"/>
              </w:rPr>
            </w:pPr>
            <w:r w:rsidRPr="006400B7">
              <w:rPr>
                <w:rFonts w:ascii="Times New Roman" w:eastAsia="Times New Roman" w:hAnsi="Times New Roman" w:cs="Times New Roman"/>
                <w:bCs/>
                <w:color w:val="000000" w:themeColor="text1"/>
                <w:sz w:val="20"/>
                <w:szCs w:val="20"/>
              </w:rPr>
              <w:t>139</w:t>
            </w:r>
          </w:p>
        </w:tc>
      </w:tr>
      <w:tr w14:paraId="4B2B7EAA" w14:textId="77777777" w:rsidTr="004A3C73">
        <w:tblPrEx>
          <w:tblW w:w="4140" w:type="dxa"/>
          <w:jc w:val="center"/>
          <w:tblLook w:val="04A0"/>
        </w:tblPrEx>
        <w:trPr>
          <w:trHeight w:hRule="exact" w:val="259"/>
          <w:jc w:val="center"/>
        </w:trPr>
        <w:tc>
          <w:tcPr>
            <w:tcW w:w="1800" w:type="dxa"/>
            <w:vAlign w:val="center"/>
          </w:tcPr>
          <w:p w:rsidR="00061182" w:rsidRPr="006400B7" w:rsidP="00CA7414" w14:paraId="5D65999A" w14:textId="77777777">
            <w:pPr>
              <w:tabs>
                <w:tab w:val="left" w:pos="360"/>
              </w:tabs>
              <w:contextualSpacing/>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2 months</w:t>
            </w:r>
          </w:p>
        </w:tc>
        <w:tc>
          <w:tcPr>
            <w:tcW w:w="2340" w:type="dxa"/>
            <w:tcBorders>
              <w:top w:val="nil"/>
              <w:left w:val="nil"/>
              <w:bottom w:val="nil"/>
              <w:right w:val="nil"/>
            </w:tcBorders>
            <w:vAlign w:val="center"/>
          </w:tcPr>
          <w:p w:rsidR="00061182" w:rsidRPr="006400B7" w:rsidP="00CA7414" w14:paraId="1DC289C1" w14:textId="77777777">
            <w:pPr>
              <w:tabs>
                <w:tab w:val="left" w:pos="360"/>
              </w:tabs>
              <w:contextualSpacing/>
              <w:jc w:val="right"/>
              <w:rPr>
                <w:rFonts w:ascii="Times New Roman" w:hAnsi="Times New Roman" w:cs="Times New Roman"/>
                <w:bCs/>
                <w:color w:val="000000" w:themeColor="text1"/>
                <w:sz w:val="20"/>
                <w:szCs w:val="20"/>
              </w:rPr>
            </w:pPr>
            <w:r w:rsidRPr="006400B7">
              <w:rPr>
                <w:rFonts w:ascii="Times New Roman" w:eastAsia="Times New Roman" w:hAnsi="Times New Roman" w:cs="Times New Roman"/>
                <w:bCs/>
                <w:color w:val="000000" w:themeColor="text1"/>
                <w:sz w:val="20"/>
                <w:szCs w:val="20"/>
              </w:rPr>
              <w:t>114</w:t>
            </w:r>
          </w:p>
        </w:tc>
      </w:tr>
      <w:tr w14:paraId="2CCE311D" w14:textId="77777777" w:rsidTr="004A3C73">
        <w:tblPrEx>
          <w:tblW w:w="4140" w:type="dxa"/>
          <w:jc w:val="center"/>
          <w:tblLook w:val="04A0"/>
        </w:tblPrEx>
        <w:trPr>
          <w:trHeight w:hRule="exact" w:val="259"/>
          <w:jc w:val="center"/>
        </w:trPr>
        <w:tc>
          <w:tcPr>
            <w:tcW w:w="1800" w:type="dxa"/>
            <w:vAlign w:val="center"/>
          </w:tcPr>
          <w:p w:rsidR="00061182" w:rsidRPr="006400B7" w:rsidP="00CA7414" w14:paraId="5EA71985" w14:textId="77777777">
            <w:pPr>
              <w:tabs>
                <w:tab w:val="left" w:pos="360"/>
              </w:tabs>
              <w:contextualSpacing/>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3 months</w:t>
            </w:r>
          </w:p>
        </w:tc>
        <w:tc>
          <w:tcPr>
            <w:tcW w:w="2340" w:type="dxa"/>
            <w:tcBorders>
              <w:top w:val="nil"/>
              <w:left w:val="nil"/>
              <w:bottom w:val="nil"/>
              <w:right w:val="nil"/>
            </w:tcBorders>
            <w:vAlign w:val="center"/>
          </w:tcPr>
          <w:p w:rsidR="00061182" w:rsidRPr="006400B7" w:rsidP="00CA7414" w14:paraId="4B8AF462" w14:textId="77777777">
            <w:pPr>
              <w:tabs>
                <w:tab w:val="left" w:pos="360"/>
              </w:tabs>
              <w:contextualSpacing/>
              <w:jc w:val="right"/>
              <w:rPr>
                <w:rFonts w:ascii="Times New Roman" w:hAnsi="Times New Roman" w:cs="Times New Roman"/>
                <w:bCs/>
                <w:color w:val="000000" w:themeColor="text1"/>
                <w:sz w:val="20"/>
                <w:szCs w:val="20"/>
              </w:rPr>
            </w:pPr>
            <w:r w:rsidRPr="006400B7">
              <w:rPr>
                <w:rFonts w:ascii="Times New Roman" w:eastAsia="Times New Roman" w:hAnsi="Times New Roman" w:cs="Times New Roman"/>
                <w:bCs/>
                <w:color w:val="000000" w:themeColor="text1"/>
                <w:sz w:val="20"/>
                <w:szCs w:val="20"/>
              </w:rPr>
              <w:t>87</w:t>
            </w:r>
          </w:p>
        </w:tc>
      </w:tr>
      <w:tr w14:paraId="2B72C0E5" w14:textId="77777777" w:rsidTr="004A3C73">
        <w:tblPrEx>
          <w:tblW w:w="4140" w:type="dxa"/>
          <w:jc w:val="center"/>
          <w:tblLook w:val="04A0"/>
        </w:tblPrEx>
        <w:trPr>
          <w:trHeight w:hRule="exact" w:val="259"/>
          <w:jc w:val="center"/>
        </w:trPr>
        <w:tc>
          <w:tcPr>
            <w:tcW w:w="1800" w:type="dxa"/>
            <w:vAlign w:val="center"/>
          </w:tcPr>
          <w:p w:rsidR="00061182" w:rsidRPr="006400B7" w:rsidP="00CA7414" w14:paraId="7D3EF362" w14:textId="77777777">
            <w:pPr>
              <w:tabs>
                <w:tab w:val="left" w:pos="360"/>
              </w:tabs>
              <w:contextualSpacing/>
              <w:rPr>
                <w:rFonts w:ascii="Times New Roman" w:hAnsi="Times New Roman" w:cs="Times New Roman"/>
                <w:bCs/>
                <w:color w:val="000000" w:themeColor="text1"/>
                <w:sz w:val="20"/>
                <w:szCs w:val="20"/>
              </w:rPr>
            </w:pPr>
            <w:r w:rsidRPr="006400B7">
              <w:rPr>
                <w:rFonts w:ascii="Times New Roman" w:hAnsi="Times New Roman" w:cs="Times New Roman"/>
                <w:bCs/>
                <w:color w:val="000000" w:themeColor="text1"/>
                <w:sz w:val="20"/>
                <w:szCs w:val="20"/>
              </w:rPr>
              <w:t>4 months</w:t>
            </w:r>
          </w:p>
        </w:tc>
        <w:tc>
          <w:tcPr>
            <w:tcW w:w="2340" w:type="dxa"/>
            <w:tcBorders>
              <w:top w:val="nil"/>
              <w:left w:val="nil"/>
              <w:bottom w:val="nil"/>
              <w:right w:val="nil"/>
            </w:tcBorders>
            <w:vAlign w:val="center"/>
          </w:tcPr>
          <w:p w:rsidR="00061182" w:rsidRPr="006400B7" w:rsidP="00CA7414" w14:paraId="730BEC3C" w14:textId="77777777">
            <w:pPr>
              <w:tabs>
                <w:tab w:val="left" w:pos="360"/>
              </w:tabs>
              <w:contextualSpacing/>
              <w:jc w:val="right"/>
              <w:rPr>
                <w:rFonts w:ascii="Times New Roman" w:hAnsi="Times New Roman" w:cs="Times New Roman"/>
                <w:bCs/>
                <w:color w:val="000000" w:themeColor="text1"/>
                <w:sz w:val="20"/>
                <w:szCs w:val="20"/>
              </w:rPr>
            </w:pPr>
            <w:r w:rsidRPr="006400B7">
              <w:rPr>
                <w:rFonts w:ascii="Times New Roman" w:eastAsia="Times New Roman" w:hAnsi="Times New Roman" w:cs="Times New Roman"/>
                <w:bCs/>
                <w:color w:val="000000" w:themeColor="text1"/>
                <w:sz w:val="20"/>
                <w:szCs w:val="20"/>
              </w:rPr>
              <w:t>121</w:t>
            </w:r>
          </w:p>
        </w:tc>
      </w:tr>
      <w:tr w14:paraId="3C6E1A4C"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6C5ED7D9"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5 months</w:t>
            </w:r>
          </w:p>
        </w:tc>
        <w:tc>
          <w:tcPr>
            <w:tcW w:w="2340" w:type="dxa"/>
            <w:tcBorders>
              <w:top w:val="nil"/>
              <w:left w:val="nil"/>
              <w:bottom w:val="nil"/>
              <w:right w:val="nil"/>
            </w:tcBorders>
            <w:vAlign w:val="center"/>
          </w:tcPr>
          <w:p w:rsidR="00061182" w:rsidRPr="00EB3CDA" w:rsidP="00CA7414" w14:paraId="0D8B84B0"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105</w:t>
            </w:r>
          </w:p>
        </w:tc>
      </w:tr>
      <w:tr w14:paraId="4D9B23C4"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66F39E96"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6 months</w:t>
            </w:r>
          </w:p>
        </w:tc>
        <w:tc>
          <w:tcPr>
            <w:tcW w:w="2340" w:type="dxa"/>
            <w:tcBorders>
              <w:top w:val="nil"/>
              <w:left w:val="nil"/>
              <w:bottom w:val="nil"/>
              <w:right w:val="nil"/>
            </w:tcBorders>
            <w:vAlign w:val="center"/>
          </w:tcPr>
          <w:p w:rsidR="00061182" w:rsidRPr="00EB3CDA" w:rsidP="00CA7414" w14:paraId="2B17DD8D"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129</w:t>
            </w:r>
          </w:p>
        </w:tc>
      </w:tr>
      <w:tr w14:paraId="73170884"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53B80339"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7 months</w:t>
            </w:r>
          </w:p>
        </w:tc>
        <w:tc>
          <w:tcPr>
            <w:tcW w:w="2340" w:type="dxa"/>
            <w:tcBorders>
              <w:top w:val="nil"/>
              <w:left w:val="nil"/>
              <w:bottom w:val="nil"/>
              <w:right w:val="nil"/>
            </w:tcBorders>
            <w:vAlign w:val="center"/>
          </w:tcPr>
          <w:p w:rsidR="00061182" w:rsidRPr="00EB3CDA" w:rsidP="00CA7414" w14:paraId="5560868F"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145</w:t>
            </w:r>
          </w:p>
        </w:tc>
      </w:tr>
      <w:tr w14:paraId="4BAA2B3D"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55AEB7B9"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8 months</w:t>
            </w:r>
          </w:p>
        </w:tc>
        <w:tc>
          <w:tcPr>
            <w:tcW w:w="2340" w:type="dxa"/>
            <w:tcBorders>
              <w:top w:val="nil"/>
              <w:left w:val="nil"/>
              <w:bottom w:val="nil"/>
              <w:right w:val="nil"/>
            </w:tcBorders>
            <w:vAlign w:val="center"/>
          </w:tcPr>
          <w:p w:rsidR="00061182" w:rsidRPr="00EB3CDA" w:rsidP="00CA7414" w14:paraId="2ACB1325"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186</w:t>
            </w:r>
          </w:p>
        </w:tc>
      </w:tr>
      <w:tr w14:paraId="6CFACF95"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5A4990DC"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9 months</w:t>
            </w:r>
          </w:p>
        </w:tc>
        <w:tc>
          <w:tcPr>
            <w:tcW w:w="2340" w:type="dxa"/>
            <w:tcBorders>
              <w:top w:val="nil"/>
              <w:left w:val="nil"/>
              <w:bottom w:val="nil"/>
              <w:right w:val="nil"/>
            </w:tcBorders>
            <w:vAlign w:val="center"/>
          </w:tcPr>
          <w:p w:rsidR="00061182" w:rsidRPr="00EB3CDA" w:rsidP="00CA7414" w14:paraId="53472F9F"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202</w:t>
            </w:r>
          </w:p>
        </w:tc>
      </w:tr>
      <w:tr w14:paraId="681DB6FA" w14:textId="77777777" w:rsidTr="004A3C73">
        <w:tblPrEx>
          <w:tblW w:w="4140" w:type="dxa"/>
          <w:jc w:val="center"/>
          <w:tblLook w:val="04A0"/>
        </w:tblPrEx>
        <w:trPr>
          <w:trHeight w:hRule="exact" w:val="259"/>
          <w:jc w:val="center"/>
        </w:trPr>
        <w:tc>
          <w:tcPr>
            <w:tcW w:w="1800" w:type="dxa"/>
            <w:vAlign w:val="center"/>
          </w:tcPr>
          <w:p w:rsidR="00061182" w:rsidRPr="00EB3CDA" w:rsidP="00CA7414" w14:paraId="6CFA8BC0"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10 months</w:t>
            </w:r>
          </w:p>
        </w:tc>
        <w:tc>
          <w:tcPr>
            <w:tcW w:w="2340" w:type="dxa"/>
            <w:tcBorders>
              <w:top w:val="nil"/>
              <w:left w:val="nil"/>
              <w:bottom w:val="nil"/>
              <w:right w:val="nil"/>
            </w:tcBorders>
            <w:vAlign w:val="center"/>
          </w:tcPr>
          <w:p w:rsidR="00061182" w:rsidRPr="00EB3CDA" w:rsidP="00CA7414" w14:paraId="62D03212"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320</w:t>
            </w:r>
          </w:p>
        </w:tc>
      </w:tr>
      <w:tr w14:paraId="0D93151F" w14:textId="77777777" w:rsidTr="004A3C73">
        <w:tblPrEx>
          <w:tblW w:w="4140" w:type="dxa"/>
          <w:jc w:val="center"/>
          <w:tblLook w:val="04A0"/>
        </w:tblPrEx>
        <w:trPr>
          <w:trHeight w:hRule="exact" w:val="259"/>
          <w:jc w:val="center"/>
        </w:trPr>
        <w:tc>
          <w:tcPr>
            <w:tcW w:w="1800" w:type="dxa"/>
            <w:tcBorders>
              <w:bottom w:val="nil"/>
            </w:tcBorders>
            <w:vAlign w:val="center"/>
          </w:tcPr>
          <w:p w:rsidR="00061182" w:rsidRPr="00EB3CDA" w:rsidP="00CA7414" w14:paraId="570177E0"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11 months</w:t>
            </w:r>
          </w:p>
        </w:tc>
        <w:tc>
          <w:tcPr>
            <w:tcW w:w="2340" w:type="dxa"/>
            <w:tcBorders>
              <w:top w:val="nil"/>
              <w:left w:val="nil"/>
              <w:bottom w:val="nil"/>
              <w:right w:val="nil"/>
            </w:tcBorders>
            <w:vAlign w:val="center"/>
          </w:tcPr>
          <w:p w:rsidR="00061182" w:rsidRPr="00EB3CDA" w:rsidP="00CA7414" w14:paraId="6E60AB28"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622</w:t>
            </w:r>
          </w:p>
        </w:tc>
      </w:tr>
      <w:tr w14:paraId="5FF3A8F4" w14:textId="77777777" w:rsidTr="004A3C73">
        <w:tblPrEx>
          <w:tblW w:w="4140" w:type="dxa"/>
          <w:jc w:val="center"/>
          <w:tblLook w:val="04A0"/>
        </w:tblPrEx>
        <w:trPr>
          <w:trHeight w:hRule="exact" w:val="259"/>
          <w:jc w:val="center"/>
        </w:trPr>
        <w:tc>
          <w:tcPr>
            <w:tcW w:w="1800" w:type="dxa"/>
            <w:tcBorders>
              <w:top w:val="nil"/>
              <w:bottom w:val="single" w:sz="8" w:space="0" w:color="auto"/>
            </w:tcBorders>
            <w:vAlign w:val="center"/>
          </w:tcPr>
          <w:p w:rsidR="00061182" w:rsidRPr="00EB3CDA" w:rsidP="00CA7414" w14:paraId="5E9DF5D7" w14:textId="77777777">
            <w:pPr>
              <w:tabs>
                <w:tab w:val="left" w:pos="360"/>
              </w:tabs>
              <w:contextualSpacing/>
              <w:rPr>
                <w:rFonts w:ascii="Times New Roman" w:hAnsi="Times New Roman" w:cs="Times New Roman"/>
                <w:bCs/>
                <w:color w:val="000000" w:themeColor="text1"/>
                <w:sz w:val="20"/>
                <w:szCs w:val="20"/>
              </w:rPr>
            </w:pPr>
            <w:r w:rsidRPr="00EB3CDA">
              <w:rPr>
                <w:rFonts w:ascii="Times New Roman" w:hAnsi="Times New Roman" w:cs="Times New Roman"/>
                <w:bCs/>
                <w:color w:val="000000" w:themeColor="text1"/>
                <w:sz w:val="20"/>
                <w:szCs w:val="20"/>
              </w:rPr>
              <w:t>12 months</w:t>
            </w:r>
          </w:p>
        </w:tc>
        <w:tc>
          <w:tcPr>
            <w:tcW w:w="2340" w:type="dxa"/>
            <w:tcBorders>
              <w:top w:val="nil"/>
              <w:left w:val="nil"/>
              <w:bottom w:val="single" w:sz="4" w:space="0" w:color="auto"/>
              <w:right w:val="nil"/>
            </w:tcBorders>
            <w:vAlign w:val="center"/>
          </w:tcPr>
          <w:p w:rsidR="00061182" w:rsidRPr="00EB3CDA" w:rsidP="00CA7414" w14:paraId="6CED200E" w14:textId="77777777">
            <w:pPr>
              <w:tabs>
                <w:tab w:val="left" w:pos="360"/>
              </w:tabs>
              <w:contextualSpacing/>
              <w:jc w:val="right"/>
              <w:rPr>
                <w:rFonts w:ascii="Times New Roman" w:hAnsi="Times New Roman" w:cs="Times New Roman"/>
                <w:bCs/>
                <w:color w:val="000000" w:themeColor="text1"/>
                <w:sz w:val="20"/>
                <w:szCs w:val="20"/>
              </w:rPr>
            </w:pPr>
            <w:r w:rsidRPr="00EB3CDA">
              <w:rPr>
                <w:rFonts w:ascii="Times New Roman" w:eastAsia="Times New Roman" w:hAnsi="Times New Roman" w:cs="Times New Roman"/>
                <w:bCs/>
                <w:color w:val="000000" w:themeColor="text1"/>
                <w:sz w:val="20"/>
                <w:szCs w:val="20"/>
              </w:rPr>
              <w:t>12,507</w:t>
            </w:r>
          </w:p>
        </w:tc>
      </w:tr>
      <w:tr w14:paraId="6DF9C7BB" w14:textId="77777777" w:rsidTr="004A3C73">
        <w:tblPrEx>
          <w:tblW w:w="4140" w:type="dxa"/>
          <w:jc w:val="center"/>
          <w:tblLook w:val="04A0"/>
        </w:tblPrEx>
        <w:trPr>
          <w:trHeight w:hRule="exact" w:val="259"/>
          <w:jc w:val="center"/>
        </w:trPr>
        <w:tc>
          <w:tcPr>
            <w:tcW w:w="1800" w:type="dxa"/>
            <w:tcBorders>
              <w:top w:val="single" w:sz="8" w:space="0" w:color="auto"/>
              <w:bottom w:val="single" w:sz="8" w:space="0" w:color="auto"/>
            </w:tcBorders>
            <w:vAlign w:val="center"/>
          </w:tcPr>
          <w:p w:rsidR="00061182" w:rsidRPr="00EB3CDA" w:rsidP="00CA7414" w14:paraId="21A579D3" w14:textId="77777777">
            <w:pPr>
              <w:tabs>
                <w:tab w:val="left" w:pos="360"/>
              </w:tabs>
              <w:contextualSpacing/>
              <w:rPr>
                <w:rFonts w:ascii="Times New Roman" w:hAnsi="Times New Roman" w:cs="Times New Roman"/>
                <w:b/>
                <w:color w:val="000000" w:themeColor="text1"/>
                <w:sz w:val="20"/>
                <w:szCs w:val="20"/>
              </w:rPr>
            </w:pPr>
            <w:r w:rsidRPr="00EB3CDA">
              <w:rPr>
                <w:rFonts w:ascii="Times New Roman" w:hAnsi="Times New Roman" w:cs="Times New Roman"/>
                <w:b/>
                <w:color w:val="000000" w:themeColor="text1"/>
                <w:sz w:val="20"/>
                <w:szCs w:val="20"/>
              </w:rPr>
              <w:t>Total</w:t>
            </w:r>
          </w:p>
        </w:tc>
        <w:tc>
          <w:tcPr>
            <w:tcW w:w="2340" w:type="dxa"/>
            <w:tcBorders>
              <w:top w:val="single" w:sz="8" w:space="0" w:color="auto"/>
              <w:bottom w:val="single" w:sz="8" w:space="0" w:color="auto"/>
            </w:tcBorders>
            <w:vAlign w:val="center"/>
          </w:tcPr>
          <w:p w:rsidR="00061182" w:rsidRPr="00EB3CDA" w:rsidP="00CA7414" w14:paraId="643F5DAE" w14:textId="77777777">
            <w:pPr>
              <w:tabs>
                <w:tab w:val="left" w:pos="360"/>
              </w:tabs>
              <w:contextualSpacing/>
              <w:jc w:val="right"/>
              <w:rPr>
                <w:rFonts w:ascii="Times New Roman" w:hAnsi="Times New Roman" w:cs="Times New Roman"/>
                <w:b/>
                <w:color w:val="000000" w:themeColor="text1"/>
                <w:sz w:val="20"/>
                <w:szCs w:val="20"/>
              </w:rPr>
            </w:pPr>
            <w:r w:rsidRPr="00EB3CDA">
              <w:rPr>
                <w:rFonts w:ascii="Times New Roman" w:hAnsi="Times New Roman" w:cs="Times New Roman"/>
                <w:b/>
                <w:color w:val="000000" w:themeColor="text1"/>
                <w:sz w:val="20"/>
                <w:szCs w:val="20"/>
              </w:rPr>
              <w:t>16,788</w:t>
            </w:r>
          </w:p>
        </w:tc>
      </w:tr>
    </w:tbl>
    <w:p w:rsidR="00331551" w:rsidRPr="00EB3CDA" w:rsidP="00CA7414" w14:paraId="1D1EBD78" w14:textId="77777777">
      <w:pPr>
        <w:pStyle w:val="ListParagraph"/>
        <w:spacing w:after="0" w:line="240" w:lineRule="auto"/>
        <w:ind w:left="360"/>
        <w:rPr>
          <w:rFonts w:ascii="Times New Roman" w:hAnsi="Times New Roman" w:cs="Times New Roman"/>
          <w:color w:val="000000" w:themeColor="text1"/>
          <w:sz w:val="24"/>
          <w:szCs w:val="24"/>
        </w:rPr>
      </w:pPr>
    </w:p>
    <w:p w:rsidR="00331551" w:rsidRPr="00EB3CDA" w:rsidP="00CA7414" w14:paraId="1794FCCA" w14:textId="77777777">
      <w:pPr>
        <w:pStyle w:val="ListParagraph"/>
        <w:spacing w:after="0" w:line="240" w:lineRule="auto"/>
        <w:ind w:left="360"/>
        <w:rPr>
          <w:rFonts w:ascii="Times New Roman" w:hAnsi="Times New Roman" w:cs="Times New Roman"/>
          <w:color w:val="000000" w:themeColor="text1"/>
          <w:sz w:val="24"/>
          <w:szCs w:val="24"/>
        </w:rPr>
      </w:pPr>
    </w:p>
    <w:p w:rsidR="005B215A" w:rsidRPr="00EB3CDA" w:rsidP="00CA7414" w14:paraId="650BF3E1" w14:textId="77777777">
      <w:pPr>
        <w:spacing w:after="0" w:line="240" w:lineRule="auto"/>
        <w:rPr>
          <w:rFonts w:ascii="Times New Roman" w:hAnsi="Times New Roman" w:cs="Times New Roman"/>
          <w:color w:val="000000" w:themeColor="text1"/>
          <w:sz w:val="24"/>
          <w:szCs w:val="24"/>
        </w:rPr>
      </w:pPr>
    </w:p>
    <w:p w:rsidR="005B215A" w:rsidRPr="00EB3CDA" w:rsidP="00CA7414" w14:paraId="5AEF10D7" w14:textId="77777777">
      <w:pPr>
        <w:spacing w:after="0" w:line="240" w:lineRule="auto"/>
        <w:rPr>
          <w:rFonts w:ascii="Times New Roman" w:hAnsi="Times New Roman" w:cs="Times New Roman"/>
          <w:color w:val="000000" w:themeColor="text1"/>
          <w:sz w:val="24"/>
          <w:szCs w:val="24"/>
        </w:rPr>
      </w:pPr>
    </w:p>
    <w:p w:rsidR="005B215A" w:rsidRPr="00EB3CDA" w:rsidP="00CA7414" w14:paraId="028810D6" w14:textId="77777777">
      <w:pPr>
        <w:spacing w:after="0" w:line="240" w:lineRule="auto"/>
        <w:rPr>
          <w:rFonts w:ascii="Times New Roman" w:hAnsi="Times New Roman" w:cs="Times New Roman"/>
          <w:color w:val="000000" w:themeColor="text1"/>
          <w:sz w:val="24"/>
          <w:szCs w:val="24"/>
        </w:rPr>
      </w:pPr>
    </w:p>
    <w:p w:rsidR="005B215A" w:rsidRPr="00EB3CDA" w:rsidP="00CA7414" w14:paraId="7FF37A3F" w14:textId="77777777">
      <w:pPr>
        <w:spacing w:after="0" w:line="240" w:lineRule="auto"/>
        <w:rPr>
          <w:rFonts w:ascii="Times New Roman" w:hAnsi="Times New Roman" w:cs="Times New Roman"/>
          <w:color w:val="000000" w:themeColor="text1"/>
          <w:sz w:val="24"/>
          <w:szCs w:val="24"/>
        </w:rPr>
      </w:pPr>
    </w:p>
    <w:p w:rsidR="005B215A" w:rsidRPr="00EB3CDA" w:rsidP="00CA7414" w14:paraId="05CC8900" w14:textId="77777777">
      <w:pPr>
        <w:spacing w:after="0" w:line="240" w:lineRule="auto"/>
        <w:rPr>
          <w:rFonts w:ascii="Times New Roman" w:hAnsi="Times New Roman" w:cs="Times New Roman"/>
          <w:color w:val="000000" w:themeColor="text1"/>
          <w:sz w:val="24"/>
          <w:szCs w:val="24"/>
        </w:rPr>
      </w:pPr>
    </w:p>
    <w:p w:rsidR="005B215A" w:rsidRPr="00EB3CDA" w:rsidP="00CA7414" w14:paraId="17CB4955" w14:textId="77777777">
      <w:pPr>
        <w:spacing w:after="0" w:line="240" w:lineRule="auto"/>
        <w:rPr>
          <w:rFonts w:ascii="Times New Roman" w:hAnsi="Times New Roman" w:cs="Times New Roman"/>
          <w:color w:val="000000" w:themeColor="text1"/>
          <w:sz w:val="24"/>
          <w:szCs w:val="24"/>
        </w:rPr>
      </w:pPr>
    </w:p>
    <w:p w:rsidR="00E67CBC" w:rsidRPr="00EB3CDA" w:rsidP="00CA7414" w14:paraId="60339B67" w14:textId="77777777">
      <w:pPr>
        <w:spacing w:after="0" w:line="240" w:lineRule="auto"/>
        <w:rPr>
          <w:rFonts w:ascii="Times New Roman" w:hAnsi="Times New Roman" w:cs="Times New Roman"/>
          <w:color w:val="000000" w:themeColor="text1"/>
          <w:sz w:val="24"/>
          <w:szCs w:val="24"/>
        </w:rPr>
      </w:pPr>
    </w:p>
    <w:p w:rsidR="00E67CBC" w:rsidRPr="00EB3CDA" w:rsidP="00CA7414" w14:paraId="71C48401" w14:textId="77777777">
      <w:pPr>
        <w:spacing w:after="0" w:line="240" w:lineRule="auto"/>
        <w:rPr>
          <w:rFonts w:ascii="Times New Roman" w:hAnsi="Times New Roman" w:cs="Times New Roman"/>
          <w:color w:val="000000" w:themeColor="text1"/>
          <w:sz w:val="24"/>
          <w:szCs w:val="24"/>
        </w:rPr>
      </w:pPr>
    </w:p>
    <w:p w:rsidR="00E67CBC" w:rsidRPr="00EB3CDA" w:rsidP="00CA7414" w14:paraId="43D7A641" w14:textId="77777777">
      <w:pPr>
        <w:spacing w:after="0" w:line="240" w:lineRule="auto"/>
        <w:rPr>
          <w:rFonts w:ascii="Times New Roman" w:hAnsi="Times New Roman" w:cs="Times New Roman"/>
          <w:color w:val="000000" w:themeColor="text1"/>
          <w:sz w:val="24"/>
          <w:szCs w:val="24"/>
        </w:rPr>
      </w:pPr>
    </w:p>
    <w:p w:rsidR="00E67CBC" w:rsidRPr="00EB3CDA" w:rsidP="00CA7414" w14:paraId="2214F3DF" w14:textId="77777777">
      <w:pPr>
        <w:spacing w:after="0" w:line="240" w:lineRule="auto"/>
        <w:rPr>
          <w:rFonts w:ascii="Times New Roman" w:hAnsi="Times New Roman" w:cs="Times New Roman"/>
          <w:color w:val="000000" w:themeColor="text1"/>
          <w:sz w:val="24"/>
          <w:szCs w:val="24"/>
        </w:rPr>
      </w:pPr>
    </w:p>
    <w:p w:rsidR="00E67CBC" w:rsidRPr="00EB3CDA" w:rsidP="00CA7414" w14:paraId="5F72616D" w14:textId="77777777">
      <w:pPr>
        <w:spacing w:after="0" w:line="240" w:lineRule="auto"/>
        <w:rPr>
          <w:rFonts w:ascii="Times New Roman" w:hAnsi="Times New Roman" w:cs="Times New Roman"/>
          <w:color w:val="000000" w:themeColor="text1"/>
          <w:sz w:val="24"/>
          <w:szCs w:val="24"/>
        </w:rPr>
      </w:pPr>
    </w:p>
    <w:p w:rsidR="00E67CBC" w:rsidRPr="00EB3CDA" w:rsidP="00CA7414" w14:paraId="0E9ACE24" w14:textId="77777777">
      <w:pPr>
        <w:spacing w:after="0" w:line="240" w:lineRule="auto"/>
        <w:rPr>
          <w:rFonts w:ascii="Times New Roman" w:hAnsi="Times New Roman" w:cs="Times New Roman"/>
          <w:color w:val="000000" w:themeColor="text1"/>
          <w:sz w:val="24"/>
          <w:szCs w:val="24"/>
        </w:rPr>
      </w:pPr>
    </w:p>
    <w:p w:rsidR="00E67CBC" w:rsidRPr="00EB3CDA" w:rsidP="00CA7414" w14:paraId="173C48DA" w14:textId="77777777">
      <w:pPr>
        <w:spacing w:after="0" w:line="240" w:lineRule="auto"/>
        <w:rPr>
          <w:rFonts w:ascii="Times New Roman" w:hAnsi="Times New Roman" w:cs="Times New Roman"/>
          <w:color w:val="000000" w:themeColor="text1"/>
          <w:sz w:val="24"/>
          <w:szCs w:val="24"/>
        </w:rPr>
      </w:pPr>
    </w:p>
    <w:p w:rsidR="00E67CBC" w:rsidRPr="00EB3CDA" w:rsidP="00CA7414" w14:paraId="2E8DE099" w14:textId="77777777">
      <w:pPr>
        <w:spacing w:after="0" w:line="240" w:lineRule="auto"/>
        <w:rPr>
          <w:rFonts w:ascii="Times New Roman" w:hAnsi="Times New Roman" w:cs="Times New Roman"/>
          <w:color w:val="000000" w:themeColor="text1"/>
          <w:sz w:val="24"/>
          <w:szCs w:val="24"/>
        </w:rPr>
      </w:pPr>
    </w:p>
    <w:p w:rsidR="00472EA8" w:rsidRPr="00EB3CDA" w:rsidP="00CA7414" w14:paraId="43B80F89" w14:textId="69D4DA0D">
      <w:pPr>
        <w:spacing w:after="0" w:line="240" w:lineRule="auto"/>
        <w:rPr>
          <w:rFonts w:ascii="Times New Roman" w:hAnsi="Times New Roman" w:cs="Times New Roman"/>
          <w:color w:val="000000" w:themeColor="text1"/>
          <w:sz w:val="24"/>
          <w:szCs w:val="24"/>
        </w:rPr>
      </w:pPr>
    </w:p>
    <w:p w:rsidR="005A53BC" w:rsidRPr="00EB3CDA" w:rsidP="00CA7414" w14:paraId="3ECC5A48" w14:textId="390C5E2E">
      <w:pPr>
        <w:pStyle w:val="ListParagraph"/>
        <w:spacing w:after="0" w:line="240" w:lineRule="auto"/>
        <w:ind w:right="-180"/>
        <w:rPr>
          <w:rFonts w:ascii="Times New Roman" w:hAnsi="Times New Roman" w:cs="Times New Roman"/>
          <w:color w:val="000000" w:themeColor="text1"/>
          <w:sz w:val="24"/>
          <w:szCs w:val="24"/>
        </w:rPr>
      </w:pPr>
      <w:r w:rsidRPr="00EB3CDA">
        <w:rPr>
          <w:rFonts w:ascii="Times New Roman" w:hAnsi="Times New Roman" w:cs="Times New Roman"/>
          <w:color w:val="000000" w:themeColor="text1"/>
          <w:sz w:val="24"/>
          <w:szCs w:val="24"/>
        </w:rPr>
        <w:t>F</w:t>
      </w:r>
      <w:r w:rsidRPr="00EB3CDA">
        <w:rPr>
          <w:rFonts w:ascii="Times New Roman" w:hAnsi="Times New Roman" w:cs="Times New Roman"/>
          <w:color w:val="000000" w:themeColor="text1"/>
          <w:sz w:val="24"/>
          <w:szCs w:val="24"/>
        </w:rPr>
        <w:t>ederal, state, local, tribal</w:t>
      </w:r>
      <w:r w:rsidRPr="00EB3CDA" w:rsidR="006400B7">
        <w:rPr>
          <w:rFonts w:ascii="Times New Roman" w:hAnsi="Times New Roman" w:cs="Times New Roman"/>
          <w:color w:val="000000" w:themeColor="text1"/>
          <w:sz w:val="24"/>
          <w:szCs w:val="24"/>
        </w:rPr>
        <w:t>, and territorial</w:t>
      </w:r>
      <w:r w:rsidRPr="00EB3CDA">
        <w:rPr>
          <w:rFonts w:ascii="Times New Roman" w:hAnsi="Times New Roman" w:cs="Times New Roman"/>
          <w:color w:val="000000" w:themeColor="text1"/>
          <w:sz w:val="24"/>
          <w:szCs w:val="24"/>
        </w:rPr>
        <w:t xml:space="preserve"> </w:t>
      </w:r>
      <w:r w:rsidRPr="00EB3CDA">
        <w:rPr>
          <w:rFonts w:ascii="Times New Roman" w:hAnsi="Times New Roman" w:cs="Times New Roman"/>
          <w:color w:val="000000" w:themeColor="text1"/>
          <w:sz w:val="24"/>
          <w:szCs w:val="24"/>
        </w:rPr>
        <w:t>LEA</w:t>
      </w:r>
      <w:r w:rsidRPr="00EB3CDA">
        <w:rPr>
          <w:rFonts w:ascii="Times New Roman" w:hAnsi="Times New Roman" w:cs="Times New Roman"/>
          <w:color w:val="000000" w:themeColor="text1"/>
          <w:sz w:val="24"/>
          <w:szCs w:val="24"/>
        </w:rPr>
        <w:t>s serv</w:t>
      </w:r>
      <w:r w:rsidRPr="00EB3CDA">
        <w:rPr>
          <w:rFonts w:ascii="Times New Roman" w:hAnsi="Times New Roman" w:cs="Times New Roman"/>
          <w:color w:val="000000" w:themeColor="text1"/>
          <w:sz w:val="24"/>
          <w:szCs w:val="24"/>
        </w:rPr>
        <w:t>e</w:t>
      </w:r>
      <w:r w:rsidRPr="00EB3CDA">
        <w:rPr>
          <w:rFonts w:ascii="Times New Roman" w:hAnsi="Times New Roman" w:cs="Times New Roman"/>
          <w:color w:val="000000" w:themeColor="text1"/>
          <w:sz w:val="24"/>
          <w:szCs w:val="24"/>
        </w:rPr>
        <w:t xml:space="preserve"> </w:t>
      </w:r>
      <w:r w:rsidRPr="00EB3CDA" w:rsidR="00177307">
        <w:rPr>
          <w:rFonts w:ascii="Times New Roman" w:hAnsi="Times New Roman" w:cs="Times New Roman"/>
          <w:color w:val="000000" w:themeColor="text1"/>
          <w:sz w:val="24"/>
          <w:szCs w:val="24"/>
        </w:rPr>
        <w:t xml:space="preserve">differing </w:t>
      </w:r>
      <w:r w:rsidRPr="00EB3CDA">
        <w:rPr>
          <w:rFonts w:ascii="Times New Roman" w:hAnsi="Times New Roman" w:cs="Times New Roman"/>
          <w:color w:val="000000" w:themeColor="text1"/>
          <w:sz w:val="24"/>
          <w:szCs w:val="24"/>
        </w:rPr>
        <w:t xml:space="preserve">population group sizes </w:t>
      </w:r>
      <w:r w:rsidRPr="00EB3CDA">
        <w:rPr>
          <w:rFonts w:ascii="Times New Roman" w:hAnsi="Times New Roman" w:cs="Times New Roman"/>
          <w:color w:val="000000" w:themeColor="text1"/>
          <w:sz w:val="24"/>
          <w:szCs w:val="24"/>
        </w:rPr>
        <w:t xml:space="preserve">which </w:t>
      </w:r>
      <w:r w:rsidRPr="00EB3CDA" w:rsidR="00D93A81">
        <w:rPr>
          <w:rFonts w:ascii="Times New Roman" w:hAnsi="Times New Roman" w:cs="Times New Roman"/>
          <w:color w:val="000000" w:themeColor="text1"/>
          <w:sz w:val="24"/>
          <w:szCs w:val="24"/>
        </w:rPr>
        <w:t xml:space="preserve">all </w:t>
      </w:r>
      <w:r w:rsidRPr="00EB3CDA">
        <w:rPr>
          <w:rFonts w:ascii="Times New Roman" w:hAnsi="Times New Roman" w:cs="Times New Roman"/>
          <w:color w:val="000000" w:themeColor="text1"/>
          <w:sz w:val="24"/>
          <w:szCs w:val="24"/>
        </w:rPr>
        <w:t>hav</w:t>
      </w:r>
      <w:r w:rsidRPr="00EB3CDA" w:rsidR="00D93A81">
        <w:rPr>
          <w:rFonts w:ascii="Times New Roman" w:hAnsi="Times New Roman" w:cs="Times New Roman"/>
          <w:color w:val="000000" w:themeColor="text1"/>
          <w:sz w:val="24"/>
          <w:szCs w:val="24"/>
        </w:rPr>
        <w:t>e</w:t>
      </w:r>
      <w:r w:rsidRPr="00EB3CDA">
        <w:rPr>
          <w:rFonts w:ascii="Times New Roman" w:hAnsi="Times New Roman" w:cs="Times New Roman"/>
          <w:color w:val="000000" w:themeColor="text1"/>
          <w:sz w:val="24"/>
          <w:szCs w:val="24"/>
        </w:rPr>
        <w:t xml:space="preserve"> diverse attributes.  The areas served include </w:t>
      </w:r>
      <w:r w:rsidRPr="00EB3CDA" w:rsidR="00C227B8">
        <w:rPr>
          <w:rFonts w:ascii="Times New Roman" w:hAnsi="Times New Roman" w:cs="Times New Roman"/>
          <w:color w:val="000000" w:themeColor="text1"/>
          <w:sz w:val="24"/>
          <w:szCs w:val="24"/>
        </w:rPr>
        <w:t>various characteristics which may impact crime</w:t>
      </w:r>
      <w:r w:rsidRPr="00EB3CDA" w:rsidR="00377103">
        <w:rPr>
          <w:rFonts w:ascii="Times New Roman" w:hAnsi="Times New Roman" w:cs="Times New Roman"/>
          <w:color w:val="000000" w:themeColor="text1"/>
          <w:sz w:val="24"/>
          <w:szCs w:val="24"/>
        </w:rPr>
        <w:t>,</w:t>
      </w:r>
      <w:r w:rsidRPr="00EB3CDA" w:rsidR="00C227B8">
        <w:rPr>
          <w:rFonts w:ascii="Times New Roman" w:hAnsi="Times New Roman" w:cs="Times New Roman"/>
          <w:color w:val="000000" w:themeColor="text1"/>
          <w:sz w:val="24"/>
          <w:szCs w:val="24"/>
        </w:rPr>
        <w:t xml:space="preserve"> such as</w:t>
      </w:r>
      <w:r w:rsidRPr="00EB3CDA">
        <w:rPr>
          <w:rFonts w:ascii="Times New Roman" w:hAnsi="Times New Roman" w:cs="Times New Roman"/>
          <w:color w:val="000000" w:themeColor="text1"/>
          <w:sz w:val="24"/>
          <w:szCs w:val="24"/>
        </w:rPr>
        <w:t xml:space="preserve"> population dens</w:t>
      </w:r>
      <w:r w:rsidRPr="00EB3CDA" w:rsidR="00C227B8">
        <w:rPr>
          <w:rFonts w:ascii="Times New Roman" w:hAnsi="Times New Roman" w:cs="Times New Roman"/>
          <w:color w:val="000000" w:themeColor="text1"/>
          <w:sz w:val="24"/>
          <w:szCs w:val="24"/>
        </w:rPr>
        <w:t>ity and degree</w:t>
      </w:r>
      <w:r w:rsidRPr="00EB3CDA">
        <w:rPr>
          <w:rFonts w:ascii="Times New Roman" w:hAnsi="Times New Roman" w:cs="Times New Roman"/>
          <w:color w:val="000000" w:themeColor="text1"/>
          <w:sz w:val="24"/>
          <w:szCs w:val="24"/>
        </w:rPr>
        <w:t xml:space="preserve"> of urbanization; various compositions of population, particularly youth concentration; population movement with respect to residents’ mobility, commuting patterns, and transient factors; diverse economic conditions including median income, poverty level, and job availability; areas with different modes of transportation and highway systems; various cultural factors and educational, recreational, and religious characteristics; family conditions with respect to divorce and family cohesiveness; cli</w:t>
      </w:r>
      <w:r w:rsidRPr="00EB3CDA" w:rsidR="00564947">
        <w:rPr>
          <w:rFonts w:ascii="Times New Roman" w:hAnsi="Times New Roman" w:cs="Times New Roman"/>
          <w:color w:val="000000" w:themeColor="text1"/>
          <w:sz w:val="24"/>
          <w:szCs w:val="24"/>
        </w:rPr>
        <w:t xml:space="preserve">mate; effective strength of law </w:t>
      </w:r>
      <w:r w:rsidRPr="00EB3CDA">
        <w:rPr>
          <w:rFonts w:ascii="Times New Roman" w:hAnsi="Times New Roman" w:cs="Times New Roman"/>
          <w:color w:val="000000" w:themeColor="text1"/>
          <w:sz w:val="24"/>
          <w:szCs w:val="24"/>
        </w:rPr>
        <w:t xml:space="preserve">enforcement; policies of other components of the criminal justice system; citizens’ attitudes toward crime; and crime reporting practices of the citizenry.  The table below shows the number of participating </w:t>
      </w:r>
      <w:r w:rsidRPr="00EB3CDA" w:rsidR="004061EF">
        <w:rPr>
          <w:rFonts w:ascii="Times New Roman" w:hAnsi="Times New Roman" w:cs="Times New Roman"/>
          <w:color w:val="000000" w:themeColor="text1"/>
          <w:sz w:val="24"/>
          <w:szCs w:val="24"/>
        </w:rPr>
        <w:t>NIBRS</w:t>
      </w:r>
      <w:r w:rsidRPr="00EB3CDA">
        <w:rPr>
          <w:rFonts w:ascii="Times New Roman" w:hAnsi="Times New Roman" w:cs="Times New Roman"/>
          <w:color w:val="000000" w:themeColor="text1"/>
          <w:sz w:val="24"/>
          <w:szCs w:val="24"/>
        </w:rPr>
        <w:t xml:space="preserve"> agencies and population covered by population group size.</w:t>
      </w:r>
    </w:p>
    <w:p w:rsidR="00CC052B" w:rsidRPr="00EB3CDA" w:rsidP="00CA7414" w14:paraId="40B04DFA" w14:textId="7E7D7D11">
      <w:pPr>
        <w:spacing w:after="0" w:line="240" w:lineRule="auto"/>
        <w:rPr>
          <w:rFonts w:ascii="Times New Roman" w:hAnsi="Times New Roman" w:cs="Times New Roman"/>
          <w:color w:val="000000" w:themeColor="text1"/>
          <w:sz w:val="24"/>
          <w:szCs w:val="24"/>
        </w:rPr>
      </w:pPr>
      <w:r w:rsidRPr="00EB3CDA">
        <w:rPr>
          <w:rFonts w:ascii="Times New Roman" w:hAnsi="Times New Roman" w:cs="Times New Roman"/>
          <w:color w:val="000000" w:themeColor="text1"/>
          <w:sz w:val="24"/>
          <w:szCs w:val="24"/>
        </w:rPr>
        <w:br w:type="page"/>
      </w:r>
    </w:p>
    <w:tbl>
      <w:tblPr>
        <w:tblpPr w:leftFromText="180" w:rightFromText="180" w:vertAnchor="text" w:horzAnchor="margin" w:tblpXSpec="center" w:tblpY="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4860"/>
        <w:gridCol w:w="1080"/>
        <w:gridCol w:w="1241"/>
      </w:tblGrid>
      <w:tr w14:paraId="6C705C1F" w14:textId="77777777" w:rsidTr="00AA668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8441" w:type="dxa"/>
            <w:gridSpan w:val="4"/>
            <w:tcBorders>
              <w:top w:val="single" w:sz="8" w:space="0" w:color="auto"/>
              <w:left w:val="nil"/>
              <w:bottom w:val="single" w:sz="8" w:space="0" w:color="auto"/>
              <w:right w:val="single" w:sz="8" w:space="0" w:color="auto"/>
            </w:tcBorders>
            <w:vAlign w:val="center"/>
          </w:tcPr>
          <w:p w:rsidR="00AA668B" w:rsidRPr="00CC052B" w:rsidP="00AA668B" w14:paraId="73144A39" w14:textId="2DF99016">
            <w:pPr>
              <w:tabs>
                <w:tab w:val="left" w:pos="360"/>
              </w:tabs>
              <w:spacing w:after="0" w:line="240" w:lineRule="auto"/>
              <w:contextualSpacing/>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Agency</w:t>
            </w:r>
            <w:r>
              <w:rPr>
                <w:rFonts w:ascii="Times New Roman" w:hAnsi="Times New Roman" w:cs="Times New Roman"/>
                <w:b/>
                <w:color w:val="000000" w:themeColor="text1"/>
                <w:sz w:val="20"/>
                <w:szCs w:val="20"/>
              </w:rPr>
              <w:t xml:space="preserve"> Characteristics, 2024</w:t>
            </w:r>
          </w:p>
        </w:tc>
      </w:tr>
      <w:tr w14:paraId="5688D840" w14:textId="77777777" w:rsidTr="00CA7414">
        <w:tblPrEx>
          <w:tblW w:w="0" w:type="auto"/>
          <w:jc w:val="center"/>
          <w:tblLayout w:type="fixed"/>
          <w:tblLook w:val="04A0"/>
        </w:tblPrEx>
        <w:trPr>
          <w:jc w:val="center"/>
        </w:trPr>
        <w:tc>
          <w:tcPr>
            <w:tcW w:w="1260" w:type="dxa"/>
            <w:tcBorders>
              <w:top w:val="single" w:sz="8" w:space="0" w:color="auto"/>
              <w:left w:val="nil"/>
              <w:bottom w:val="single" w:sz="8" w:space="0" w:color="auto"/>
              <w:right w:val="single" w:sz="8" w:space="0" w:color="auto"/>
            </w:tcBorders>
            <w:vAlign w:val="bottom"/>
          </w:tcPr>
          <w:p w:rsidR="00CA7414" w:rsidRPr="001F5ED5" w:rsidP="00CA7414" w14:paraId="513D3EDC" w14:textId="77777777">
            <w:pPr>
              <w:tabs>
                <w:tab w:val="left" w:pos="360"/>
              </w:tabs>
              <w:spacing w:after="0" w:line="240" w:lineRule="auto"/>
              <w:contextualSpacing/>
              <w:rPr>
                <w:rFonts w:ascii="Times New Roman" w:hAnsi="Times New Roman" w:cs="Times New Roman"/>
                <w:b/>
                <w:bCs/>
                <w:color w:val="000000" w:themeColor="text1"/>
                <w:sz w:val="20"/>
                <w:szCs w:val="20"/>
              </w:rPr>
            </w:pPr>
            <w:r w:rsidRPr="001F5ED5">
              <w:rPr>
                <w:rFonts w:ascii="Times New Roman" w:hAnsi="Times New Roman" w:cs="Times New Roman"/>
                <w:b/>
                <w:bCs/>
                <w:color w:val="000000" w:themeColor="text1"/>
                <w:sz w:val="20"/>
                <w:szCs w:val="20"/>
              </w:rPr>
              <w:t>Area</w:t>
            </w:r>
          </w:p>
        </w:tc>
        <w:tc>
          <w:tcPr>
            <w:tcW w:w="4860" w:type="dxa"/>
            <w:tcBorders>
              <w:top w:val="single" w:sz="8" w:space="0" w:color="auto"/>
              <w:left w:val="single" w:sz="8" w:space="0" w:color="auto"/>
              <w:bottom w:val="single" w:sz="8" w:space="0" w:color="auto"/>
              <w:right w:val="single" w:sz="4" w:space="0" w:color="auto"/>
            </w:tcBorders>
            <w:vAlign w:val="bottom"/>
          </w:tcPr>
          <w:p w:rsidR="00CA7414" w:rsidRPr="00CC052B" w:rsidP="00CA7414" w14:paraId="35A16E9D" w14:textId="77777777">
            <w:pPr>
              <w:tabs>
                <w:tab w:val="left" w:pos="360"/>
              </w:tabs>
              <w:spacing w:after="0" w:line="240" w:lineRule="auto"/>
              <w:contextualSpacing/>
              <w:rPr>
                <w:rFonts w:ascii="Times New Roman" w:hAnsi="Times New Roman" w:cs="Times New Roman"/>
                <w:b/>
                <w:color w:val="000000" w:themeColor="text1"/>
                <w:sz w:val="20"/>
                <w:szCs w:val="20"/>
              </w:rPr>
            </w:pPr>
            <w:r w:rsidRPr="00CC052B">
              <w:rPr>
                <w:rFonts w:ascii="Times New Roman" w:hAnsi="Times New Roman" w:cs="Times New Roman"/>
                <w:b/>
                <w:color w:val="000000" w:themeColor="text1"/>
                <w:sz w:val="20"/>
                <w:szCs w:val="20"/>
              </w:rPr>
              <w:t>Population Group</w:t>
            </w:r>
          </w:p>
        </w:tc>
        <w:tc>
          <w:tcPr>
            <w:tcW w:w="1080" w:type="dxa"/>
            <w:tcBorders>
              <w:top w:val="single" w:sz="8" w:space="0" w:color="auto"/>
              <w:left w:val="single" w:sz="4" w:space="0" w:color="auto"/>
              <w:bottom w:val="single" w:sz="8" w:space="0" w:color="auto"/>
              <w:right w:val="single" w:sz="4" w:space="0" w:color="auto"/>
            </w:tcBorders>
            <w:vAlign w:val="center"/>
          </w:tcPr>
          <w:p w:rsidR="00CA7414" w:rsidRPr="00CC052B" w:rsidP="00CA7414" w14:paraId="0D1D5E12"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CC052B">
              <w:rPr>
                <w:rFonts w:ascii="Times New Roman" w:hAnsi="Times New Roman" w:cs="Times New Roman"/>
                <w:b/>
                <w:color w:val="000000" w:themeColor="text1"/>
                <w:sz w:val="20"/>
                <w:szCs w:val="20"/>
              </w:rPr>
              <w:t>Number of Agencies</w:t>
            </w:r>
          </w:p>
        </w:tc>
        <w:tc>
          <w:tcPr>
            <w:tcW w:w="1241" w:type="dxa"/>
            <w:tcBorders>
              <w:top w:val="single" w:sz="8" w:space="0" w:color="auto"/>
              <w:left w:val="single" w:sz="4" w:space="0" w:color="auto"/>
              <w:bottom w:val="single" w:sz="8" w:space="0" w:color="auto"/>
              <w:right w:val="nil"/>
            </w:tcBorders>
            <w:vAlign w:val="bottom"/>
          </w:tcPr>
          <w:p w:rsidR="00CA7414" w:rsidRPr="00CC052B" w:rsidP="00CA7414" w14:paraId="3AAE94A2" w14:textId="77777777">
            <w:pPr>
              <w:tabs>
                <w:tab w:val="left" w:pos="360"/>
              </w:tabs>
              <w:spacing w:after="0" w:line="240" w:lineRule="auto"/>
              <w:contextualSpacing/>
              <w:jc w:val="right"/>
              <w:rPr>
                <w:rFonts w:ascii="Times New Roman" w:hAnsi="Times New Roman" w:cs="Times New Roman"/>
                <w:b/>
                <w:color w:val="000000" w:themeColor="text1"/>
                <w:sz w:val="20"/>
                <w:szCs w:val="20"/>
              </w:rPr>
            </w:pPr>
            <w:r w:rsidRPr="00CC052B">
              <w:rPr>
                <w:rFonts w:ascii="Times New Roman" w:hAnsi="Times New Roman" w:cs="Times New Roman"/>
                <w:b/>
                <w:color w:val="000000" w:themeColor="text1"/>
                <w:sz w:val="20"/>
                <w:szCs w:val="20"/>
              </w:rPr>
              <w:t>Population Covered</w:t>
            </w:r>
          </w:p>
        </w:tc>
      </w:tr>
      <w:tr w14:paraId="710E0623" w14:textId="77777777" w:rsidTr="00CA7414">
        <w:tblPrEx>
          <w:tblW w:w="0" w:type="auto"/>
          <w:jc w:val="center"/>
          <w:tblLayout w:type="fixed"/>
          <w:tblLook w:val="04A0"/>
        </w:tblPrEx>
        <w:trPr>
          <w:trHeight w:hRule="exact" w:val="259"/>
          <w:jc w:val="center"/>
        </w:trPr>
        <w:tc>
          <w:tcPr>
            <w:tcW w:w="1260" w:type="dxa"/>
            <w:vMerge w:val="restart"/>
            <w:tcBorders>
              <w:top w:val="single" w:sz="8" w:space="0" w:color="auto"/>
              <w:left w:val="nil"/>
              <w:right w:val="single" w:sz="8" w:space="0" w:color="auto"/>
            </w:tcBorders>
            <w:vAlign w:val="center"/>
          </w:tcPr>
          <w:p w:rsidR="00CA7414" w:rsidRPr="00CC052B" w:rsidP="00CA7414" w14:paraId="5ADD0170"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Cities</w:t>
            </w:r>
          </w:p>
        </w:tc>
        <w:tc>
          <w:tcPr>
            <w:tcW w:w="4860" w:type="dxa"/>
            <w:tcBorders>
              <w:top w:val="single" w:sz="8" w:space="0" w:color="auto"/>
              <w:left w:val="single" w:sz="8" w:space="0" w:color="auto"/>
              <w:bottom w:val="nil"/>
              <w:right w:val="single" w:sz="4" w:space="0" w:color="auto"/>
            </w:tcBorders>
            <w:vAlign w:val="center"/>
          </w:tcPr>
          <w:p w:rsidR="00CA7414" w:rsidRPr="00CC052B" w:rsidP="00CA7414" w14:paraId="6B8D1EFE"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I (250,000 inhabitants and more)</w:t>
            </w:r>
          </w:p>
        </w:tc>
        <w:tc>
          <w:tcPr>
            <w:tcW w:w="1080" w:type="dxa"/>
            <w:tcBorders>
              <w:top w:val="single" w:sz="8" w:space="0" w:color="auto"/>
              <w:left w:val="single" w:sz="4" w:space="0" w:color="auto"/>
              <w:bottom w:val="nil"/>
              <w:right w:val="single" w:sz="4" w:space="0" w:color="auto"/>
            </w:tcBorders>
            <w:vAlign w:val="center"/>
          </w:tcPr>
          <w:p w:rsidR="00CA7414" w:rsidRPr="00CC052B" w:rsidP="00CA7414" w14:paraId="1FEAF966"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84</w:t>
            </w:r>
          </w:p>
        </w:tc>
        <w:tc>
          <w:tcPr>
            <w:tcW w:w="1241" w:type="dxa"/>
            <w:tcBorders>
              <w:top w:val="nil"/>
              <w:left w:val="single" w:sz="4" w:space="0" w:color="auto"/>
              <w:bottom w:val="nil"/>
              <w:right w:val="nil"/>
            </w:tcBorders>
            <w:vAlign w:val="center"/>
          </w:tcPr>
          <w:p w:rsidR="00CA7414" w:rsidRPr="00CC052B" w:rsidP="00CA7414" w14:paraId="146E931A"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59,569,781</w:t>
            </w:r>
          </w:p>
        </w:tc>
      </w:tr>
      <w:tr w14:paraId="2A1F33EE" w14:textId="77777777" w:rsidTr="00CA7414">
        <w:tblPrEx>
          <w:tblW w:w="0" w:type="auto"/>
          <w:jc w:val="center"/>
          <w:tblLayout w:type="fixed"/>
          <w:tblLook w:val="04A0"/>
        </w:tblPrEx>
        <w:trPr>
          <w:trHeight w:hRule="exact" w:val="259"/>
          <w:jc w:val="center"/>
        </w:trPr>
        <w:tc>
          <w:tcPr>
            <w:tcW w:w="1260" w:type="dxa"/>
            <w:vMerge/>
            <w:tcBorders>
              <w:left w:val="nil"/>
              <w:right w:val="single" w:sz="8" w:space="0" w:color="auto"/>
            </w:tcBorders>
            <w:vAlign w:val="center"/>
          </w:tcPr>
          <w:p w:rsidR="00CA7414" w:rsidRPr="00CC052B" w:rsidP="00CA7414" w14:paraId="420E67A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nil"/>
              <w:right w:val="single" w:sz="4" w:space="0" w:color="auto"/>
            </w:tcBorders>
            <w:vAlign w:val="center"/>
          </w:tcPr>
          <w:p w:rsidR="00CA7414" w:rsidRPr="00CC052B" w:rsidP="00CA7414" w14:paraId="3DAC0E2C"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II (100,000 to 249,999 inhabitants)</w:t>
            </w:r>
          </w:p>
        </w:tc>
        <w:tc>
          <w:tcPr>
            <w:tcW w:w="1080" w:type="dxa"/>
            <w:tcBorders>
              <w:top w:val="nil"/>
              <w:left w:val="single" w:sz="4" w:space="0" w:color="auto"/>
              <w:bottom w:val="nil"/>
              <w:right w:val="single" w:sz="4" w:space="0" w:color="auto"/>
            </w:tcBorders>
            <w:vAlign w:val="center"/>
          </w:tcPr>
          <w:p w:rsidR="00CA7414" w:rsidRPr="00CC052B" w:rsidP="00CA7414" w14:paraId="0CA87BEA"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224</w:t>
            </w:r>
          </w:p>
        </w:tc>
        <w:tc>
          <w:tcPr>
            <w:tcW w:w="1241" w:type="dxa"/>
            <w:tcBorders>
              <w:top w:val="nil"/>
              <w:left w:val="single" w:sz="4" w:space="0" w:color="auto"/>
              <w:bottom w:val="nil"/>
              <w:right w:val="nil"/>
            </w:tcBorders>
            <w:vAlign w:val="center"/>
          </w:tcPr>
          <w:p w:rsidR="00CA7414" w:rsidRPr="00CC052B" w:rsidP="00CA7414" w14:paraId="36A66FE3"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32,485,024</w:t>
            </w:r>
          </w:p>
        </w:tc>
      </w:tr>
      <w:tr w14:paraId="7B7107F0" w14:textId="77777777" w:rsidTr="00CA7414">
        <w:tblPrEx>
          <w:tblW w:w="0" w:type="auto"/>
          <w:jc w:val="center"/>
          <w:tblLayout w:type="fixed"/>
          <w:tblLook w:val="04A0"/>
        </w:tblPrEx>
        <w:trPr>
          <w:trHeight w:hRule="exact" w:val="259"/>
          <w:jc w:val="center"/>
        </w:trPr>
        <w:tc>
          <w:tcPr>
            <w:tcW w:w="1260" w:type="dxa"/>
            <w:vMerge/>
            <w:tcBorders>
              <w:left w:val="nil"/>
              <w:right w:val="single" w:sz="8" w:space="0" w:color="auto"/>
            </w:tcBorders>
            <w:vAlign w:val="center"/>
          </w:tcPr>
          <w:p w:rsidR="00CA7414" w:rsidRPr="00CC052B" w:rsidP="00CA7414" w14:paraId="0A17EA7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nil"/>
              <w:right w:val="single" w:sz="4" w:space="0" w:color="auto"/>
            </w:tcBorders>
            <w:vAlign w:val="center"/>
          </w:tcPr>
          <w:p w:rsidR="00CA7414" w:rsidRPr="00CC052B" w:rsidP="00CA7414" w14:paraId="528B534A"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III (50,000 to 99,999 inhabitants)</w:t>
            </w:r>
          </w:p>
        </w:tc>
        <w:tc>
          <w:tcPr>
            <w:tcW w:w="1080" w:type="dxa"/>
            <w:tcBorders>
              <w:top w:val="nil"/>
              <w:left w:val="single" w:sz="4" w:space="0" w:color="auto"/>
              <w:bottom w:val="nil"/>
              <w:right w:val="single" w:sz="4" w:space="0" w:color="auto"/>
            </w:tcBorders>
            <w:vAlign w:val="center"/>
          </w:tcPr>
          <w:p w:rsidR="00CA7414" w:rsidRPr="00CC052B" w:rsidP="00CA7414" w14:paraId="46071938"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448</w:t>
            </w:r>
          </w:p>
        </w:tc>
        <w:tc>
          <w:tcPr>
            <w:tcW w:w="1241" w:type="dxa"/>
            <w:tcBorders>
              <w:top w:val="nil"/>
              <w:left w:val="single" w:sz="4" w:space="0" w:color="auto"/>
              <w:bottom w:val="nil"/>
              <w:right w:val="nil"/>
            </w:tcBorders>
            <w:vAlign w:val="center"/>
          </w:tcPr>
          <w:p w:rsidR="00CA7414" w:rsidRPr="00CC052B" w:rsidP="00CA7414" w14:paraId="195F634C"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31,268,083</w:t>
            </w:r>
          </w:p>
        </w:tc>
      </w:tr>
      <w:tr w14:paraId="2390B90C" w14:textId="77777777" w:rsidTr="00CA7414">
        <w:tblPrEx>
          <w:tblW w:w="0" w:type="auto"/>
          <w:jc w:val="center"/>
          <w:tblLayout w:type="fixed"/>
          <w:tblLook w:val="04A0"/>
        </w:tblPrEx>
        <w:trPr>
          <w:trHeight w:hRule="exact" w:val="259"/>
          <w:jc w:val="center"/>
        </w:trPr>
        <w:tc>
          <w:tcPr>
            <w:tcW w:w="1260" w:type="dxa"/>
            <w:vMerge/>
            <w:tcBorders>
              <w:left w:val="nil"/>
              <w:right w:val="single" w:sz="8" w:space="0" w:color="auto"/>
            </w:tcBorders>
            <w:vAlign w:val="center"/>
          </w:tcPr>
          <w:p w:rsidR="00CA7414" w:rsidRPr="00CC052B" w:rsidP="00CA7414" w14:paraId="3A4A7E45"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nil"/>
              <w:right w:val="single" w:sz="4" w:space="0" w:color="auto"/>
            </w:tcBorders>
            <w:vAlign w:val="center"/>
          </w:tcPr>
          <w:p w:rsidR="00CA7414" w:rsidRPr="00CC052B" w:rsidP="00CA7414" w14:paraId="56DAEF1D"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IV (25,000 to 49,999 inhabitants)</w:t>
            </w:r>
          </w:p>
        </w:tc>
        <w:tc>
          <w:tcPr>
            <w:tcW w:w="1080" w:type="dxa"/>
            <w:tcBorders>
              <w:top w:val="nil"/>
              <w:left w:val="single" w:sz="4" w:space="0" w:color="auto"/>
              <w:bottom w:val="nil"/>
              <w:right w:val="single" w:sz="4" w:space="0" w:color="auto"/>
            </w:tcBorders>
            <w:vAlign w:val="center"/>
          </w:tcPr>
          <w:p w:rsidR="00CA7414" w:rsidRPr="00CC052B" w:rsidP="00CA7414" w14:paraId="28140168"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845</w:t>
            </w:r>
          </w:p>
        </w:tc>
        <w:tc>
          <w:tcPr>
            <w:tcW w:w="1241" w:type="dxa"/>
            <w:tcBorders>
              <w:top w:val="nil"/>
              <w:left w:val="single" w:sz="4" w:space="0" w:color="auto"/>
              <w:bottom w:val="nil"/>
              <w:right w:val="nil"/>
            </w:tcBorders>
            <w:vAlign w:val="center"/>
          </w:tcPr>
          <w:p w:rsidR="00CA7414" w:rsidRPr="00CC052B" w:rsidP="00CA7414" w14:paraId="2286AC67"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29,437,702</w:t>
            </w:r>
          </w:p>
        </w:tc>
      </w:tr>
      <w:tr w14:paraId="5A70E9A7" w14:textId="77777777" w:rsidTr="00CA7414">
        <w:tblPrEx>
          <w:tblW w:w="0" w:type="auto"/>
          <w:jc w:val="center"/>
          <w:tblLayout w:type="fixed"/>
          <w:tblLook w:val="04A0"/>
        </w:tblPrEx>
        <w:trPr>
          <w:trHeight w:hRule="exact" w:val="259"/>
          <w:jc w:val="center"/>
        </w:trPr>
        <w:tc>
          <w:tcPr>
            <w:tcW w:w="1260" w:type="dxa"/>
            <w:vMerge/>
            <w:tcBorders>
              <w:left w:val="nil"/>
              <w:right w:val="single" w:sz="8" w:space="0" w:color="auto"/>
            </w:tcBorders>
            <w:vAlign w:val="center"/>
          </w:tcPr>
          <w:p w:rsidR="00CA7414" w:rsidRPr="00CC052B" w:rsidP="00CA7414" w14:paraId="0217BBB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nil"/>
              <w:right w:val="single" w:sz="4" w:space="0" w:color="auto"/>
            </w:tcBorders>
            <w:vAlign w:val="center"/>
          </w:tcPr>
          <w:p w:rsidR="00CA7414" w:rsidRPr="00CC052B" w:rsidP="00CA7414" w14:paraId="6389BB84"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V (10,000 to 24,999 inhabitants)</w:t>
            </w:r>
          </w:p>
        </w:tc>
        <w:tc>
          <w:tcPr>
            <w:tcW w:w="1080" w:type="dxa"/>
            <w:tcBorders>
              <w:top w:val="nil"/>
              <w:left w:val="single" w:sz="4" w:space="0" w:color="auto"/>
              <w:bottom w:val="nil"/>
              <w:right w:val="single" w:sz="4" w:space="0" w:color="auto"/>
            </w:tcBorders>
            <w:vAlign w:val="center"/>
          </w:tcPr>
          <w:p w:rsidR="00CA7414" w:rsidRPr="00CC052B" w:rsidP="00CA7414" w14:paraId="35EB94D7"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1,671</w:t>
            </w:r>
          </w:p>
        </w:tc>
        <w:tc>
          <w:tcPr>
            <w:tcW w:w="1241" w:type="dxa"/>
            <w:tcBorders>
              <w:top w:val="nil"/>
              <w:left w:val="single" w:sz="4" w:space="0" w:color="auto"/>
              <w:bottom w:val="nil"/>
              <w:right w:val="nil"/>
            </w:tcBorders>
            <w:vAlign w:val="center"/>
          </w:tcPr>
          <w:p w:rsidR="00CA7414" w:rsidRPr="00CC052B" w:rsidP="00CA7414" w14:paraId="29B9DD70"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26,646,498</w:t>
            </w:r>
          </w:p>
        </w:tc>
      </w:tr>
      <w:tr w14:paraId="4FA29C79" w14:textId="77777777" w:rsidTr="00CA7414">
        <w:tblPrEx>
          <w:tblW w:w="0" w:type="auto"/>
          <w:jc w:val="center"/>
          <w:tblLayout w:type="fixed"/>
          <w:tblLook w:val="04A0"/>
        </w:tblPrEx>
        <w:trPr>
          <w:trHeight w:hRule="exact" w:val="259"/>
          <w:jc w:val="center"/>
        </w:trPr>
        <w:tc>
          <w:tcPr>
            <w:tcW w:w="1260" w:type="dxa"/>
            <w:vMerge/>
            <w:tcBorders>
              <w:left w:val="nil"/>
              <w:bottom w:val="single" w:sz="8" w:space="0" w:color="auto"/>
              <w:right w:val="single" w:sz="8" w:space="0" w:color="auto"/>
            </w:tcBorders>
            <w:vAlign w:val="center"/>
          </w:tcPr>
          <w:p w:rsidR="00CA7414" w:rsidRPr="00CC052B" w:rsidP="00CA7414" w14:paraId="38C08EF3"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single" w:sz="8" w:space="0" w:color="auto"/>
              <w:right w:val="single" w:sz="4" w:space="0" w:color="auto"/>
            </w:tcBorders>
            <w:vAlign w:val="center"/>
          </w:tcPr>
          <w:p w:rsidR="00CA7414" w:rsidRPr="00CC052B" w:rsidP="00CA7414" w14:paraId="4E38CD9A"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VI (Fewer than 10,000 inhabitants)</w:t>
            </w:r>
            <w:r w:rsidRPr="00CC052B">
              <w:rPr>
                <w:rFonts w:ascii="Times New Roman" w:hAnsi="Times New Roman" w:cs="Times New Roman"/>
                <w:color w:val="000000" w:themeColor="text1"/>
                <w:sz w:val="20"/>
                <w:szCs w:val="20"/>
                <w:vertAlign w:val="superscript"/>
              </w:rPr>
              <w:t>1,2</w:t>
            </w:r>
          </w:p>
        </w:tc>
        <w:tc>
          <w:tcPr>
            <w:tcW w:w="1080" w:type="dxa"/>
            <w:tcBorders>
              <w:top w:val="nil"/>
              <w:left w:val="single" w:sz="4" w:space="0" w:color="auto"/>
              <w:bottom w:val="single" w:sz="8" w:space="0" w:color="auto"/>
              <w:right w:val="single" w:sz="4" w:space="0" w:color="auto"/>
            </w:tcBorders>
            <w:vAlign w:val="center"/>
          </w:tcPr>
          <w:p w:rsidR="00CA7414" w:rsidRPr="00CC052B" w:rsidP="00CA7414" w14:paraId="7434782A"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8,939</w:t>
            </w:r>
          </w:p>
        </w:tc>
        <w:tc>
          <w:tcPr>
            <w:tcW w:w="1241" w:type="dxa"/>
            <w:tcBorders>
              <w:top w:val="nil"/>
              <w:left w:val="single" w:sz="4" w:space="0" w:color="auto"/>
              <w:bottom w:val="single" w:sz="8" w:space="0" w:color="auto"/>
              <w:right w:val="nil"/>
            </w:tcBorders>
            <w:vAlign w:val="center"/>
          </w:tcPr>
          <w:p w:rsidR="00CA7414" w:rsidRPr="00CC052B" w:rsidP="00CA7414" w14:paraId="1BF2E0B1"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21,265,070</w:t>
            </w:r>
          </w:p>
        </w:tc>
      </w:tr>
      <w:tr w14:paraId="3A75DEF1" w14:textId="77777777" w:rsidTr="00CA7414">
        <w:tblPrEx>
          <w:tblW w:w="0" w:type="auto"/>
          <w:jc w:val="center"/>
          <w:tblLayout w:type="fixed"/>
          <w:tblLook w:val="04A0"/>
        </w:tblPrEx>
        <w:trPr>
          <w:trHeight w:hRule="exact" w:val="259"/>
          <w:jc w:val="center"/>
        </w:trPr>
        <w:tc>
          <w:tcPr>
            <w:tcW w:w="1260" w:type="dxa"/>
            <w:vMerge w:val="restart"/>
            <w:tcBorders>
              <w:top w:val="single" w:sz="8" w:space="0" w:color="auto"/>
              <w:left w:val="nil"/>
              <w:right w:val="single" w:sz="8" w:space="0" w:color="auto"/>
            </w:tcBorders>
            <w:vAlign w:val="center"/>
          </w:tcPr>
          <w:p w:rsidR="00CA7414" w:rsidRPr="00CC052B" w:rsidP="00CA7414" w14:paraId="2C59B450"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Counties</w:t>
            </w:r>
          </w:p>
        </w:tc>
        <w:tc>
          <w:tcPr>
            <w:tcW w:w="4860" w:type="dxa"/>
            <w:tcBorders>
              <w:top w:val="single" w:sz="8" w:space="0" w:color="auto"/>
              <w:left w:val="single" w:sz="8" w:space="0" w:color="auto"/>
              <w:bottom w:val="nil"/>
              <w:right w:val="single" w:sz="4" w:space="0" w:color="auto"/>
            </w:tcBorders>
            <w:vAlign w:val="center"/>
          </w:tcPr>
          <w:p w:rsidR="00CA7414" w:rsidRPr="00CC052B" w:rsidP="00CA7414" w14:paraId="08671930"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VIII (Nonmetropolitan County)</w:t>
            </w:r>
            <w:r w:rsidRPr="00CC052B">
              <w:rPr>
                <w:rFonts w:ascii="Times New Roman" w:hAnsi="Times New Roman" w:cs="Times New Roman"/>
                <w:color w:val="000000" w:themeColor="text1"/>
                <w:sz w:val="20"/>
                <w:szCs w:val="20"/>
                <w:vertAlign w:val="superscript"/>
              </w:rPr>
              <w:t>2</w:t>
            </w:r>
          </w:p>
        </w:tc>
        <w:tc>
          <w:tcPr>
            <w:tcW w:w="1080" w:type="dxa"/>
            <w:tcBorders>
              <w:top w:val="single" w:sz="8" w:space="0" w:color="auto"/>
              <w:left w:val="single" w:sz="4" w:space="0" w:color="auto"/>
              <w:bottom w:val="nil"/>
              <w:right w:val="single" w:sz="4" w:space="0" w:color="auto"/>
            </w:tcBorders>
            <w:vAlign w:val="center"/>
          </w:tcPr>
          <w:p w:rsidR="00CA7414" w:rsidRPr="00CC052B" w:rsidP="00CA7414" w14:paraId="763DFBC9"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2,660</w:t>
            </w:r>
          </w:p>
        </w:tc>
        <w:tc>
          <w:tcPr>
            <w:tcW w:w="1241" w:type="dxa"/>
            <w:tcBorders>
              <w:top w:val="nil"/>
              <w:left w:val="single" w:sz="4" w:space="0" w:color="auto"/>
              <w:bottom w:val="nil"/>
              <w:right w:val="nil"/>
            </w:tcBorders>
            <w:vAlign w:val="center"/>
          </w:tcPr>
          <w:p w:rsidR="00CA7414" w:rsidRPr="00CC052B" w:rsidP="00CA7414" w14:paraId="42F13472"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26,128,891</w:t>
            </w:r>
          </w:p>
        </w:tc>
      </w:tr>
      <w:tr w14:paraId="39130996" w14:textId="77777777" w:rsidTr="00CA7414">
        <w:tblPrEx>
          <w:tblW w:w="0" w:type="auto"/>
          <w:jc w:val="center"/>
          <w:tblLayout w:type="fixed"/>
          <w:tblLook w:val="04A0"/>
        </w:tblPrEx>
        <w:trPr>
          <w:trHeight w:hRule="exact" w:val="259"/>
          <w:jc w:val="center"/>
        </w:trPr>
        <w:tc>
          <w:tcPr>
            <w:tcW w:w="1260" w:type="dxa"/>
            <w:vMerge/>
            <w:tcBorders>
              <w:left w:val="nil"/>
              <w:bottom w:val="single" w:sz="8" w:space="0" w:color="auto"/>
              <w:right w:val="single" w:sz="8" w:space="0" w:color="auto"/>
            </w:tcBorders>
            <w:vAlign w:val="center"/>
          </w:tcPr>
          <w:p w:rsidR="00CA7414" w:rsidRPr="00CC052B" w:rsidP="00CA7414" w14:paraId="56F6A21C"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nil"/>
              <w:left w:val="single" w:sz="8" w:space="0" w:color="auto"/>
              <w:bottom w:val="single" w:sz="8" w:space="0" w:color="auto"/>
              <w:right w:val="single" w:sz="4" w:space="0" w:color="auto"/>
            </w:tcBorders>
            <w:vAlign w:val="center"/>
          </w:tcPr>
          <w:p w:rsidR="00CA7414" w:rsidRPr="00CC052B" w:rsidP="00CA7414" w14:paraId="4EB5EEDA" w14:textId="77777777">
            <w:pPr>
              <w:tabs>
                <w:tab w:val="left" w:pos="360"/>
              </w:tabs>
              <w:spacing w:after="0" w:line="240" w:lineRule="auto"/>
              <w:contextualSpacing/>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Group IX (Metropolitan County)</w:t>
            </w:r>
            <w:r w:rsidRPr="00CC052B">
              <w:rPr>
                <w:rFonts w:ascii="Times New Roman" w:hAnsi="Times New Roman" w:cs="Times New Roman"/>
                <w:color w:val="000000" w:themeColor="text1"/>
                <w:sz w:val="20"/>
                <w:szCs w:val="20"/>
                <w:vertAlign w:val="superscript"/>
              </w:rPr>
              <w:t>2</w:t>
            </w:r>
          </w:p>
        </w:tc>
        <w:tc>
          <w:tcPr>
            <w:tcW w:w="1080" w:type="dxa"/>
            <w:tcBorders>
              <w:top w:val="nil"/>
              <w:left w:val="single" w:sz="4" w:space="0" w:color="auto"/>
              <w:bottom w:val="single" w:sz="8" w:space="0" w:color="auto"/>
              <w:right w:val="single" w:sz="4" w:space="0" w:color="auto"/>
            </w:tcBorders>
            <w:vAlign w:val="center"/>
          </w:tcPr>
          <w:p w:rsidR="00CA7414" w:rsidRPr="00CC052B" w:rsidP="00CA7414" w14:paraId="34990381"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hAnsi="Times New Roman" w:cs="Times New Roman"/>
                <w:color w:val="000000" w:themeColor="text1"/>
                <w:sz w:val="20"/>
                <w:szCs w:val="20"/>
              </w:rPr>
              <w:t>1,843</w:t>
            </w:r>
          </w:p>
        </w:tc>
        <w:tc>
          <w:tcPr>
            <w:tcW w:w="1241" w:type="dxa"/>
            <w:tcBorders>
              <w:top w:val="nil"/>
              <w:left w:val="single" w:sz="4" w:space="0" w:color="auto"/>
              <w:bottom w:val="single" w:sz="8" w:space="0" w:color="auto"/>
              <w:right w:val="nil"/>
            </w:tcBorders>
            <w:vAlign w:val="center"/>
          </w:tcPr>
          <w:p w:rsidR="00CA7414" w:rsidRPr="00CC052B" w:rsidP="00CA7414" w14:paraId="6D282B53"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CC052B">
              <w:rPr>
                <w:rFonts w:ascii="Times New Roman" w:eastAsia="Times New Roman" w:hAnsi="Times New Roman" w:cs="Times New Roman"/>
                <w:color w:val="000000" w:themeColor="text1"/>
                <w:sz w:val="20"/>
                <w:szCs w:val="20"/>
              </w:rPr>
              <w:t>74,164,903</w:t>
            </w:r>
          </w:p>
        </w:tc>
      </w:tr>
      <w:tr w14:paraId="04A18F32" w14:textId="77777777" w:rsidTr="00CA7414">
        <w:tblPrEx>
          <w:tblW w:w="0" w:type="auto"/>
          <w:jc w:val="center"/>
          <w:tblLayout w:type="fixed"/>
          <w:tblLook w:val="04A0"/>
        </w:tblPrEx>
        <w:trPr>
          <w:trHeight w:hRule="exact" w:val="259"/>
          <w:jc w:val="center"/>
        </w:trPr>
        <w:tc>
          <w:tcPr>
            <w:tcW w:w="1260" w:type="dxa"/>
            <w:tcBorders>
              <w:top w:val="single" w:sz="8" w:space="0" w:color="auto"/>
              <w:left w:val="nil"/>
              <w:bottom w:val="single" w:sz="8" w:space="0" w:color="auto"/>
              <w:right w:val="single" w:sz="8" w:space="0" w:color="auto"/>
            </w:tcBorders>
            <w:vAlign w:val="center"/>
          </w:tcPr>
          <w:p w:rsidR="00CA7414" w:rsidRPr="00E6670C" w:rsidP="00CA7414" w14:paraId="2A6391D7" w14:textId="77777777">
            <w:pPr>
              <w:tabs>
                <w:tab w:val="left" w:pos="360"/>
              </w:tabs>
              <w:spacing w:after="0" w:line="240" w:lineRule="auto"/>
              <w:contextualSpacing/>
              <w:rPr>
                <w:rFonts w:ascii="Times New Roman" w:hAnsi="Times New Roman" w:cs="Times New Roman"/>
                <w:color w:val="000000" w:themeColor="text1"/>
                <w:sz w:val="20"/>
                <w:szCs w:val="20"/>
              </w:rPr>
            </w:pPr>
            <w:r w:rsidRPr="00E6670C">
              <w:rPr>
                <w:rFonts w:ascii="Times New Roman" w:hAnsi="Times New Roman" w:cs="Times New Roman"/>
                <w:color w:val="000000" w:themeColor="text1"/>
                <w:sz w:val="20"/>
                <w:szCs w:val="20"/>
              </w:rPr>
              <w:t>Possessions</w:t>
            </w:r>
          </w:p>
        </w:tc>
        <w:tc>
          <w:tcPr>
            <w:tcW w:w="4860" w:type="dxa"/>
            <w:tcBorders>
              <w:top w:val="single" w:sz="8" w:space="0" w:color="auto"/>
              <w:left w:val="single" w:sz="8" w:space="0" w:color="auto"/>
              <w:bottom w:val="single" w:sz="8" w:space="0" w:color="auto"/>
              <w:right w:val="single" w:sz="8" w:space="0" w:color="auto"/>
            </w:tcBorders>
            <w:vAlign w:val="center"/>
          </w:tcPr>
          <w:p w:rsidR="00CA7414" w:rsidRPr="00E6670C" w:rsidP="00CA7414" w14:paraId="48DEB07C" w14:textId="77777777">
            <w:pPr>
              <w:tabs>
                <w:tab w:val="left" w:pos="360"/>
              </w:tabs>
              <w:spacing w:after="0" w:line="240" w:lineRule="auto"/>
              <w:contextualSpacing/>
              <w:rPr>
                <w:rFonts w:ascii="Times New Roman" w:hAnsi="Times New Roman" w:cs="Times New Roman"/>
                <w:color w:val="000000" w:themeColor="text1"/>
                <w:sz w:val="20"/>
                <w:szCs w:val="20"/>
              </w:rPr>
            </w:pPr>
            <w:r w:rsidRPr="00E6670C">
              <w:rPr>
                <w:rFonts w:ascii="Times New Roman" w:hAnsi="Times New Roman" w:cs="Times New Roman"/>
                <w:color w:val="000000" w:themeColor="text1"/>
                <w:sz w:val="20"/>
                <w:szCs w:val="20"/>
              </w:rPr>
              <w:t>Puerto Rico, Guam, Virgin Islands, and American Samoa</w:t>
            </w:r>
          </w:p>
        </w:tc>
        <w:tc>
          <w:tcPr>
            <w:tcW w:w="1080" w:type="dxa"/>
            <w:tcBorders>
              <w:top w:val="single" w:sz="8" w:space="0" w:color="auto"/>
              <w:left w:val="nil"/>
              <w:bottom w:val="single" w:sz="4" w:space="0" w:color="auto"/>
              <w:right w:val="single" w:sz="4" w:space="0" w:color="auto"/>
            </w:tcBorders>
            <w:vAlign w:val="center"/>
          </w:tcPr>
          <w:p w:rsidR="00CA7414" w:rsidRPr="00E6670C" w:rsidP="00CA7414" w14:paraId="2225548C"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E6670C">
              <w:rPr>
                <w:rFonts w:ascii="Times New Roman" w:eastAsia="Times New Roman" w:hAnsi="Times New Roman" w:cs="Times New Roman"/>
                <w:color w:val="000000" w:themeColor="text1"/>
                <w:sz w:val="20"/>
                <w:szCs w:val="20"/>
              </w:rPr>
              <w:t>1</w:t>
            </w:r>
          </w:p>
        </w:tc>
        <w:tc>
          <w:tcPr>
            <w:tcW w:w="1241" w:type="dxa"/>
            <w:tcBorders>
              <w:top w:val="nil"/>
              <w:left w:val="single" w:sz="4" w:space="0" w:color="auto"/>
              <w:bottom w:val="nil"/>
              <w:right w:val="nil"/>
            </w:tcBorders>
            <w:vAlign w:val="center"/>
          </w:tcPr>
          <w:p w:rsidR="00CA7414" w:rsidRPr="00E6670C" w:rsidP="00CA7414" w14:paraId="0D294DFD"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E6670C">
              <w:rPr>
                <w:rFonts w:ascii="Times New Roman" w:eastAsia="Times New Roman" w:hAnsi="Times New Roman" w:cs="Times New Roman"/>
                <w:color w:val="000000" w:themeColor="text1"/>
                <w:sz w:val="20"/>
                <w:szCs w:val="20"/>
              </w:rPr>
              <w:t>153,836</w:t>
            </w:r>
          </w:p>
        </w:tc>
      </w:tr>
      <w:tr w14:paraId="0555CBA4" w14:textId="77777777" w:rsidTr="00CA7414">
        <w:tblPrEx>
          <w:tblW w:w="0" w:type="auto"/>
          <w:jc w:val="center"/>
          <w:tblLayout w:type="fixed"/>
          <w:tblLook w:val="04A0"/>
        </w:tblPrEx>
        <w:trPr>
          <w:trHeight w:hRule="exact" w:val="259"/>
          <w:jc w:val="center"/>
        </w:trPr>
        <w:tc>
          <w:tcPr>
            <w:tcW w:w="1260" w:type="dxa"/>
            <w:tcBorders>
              <w:top w:val="single" w:sz="8" w:space="0" w:color="auto"/>
              <w:left w:val="nil"/>
              <w:bottom w:val="single" w:sz="8" w:space="0" w:color="auto"/>
              <w:right w:val="nil"/>
            </w:tcBorders>
            <w:vAlign w:val="center"/>
          </w:tcPr>
          <w:p w:rsidR="00CA7414" w:rsidRPr="00E6670C" w:rsidP="00CA7414" w14:paraId="44FF320D" w14:textId="77777777">
            <w:pPr>
              <w:tabs>
                <w:tab w:val="left" w:pos="360"/>
              </w:tabs>
              <w:spacing w:after="0" w:line="240" w:lineRule="auto"/>
              <w:contextualSpacing/>
              <w:rPr>
                <w:rFonts w:ascii="Times New Roman" w:hAnsi="Times New Roman" w:cs="Times New Roman"/>
                <w:color w:val="000000" w:themeColor="text1"/>
                <w:sz w:val="20"/>
                <w:szCs w:val="20"/>
              </w:rPr>
            </w:pPr>
          </w:p>
        </w:tc>
        <w:tc>
          <w:tcPr>
            <w:tcW w:w="4860" w:type="dxa"/>
            <w:tcBorders>
              <w:top w:val="single" w:sz="8" w:space="0" w:color="auto"/>
              <w:left w:val="nil"/>
              <w:bottom w:val="single" w:sz="8" w:space="0" w:color="auto"/>
              <w:right w:val="single" w:sz="8" w:space="0" w:color="auto"/>
            </w:tcBorders>
            <w:vAlign w:val="center"/>
          </w:tcPr>
          <w:p w:rsidR="00CA7414" w:rsidRPr="00E6670C" w:rsidP="00CA7414" w14:paraId="0D30021B"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E6670C">
              <w:rPr>
                <w:rFonts w:ascii="Times New Roman" w:hAnsi="Times New Roman" w:cs="Times New Roman"/>
                <w:color w:val="000000" w:themeColor="text1"/>
                <w:sz w:val="20"/>
                <w:szCs w:val="20"/>
              </w:rPr>
              <w:t>Total</w:t>
            </w:r>
          </w:p>
        </w:tc>
        <w:tc>
          <w:tcPr>
            <w:tcW w:w="1080" w:type="dxa"/>
            <w:tcBorders>
              <w:top w:val="single" w:sz="4" w:space="0" w:color="auto"/>
              <w:left w:val="single" w:sz="8" w:space="0" w:color="auto"/>
              <w:bottom w:val="nil"/>
              <w:right w:val="single" w:sz="4" w:space="0" w:color="auto"/>
            </w:tcBorders>
            <w:vAlign w:val="center"/>
          </w:tcPr>
          <w:p w:rsidR="00CA7414" w:rsidRPr="00E6670C" w:rsidP="00CA7414" w14:paraId="05CD7012"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E6670C">
              <w:rPr>
                <w:rFonts w:ascii="Times New Roman" w:hAnsi="Times New Roman" w:cs="Times New Roman"/>
                <w:color w:val="000000" w:themeColor="text1"/>
                <w:sz w:val="20"/>
                <w:szCs w:val="20"/>
              </w:rPr>
              <w:t>16,788</w:t>
            </w:r>
            <w:r w:rsidRPr="00E6670C">
              <w:rPr>
                <w:rFonts w:ascii="Times New Roman" w:hAnsi="Times New Roman" w:cs="Times New Roman"/>
                <w:color w:val="000000" w:themeColor="text1"/>
                <w:sz w:val="20"/>
                <w:szCs w:val="20"/>
                <w:vertAlign w:val="superscript"/>
              </w:rPr>
              <w:t>3</w:t>
            </w:r>
          </w:p>
        </w:tc>
        <w:tc>
          <w:tcPr>
            <w:tcW w:w="1241" w:type="dxa"/>
            <w:tcBorders>
              <w:top w:val="single" w:sz="8" w:space="0" w:color="auto"/>
              <w:left w:val="single" w:sz="4" w:space="0" w:color="auto"/>
              <w:bottom w:val="single" w:sz="8" w:space="0" w:color="auto"/>
              <w:right w:val="nil"/>
            </w:tcBorders>
            <w:vAlign w:val="center"/>
          </w:tcPr>
          <w:p w:rsidR="00CA7414" w:rsidRPr="00E6670C" w:rsidP="00CA7414" w14:paraId="35512719" w14:textId="77777777">
            <w:pPr>
              <w:tabs>
                <w:tab w:val="left" w:pos="360"/>
              </w:tabs>
              <w:spacing w:after="0" w:line="240" w:lineRule="auto"/>
              <w:contextualSpacing/>
              <w:jc w:val="right"/>
              <w:rPr>
                <w:rFonts w:ascii="Times New Roman" w:hAnsi="Times New Roman" w:cs="Times New Roman"/>
                <w:color w:val="000000" w:themeColor="text1"/>
                <w:sz w:val="20"/>
                <w:szCs w:val="20"/>
              </w:rPr>
            </w:pPr>
            <w:r w:rsidRPr="00E6670C">
              <w:rPr>
                <w:rFonts w:ascii="Times New Roman" w:hAnsi="Times New Roman" w:cs="Times New Roman"/>
                <w:color w:val="000000" w:themeColor="text1"/>
                <w:sz w:val="20"/>
                <w:szCs w:val="20"/>
              </w:rPr>
              <w:t>301,119,788</w:t>
            </w:r>
            <w:r w:rsidRPr="00E6670C">
              <w:rPr>
                <w:rFonts w:ascii="Times New Roman" w:hAnsi="Times New Roman" w:cs="Times New Roman"/>
                <w:color w:val="000000" w:themeColor="text1"/>
                <w:sz w:val="20"/>
                <w:szCs w:val="20"/>
                <w:vertAlign w:val="superscript"/>
              </w:rPr>
              <w:t>3</w:t>
            </w:r>
          </w:p>
        </w:tc>
      </w:tr>
      <w:tr w14:paraId="3B63DD74" w14:textId="77777777" w:rsidTr="00CA7414">
        <w:tblPrEx>
          <w:tblW w:w="0" w:type="auto"/>
          <w:jc w:val="center"/>
          <w:tblLayout w:type="fixed"/>
          <w:tblLook w:val="04A0"/>
        </w:tblPrEx>
        <w:trPr>
          <w:trHeight w:hRule="exact" w:val="623"/>
          <w:jc w:val="center"/>
        </w:trPr>
        <w:tc>
          <w:tcPr>
            <w:tcW w:w="8441" w:type="dxa"/>
            <w:gridSpan w:val="4"/>
            <w:tcBorders>
              <w:top w:val="single" w:sz="8" w:space="0" w:color="auto"/>
              <w:left w:val="nil"/>
              <w:bottom w:val="single" w:sz="8" w:space="0" w:color="auto"/>
              <w:right w:val="nil"/>
            </w:tcBorders>
            <w:vAlign w:val="center"/>
          </w:tcPr>
          <w:p w:rsidR="00CA7414" w:rsidRPr="00E3594C" w:rsidP="00CA7414" w14:paraId="47721916" w14:textId="77777777">
            <w:pPr>
              <w:tabs>
                <w:tab w:val="left" w:pos="360"/>
              </w:tabs>
              <w:spacing w:after="0" w:line="240" w:lineRule="auto"/>
              <w:contextualSpacing/>
              <w:rPr>
                <w:rFonts w:ascii="Times New Roman" w:hAnsi="Times New Roman" w:cs="Times New Roman"/>
                <w:color w:val="000000" w:themeColor="text1"/>
                <w:sz w:val="16"/>
                <w:szCs w:val="16"/>
              </w:rPr>
            </w:pPr>
            <w:r w:rsidRPr="00E3594C">
              <w:rPr>
                <w:rFonts w:ascii="Times New Roman" w:hAnsi="Times New Roman" w:cs="Times New Roman"/>
                <w:color w:val="000000" w:themeColor="text1"/>
                <w:sz w:val="16"/>
                <w:szCs w:val="16"/>
                <w:vertAlign w:val="superscript"/>
              </w:rPr>
              <w:t>1</w:t>
            </w:r>
            <w:r w:rsidRPr="00E3594C">
              <w:rPr>
                <w:rFonts w:ascii="Times New Roman" w:hAnsi="Times New Roman" w:cs="Times New Roman"/>
                <w:color w:val="000000" w:themeColor="text1"/>
                <w:sz w:val="16"/>
                <w:szCs w:val="16"/>
              </w:rPr>
              <w:t xml:space="preserve"> Includes universities and colleges to which no population is attributed.</w:t>
            </w:r>
          </w:p>
          <w:p w:rsidR="00CA7414" w:rsidRPr="00E3594C" w:rsidP="00CA7414" w14:paraId="7F3937E8" w14:textId="77777777">
            <w:pPr>
              <w:tabs>
                <w:tab w:val="left" w:pos="360"/>
              </w:tabs>
              <w:spacing w:after="0" w:line="240" w:lineRule="auto"/>
              <w:contextualSpacing/>
              <w:rPr>
                <w:rFonts w:ascii="Times New Roman" w:hAnsi="Times New Roman" w:cs="Times New Roman"/>
                <w:color w:val="000000" w:themeColor="text1"/>
                <w:sz w:val="16"/>
                <w:szCs w:val="16"/>
              </w:rPr>
            </w:pPr>
            <w:r w:rsidRPr="00E3594C">
              <w:rPr>
                <w:rFonts w:ascii="Times New Roman" w:hAnsi="Times New Roman" w:cs="Times New Roman"/>
                <w:color w:val="000000" w:themeColor="text1"/>
                <w:sz w:val="16"/>
                <w:szCs w:val="16"/>
                <w:vertAlign w:val="superscript"/>
              </w:rPr>
              <w:t>2</w:t>
            </w:r>
            <w:r w:rsidRPr="00E3594C">
              <w:rPr>
                <w:rFonts w:ascii="Times New Roman" w:hAnsi="Times New Roman" w:cs="Times New Roman"/>
                <w:color w:val="000000" w:themeColor="text1"/>
                <w:sz w:val="16"/>
                <w:szCs w:val="16"/>
              </w:rPr>
              <w:t xml:space="preserve"> Includes state police to which no population is attributed.</w:t>
            </w:r>
          </w:p>
          <w:p w:rsidR="00CA7414" w:rsidRPr="00E3594C" w:rsidP="00CA7414" w14:paraId="5122B418" w14:textId="77777777">
            <w:pPr>
              <w:tabs>
                <w:tab w:val="left" w:pos="360"/>
              </w:tabs>
              <w:spacing w:after="0" w:line="240" w:lineRule="auto"/>
              <w:contextualSpacing/>
              <w:rPr>
                <w:rFonts w:ascii="Times New Roman" w:hAnsi="Times New Roman" w:cs="Times New Roman"/>
                <w:color w:val="000000" w:themeColor="text1"/>
                <w:sz w:val="20"/>
                <w:szCs w:val="20"/>
              </w:rPr>
            </w:pPr>
            <w:r w:rsidRPr="00E3594C">
              <w:rPr>
                <w:rFonts w:ascii="Times New Roman" w:hAnsi="Times New Roman" w:cs="Times New Roman"/>
                <w:color w:val="000000" w:themeColor="text1"/>
                <w:sz w:val="16"/>
                <w:szCs w:val="16"/>
                <w:vertAlign w:val="superscript"/>
              </w:rPr>
              <w:t>3</w:t>
            </w:r>
            <w:r w:rsidRPr="00E3594C">
              <w:rPr>
                <w:rFonts w:ascii="Times New Roman" w:hAnsi="Times New Roman" w:cs="Times New Roman"/>
                <w:color w:val="000000" w:themeColor="text1"/>
                <w:sz w:val="16"/>
                <w:szCs w:val="16"/>
              </w:rPr>
              <w:t xml:space="preserve"> Includes 73 federal agencies to which no population is attributed.</w:t>
            </w:r>
          </w:p>
        </w:tc>
      </w:tr>
    </w:tbl>
    <w:p w:rsidR="00F3392E" w:rsidRPr="00FB20B8" w:rsidP="00CA7414" w14:paraId="46AC5725" w14:textId="77777777">
      <w:pPr>
        <w:pStyle w:val="ListParagraph"/>
        <w:spacing w:after="0" w:line="240" w:lineRule="auto"/>
        <w:ind w:left="360"/>
        <w:rPr>
          <w:rFonts w:ascii="Times New Roman" w:hAnsi="Times New Roman" w:cs="Times New Roman"/>
          <w:color w:val="000000" w:themeColor="text1"/>
          <w:sz w:val="24"/>
          <w:szCs w:val="24"/>
        </w:rPr>
      </w:pPr>
    </w:p>
    <w:p w:rsidR="00CA7414" w:rsidRPr="00CA7414" w:rsidP="00CA7414" w14:paraId="5DE12892" w14:textId="77777777">
      <w:pPr>
        <w:spacing w:after="0" w:line="240" w:lineRule="auto"/>
        <w:rPr>
          <w:rFonts w:ascii="Times New Roman" w:hAnsi="Times New Roman" w:cs="Times New Roman"/>
          <w:color w:val="000000" w:themeColor="text1"/>
          <w:sz w:val="24"/>
          <w:szCs w:val="24"/>
        </w:rPr>
      </w:pPr>
    </w:p>
    <w:p w:rsidR="001E5C22" w:rsidRPr="00E3594C" w:rsidP="00CA7414" w14:paraId="47E195B1" w14:textId="5505E2F8">
      <w:pPr>
        <w:pStyle w:val="ListParagraph"/>
        <w:numPr>
          <w:ilvl w:val="0"/>
          <w:numId w:val="1"/>
        </w:numPr>
        <w:spacing w:after="0" w:line="240" w:lineRule="auto"/>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u w:val="single"/>
        </w:rPr>
        <w:t>Procedures for Collecting Information</w:t>
      </w:r>
    </w:p>
    <w:p w:rsidR="00F04221" w:rsidRPr="00E3594C" w:rsidP="00CA7414" w14:paraId="34387FF1" w14:textId="77777777">
      <w:pPr>
        <w:pStyle w:val="ListParagraph"/>
        <w:spacing w:after="0" w:line="240" w:lineRule="auto"/>
        <w:ind w:left="360"/>
        <w:rPr>
          <w:rFonts w:ascii="Times New Roman" w:hAnsi="Times New Roman" w:cs="Times New Roman"/>
          <w:color w:val="000000" w:themeColor="text1"/>
          <w:sz w:val="24"/>
          <w:szCs w:val="24"/>
        </w:rPr>
      </w:pPr>
    </w:p>
    <w:p w:rsidR="005F229A" w:rsidRPr="00E3594C" w:rsidP="00CA7414" w14:paraId="769115D1" w14:textId="4EFDF468">
      <w:pPr>
        <w:spacing w:after="0" w:line="240" w:lineRule="auto"/>
        <w:ind w:left="720"/>
        <w:contextualSpacing/>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Since data collected in</w:t>
      </w:r>
      <w:r w:rsidRPr="00E3594C" w:rsidR="006057CB">
        <w:rPr>
          <w:rFonts w:ascii="Times New Roman" w:hAnsi="Times New Roman" w:cs="Times New Roman"/>
          <w:color w:val="000000" w:themeColor="text1"/>
          <w:sz w:val="24"/>
          <w:szCs w:val="24"/>
        </w:rPr>
        <w:t xml:space="preserve"> NIBRS are considerably more comprehensive than those of the traditional SRS, agencies </w:t>
      </w:r>
      <w:r w:rsidRPr="00E3594C">
        <w:rPr>
          <w:rFonts w:ascii="Times New Roman" w:hAnsi="Times New Roman" w:cs="Times New Roman"/>
          <w:color w:val="000000" w:themeColor="text1"/>
          <w:sz w:val="24"/>
          <w:szCs w:val="24"/>
        </w:rPr>
        <w:t>planning</w:t>
      </w:r>
      <w:r w:rsidRPr="00E3594C" w:rsidR="006057CB">
        <w:rPr>
          <w:rFonts w:ascii="Times New Roman" w:hAnsi="Times New Roman" w:cs="Times New Roman"/>
          <w:color w:val="000000" w:themeColor="text1"/>
          <w:sz w:val="24"/>
          <w:szCs w:val="24"/>
        </w:rPr>
        <w:t xml:space="preserve"> to participate </w:t>
      </w:r>
      <w:r w:rsidRPr="00E3594C">
        <w:rPr>
          <w:rFonts w:ascii="Times New Roman" w:hAnsi="Times New Roman" w:cs="Times New Roman"/>
          <w:color w:val="000000" w:themeColor="text1"/>
          <w:sz w:val="24"/>
          <w:szCs w:val="24"/>
        </w:rPr>
        <w:t xml:space="preserve">in NIBRS </w:t>
      </w:r>
      <w:r w:rsidRPr="00E3594C" w:rsidR="006057CB">
        <w:rPr>
          <w:rFonts w:ascii="Times New Roman" w:hAnsi="Times New Roman" w:cs="Times New Roman"/>
          <w:color w:val="000000" w:themeColor="text1"/>
          <w:sz w:val="24"/>
          <w:szCs w:val="24"/>
        </w:rPr>
        <w:t xml:space="preserve">should have computerized data systems capable of processing </w:t>
      </w:r>
      <w:r w:rsidRPr="00E3594C">
        <w:rPr>
          <w:rFonts w:ascii="Times New Roman" w:hAnsi="Times New Roman" w:cs="Times New Roman"/>
          <w:color w:val="000000" w:themeColor="text1"/>
          <w:sz w:val="24"/>
          <w:szCs w:val="24"/>
        </w:rPr>
        <w:t>the</w:t>
      </w:r>
      <w:r w:rsidRPr="00E3594C" w:rsidR="006057CB">
        <w:rPr>
          <w:rFonts w:ascii="Times New Roman" w:hAnsi="Times New Roman" w:cs="Times New Roman"/>
          <w:color w:val="000000" w:themeColor="text1"/>
          <w:sz w:val="24"/>
          <w:szCs w:val="24"/>
        </w:rPr>
        <w:t xml:space="preserve"> information.  </w:t>
      </w:r>
      <w:r w:rsidRPr="00E3594C" w:rsidR="00F8512C">
        <w:rPr>
          <w:rFonts w:ascii="Times New Roman" w:hAnsi="Times New Roman" w:cs="Times New Roman"/>
          <w:color w:val="000000" w:themeColor="text1"/>
          <w:sz w:val="24"/>
          <w:szCs w:val="24"/>
        </w:rPr>
        <w:t xml:space="preserve">The </w:t>
      </w:r>
      <w:r w:rsidRPr="00E3594C">
        <w:rPr>
          <w:rFonts w:ascii="Times New Roman" w:hAnsi="Times New Roman" w:cs="Times New Roman"/>
          <w:color w:val="000000" w:themeColor="text1"/>
          <w:sz w:val="24"/>
          <w:szCs w:val="24"/>
        </w:rPr>
        <w:t>NIBRS data are designed to be generated as a byproduct of existing incident-based automated record</w:t>
      </w:r>
      <w:r w:rsidR="00F9680A">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systems.  An agency can build its own </w:t>
      </w:r>
      <w:r w:rsidRPr="00E3594C" w:rsidR="00C227B8">
        <w:rPr>
          <w:rFonts w:ascii="Times New Roman" w:hAnsi="Times New Roman" w:cs="Times New Roman"/>
          <w:color w:val="000000" w:themeColor="text1"/>
          <w:sz w:val="24"/>
          <w:szCs w:val="24"/>
        </w:rPr>
        <w:t>IBR</w:t>
      </w:r>
      <w:r w:rsidRPr="00E3594C">
        <w:rPr>
          <w:rFonts w:ascii="Times New Roman" w:hAnsi="Times New Roman" w:cs="Times New Roman"/>
          <w:color w:val="000000" w:themeColor="text1"/>
          <w:sz w:val="24"/>
          <w:szCs w:val="24"/>
        </w:rPr>
        <w:t xml:space="preserve"> system to suit its individual needs (i.e., it can have a different</w:t>
      </w:r>
      <w:r w:rsidRPr="00E3594C" w:rsidR="00E5526A">
        <w:rPr>
          <w:rFonts w:ascii="Times New Roman" w:hAnsi="Times New Roman" w:cs="Times New Roman"/>
          <w:color w:val="000000" w:themeColor="text1"/>
          <w:sz w:val="24"/>
          <w:szCs w:val="24"/>
        </w:rPr>
        <w:t xml:space="preserve"> file structure than the FBI</w:t>
      </w:r>
      <w:r w:rsidRPr="00E3594C" w:rsidR="002953C0">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and include additional data elements and data values).  In preparation for submitting data to the FBI</w:t>
      </w:r>
      <w:r w:rsidRPr="00E3594C" w:rsidR="002953C0">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LEAs participating in NIBRS extract</w:t>
      </w:r>
      <w:r w:rsidRPr="00E3594C" w:rsidR="00C227B8">
        <w:rPr>
          <w:rFonts w:ascii="Times New Roman" w:hAnsi="Times New Roman" w:cs="Times New Roman"/>
          <w:color w:val="000000" w:themeColor="text1"/>
          <w:sz w:val="24"/>
          <w:szCs w:val="24"/>
        </w:rPr>
        <w:t xml:space="preserve"> only the data required from their</w:t>
      </w:r>
      <w:r w:rsidRPr="00E3594C">
        <w:rPr>
          <w:rFonts w:ascii="Times New Roman" w:hAnsi="Times New Roman" w:cs="Times New Roman"/>
          <w:color w:val="000000" w:themeColor="text1"/>
          <w:sz w:val="24"/>
          <w:szCs w:val="24"/>
        </w:rPr>
        <w:t xml:space="preserve"> IBR system for submission to the FBI.  </w:t>
      </w:r>
    </w:p>
    <w:p w:rsidR="00936DF1" w:rsidRPr="00E3594C" w:rsidP="00CA7414" w14:paraId="36FEE7E4" w14:textId="77777777">
      <w:pPr>
        <w:spacing w:after="0" w:line="240" w:lineRule="auto"/>
        <w:ind w:left="720"/>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 xml:space="preserve">  </w:t>
      </w:r>
    </w:p>
    <w:p w:rsidR="0001350E" w:rsidRPr="00E3594C" w:rsidP="00CA7414" w14:paraId="6C12DE22" w14:textId="7CC42590">
      <w:pPr>
        <w:pStyle w:val="ListParagraph"/>
        <w:spacing w:after="0" w:line="240" w:lineRule="auto"/>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Full participation in NIBRS necessitates meeting all the reporting guidelines and requirements set forth</w:t>
      </w:r>
      <w:r w:rsidRPr="00E3594C" w:rsidR="00C227B8">
        <w:rPr>
          <w:rFonts w:ascii="Times New Roman" w:hAnsi="Times New Roman" w:cs="Times New Roman"/>
          <w:color w:val="000000" w:themeColor="text1"/>
          <w:sz w:val="24"/>
          <w:szCs w:val="24"/>
        </w:rPr>
        <w:t xml:space="preserve"> by the FBI</w:t>
      </w:r>
      <w:r w:rsidRPr="00E3594C" w:rsidR="00F73E28">
        <w:rPr>
          <w:rFonts w:ascii="Times New Roman" w:hAnsi="Times New Roman" w:cs="Times New Roman"/>
          <w:color w:val="000000" w:themeColor="text1"/>
          <w:sz w:val="24"/>
          <w:szCs w:val="24"/>
        </w:rPr>
        <w:t>’s</w:t>
      </w:r>
      <w:r w:rsidRPr="00E3594C" w:rsidR="00C227B8">
        <w:rPr>
          <w:rFonts w:ascii="Times New Roman" w:hAnsi="Times New Roman" w:cs="Times New Roman"/>
          <w:color w:val="000000" w:themeColor="text1"/>
          <w:sz w:val="24"/>
          <w:szCs w:val="24"/>
        </w:rPr>
        <w:t xml:space="preserve"> UCR Program</w:t>
      </w:r>
      <w:r w:rsidRPr="00E3594C">
        <w:rPr>
          <w:rFonts w:ascii="Times New Roman" w:hAnsi="Times New Roman" w:cs="Times New Roman"/>
          <w:color w:val="000000" w:themeColor="text1"/>
          <w:sz w:val="24"/>
          <w:szCs w:val="24"/>
        </w:rPr>
        <w:t xml:space="preserve">.  Before a local agency begins submitting NIBRS data </w:t>
      </w:r>
      <w:r w:rsidRPr="00E3594C" w:rsidR="005F229A">
        <w:rPr>
          <w:rFonts w:ascii="Times New Roman" w:hAnsi="Times New Roman" w:cs="Times New Roman"/>
          <w:color w:val="000000" w:themeColor="text1"/>
          <w:sz w:val="24"/>
          <w:szCs w:val="24"/>
        </w:rPr>
        <w:t xml:space="preserve">directly </w:t>
      </w:r>
      <w:r w:rsidRPr="00E3594C">
        <w:rPr>
          <w:rFonts w:ascii="Times New Roman" w:hAnsi="Times New Roman" w:cs="Times New Roman"/>
          <w:color w:val="000000" w:themeColor="text1"/>
          <w:sz w:val="24"/>
          <w:szCs w:val="24"/>
        </w:rPr>
        <w:t>to the FBI, the agency will be asked to demonst</w:t>
      </w:r>
      <w:r w:rsidRPr="00E3594C" w:rsidR="00C227B8">
        <w:rPr>
          <w:rFonts w:ascii="Times New Roman" w:hAnsi="Times New Roman" w:cs="Times New Roman"/>
          <w:color w:val="000000" w:themeColor="text1"/>
          <w:sz w:val="24"/>
          <w:szCs w:val="24"/>
        </w:rPr>
        <w:t xml:space="preserve">rate its ability to meet </w:t>
      </w:r>
      <w:r w:rsidRPr="00E3594C">
        <w:rPr>
          <w:rFonts w:ascii="Times New Roman" w:hAnsi="Times New Roman" w:cs="Times New Roman"/>
          <w:color w:val="000000" w:themeColor="text1"/>
          <w:sz w:val="24"/>
          <w:szCs w:val="24"/>
        </w:rPr>
        <w:t xml:space="preserve">reporting requirements </w:t>
      </w:r>
      <w:r w:rsidRPr="00E3594C" w:rsidR="00C227B8">
        <w:rPr>
          <w:rFonts w:ascii="Times New Roman" w:hAnsi="Times New Roman" w:cs="Times New Roman"/>
          <w:color w:val="000000" w:themeColor="text1"/>
          <w:sz w:val="24"/>
          <w:szCs w:val="24"/>
        </w:rPr>
        <w:t xml:space="preserve">for NIBRS </w:t>
      </w:r>
      <w:r w:rsidRPr="00E3594C">
        <w:rPr>
          <w:rFonts w:ascii="Times New Roman" w:hAnsi="Times New Roman" w:cs="Times New Roman"/>
          <w:color w:val="000000" w:themeColor="text1"/>
          <w:sz w:val="24"/>
          <w:szCs w:val="24"/>
        </w:rPr>
        <w:t xml:space="preserve">by submitting test data to the FBI.  If a local agency is going to participate indirectly through its state UCR program, it is the state’s responsibility to ensure the local </w:t>
      </w:r>
      <w:r w:rsidRPr="00E3594C" w:rsidR="005F229A">
        <w:rPr>
          <w:rFonts w:ascii="Times New Roman" w:hAnsi="Times New Roman" w:cs="Times New Roman"/>
          <w:color w:val="000000" w:themeColor="text1"/>
          <w:sz w:val="24"/>
          <w:szCs w:val="24"/>
        </w:rPr>
        <w:t>agency is able to fulfill NIBRS</w:t>
      </w:r>
      <w:r w:rsidRPr="00E3594C">
        <w:rPr>
          <w:rFonts w:ascii="Times New Roman" w:hAnsi="Times New Roman" w:cs="Times New Roman"/>
          <w:color w:val="000000" w:themeColor="text1"/>
          <w:sz w:val="24"/>
          <w:szCs w:val="24"/>
        </w:rPr>
        <w:t xml:space="preserve"> data submission requirements. </w:t>
      </w:r>
    </w:p>
    <w:p w:rsidR="0001350E" w:rsidRPr="00E3594C" w:rsidP="00CA7414" w14:paraId="2AE0A30F" w14:textId="77777777">
      <w:pPr>
        <w:pStyle w:val="ListParagraph"/>
        <w:spacing w:after="0" w:line="240" w:lineRule="auto"/>
        <w:ind w:left="360"/>
        <w:rPr>
          <w:rFonts w:ascii="Times New Roman" w:hAnsi="Times New Roman" w:cs="Times New Roman"/>
          <w:color w:val="000000" w:themeColor="text1"/>
          <w:sz w:val="24"/>
          <w:szCs w:val="24"/>
        </w:rPr>
      </w:pPr>
    </w:p>
    <w:p w:rsidR="005F229A" w:rsidRPr="00E3594C" w:rsidP="00CA7414" w14:paraId="06DC2EB9" w14:textId="488BD70D">
      <w:pPr>
        <w:spacing w:after="0" w:line="240" w:lineRule="auto"/>
        <w:ind w:left="720"/>
        <w:contextualSpacing/>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 xml:space="preserve">While some agencies have permission to submit data quarterly, semiannually, or annually, most data are received from </w:t>
      </w:r>
      <w:r w:rsidRPr="00E3594C" w:rsidR="00336730">
        <w:rPr>
          <w:rFonts w:ascii="Times New Roman" w:hAnsi="Times New Roman" w:cs="Times New Roman"/>
          <w:color w:val="000000" w:themeColor="text1"/>
          <w:sz w:val="24"/>
          <w:szCs w:val="24"/>
        </w:rPr>
        <w:t xml:space="preserve">participants in the </w:t>
      </w:r>
      <w:r w:rsidRPr="00E3594C">
        <w:rPr>
          <w:rFonts w:ascii="Times New Roman" w:hAnsi="Times New Roman" w:cs="Times New Roman"/>
          <w:color w:val="000000" w:themeColor="text1"/>
          <w:sz w:val="24"/>
          <w:szCs w:val="24"/>
        </w:rPr>
        <w:t>FBI</w:t>
      </w:r>
      <w:r w:rsidRPr="00E3594C" w:rsidR="00336730">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monthly.  Month</w:t>
      </w:r>
      <w:r w:rsidRPr="00E3594C" w:rsidR="00C227B8">
        <w:rPr>
          <w:rFonts w:ascii="Times New Roman" w:hAnsi="Times New Roman" w:cs="Times New Roman"/>
          <w:color w:val="000000" w:themeColor="text1"/>
          <w:sz w:val="24"/>
          <w:szCs w:val="24"/>
        </w:rPr>
        <w:t xml:space="preserve">ly </w:t>
      </w:r>
      <w:r w:rsidRPr="00E3594C">
        <w:rPr>
          <w:rFonts w:ascii="Times New Roman" w:hAnsi="Times New Roman" w:cs="Times New Roman"/>
          <w:color w:val="000000" w:themeColor="text1"/>
          <w:sz w:val="24"/>
          <w:szCs w:val="24"/>
        </w:rPr>
        <w:t>submissions should be received by the FBI no later than the seventh day of each month.  Annual deadlines are</w:t>
      </w:r>
      <w:r w:rsidRPr="00E3594C" w:rsidR="00C227B8">
        <w:rPr>
          <w:rFonts w:ascii="Times New Roman" w:hAnsi="Times New Roman" w:cs="Times New Roman"/>
          <w:color w:val="000000" w:themeColor="text1"/>
          <w:sz w:val="24"/>
          <w:szCs w:val="24"/>
        </w:rPr>
        <w:t xml:space="preserve"> designated </w:t>
      </w:r>
      <w:r w:rsidRPr="00E3594C" w:rsidR="001D547D">
        <w:rPr>
          <w:rFonts w:ascii="Times New Roman" w:hAnsi="Times New Roman" w:cs="Times New Roman"/>
          <w:color w:val="000000" w:themeColor="text1"/>
          <w:sz w:val="24"/>
          <w:szCs w:val="24"/>
        </w:rPr>
        <w:t>to</w:t>
      </w:r>
      <w:r w:rsidRPr="00E3594C" w:rsidR="00C227B8">
        <w:rPr>
          <w:rFonts w:ascii="Times New Roman" w:hAnsi="Times New Roman" w:cs="Times New Roman"/>
          <w:color w:val="000000" w:themeColor="text1"/>
          <w:sz w:val="24"/>
          <w:szCs w:val="24"/>
        </w:rPr>
        <w:t xml:space="preserve"> </w:t>
      </w:r>
      <w:r w:rsidRPr="00E3594C">
        <w:rPr>
          <w:rFonts w:ascii="Times New Roman" w:hAnsi="Times New Roman" w:cs="Times New Roman"/>
          <w:color w:val="000000" w:themeColor="text1"/>
          <w:sz w:val="24"/>
          <w:szCs w:val="24"/>
        </w:rPr>
        <w:t>assess receipt of monthly submissions.  Special circumstances may cause an agency to request an extension</w:t>
      </w:r>
      <w:r w:rsidRPr="00E3594C" w:rsidR="001D547D">
        <w:rPr>
          <w:rFonts w:ascii="Times New Roman" w:hAnsi="Times New Roman" w:cs="Times New Roman"/>
          <w:color w:val="000000" w:themeColor="text1"/>
          <w:sz w:val="24"/>
          <w:szCs w:val="24"/>
        </w:rPr>
        <w:t>,</w:t>
      </w:r>
      <w:r w:rsidRPr="00E3594C">
        <w:rPr>
          <w:rFonts w:ascii="Times New Roman" w:hAnsi="Times New Roman" w:cs="Times New Roman"/>
          <w:color w:val="000000" w:themeColor="text1"/>
          <w:sz w:val="24"/>
          <w:szCs w:val="24"/>
        </w:rPr>
        <w:t xml:space="preserve"> which the FBI</w:t>
      </w:r>
      <w:r w:rsidRPr="00E3594C" w:rsidR="001D547D">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has the authority to grant.  </w:t>
      </w:r>
    </w:p>
    <w:p w:rsidR="00CD1962" w:rsidRPr="00E3594C" w:rsidP="00CA7414" w14:paraId="47F9327E" w14:textId="77777777">
      <w:pPr>
        <w:spacing w:after="0" w:line="240" w:lineRule="auto"/>
        <w:rPr>
          <w:rFonts w:ascii="Times New Roman" w:hAnsi="Times New Roman" w:cs="Times New Roman"/>
          <w:color w:val="000000" w:themeColor="text1"/>
          <w:sz w:val="24"/>
          <w:szCs w:val="24"/>
        </w:rPr>
      </w:pPr>
    </w:p>
    <w:p w:rsidR="00B0200C" w14:paraId="0873B2A5"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001072B6" w:rsidRPr="00E3594C" w:rsidP="00CA7414" w14:paraId="76A64234" w14:textId="4476464C">
      <w:pPr>
        <w:pStyle w:val="ListParagraph"/>
        <w:numPr>
          <w:ilvl w:val="0"/>
          <w:numId w:val="1"/>
        </w:numPr>
        <w:spacing w:after="0" w:line="240" w:lineRule="auto"/>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u w:val="single"/>
        </w:rPr>
        <w:t>Methods to Maximize Response</w:t>
      </w:r>
    </w:p>
    <w:p w:rsidR="001072B6" w:rsidRPr="00E3594C" w:rsidP="00CA7414" w14:paraId="6346BBCD" w14:textId="77777777">
      <w:pPr>
        <w:pStyle w:val="ListParagraph"/>
        <w:spacing w:after="0" w:line="240" w:lineRule="auto"/>
        <w:ind w:left="360"/>
        <w:rPr>
          <w:rFonts w:ascii="Times New Roman" w:hAnsi="Times New Roman" w:cs="Times New Roman"/>
          <w:color w:val="000000" w:themeColor="text1"/>
          <w:sz w:val="24"/>
          <w:szCs w:val="24"/>
          <w:u w:val="single"/>
        </w:rPr>
      </w:pPr>
    </w:p>
    <w:p w:rsidR="00CE4E37" w:rsidRPr="00E3594C" w:rsidP="00CA7414" w14:paraId="7D819114" w14:textId="1F10B20A">
      <w:pPr>
        <w:spacing w:after="0" w:line="240" w:lineRule="auto"/>
        <w:ind w:left="720" w:right="-270"/>
        <w:contextualSpacing/>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O</w:t>
      </w:r>
      <w:r w:rsidRPr="00E3594C" w:rsidR="004C4A4D">
        <w:rPr>
          <w:rFonts w:ascii="Times New Roman" w:hAnsi="Times New Roman" w:cs="Times New Roman"/>
          <w:color w:val="000000" w:themeColor="text1"/>
          <w:sz w:val="24"/>
          <w:szCs w:val="24"/>
        </w:rPr>
        <w:t xml:space="preserve">f the </w:t>
      </w:r>
      <w:r w:rsidRPr="00E3594C" w:rsidR="00E6670C">
        <w:rPr>
          <w:rFonts w:ascii="Times New Roman" w:hAnsi="Times New Roman" w:cs="Times New Roman"/>
          <w:color w:val="000000" w:themeColor="text1"/>
          <w:sz w:val="24"/>
          <w:szCs w:val="24"/>
        </w:rPr>
        <w:t xml:space="preserve">16,788 </w:t>
      </w:r>
      <w:r w:rsidRPr="00E3594C" w:rsidR="004C4A4D">
        <w:rPr>
          <w:rFonts w:ascii="Times New Roman" w:hAnsi="Times New Roman" w:cs="Times New Roman"/>
          <w:color w:val="000000" w:themeColor="text1"/>
          <w:sz w:val="24"/>
          <w:szCs w:val="24"/>
        </w:rPr>
        <w:t>LEAs el</w:t>
      </w:r>
      <w:r w:rsidRPr="00E3594C">
        <w:rPr>
          <w:rFonts w:ascii="Times New Roman" w:hAnsi="Times New Roman" w:cs="Times New Roman"/>
          <w:color w:val="000000" w:themeColor="text1"/>
          <w:sz w:val="24"/>
          <w:szCs w:val="24"/>
        </w:rPr>
        <w:t>igible to report via NIBRS</w:t>
      </w:r>
      <w:r w:rsidRPr="00E3594C" w:rsidR="00E6670C">
        <w:rPr>
          <w:rFonts w:ascii="Times New Roman" w:hAnsi="Times New Roman" w:cs="Times New Roman"/>
          <w:color w:val="000000" w:themeColor="text1"/>
          <w:sz w:val="24"/>
          <w:szCs w:val="24"/>
        </w:rPr>
        <w:t xml:space="preserve"> in 2024</w:t>
      </w:r>
      <w:r w:rsidRPr="00E3594C">
        <w:rPr>
          <w:rFonts w:ascii="Times New Roman" w:hAnsi="Times New Roman" w:cs="Times New Roman"/>
          <w:color w:val="000000" w:themeColor="text1"/>
          <w:sz w:val="24"/>
          <w:szCs w:val="24"/>
        </w:rPr>
        <w:t xml:space="preserve">, </w:t>
      </w:r>
      <w:r w:rsidRPr="00E3594C" w:rsidR="00E6670C">
        <w:rPr>
          <w:rFonts w:ascii="Times New Roman" w:hAnsi="Times New Roman" w:cs="Times New Roman"/>
          <w:color w:val="000000" w:themeColor="text1"/>
          <w:sz w:val="24"/>
          <w:szCs w:val="24"/>
        </w:rPr>
        <w:t>74.</w:t>
      </w:r>
      <w:r w:rsidRPr="00E3594C" w:rsidR="00B27810">
        <w:rPr>
          <w:rFonts w:ascii="Times New Roman" w:hAnsi="Times New Roman" w:cs="Times New Roman"/>
          <w:color w:val="000000" w:themeColor="text1"/>
          <w:sz w:val="24"/>
          <w:szCs w:val="24"/>
        </w:rPr>
        <w:t>5</w:t>
      </w:r>
      <w:r w:rsidRPr="00E3594C" w:rsidR="004C4A4D">
        <w:rPr>
          <w:rFonts w:ascii="Times New Roman" w:hAnsi="Times New Roman" w:cs="Times New Roman"/>
          <w:color w:val="000000" w:themeColor="text1"/>
          <w:sz w:val="24"/>
          <w:szCs w:val="24"/>
        </w:rPr>
        <w:t xml:space="preserve"> percent submitted 12 months of</w:t>
      </w:r>
      <w:r w:rsidRPr="00E3594C" w:rsidR="00CD1962">
        <w:rPr>
          <w:rFonts w:ascii="Times New Roman" w:hAnsi="Times New Roman" w:cs="Times New Roman"/>
          <w:color w:val="000000" w:themeColor="text1"/>
          <w:sz w:val="24"/>
          <w:szCs w:val="24"/>
        </w:rPr>
        <w:t> </w:t>
      </w:r>
      <w:r w:rsidRPr="00E3594C" w:rsidR="004C4A4D">
        <w:rPr>
          <w:rFonts w:ascii="Times New Roman" w:hAnsi="Times New Roman" w:cs="Times New Roman"/>
          <w:color w:val="000000" w:themeColor="text1"/>
          <w:sz w:val="24"/>
          <w:szCs w:val="24"/>
        </w:rPr>
        <w:t>data to the FBI</w:t>
      </w:r>
      <w:r w:rsidRPr="00E3594C" w:rsidR="002726BD">
        <w:rPr>
          <w:rFonts w:ascii="Times New Roman" w:hAnsi="Times New Roman" w:cs="Times New Roman"/>
          <w:color w:val="000000" w:themeColor="text1"/>
          <w:sz w:val="24"/>
          <w:szCs w:val="24"/>
        </w:rPr>
        <w:t>’s</w:t>
      </w:r>
      <w:r w:rsidRPr="00E3594C" w:rsidR="004C4A4D">
        <w:rPr>
          <w:rFonts w:ascii="Times New Roman" w:hAnsi="Times New Roman" w:cs="Times New Roman"/>
          <w:color w:val="000000" w:themeColor="text1"/>
          <w:sz w:val="24"/>
          <w:szCs w:val="24"/>
        </w:rPr>
        <w:t xml:space="preserve"> UCR Program</w:t>
      </w:r>
      <w:r w:rsidRPr="00E3594C" w:rsidR="00913E08">
        <w:rPr>
          <w:rFonts w:ascii="Times New Roman" w:hAnsi="Times New Roman" w:cs="Times New Roman"/>
          <w:color w:val="000000" w:themeColor="text1"/>
          <w:sz w:val="24"/>
          <w:szCs w:val="24"/>
        </w:rPr>
        <w:t>,</w:t>
      </w:r>
      <w:r w:rsidRPr="00E3594C" w:rsidR="004C4A4D">
        <w:rPr>
          <w:rFonts w:ascii="Times New Roman" w:hAnsi="Times New Roman" w:cs="Times New Roman"/>
          <w:color w:val="000000" w:themeColor="text1"/>
          <w:sz w:val="24"/>
          <w:szCs w:val="24"/>
        </w:rPr>
        <w:t xml:space="preserve"> and </w:t>
      </w:r>
      <w:r w:rsidRPr="00E3594C" w:rsidR="00F7482D">
        <w:rPr>
          <w:rFonts w:ascii="Times New Roman" w:hAnsi="Times New Roman" w:cs="Times New Roman"/>
          <w:color w:val="000000" w:themeColor="text1"/>
          <w:sz w:val="24"/>
          <w:szCs w:val="24"/>
        </w:rPr>
        <w:t xml:space="preserve">an </w:t>
      </w:r>
      <w:r w:rsidRPr="00E3594C" w:rsidR="0088101D">
        <w:rPr>
          <w:rFonts w:ascii="Times New Roman" w:hAnsi="Times New Roman" w:cs="Times New Roman"/>
          <w:color w:val="000000" w:themeColor="text1"/>
          <w:sz w:val="24"/>
          <w:szCs w:val="24"/>
        </w:rPr>
        <w:t xml:space="preserve">additional </w:t>
      </w:r>
      <w:r w:rsidRPr="00E3594C" w:rsidR="001D1D47">
        <w:rPr>
          <w:rFonts w:ascii="Times New Roman" w:hAnsi="Times New Roman" w:cs="Times New Roman"/>
          <w:color w:val="000000" w:themeColor="text1"/>
          <w:sz w:val="24"/>
          <w:szCs w:val="24"/>
        </w:rPr>
        <w:t>12</w:t>
      </w:r>
      <w:r w:rsidRPr="00E3594C" w:rsidR="00294318">
        <w:rPr>
          <w:rFonts w:ascii="Times New Roman" w:hAnsi="Times New Roman" w:cs="Times New Roman"/>
          <w:color w:val="000000" w:themeColor="text1"/>
          <w:sz w:val="24"/>
          <w:szCs w:val="24"/>
        </w:rPr>
        <w:t xml:space="preserve">.9 percent </w:t>
      </w:r>
      <w:r w:rsidRPr="00E3594C" w:rsidR="004C4A4D">
        <w:rPr>
          <w:rFonts w:ascii="Times New Roman" w:hAnsi="Times New Roman" w:cs="Times New Roman"/>
          <w:color w:val="000000" w:themeColor="text1"/>
          <w:sz w:val="24"/>
          <w:szCs w:val="24"/>
        </w:rPr>
        <w:t>reported 1-11 months</w:t>
      </w:r>
      <w:r w:rsidRPr="00E3594C">
        <w:rPr>
          <w:rFonts w:ascii="Times New Roman" w:hAnsi="Times New Roman" w:cs="Times New Roman"/>
          <w:color w:val="000000" w:themeColor="text1"/>
          <w:sz w:val="24"/>
          <w:szCs w:val="24"/>
        </w:rPr>
        <w:t xml:space="preserve"> of information</w:t>
      </w:r>
      <w:r w:rsidRPr="00E3594C" w:rsidR="004C4A4D">
        <w:rPr>
          <w:rFonts w:ascii="Times New Roman" w:hAnsi="Times New Roman" w:cs="Times New Roman"/>
          <w:color w:val="000000" w:themeColor="text1"/>
          <w:sz w:val="24"/>
          <w:szCs w:val="24"/>
        </w:rPr>
        <w:t xml:space="preserve">.  The remaining </w:t>
      </w:r>
      <w:r w:rsidRPr="00E3594C" w:rsidR="001662DC">
        <w:rPr>
          <w:rFonts w:ascii="Times New Roman" w:hAnsi="Times New Roman" w:cs="Times New Roman"/>
          <w:color w:val="000000" w:themeColor="text1"/>
          <w:sz w:val="24"/>
          <w:szCs w:val="24"/>
        </w:rPr>
        <w:t>12.6</w:t>
      </w:r>
      <w:r w:rsidRPr="00E3594C" w:rsidR="00CD1962">
        <w:rPr>
          <w:rFonts w:ascii="Times New Roman" w:hAnsi="Times New Roman" w:cs="Times New Roman"/>
          <w:color w:val="000000" w:themeColor="text1"/>
          <w:sz w:val="24"/>
          <w:szCs w:val="24"/>
        </w:rPr>
        <w:t> </w:t>
      </w:r>
      <w:r w:rsidRPr="00E3594C" w:rsidR="004C4A4D">
        <w:rPr>
          <w:rFonts w:ascii="Times New Roman" w:hAnsi="Times New Roman" w:cs="Times New Roman"/>
          <w:color w:val="000000" w:themeColor="text1"/>
          <w:sz w:val="24"/>
          <w:szCs w:val="24"/>
        </w:rPr>
        <w:t>percent of those eligible LEAs did not submit any data.</w:t>
      </w:r>
      <w:r w:rsidRPr="00E3594C" w:rsidR="0061451D">
        <w:rPr>
          <w:rFonts w:ascii="Times New Roman" w:hAnsi="Times New Roman" w:cs="Times New Roman"/>
          <w:color w:val="000000" w:themeColor="text1"/>
          <w:sz w:val="24"/>
          <w:szCs w:val="24"/>
        </w:rPr>
        <w:t xml:space="preserve">  </w:t>
      </w:r>
      <w:r w:rsidRPr="00E3594C" w:rsidR="00927F49">
        <w:rPr>
          <w:rFonts w:ascii="Times New Roman" w:hAnsi="Times New Roman" w:cs="Times New Roman"/>
          <w:color w:val="000000" w:themeColor="text1"/>
          <w:sz w:val="24"/>
          <w:szCs w:val="24"/>
        </w:rPr>
        <w:t>T</w:t>
      </w:r>
      <w:r w:rsidRPr="00E3594C" w:rsidR="00B73A44">
        <w:rPr>
          <w:rFonts w:ascii="Times New Roman" w:hAnsi="Times New Roman" w:cs="Times New Roman"/>
          <w:color w:val="000000" w:themeColor="text1"/>
          <w:sz w:val="24"/>
          <w:szCs w:val="24"/>
        </w:rPr>
        <w:t xml:space="preserve">he goal of the FBI’s </w:t>
      </w:r>
      <w:r w:rsidRPr="00E3594C">
        <w:rPr>
          <w:rFonts w:ascii="Times New Roman" w:hAnsi="Times New Roman" w:cs="Times New Roman"/>
          <w:color w:val="000000" w:themeColor="text1"/>
          <w:sz w:val="24"/>
          <w:szCs w:val="24"/>
        </w:rPr>
        <w:t>UCR Program is to achieve full 12-month reporting for all</w:t>
      </w:r>
      <w:r w:rsidRPr="00E3594C" w:rsidR="00B73A44">
        <w:rPr>
          <w:rFonts w:ascii="Times New Roman" w:hAnsi="Times New Roman" w:cs="Times New Roman"/>
          <w:color w:val="000000" w:themeColor="text1"/>
          <w:sz w:val="24"/>
          <w:szCs w:val="24"/>
        </w:rPr>
        <w:t xml:space="preserve"> </w:t>
      </w:r>
      <w:r w:rsidRPr="00E3594C" w:rsidR="002653DD">
        <w:rPr>
          <w:rFonts w:ascii="Times New Roman" w:hAnsi="Times New Roman" w:cs="Times New Roman"/>
          <w:color w:val="000000" w:themeColor="text1"/>
          <w:sz w:val="24"/>
          <w:szCs w:val="24"/>
        </w:rPr>
        <w:t>agencies certified to collect data via NIBRS</w:t>
      </w:r>
      <w:r w:rsidRPr="00E3594C" w:rsidR="00B77CE5">
        <w:rPr>
          <w:rFonts w:ascii="Times New Roman" w:hAnsi="Times New Roman" w:cs="Times New Roman"/>
          <w:color w:val="000000" w:themeColor="text1"/>
          <w:sz w:val="24"/>
          <w:szCs w:val="24"/>
        </w:rPr>
        <w:t>.</w:t>
      </w:r>
    </w:p>
    <w:p w:rsidR="00CE4E37" w:rsidRPr="00E3594C" w:rsidP="00CA7414" w14:paraId="727D2C14" w14:textId="77777777">
      <w:pPr>
        <w:spacing w:after="0" w:line="240" w:lineRule="auto"/>
        <w:ind w:left="720" w:right="-90"/>
        <w:contextualSpacing/>
        <w:rPr>
          <w:rFonts w:ascii="Times New Roman" w:hAnsi="Times New Roman" w:cs="Times New Roman"/>
          <w:color w:val="000000" w:themeColor="text1"/>
          <w:sz w:val="24"/>
          <w:szCs w:val="24"/>
        </w:rPr>
      </w:pPr>
    </w:p>
    <w:p w:rsidR="00567607" w:rsidP="00FE6106" w14:paraId="0DB0F759" w14:textId="1D3FA34A">
      <w:pPr>
        <w:spacing w:after="0" w:line="240" w:lineRule="auto"/>
        <w:ind w:left="720" w:right="-270"/>
        <w:contextualSpacing/>
        <w:rPr>
          <w:rFonts w:ascii="Times New Roman" w:hAnsi="Times New Roman" w:cs="Times New Roman"/>
          <w:color w:val="000000" w:themeColor="text1"/>
          <w:sz w:val="24"/>
          <w:szCs w:val="24"/>
        </w:rPr>
      </w:pPr>
      <w:r w:rsidRPr="00E3594C">
        <w:rPr>
          <w:rFonts w:ascii="Times New Roman" w:hAnsi="Times New Roman" w:cs="Times New Roman"/>
          <w:color w:val="000000" w:themeColor="text1"/>
          <w:sz w:val="24"/>
          <w:szCs w:val="24"/>
        </w:rPr>
        <w:t>The FBI</w:t>
      </w:r>
      <w:r w:rsidRPr="00E3594C" w:rsidR="0022379B">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w:t>
      </w:r>
      <w:r w:rsidRPr="00E3594C" w:rsidR="00D41486">
        <w:rPr>
          <w:rFonts w:ascii="Times New Roman" w:hAnsi="Times New Roman" w:cs="Times New Roman"/>
          <w:color w:val="000000" w:themeColor="text1"/>
          <w:sz w:val="24"/>
          <w:szCs w:val="24"/>
        </w:rPr>
        <w:t xml:space="preserve">actively liaisons with </w:t>
      </w:r>
      <w:r w:rsidRPr="00E3594C">
        <w:rPr>
          <w:rFonts w:ascii="Times New Roman" w:hAnsi="Times New Roman" w:cs="Times New Roman"/>
          <w:color w:val="000000" w:themeColor="text1"/>
          <w:sz w:val="24"/>
          <w:szCs w:val="24"/>
        </w:rPr>
        <w:t>LEAs to encourage participation in UCR data collections.</w:t>
      </w:r>
      <w:r w:rsidRPr="00E3594C" w:rsidR="00F825DA">
        <w:rPr>
          <w:rFonts w:ascii="Times New Roman" w:hAnsi="Times New Roman" w:cs="Times New Roman"/>
          <w:color w:val="000000" w:themeColor="text1"/>
          <w:sz w:val="24"/>
          <w:szCs w:val="24"/>
        </w:rPr>
        <w:t xml:space="preserve">  </w:t>
      </w:r>
      <w:r w:rsidRPr="00E3594C" w:rsidR="00F8512C">
        <w:rPr>
          <w:rFonts w:ascii="Times New Roman" w:hAnsi="Times New Roman" w:cs="Times New Roman"/>
          <w:color w:val="000000" w:themeColor="text1"/>
          <w:sz w:val="24"/>
          <w:szCs w:val="24"/>
        </w:rPr>
        <w:t xml:space="preserve">The </w:t>
      </w:r>
      <w:r w:rsidRPr="00E3594C">
        <w:rPr>
          <w:rFonts w:ascii="Times New Roman" w:hAnsi="Times New Roman" w:cs="Times New Roman"/>
          <w:color w:val="000000" w:themeColor="text1"/>
          <w:sz w:val="24"/>
          <w:szCs w:val="24"/>
        </w:rPr>
        <w:t>FBI</w:t>
      </w:r>
      <w:r w:rsidRPr="00E3594C" w:rsidR="00864FC3">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staff have a strong understanding of contextual challenges agencies face in reporting valid and reliable data and regularly work to overcome no-response issues when such challenges </w:t>
      </w:r>
      <w:r w:rsidRPr="00E3594C" w:rsidR="00F825DA">
        <w:rPr>
          <w:rFonts w:ascii="Times New Roman" w:hAnsi="Times New Roman" w:cs="Times New Roman"/>
          <w:color w:val="000000" w:themeColor="text1"/>
          <w:sz w:val="24"/>
          <w:szCs w:val="24"/>
        </w:rPr>
        <w:t xml:space="preserve">occur.  Through frequent </w:t>
      </w:r>
      <w:r w:rsidRPr="00E3594C" w:rsidR="008B7B28">
        <w:rPr>
          <w:rFonts w:ascii="Times New Roman" w:hAnsi="Times New Roman" w:cs="Times New Roman"/>
          <w:color w:val="000000" w:themeColor="text1"/>
          <w:sz w:val="24"/>
          <w:szCs w:val="24"/>
        </w:rPr>
        <w:t xml:space="preserve">liaisons with </w:t>
      </w:r>
      <w:r w:rsidRPr="00E3594C">
        <w:rPr>
          <w:rFonts w:ascii="Times New Roman" w:hAnsi="Times New Roman" w:cs="Times New Roman"/>
          <w:color w:val="000000" w:themeColor="text1"/>
          <w:sz w:val="24"/>
          <w:szCs w:val="24"/>
        </w:rPr>
        <w:t>state UCR progra</w:t>
      </w:r>
      <w:r w:rsidRPr="00E3594C" w:rsidR="008B7B28">
        <w:rPr>
          <w:rFonts w:ascii="Times New Roman" w:hAnsi="Times New Roman" w:cs="Times New Roman"/>
          <w:color w:val="000000" w:themeColor="text1"/>
          <w:sz w:val="24"/>
          <w:szCs w:val="24"/>
        </w:rPr>
        <w:t xml:space="preserve">ms and individual LEAs, </w:t>
      </w:r>
      <w:r w:rsidRPr="00E3594C" w:rsidR="00927F49">
        <w:rPr>
          <w:rFonts w:ascii="Times New Roman" w:hAnsi="Times New Roman" w:cs="Times New Roman"/>
          <w:color w:val="000000" w:themeColor="text1"/>
          <w:sz w:val="24"/>
          <w:szCs w:val="24"/>
        </w:rPr>
        <w:t xml:space="preserve">staff of the </w:t>
      </w:r>
      <w:r w:rsidRPr="00E3594C">
        <w:rPr>
          <w:rFonts w:ascii="Times New Roman" w:hAnsi="Times New Roman" w:cs="Times New Roman"/>
          <w:color w:val="000000" w:themeColor="text1"/>
          <w:sz w:val="24"/>
          <w:szCs w:val="24"/>
        </w:rPr>
        <w:t>FBI</w:t>
      </w:r>
      <w:r w:rsidRPr="00E3594C" w:rsidR="00927F49">
        <w:rPr>
          <w:rFonts w:ascii="Times New Roman" w:hAnsi="Times New Roman" w:cs="Times New Roman"/>
          <w:color w:val="000000" w:themeColor="text1"/>
          <w:sz w:val="24"/>
          <w:szCs w:val="24"/>
        </w:rPr>
        <w:t>’s</w:t>
      </w:r>
      <w:r w:rsidRPr="00E3594C">
        <w:rPr>
          <w:rFonts w:ascii="Times New Roman" w:hAnsi="Times New Roman" w:cs="Times New Roman"/>
          <w:color w:val="000000" w:themeColor="text1"/>
          <w:sz w:val="24"/>
          <w:szCs w:val="24"/>
        </w:rPr>
        <w:t xml:space="preserve"> UCR Program assist agencies with maximizing response rates</w:t>
      </w:r>
      <w:r w:rsidRPr="00E3594C" w:rsidR="00565D63">
        <w:rPr>
          <w:rFonts w:ascii="Times New Roman" w:hAnsi="Times New Roman" w:cs="Times New Roman"/>
          <w:color w:val="000000" w:themeColor="text1"/>
          <w:sz w:val="24"/>
          <w:szCs w:val="24"/>
        </w:rPr>
        <w:t xml:space="preserve"> and strive</w:t>
      </w:r>
      <w:r w:rsidRPr="00E3594C" w:rsidR="00377103">
        <w:rPr>
          <w:rFonts w:ascii="Times New Roman" w:hAnsi="Times New Roman" w:cs="Times New Roman"/>
          <w:color w:val="000000" w:themeColor="text1"/>
          <w:sz w:val="24"/>
          <w:szCs w:val="24"/>
        </w:rPr>
        <w:t xml:space="preserve"> to collect</w:t>
      </w:r>
      <w:r w:rsidRPr="00E3594C">
        <w:rPr>
          <w:rFonts w:ascii="Times New Roman" w:hAnsi="Times New Roman" w:cs="Times New Roman"/>
          <w:color w:val="000000" w:themeColor="text1"/>
          <w:sz w:val="24"/>
          <w:szCs w:val="24"/>
        </w:rPr>
        <w:t xml:space="preserve"> 12 months of data from all LEAs.  To encourage the submission of data, lists</w:t>
      </w:r>
      <w:r w:rsidRPr="00E3594C" w:rsidR="0031376E">
        <w:rPr>
          <w:rFonts w:ascii="Times New Roman" w:hAnsi="Times New Roman" w:cs="Times New Roman"/>
          <w:color w:val="000000" w:themeColor="text1"/>
          <w:sz w:val="24"/>
          <w:szCs w:val="24"/>
        </w:rPr>
        <w:t xml:space="preserve"> of missing reports are sent to the</w:t>
      </w:r>
      <w:r w:rsidRPr="00E3594C" w:rsidR="00565D63">
        <w:rPr>
          <w:rFonts w:ascii="Times New Roman" w:hAnsi="Times New Roman" w:cs="Times New Roman"/>
          <w:color w:val="000000" w:themeColor="text1"/>
          <w:sz w:val="24"/>
          <w:szCs w:val="24"/>
        </w:rPr>
        <w:t xml:space="preserve"> </w:t>
      </w:r>
      <w:r w:rsidRPr="00E3594C">
        <w:rPr>
          <w:rFonts w:ascii="Times New Roman" w:hAnsi="Times New Roman" w:cs="Times New Roman"/>
          <w:color w:val="000000" w:themeColor="text1"/>
          <w:sz w:val="24"/>
          <w:szCs w:val="24"/>
        </w:rPr>
        <w:t xml:space="preserve">state UCR programs and individual </w:t>
      </w:r>
      <w:r w:rsidRPr="00E3594C" w:rsidR="00F825DA">
        <w:rPr>
          <w:rFonts w:ascii="Times New Roman" w:hAnsi="Times New Roman" w:cs="Times New Roman"/>
          <w:color w:val="000000" w:themeColor="text1"/>
          <w:sz w:val="24"/>
          <w:szCs w:val="24"/>
        </w:rPr>
        <w:t>LEAs</w:t>
      </w:r>
      <w:r w:rsidRPr="00E3594C">
        <w:rPr>
          <w:rFonts w:ascii="Times New Roman" w:hAnsi="Times New Roman" w:cs="Times New Roman"/>
          <w:color w:val="000000" w:themeColor="text1"/>
          <w:sz w:val="24"/>
          <w:szCs w:val="24"/>
        </w:rPr>
        <w:t xml:space="preserve"> semiannually, after which follow-up contact is made to </w:t>
      </w:r>
      <w:r w:rsidRPr="00663B39">
        <w:rPr>
          <w:rFonts w:ascii="Times New Roman" w:hAnsi="Times New Roman" w:cs="Times New Roman"/>
          <w:color w:val="000000" w:themeColor="text1"/>
          <w:sz w:val="24"/>
          <w:szCs w:val="24"/>
        </w:rPr>
        <w:t>those agencies to further encourage the submission of missing data.</w:t>
      </w:r>
    </w:p>
    <w:p w:rsidR="00DB3FD5" w:rsidRPr="00663B39" w:rsidP="00CA7414" w14:paraId="590DBE10" w14:textId="77777777">
      <w:pPr>
        <w:spacing w:after="0" w:line="240" w:lineRule="auto"/>
        <w:rPr>
          <w:rFonts w:ascii="Times New Roman" w:hAnsi="Times New Roman" w:cs="Times New Roman"/>
          <w:color w:val="000000" w:themeColor="text1"/>
          <w:sz w:val="24"/>
          <w:szCs w:val="24"/>
          <w:u w:val="single"/>
        </w:rPr>
      </w:pPr>
    </w:p>
    <w:p w:rsidR="00E84A2B" w:rsidRPr="00663B39" w:rsidP="00CA7414" w14:paraId="7F415682" w14:textId="77777777">
      <w:pPr>
        <w:pStyle w:val="ListParagraph"/>
        <w:numPr>
          <w:ilvl w:val="0"/>
          <w:numId w:val="1"/>
        </w:numPr>
        <w:spacing w:after="0" w:line="240" w:lineRule="auto"/>
        <w:rPr>
          <w:rFonts w:ascii="Times New Roman" w:hAnsi="Times New Roman" w:cs="Times New Roman"/>
          <w:color w:val="000000" w:themeColor="text1"/>
          <w:sz w:val="24"/>
          <w:szCs w:val="24"/>
          <w:u w:val="single"/>
        </w:rPr>
      </w:pPr>
      <w:r w:rsidRPr="00663B39">
        <w:rPr>
          <w:rFonts w:ascii="Times New Roman" w:hAnsi="Times New Roman" w:cs="Times New Roman"/>
          <w:color w:val="000000" w:themeColor="text1"/>
          <w:sz w:val="24"/>
          <w:szCs w:val="24"/>
          <w:u w:val="single"/>
        </w:rPr>
        <w:t>Testing of Procedures</w:t>
      </w:r>
    </w:p>
    <w:p w:rsidR="00BB025A" w:rsidRPr="00663B39" w:rsidP="00CA7414" w14:paraId="08A0AC3F" w14:textId="77777777">
      <w:pPr>
        <w:spacing w:after="0" w:line="240" w:lineRule="auto"/>
        <w:rPr>
          <w:rFonts w:ascii="Times New Roman" w:hAnsi="Times New Roman" w:cs="Times New Roman"/>
          <w:color w:val="000000" w:themeColor="text1"/>
          <w:sz w:val="24"/>
          <w:szCs w:val="24"/>
        </w:rPr>
      </w:pPr>
    </w:p>
    <w:p w:rsidR="00E5526A" w:rsidRPr="00A81EF7" w:rsidP="00CA7414" w14:paraId="16FC9979" w14:textId="41EE98FA">
      <w:pPr>
        <w:spacing w:after="0" w:line="240" w:lineRule="auto"/>
        <w:ind w:left="720"/>
        <w:contextualSpacing/>
        <w:rPr>
          <w:rFonts w:ascii="Times New Roman" w:hAnsi="Times New Roman" w:cs="Times New Roman"/>
          <w:color w:val="000000" w:themeColor="text1"/>
          <w:sz w:val="24"/>
          <w:szCs w:val="24"/>
        </w:rPr>
      </w:pPr>
      <w:r w:rsidRPr="00663B39">
        <w:rPr>
          <w:rFonts w:ascii="Times New Roman" w:hAnsi="Times New Roman" w:cs="Times New Roman"/>
          <w:color w:val="000000" w:themeColor="text1"/>
          <w:sz w:val="24"/>
          <w:szCs w:val="24"/>
        </w:rPr>
        <w:t xml:space="preserve">After submitting data to the FBI, the state UCR programs expect a timely response regarding any errors.  </w:t>
      </w:r>
      <w:r w:rsidRPr="00663B39" w:rsidR="00BB025A">
        <w:rPr>
          <w:rFonts w:ascii="Times New Roman" w:hAnsi="Times New Roman" w:cs="Times New Roman"/>
          <w:color w:val="000000" w:themeColor="text1"/>
          <w:sz w:val="24"/>
          <w:szCs w:val="24"/>
        </w:rPr>
        <w:t xml:space="preserve">Monthly submissions should be received by the FBI no later than the seventh day of each month.  Annual deadlines are designated </w:t>
      </w:r>
      <w:r w:rsidRPr="00663B39" w:rsidR="00D716E4">
        <w:rPr>
          <w:rFonts w:ascii="Times New Roman" w:hAnsi="Times New Roman" w:cs="Times New Roman"/>
          <w:color w:val="000000" w:themeColor="text1"/>
          <w:sz w:val="24"/>
          <w:szCs w:val="24"/>
        </w:rPr>
        <w:t>to</w:t>
      </w:r>
      <w:r w:rsidRPr="00663B39" w:rsidR="00BB025A">
        <w:rPr>
          <w:rFonts w:ascii="Times New Roman" w:hAnsi="Times New Roman" w:cs="Times New Roman"/>
          <w:color w:val="000000" w:themeColor="text1"/>
          <w:sz w:val="24"/>
          <w:szCs w:val="24"/>
        </w:rPr>
        <w:t xml:space="preserve"> assess receipt of </w:t>
      </w:r>
      <w:r w:rsidRPr="00A81EF7" w:rsidR="00BB025A">
        <w:rPr>
          <w:rFonts w:ascii="Times New Roman" w:hAnsi="Times New Roman" w:cs="Times New Roman"/>
          <w:color w:val="000000" w:themeColor="text1"/>
          <w:sz w:val="24"/>
          <w:szCs w:val="24"/>
        </w:rPr>
        <w:t xml:space="preserve">monthly submissions.  </w:t>
      </w:r>
      <w:r w:rsidRPr="00A81EF7" w:rsidR="00D716E4">
        <w:rPr>
          <w:rFonts w:ascii="Times New Roman" w:hAnsi="Times New Roman" w:cs="Times New Roman"/>
          <w:color w:val="000000" w:themeColor="text1"/>
          <w:sz w:val="24"/>
          <w:szCs w:val="24"/>
        </w:rPr>
        <w:t>For</w:t>
      </w:r>
      <w:r w:rsidRPr="00A81EF7">
        <w:rPr>
          <w:rFonts w:ascii="Times New Roman" w:hAnsi="Times New Roman" w:cs="Times New Roman"/>
          <w:color w:val="000000" w:themeColor="text1"/>
          <w:sz w:val="24"/>
          <w:szCs w:val="24"/>
        </w:rPr>
        <w:t xml:space="preserve"> the FBI to conduct a thorough quality review and provide a prompt response, the data should be submitted according to </w:t>
      </w:r>
      <w:r w:rsidRPr="00A81EF7" w:rsidR="00D716E4">
        <w:rPr>
          <w:rFonts w:ascii="Times New Roman" w:hAnsi="Times New Roman" w:cs="Times New Roman"/>
          <w:color w:val="000000" w:themeColor="text1"/>
          <w:sz w:val="24"/>
          <w:szCs w:val="24"/>
        </w:rPr>
        <w:t xml:space="preserve">standards and deadlines set forth </w:t>
      </w:r>
      <w:r w:rsidRPr="00A81EF7" w:rsidR="00D14F45">
        <w:rPr>
          <w:rFonts w:ascii="Times New Roman" w:hAnsi="Times New Roman" w:cs="Times New Roman"/>
          <w:color w:val="000000" w:themeColor="text1"/>
          <w:sz w:val="24"/>
          <w:szCs w:val="24"/>
        </w:rPr>
        <w:t xml:space="preserve">by the </w:t>
      </w:r>
      <w:r w:rsidRPr="00A81EF7">
        <w:rPr>
          <w:rFonts w:ascii="Times New Roman" w:hAnsi="Times New Roman" w:cs="Times New Roman"/>
          <w:color w:val="000000" w:themeColor="text1"/>
          <w:sz w:val="24"/>
          <w:szCs w:val="24"/>
        </w:rPr>
        <w:t>FBI</w:t>
      </w:r>
      <w:r w:rsidRPr="00A81EF7" w:rsidR="00D14F45">
        <w:rPr>
          <w:rFonts w:ascii="Times New Roman" w:hAnsi="Times New Roman" w:cs="Times New Roman"/>
          <w:color w:val="000000" w:themeColor="text1"/>
          <w:sz w:val="24"/>
          <w:szCs w:val="24"/>
        </w:rPr>
        <w:t>’s</w:t>
      </w:r>
      <w:r w:rsidRPr="00A81EF7">
        <w:rPr>
          <w:rFonts w:ascii="Times New Roman" w:hAnsi="Times New Roman" w:cs="Times New Roman"/>
          <w:color w:val="000000" w:themeColor="text1"/>
          <w:sz w:val="24"/>
          <w:szCs w:val="24"/>
        </w:rPr>
        <w:t xml:space="preserve"> UCR Program.</w:t>
      </w:r>
    </w:p>
    <w:p w:rsidR="00E64B83" w:rsidRPr="00A81EF7" w:rsidP="00CA7414" w14:paraId="0E2AC881" w14:textId="77777777">
      <w:pPr>
        <w:spacing w:after="0" w:line="240" w:lineRule="auto"/>
        <w:ind w:left="720"/>
        <w:contextualSpacing/>
        <w:rPr>
          <w:rFonts w:ascii="Times New Roman" w:hAnsi="Times New Roman" w:cs="Times New Roman"/>
          <w:color w:val="000000" w:themeColor="text1"/>
          <w:sz w:val="24"/>
          <w:szCs w:val="24"/>
        </w:rPr>
      </w:pPr>
    </w:p>
    <w:p w:rsidR="00BB025A" w:rsidRPr="00A81EF7" w:rsidP="00CA7414" w14:paraId="73986D5A" w14:textId="338B88FA">
      <w:pPr>
        <w:pStyle w:val="ListParagraph"/>
        <w:spacing w:after="0" w:line="240" w:lineRule="auto"/>
        <w:ind w:right="-90"/>
        <w:rPr>
          <w:rFonts w:ascii="Times New Roman" w:hAnsi="Times New Roman" w:cs="Times New Roman"/>
          <w:color w:val="000000" w:themeColor="text1"/>
          <w:sz w:val="24"/>
          <w:szCs w:val="24"/>
        </w:rPr>
      </w:pPr>
      <w:r w:rsidRPr="00A81EF7">
        <w:rPr>
          <w:rFonts w:ascii="Times New Roman" w:hAnsi="Times New Roman" w:cs="Times New Roman"/>
          <w:color w:val="000000" w:themeColor="text1"/>
          <w:sz w:val="24"/>
          <w:szCs w:val="24"/>
        </w:rPr>
        <w:t>The FBI</w:t>
      </w:r>
      <w:r w:rsidRPr="00A81EF7" w:rsidR="00D14F45">
        <w:rPr>
          <w:rFonts w:ascii="Times New Roman" w:hAnsi="Times New Roman" w:cs="Times New Roman"/>
          <w:color w:val="000000" w:themeColor="text1"/>
          <w:sz w:val="24"/>
          <w:szCs w:val="24"/>
        </w:rPr>
        <w:t>’s</w:t>
      </w:r>
      <w:r w:rsidRPr="00A81EF7">
        <w:rPr>
          <w:rFonts w:ascii="Times New Roman" w:hAnsi="Times New Roman" w:cs="Times New Roman"/>
          <w:color w:val="000000" w:themeColor="text1"/>
          <w:sz w:val="24"/>
          <w:szCs w:val="24"/>
        </w:rPr>
        <w:t xml:space="preserve"> UCR Program is developing the capability of operating a machine-to-machine data transfer system</w:t>
      </w:r>
      <w:r w:rsidRPr="00A81EF7" w:rsidR="00F605E4">
        <w:rPr>
          <w:rFonts w:ascii="Times New Roman" w:hAnsi="Times New Roman" w:cs="Times New Roman"/>
          <w:color w:val="000000" w:themeColor="text1"/>
          <w:sz w:val="24"/>
          <w:szCs w:val="24"/>
        </w:rPr>
        <w:t xml:space="preserve">.  </w:t>
      </w:r>
      <w:r w:rsidRPr="00A81EF7">
        <w:rPr>
          <w:rFonts w:ascii="Times New Roman" w:hAnsi="Times New Roman" w:cs="Times New Roman"/>
          <w:color w:val="000000" w:themeColor="text1"/>
          <w:sz w:val="24"/>
          <w:szCs w:val="24"/>
        </w:rPr>
        <w:t>This will allow individual agencies participating in the FBI</w:t>
      </w:r>
      <w:r w:rsidRPr="00A81EF7" w:rsidR="00F605E4">
        <w:rPr>
          <w:rFonts w:ascii="Times New Roman" w:hAnsi="Times New Roman" w:cs="Times New Roman"/>
          <w:color w:val="000000" w:themeColor="text1"/>
          <w:sz w:val="24"/>
          <w:szCs w:val="24"/>
        </w:rPr>
        <w:t>’s</w:t>
      </w:r>
      <w:r w:rsidRPr="00A81EF7">
        <w:rPr>
          <w:rFonts w:ascii="Times New Roman" w:hAnsi="Times New Roman" w:cs="Times New Roman"/>
          <w:color w:val="000000" w:themeColor="text1"/>
          <w:sz w:val="24"/>
          <w:szCs w:val="24"/>
        </w:rPr>
        <w:t xml:space="preserve"> UCR Program to submit data directly to, and receive information directly from, </w:t>
      </w:r>
      <w:r w:rsidRPr="00A81EF7" w:rsidR="00F8512C">
        <w:rPr>
          <w:rFonts w:ascii="Times New Roman" w:hAnsi="Times New Roman" w:cs="Times New Roman"/>
          <w:color w:val="000000" w:themeColor="text1"/>
          <w:sz w:val="24"/>
          <w:szCs w:val="24"/>
        </w:rPr>
        <w:t xml:space="preserve">the </w:t>
      </w:r>
      <w:r w:rsidRPr="00A81EF7">
        <w:rPr>
          <w:rFonts w:ascii="Times New Roman" w:hAnsi="Times New Roman" w:cs="Times New Roman"/>
          <w:color w:val="000000" w:themeColor="text1"/>
          <w:sz w:val="24"/>
          <w:szCs w:val="24"/>
        </w:rPr>
        <w:t>CJIS data collection servers.  Over time, these direct submissions will decrease the time it takes to accurately process and store the data, thereby increasing the efficiency of the data collection procedure.</w:t>
      </w:r>
    </w:p>
    <w:p w:rsidR="00BB025A" w:rsidP="00CA7414" w14:paraId="39A810F4" w14:textId="77777777">
      <w:pPr>
        <w:spacing w:after="0" w:line="240" w:lineRule="auto"/>
        <w:ind w:left="720"/>
        <w:contextualSpacing/>
        <w:rPr>
          <w:rFonts w:ascii="Times New Roman" w:hAnsi="Times New Roman" w:cs="Times New Roman"/>
          <w:color w:val="000000" w:themeColor="text1"/>
          <w:sz w:val="24"/>
          <w:szCs w:val="24"/>
        </w:rPr>
      </w:pPr>
    </w:p>
    <w:p w:rsidR="00DE54BB" w14:paraId="25DD3D58"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001072B6" w:rsidRPr="00A81EF7" w:rsidP="00CA7414" w14:paraId="196E1F8D" w14:textId="45E60F14">
      <w:pPr>
        <w:pStyle w:val="ListParagraph"/>
        <w:numPr>
          <w:ilvl w:val="0"/>
          <w:numId w:val="1"/>
        </w:numPr>
        <w:spacing w:after="0" w:line="240" w:lineRule="auto"/>
        <w:rPr>
          <w:rFonts w:ascii="Times New Roman" w:hAnsi="Times New Roman" w:cs="Times New Roman"/>
          <w:color w:val="000000" w:themeColor="text1"/>
          <w:sz w:val="24"/>
          <w:szCs w:val="24"/>
        </w:rPr>
      </w:pPr>
      <w:r w:rsidRPr="00A81EF7">
        <w:rPr>
          <w:rFonts w:ascii="Times New Roman" w:hAnsi="Times New Roman" w:cs="Times New Roman"/>
          <w:color w:val="000000" w:themeColor="text1"/>
          <w:sz w:val="24"/>
          <w:szCs w:val="24"/>
          <w:u w:val="single"/>
        </w:rPr>
        <w:t>Contacts for Statistical Aspects and Data Collection</w:t>
      </w:r>
    </w:p>
    <w:p w:rsidR="00DE54BB" w:rsidP="00CA7414" w14:paraId="64BAC09C" w14:textId="77777777">
      <w:pPr>
        <w:widowControl w:val="0"/>
        <w:spacing w:after="0" w:line="240" w:lineRule="auto"/>
        <w:ind w:left="720" w:right="-450"/>
        <w:rPr>
          <w:rFonts w:ascii="Times New Roman" w:eastAsia="Times New Roman" w:hAnsi="Times New Roman"/>
          <w:color w:val="000000" w:themeColor="text1"/>
          <w:sz w:val="24"/>
          <w:szCs w:val="24"/>
        </w:rPr>
      </w:pPr>
    </w:p>
    <w:p w:rsidR="00631451" w:rsidRPr="00A81EF7" w:rsidP="00CA7414" w14:paraId="4C26F2AE" w14:textId="338732F5">
      <w:pPr>
        <w:widowControl w:val="0"/>
        <w:spacing w:after="0" w:line="240" w:lineRule="auto"/>
        <w:ind w:left="720" w:right="-450"/>
        <w:rPr>
          <w:rFonts w:ascii="Times New Roman" w:eastAsia="Times New Roman" w:hAnsi="Times New Roman"/>
          <w:color w:val="000000" w:themeColor="text1"/>
          <w:sz w:val="24"/>
          <w:szCs w:val="24"/>
        </w:rPr>
      </w:pPr>
      <w:r w:rsidRPr="00A81EF7">
        <w:rPr>
          <w:rFonts w:ascii="Times New Roman" w:eastAsia="Times New Roman" w:hAnsi="Times New Roman"/>
          <w:color w:val="000000" w:themeColor="text1"/>
          <w:sz w:val="24"/>
          <w:szCs w:val="24"/>
        </w:rPr>
        <w:t>Contacts for statistical aspects and data collection can be reached via email (ucr@fbi.gov) or telephone (304-625-4830).</w:t>
      </w:r>
    </w:p>
    <w:p w:rsidR="00631451" w:rsidRPr="00A81EF7" w:rsidP="00CA7414" w14:paraId="0D38CAD7" w14:textId="77777777">
      <w:pPr>
        <w:spacing w:after="0" w:line="240" w:lineRule="auto"/>
        <w:rPr>
          <w:rFonts w:ascii="Times New Roman" w:hAnsi="Times New Roman"/>
          <w:color w:val="000000" w:themeColor="text1"/>
          <w:sz w:val="24"/>
          <w:szCs w:val="24"/>
        </w:rPr>
      </w:pPr>
    </w:p>
    <w:p w:rsidR="00631451" w:rsidRPr="00A81EF7" w:rsidP="00CA7414" w14:paraId="56CA5479" w14:textId="77777777">
      <w:pPr>
        <w:spacing w:after="0" w:line="240" w:lineRule="auto"/>
        <w:ind w:left="1080"/>
        <w:rPr>
          <w:rFonts w:ascii="Times New Roman" w:hAnsi="Times New Roman"/>
          <w:b/>
          <w:bCs/>
          <w:color w:val="000000" w:themeColor="text1"/>
          <w:sz w:val="24"/>
          <w:szCs w:val="24"/>
          <w:u w:val="single"/>
        </w:rPr>
      </w:pPr>
      <w:r w:rsidRPr="00A81EF7">
        <w:rPr>
          <w:rFonts w:ascii="Times New Roman" w:hAnsi="Times New Roman"/>
          <w:b/>
          <w:bCs/>
          <w:color w:val="000000" w:themeColor="text1"/>
          <w:sz w:val="24"/>
          <w:szCs w:val="24"/>
        </w:rPr>
        <w:t>Scott E. Schubert</w:t>
      </w:r>
    </w:p>
    <w:p w:rsidR="00631451" w:rsidRPr="00A81EF7" w:rsidP="00CA7414" w14:paraId="2B1792E8" w14:textId="77777777">
      <w:pPr>
        <w:spacing w:after="0" w:line="240" w:lineRule="auto"/>
        <w:ind w:left="540" w:firstLine="540"/>
        <w:contextualSpacing/>
        <w:rPr>
          <w:rFonts w:ascii="Times New Roman" w:hAnsi="Times New Roman"/>
          <w:color w:val="000000" w:themeColor="text1"/>
          <w:sz w:val="24"/>
          <w:szCs w:val="24"/>
        </w:rPr>
      </w:pPr>
      <w:r w:rsidRPr="00A81EF7">
        <w:rPr>
          <w:rFonts w:ascii="Times New Roman" w:hAnsi="Times New Roman"/>
          <w:color w:val="000000" w:themeColor="text1"/>
          <w:sz w:val="24"/>
          <w:szCs w:val="24"/>
        </w:rPr>
        <w:t>Law Enforcement Engagement and Data Sharing (LEEDS) Section Chief</w:t>
      </w:r>
    </w:p>
    <w:p w:rsidR="00631451" w:rsidRPr="00A81EF7" w:rsidP="00CA7414" w14:paraId="426B85CE" w14:textId="77777777">
      <w:pPr>
        <w:spacing w:after="0" w:line="240" w:lineRule="auto"/>
        <w:ind w:left="540" w:firstLine="540"/>
        <w:contextualSpacing/>
        <w:rPr>
          <w:rFonts w:ascii="Times New Roman" w:hAnsi="Times New Roman"/>
          <w:color w:val="000000" w:themeColor="text1"/>
          <w:sz w:val="24"/>
          <w:szCs w:val="24"/>
        </w:rPr>
      </w:pPr>
    </w:p>
    <w:p w:rsidR="00631451" w:rsidRPr="00A81EF7" w:rsidP="00CA7414" w14:paraId="31F8FA2A" w14:textId="401EEA3B">
      <w:pPr>
        <w:spacing w:after="0" w:line="240" w:lineRule="auto"/>
        <w:ind w:left="540" w:firstLine="540"/>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Michael D. </w:t>
      </w:r>
      <w:r w:rsidR="009E0C0F">
        <w:rPr>
          <w:rFonts w:ascii="Times New Roman" w:hAnsi="Times New Roman"/>
          <w:b/>
          <w:bCs/>
          <w:color w:val="000000" w:themeColor="text1"/>
          <w:sz w:val="24"/>
          <w:szCs w:val="24"/>
        </w:rPr>
        <w:t>McIntyre, Jr.</w:t>
      </w:r>
    </w:p>
    <w:p w:rsidR="00631451" w:rsidRPr="00A81EF7" w:rsidP="00CA7414" w14:paraId="37A1FE4A" w14:textId="117C1222">
      <w:pPr>
        <w:spacing w:after="0" w:line="240" w:lineRule="auto"/>
        <w:ind w:left="540" w:firstLine="540"/>
        <w:contextualSpacing/>
        <w:rPr>
          <w:rFonts w:ascii="Times New Roman" w:hAnsi="Times New Roman"/>
          <w:color w:val="000000" w:themeColor="text1"/>
          <w:sz w:val="24"/>
          <w:szCs w:val="24"/>
        </w:rPr>
      </w:pPr>
      <w:r w:rsidRPr="00A81EF7">
        <w:rPr>
          <w:rFonts w:ascii="Times New Roman" w:hAnsi="Times New Roman"/>
          <w:color w:val="000000" w:themeColor="text1"/>
          <w:sz w:val="24"/>
          <w:szCs w:val="24"/>
        </w:rPr>
        <w:t xml:space="preserve">LEEDS </w:t>
      </w:r>
      <w:r w:rsidR="00E20877">
        <w:rPr>
          <w:rFonts w:ascii="Times New Roman" w:hAnsi="Times New Roman"/>
          <w:color w:val="000000" w:themeColor="text1"/>
          <w:sz w:val="24"/>
          <w:szCs w:val="24"/>
        </w:rPr>
        <w:t xml:space="preserve">Assistant </w:t>
      </w:r>
      <w:r w:rsidRPr="00A81EF7">
        <w:rPr>
          <w:rFonts w:ascii="Times New Roman" w:hAnsi="Times New Roman"/>
          <w:color w:val="000000" w:themeColor="text1"/>
          <w:sz w:val="24"/>
          <w:szCs w:val="24"/>
        </w:rPr>
        <w:t>Section</w:t>
      </w:r>
      <w:r w:rsidR="00E20877">
        <w:rPr>
          <w:rFonts w:ascii="Times New Roman" w:hAnsi="Times New Roman"/>
          <w:color w:val="000000" w:themeColor="text1"/>
          <w:sz w:val="24"/>
          <w:szCs w:val="24"/>
        </w:rPr>
        <w:t xml:space="preserve"> </w:t>
      </w:r>
      <w:r w:rsidRPr="00A81EF7">
        <w:rPr>
          <w:rFonts w:ascii="Times New Roman" w:hAnsi="Times New Roman"/>
          <w:color w:val="000000" w:themeColor="text1"/>
          <w:sz w:val="24"/>
          <w:szCs w:val="24"/>
        </w:rPr>
        <w:t>Chief</w:t>
      </w:r>
    </w:p>
    <w:p w:rsidR="00631451" w:rsidRPr="00841974" w:rsidP="00CA7414" w14:paraId="5CA53F56" w14:textId="77777777">
      <w:pPr>
        <w:spacing w:after="0" w:line="240" w:lineRule="auto"/>
        <w:ind w:left="540" w:firstLine="540"/>
        <w:contextualSpacing/>
        <w:rPr>
          <w:rFonts w:ascii="Times New Roman" w:hAnsi="Times New Roman"/>
          <w:color w:val="000000" w:themeColor="text1"/>
          <w:sz w:val="24"/>
          <w:szCs w:val="24"/>
        </w:rPr>
      </w:pPr>
    </w:p>
    <w:p w:rsidR="00327A3F" w:rsidRPr="000D219F" w:rsidP="00CA7414" w14:paraId="595F1652" w14:textId="3F7FA4CC">
      <w:pPr>
        <w:spacing w:after="0" w:line="240" w:lineRule="auto"/>
        <w:ind w:left="1080"/>
        <w:contextualSpacing/>
        <w:rPr>
          <w:rFonts w:ascii="Times New Roman" w:hAnsi="Times New Roman"/>
          <w:b/>
          <w:bCs/>
          <w:color w:val="000000" w:themeColor="text1"/>
          <w:sz w:val="24"/>
          <w:szCs w:val="24"/>
        </w:rPr>
      </w:pPr>
      <w:r w:rsidRPr="000D219F">
        <w:rPr>
          <w:rFonts w:ascii="Times New Roman" w:hAnsi="Times New Roman"/>
          <w:b/>
          <w:bCs/>
          <w:color w:val="000000" w:themeColor="text1"/>
          <w:sz w:val="24"/>
          <w:szCs w:val="24"/>
        </w:rPr>
        <w:t>Matthew B. Fancher</w:t>
      </w:r>
    </w:p>
    <w:p w:rsidR="00327A3F" w:rsidRPr="000D219F" w:rsidP="00CA7414" w14:paraId="5EAF0440" w14:textId="27727247">
      <w:pPr>
        <w:spacing w:after="0" w:line="240" w:lineRule="auto"/>
        <w:ind w:left="1080"/>
        <w:contextualSpacing/>
        <w:rPr>
          <w:rFonts w:ascii="Times New Roman" w:hAnsi="Times New Roman"/>
          <w:color w:val="000000" w:themeColor="text1"/>
          <w:sz w:val="24"/>
          <w:szCs w:val="24"/>
        </w:rPr>
      </w:pPr>
      <w:r w:rsidRPr="000D219F">
        <w:rPr>
          <w:rFonts w:ascii="Times New Roman" w:hAnsi="Times New Roman"/>
          <w:color w:val="000000" w:themeColor="text1"/>
          <w:sz w:val="24"/>
          <w:szCs w:val="24"/>
        </w:rPr>
        <w:t>Crime and Law Enforcement Statistics Unit Chief</w:t>
      </w:r>
    </w:p>
    <w:p w:rsidR="00327A3F" w:rsidRPr="000D219F" w:rsidP="00CA7414" w14:paraId="78F15D0D" w14:textId="77777777">
      <w:pPr>
        <w:spacing w:after="0" w:line="240" w:lineRule="auto"/>
        <w:ind w:left="1080"/>
        <w:contextualSpacing/>
        <w:rPr>
          <w:rFonts w:ascii="Times New Roman" w:hAnsi="Times New Roman"/>
          <w:b/>
          <w:bCs/>
          <w:color w:val="000000" w:themeColor="text1"/>
          <w:sz w:val="24"/>
          <w:szCs w:val="24"/>
        </w:rPr>
      </w:pPr>
    </w:p>
    <w:p w:rsidR="00631451" w:rsidRPr="000D219F" w:rsidP="00CA7414" w14:paraId="421B2A2B" w14:textId="2FE82C1F">
      <w:pPr>
        <w:spacing w:after="0" w:line="240" w:lineRule="auto"/>
        <w:ind w:left="1080"/>
        <w:contextualSpacing/>
        <w:rPr>
          <w:rFonts w:ascii="Times New Roman" w:hAnsi="Times New Roman"/>
          <w:b/>
          <w:bCs/>
          <w:color w:val="000000" w:themeColor="text1"/>
          <w:sz w:val="24"/>
          <w:szCs w:val="24"/>
        </w:rPr>
      </w:pPr>
      <w:r w:rsidRPr="000D219F">
        <w:rPr>
          <w:rFonts w:ascii="Times New Roman" w:hAnsi="Times New Roman"/>
          <w:b/>
          <w:bCs/>
          <w:color w:val="000000" w:themeColor="text1"/>
          <w:sz w:val="24"/>
          <w:szCs w:val="24"/>
        </w:rPr>
        <w:t>Chad M. Garman</w:t>
      </w:r>
    </w:p>
    <w:p w:rsidR="00631451" w:rsidRPr="000D219F" w:rsidP="00CA7414" w14:paraId="272D88AB" w14:textId="2E8CF102">
      <w:pPr>
        <w:spacing w:after="0" w:line="240" w:lineRule="auto"/>
        <w:ind w:left="1080"/>
        <w:contextualSpacing/>
        <w:rPr>
          <w:rFonts w:ascii="Times New Roman" w:hAnsi="Times New Roman"/>
          <w:color w:val="000000" w:themeColor="text1"/>
          <w:sz w:val="24"/>
          <w:szCs w:val="24"/>
        </w:rPr>
      </w:pPr>
      <w:r w:rsidRPr="000D219F">
        <w:rPr>
          <w:rFonts w:ascii="Times New Roman" w:hAnsi="Times New Roman"/>
          <w:color w:val="000000" w:themeColor="text1"/>
          <w:sz w:val="24"/>
          <w:szCs w:val="24"/>
        </w:rPr>
        <w:t>Supervisory Survey Statistician</w:t>
      </w:r>
    </w:p>
    <w:p w:rsidR="00631451" w:rsidRPr="000D219F" w:rsidP="00CA7414" w14:paraId="18E0C1D2" w14:textId="77777777">
      <w:pPr>
        <w:spacing w:after="0" w:line="240" w:lineRule="auto"/>
        <w:ind w:left="1080"/>
        <w:contextualSpacing/>
        <w:rPr>
          <w:rFonts w:ascii="Times New Roman" w:hAnsi="Times New Roman"/>
          <w:color w:val="000000" w:themeColor="text1"/>
          <w:sz w:val="24"/>
          <w:szCs w:val="24"/>
        </w:rPr>
      </w:pPr>
    </w:p>
    <w:p w:rsidR="00631451" w:rsidRPr="000D219F" w:rsidP="00CA7414" w14:paraId="01784386" w14:textId="77777777">
      <w:pPr>
        <w:spacing w:after="0" w:line="240" w:lineRule="auto"/>
        <w:ind w:left="1080"/>
        <w:contextualSpacing/>
        <w:rPr>
          <w:rFonts w:ascii="Times New Roman" w:hAnsi="Times New Roman"/>
          <w:b/>
          <w:bCs/>
          <w:color w:val="000000" w:themeColor="text1"/>
          <w:sz w:val="24"/>
          <w:szCs w:val="24"/>
        </w:rPr>
      </w:pPr>
      <w:r w:rsidRPr="000D219F">
        <w:rPr>
          <w:rFonts w:ascii="Times New Roman" w:hAnsi="Times New Roman"/>
          <w:b/>
          <w:bCs/>
          <w:color w:val="000000" w:themeColor="text1"/>
          <w:sz w:val="24"/>
          <w:szCs w:val="24"/>
        </w:rPr>
        <w:t>Malissa C. Vavra</w:t>
      </w:r>
    </w:p>
    <w:p w:rsidR="00631451" w:rsidRPr="000D219F" w:rsidP="00CA7414" w14:paraId="7DC321ED" w14:textId="77777777">
      <w:pPr>
        <w:spacing w:after="0" w:line="240" w:lineRule="auto"/>
        <w:ind w:left="1080"/>
        <w:contextualSpacing/>
        <w:rPr>
          <w:rFonts w:ascii="Times New Roman" w:hAnsi="Times New Roman"/>
          <w:color w:val="000000" w:themeColor="text1"/>
          <w:sz w:val="24"/>
          <w:szCs w:val="24"/>
        </w:rPr>
      </w:pPr>
      <w:r w:rsidRPr="000D219F">
        <w:rPr>
          <w:rFonts w:ascii="Times New Roman" w:hAnsi="Times New Roman"/>
          <w:color w:val="000000" w:themeColor="text1"/>
          <w:sz w:val="24"/>
          <w:szCs w:val="24"/>
        </w:rPr>
        <w:t>Survey Statistician</w:t>
      </w:r>
    </w:p>
    <w:p w:rsidR="00631451" w:rsidRPr="000D219F" w:rsidP="00CA7414" w14:paraId="21782120" w14:textId="77777777">
      <w:pPr>
        <w:pStyle w:val="ListParagraph"/>
        <w:tabs>
          <w:tab w:val="left" w:pos="630"/>
        </w:tabs>
        <w:spacing w:after="0" w:line="240" w:lineRule="auto"/>
        <w:rPr>
          <w:rFonts w:ascii="Times New Roman" w:hAnsi="Times New Roman" w:cs="Times New Roman"/>
          <w:color w:val="000000" w:themeColor="text1"/>
          <w:sz w:val="24"/>
          <w:szCs w:val="24"/>
        </w:rPr>
      </w:pPr>
    </w:p>
    <w:sectPr w:rsidSect="007F27EC">
      <w:footerReference w:type="default" r:id="rId8"/>
      <w:pgSz w:w="12240" w:h="15840"/>
      <w:pgMar w:top="1440" w:right="1440" w:bottom="1440" w:left="1440" w:header="720" w:footer="720" w:gutter="0"/>
      <w:pgNumType w:start="1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026790"/>
      <w:docPartObj>
        <w:docPartGallery w:val="Page Numbers (Bottom of Page)"/>
        <w:docPartUnique/>
      </w:docPartObj>
    </w:sdtPr>
    <w:sdtEndPr>
      <w:rPr>
        <w:rFonts w:ascii="Times New Roman" w:hAnsi="Times New Roman" w:cs="Times New Roman"/>
        <w:noProof/>
        <w:sz w:val="24"/>
        <w:szCs w:val="24"/>
      </w:rPr>
    </w:sdtEndPr>
    <w:sdtContent>
      <w:p w:rsidR="00AC3967" w:rsidRPr="00AC3967" w14:paraId="1ED62B81" w14:textId="6675FE99">
        <w:pPr>
          <w:pStyle w:val="Footer"/>
          <w:jc w:val="center"/>
          <w:rPr>
            <w:rFonts w:ascii="Times New Roman" w:hAnsi="Times New Roman" w:cs="Times New Roman"/>
            <w:sz w:val="24"/>
            <w:szCs w:val="24"/>
          </w:rPr>
        </w:pPr>
        <w:r w:rsidRPr="00AC3967">
          <w:rPr>
            <w:rFonts w:ascii="Times New Roman" w:hAnsi="Times New Roman" w:cs="Times New Roman"/>
            <w:sz w:val="24"/>
            <w:szCs w:val="24"/>
          </w:rPr>
          <w:fldChar w:fldCharType="begin"/>
        </w:r>
        <w:r w:rsidRPr="00AC3967">
          <w:rPr>
            <w:rFonts w:ascii="Times New Roman" w:hAnsi="Times New Roman" w:cs="Times New Roman"/>
            <w:sz w:val="24"/>
            <w:szCs w:val="24"/>
          </w:rPr>
          <w:instrText xml:space="preserve"> PAGE   \* MERGEFORMAT </w:instrText>
        </w:r>
        <w:r w:rsidRPr="00AC3967">
          <w:rPr>
            <w:rFonts w:ascii="Times New Roman" w:hAnsi="Times New Roman" w:cs="Times New Roman"/>
            <w:sz w:val="24"/>
            <w:szCs w:val="24"/>
          </w:rPr>
          <w:fldChar w:fldCharType="separate"/>
        </w:r>
        <w:r w:rsidRPr="00AC3967">
          <w:rPr>
            <w:rFonts w:ascii="Times New Roman" w:hAnsi="Times New Roman" w:cs="Times New Roman"/>
            <w:noProof/>
            <w:sz w:val="24"/>
            <w:szCs w:val="24"/>
          </w:rPr>
          <w:t>2</w:t>
        </w:r>
        <w:r w:rsidRPr="00AC3967">
          <w:rPr>
            <w:rFonts w:ascii="Times New Roman" w:hAnsi="Times New Roman" w:cs="Times New Roman"/>
            <w:noProof/>
            <w:sz w:val="24"/>
            <w:szCs w:val="24"/>
          </w:rPr>
          <w:fldChar w:fldCharType="end"/>
        </w:r>
      </w:p>
    </w:sdtContent>
  </w:sdt>
  <w:p w:rsidR="00AC3967" w14:paraId="72E3F8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E5F33"/>
    <w:multiLevelType w:val="hybridMultilevel"/>
    <w:tmpl w:val="CC462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F350A0"/>
    <w:multiLevelType w:val="hybridMultilevel"/>
    <w:tmpl w:val="A5682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C604A47"/>
    <w:multiLevelType w:val="hybridMultilevel"/>
    <w:tmpl w:val="BF500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9109B0"/>
    <w:multiLevelType w:val="hybridMultilevel"/>
    <w:tmpl w:val="A93041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212949"/>
    <w:multiLevelType w:val="hybridMultilevel"/>
    <w:tmpl w:val="444EE1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62851A8"/>
    <w:multiLevelType w:val="hybridMultilevel"/>
    <w:tmpl w:val="A23C8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0485C81"/>
    <w:multiLevelType w:val="hybridMultilevel"/>
    <w:tmpl w:val="39E8C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E331B7"/>
    <w:multiLevelType w:val="hybridMultilevel"/>
    <w:tmpl w:val="6458F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264A15"/>
    <w:multiLevelType w:val="hybridMultilevel"/>
    <w:tmpl w:val="8EFA7B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8ED7151"/>
    <w:multiLevelType w:val="hybridMultilevel"/>
    <w:tmpl w:val="1C8C65A4"/>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6E480CAD"/>
    <w:multiLevelType w:val="hybridMultilevel"/>
    <w:tmpl w:val="FF644F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6572C6E"/>
    <w:multiLevelType w:val="multilevel"/>
    <w:tmpl w:val="6048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507564">
    <w:abstractNumId w:val="0"/>
  </w:num>
  <w:num w:numId="2" w16cid:durableId="1395740596">
    <w:abstractNumId w:val="9"/>
  </w:num>
  <w:num w:numId="3" w16cid:durableId="1049379024">
    <w:abstractNumId w:val="4"/>
  </w:num>
  <w:num w:numId="4" w16cid:durableId="1766995593">
    <w:abstractNumId w:val="8"/>
  </w:num>
  <w:num w:numId="5" w16cid:durableId="1462184863">
    <w:abstractNumId w:val="5"/>
  </w:num>
  <w:num w:numId="6" w16cid:durableId="828058844">
    <w:abstractNumId w:val="3"/>
  </w:num>
  <w:num w:numId="7" w16cid:durableId="1678267140">
    <w:abstractNumId w:val="1"/>
  </w:num>
  <w:num w:numId="8" w16cid:durableId="170611110">
    <w:abstractNumId w:val="10"/>
  </w:num>
  <w:num w:numId="9" w16cid:durableId="1878661528">
    <w:abstractNumId w:val="2"/>
  </w:num>
  <w:num w:numId="10" w16cid:durableId="111172029">
    <w:abstractNumId w:val="11"/>
  </w:num>
  <w:num w:numId="11" w16cid:durableId="1209882454">
    <w:abstractNumId w:val="7"/>
  </w:num>
  <w:num w:numId="12" w16cid:durableId="920022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52"/>
    <w:rsid w:val="00010AA9"/>
    <w:rsid w:val="0001350E"/>
    <w:rsid w:val="00061182"/>
    <w:rsid w:val="0006183F"/>
    <w:rsid w:val="00065529"/>
    <w:rsid w:val="0007099C"/>
    <w:rsid w:val="000761BE"/>
    <w:rsid w:val="00076204"/>
    <w:rsid w:val="00081B5E"/>
    <w:rsid w:val="000837EB"/>
    <w:rsid w:val="00087711"/>
    <w:rsid w:val="000A0157"/>
    <w:rsid w:val="000B001C"/>
    <w:rsid w:val="000B4056"/>
    <w:rsid w:val="000C3C1C"/>
    <w:rsid w:val="000C6A6F"/>
    <w:rsid w:val="000D219F"/>
    <w:rsid w:val="000E4994"/>
    <w:rsid w:val="000F540F"/>
    <w:rsid w:val="00105CFB"/>
    <w:rsid w:val="001072B6"/>
    <w:rsid w:val="00111250"/>
    <w:rsid w:val="00117D9F"/>
    <w:rsid w:val="001253AB"/>
    <w:rsid w:val="00125CD7"/>
    <w:rsid w:val="0012738A"/>
    <w:rsid w:val="00133C23"/>
    <w:rsid w:val="001415ED"/>
    <w:rsid w:val="001578AA"/>
    <w:rsid w:val="0016302B"/>
    <w:rsid w:val="001662DC"/>
    <w:rsid w:val="001743FC"/>
    <w:rsid w:val="00176AE9"/>
    <w:rsid w:val="00177307"/>
    <w:rsid w:val="00182F31"/>
    <w:rsid w:val="001A1D12"/>
    <w:rsid w:val="001A5770"/>
    <w:rsid w:val="001B2459"/>
    <w:rsid w:val="001D1D47"/>
    <w:rsid w:val="001D547D"/>
    <w:rsid w:val="001E5C22"/>
    <w:rsid w:val="001F1C00"/>
    <w:rsid w:val="001F550E"/>
    <w:rsid w:val="001F5BA2"/>
    <w:rsid w:val="001F5ED5"/>
    <w:rsid w:val="001F6640"/>
    <w:rsid w:val="00203333"/>
    <w:rsid w:val="00204A0D"/>
    <w:rsid w:val="00212CE5"/>
    <w:rsid w:val="0022379B"/>
    <w:rsid w:val="002244B7"/>
    <w:rsid w:val="00240E8A"/>
    <w:rsid w:val="00244F5C"/>
    <w:rsid w:val="002653DD"/>
    <w:rsid w:val="002726BD"/>
    <w:rsid w:val="00272D12"/>
    <w:rsid w:val="002744E9"/>
    <w:rsid w:val="00284FF7"/>
    <w:rsid w:val="00294318"/>
    <w:rsid w:val="002953C0"/>
    <w:rsid w:val="002C3C1F"/>
    <w:rsid w:val="0030134B"/>
    <w:rsid w:val="00304AAE"/>
    <w:rsid w:val="00306C32"/>
    <w:rsid w:val="0031376E"/>
    <w:rsid w:val="0031589B"/>
    <w:rsid w:val="00315D7E"/>
    <w:rsid w:val="0032562B"/>
    <w:rsid w:val="00327A3F"/>
    <w:rsid w:val="00331551"/>
    <w:rsid w:val="00336730"/>
    <w:rsid w:val="00357EBD"/>
    <w:rsid w:val="00377103"/>
    <w:rsid w:val="00390B1F"/>
    <w:rsid w:val="003A4C2A"/>
    <w:rsid w:val="003F6232"/>
    <w:rsid w:val="003F7498"/>
    <w:rsid w:val="004061EF"/>
    <w:rsid w:val="00423012"/>
    <w:rsid w:val="0042668C"/>
    <w:rsid w:val="004330E3"/>
    <w:rsid w:val="004354C2"/>
    <w:rsid w:val="00437176"/>
    <w:rsid w:val="004458C6"/>
    <w:rsid w:val="0047007E"/>
    <w:rsid w:val="00472EA8"/>
    <w:rsid w:val="004743E3"/>
    <w:rsid w:val="00476901"/>
    <w:rsid w:val="00476CD5"/>
    <w:rsid w:val="00480454"/>
    <w:rsid w:val="00480AE9"/>
    <w:rsid w:val="004826DA"/>
    <w:rsid w:val="004A2146"/>
    <w:rsid w:val="004A3C73"/>
    <w:rsid w:val="004B45E9"/>
    <w:rsid w:val="004C4A4D"/>
    <w:rsid w:val="004D131B"/>
    <w:rsid w:val="004D3A78"/>
    <w:rsid w:val="00502242"/>
    <w:rsid w:val="00502631"/>
    <w:rsid w:val="00520FF5"/>
    <w:rsid w:val="005223B9"/>
    <w:rsid w:val="00564947"/>
    <w:rsid w:val="00565D63"/>
    <w:rsid w:val="00567607"/>
    <w:rsid w:val="0057561B"/>
    <w:rsid w:val="00575C1D"/>
    <w:rsid w:val="005764CB"/>
    <w:rsid w:val="00595E22"/>
    <w:rsid w:val="005A53BC"/>
    <w:rsid w:val="005B215A"/>
    <w:rsid w:val="005B5C44"/>
    <w:rsid w:val="005C2429"/>
    <w:rsid w:val="005C639A"/>
    <w:rsid w:val="005D56F4"/>
    <w:rsid w:val="005E02EF"/>
    <w:rsid w:val="005F229A"/>
    <w:rsid w:val="005F46DB"/>
    <w:rsid w:val="00601FB5"/>
    <w:rsid w:val="006057CB"/>
    <w:rsid w:val="00614435"/>
    <w:rsid w:val="0061451D"/>
    <w:rsid w:val="006147B2"/>
    <w:rsid w:val="00631451"/>
    <w:rsid w:val="006400B7"/>
    <w:rsid w:val="00650E64"/>
    <w:rsid w:val="006606C3"/>
    <w:rsid w:val="00663B39"/>
    <w:rsid w:val="006729F2"/>
    <w:rsid w:val="006A1059"/>
    <w:rsid w:val="006B1EF6"/>
    <w:rsid w:val="006B6DEF"/>
    <w:rsid w:val="006D14F7"/>
    <w:rsid w:val="006E52A6"/>
    <w:rsid w:val="006F27D9"/>
    <w:rsid w:val="00717405"/>
    <w:rsid w:val="007358F1"/>
    <w:rsid w:val="007435DC"/>
    <w:rsid w:val="00747F4B"/>
    <w:rsid w:val="00777AFA"/>
    <w:rsid w:val="007C7BFA"/>
    <w:rsid w:val="007D0C3D"/>
    <w:rsid w:val="007E186D"/>
    <w:rsid w:val="007E56FC"/>
    <w:rsid w:val="007F27EC"/>
    <w:rsid w:val="00803E85"/>
    <w:rsid w:val="00811D94"/>
    <w:rsid w:val="00815E3D"/>
    <w:rsid w:val="008163BF"/>
    <w:rsid w:val="00825092"/>
    <w:rsid w:val="00841974"/>
    <w:rsid w:val="00861424"/>
    <w:rsid w:val="00861CFE"/>
    <w:rsid w:val="00864FC3"/>
    <w:rsid w:val="00874855"/>
    <w:rsid w:val="00877A4B"/>
    <w:rsid w:val="0088101D"/>
    <w:rsid w:val="00892F31"/>
    <w:rsid w:val="008A66C8"/>
    <w:rsid w:val="008B6BE2"/>
    <w:rsid w:val="008B7B28"/>
    <w:rsid w:val="008C72B5"/>
    <w:rsid w:val="008E41BB"/>
    <w:rsid w:val="008F6690"/>
    <w:rsid w:val="00904984"/>
    <w:rsid w:val="00911B26"/>
    <w:rsid w:val="00913E08"/>
    <w:rsid w:val="009216A1"/>
    <w:rsid w:val="00925400"/>
    <w:rsid w:val="00927548"/>
    <w:rsid w:val="00927F49"/>
    <w:rsid w:val="00936DF1"/>
    <w:rsid w:val="009455DC"/>
    <w:rsid w:val="00951EDE"/>
    <w:rsid w:val="00954048"/>
    <w:rsid w:val="00954B8B"/>
    <w:rsid w:val="009565A7"/>
    <w:rsid w:val="00994F12"/>
    <w:rsid w:val="009A01D7"/>
    <w:rsid w:val="009A1D8D"/>
    <w:rsid w:val="009C69CE"/>
    <w:rsid w:val="009D5865"/>
    <w:rsid w:val="009E0C0F"/>
    <w:rsid w:val="009E24D0"/>
    <w:rsid w:val="009E28A3"/>
    <w:rsid w:val="009F270E"/>
    <w:rsid w:val="009F3486"/>
    <w:rsid w:val="009F51C4"/>
    <w:rsid w:val="009F61C8"/>
    <w:rsid w:val="00A021A2"/>
    <w:rsid w:val="00A1735A"/>
    <w:rsid w:val="00A250AD"/>
    <w:rsid w:val="00A265C7"/>
    <w:rsid w:val="00A32B0F"/>
    <w:rsid w:val="00A341C1"/>
    <w:rsid w:val="00A41948"/>
    <w:rsid w:val="00A71650"/>
    <w:rsid w:val="00A731AB"/>
    <w:rsid w:val="00A81EF7"/>
    <w:rsid w:val="00A8475B"/>
    <w:rsid w:val="00A85C91"/>
    <w:rsid w:val="00A92F3B"/>
    <w:rsid w:val="00A945BB"/>
    <w:rsid w:val="00AA06DC"/>
    <w:rsid w:val="00AA668B"/>
    <w:rsid w:val="00AC3967"/>
    <w:rsid w:val="00AC3AAC"/>
    <w:rsid w:val="00AC5BC9"/>
    <w:rsid w:val="00AD2EF7"/>
    <w:rsid w:val="00AD73AD"/>
    <w:rsid w:val="00B0200C"/>
    <w:rsid w:val="00B26EAB"/>
    <w:rsid w:val="00B27810"/>
    <w:rsid w:val="00B6635C"/>
    <w:rsid w:val="00B67425"/>
    <w:rsid w:val="00B72D6F"/>
    <w:rsid w:val="00B73A44"/>
    <w:rsid w:val="00B77CE5"/>
    <w:rsid w:val="00B9760E"/>
    <w:rsid w:val="00BA0127"/>
    <w:rsid w:val="00BA4012"/>
    <w:rsid w:val="00BB025A"/>
    <w:rsid w:val="00BB0A9A"/>
    <w:rsid w:val="00BB1F78"/>
    <w:rsid w:val="00BE41F1"/>
    <w:rsid w:val="00C227B8"/>
    <w:rsid w:val="00C40898"/>
    <w:rsid w:val="00C5212D"/>
    <w:rsid w:val="00C547AA"/>
    <w:rsid w:val="00C6719D"/>
    <w:rsid w:val="00C8790C"/>
    <w:rsid w:val="00CA7414"/>
    <w:rsid w:val="00CC052B"/>
    <w:rsid w:val="00CD1962"/>
    <w:rsid w:val="00CE098C"/>
    <w:rsid w:val="00CE4E37"/>
    <w:rsid w:val="00D14B24"/>
    <w:rsid w:val="00D14F45"/>
    <w:rsid w:val="00D25707"/>
    <w:rsid w:val="00D405AF"/>
    <w:rsid w:val="00D41486"/>
    <w:rsid w:val="00D41EBC"/>
    <w:rsid w:val="00D45AC5"/>
    <w:rsid w:val="00D676FD"/>
    <w:rsid w:val="00D716E4"/>
    <w:rsid w:val="00D72083"/>
    <w:rsid w:val="00D8729E"/>
    <w:rsid w:val="00D9061F"/>
    <w:rsid w:val="00D910D9"/>
    <w:rsid w:val="00D93A81"/>
    <w:rsid w:val="00D96F91"/>
    <w:rsid w:val="00DA0A4F"/>
    <w:rsid w:val="00DA5579"/>
    <w:rsid w:val="00DB19CC"/>
    <w:rsid w:val="00DB3FD5"/>
    <w:rsid w:val="00DC6C5C"/>
    <w:rsid w:val="00DD7D8C"/>
    <w:rsid w:val="00DE3ECE"/>
    <w:rsid w:val="00DE54BB"/>
    <w:rsid w:val="00DE61A6"/>
    <w:rsid w:val="00DF6DDB"/>
    <w:rsid w:val="00E20877"/>
    <w:rsid w:val="00E25BAE"/>
    <w:rsid w:val="00E3364D"/>
    <w:rsid w:val="00E354B1"/>
    <w:rsid w:val="00E3594C"/>
    <w:rsid w:val="00E37385"/>
    <w:rsid w:val="00E40B66"/>
    <w:rsid w:val="00E5526A"/>
    <w:rsid w:val="00E64B83"/>
    <w:rsid w:val="00E65251"/>
    <w:rsid w:val="00E6670C"/>
    <w:rsid w:val="00E67CBC"/>
    <w:rsid w:val="00E72157"/>
    <w:rsid w:val="00E84A2B"/>
    <w:rsid w:val="00EA4928"/>
    <w:rsid w:val="00EB3CDA"/>
    <w:rsid w:val="00EC016D"/>
    <w:rsid w:val="00EC1727"/>
    <w:rsid w:val="00ED235F"/>
    <w:rsid w:val="00ED4531"/>
    <w:rsid w:val="00ED666E"/>
    <w:rsid w:val="00EE5024"/>
    <w:rsid w:val="00EE6E23"/>
    <w:rsid w:val="00EF003C"/>
    <w:rsid w:val="00EF0EE0"/>
    <w:rsid w:val="00EF4498"/>
    <w:rsid w:val="00EF647C"/>
    <w:rsid w:val="00F01F6C"/>
    <w:rsid w:val="00F04221"/>
    <w:rsid w:val="00F04AC2"/>
    <w:rsid w:val="00F07D12"/>
    <w:rsid w:val="00F21EEC"/>
    <w:rsid w:val="00F261B5"/>
    <w:rsid w:val="00F31D47"/>
    <w:rsid w:val="00F3392E"/>
    <w:rsid w:val="00F459E7"/>
    <w:rsid w:val="00F605E4"/>
    <w:rsid w:val="00F718C5"/>
    <w:rsid w:val="00F73E28"/>
    <w:rsid w:val="00F7482D"/>
    <w:rsid w:val="00F825DA"/>
    <w:rsid w:val="00F84A2A"/>
    <w:rsid w:val="00F8512C"/>
    <w:rsid w:val="00F9680A"/>
    <w:rsid w:val="00FA36E7"/>
    <w:rsid w:val="00FB1225"/>
    <w:rsid w:val="00FB20B8"/>
    <w:rsid w:val="00FB3752"/>
    <w:rsid w:val="00FB5715"/>
    <w:rsid w:val="00FC110C"/>
    <w:rsid w:val="00FC6C02"/>
    <w:rsid w:val="00FE4001"/>
    <w:rsid w:val="00FE4B57"/>
    <w:rsid w:val="00FE6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B42AB"/>
  <w15:chartTrackingRefBased/>
  <w15:docId w15:val="{24B1BEA5-E8DB-49CF-A785-E785A2E7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07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1BE"/>
  </w:style>
  <w:style w:type="paragraph" w:styleId="Footer">
    <w:name w:val="footer"/>
    <w:basedOn w:val="Normal"/>
    <w:link w:val="FooterChar"/>
    <w:uiPriority w:val="99"/>
    <w:unhideWhenUsed/>
    <w:rsid w:val="0007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1BE"/>
  </w:style>
  <w:style w:type="character" w:styleId="CommentReference">
    <w:name w:val="annotation reference"/>
    <w:basedOn w:val="DefaultParagraphFont"/>
    <w:uiPriority w:val="99"/>
    <w:semiHidden/>
    <w:unhideWhenUsed/>
    <w:rsid w:val="0030134B"/>
    <w:rPr>
      <w:sz w:val="16"/>
      <w:szCs w:val="16"/>
    </w:rPr>
  </w:style>
  <w:style w:type="paragraph" w:styleId="CommentText">
    <w:name w:val="annotation text"/>
    <w:basedOn w:val="Normal"/>
    <w:link w:val="CommentTextChar"/>
    <w:uiPriority w:val="99"/>
    <w:semiHidden/>
    <w:unhideWhenUsed/>
    <w:rsid w:val="0030134B"/>
    <w:pPr>
      <w:spacing w:line="240" w:lineRule="auto"/>
    </w:pPr>
    <w:rPr>
      <w:sz w:val="20"/>
      <w:szCs w:val="20"/>
    </w:rPr>
  </w:style>
  <w:style w:type="character" w:customStyle="1" w:styleId="CommentTextChar">
    <w:name w:val="Comment Text Char"/>
    <w:basedOn w:val="DefaultParagraphFont"/>
    <w:link w:val="CommentText"/>
    <w:uiPriority w:val="99"/>
    <w:semiHidden/>
    <w:rsid w:val="0030134B"/>
    <w:rPr>
      <w:sz w:val="20"/>
      <w:szCs w:val="20"/>
    </w:rPr>
  </w:style>
  <w:style w:type="paragraph" w:styleId="CommentSubject">
    <w:name w:val="annotation subject"/>
    <w:basedOn w:val="CommentText"/>
    <w:next w:val="CommentText"/>
    <w:link w:val="CommentSubjectChar"/>
    <w:uiPriority w:val="99"/>
    <w:semiHidden/>
    <w:unhideWhenUsed/>
    <w:rsid w:val="0030134B"/>
    <w:rPr>
      <w:b/>
      <w:bCs/>
    </w:rPr>
  </w:style>
  <w:style w:type="character" w:customStyle="1" w:styleId="CommentSubjectChar">
    <w:name w:val="Comment Subject Char"/>
    <w:basedOn w:val="CommentTextChar"/>
    <w:link w:val="CommentSubject"/>
    <w:uiPriority w:val="99"/>
    <w:semiHidden/>
    <w:rsid w:val="0030134B"/>
    <w:rPr>
      <w:b/>
      <w:bCs/>
      <w:sz w:val="20"/>
      <w:szCs w:val="20"/>
    </w:rPr>
  </w:style>
  <w:style w:type="paragraph" w:styleId="BalloonText">
    <w:name w:val="Balloon Text"/>
    <w:basedOn w:val="Normal"/>
    <w:link w:val="BalloonTextChar"/>
    <w:uiPriority w:val="99"/>
    <w:semiHidden/>
    <w:unhideWhenUsed/>
    <w:rsid w:val="00301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4B"/>
    <w:rPr>
      <w:rFonts w:ascii="Segoe UI" w:hAnsi="Segoe UI" w:cs="Segoe UI"/>
      <w:sz w:val="18"/>
      <w:szCs w:val="18"/>
    </w:rPr>
  </w:style>
  <w:style w:type="table" w:styleId="TableGrid">
    <w:name w:val="Table Grid"/>
    <w:basedOn w:val="TableNormal"/>
    <w:uiPriority w:val="39"/>
    <w:rsid w:val="00E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76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5C0F-605E-4D20-A37D-73070A392AF3}">
  <ds:schemaRefs>
    <ds:schemaRef ds:uri="http://schemas.microsoft.com/sharepoint/v3/contenttype/forms"/>
  </ds:schemaRefs>
</ds:datastoreItem>
</file>

<file path=customXml/itemProps2.xml><?xml version="1.0" encoding="utf-8"?>
<ds:datastoreItem xmlns:ds="http://schemas.openxmlformats.org/officeDocument/2006/customXml" ds:itemID="{6262239C-DD92-4B7A-BF06-BC975E30800F}">
  <ds:schemaRefs>
    <ds:schemaRef ds:uri="http://schemas.microsoft.com/office/2006/metadata/properties"/>
    <ds:schemaRef ds:uri="http://schemas.microsoft.com/office/infopath/2007/PartnerControls"/>
    <ds:schemaRef ds:uri="ca21212f-e4c4-415a-8df4-ebe100353d13"/>
  </ds:schemaRefs>
</ds:datastoreItem>
</file>

<file path=customXml/itemProps3.xml><?xml version="1.0" encoding="utf-8"?>
<ds:datastoreItem xmlns:ds="http://schemas.openxmlformats.org/officeDocument/2006/customXml" ds:itemID="{D57C1347-C7DE-4EF1-9749-F63739A0B5AF}">
  <ds:schemaRefs/>
</ds:datastoreItem>
</file>

<file path=customXml/itemProps4.xml><?xml version="1.0" encoding="utf-8"?>
<ds:datastoreItem xmlns:ds="http://schemas.openxmlformats.org/officeDocument/2006/customXml" ds:itemID="{944550D4-F1DE-4C01-99E9-31024B8863E4}">
  <ds:schemaRefs>
    <ds:schemaRef ds:uri="http://schemas.openxmlformats.org/officeDocument/2006/bibliography"/>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Vavra, Malissa C. (CJISD) (FBI)</cp:lastModifiedBy>
  <cp:revision>11</cp:revision>
  <cp:lastPrinted>2020-10-29T22:34:00Z</cp:lastPrinted>
  <dcterms:created xsi:type="dcterms:W3CDTF">2026-02-04T01:07:00Z</dcterms:created>
  <dcterms:modified xsi:type="dcterms:W3CDTF">2026-02-04T23:12:00Z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