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B537F" w:rsidRPr="00FB537F" w:rsidP="00FB537F" w14:paraId="2B9E84F9" w14:textId="77777777">
      <w:pPr>
        <w:pStyle w:val="Heading1"/>
        <w:rPr>
          <w:rFonts w:ascii="Times New Roman" w:hAnsi="Times New Roman" w:cs="Times New Roman"/>
        </w:rPr>
      </w:pPr>
      <w:r w:rsidRPr="00FB537F">
        <w:rPr>
          <w:rFonts w:ascii="Times New Roman" w:hAnsi="Times New Roman" w:cs="Times New Roman"/>
        </w:rPr>
        <w:t>The Electronic Code of Federal Regulations</w:t>
      </w:r>
    </w:p>
    <w:p w:rsidR="00FB537F" w:rsidRPr="00FB537F" w:rsidP="00FB537F" w14:paraId="7B601334" w14:textId="77777777">
      <w:pPr>
        <w:rPr>
          <w:rFonts w:ascii="Times New Roman" w:hAnsi="Times New Roman" w:cs="Times New Roman"/>
        </w:rPr>
      </w:pPr>
      <w:r w:rsidRPr="00FB537F">
        <w:rPr>
          <w:rFonts w:ascii="Times New Roman" w:hAnsi="Times New Roman" w:cs="Times New Roman"/>
        </w:rPr>
        <w:t> Title 2</w:t>
      </w:r>
    </w:p>
    <w:p w:rsidR="00FB537F" w:rsidRPr="00FB537F" w:rsidP="00FB537F" w14:paraId="2FCDAE6C" w14:textId="77777777">
      <w:pPr>
        <w:rPr>
          <w:rFonts w:ascii="Times New Roman" w:hAnsi="Times New Roman" w:cs="Times New Roman"/>
        </w:rPr>
      </w:pPr>
      <w:r w:rsidRPr="00FB537F">
        <w:rPr>
          <w:rFonts w:ascii="Times New Roman" w:hAnsi="Times New Roman" w:cs="Times New Roman"/>
        </w:rPr>
        <w:t>Displaying title 2, up to date as of 1/08/2026. Title 2 was last amended 10/01/2025.</w:t>
      </w:r>
    </w:p>
    <w:p w:rsidR="00FB537F" w:rsidRPr="00FB537F" w:rsidP="00FB537F" w14:paraId="0F754A7E" w14:textId="77777777">
      <w:pPr>
        <w:rPr>
          <w:rFonts w:ascii="Times New Roman" w:hAnsi="Times New Roman" w:cs="Times New Roman"/>
          <w:b/>
          <w:bCs/>
        </w:rPr>
      </w:pPr>
      <w:r w:rsidRPr="00FB537F">
        <w:rPr>
          <w:rFonts w:ascii="Times New Roman" w:hAnsi="Times New Roman" w:cs="Times New Roman"/>
          <w:b/>
          <w:bCs/>
        </w:rPr>
        <w:t>§ 200.329 Monitoring and reporting program performance.</w:t>
      </w:r>
    </w:p>
    <w:p w:rsidR="00FB537F" w:rsidRPr="00FB537F" w:rsidP="00FB537F" w14:paraId="21B77E5F" w14:textId="77777777">
      <w:pPr>
        <w:rPr>
          <w:rFonts w:ascii="Times New Roman" w:hAnsi="Times New Roman" w:cs="Times New Roman"/>
        </w:rPr>
      </w:pPr>
      <w:r w:rsidRPr="00FB537F">
        <w:rPr>
          <w:rFonts w:ascii="Times New Roman" w:hAnsi="Times New Roman" w:cs="Times New Roman"/>
        </w:rPr>
        <w:t>(a) </w:t>
      </w:r>
      <w:r w:rsidRPr="00FB537F">
        <w:rPr>
          <w:rFonts w:ascii="Times New Roman" w:hAnsi="Times New Roman" w:cs="Times New Roman"/>
          <w:i/>
          <w:iCs/>
        </w:rPr>
        <w:t>Monitoring by the recipient and subrecipient.</w:t>
      </w:r>
      <w:r w:rsidRPr="00FB537F">
        <w:rPr>
          <w:rFonts w:ascii="Times New Roman" w:hAnsi="Times New Roman" w:cs="Times New Roman"/>
        </w:rPr>
        <w:t> The recipient and subrecipient are responsible for the oversight of the Federal award. The recipient and subrecipient must monitor their activities under Federal awards to ensure they are compliant with all requirements and meeting performance expectations. Monitoring by the recipient and subrecipient must cover each program, function, or activity. See also </w:t>
      </w:r>
      <w:hyperlink r:id="rId4" w:history="1">
        <w:r w:rsidRPr="00FB537F">
          <w:rPr>
            <w:rStyle w:val="Hyperlink"/>
            <w:rFonts w:ascii="Times New Roman" w:hAnsi="Times New Roman" w:cs="Times New Roman"/>
          </w:rPr>
          <w:t>§ 200.332</w:t>
        </w:r>
      </w:hyperlink>
      <w:r w:rsidRPr="00FB537F">
        <w:rPr>
          <w:rFonts w:ascii="Times New Roman" w:hAnsi="Times New Roman" w:cs="Times New Roman"/>
        </w:rPr>
        <w:t>.</w:t>
      </w:r>
    </w:p>
    <w:p w:rsidR="00FB537F" w:rsidRPr="00FB537F" w:rsidP="00FB537F" w14:paraId="1777B7A4" w14:textId="77777777">
      <w:pPr>
        <w:rPr>
          <w:rFonts w:ascii="Times New Roman" w:hAnsi="Times New Roman" w:cs="Times New Roman"/>
        </w:rPr>
      </w:pPr>
      <w:r w:rsidRPr="00FB537F">
        <w:rPr>
          <w:rFonts w:ascii="Times New Roman" w:hAnsi="Times New Roman" w:cs="Times New Roman"/>
        </w:rPr>
        <w:t>(b) </w:t>
      </w:r>
      <w:r w:rsidRPr="00FB537F">
        <w:rPr>
          <w:rFonts w:ascii="Times New Roman" w:hAnsi="Times New Roman" w:cs="Times New Roman"/>
          <w:i/>
          <w:iCs/>
        </w:rPr>
        <w:t>Reporting program performance.</w:t>
      </w:r>
      <w:r w:rsidRPr="00FB537F">
        <w:rPr>
          <w:rFonts w:ascii="Times New Roman" w:hAnsi="Times New Roman" w:cs="Times New Roman"/>
        </w:rPr>
        <w:t> The Federal agency must use OMB-approved common information collections (for example, Research Performance Progress Reports) when requesting performance reporting information. The Federal agency or pass-through entity may not collect performance reports more frequently than quarterly unless a specific condition has been implemented in accordance with </w:t>
      </w:r>
      <w:hyperlink r:id="rId5" w:history="1">
        <w:r w:rsidRPr="00FB537F">
          <w:rPr>
            <w:rStyle w:val="Hyperlink"/>
            <w:rFonts w:ascii="Times New Roman" w:hAnsi="Times New Roman" w:cs="Times New Roman"/>
          </w:rPr>
          <w:t>§ 200.208</w:t>
        </w:r>
      </w:hyperlink>
      <w:r w:rsidRPr="00FB537F">
        <w:rPr>
          <w:rFonts w:ascii="Times New Roman" w:hAnsi="Times New Roman" w:cs="Times New Roman"/>
        </w:rPr>
        <w:t>. To the extent practicable, the Federal agency or pass-through entity should align the due dates of performance reports and financial reports. When reporting program performance, the recipient or subrecipient must relate financial data and project or program accomplishments to the performance goals and objectives of the Federal award. Also, the recipient or subrecipient must provide cost information to demonstrate cost-effective practices (for example, through unit cost data) when required by the terms and conditions of the Federal award. In some instances (for example, discretionary research awards), this may be limited to the requirement to submit technical performance reports. Reporting requirements must clearly indicate a standard against which the recipient's or subrecipient's performance can be measured. Reporting requirements should not solicit information from the recipient or subrecipient that is not necessary for the effective monitoring or evaluation of the Federal award. Federal agencies should consult monitoring framework documents such as the agency's Evaluation Plan to make that determination. As noted in OMB Circular A-11, Part 6, Section 280, measures of customer experience are of co-equal importance as traditional measures of financial and operational performance.</w:t>
      </w:r>
    </w:p>
    <w:p w:rsidR="00FB537F" w:rsidRPr="00FB537F" w:rsidP="00FB537F" w14:paraId="66CCB9BC" w14:textId="77777777">
      <w:pPr>
        <w:rPr>
          <w:rFonts w:ascii="Times New Roman" w:hAnsi="Times New Roman" w:cs="Times New Roman"/>
        </w:rPr>
      </w:pPr>
      <w:r w:rsidRPr="00FB537F">
        <w:rPr>
          <w:rFonts w:ascii="Times New Roman" w:hAnsi="Times New Roman" w:cs="Times New Roman"/>
        </w:rPr>
        <w:t>(c) </w:t>
      </w:r>
      <w:r w:rsidRPr="00FB537F">
        <w:rPr>
          <w:rFonts w:ascii="Times New Roman" w:hAnsi="Times New Roman" w:cs="Times New Roman"/>
          <w:i/>
          <w:iCs/>
        </w:rPr>
        <w:t>Submitting performance reports.</w:t>
      </w:r>
    </w:p>
    <w:p w:rsidR="00FB537F" w:rsidRPr="00FB537F" w:rsidP="00FB537F" w14:paraId="56FE531D" w14:textId="77777777">
      <w:pPr>
        <w:rPr>
          <w:rFonts w:ascii="Times New Roman" w:hAnsi="Times New Roman" w:cs="Times New Roman"/>
        </w:rPr>
      </w:pPr>
      <w:r w:rsidRPr="00FB537F">
        <w:rPr>
          <w:rFonts w:ascii="Times New Roman" w:hAnsi="Times New Roman" w:cs="Times New Roman"/>
        </w:rPr>
        <w:t>(1) The recipient or subrecipient must submit performance reports as required by the Federal award. Intervals must be no less frequent than annually nor more frequent than quarterly except if specific conditions are applied (See </w:t>
      </w:r>
      <w:hyperlink r:id="rId5" w:history="1">
        <w:r w:rsidRPr="00FB537F">
          <w:rPr>
            <w:rStyle w:val="Hyperlink"/>
            <w:rFonts w:ascii="Times New Roman" w:hAnsi="Times New Roman" w:cs="Times New Roman"/>
          </w:rPr>
          <w:t>§ 200.208</w:t>
        </w:r>
      </w:hyperlink>
      <w:r w:rsidRPr="00FB537F">
        <w:rPr>
          <w:rFonts w:ascii="Times New Roman" w:hAnsi="Times New Roman" w:cs="Times New Roman"/>
        </w:rPr>
        <w:t xml:space="preserve">). Reports submitted annually by the recipient or subrecipient must be due no later than 90 calendar days after the reporting period. Reports submitted quarterly or semiannually must be due no later than 30 calendar days after the reporting period. Alternatively, the Federal agency or pass-through entity may require annual </w:t>
      </w:r>
      <w:r w:rsidRPr="00FB537F">
        <w:rPr>
          <w:rFonts w:ascii="Times New Roman" w:hAnsi="Times New Roman" w:cs="Times New Roman"/>
        </w:rPr>
        <w:t>reports before the anniversary dates of multiple-year Federal awards. The final performance report submitted by the recipient must be due no later than 120 calendar days after the period of performance. A subrecipient must submit a final performance report to a pass-through entity no later than 90 calendar days after the conclusion of the period of performance. See also </w:t>
      </w:r>
      <w:hyperlink r:id="rId6" w:history="1">
        <w:r w:rsidRPr="00FB537F">
          <w:rPr>
            <w:rStyle w:val="Hyperlink"/>
            <w:rFonts w:ascii="Times New Roman" w:hAnsi="Times New Roman" w:cs="Times New Roman"/>
          </w:rPr>
          <w:t>§ 200.344</w:t>
        </w:r>
      </w:hyperlink>
      <w:r w:rsidRPr="00FB537F">
        <w:rPr>
          <w:rFonts w:ascii="Times New Roman" w:hAnsi="Times New Roman" w:cs="Times New Roman"/>
        </w:rPr>
        <w:t>. The Federal agency or pass-through entity may extend the due date for any performance report with justification from the recipient or subrecipient.</w:t>
      </w:r>
    </w:p>
    <w:p w:rsidR="00FB537F" w:rsidRPr="00FB537F" w:rsidP="00FB537F" w14:paraId="75C75600" w14:textId="77777777">
      <w:pPr>
        <w:rPr>
          <w:rFonts w:ascii="Times New Roman" w:hAnsi="Times New Roman" w:cs="Times New Roman"/>
        </w:rPr>
      </w:pPr>
      <w:r w:rsidRPr="00FB537F">
        <w:rPr>
          <w:rFonts w:ascii="Times New Roman" w:hAnsi="Times New Roman" w:cs="Times New Roman"/>
        </w:rPr>
        <w:t>(2) As applicable, performance reports should contain information on the following:</w:t>
      </w:r>
    </w:p>
    <w:p w:rsidR="00FB537F" w:rsidRPr="00FB537F" w:rsidP="00FB537F" w14:paraId="7B3B2F5D" w14:textId="77777777">
      <w:pPr>
        <w:rPr>
          <w:rFonts w:ascii="Times New Roman" w:hAnsi="Times New Roman" w:cs="Times New Roman"/>
        </w:rPr>
      </w:pPr>
      <w:r w:rsidRPr="00FB537F">
        <w:rPr>
          <w:rFonts w:ascii="Times New Roman" w:hAnsi="Times New Roman" w:cs="Times New Roman"/>
        </w:rPr>
        <w:t>(i) A comparison of accomplishments to the objectives of the Federal award established for the reporting period (for example, comparing costs to units of accomplishment). Where performance trend data and analysis would be informative to the Federal agency program, the Federal agency should include this as a performance reporting requirement.</w:t>
      </w:r>
    </w:p>
    <w:p w:rsidR="00FB537F" w:rsidRPr="00FB537F" w:rsidP="00FB537F" w14:paraId="2894FC3F" w14:textId="77777777">
      <w:pPr>
        <w:rPr>
          <w:rFonts w:ascii="Times New Roman" w:hAnsi="Times New Roman" w:cs="Times New Roman"/>
        </w:rPr>
      </w:pPr>
      <w:r w:rsidRPr="00FB537F">
        <w:rPr>
          <w:rFonts w:ascii="Times New Roman" w:hAnsi="Times New Roman" w:cs="Times New Roman"/>
        </w:rPr>
        <w:t>(ii) Explanations on why established goals or objectives were not met; and</w:t>
      </w:r>
    </w:p>
    <w:p w:rsidR="00FB537F" w:rsidRPr="00FB537F" w:rsidP="00FB537F" w14:paraId="769DC14B" w14:textId="77777777">
      <w:pPr>
        <w:rPr>
          <w:rFonts w:ascii="Times New Roman" w:hAnsi="Times New Roman" w:cs="Times New Roman"/>
        </w:rPr>
      </w:pPr>
      <w:r w:rsidRPr="00FB537F">
        <w:rPr>
          <w:rFonts w:ascii="Times New Roman" w:hAnsi="Times New Roman" w:cs="Times New Roman"/>
        </w:rPr>
        <w:t>(iii) Additional information, analysis, and explanation of cost overruns or higher-than-expected unit costs.</w:t>
      </w:r>
    </w:p>
    <w:p w:rsidR="00FB537F" w:rsidRPr="00FB537F" w:rsidP="00FB537F" w14:paraId="1D0D543B" w14:textId="77777777">
      <w:pPr>
        <w:rPr>
          <w:rFonts w:ascii="Times New Roman" w:hAnsi="Times New Roman" w:cs="Times New Roman"/>
        </w:rPr>
      </w:pPr>
      <w:r w:rsidRPr="00FB537F">
        <w:rPr>
          <w:rFonts w:ascii="Times New Roman" w:hAnsi="Times New Roman" w:cs="Times New Roman"/>
        </w:rPr>
        <w:t>(d) </w:t>
      </w:r>
      <w:r w:rsidRPr="00FB537F">
        <w:rPr>
          <w:rFonts w:ascii="Times New Roman" w:hAnsi="Times New Roman" w:cs="Times New Roman"/>
          <w:i/>
          <w:iCs/>
        </w:rPr>
        <w:t>Construction performance reports.</w:t>
      </w:r>
      <w:r w:rsidRPr="00FB537F">
        <w:rPr>
          <w:rFonts w:ascii="Times New Roman" w:hAnsi="Times New Roman" w:cs="Times New Roman"/>
        </w:rPr>
        <w:t> Federal agencies or pass-through entities rely on on-site technical inspections and certified percentage of completion data to monitor progress under Federal awards for construction. Therefore, the Federal agency or pass-through entity may require additional performance reports when necessary to ensure the goals and objectives of Federal awards are met.</w:t>
      </w:r>
    </w:p>
    <w:p w:rsidR="00FB537F" w:rsidRPr="00FB537F" w:rsidP="00FB537F" w14:paraId="23652A2F" w14:textId="77777777">
      <w:pPr>
        <w:rPr>
          <w:rFonts w:ascii="Times New Roman" w:hAnsi="Times New Roman" w:cs="Times New Roman"/>
        </w:rPr>
      </w:pPr>
      <w:r w:rsidRPr="00FB537F">
        <w:rPr>
          <w:rFonts w:ascii="Times New Roman" w:hAnsi="Times New Roman" w:cs="Times New Roman"/>
        </w:rPr>
        <w:t>(e) </w:t>
      </w:r>
      <w:r w:rsidRPr="00FB537F">
        <w:rPr>
          <w:rFonts w:ascii="Times New Roman" w:hAnsi="Times New Roman" w:cs="Times New Roman"/>
          <w:i/>
          <w:iCs/>
        </w:rPr>
        <w:t>Significant developments.</w:t>
      </w:r>
      <w:r w:rsidRPr="00FB537F">
        <w:rPr>
          <w:rFonts w:ascii="Times New Roman" w:hAnsi="Times New Roman" w:cs="Times New Roman"/>
        </w:rPr>
        <w:t> When a significant development that could impact the Federal award occurs between performance reporting due dates, the recipient or subrecipient must notify the Federal agency or pass-through entity. Significant developments include events that enable meeting milestones and objectives sooner or at less cost than anticipated or that produce different beneficial results than originally planned. Significant developments also include problems, delays, or adverse conditions which will impact the recipient's or subrecipient's ability to meet milestones or the objectives of the Federal award. When significant developments occur that negatively impact the Federal Award, the recipient or subrecipient must include information on their plan for corrective action and any assistance needed to resolve the situation.</w:t>
      </w:r>
    </w:p>
    <w:p w:rsidR="00FB537F" w:rsidRPr="00FB537F" w:rsidP="00FB537F" w14:paraId="7B10233D" w14:textId="77777777">
      <w:pPr>
        <w:rPr>
          <w:rFonts w:ascii="Times New Roman" w:hAnsi="Times New Roman" w:cs="Times New Roman"/>
        </w:rPr>
      </w:pPr>
      <w:r w:rsidRPr="00FB537F">
        <w:rPr>
          <w:rFonts w:ascii="Times New Roman" w:hAnsi="Times New Roman" w:cs="Times New Roman"/>
        </w:rPr>
        <w:t>(f) </w:t>
      </w:r>
      <w:r w:rsidRPr="00FB537F">
        <w:rPr>
          <w:rFonts w:ascii="Times New Roman" w:hAnsi="Times New Roman" w:cs="Times New Roman"/>
          <w:i/>
          <w:iCs/>
        </w:rPr>
        <w:t>Site visits.</w:t>
      </w:r>
      <w:r w:rsidRPr="00FB537F">
        <w:rPr>
          <w:rFonts w:ascii="Times New Roman" w:hAnsi="Times New Roman" w:cs="Times New Roman"/>
        </w:rPr>
        <w:t> The Federal agency or pass-through entity may conduct in-person or virtual site visits as warranted.</w:t>
      </w:r>
    </w:p>
    <w:p w:rsidR="00FB537F" w:rsidRPr="00FB537F" w:rsidP="00FB537F" w14:paraId="3524D705" w14:textId="77777777">
      <w:pPr>
        <w:rPr>
          <w:rFonts w:ascii="Times New Roman" w:hAnsi="Times New Roman" w:cs="Times New Roman"/>
        </w:rPr>
      </w:pPr>
      <w:r w:rsidRPr="00FB537F">
        <w:rPr>
          <w:rFonts w:ascii="Times New Roman" w:hAnsi="Times New Roman" w:cs="Times New Roman"/>
        </w:rPr>
        <w:t>(g) </w:t>
      </w:r>
      <w:r w:rsidRPr="00FB537F">
        <w:rPr>
          <w:rFonts w:ascii="Times New Roman" w:hAnsi="Times New Roman" w:cs="Times New Roman"/>
          <w:i/>
          <w:iCs/>
        </w:rPr>
        <w:t>Performance report requirement waiver.</w:t>
      </w:r>
      <w:r w:rsidRPr="00FB537F">
        <w:rPr>
          <w:rFonts w:ascii="Times New Roman" w:hAnsi="Times New Roman" w:cs="Times New Roman"/>
        </w:rPr>
        <w:t> The Federal agency may waive any performance report that is not necessary to ensure the goals and objectives of the Federal award are being achieved.</w:t>
      </w:r>
    </w:p>
    <w:p w:rsidR="0005333E" w:rsidRPr="00FB537F" w:rsidP="00FB537F" w14:paraId="03875413"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FC2A20"/>
    <w:multiLevelType w:val="multilevel"/>
    <w:tmpl w:val="85301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B04BB"/>
    <w:multiLevelType w:val="multilevel"/>
    <w:tmpl w:val="64AE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969AE"/>
    <w:multiLevelType w:val="multilevel"/>
    <w:tmpl w:val="32648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2271B4"/>
    <w:multiLevelType w:val="multilevel"/>
    <w:tmpl w:val="A03E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5512BF"/>
    <w:multiLevelType w:val="multilevel"/>
    <w:tmpl w:val="BD4E0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495E6B"/>
    <w:multiLevelType w:val="multilevel"/>
    <w:tmpl w:val="D73A7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44048A"/>
    <w:multiLevelType w:val="multilevel"/>
    <w:tmpl w:val="88B6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D412D5"/>
    <w:multiLevelType w:val="multilevel"/>
    <w:tmpl w:val="691A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512300"/>
    <w:multiLevelType w:val="multilevel"/>
    <w:tmpl w:val="E5D2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5B41AF"/>
    <w:multiLevelType w:val="multilevel"/>
    <w:tmpl w:val="4A0E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44AF4"/>
    <w:multiLevelType w:val="multilevel"/>
    <w:tmpl w:val="800E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4224E5"/>
    <w:multiLevelType w:val="multilevel"/>
    <w:tmpl w:val="3CD0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361883"/>
    <w:multiLevelType w:val="multilevel"/>
    <w:tmpl w:val="04EE6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A40DF7"/>
    <w:multiLevelType w:val="multilevel"/>
    <w:tmpl w:val="EAC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1F0031"/>
    <w:multiLevelType w:val="multilevel"/>
    <w:tmpl w:val="EDE06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D01AF"/>
    <w:multiLevelType w:val="multilevel"/>
    <w:tmpl w:val="A8CC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6087264">
    <w:abstractNumId w:val="0"/>
  </w:num>
  <w:num w:numId="2" w16cid:durableId="1018198492">
    <w:abstractNumId w:val="4"/>
  </w:num>
  <w:num w:numId="3" w16cid:durableId="177240780">
    <w:abstractNumId w:val="5"/>
  </w:num>
  <w:num w:numId="4" w16cid:durableId="1478572010">
    <w:abstractNumId w:val="8"/>
  </w:num>
  <w:num w:numId="5" w16cid:durableId="1856726764">
    <w:abstractNumId w:val="12"/>
  </w:num>
  <w:num w:numId="6" w16cid:durableId="900017036">
    <w:abstractNumId w:val="7"/>
  </w:num>
  <w:num w:numId="7" w16cid:durableId="1497652365">
    <w:abstractNumId w:val="15"/>
  </w:num>
  <w:num w:numId="8" w16cid:durableId="1311056332">
    <w:abstractNumId w:val="11"/>
  </w:num>
  <w:num w:numId="9" w16cid:durableId="509568449">
    <w:abstractNumId w:val="2"/>
  </w:num>
  <w:num w:numId="10" w16cid:durableId="530067247">
    <w:abstractNumId w:val="14"/>
  </w:num>
  <w:num w:numId="11" w16cid:durableId="1150172037">
    <w:abstractNumId w:val="13"/>
  </w:num>
  <w:num w:numId="12" w16cid:durableId="861019773">
    <w:abstractNumId w:val="1"/>
  </w:num>
  <w:num w:numId="13" w16cid:durableId="971786346">
    <w:abstractNumId w:val="10"/>
  </w:num>
  <w:num w:numId="14" w16cid:durableId="851803979">
    <w:abstractNumId w:val="9"/>
  </w:num>
  <w:num w:numId="15" w16cid:durableId="1695887306">
    <w:abstractNumId w:val="6"/>
  </w:num>
  <w:num w:numId="16" w16cid:durableId="2004313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E"/>
    <w:rsid w:val="0005333E"/>
    <w:rsid w:val="006F1423"/>
    <w:rsid w:val="00FA722F"/>
    <w:rsid w:val="00FB53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71FB5C"/>
  <w15:chartTrackingRefBased/>
  <w15:docId w15:val="{F8951FFA-A058-4621-8C1C-ACE3878E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33E"/>
    <w:rPr>
      <w:rFonts w:eastAsiaTheme="majorEastAsia" w:cstheme="majorBidi"/>
      <w:color w:val="272727" w:themeColor="text1" w:themeTint="D8"/>
    </w:rPr>
  </w:style>
  <w:style w:type="paragraph" w:styleId="Title">
    <w:name w:val="Title"/>
    <w:basedOn w:val="Normal"/>
    <w:next w:val="Normal"/>
    <w:link w:val="TitleChar"/>
    <w:uiPriority w:val="10"/>
    <w:qFormat/>
    <w:rsid w:val="00053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33E"/>
    <w:pPr>
      <w:spacing w:before="160"/>
      <w:jc w:val="center"/>
    </w:pPr>
    <w:rPr>
      <w:i/>
      <w:iCs/>
      <w:color w:val="404040" w:themeColor="text1" w:themeTint="BF"/>
    </w:rPr>
  </w:style>
  <w:style w:type="character" w:customStyle="1" w:styleId="QuoteChar">
    <w:name w:val="Quote Char"/>
    <w:basedOn w:val="DefaultParagraphFont"/>
    <w:link w:val="Quote"/>
    <w:uiPriority w:val="29"/>
    <w:rsid w:val="0005333E"/>
    <w:rPr>
      <w:i/>
      <w:iCs/>
      <w:color w:val="404040" w:themeColor="text1" w:themeTint="BF"/>
    </w:rPr>
  </w:style>
  <w:style w:type="paragraph" w:styleId="ListParagraph">
    <w:name w:val="List Paragraph"/>
    <w:basedOn w:val="Normal"/>
    <w:uiPriority w:val="34"/>
    <w:qFormat/>
    <w:rsid w:val="0005333E"/>
    <w:pPr>
      <w:ind w:left="720"/>
      <w:contextualSpacing/>
    </w:pPr>
  </w:style>
  <w:style w:type="character" w:styleId="IntenseEmphasis">
    <w:name w:val="Intense Emphasis"/>
    <w:basedOn w:val="DefaultParagraphFont"/>
    <w:uiPriority w:val="21"/>
    <w:qFormat/>
    <w:rsid w:val="0005333E"/>
    <w:rPr>
      <w:i/>
      <w:iCs/>
      <w:color w:val="0F4761" w:themeColor="accent1" w:themeShade="BF"/>
    </w:rPr>
  </w:style>
  <w:style w:type="paragraph" w:styleId="IntenseQuote">
    <w:name w:val="Intense Quote"/>
    <w:basedOn w:val="Normal"/>
    <w:next w:val="Normal"/>
    <w:link w:val="IntenseQuoteChar"/>
    <w:uiPriority w:val="30"/>
    <w:qFormat/>
    <w:rsid w:val="00053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33E"/>
    <w:rPr>
      <w:i/>
      <w:iCs/>
      <w:color w:val="0F4761" w:themeColor="accent1" w:themeShade="BF"/>
    </w:rPr>
  </w:style>
  <w:style w:type="character" w:styleId="IntenseReference">
    <w:name w:val="Intense Reference"/>
    <w:basedOn w:val="DefaultParagraphFont"/>
    <w:uiPriority w:val="32"/>
    <w:qFormat/>
    <w:rsid w:val="0005333E"/>
    <w:rPr>
      <w:b/>
      <w:bCs/>
      <w:smallCaps/>
      <w:color w:val="0F4761" w:themeColor="accent1" w:themeShade="BF"/>
      <w:spacing w:val="5"/>
    </w:rPr>
  </w:style>
  <w:style w:type="character" w:styleId="Hyperlink">
    <w:name w:val="Hyperlink"/>
    <w:basedOn w:val="DefaultParagraphFont"/>
    <w:uiPriority w:val="99"/>
    <w:unhideWhenUsed/>
    <w:rsid w:val="0005333E"/>
    <w:rPr>
      <w:color w:val="467886" w:themeColor="hyperlink"/>
      <w:u w:val="single"/>
    </w:rPr>
  </w:style>
  <w:style w:type="character" w:styleId="UnresolvedMention">
    <w:name w:val="Unresolved Mention"/>
    <w:basedOn w:val="DefaultParagraphFont"/>
    <w:uiPriority w:val="99"/>
    <w:semiHidden/>
    <w:unhideWhenUsed/>
    <w:rsid w:val="0005333E"/>
    <w:rPr>
      <w:color w:val="605E5C"/>
      <w:shd w:val="clear" w:color="auto" w:fill="E1DFDD"/>
    </w:rPr>
  </w:style>
  <w:style w:type="character" w:styleId="FollowedHyperlink">
    <w:name w:val="FollowedHyperlink"/>
    <w:basedOn w:val="DefaultParagraphFont"/>
    <w:uiPriority w:val="99"/>
    <w:semiHidden/>
    <w:unhideWhenUsed/>
    <w:rsid w:val="000533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section-200.332" TargetMode="External" /><Relationship Id="rId5" Type="http://schemas.openxmlformats.org/officeDocument/2006/relationships/hyperlink" Target="https://www.ecfr.gov/current/title-2/section-200.208" TargetMode="External" /><Relationship Id="rId6" Type="http://schemas.openxmlformats.org/officeDocument/2006/relationships/hyperlink" Target="https://www.ecfr.gov/current/title-2/section-200.344"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893</Words>
  <Characters>4987</Characters>
  <Application>Microsoft Office Word</Application>
  <DocSecurity>0</DocSecurity>
  <Lines>115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2</cp:revision>
  <dcterms:created xsi:type="dcterms:W3CDTF">2026-01-12T14:51:00Z</dcterms:created>
  <dcterms:modified xsi:type="dcterms:W3CDTF">2026-01-12T15:50:00Z</dcterms:modified>
</cp:coreProperties>
</file>