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1948" w:rsidRPr="001110DE" w14:paraId="226F1C8A" w14:textId="77777777">
      <w:pPr>
        <w:tabs>
          <w:tab w:val="center" w:pos="4680"/>
        </w:tabs>
        <w:rPr>
          <w:rFonts w:ascii="Times New Roman" w:hAnsi="Times New Roman"/>
          <w:b/>
        </w:rPr>
      </w:pPr>
      <w:r>
        <w:rPr>
          <w:rFonts w:ascii="Berylium" w:hAnsi="Berylium" w:cs="Berylium"/>
          <w:b/>
          <w:bCs/>
        </w:rPr>
        <w:tab/>
      </w:r>
      <w:r w:rsidRPr="001110DE">
        <w:rPr>
          <w:rFonts w:ascii="Times New Roman" w:hAnsi="Times New Roman"/>
          <w:b/>
        </w:rPr>
        <w:t>SUPPORTING STATEMENT</w:t>
      </w:r>
    </w:p>
    <w:p w:rsidR="008C459E" w:rsidRPr="001110DE" w:rsidP="001110DE" w14:paraId="63538026" w14:textId="26ABC870">
      <w:pPr>
        <w:tabs>
          <w:tab w:val="center" w:pos="4680"/>
        </w:tabs>
        <w:jc w:val="center"/>
        <w:rPr>
          <w:rFonts w:ascii="Times New Roman" w:hAnsi="Times New Roman"/>
          <w:bCs/>
        </w:rPr>
      </w:pPr>
      <w:r w:rsidRPr="001110DE">
        <w:rPr>
          <w:rFonts w:ascii="Times New Roman" w:hAnsi="Times New Roman"/>
          <w:bCs/>
        </w:rPr>
        <w:t>Internal Revenue Service</w:t>
      </w:r>
      <w:r w:rsidR="00867664">
        <w:rPr>
          <w:rFonts w:ascii="Times New Roman" w:hAnsi="Times New Roman"/>
          <w:bCs/>
        </w:rPr>
        <w:t xml:space="preserve"> (IRS)</w:t>
      </w:r>
    </w:p>
    <w:p w:rsidR="008C459E" w:rsidRPr="001110DE" w:rsidP="008C459E" w14:paraId="15680FD8" w14:textId="77777777">
      <w:pPr>
        <w:tabs>
          <w:tab w:val="center" w:pos="4680"/>
        </w:tabs>
        <w:jc w:val="center"/>
        <w:rPr>
          <w:rFonts w:ascii="Times New Roman" w:hAnsi="Times New Roman"/>
          <w:bCs/>
        </w:rPr>
      </w:pPr>
      <w:r w:rsidRPr="001110DE">
        <w:rPr>
          <w:rFonts w:ascii="Times New Roman" w:hAnsi="Times New Roman"/>
          <w:bCs/>
        </w:rPr>
        <w:t xml:space="preserve">Estate and Gift </w:t>
      </w:r>
      <w:r w:rsidRPr="001110DE" w:rsidR="008B4377">
        <w:rPr>
          <w:rFonts w:ascii="Times New Roman" w:hAnsi="Times New Roman"/>
          <w:bCs/>
        </w:rPr>
        <w:t>T</w:t>
      </w:r>
      <w:r w:rsidRPr="001110DE">
        <w:rPr>
          <w:rFonts w:ascii="Times New Roman" w:hAnsi="Times New Roman"/>
          <w:bCs/>
        </w:rPr>
        <w:t>axes; Qualified Disclaimers of Property</w:t>
      </w:r>
    </w:p>
    <w:p w:rsidR="00736C4D" w:rsidRPr="001110DE" w:rsidP="00736C4D" w14:paraId="5434835F" w14:textId="77777777">
      <w:pPr>
        <w:tabs>
          <w:tab w:val="center" w:pos="4680"/>
        </w:tabs>
        <w:jc w:val="center"/>
        <w:rPr>
          <w:rFonts w:ascii="Times New Roman" w:hAnsi="Times New Roman"/>
          <w:b/>
        </w:rPr>
      </w:pPr>
      <w:r w:rsidRPr="001110DE">
        <w:rPr>
          <w:rFonts w:ascii="Times New Roman" w:hAnsi="Times New Roman"/>
          <w:bCs/>
        </w:rPr>
        <w:t xml:space="preserve">OMB Control No. </w:t>
      </w:r>
      <w:r w:rsidRPr="001110DE">
        <w:rPr>
          <w:rFonts w:ascii="Times New Roman" w:hAnsi="Times New Roman"/>
          <w:b/>
        </w:rPr>
        <w:t>1545-0959</w:t>
      </w:r>
    </w:p>
    <w:p w:rsidR="00A31948" w:rsidRPr="001110DE" w14:paraId="29445012" w14:textId="77777777">
      <w:pPr>
        <w:rPr>
          <w:rFonts w:ascii="Times New Roman" w:hAnsi="Times New Roman"/>
          <w:bCs/>
        </w:rPr>
      </w:pPr>
    </w:p>
    <w:p w:rsidR="00A31948" w:rsidRPr="001110DE" w14:paraId="3CC08B85" w14:textId="77777777">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CIRCUMSTANCES NECESSITATING COLLECTION OF INFORMATION</w:t>
      </w:r>
    </w:p>
    <w:p w:rsidR="00A31948" w:rsidRPr="001110DE" w14:paraId="41B54402" w14:textId="77777777">
      <w:pPr>
        <w:rPr>
          <w:rFonts w:ascii="Times New Roman" w:hAnsi="Times New Roman"/>
        </w:rPr>
      </w:pPr>
    </w:p>
    <w:p w:rsidR="00A31948" w:rsidRPr="001110DE" w14:paraId="61FEE0A2" w14:textId="3E28035B">
      <w:pPr>
        <w:ind w:left="720"/>
        <w:rPr>
          <w:rFonts w:ascii="Times New Roman" w:hAnsi="Times New Roman"/>
        </w:rPr>
      </w:pPr>
      <w:r w:rsidRPr="001110DE">
        <w:rPr>
          <w:rFonts w:ascii="Times New Roman" w:hAnsi="Times New Roman"/>
        </w:rPr>
        <w:t>Internal Revenue Code (IRC) Section 2518 governs qualified disclaimers, allowing individuals to refuse an inheritance or gift of property without being treated as having received it for federal tax purposes.</w:t>
      </w:r>
    </w:p>
    <w:p w:rsidR="00A31948" w:rsidRPr="001110DE" w14:paraId="09FC93E0" w14:textId="77777777">
      <w:pPr>
        <w:rPr>
          <w:rFonts w:ascii="Times New Roman" w:hAnsi="Times New Roman"/>
        </w:rPr>
      </w:pPr>
    </w:p>
    <w:p w:rsidR="00BF2DAD" w14:paraId="25DFA0BD" w14:textId="10948C14">
      <w:pPr>
        <w:ind w:left="720"/>
        <w:rPr>
          <w:rFonts w:ascii="Times New Roman" w:hAnsi="Times New Roman"/>
        </w:rPr>
      </w:pPr>
      <w:r>
        <w:rPr>
          <w:rFonts w:ascii="Times New Roman" w:hAnsi="Times New Roman"/>
        </w:rPr>
        <w:t xml:space="preserve">TD 8095 </w:t>
      </w:r>
      <w:r w:rsidRPr="00BF2DAD">
        <w:rPr>
          <w:rFonts w:ascii="Times New Roman" w:hAnsi="Times New Roman"/>
        </w:rPr>
        <w:t xml:space="preserve">contains </w:t>
      </w:r>
      <w:r>
        <w:rPr>
          <w:rFonts w:ascii="Times New Roman" w:hAnsi="Times New Roman"/>
        </w:rPr>
        <w:t xml:space="preserve">the </w:t>
      </w:r>
      <w:r w:rsidRPr="00BF2DAD">
        <w:rPr>
          <w:rFonts w:ascii="Times New Roman" w:hAnsi="Times New Roman"/>
        </w:rPr>
        <w:t>final regulations relating to the disclaimer of property transferred by gift or inheritance.</w:t>
      </w:r>
      <w:r>
        <w:rPr>
          <w:rFonts w:ascii="Times New Roman" w:hAnsi="Times New Roman"/>
        </w:rPr>
        <w:t xml:space="preserve">  </w:t>
      </w:r>
      <w:r w:rsidRPr="00BF2DAD">
        <w:rPr>
          <w:rFonts w:ascii="Times New Roman" w:hAnsi="Times New Roman"/>
        </w:rPr>
        <w:t>These regulations</w:t>
      </w:r>
      <w:r>
        <w:rPr>
          <w:rFonts w:ascii="Times New Roman" w:hAnsi="Times New Roman"/>
        </w:rPr>
        <w:t xml:space="preserve"> </w:t>
      </w:r>
      <w:r w:rsidRPr="00BF2DAD">
        <w:rPr>
          <w:rFonts w:ascii="Times New Roman" w:hAnsi="Times New Roman"/>
        </w:rPr>
        <w:t>provide necessary guidance to the public for compliance with the law and affect</w:t>
      </w:r>
      <w:r>
        <w:rPr>
          <w:rFonts w:ascii="Times New Roman" w:hAnsi="Times New Roman"/>
        </w:rPr>
        <w:t xml:space="preserve"> </w:t>
      </w:r>
      <w:r w:rsidRPr="00BF2DAD">
        <w:rPr>
          <w:rFonts w:ascii="Times New Roman" w:hAnsi="Times New Roman"/>
        </w:rPr>
        <w:t>those persons who disclaim an interest in property</w:t>
      </w:r>
      <w:r>
        <w:rPr>
          <w:rFonts w:ascii="Times New Roman" w:hAnsi="Times New Roman"/>
        </w:rPr>
        <w:t xml:space="preserve">.  </w:t>
      </w:r>
    </w:p>
    <w:p w:rsidR="00BB5D24" w:rsidP="00BB5D24" w14:paraId="1EA9DB51" w14:textId="0294DA21">
      <w:pPr>
        <w:ind w:left="720"/>
        <w:rPr>
          <w:rFonts w:ascii="Times New Roman" w:hAnsi="Times New Roman"/>
        </w:rPr>
      </w:pPr>
      <w:r>
        <w:rPr>
          <w:rFonts w:ascii="Times New Roman" w:hAnsi="Times New Roman"/>
        </w:rPr>
        <w:t>Treasury regulations s</w:t>
      </w:r>
      <w:r w:rsidRPr="001110DE">
        <w:rPr>
          <w:rFonts w:ascii="Times New Roman" w:hAnsi="Times New Roman"/>
        </w:rPr>
        <w:t>ection 25.2518</w:t>
      </w:r>
      <w:r w:rsidRPr="001110DE">
        <w:rPr>
          <w:rFonts w:ascii="Times New Roman" w:hAnsi="Times New Roman"/>
        </w:rPr>
        <w:noBreakHyphen/>
        <w:t>1 through 25.2518</w:t>
      </w:r>
      <w:r w:rsidRPr="001110DE">
        <w:rPr>
          <w:rFonts w:ascii="Times New Roman" w:hAnsi="Times New Roman"/>
        </w:rPr>
        <w:noBreakHyphen/>
        <w:t>3 provide guidance needed to comply with the law.</w:t>
      </w:r>
      <w:r>
        <w:rPr>
          <w:rFonts w:ascii="Times New Roman" w:hAnsi="Times New Roman"/>
        </w:rPr>
        <w:t xml:space="preserve">  </w:t>
      </w:r>
    </w:p>
    <w:p w:rsidR="00BF2DAD" w14:paraId="54788D70" w14:textId="754F69A5">
      <w:pPr>
        <w:ind w:left="720"/>
        <w:rPr>
          <w:rFonts w:ascii="Times New Roman" w:hAnsi="Times New Roman"/>
        </w:rPr>
      </w:pPr>
    </w:p>
    <w:p w:rsidR="00220E73" w:rsidRPr="001110DE" w14:paraId="0124D3AC" w14:textId="2B897C76">
      <w:pPr>
        <w:ind w:left="720"/>
        <w:rPr>
          <w:rFonts w:ascii="Times New Roman" w:hAnsi="Times New Roman"/>
        </w:rPr>
      </w:pPr>
      <w:r w:rsidRPr="007B7711">
        <w:rPr>
          <w:rFonts w:ascii="Times New Roman" w:hAnsi="Times New Roman"/>
        </w:rPr>
        <w:t xml:space="preserve">This request is being submitted to renew the OMB </w:t>
      </w:r>
      <w:r>
        <w:rPr>
          <w:rFonts w:ascii="Times New Roman" w:hAnsi="Times New Roman"/>
        </w:rPr>
        <w:t>approval.</w:t>
      </w:r>
    </w:p>
    <w:p w:rsidR="00A31948" w:rsidRPr="001110DE" w14:paraId="579128DB" w14:textId="77777777">
      <w:pPr>
        <w:rPr>
          <w:rFonts w:ascii="Times New Roman" w:hAnsi="Times New Roman"/>
        </w:rPr>
      </w:pPr>
    </w:p>
    <w:p w:rsidR="00A31948" w:rsidRPr="001110DE" w14:paraId="76D93AF6" w14:textId="77777777">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USE OF DATA</w:t>
      </w:r>
      <w:r w:rsidRPr="001110DE">
        <w:rPr>
          <w:rFonts w:ascii="Times New Roman" w:hAnsi="Times New Roman"/>
        </w:rPr>
        <w:t xml:space="preserve">              </w:t>
      </w:r>
    </w:p>
    <w:p w:rsidR="00A31948" w:rsidRPr="001110DE" w14:paraId="06B7F4AB" w14:textId="77777777">
      <w:pPr>
        <w:rPr>
          <w:rFonts w:ascii="Times New Roman" w:hAnsi="Times New Roman"/>
        </w:rPr>
      </w:pPr>
    </w:p>
    <w:p w:rsidR="00A31948" w:rsidRPr="001110DE" w14:paraId="5A31FCFE" w14:textId="1EBDAFA3">
      <w:pPr>
        <w:ind w:left="720"/>
        <w:rPr>
          <w:rFonts w:ascii="Times New Roman" w:hAnsi="Times New Roman"/>
        </w:rPr>
      </w:pPr>
      <w:r w:rsidRPr="00867664">
        <w:rPr>
          <w:rFonts w:ascii="Times New Roman" w:hAnsi="Times New Roman"/>
        </w:rPr>
        <w:t xml:space="preserve">The IRS verifies Section 2518 disclaimers to ensure they meet the criteria </w:t>
      </w:r>
      <w:r w:rsidRPr="00867664" w:rsidR="00BF2DAD">
        <w:rPr>
          <w:rFonts w:ascii="Times New Roman" w:hAnsi="Times New Roman"/>
        </w:rPr>
        <w:t>for</w:t>
      </w:r>
      <w:r w:rsidRPr="00867664">
        <w:rPr>
          <w:rFonts w:ascii="Times New Roman" w:hAnsi="Times New Roman"/>
        </w:rPr>
        <w:t xml:space="preserve"> "qualified disclaimers" for federal estate, gift, and generation-skipping transfer tax purposes.</w:t>
      </w:r>
    </w:p>
    <w:p w:rsidR="00A31948" w:rsidRPr="001110DE" w14:paraId="4AC370F1" w14:textId="77777777">
      <w:pPr>
        <w:rPr>
          <w:rFonts w:ascii="Times New Roman" w:hAnsi="Times New Roman"/>
        </w:rPr>
      </w:pPr>
      <w:r w:rsidRPr="001110DE">
        <w:rPr>
          <w:rFonts w:ascii="Times New Roman" w:hAnsi="Times New Roman"/>
        </w:rPr>
        <w:t xml:space="preserve">               </w:t>
      </w:r>
    </w:p>
    <w:p w:rsidR="00A31948" w:rsidRPr="001110DE" w14:paraId="46D0B121" w14:textId="77777777">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USE OF IMPROVED INFORMATION TECHNOLOGY TO REDUCE BURDEN</w:t>
      </w:r>
    </w:p>
    <w:p w:rsidR="00A31948" w:rsidRPr="001110DE" w14:paraId="4F282830" w14:textId="77777777">
      <w:pPr>
        <w:rPr>
          <w:rFonts w:ascii="Times New Roman" w:hAnsi="Times New Roman"/>
        </w:rPr>
      </w:pPr>
    </w:p>
    <w:p w:rsidR="00A31948" w:rsidRPr="001110DE" w14:paraId="529A942D" w14:textId="193EBFAE">
      <w:pPr>
        <w:ind w:left="720"/>
        <w:rPr>
          <w:rFonts w:ascii="Times New Roman" w:hAnsi="Times New Roman"/>
        </w:rPr>
      </w:pPr>
      <w:r w:rsidRPr="00867664">
        <w:rPr>
          <w:rFonts w:ascii="Times New Roman" w:hAnsi="Times New Roman"/>
        </w:rPr>
        <w:t xml:space="preserve">The written disclaimer must be delivered to the person controlling the property, such as the executor or trustee. </w:t>
      </w:r>
      <w:r w:rsidRPr="001110DE" w:rsidR="00220E73">
        <w:rPr>
          <w:rFonts w:ascii="Times New Roman" w:hAnsi="Times New Roman"/>
        </w:rPr>
        <w:t>IRS has no plans to offer electronic filing</w:t>
      </w:r>
      <w:r>
        <w:rPr>
          <w:rFonts w:ascii="Times New Roman" w:hAnsi="Times New Roman"/>
        </w:rPr>
        <w:t>.</w:t>
      </w:r>
      <w:r w:rsidRPr="001110DE" w:rsidR="00220E73">
        <w:rPr>
          <w:rFonts w:ascii="Times New Roman" w:hAnsi="Times New Roman"/>
        </w:rPr>
        <w:t xml:space="preserve"> </w:t>
      </w:r>
    </w:p>
    <w:p w:rsidR="00A31948" w:rsidRPr="001110DE" w14:paraId="0F335AEB" w14:textId="77777777">
      <w:pPr>
        <w:rPr>
          <w:rFonts w:ascii="Times New Roman" w:hAnsi="Times New Roman"/>
        </w:rPr>
      </w:pPr>
    </w:p>
    <w:p w:rsidR="00A31948" w:rsidRPr="001110DE" w14:paraId="4033914F" w14:textId="77777777">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EFFORTS TO IDENTIFY DUPLICATION</w:t>
      </w:r>
    </w:p>
    <w:p w:rsidR="00A31948" w:rsidRPr="001110DE" w14:paraId="155A566C" w14:textId="77777777">
      <w:pPr>
        <w:rPr>
          <w:rFonts w:ascii="Times New Roman" w:hAnsi="Times New Roman"/>
        </w:rPr>
      </w:pPr>
    </w:p>
    <w:p w:rsidR="00A31948" w:rsidRPr="001110DE" w14:paraId="45B23517" w14:textId="77777777">
      <w:pPr>
        <w:ind w:left="720"/>
        <w:rPr>
          <w:rFonts w:ascii="Times New Roman" w:hAnsi="Times New Roman"/>
        </w:rPr>
      </w:pPr>
      <w:r w:rsidRPr="001110DE">
        <w:rPr>
          <w:rFonts w:ascii="Times New Roman" w:hAnsi="Times New Roman"/>
        </w:rPr>
        <w:t xml:space="preserve">The information </w:t>
      </w:r>
      <w:r w:rsidRPr="001110DE" w:rsidR="00C46769">
        <w:rPr>
          <w:rFonts w:ascii="Times New Roman" w:hAnsi="Times New Roman"/>
        </w:rPr>
        <w:t xml:space="preserve">obtained through this collection is unique and is not already available for use or adaptation from another source. </w:t>
      </w:r>
      <w:r w:rsidRPr="001110DE">
        <w:rPr>
          <w:rFonts w:ascii="Times New Roman" w:hAnsi="Times New Roman"/>
        </w:rPr>
        <w:t xml:space="preserve"> </w:t>
      </w:r>
    </w:p>
    <w:p w:rsidR="00A31948" w:rsidRPr="001110DE" w14:paraId="60AB949C" w14:textId="77777777">
      <w:pPr>
        <w:rPr>
          <w:rFonts w:ascii="Times New Roman" w:hAnsi="Times New Roman"/>
        </w:rPr>
      </w:pPr>
    </w:p>
    <w:p w:rsidR="00A31948" w:rsidRPr="001110DE" w14:paraId="31711C09" w14:textId="07E1008B">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METHODS TO MINIMIZE BURDEN ON SMALL BUSINESSES OR OTHER</w:t>
      </w:r>
      <w:r w:rsidRPr="001110DE" w:rsidR="001E587D">
        <w:rPr>
          <w:rFonts w:ascii="Times New Roman" w:hAnsi="Times New Roman"/>
          <w:u w:val="single"/>
        </w:rPr>
        <w:t xml:space="preserve"> </w:t>
      </w:r>
      <w:r w:rsidRPr="001110DE">
        <w:rPr>
          <w:rFonts w:ascii="Times New Roman" w:hAnsi="Times New Roman"/>
          <w:u w:val="single"/>
        </w:rPr>
        <w:t>SMALL ENTITIES</w:t>
      </w:r>
    </w:p>
    <w:p w:rsidR="00A31948" w:rsidRPr="001110DE" w:rsidP="008C459E" w14:paraId="5B4D464E" w14:textId="77777777">
      <w:pPr>
        <w:ind w:left="720"/>
        <w:rPr>
          <w:rFonts w:ascii="Times New Roman" w:hAnsi="Times New Roman"/>
        </w:rPr>
      </w:pPr>
    </w:p>
    <w:p w:rsidR="008C459E" w:rsidRPr="001110DE" w:rsidP="00A9194E" w14:paraId="3E8F11A7" w14:textId="36151C6F">
      <w:pPr>
        <w:tabs>
          <w:tab w:val="left" w:pos="-1440"/>
        </w:tabs>
        <w:ind w:left="720"/>
        <w:rPr>
          <w:rFonts w:ascii="Times New Roman" w:hAnsi="Times New Roman"/>
        </w:rPr>
      </w:pPr>
      <w:r w:rsidRPr="001110DE">
        <w:rPr>
          <w:rFonts w:ascii="Times New Roman" w:hAnsi="Times New Roman"/>
        </w:rPr>
        <w:t>Th</w:t>
      </w:r>
      <w:r w:rsidRPr="001110DE" w:rsidR="00C46769">
        <w:rPr>
          <w:rFonts w:ascii="Times New Roman" w:hAnsi="Times New Roman"/>
        </w:rPr>
        <w:t>e</w:t>
      </w:r>
      <w:r w:rsidRPr="001110DE">
        <w:rPr>
          <w:rFonts w:ascii="Times New Roman" w:hAnsi="Times New Roman"/>
        </w:rPr>
        <w:t xml:space="preserve"> collection of information </w:t>
      </w:r>
      <w:r w:rsidRPr="001110DE" w:rsidR="00C46769">
        <w:rPr>
          <w:rFonts w:ascii="Times New Roman" w:hAnsi="Times New Roman"/>
        </w:rPr>
        <w:t>under this collection has minimal to no burden on smal</w:t>
      </w:r>
      <w:r w:rsidRPr="001110DE">
        <w:rPr>
          <w:rFonts w:ascii="Times New Roman" w:hAnsi="Times New Roman"/>
        </w:rPr>
        <w:t>l</w:t>
      </w:r>
      <w:r w:rsidRPr="001110DE" w:rsidR="00C46769">
        <w:rPr>
          <w:rFonts w:ascii="Times New Roman" w:hAnsi="Times New Roman"/>
        </w:rPr>
        <w:t xml:space="preserve"> businesses or entities due to the inapplicability of the authorizing statue under section 2518 to this type of entity.</w:t>
      </w:r>
    </w:p>
    <w:p w:rsidR="00A31948" w:rsidRPr="001110DE" w14:paraId="11A4FC0D" w14:textId="77777777">
      <w:pPr>
        <w:rPr>
          <w:rFonts w:ascii="Times New Roman" w:hAnsi="Times New Roman"/>
        </w:rPr>
      </w:pPr>
    </w:p>
    <w:p w:rsidR="00A31948" w:rsidRPr="001110DE" w14:paraId="01664409" w14:textId="77777777">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CONSEQUENCES OF LESS FREQUENT COLLECTION ON FEDERAL PROGRAMS OR POLICY ACTIVITIES</w:t>
      </w:r>
    </w:p>
    <w:p w:rsidR="00A31948" w:rsidRPr="001110DE" w14:paraId="4B4CC16B" w14:textId="77777777">
      <w:pPr>
        <w:rPr>
          <w:rFonts w:ascii="Times New Roman" w:hAnsi="Times New Roman"/>
        </w:rPr>
      </w:pPr>
    </w:p>
    <w:p w:rsidR="00867664" w:rsidP="00867664" w14:paraId="27B58E22" w14:textId="2E737A76">
      <w:pPr>
        <w:ind w:left="720"/>
        <w:rPr>
          <w:rFonts w:ascii="Times New Roman" w:hAnsi="Times New Roman"/>
        </w:rPr>
      </w:pPr>
      <w:r w:rsidRPr="001110DE">
        <w:rPr>
          <w:rFonts w:ascii="Times New Roman" w:hAnsi="Times New Roman"/>
        </w:rPr>
        <w:t xml:space="preserve">Consequences of less frequent collection could </w:t>
      </w:r>
      <w:r w:rsidRPr="001110DE" w:rsidR="007F43B1">
        <w:rPr>
          <w:rFonts w:ascii="Times New Roman" w:hAnsi="Times New Roman"/>
        </w:rPr>
        <w:t xml:space="preserve">adversely affect the IRS </w:t>
      </w:r>
      <w:r>
        <w:rPr>
          <w:rFonts w:ascii="Times New Roman" w:hAnsi="Times New Roman"/>
        </w:rPr>
        <w:t xml:space="preserve">ability to verify the accuracy of the disclaimer.  </w:t>
      </w:r>
      <w:r w:rsidRPr="00867664">
        <w:rPr>
          <w:rFonts w:ascii="Times New Roman" w:hAnsi="Times New Roman"/>
        </w:rPr>
        <w:t xml:space="preserve">If a disclaimer doesn't meet the requirements for a </w:t>
      </w:r>
      <w:r w:rsidRPr="00867664">
        <w:rPr>
          <w:rFonts w:ascii="Times New Roman" w:hAnsi="Times New Roman"/>
        </w:rPr>
        <w:t>qualified disclaimer, the intended donee might be treated for federal tax purposes as having accepted the gift and then made a gift to the next recipient, potentially impacting their unified federal gift and estate tax exemption.</w:t>
      </w:r>
    </w:p>
    <w:p w:rsidR="00BF2DAD" w:rsidRPr="001110DE" w:rsidP="00867664" w14:paraId="3D0EAABA" w14:textId="77777777">
      <w:pPr>
        <w:ind w:left="720"/>
        <w:rPr>
          <w:rFonts w:ascii="Times New Roman" w:hAnsi="Times New Roman"/>
        </w:rPr>
      </w:pPr>
    </w:p>
    <w:p w:rsidR="00A31948" w:rsidRPr="001110DE" w14:paraId="040383C0" w14:textId="62F09368">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SPECIAL CIRCUMSTANCES REQUIRING DATA COLLECTION TO BE</w:t>
      </w:r>
      <w:r w:rsidRPr="001110DE" w:rsidR="001E587D">
        <w:rPr>
          <w:rFonts w:ascii="Times New Roman" w:hAnsi="Times New Roman"/>
          <w:u w:val="single"/>
        </w:rPr>
        <w:t xml:space="preserve"> </w:t>
      </w:r>
      <w:r w:rsidRPr="001110DE">
        <w:rPr>
          <w:rFonts w:ascii="Times New Roman" w:hAnsi="Times New Roman"/>
          <w:u w:val="single"/>
        </w:rPr>
        <w:t>INCONSISTENT WITH GUIDELINES IN 5 CFR 1320.5(d)(2)</w:t>
      </w:r>
    </w:p>
    <w:p w:rsidR="00A31948" w:rsidRPr="001110DE" w14:paraId="15E1FF25" w14:textId="77777777">
      <w:pPr>
        <w:rPr>
          <w:rFonts w:ascii="Times New Roman" w:hAnsi="Times New Roman"/>
        </w:rPr>
      </w:pPr>
    </w:p>
    <w:p w:rsidR="002634C7" w:rsidRPr="001110DE" w:rsidP="00A9194E" w14:paraId="1A05F03B" w14:textId="4253E8C1">
      <w:pPr>
        <w:tabs>
          <w:tab w:val="left" w:pos="-1440"/>
        </w:tabs>
        <w:ind w:left="720"/>
        <w:rPr>
          <w:rFonts w:ascii="Times New Roman" w:hAnsi="Times New Roman"/>
        </w:rPr>
      </w:pPr>
      <w:r w:rsidRPr="001110DE">
        <w:rPr>
          <w:rFonts w:ascii="Times New Roman" w:hAnsi="Times New Roman"/>
        </w:rPr>
        <w:t>There are no special circumstances requiring date collection to be inconsistent with Guidelines in 5 CFR 1320.5(d)(2).</w:t>
      </w:r>
    </w:p>
    <w:p w:rsidR="00EC01C5" w:rsidRPr="001110DE" w14:paraId="70DDCD57" w14:textId="77777777">
      <w:pPr>
        <w:rPr>
          <w:rFonts w:ascii="Times New Roman" w:hAnsi="Times New Roman"/>
        </w:rPr>
      </w:pPr>
    </w:p>
    <w:p w:rsidR="00A31948" w:rsidRPr="001110DE" w14:paraId="081B6E82" w14:textId="77777777">
      <w:pPr>
        <w:rPr>
          <w:rFonts w:ascii="Times New Roman" w:hAnsi="Times New Roman"/>
        </w:rPr>
        <w:sectPr>
          <w:pgSz w:w="12240" w:h="15840"/>
          <w:pgMar w:top="1440" w:right="1440" w:bottom="1440" w:left="1440" w:header="1440" w:footer="1440" w:gutter="0"/>
          <w:cols w:space="720"/>
          <w:noEndnote/>
        </w:sectPr>
      </w:pPr>
    </w:p>
    <w:p w:rsidR="00A31948" w:rsidRPr="001110DE" w14:paraId="1F6B13EC" w14:textId="494C8C41">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CONSULTATION WITH INDIVIDUALS OUTSIDE OF THE AGENCY ON</w:t>
      </w:r>
      <w:r w:rsidRPr="001110DE" w:rsidR="001E587D">
        <w:rPr>
          <w:rFonts w:ascii="Times New Roman" w:hAnsi="Times New Roman"/>
          <w:u w:val="single"/>
        </w:rPr>
        <w:t xml:space="preserve"> </w:t>
      </w:r>
      <w:r w:rsidRPr="001110DE">
        <w:rPr>
          <w:rFonts w:ascii="Times New Roman" w:hAnsi="Times New Roman"/>
          <w:u w:val="single"/>
        </w:rPr>
        <w:t>AVAILABILITY OF DATA, FREQUENCY OF COLLECTION, CLARITY OF INSTRUCTIONS AND FORMS, AND DATA ELEMENTS</w:t>
      </w:r>
    </w:p>
    <w:p w:rsidR="00A31948" w:rsidRPr="001110DE" w:rsidP="00A5101A" w14:paraId="69E7FC07" w14:textId="77777777">
      <w:pPr>
        <w:ind w:left="720"/>
        <w:rPr>
          <w:rFonts w:ascii="Times New Roman" w:hAnsi="Times New Roman"/>
        </w:rPr>
      </w:pPr>
    </w:p>
    <w:p w:rsidR="00A31948" w:rsidRPr="001110DE" w14:paraId="66553EFE" w14:textId="0963A3C5">
      <w:pPr>
        <w:ind w:left="720"/>
        <w:rPr>
          <w:rFonts w:ascii="Times New Roman" w:hAnsi="Times New Roman"/>
        </w:rPr>
      </w:pPr>
      <w:r w:rsidRPr="001110DE">
        <w:rPr>
          <w:rFonts w:ascii="Times New Roman" w:hAnsi="Times New Roman"/>
        </w:rPr>
        <w:t>In response to the</w:t>
      </w:r>
      <w:r w:rsidRPr="001110DE">
        <w:rPr>
          <w:rFonts w:ascii="Times New Roman" w:hAnsi="Times New Roman"/>
          <w:bCs/>
        </w:rPr>
        <w:t xml:space="preserve"> </w:t>
      </w:r>
      <w:r w:rsidRPr="001110DE">
        <w:rPr>
          <w:rFonts w:ascii="Times New Roman" w:hAnsi="Times New Roman"/>
          <w:bCs/>
          <w:i/>
        </w:rPr>
        <w:t>Federal Register</w:t>
      </w:r>
      <w:r w:rsidRPr="001110DE">
        <w:rPr>
          <w:rFonts w:ascii="Times New Roman" w:hAnsi="Times New Roman"/>
        </w:rPr>
        <w:t xml:space="preserve"> notice dated </w:t>
      </w:r>
      <w:r w:rsidR="00867664">
        <w:rPr>
          <w:rFonts w:ascii="Times New Roman" w:hAnsi="Times New Roman"/>
        </w:rPr>
        <w:t xml:space="preserve">December </w:t>
      </w:r>
      <w:r w:rsidR="00BF2DAD">
        <w:rPr>
          <w:rFonts w:ascii="Times New Roman" w:hAnsi="Times New Roman"/>
        </w:rPr>
        <w:t>18</w:t>
      </w:r>
      <w:r w:rsidRPr="001110DE" w:rsidR="00891A52">
        <w:rPr>
          <w:rFonts w:ascii="Times New Roman" w:hAnsi="Times New Roman"/>
        </w:rPr>
        <w:t>,</w:t>
      </w:r>
      <w:r w:rsidRPr="001110DE">
        <w:rPr>
          <w:rFonts w:ascii="Times New Roman" w:hAnsi="Times New Roman"/>
        </w:rPr>
        <w:t xml:space="preserve"> </w:t>
      </w:r>
      <w:r w:rsidRPr="001110DE" w:rsidR="00891A52">
        <w:rPr>
          <w:rFonts w:ascii="Times New Roman" w:hAnsi="Times New Roman"/>
        </w:rPr>
        <w:t>20</w:t>
      </w:r>
      <w:r w:rsidRPr="001110DE" w:rsidR="001F1C32">
        <w:rPr>
          <w:rFonts w:ascii="Times New Roman" w:hAnsi="Times New Roman"/>
        </w:rPr>
        <w:t>2</w:t>
      </w:r>
      <w:r w:rsidR="00867664">
        <w:rPr>
          <w:rFonts w:ascii="Times New Roman" w:hAnsi="Times New Roman"/>
        </w:rPr>
        <w:t>5</w:t>
      </w:r>
      <w:r w:rsidRPr="001110DE" w:rsidR="0018787E">
        <w:rPr>
          <w:rFonts w:ascii="Times New Roman" w:hAnsi="Times New Roman"/>
        </w:rPr>
        <w:t xml:space="preserve">, </w:t>
      </w:r>
      <w:r w:rsidRPr="001110DE" w:rsidR="001A609B">
        <w:rPr>
          <w:rFonts w:ascii="Times New Roman" w:hAnsi="Times New Roman"/>
        </w:rPr>
        <w:t>(</w:t>
      </w:r>
      <w:r w:rsidR="00867664">
        <w:rPr>
          <w:rFonts w:ascii="Times New Roman" w:hAnsi="Times New Roman"/>
        </w:rPr>
        <w:t>90</w:t>
      </w:r>
      <w:r w:rsidRPr="001110DE" w:rsidR="0070085D">
        <w:rPr>
          <w:rFonts w:ascii="Times New Roman" w:hAnsi="Times New Roman"/>
        </w:rPr>
        <w:t xml:space="preserve"> </w:t>
      </w:r>
      <w:r w:rsidRPr="001110DE">
        <w:rPr>
          <w:rFonts w:ascii="Times New Roman" w:hAnsi="Times New Roman"/>
        </w:rPr>
        <w:t xml:space="preserve">FR </w:t>
      </w:r>
      <w:r w:rsidR="00BF2DAD">
        <w:rPr>
          <w:rFonts w:ascii="Times New Roman" w:hAnsi="Times New Roman"/>
        </w:rPr>
        <w:t>59323</w:t>
      </w:r>
      <w:r w:rsidRPr="001110DE" w:rsidR="001A609B">
        <w:rPr>
          <w:rFonts w:ascii="Times New Roman" w:hAnsi="Times New Roman"/>
        </w:rPr>
        <w:t>)</w:t>
      </w:r>
      <w:r w:rsidRPr="001110DE">
        <w:rPr>
          <w:rFonts w:ascii="Times New Roman" w:hAnsi="Times New Roman"/>
        </w:rPr>
        <w:t xml:space="preserve">, we received no comments during the comment period regarding </w:t>
      </w:r>
      <w:r w:rsidR="00EC5637">
        <w:rPr>
          <w:rFonts w:ascii="Times New Roman" w:hAnsi="Times New Roman"/>
        </w:rPr>
        <w:t>this collection.</w:t>
      </w:r>
      <w:r w:rsidRPr="001110DE">
        <w:rPr>
          <w:rFonts w:ascii="Times New Roman" w:hAnsi="Times New Roman"/>
        </w:rPr>
        <w:t xml:space="preserve"> </w:t>
      </w:r>
    </w:p>
    <w:p w:rsidR="00A31948" w:rsidRPr="001110DE" w14:paraId="6F5E94AD" w14:textId="77777777">
      <w:pPr>
        <w:tabs>
          <w:tab w:val="center" w:pos="4680"/>
        </w:tabs>
        <w:rPr>
          <w:rFonts w:ascii="Times New Roman" w:hAnsi="Times New Roman"/>
        </w:rPr>
      </w:pPr>
      <w:r w:rsidRPr="001110DE">
        <w:rPr>
          <w:rFonts w:ascii="Times New Roman" w:hAnsi="Times New Roman"/>
        </w:rPr>
        <w:tab/>
        <w:t xml:space="preserve"> </w:t>
      </w:r>
    </w:p>
    <w:p w:rsidR="00A31948" w:rsidRPr="001110DE" w14:paraId="1A7A9B19" w14:textId="18AD75C7">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EXPLANATION OF DECISION TO PROVIDE ANY PAYMENT OR GIFT TO</w:t>
      </w:r>
      <w:r w:rsidRPr="001110DE" w:rsidR="001E587D">
        <w:rPr>
          <w:rFonts w:ascii="Times New Roman" w:hAnsi="Times New Roman"/>
          <w:u w:val="single"/>
        </w:rPr>
        <w:t xml:space="preserve"> </w:t>
      </w:r>
      <w:r w:rsidRPr="001110DE">
        <w:rPr>
          <w:rFonts w:ascii="Times New Roman" w:hAnsi="Times New Roman"/>
          <w:u w:val="single"/>
        </w:rPr>
        <w:t>RESPONDENTS</w:t>
      </w:r>
    </w:p>
    <w:p w:rsidR="00A31948" w:rsidRPr="001110DE" w14:paraId="6C9CD76F" w14:textId="77777777">
      <w:pPr>
        <w:rPr>
          <w:rFonts w:ascii="Times New Roman" w:hAnsi="Times New Roman"/>
        </w:rPr>
      </w:pPr>
    </w:p>
    <w:p w:rsidR="00A31948" w:rsidRPr="001110DE" w14:paraId="5801B6DB" w14:textId="77777777">
      <w:pPr>
        <w:ind w:left="720"/>
        <w:rPr>
          <w:rFonts w:ascii="Times New Roman" w:hAnsi="Times New Roman"/>
        </w:rPr>
      </w:pPr>
      <w:r w:rsidRPr="001110DE">
        <w:rPr>
          <w:rFonts w:ascii="Times New Roman" w:hAnsi="Times New Roman"/>
        </w:rPr>
        <w:t>No payment or gift has been provided to any respondents.</w:t>
      </w:r>
    </w:p>
    <w:p w:rsidR="00A31948" w:rsidRPr="001110DE" w14:paraId="54D0E160" w14:textId="77777777">
      <w:pPr>
        <w:rPr>
          <w:rFonts w:ascii="Times New Roman" w:hAnsi="Times New Roman"/>
        </w:rPr>
      </w:pPr>
    </w:p>
    <w:p w:rsidR="00A31948" w:rsidRPr="001110DE" w14:paraId="6C62F657" w14:textId="77777777">
      <w:pPr>
        <w:pStyle w:val="Level1"/>
        <w:numPr>
          <w:ilvl w:val="0"/>
          <w:numId w:val="1"/>
        </w:numPr>
        <w:tabs>
          <w:tab w:val="left" w:pos="-1440"/>
          <w:tab w:val="num" w:pos="720"/>
        </w:tabs>
        <w:rPr>
          <w:rFonts w:ascii="Times New Roman" w:hAnsi="Times New Roman"/>
        </w:rPr>
      </w:pPr>
      <w:r w:rsidRPr="001110DE">
        <w:rPr>
          <w:rFonts w:ascii="Times New Roman" w:hAnsi="Times New Roman"/>
          <w:u w:val="single"/>
        </w:rPr>
        <w:t>ASSURANCE OF CONFIDENTIALITY OF RESPONSES</w:t>
      </w:r>
    </w:p>
    <w:p w:rsidR="00A31948" w:rsidRPr="001110DE" w14:paraId="2B9158F9" w14:textId="77777777">
      <w:pPr>
        <w:rPr>
          <w:rFonts w:ascii="Times New Roman" w:hAnsi="Times New Roman"/>
        </w:rPr>
      </w:pPr>
    </w:p>
    <w:p w:rsidR="00A31948" w:rsidRPr="001110DE" w14:paraId="020F1B8E" w14:textId="77777777">
      <w:pPr>
        <w:ind w:left="720"/>
        <w:rPr>
          <w:rFonts w:ascii="Times New Roman" w:hAnsi="Times New Roman"/>
        </w:rPr>
      </w:pPr>
      <w:r w:rsidRPr="001110DE">
        <w:rPr>
          <w:rFonts w:ascii="Times New Roman" w:hAnsi="Times New Roman"/>
        </w:rPr>
        <w:t>Generally, tax returns and tax return information are confidential as required by 26 USC 6103.</w:t>
      </w:r>
    </w:p>
    <w:p w:rsidR="00A31948" w:rsidRPr="001110DE" w14:paraId="18A0DAEC" w14:textId="77777777">
      <w:pPr>
        <w:rPr>
          <w:rFonts w:ascii="Times New Roman" w:hAnsi="Times New Roman"/>
        </w:rPr>
      </w:pPr>
    </w:p>
    <w:p w:rsidR="00A31948" w:rsidRPr="001110DE" w14:paraId="6DFB5C63" w14:textId="77777777">
      <w:pPr>
        <w:pStyle w:val="Level1"/>
        <w:numPr>
          <w:ilvl w:val="0"/>
          <w:numId w:val="1"/>
        </w:numPr>
        <w:tabs>
          <w:tab w:val="left" w:pos="-1440"/>
          <w:tab w:val="num" w:pos="720"/>
        </w:tabs>
        <w:rPr>
          <w:rFonts w:ascii="Times New Roman" w:hAnsi="Times New Roman"/>
          <w:u w:val="single"/>
        </w:rPr>
      </w:pPr>
      <w:r w:rsidRPr="001110DE">
        <w:rPr>
          <w:rFonts w:ascii="Times New Roman" w:hAnsi="Times New Roman"/>
          <w:u w:val="single"/>
        </w:rPr>
        <w:t>JUSTIFICATION OF SENSITIVE QUESTIONS</w:t>
      </w:r>
    </w:p>
    <w:p w:rsidR="00A31948" w:rsidRPr="001110DE" w14:paraId="5F142BD6" w14:textId="77777777">
      <w:pPr>
        <w:rPr>
          <w:rFonts w:ascii="Times New Roman" w:hAnsi="Times New Roman"/>
          <w:u w:val="single"/>
        </w:rPr>
      </w:pPr>
    </w:p>
    <w:p w:rsidR="0018787E" w:rsidRPr="001110DE" w:rsidP="0018787E" w14:paraId="23E2A3E9" w14:textId="77777777">
      <w:pPr>
        <w:ind w:left="720"/>
        <w:rPr>
          <w:rStyle w:val="Hyperlink"/>
          <w:rFonts w:ascii="Times New Roman" w:hAnsi="Times New Roman"/>
        </w:rPr>
      </w:pPr>
      <w:r w:rsidRPr="001110DE">
        <w:rPr>
          <w:rFonts w:ascii="Times New Roman" w:hAnsi="Times New Roman"/>
        </w:rPr>
        <w:t xml:space="preserve">A privacy impact assessment (PIA) has been conducted for information collected under this request as part of the “Business Master file (BMF)” and a Privacy Act System of Records notice (SORN) has been issued for these systems under </w:t>
      </w:r>
      <w:r w:rsidRPr="001110DE">
        <w:rPr>
          <w:rFonts w:ascii="Times New Roman" w:hAnsi="Times New Roman"/>
          <w:color w:val="000000"/>
        </w:rPr>
        <w:t>IRS 22.062 – Electronic Filing Records; IRS 24.0</w:t>
      </w:r>
      <w:r w:rsidRPr="001110DE">
        <w:rPr>
          <w:rFonts w:ascii="Times New Roman" w:hAnsi="Times New Roman"/>
          <w:color w:val="1F497D"/>
        </w:rPr>
        <w:t>30</w:t>
      </w:r>
      <w:r w:rsidRPr="001110DE">
        <w:rPr>
          <w:rFonts w:ascii="Times New Roman" w:hAnsi="Times New Roman"/>
          <w:color w:val="000000"/>
        </w:rPr>
        <w:t xml:space="preserve"> – Customer Account Data Engine (CADE) Individual Master File; IRS 24.046 - CADE Business Master File (BMF);IRS 34.0</w:t>
      </w:r>
      <w:r w:rsidRPr="001110DE">
        <w:rPr>
          <w:rFonts w:ascii="Times New Roman" w:hAnsi="Times New Roman"/>
          <w:color w:val="1F497D"/>
        </w:rPr>
        <w:t>3</w:t>
      </w:r>
      <w:r w:rsidRPr="001110DE">
        <w:rPr>
          <w:rFonts w:ascii="Times New Roman" w:hAnsi="Times New Roman"/>
          <w:color w:val="000000"/>
        </w:rPr>
        <w:t xml:space="preserve">7 - IRS Audit Trail and Security Records System. </w:t>
      </w:r>
      <w:r w:rsidRPr="001110DE">
        <w:rPr>
          <w:rFonts w:ascii="Times New Roman" w:hAnsi="Times New Roman"/>
        </w:rPr>
        <w:t xml:space="preserve">The Internal Revenue Service PIA’s can be found at </w:t>
      </w:r>
      <w:hyperlink r:id="rId4" w:history="1">
        <w:r w:rsidRPr="001110DE">
          <w:rPr>
            <w:rStyle w:val="Hyperlink"/>
            <w:rFonts w:ascii="Times New Roman" w:hAnsi="Times New Roman"/>
          </w:rPr>
          <w:t>http://www.irs.gov/uac/Privacy-Impact-Assessments-PIA</w:t>
        </w:r>
      </w:hyperlink>
      <w:r w:rsidRPr="001110DE">
        <w:rPr>
          <w:rFonts w:ascii="Times New Roman" w:hAnsi="Times New Roman"/>
        </w:rPr>
        <w:t>.</w:t>
      </w:r>
    </w:p>
    <w:p w:rsidR="0018787E" w:rsidRPr="001110DE" w:rsidP="0018787E" w14:paraId="48B6DC17" w14:textId="77777777">
      <w:pPr>
        <w:ind w:left="720"/>
        <w:rPr>
          <w:rStyle w:val="Hyperlink"/>
          <w:rFonts w:ascii="Times New Roman" w:hAnsi="Times New Roman"/>
        </w:rPr>
      </w:pPr>
    </w:p>
    <w:p w:rsidR="0018787E" w:rsidRPr="001110DE" w:rsidP="0018787E" w14:paraId="2A262BE8" w14:textId="77777777">
      <w:pPr>
        <w:ind w:left="720"/>
        <w:rPr>
          <w:rStyle w:val="Hyperlink"/>
          <w:rFonts w:ascii="Times New Roman" w:hAnsi="Times New Roman"/>
        </w:rPr>
      </w:pPr>
      <w:r w:rsidRPr="001110DE">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31948" w:rsidRPr="001110DE" w:rsidP="0018787E" w14:paraId="156F3D0C" w14:textId="77777777">
      <w:pPr>
        <w:ind w:left="720"/>
        <w:rPr>
          <w:rFonts w:ascii="Times New Roman" w:hAnsi="Times New Roman"/>
        </w:rPr>
      </w:pPr>
    </w:p>
    <w:p w:rsidR="00A31948" w:rsidRPr="001110DE" w14:paraId="688E6E71" w14:textId="77777777">
      <w:pPr>
        <w:rPr>
          <w:rFonts w:ascii="Times New Roman" w:hAnsi="Times New Roman"/>
          <w:u w:val="single"/>
        </w:rPr>
      </w:pPr>
      <w:r w:rsidRPr="001110DE">
        <w:rPr>
          <w:rFonts w:ascii="Times New Roman" w:hAnsi="Times New Roman"/>
        </w:rPr>
        <w:t xml:space="preserve">12.  </w:t>
      </w:r>
      <w:r w:rsidRPr="001110DE" w:rsidR="00F04E9D">
        <w:rPr>
          <w:rFonts w:ascii="Times New Roman" w:hAnsi="Times New Roman"/>
        </w:rPr>
        <w:t xml:space="preserve">   </w:t>
      </w:r>
      <w:r w:rsidRPr="001110DE">
        <w:rPr>
          <w:rFonts w:ascii="Times New Roman" w:hAnsi="Times New Roman"/>
          <w:u w:val="single"/>
        </w:rPr>
        <w:t>ESTIMATED BURDEN OF INFORMATION COLLECTION</w:t>
      </w:r>
    </w:p>
    <w:p w:rsidR="00A31948" w:rsidRPr="001110DE" w14:paraId="3B2FCE40" w14:textId="77777777">
      <w:pPr>
        <w:rPr>
          <w:rFonts w:ascii="Times New Roman" w:hAnsi="Times New Roman"/>
          <w:u w:val="single"/>
        </w:rPr>
      </w:pPr>
    </w:p>
    <w:p w:rsidR="00EC5637" w:rsidRPr="00EC5637" w:rsidP="00EC5637" w14:paraId="3AB902FD" w14:textId="15F2ECBE">
      <w:pPr>
        <w:ind w:left="720"/>
        <w:rPr>
          <w:rFonts w:ascii="Times New Roman" w:hAnsi="Times New Roman"/>
        </w:rPr>
      </w:pPr>
      <w:r w:rsidRPr="00EC5637">
        <w:rPr>
          <w:rFonts w:ascii="Times New Roman" w:hAnsi="Times New Roman"/>
        </w:rPr>
        <w:t xml:space="preserve">To ensure </w:t>
      </w:r>
      <w:r>
        <w:rPr>
          <w:rFonts w:ascii="Times New Roman" w:hAnsi="Times New Roman"/>
        </w:rPr>
        <w:t>the</w:t>
      </w:r>
      <w:r w:rsidRPr="00EC5637">
        <w:rPr>
          <w:rFonts w:ascii="Times New Roman" w:hAnsi="Times New Roman"/>
        </w:rPr>
        <w:t xml:space="preserve"> disclaimer is legally valid, it must generally meet </w:t>
      </w:r>
      <w:r>
        <w:rPr>
          <w:rFonts w:ascii="Times New Roman" w:hAnsi="Times New Roman"/>
        </w:rPr>
        <w:t xml:space="preserve">the following </w:t>
      </w:r>
      <w:r w:rsidRPr="00EC5637">
        <w:rPr>
          <w:rFonts w:ascii="Times New Roman" w:hAnsi="Times New Roman"/>
        </w:rPr>
        <w:t xml:space="preserve">requirements: </w:t>
      </w:r>
    </w:p>
    <w:p w:rsidR="00EC5637" w:rsidP="00EC5637" w14:paraId="66B47608" w14:textId="77777777">
      <w:pPr>
        <w:pStyle w:val="ListParagraph"/>
        <w:numPr>
          <w:ilvl w:val="0"/>
          <w:numId w:val="3"/>
        </w:numPr>
        <w:rPr>
          <w:rFonts w:ascii="Times New Roman" w:hAnsi="Times New Roman"/>
        </w:rPr>
      </w:pPr>
      <w:r w:rsidRPr="00EC5637">
        <w:rPr>
          <w:rFonts w:ascii="Times New Roman" w:hAnsi="Times New Roman"/>
          <w:b/>
          <w:bCs/>
        </w:rPr>
        <w:t>In writing</w:t>
      </w:r>
      <w:r w:rsidRPr="00EC5637">
        <w:rPr>
          <w:rFonts w:ascii="Times New Roman" w:hAnsi="Times New Roman"/>
        </w:rPr>
        <w:t>: The refusal must be formally documented.</w:t>
      </w:r>
    </w:p>
    <w:p w:rsidR="00EC5637" w:rsidRPr="00EC5637" w:rsidP="00EC5637" w14:paraId="3420EDBE" w14:textId="4176F467">
      <w:pPr>
        <w:pStyle w:val="ListParagraph"/>
        <w:numPr>
          <w:ilvl w:val="0"/>
          <w:numId w:val="3"/>
        </w:numPr>
        <w:rPr>
          <w:rFonts w:ascii="Times New Roman" w:hAnsi="Times New Roman"/>
        </w:rPr>
      </w:pPr>
      <w:r w:rsidRPr="00EC5637">
        <w:rPr>
          <w:rFonts w:ascii="Times New Roman" w:hAnsi="Times New Roman"/>
          <w:b/>
          <w:bCs/>
        </w:rPr>
        <w:t>Timely</w:t>
      </w:r>
      <w:r w:rsidRPr="00EC5637">
        <w:rPr>
          <w:rFonts w:ascii="Times New Roman" w:hAnsi="Times New Roman"/>
        </w:rPr>
        <w:t xml:space="preserve">: The disclaimer must be delivered within nine months after the creation of the interest or the disclaimant turns 21 (whichever is later). </w:t>
      </w:r>
    </w:p>
    <w:p w:rsidR="00EC5637" w:rsidRPr="00EC5637" w:rsidP="00EC5637" w14:paraId="6E4D6DE2" w14:textId="6C4E4076">
      <w:pPr>
        <w:pStyle w:val="ListParagraph"/>
        <w:numPr>
          <w:ilvl w:val="0"/>
          <w:numId w:val="3"/>
        </w:numPr>
        <w:rPr>
          <w:rFonts w:ascii="Times New Roman" w:hAnsi="Times New Roman"/>
        </w:rPr>
      </w:pPr>
      <w:r w:rsidRPr="00EC5637">
        <w:rPr>
          <w:rFonts w:ascii="Times New Roman" w:hAnsi="Times New Roman"/>
          <w:b/>
          <w:bCs/>
        </w:rPr>
        <w:t>Irrevocable</w:t>
      </w:r>
      <w:r w:rsidRPr="00EC5637">
        <w:rPr>
          <w:rFonts w:ascii="Times New Roman" w:hAnsi="Times New Roman"/>
        </w:rPr>
        <w:t xml:space="preserve">: </w:t>
      </w:r>
      <w:r>
        <w:rPr>
          <w:rFonts w:ascii="Times New Roman" w:hAnsi="Times New Roman"/>
        </w:rPr>
        <w:t>One</w:t>
      </w:r>
      <w:r w:rsidRPr="00EC5637">
        <w:rPr>
          <w:rFonts w:ascii="Times New Roman" w:hAnsi="Times New Roman"/>
        </w:rPr>
        <w:t xml:space="preserve"> cannot change </w:t>
      </w:r>
      <w:r>
        <w:rPr>
          <w:rFonts w:ascii="Times New Roman" w:hAnsi="Times New Roman"/>
        </w:rPr>
        <w:t>their</w:t>
      </w:r>
      <w:r w:rsidRPr="00EC5637">
        <w:rPr>
          <w:rFonts w:ascii="Times New Roman" w:hAnsi="Times New Roman"/>
        </w:rPr>
        <w:t xml:space="preserve"> mind after submitting the disclaimer.</w:t>
      </w:r>
    </w:p>
    <w:p w:rsidR="00EC5637" w:rsidRPr="00EC5637" w:rsidP="00EC5637" w14:paraId="2B7D6B77" w14:textId="515CC734">
      <w:pPr>
        <w:pStyle w:val="ListParagraph"/>
        <w:numPr>
          <w:ilvl w:val="0"/>
          <w:numId w:val="3"/>
        </w:numPr>
        <w:rPr>
          <w:rFonts w:ascii="Times New Roman" w:hAnsi="Times New Roman"/>
        </w:rPr>
      </w:pPr>
      <w:r w:rsidRPr="00EC5637">
        <w:rPr>
          <w:rFonts w:ascii="Times New Roman" w:hAnsi="Times New Roman"/>
          <w:b/>
          <w:bCs/>
        </w:rPr>
        <w:t>No acceptance of benefits</w:t>
      </w:r>
      <w:r w:rsidRPr="00EC5637">
        <w:rPr>
          <w:rFonts w:ascii="Times New Roman" w:hAnsi="Times New Roman"/>
        </w:rPr>
        <w:t xml:space="preserve">: </w:t>
      </w:r>
      <w:r>
        <w:rPr>
          <w:rFonts w:ascii="Times New Roman" w:hAnsi="Times New Roman"/>
        </w:rPr>
        <w:t xml:space="preserve">One </w:t>
      </w:r>
      <w:r w:rsidRPr="00EC5637">
        <w:rPr>
          <w:rFonts w:ascii="Times New Roman" w:hAnsi="Times New Roman"/>
        </w:rPr>
        <w:t>must not have accepted any benefits or interest from the disclaimed property.</w:t>
      </w:r>
    </w:p>
    <w:p w:rsidR="00EC5637" w:rsidP="00EC5637" w14:paraId="511FA412" w14:textId="39393873">
      <w:pPr>
        <w:pStyle w:val="ListParagraph"/>
        <w:numPr>
          <w:ilvl w:val="0"/>
          <w:numId w:val="3"/>
        </w:numPr>
        <w:rPr>
          <w:rFonts w:ascii="Times New Roman" w:hAnsi="Times New Roman"/>
        </w:rPr>
      </w:pPr>
      <w:r w:rsidRPr="00EC5637">
        <w:rPr>
          <w:rFonts w:ascii="Times New Roman" w:hAnsi="Times New Roman"/>
          <w:b/>
          <w:bCs/>
        </w:rPr>
        <w:t>No direction of assets</w:t>
      </w:r>
      <w:r w:rsidRPr="00EC5637">
        <w:rPr>
          <w:rFonts w:ascii="Times New Roman" w:hAnsi="Times New Roman"/>
        </w:rPr>
        <w:t xml:space="preserve">: </w:t>
      </w:r>
      <w:r>
        <w:rPr>
          <w:rFonts w:ascii="Times New Roman" w:hAnsi="Times New Roman"/>
        </w:rPr>
        <w:t xml:space="preserve">One </w:t>
      </w:r>
      <w:r w:rsidRPr="00EC5637">
        <w:rPr>
          <w:rFonts w:ascii="Times New Roman" w:hAnsi="Times New Roman"/>
        </w:rPr>
        <w:t xml:space="preserve">cannot control or direct who receives the assets once they are disclaimed. </w:t>
      </w:r>
    </w:p>
    <w:p w:rsidR="00EC5637" w:rsidRPr="00EC5637" w:rsidP="00EC5637" w14:paraId="5FC89FD4" w14:textId="77777777">
      <w:pPr>
        <w:rPr>
          <w:rFonts w:ascii="Times New Roman" w:hAnsi="Times New Roman"/>
        </w:rPr>
      </w:pPr>
    </w:p>
    <w:p w:rsidR="00866827" w14:paraId="3CBE8D7A" w14:textId="3C0ABE4D">
      <w:pPr>
        <w:ind w:left="720"/>
        <w:rPr>
          <w:rFonts w:ascii="Times New Roman" w:hAnsi="Times New Roman"/>
        </w:rPr>
      </w:pPr>
      <w:r w:rsidRPr="001110DE">
        <w:rPr>
          <w:rFonts w:ascii="Times New Roman" w:hAnsi="Times New Roman"/>
        </w:rPr>
        <w:t>It is estimated that the number of respondents will be approximately 2,000. Each response is estimated to take approximately 30 minutes to complete.  The total burden is 1,000 hours.</w:t>
      </w:r>
    </w:p>
    <w:p w:rsidR="00EC5637" w:rsidRPr="001110DE" w14:paraId="1EA9F2DB" w14:textId="77777777">
      <w:pPr>
        <w:ind w:left="720"/>
        <w:rPr>
          <w:rFonts w:ascii="Times New Roman" w:hAnsi="Times New Roman"/>
        </w:rPr>
      </w:pPr>
    </w:p>
    <w:tbl>
      <w:tblPr>
        <w:tblW w:w="93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429"/>
        <w:gridCol w:w="1306"/>
        <w:gridCol w:w="1436"/>
        <w:gridCol w:w="1094"/>
        <w:gridCol w:w="1354"/>
        <w:gridCol w:w="1326"/>
      </w:tblGrid>
      <w:tr w14:paraId="1005ECA5" w14:textId="77777777" w:rsidTr="00A9194E">
        <w:tblPrEx>
          <w:tblW w:w="93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68" w:type="dxa"/>
            <w:vAlign w:val="center"/>
          </w:tcPr>
          <w:p w:rsidR="00A712ED" w:rsidRPr="00EC5637" w:rsidP="00A9194E" w14:paraId="2569597C" w14:textId="0653A991">
            <w:pPr>
              <w:jc w:val="center"/>
              <w:rPr>
                <w:rFonts w:ascii="Times New Roman" w:hAnsi="Times New Roman"/>
                <w:b/>
                <w:bCs/>
                <w:sz w:val="20"/>
                <w:szCs w:val="20"/>
              </w:rPr>
            </w:pPr>
            <w:r w:rsidRPr="00EC5637">
              <w:rPr>
                <w:rFonts w:ascii="Times New Roman" w:hAnsi="Times New Roman"/>
                <w:b/>
                <w:bCs/>
                <w:sz w:val="20"/>
                <w:szCs w:val="20"/>
              </w:rPr>
              <w:t>Authorities</w:t>
            </w:r>
            <w:r w:rsidRPr="00EC5637" w:rsidR="001E587D">
              <w:rPr>
                <w:rFonts w:ascii="Times New Roman" w:hAnsi="Times New Roman"/>
                <w:b/>
                <w:bCs/>
                <w:sz w:val="20"/>
                <w:szCs w:val="20"/>
              </w:rPr>
              <w:t xml:space="preserve"> (IRC)</w:t>
            </w:r>
          </w:p>
        </w:tc>
        <w:tc>
          <w:tcPr>
            <w:tcW w:w="1439" w:type="dxa"/>
            <w:shd w:val="clear" w:color="auto" w:fill="auto"/>
            <w:vAlign w:val="center"/>
          </w:tcPr>
          <w:p w:rsidR="00A712ED" w:rsidRPr="00EC5637" w:rsidP="00A9194E" w14:paraId="559AB1E7" w14:textId="77777777">
            <w:pPr>
              <w:jc w:val="center"/>
              <w:rPr>
                <w:rFonts w:ascii="Times New Roman" w:hAnsi="Times New Roman"/>
                <w:b/>
                <w:bCs/>
                <w:sz w:val="20"/>
                <w:szCs w:val="20"/>
              </w:rPr>
            </w:pPr>
            <w:r w:rsidRPr="00EC5637">
              <w:rPr>
                <w:rFonts w:ascii="Times New Roman" w:hAnsi="Times New Roman"/>
                <w:b/>
                <w:bCs/>
                <w:sz w:val="20"/>
                <w:szCs w:val="20"/>
              </w:rPr>
              <w:t>Document</w:t>
            </w:r>
          </w:p>
        </w:tc>
        <w:tc>
          <w:tcPr>
            <w:tcW w:w="1289" w:type="dxa"/>
            <w:shd w:val="clear" w:color="auto" w:fill="auto"/>
            <w:vAlign w:val="center"/>
          </w:tcPr>
          <w:p w:rsidR="00A712ED" w:rsidRPr="00EC5637" w:rsidP="00A9194E" w14:paraId="2AA7CC2D" w14:textId="529CD327">
            <w:pPr>
              <w:jc w:val="center"/>
              <w:rPr>
                <w:rFonts w:ascii="Times New Roman" w:hAnsi="Times New Roman"/>
                <w:b/>
                <w:bCs/>
                <w:sz w:val="20"/>
                <w:szCs w:val="20"/>
              </w:rPr>
            </w:pPr>
            <w:r w:rsidRPr="00EC5637">
              <w:rPr>
                <w:rFonts w:ascii="Times New Roman" w:hAnsi="Times New Roman"/>
                <w:b/>
                <w:bCs/>
                <w:sz w:val="20"/>
                <w:szCs w:val="20"/>
              </w:rPr>
              <w:t>Number of Respondents</w:t>
            </w:r>
          </w:p>
        </w:tc>
        <w:tc>
          <w:tcPr>
            <w:tcW w:w="1440" w:type="dxa"/>
            <w:vAlign w:val="center"/>
          </w:tcPr>
          <w:p w:rsidR="00A712ED" w:rsidRPr="00EC5637" w:rsidP="00A9194E" w14:paraId="0250AB59" w14:textId="77777777">
            <w:pPr>
              <w:jc w:val="center"/>
              <w:rPr>
                <w:rFonts w:ascii="Times New Roman" w:hAnsi="Times New Roman"/>
                <w:b/>
                <w:bCs/>
                <w:sz w:val="20"/>
                <w:szCs w:val="20"/>
              </w:rPr>
            </w:pPr>
            <w:r w:rsidRPr="00EC5637">
              <w:rPr>
                <w:rFonts w:ascii="Times New Roman" w:hAnsi="Times New Roman"/>
                <w:b/>
                <w:bCs/>
                <w:sz w:val="20"/>
                <w:szCs w:val="20"/>
              </w:rPr>
              <w:t>Responses Per Respondents</w:t>
            </w:r>
          </w:p>
        </w:tc>
        <w:tc>
          <w:tcPr>
            <w:tcW w:w="1066" w:type="dxa"/>
            <w:vAlign w:val="center"/>
          </w:tcPr>
          <w:p w:rsidR="00A712ED" w:rsidRPr="00EC5637" w:rsidP="00A9194E" w14:paraId="6BCA365E" w14:textId="77777777">
            <w:pPr>
              <w:jc w:val="center"/>
              <w:rPr>
                <w:rFonts w:ascii="Times New Roman" w:hAnsi="Times New Roman"/>
                <w:b/>
                <w:bCs/>
                <w:sz w:val="20"/>
                <w:szCs w:val="20"/>
              </w:rPr>
            </w:pPr>
            <w:r w:rsidRPr="00EC5637">
              <w:rPr>
                <w:rFonts w:ascii="Times New Roman" w:hAnsi="Times New Roman"/>
                <w:b/>
                <w:bCs/>
                <w:sz w:val="20"/>
                <w:szCs w:val="20"/>
              </w:rPr>
              <w:t>Annual Responses</w:t>
            </w:r>
          </w:p>
        </w:tc>
        <w:tc>
          <w:tcPr>
            <w:tcW w:w="1364" w:type="dxa"/>
            <w:shd w:val="clear" w:color="auto" w:fill="auto"/>
            <w:vAlign w:val="center"/>
          </w:tcPr>
          <w:p w:rsidR="00A712ED" w:rsidRPr="00EC5637" w:rsidP="00A9194E" w14:paraId="4794A777" w14:textId="22D7C0CB">
            <w:pPr>
              <w:jc w:val="center"/>
              <w:rPr>
                <w:rFonts w:ascii="Times New Roman" w:hAnsi="Times New Roman"/>
                <w:b/>
                <w:bCs/>
                <w:sz w:val="20"/>
                <w:szCs w:val="20"/>
              </w:rPr>
            </w:pPr>
            <w:r w:rsidRPr="00EC5637">
              <w:rPr>
                <w:rFonts w:ascii="Times New Roman" w:hAnsi="Times New Roman"/>
                <w:b/>
                <w:bCs/>
                <w:sz w:val="20"/>
                <w:szCs w:val="20"/>
              </w:rPr>
              <w:t>Time Burden Per Response</w:t>
            </w:r>
          </w:p>
        </w:tc>
        <w:tc>
          <w:tcPr>
            <w:tcW w:w="1340" w:type="dxa"/>
            <w:shd w:val="clear" w:color="auto" w:fill="auto"/>
            <w:vAlign w:val="center"/>
          </w:tcPr>
          <w:p w:rsidR="00A712ED" w:rsidRPr="00EC5637" w:rsidP="00A9194E" w14:paraId="2CE95F9E" w14:textId="77777777">
            <w:pPr>
              <w:jc w:val="center"/>
              <w:rPr>
                <w:rFonts w:ascii="Times New Roman" w:hAnsi="Times New Roman"/>
                <w:b/>
                <w:bCs/>
                <w:sz w:val="20"/>
                <w:szCs w:val="20"/>
              </w:rPr>
            </w:pPr>
            <w:r w:rsidRPr="00EC5637">
              <w:rPr>
                <w:rFonts w:ascii="Times New Roman" w:hAnsi="Times New Roman"/>
                <w:b/>
                <w:bCs/>
                <w:sz w:val="20"/>
                <w:szCs w:val="20"/>
              </w:rPr>
              <w:t>Total Annual Burden Hours</w:t>
            </w:r>
          </w:p>
        </w:tc>
      </w:tr>
      <w:tr w14:paraId="3D1D6233" w14:textId="77777777" w:rsidTr="00A9194E">
        <w:tblPrEx>
          <w:tblW w:w="9306" w:type="dxa"/>
          <w:tblInd w:w="720" w:type="dxa"/>
          <w:tblLook w:val="04A0"/>
        </w:tblPrEx>
        <w:tc>
          <w:tcPr>
            <w:tcW w:w="1368" w:type="dxa"/>
          </w:tcPr>
          <w:p w:rsidR="00EC5637" w:rsidP="00866827" w14:paraId="5762A770" w14:textId="77777777">
            <w:pPr>
              <w:rPr>
                <w:rFonts w:ascii="Times New Roman" w:hAnsi="Times New Roman"/>
                <w:sz w:val="20"/>
                <w:szCs w:val="20"/>
              </w:rPr>
            </w:pPr>
          </w:p>
          <w:p w:rsidR="00A712ED" w:rsidRPr="00EC5637" w:rsidP="00866827" w14:paraId="0DFF3CF6" w14:textId="78D67C12">
            <w:pPr>
              <w:rPr>
                <w:rFonts w:ascii="Times New Roman" w:hAnsi="Times New Roman"/>
                <w:sz w:val="20"/>
                <w:szCs w:val="20"/>
              </w:rPr>
            </w:pPr>
            <w:r w:rsidRPr="00EC5637">
              <w:rPr>
                <w:rFonts w:ascii="Times New Roman" w:hAnsi="Times New Roman"/>
                <w:sz w:val="20"/>
                <w:szCs w:val="20"/>
              </w:rPr>
              <w:t>25.2518-2(b)</w:t>
            </w:r>
          </w:p>
        </w:tc>
        <w:tc>
          <w:tcPr>
            <w:tcW w:w="1439" w:type="dxa"/>
            <w:shd w:val="clear" w:color="auto" w:fill="auto"/>
          </w:tcPr>
          <w:p w:rsidR="00EC5637" w:rsidP="00866827" w14:paraId="4D03F666" w14:textId="77777777">
            <w:pPr>
              <w:rPr>
                <w:rFonts w:ascii="Times New Roman" w:hAnsi="Times New Roman"/>
                <w:sz w:val="20"/>
                <w:szCs w:val="20"/>
              </w:rPr>
            </w:pPr>
          </w:p>
          <w:p w:rsidR="00A712ED" w:rsidRPr="00EC5637" w:rsidP="00866827" w14:paraId="13D256B4" w14:textId="6765F20E">
            <w:pPr>
              <w:rPr>
                <w:rFonts w:ascii="Times New Roman" w:hAnsi="Times New Roman"/>
                <w:sz w:val="20"/>
                <w:szCs w:val="20"/>
              </w:rPr>
            </w:pPr>
            <w:r w:rsidRPr="00EC5637">
              <w:rPr>
                <w:rFonts w:ascii="Times New Roman" w:hAnsi="Times New Roman"/>
                <w:sz w:val="20"/>
                <w:szCs w:val="20"/>
              </w:rPr>
              <w:t>TD 8095</w:t>
            </w:r>
          </w:p>
        </w:tc>
        <w:tc>
          <w:tcPr>
            <w:tcW w:w="1289" w:type="dxa"/>
            <w:shd w:val="clear" w:color="auto" w:fill="auto"/>
          </w:tcPr>
          <w:p w:rsidR="00EC5637" w:rsidP="000A229C" w14:paraId="134F9EC9" w14:textId="77777777">
            <w:pPr>
              <w:jc w:val="center"/>
              <w:rPr>
                <w:rFonts w:ascii="Times New Roman" w:hAnsi="Times New Roman"/>
                <w:sz w:val="20"/>
                <w:szCs w:val="20"/>
              </w:rPr>
            </w:pPr>
          </w:p>
          <w:p w:rsidR="00A712ED" w:rsidRPr="00EC5637" w:rsidP="000A229C" w14:paraId="5F24FF6E" w14:textId="2C1095CD">
            <w:pPr>
              <w:jc w:val="center"/>
              <w:rPr>
                <w:rFonts w:ascii="Times New Roman" w:hAnsi="Times New Roman"/>
                <w:sz w:val="20"/>
                <w:szCs w:val="20"/>
              </w:rPr>
            </w:pPr>
            <w:r w:rsidRPr="00EC5637">
              <w:rPr>
                <w:rFonts w:ascii="Times New Roman" w:hAnsi="Times New Roman"/>
                <w:sz w:val="20"/>
                <w:szCs w:val="20"/>
              </w:rPr>
              <w:t>2000</w:t>
            </w:r>
          </w:p>
        </w:tc>
        <w:tc>
          <w:tcPr>
            <w:tcW w:w="1440" w:type="dxa"/>
          </w:tcPr>
          <w:p w:rsidR="00EC5637" w:rsidP="001E587D" w14:paraId="281D10A5" w14:textId="77777777">
            <w:pPr>
              <w:jc w:val="center"/>
              <w:rPr>
                <w:rFonts w:ascii="Times New Roman" w:hAnsi="Times New Roman"/>
                <w:sz w:val="20"/>
                <w:szCs w:val="20"/>
              </w:rPr>
            </w:pPr>
          </w:p>
          <w:p w:rsidR="00A712ED" w:rsidRPr="00EC5637" w:rsidP="001E587D" w14:paraId="19E806C9" w14:textId="708B392B">
            <w:pPr>
              <w:jc w:val="center"/>
              <w:rPr>
                <w:rFonts w:ascii="Times New Roman" w:hAnsi="Times New Roman"/>
                <w:sz w:val="20"/>
                <w:szCs w:val="20"/>
              </w:rPr>
            </w:pPr>
            <w:r w:rsidRPr="00EC5637">
              <w:rPr>
                <w:rFonts w:ascii="Times New Roman" w:hAnsi="Times New Roman"/>
                <w:sz w:val="20"/>
                <w:szCs w:val="20"/>
              </w:rPr>
              <w:t>1</w:t>
            </w:r>
          </w:p>
        </w:tc>
        <w:tc>
          <w:tcPr>
            <w:tcW w:w="1066" w:type="dxa"/>
          </w:tcPr>
          <w:p w:rsidR="00EC5637" w:rsidP="000A229C" w14:paraId="6F673FC6" w14:textId="77777777">
            <w:pPr>
              <w:jc w:val="center"/>
              <w:rPr>
                <w:rFonts w:ascii="Times New Roman" w:hAnsi="Times New Roman"/>
                <w:sz w:val="20"/>
                <w:szCs w:val="20"/>
              </w:rPr>
            </w:pPr>
          </w:p>
          <w:p w:rsidR="00A712ED" w:rsidRPr="00EC5637" w:rsidP="000A229C" w14:paraId="76600CAC" w14:textId="7E1464AD">
            <w:pPr>
              <w:jc w:val="center"/>
              <w:rPr>
                <w:rFonts w:ascii="Times New Roman" w:hAnsi="Times New Roman"/>
                <w:sz w:val="20"/>
                <w:szCs w:val="20"/>
              </w:rPr>
            </w:pPr>
            <w:r w:rsidRPr="00EC5637">
              <w:rPr>
                <w:rFonts w:ascii="Times New Roman" w:hAnsi="Times New Roman"/>
                <w:sz w:val="20"/>
                <w:szCs w:val="20"/>
              </w:rPr>
              <w:t>2,000</w:t>
            </w:r>
          </w:p>
        </w:tc>
        <w:tc>
          <w:tcPr>
            <w:tcW w:w="1364" w:type="dxa"/>
            <w:shd w:val="clear" w:color="auto" w:fill="auto"/>
          </w:tcPr>
          <w:p w:rsidR="00EC5637" w:rsidP="000A229C" w14:paraId="7FF8F0C1" w14:textId="77777777">
            <w:pPr>
              <w:jc w:val="center"/>
              <w:rPr>
                <w:rFonts w:ascii="Times New Roman" w:hAnsi="Times New Roman"/>
                <w:sz w:val="20"/>
                <w:szCs w:val="20"/>
              </w:rPr>
            </w:pPr>
          </w:p>
          <w:p w:rsidR="00A712ED" w:rsidRPr="00EC5637" w:rsidP="000A229C" w14:paraId="0506ACCC" w14:textId="670683BE">
            <w:pPr>
              <w:jc w:val="center"/>
              <w:rPr>
                <w:rFonts w:ascii="Times New Roman" w:hAnsi="Times New Roman"/>
                <w:sz w:val="20"/>
                <w:szCs w:val="20"/>
              </w:rPr>
            </w:pPr>
            <w:r w:rsidRPr="00EC5637">
              <w:rPr>
                <w:rFonts w:ascii="Times New Roman" w:hAnsi="Times New Roman"/>
                <w:sz w:val="20"/>
                <w:szCs w:val="20"/>
              </w:rPr>
              <w:t>30 mins</w:t>
            </w:r>
          </w:p>
        </w:tc>
        <w:tc>
          <w:tcPr>
            <w:tcW w:w="1340" w:type="dxa"/>
            <w:shd w:val="clear" w:color="auto" w:fill="auto"/>
          </w:tcPr>
          <w:p w:rsidR="00EC5637" w:rsidP="000A229C" w14:paraId="031D627D" w14:textId="77777777">
            <w:pPr>
              <w:jc w:val="center"/>
              <w:rPr>
                <w:rFonts w:ascii="Times New Roman" w:hAnsi="Times New Roman"/>
                <w:sz w:val="20"/>
                <w:szCs w:val="20"/>
              </w:rPr>
            </w:pPr>
          </w:p>
          <w:p w:rsidR="00A712ED" w:rsidRPr="00EC5637" w:rsidP="000A229C" w14:paraId="176C9F06" w14:textId="0C390910">
            <w:pPr>
              <w:jc w:val="center"/>
              <w:rPr>
                <w:rFonts w:ascii="Times New Roman" w:hAnsi="Times New Roman"/>
                <w:sz w:val="20"/>
                <w:szCs w:val="20"/>
              </w:rPr>
            </w:pPr>
            <w:r w:rsidRPr="00EC5637">
              <w:rPr>
                <w:rFonts w:ascii="Times New Roman" w:hAnsi="Times New Roman"/>
                <w:sz w:val="20"/>
                <w:szCs w:val="20"/>
              </w:rPr>
              <w:t>1000 hrs.</w:t>
            </w:r>
          </w:p>
        </w:tc>
      </w:tr>
      <w:tr w14:paraId="365A1D39" w14:textId="77777777" w:rsidTr="00A9194E">
        <w:tblPrEx>
          <w:tblW w:w="9306" w:type="dxa"/>
          <w:tblInd w:w="720" w:type="dxa"/>
          <w:tblLook w:val="04A0"/>
        </w:tblPrEx>
        <w:tc>
          <w:tcPr>
            <w:tcW w:w="1368" w:type="dxa"/>
          </w:tcPr>
          <w:p w:rsidR="00A712ED" w:rsidRPr="00EC5637" w:rsidP="00866827" w14:paraId="33396DE3" w14:textId="77777777">
            <w:pPr>
              <w:rPr>
                <w:rFonts w:ascii="Times New Roman" w:hAnsi="Times New Roman"/>
                <w:b/>
                <w:bCs/>
                <w:sz w:val="20"/>
                <w:szCs w:val="20"/>
              </w:rPr>
            </w:pPr>
            <w:r w:rsidRPr="00EC5637">
              <w:rPr>
                <w:rFonts w:ascii="Times New Roman" w:hAnsi="Times New Roman"/>
                <w:b/>
                <w:bCs/>
                <w:sz w:val="20"/>
                <w:szCs w:val="20"/>
              </w:rPr>
              <w:t>Totals</w:t>
            </w:r>
          </w:p>
        </w:tc>
        <w:tc>
          <w:tcPr>
            <w:tcW w:w="1439" w:type="dxa"/>
            <w:shd w:val="clear" w:color="auto" w:fill="auto"/>
          </w:tcPr>
          <w:p w:rsidR="00A712ED" w:rsidRPr="00EC5637" w:rsidP="00866827" w14:paraId="3D397E33" w14:textId="77777777">
            <w:pPr>
              <w:rPr>
                <w:rFonts w:ascii="Times New Roman" w:hAnsi="Times New Roman"/>
                <w:b/>
                <w:bCs/>
                <w:sz w:val="20"/>
                <w:szCs w:val="20"/>
              </w:rPr>
            </w:pPr>
          </w:p>
        </w:tc>
        <w:tc>
          <w:tcPr>
            <w:tcW w:w="1289" w:type="dxa"/>
            <w:shd w:val="clear" w:color="auto" w:fill="auto"/>
          </w:tcPr>
          <w:p w:rsidR="00A712ED" w:rsidRPr="00EC5637" w:rsidP="000A229C" w14:paraId="61AB311C" w14:textId="77777777">
            <w:pPr>
              <w:jc w:val="center"/>
              <w:rPr>
                <w:rFonts w:ascii="Times New Roman" w:hAnsi="Times New Roman"/>
                <w:b/>
                <w:bCs/>
                <w:sz w:val="20"/>
                <w:szCs w:val="20"/>
              </w:rPr>
            </w:pPr>
            <w:r w:rsidRPr="00EC5637">
              <w:rPr>
                <w:rFonts w:ascii="Times New Roman" w:hAnsi="Times New Roman"/>
                <w:b/>
                <w:bCs/>
                <w:sz w:val="20"/>
                <w:szCs w:val="20"/>
              </w:rPr>
              <w:t>2000</w:t>
            </w:r>
          </w:p>
        </w:tc>
        <w:tc>
          <w:tcPr>
            <w:tcW w:w="1440" w:type="dxa"/>
          </w:tcPr>
          <w:p w:rsidR="00A712ED" w:rsidRPr="00EC5637" w:rsidP="000A229C" w14:paraId="7F87DD0E" w14:textId="77777777">
            <w:pPr>
              <w:jc w:val="center"/>
              <w:rPr>
                <w:rFonts w:ascii="Times New Roman" w:hAnsi="Times New Roman"/>
                <w:b/>
                <w:bCs/>
                <w:sz w:val="20"/>
                <w:szCs w:val="20"/>
              </w:rPr>
            </w:pPr>
            <w:r w:rsidRPr="00EC5637">
              <w:rPr>
                <w:rFonts w:ascii="Times New Roman" w:hAnsi="Times New Roman"/>
                <w:b/>
                <w:bCs/>
                <w:sz w:val="20"/>
                <w:szCs w:val="20"/>
              </w:rPr>
              <w:t>1</w:t>
            </w:r>
          </w:p>
        </w:tc>
        <w:tc>
          <w:tcPr>
            <w:tcW w:w="1066" w:type="dxa"/>
          </w:tcPr>
          <w:p w:rsidR="00A712ED" w:rsidRPr="00EC5637" w:rsidP="000A229C" w14:paraId="1A3852C8" w14:textId="77777777">
            <w:pPr>
              <w:jc w:val="center"/>
              <w:rPr>
                <w:rFonts w:ascii="Times New Roman" w:hAnsi="Times New Roman"/>
                <w:b/>
                <w:bCs/>
                <w:sz w:val="20"/>
                <w:szCs w:val="20"/>
              </w:rPr>
            </w:pPr>
            <w:r w:rsidRPr="00EC5637">
              <w:rPr>
                <w:rFonts w:ascii="Times New Roman" w:hAnsi="Times New Roman"/>
                <w:b/>
                <w:bCs/>
                <w:sz w:val="20"/>
                <w:szCs w:val="20"/>
              </w:rPr>
              <w:t>2,000</w:t>
            </w:r>
          </w:p>
        </w:tc>
        <w:tc>
          <w:tcPr>
            <w:tcW w:w="1364" w:type="dxa"/>
            <w:shd w:val="clear" w:color="auto" w:fill="auto"/>
          </w:tcPr>
          <w:p w:rsidR="00A712ED" w:rsidRPr="00EC5637" w:rsidP="000A229C" w14:paraId="7DCC7D52" w14:textId="77777777">
            <w:pPr>
              <w:jc w:val="center"/>
              <w:rPr>
                <w:rFonts w:ascii="Times New Roman" w:hAnsi="Times New Roman"/>
                <w:b/>
                <w:bCs/>
                <w:sz w:val="20"/>
                <w:szCs w:val="20"/>
              </w:rPr>
            </w:pPr>
            <w:r w:rsidRPr="00EC5637">
              <w:rPr>
                <w:rFonts w:ascii="Times New Roman" w:hAnsi="Times New Roman"/>
                <w:b/>
                <w:bCs/>
                <w:sz w:val="20"/>
                <w:szCs w:val="20"/>
              </w:rPr>
              <w:t>30 mins</w:t>
            </w:r>
          </w:p>
        </w:tc>
        <w:tc>
          <w:tcPr>
            <w:tcW w:w="1340" w:type="dxa"/>
            <w:shd w:val="clear" w:color="auto" w:fill="auto"/>
          </w:tcPr>
          <w:p w:rsidR="00A712ED" w:rsidRPr="00EC5637" w:rsidP="000A229C" w14:paraId="28F0BB9C" w14:textId="77777777">
            <w:pPr>
              <w:jc w:val="center"/>
              <w:rPr>
                <w:rFonts w:ascii="Times New Roman" w:hAnsi="Times New Roman"/>
                <w:b/>
                <w:bCs/>
                <w:sz w:val="20"/>
                <w:szCs w:val="20"/>
              </w:rPr>
            </w:pPr>
            <w:r w:rsidRPr="00EC5637">
              <w:rPr>
                <w:rFonts w:ascii="Times New Roman" w:hAnsi="Times New Roman"/>
                <w:b/>
                <w:bCs/>
                <w:sz w:val="20"/>
                <w:szCs w:val="20"/>
              </w:rPr>
              <w:t>1000 hrs.</w:t>
            </w:r>
          </w:p>
        </w:tc>
      </w:tr>
    </w:tbl>
    <w:p w:rsidR="00A31948" w14:paraId="3A1FED79" w14:textId="77777777">
      <w:pPr>
        <w:rPr>
          <w:rFonts w:ascii="Times New Roman" w:hAnsi="Times New Roman"/>
        </w:rPr>
      </w:pPr>
      <w:r w:rsidRPr="001110DE">
        <w:rPr>
          <w:rFonts w:ascii="Times New Roman" w:hAnsi="Times New Roman"/>
        </w:rPr>
        <w:t xml:space="preserve">      </w:t>
      </w:r>
    </w:p>
    <w:p w:rsidR="00EC5637" w:rsidRPr="00EC5637" w:rsidP="00EC5637" w14:paraId="65C3EF01" w14:textId="3E2EB485">
      <w:pPr>
        <w:ind w:left="720"/>
        <w:rPr>
          <w:rFonts w:ascii="Times New Roman" w:hAnsi="Times New Roman"/>
        </w:rPr>
      </w:pPr>
      <w:r w:rsidRPr="00EC5637">
        <w:rPr>
          <w:rFonts w:ascii="Times New Roman" w:hAnsi="Times New Roman"/>
        </w:rPr>
        <w:t>The following regulations impose no additional burden. Please continue to assign OMB number 1545-</w:t>
      </w:r>
      <w:r w:rsidR="00220E73">
        <w:rPr>
          <w:rFonts w:ascii="Times New Roman" w:hAnsi="Times New Roman"/>
        </w:rPr>
        <w:t>0959</w:t>
      </w:r>
      <w:r w:rsidRPr="00EC5637">
        <w:rPr>
          <w:rFonts w:ascii="Times New Roman" w:hAnsi="Times New Roman"/>
        </w:rPr>
        <w:t xml:space="preserve"> these regulations.</w:t>
      </w:r>
    </w:p>
    <w:p w:rsidR="00EC5637" w:rsidRPr="00EC5637" w:rsidP="00EC5637" w14:paraId="28B4E377" w14:textId="77777777">
      <w:pPr>
        <w:ind w:left="720"/>
        <w:rPr>
          <w:rFonts w:ascii="Times New Roman" w:hAnsi="Times New Roman"/>
        </w:rPr>
      </w:pPr>
    </w:p>
    <w:p w:rsidR="00EC5637" w:rsidP="00EC5637" w14:paraId="2F129A1A" w14:textId="291C2762">
      <w:pPr>
        <w:ind w:left="720"/>
        <w:rPr>
          <w:rFonts w:ascii="Times New Roman" w:hAnsi="Times New Roman"/>
        </w:rPr>
      </w:pPr>
      <w:r>
        <w:rPr>
          <w:rFonts w:ascii="Times New Roman" w:hAnsi="Times New Roman"/>
        </w:rPr>
        <w:t>25.2518-2</w:t>
      </w:r>
      <w:r w:rsidRPr="00EC5637">
        <w:rPr>
          <w:rFonts w:ascii="Times New Roman" w:hAnsi="Times New Roman"/>
        </w:rPr>
        <w:tab/>
      </w:r>
      <w:r w:rsidRPr="00EC5637">
        <w:rPr>
          <w:rFonts w:ascii="Times New Roman" w:hAnsi="Times New Roman"/>
        </w:rPr>
        <w:tab/>
      </w:r>
    </w:p>
    <w:p w:rsidR="00EC5637" w:rsidRPr="001110DE" w14:paraId="0335F64F" w14:textId="77777777">
      <w:pPr>
        <w:rPr>
          <w:rFonts w:ascii="Times New Roman" w:hAnsi="Times New Roman"/>
        </w:rPr>
      </w:pPr>
    </w:p>
    <w:p w:rsidR="00A31948" w:rsidRPr="001110DE" w14:paraId="75E605A8" w14:textId="77777777">
      <w:pPr>
        <w:pStyle w:val="Level1"/>
        <w:tabs>
          <w:tab w:val="left" w:pos="-1440"/>
          <w:tab w:val="num" w:pos="720"/>
        </w:tabs>
        <w:rPr>
          <w:rFonts w:ascii="Times New Roman" w:hAnsi="Times New Roman"/>
        </w:rPr>
      </w:pPr>
      <w:r w:rsidRPr="001110DE">
        <w:rPr>
          <w:rFonts w:ascii="Times New Roman" w:hAnsi="Times New Roman"/>
          <w:u w:val="single"/>
        </w:rPr>
        <w:t>ESTIMATED TOTAL ANNUAL COST BURDEN TO RESPONDENTS</w:t>
      </w:r>
    </w:p>
    <w:p w:rsidR="00A31948" w:rsidRPr="001110DE" w14:paraId="147401E8" w14:textId="77777777">
      <w:pPr>
        <w:rPr>
          <w:rFonts w:ascii="Times New Roman" w:hAnsi="Times New Roman"/>
        </w:rPr>
      </w:pPr>
    </w:p>
    <w:p w:rsidR="00A712ED" w:rsidRPr="001110DE" w:rsidP="00A9194E" w14:paraId="7DD7BA9F" w14:textId="5437930E">
      <w:pPr>
        <w:ind w:left="720"/>
        <w:rPr>
          <w:rFonts w:ascii="Times New Roman" w:hAnsi="Times New Roman"/>
        </w:rPr>
      </w:pPr>
      <w:r w:rsidRPr="00220E73">
        <w:rPr>
          <w:rFonts w:ascii="Times New Roman" w:hAnsi="Times New Roman"/>
        </w:rPr>
        <w:t xml:space="preserve">From our Federal Register notice dated </w:t>
      </w:r>
      <w:r>
        <w:rPr>
          <w:rFonts w:ascii="Times New Roman" w:hAnsi="Times New Roman"/>
        </w:rPr>
        <w:t xml:space="preserve">December </w:t>
      </w:r>
      <w:r w:rsidR="00BF2DAD">
        <w:rPr>
          <w:rFonts w:ascii="Times New Roman" w:hAnsi="Times New Roman"/>
        </w:rPr>
        <w:t>18</w:t>
      </w:r>
      <w:r w:rsidRPr="00220E73">
        <w:rPr>
          <w:rFonts w:ascii="Times New Roman" w:hAnsi="Times New Roman"/>
        </w:rPr>
        <w:t>, 2025,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1110DE">
        <w:rPr>
          <w:rFonts w:ascii="Times New Roman" w:hAnsi="Times New Roman"/>
        </w:rPr>
        <w:t>.</w:t>
      </w:r>
    </w:p>
    <w:p w:rsidR="00A31948" w:rsidRPr="001110DE" w:rsidP="00F04E9D" w14:paraId="581F6CB5" w14:textId="77777777">
      <w:pPr>
        <w:ind w:left="720"/>
        <w:rPr>
          <w:rFonts w:ascii="Times New Roman" w:hAnsi="Times New Roman"/>
        </w:rPr>
        <w:sectPr>
          <w:headerReference w:type="default" r:id="rId5"/>
          <w:type w:val="continuous"/>
          <w:pgSz w:w="12240" w:h="15840"/>
          <w:pgMar w:top="1440" w:right="1440" w:bottom="1440" w:left="1440" w:header="1440" w:footer="1440" w:gutter="0"/>
          <w:cols w:space="720"/>
          <w:noEndnote/>
        </w:sectPr>
      </w:pPr>
    </w:p>
    <w:p w:rsidR="00A31948" w:rsidRPr="001110DE" w14:paraId="489A3AD6" w14:textId="77777777">
      <w:pPr>
        <w:rPr>
          <w:rFonts w:ascii="Times New Roman" w:hAnsi="Times New Roman"/>
        </w:rPr>
      </w:pPr>
    </w:p>
    <w:p w:rsidR="00A31948" w:rsidRPr="001110DE" w14:paraId="5FD010D6" w14:textId="77777777">
      <w:pPr>
        <w:pStyle w:val="Level1"/>
        <w:tabs>
          <w:tab w:val="left" w:pos="-1440"/>
          <w:tab w:val="num" w:pos="720"/>
        </w:tabs>
        <w:rPr>
          <w:rFonts w:ascii="Times New Roman" w:hAnsi="Times New Roman"/>
        </w:rPr>
      </w:pPr>
      <w:r w:rsidRPr="001110DE">
        <w:rPr>
          <w:rFonts w:ascii="Times New Roman" w:hAnsi="Times New Roman"/>
          <w:u w:val="single"/>
        </w:rPr>
        <w:t>ESTIMATED ANNUALIZED COST TO THE FEDERAL GOVERNMENT</w:t>
      </w:r>
    </w:p>
    <w:p w:rsidR="00A31948" w:rsidRPr="001110DE" w14:paraId="4C22CD90" w14:textId="77777777">
      <w:pPr>
        <w:rPr>
          <w:rFonts w:ascii="Times New Roman" w:hAnsi="Times New Roman"/>
        </w:rPr>
      </w:pPr>
    </w:p>
    <w:p w:rsidR="00A712ED" w:rsidRPr="001110DE" w:rsidP="00A712ED" w14:paraId="00C51BA0" w14:textId="6F1E141C">
      <w:pPr>
        <w:ind w:left="720" w:firstLine="14"/>
        <w:rPr>
          <w:rFonts w:ascii="Times New Roman" w:hAnsi="Times New Roman"/>
        </w:rPr>
      </w:pPr>
      <w:r w:rsidRPr="001110DE">
        <w:rPr>
          <w:rFonts w:ascii="Times New Roman" w:hAnsi="Times New Roman"/>
        </w:rPr>
        <w:t>There are no annualized costs to the federal government as these are third party disclosure requirements on respondents.</w:t>
      </w:r>
    </w:p>
    <w:p w:rsidR="00866827" w:rsidRPr="001110DE" w:rsidP="00866827" w14:paraId="2E152EC6" w14:textId="77777777">
      <w:pPr>
        <w:rPr>
          <w:rFonts w:ascii="Times New Roman" w:hAnsi="Times New Roman"/>
        </w:rPr>
      </w:pPr>
    </w:p>
    <w:p w:rsidR="00A31948" w:rsidRPr="001110DE" w14:paraId="7DB038E1" w14:textId="77777777">
      <w:pPr>
        <w:pStyle w:val="Level1"/>
        <w:tabs>
          <w:tab w:val="left" w:pos="-1440"/>
          <w:tab w:val="num" w:pos="720"/>
        </w:tabs>
        <w:rPr>
          <w:rFonts w:ascii="Times New Roman" w:hAnsi="Times New Roman"/>
        </w:rPr>
      </w:pPr>
      <w:r w:rsidRPr="001110DE">
        <w:rPr>
          <w:rFonts w:ascii="Times New Roman" w:hAnsi="Times New Roman"/>
          <w:u w:val="single"/>
        </w:rPr>
        <w:t>REASONS FOR CHANGE IN BURDEN</w:t>
      </w:r>
    </w:p>
    <w:p w:rsidR="00A31948" w:rsidRPr="001110DE" w14:paraId="6C831B37" w14:textId="77777777">
      <w:pPr>
        <w:rPr>
          <w:rFonts w:ascii="Times New Roman" w:hAnsi="Times New Roman"/>
        </w:rPr>
      </w:pPr>
    </w:p>
    <w:p w:rsidR="00A31948" w:rsidRPr="001110DE" w14:paraId="7CB7FECB" w14:textId="77777777">
      <w:pPr>
        <w:ind w:left="720"/>
        <w:rPr>
          <w:rFonts w:ascii="Times New Roman" w:hAnsi="Times New Roman"/>
        </w:rPr>
      </w:pPr>
      <w:r w:rsidRPr="001110DE">
        <w:rPr>
          <w:rFonts w:ascii="Times New Roman" w:hAnsi="Times New Roman"/>
        </w:rPr>
        <w:t>The</w:t>
      </w:r>
      <w:r w:rsidRPr="001110DE" w:rsidR="00811719">
        <w:rPr>
          <w:rFonts w:ascii="Times New Roman" w:hAnsi="Times New Roman"/>
        </w:rPr>
        <w:t xml:space="preserve">re is no change in </w:t>
      </w:r>
      <w:r w:rsidRPr="001110DE" w:rsidR="00853BBE">
        <w:rPr>
          <w:rFonts w:ascii="Times New Roman" w:hAnsi="Times New Roman"/>
        </w:rPr>
        <w:t>the paperwork burden previously approved by OMB.</w:t>
      </w:r>
      <w:r w:rsidRPr="001110DE" w:rsidR="00811719">
        <w:rPr>
          <w:rFonts w:ascii="Times New Roman" w:hAnsi="Times New Roman"/>
        </w:rPr>
        <w:t xml:space="preserve"> We </w:t>
      </w:r>
      <w:r w:rsidRPr="001110DE">
        <w:rPr>
          <w:rFonts w:ascii="Times New Roman" w:hAnsi="Times New Roman"/>
        </w:rPr>
        <w:t xml:space="preserve">are making this submission to renew the OMB approval.               </w:t>
      </w:r>
    </w:p>
    <w:p w:rsidR="00A31948" w:rsidRPr="001110DE" w14:paraId="39B6AEA7" w14:textId="77777777">
      <w:pPr>
        <w:rPr>
          <w:rFonts w:ascii="Times New Roman" w:hAnsi="Times New Roman"/>
        </w:rPr>
      </w:pPr>
    </w:p>
    <w:p w:rsidR="00A31948" w:rsidRPr="001110DE" w14:paraId="30570EB7" w14:textId="77777777">
      <w:pPr>
        <w:pStyle w:val="Level1"/>
        <w:tabs>
          <w:tab w:val="left" w:pos="-1440"/>
          <w:tab w:val="num" w:pos="720"/>
        </w:tabs>
        <w:rPr>
          <w:rFonts w:ascii="Times New Roman" w:hAnsi="Times New Roman"/>
        </w:rPr>
      </w:pPr>
      <w:r w:rsidRPr="001110DE">
        <w:rPr>
          <w:rFonts w:ascii="Times New Roman" w:hAnsi="Times New Roman"/>
          <w:u w:val="single"/>
        </w:rPr>
        <w:t>PLANS FOR TABULATION, STATISTICAL ANALYSIS AND PUBLICATION</w:t>
      </w:r>
    </w:p>
    <w:p w:rsidR="00A31948" w:rsidRPr="001110DE" w14:paraId="16DC585A" w14:textId="77777777">
      <w:pPr>
        <w:rPr>
          <w:rFonts w:ascii="Times New Roman" w:hAnsi="Times New Roman"/>
        </w:rPr>
      </w:pPr>
    </w:p>
    <w:p w:rsidR="00853BBE" w:rsidRPr="001110DE" w:rsidP="00853BBE" w14:paraId="1E362E51" w14:textId="77777777">
      <w:pPr>
        <w:ind w:left="720"/>
        <w:rPr>
          <w:rFonts w:ascii="Times New Roman" w:hAnsi="Times New Roman"/>
        </w:rPr>
      </w:pPr>
      <w:r w:rsidRPr="001110DE">
        <w:rPr>
          <w:rFonts w:ascii="Times New Roman" w:hAnsi="Times New Roman"/>
        </w:rPr>
        <w:t>There are no plans for tabulation, statistical analysis and publication.</w:t>
      </w:r>
    </w:p>
    <w:p w:rsidR="00A31948" w14:paraId="1F9BA70E" w14:textId="77777777">
      <w:pPr>
        <w:rPr>
          <w:rFonts w:ascii="Times New Roman" w:hAnsi="Times New Roman"/>
        </w:rPr>
      </w:pPr>
    </w:p>
    <w:p w:rsidR="00220E73" w:rsidRPr="001110DE" w14:paraId="0D8AD933" w14:textId="77777777">
      <w:pPr>
        <w:rPr>
          <w:rFonts w:ascii="Times New Roman" w:hAnsi="Times New Roman"/>
        </w:rPr>
      </w:pPr>
    </w:p>
    <w:p w:rsidR="00A31948" w:rsidRPr="001110DE" w14:paraId="31647E75" w14:textId="587688AE">
      <w:pPr>
        <w:pStyle w:val="Level1"/>
        <w:tabs>
          <w:tab w:val="left" w:pos="-1440"/>
          <w:tab w:val="num" w:pos="720"/>
        </w:tabs>
        <w:rPr>
          <w:rFonts w:ascii="Times New Roman" w:hAnsi="Times New Roman"/>
        </w:rPr>
      </w:pPr>
      <w:r w:rsidRPr="001110DE">
        <w:rPr>
          <w:rFonts w:ascii="Times New Roman" w:hAnsi="Times New Roman"/>
          <w:u w:val="single"/>
        </w:rPr>
        <w:t>REASONS WHY DISPLAYING THE OMB EXPIRATION DATE IS INAPPROPRIATE</w:t>
      </w:r>
    </w:p>
    <w:p w:rsidR="00A31948" w:rsidRPr="001110DE" w14:paraId="77541515" w14:textId="77777777">
      <w:pPr>
        <w:rPr>
          <w:rFonts w:ascii="Times New Roman" w:hAnsi="Times New Roman"/>
        </w:rPr>
      </w:pPr>
    </w:p>
    <w:p w:rsidR="00A31948" w:rsidRPr="001110DE" w14:paraId="6FB9CAE0" w14:textId="480A10A6">
      <w:pPr>
        <w:ind w:left="720"/>
        <w:rPr>
          <w:rFonts w:ascii="Times New Roman" w:hAnsi="Times New Roman"/>
        </w:rPr>
      </w:pPr>
      <w:r>
        <w:rPr>
          <w:rFonts w:ascii="Times New Roman" w:hAnsi="Times New Roman"/>
        </w:rPr>
        <w:t xml:space="preserve">IRS </w:t>
      </w:r>
      <w:r w:rsidRPr="001110DE" w:rsidR="00220E73">
        <w:rPr>
          <w:rFonts w:ascii="Times New Roman" w:hAnsi="Times New Roman"/>
        </w:rPr>
        <w:t xml:space="preserve">believe that displaying the OMB expiration date is inappropriate because it could cause confusion by leading taxpayers to believe that the </w:t>
      </w:r>
      <w:r w:rsidR="00220E73">
        <w:rPr>
          <w:rFonts w:ascii="Times New Roman" w:hAnsi="Times New Roman"/>
        </w:rPr>
        <w:t>collection</w:t>
      </w:r>
      <w:r w:rsidRPr="001110DE" w:rsidR="00220E73">
        <w:rPr>
          <w:rFonts w:ascii="Times New Roman" w:hAnsi="Times New Roman"/>
        </w:rPr>
        <w:t xml:space="preserve"> sunsets as of the expiration date.  Taxpayers are not likely to be aware that the </w:t>
      </w:r>
      <w:r w:rsidRPr="001110DE" w:rsidR="001E587D">
        <w:rPr>
          <w:rFonts w:ascii="Times New Roman" w:hAnsi="Times New Roman"/>
        </w:rPr>
        <w:t>IRS</w:t>
      </w:r>
      <w:r w:rsidRPr="001110DE" w:rsidR="00220E73">
        <w:rPr>
          <w:rFonts w:ascii="Times New Roman" w:hAnsi="Times New Roman"/>
        </w:rPr>
        <w:t xml:space="preserve"> intends to request renewal of the OMB approval and obtain a new expiration date before the old one expires.</w:t>
      </w:r>
    </w:p>
    <w:p w:rsidR="00A31948" w:rsidRPr="001110DE" w14:paraId="45A8E424" w14:textId="77777777">
      <w:pPr>
        <w:rPr>
          <w:rFonts w:ascii="Times New Roman" w:hAnsi="Times New Roman"/>
        </w:rPr>
      </w:pPr>
    </w:p>
    <w:p w:rsidR="00A31948" w:rsidRPr="001110DE" w14:paraId="7B452126" w14:textId="77777777">
      <w:pPr>
        <w:pStyle w:val="Level1"/>
        <w:tabs>
          <w:tab w:val="left" w:pos="-1440"/>
          <w:tab w:val="num" w:pos="720"/>
        </w:tabs>
        <w:rPr>
          <w:rFonts w:ascii="Times New Roman" w:hAnsi="Times New Roman"/>
        </w:rPr>
      </w:pPr>
      <w:r w:rsidRPr="001110DE">
        <w:rPr>
          <w:rFonts w:ascii="Times New Roman" w:hAnsi="Times New Roman"/>
          <w:u w:val="single"/>
        </w:rPr>
        <w:t xml:space="preserve">EXCEPTIONS TO THE CERTIFICATION STATEMENT </w:t>
      </w:r>
    </w:p>
    <w:p w:rsidR="00A31948" w:rsidRPr="001110DE" w14:paraId="2615BA79" w14:textId="77777777">
      <w:pPr>
        <w:rPr>
          <w:rFonts w:ascii="Times New Roman" w:hAnsi="Times New Roman"/>
        </w:rPr>
      </w:pPr>
    </w:p>
    <w:p w:rsidR="00853BBE" w:rsidRPr="001110DE" w:rsidP="00853BBE" w14:paraId="2A9F7D9D" w14:textId="77777777">
      <w:pPr>
        <w:ind w:left="715"/>
        <w:rPr>
          <w:rFonts w:ascii="Times New Roman" w:hAnsi="Times New Roman"/>
        </w:rPr>
      </w:pPr>
      <w:r w:rsidRPr="001110DE">
        <w:rPr>
          <w:rFonts w:ascii="Times New Roman" w:hAnsi="Times New Roman"/>
        </w:rPr>
        <w:t>There are no exceptions to the certification statement.</w:t>
      </w:r>
    </w:p>
    <w:p w:rsidR="00A31948" w:rsidRPr="001110DE" w14:paraId="43A2B8B7" w14:textId="77777777">
      <w:pPr>
        <w:rPr>
          <w:rFonts w:ascii="Times New Roman" w:hAnsi="Times New Roman"/>
          <w:u w:val="single"/>
        </w:rPr>
      </w:pPr>
    </w:p>
    <w:sectPr w:rsidSect="00A3194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09B" w14:paraId="2FDE0EFF"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0A229C">
      <w:rPr>
        <w:rFonts w:cs="Courier"/>
        <w:b/>
        <w:bCs/>
        <w:noProof/>
      </w:rPr>
      <w:t>3</w:t>
    </w:r>
    <w:r>
      <w:rPr>
        <w:rFonts w:cs="Courier"/>
        <w:b/>
        <w:bCs/>
      </w:rPr>
      <w:fldChar w:fldCharType="end"/>
    </w:r>
  </w:p>
  <w:p w:rsidR="001A609B" w14:paraId="74F22307" w14:textId="77777777"/>
  <w:p w:rsidR="001A609B" w14:paraId="0836ADF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38A00DAA"/>
    <w:multiLevelType w:val="hybridMultilevel"/>
    <w:tmpl w:val="A7F4B6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9952916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97737474">
    <w:abstractNumId w:val="1"/>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77165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48"/>
    <w:rsid w:val="000306B5"/>
    <w:rsid w:val="000A229C"/>
    <w:rsid w:val="000B69F3"/>
    <w:rsid w:val="001110DE"/>
    <w:rsid w:val="001637C9"/>
    <w:rsid w:val="00163D69"/>
    <w:rsid w:val="001649E5"/>
    <w:rsid w:val="0018787E"/>
    <w:rsid w:val="001A29EC"/>
    <w:rsid w:val="001A609B"/>
    <w:rsid w:val="001B66DA"/>
    <w:rsid w:val="001E587D"/>
    <w:rsid w:val="001F1C32"/>
    <w:rsid w:val="0020669B"/>
    <w:rsid w:val="00220E73"/>
    <w:rsid w:val="00246FF5"/>
    <w:rsid w:val="002634C7"/>
    <w:rsid w:val="00275DDB"/>
    <w:rsid w:val="002834CD"/>
    <w:rsid w:val="002A463B"/>
    <w:rsid w:val="00352592"/>
    <w:rsid w:val="00372C3C"/>
    <w:rsid w:val="00407621"/>
    <w:rsid w:val="00456CF5"/>
    <w:rsid w:val="004C79C0"/>
    <w:rsid w:val="004D2A88"/>
    <w:rsid w:val="004F659A"/>
    <w:rsid w:val="005136A0"/>
    <w:rsid w:val="005C448C"/>
    <w:rsid w:val="00632130"/>
    <w:rsid w:val="0070085D"/>
    <w:rsid w:val="00736C4D"/>
    <w:rsid w:val="00764458"/>
    <w:rsid w:val="00776C92"/>
    <w:rsid w:val="007947E7"/>
    <w:rsid w:val="007B7711"/>
    <w:rsid w:val="007F43B1"/>
    <w:rsid w:val="00802AB8"/>
    <w:rsid w:val="00811719"/>
    <w:rsid w:val="00853BBE"/>
    <w:rsid w:val="00866827"/>
    <w:rsid w:val="00867664"/>
    <w:rsid w:val="00891A52"/>
    <w:rsid w:val="008B4377"/>
    <w:rsid w:val="008C459E"/>
    <w:rsid w:val="008D48ED"/>
    <w:rsid w:val="0093101F"/>
    <w:rsid w:val="00942108"/>
    <w:rsid w:val="00946F40"/>
    <w:rsid w:val="009F452B"/>
    <w:rsid w:val="00A31948"/>
    <w:rsid w:val="00A5101A"/>
    <w:rsid w:val="00A712ED"/>
    <w:rsid w:val="00A9194E"/>
    <w:rsid w:val="00AD31E9"/>
    <w:rsid w:val="00B76BB7"/>
    <w:rsid w:val="00BB2770"/>
    <w:rsid w:val="00BB5D24"/>
    <w:rsid w:val="00BF2DAD"/>
    <w:rsid w:val="00C46769"/>
    <w:rsid w:val="00C93D55"/>
    <w:rsid w:val="00CF107A"/>
    <w:rsid w:val="00DD668C"/>
    <w:rsid w:val="00E96667"/>
    <w:rsid w:val="00EA0537"/>
    <w:rsid w:val="00EC01C5"/>
    <w:rsid w:val="00EC5637"/>
    <w:rsid w:val="00F04E9D"/>
    <w:rsid w:val="00F176D2"/>
    <w:rsid w:val="00FC3C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572642"/>
  <w15:chartTrackingRefBased/>
  <w15:docId w15:val="{4F54A22F-7D13-44F2-BECD-6709A0AB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uiPriority w:val="99"/>
    <w:unhideWhenUsed/>
    <w:rsid w:val="0018787E"/>
    <w:rPr>
      <w:color w:val="0000FF"/>
      <w:u w:val="single"/>
    </w:rPr>
  </w:style>
  <w:style w:type="paragraph" w:styleId="Revision">
    <w:name w:val="Revision"/>
    <w:hidden/>
    <w:uiPriority w:val="99"/>
    <w:semiHidden/>
    <w:rsid w:val="001E587D"/>
    <w:rPr>
      <w:rFonts w:ascii="Courier" w:hAnsi="Courier"/>
      <w:sz w:val="24"/>
      <w:szCs w:val="24"/>
    </w:rPr>
  </w:style>
  <w:style w:type="character" w:styleId="CommentReference">
    <w:name w:val="annotation reference"/>
    <w:basedOn w:val="DefaultParagraphFont"/>
    <w:rsid w:val="00163D69"/>
    <w:rPr>
      <w:sz w:val="16"/>
      <w:szCs w:val="16"/>
    </w:rPr>
  </w:style>
  <w:style w:type="paragraph" w:styleId="CommentText">
    <w:name w:val="annotation text"/>
    <w:basedOn w:val="Normal"/>
    <w:link w:val="CommentTextChar"/>
    <w:rsid w:val="00163D69"/>
    <w:rPr>
      <w:sz w:val="20"/>
      <w:szCs w:val="20"/>
    </w:rPr>
  </w:style>
  <w:style w:type="character" w:customStyle="1" w:styleId="CommentTextChar">
    <w:name w:val="Comment Text Char"/>
    <w:basedOn w:val="DefaultParagraphFont"/>
    <w:link w:val="CommentText"/>
    <w:rsid w:val="00163D69"/>
    <w:rPr>
      <w:rFonts w:ascii="Courier" w:hAnsi="Courier"/>
    </w:rPr>
  </w:style>
  <w:style w:type="paragraph" w:styleId="CommentSubject">
    <w:name w:val="annotation subject"/>
    <w:basedOn w:val="CommentText"/>
    <w:next w:val="CommentText"/>
    <w:link w:val="CommentSubjectChar"/>
    <w:rsid w:val="00163D69"/>
    <w:rPr>
      <w:b/>
      <w:bCs/>
    </w:rPr>
  </w:style>
  <w:style w:type="character" w:customStyle="1" w:styleId="CommentSubjectChar">
    <w:name w:val="Comment Subject Char"/>
    <w:basedOn w:val="CommentTextChar"/>
    <w:link w:val="CommentSubject"/>
    <w:rsid w:val="00163D69"/>
    <w:rPr>
      <w:rFonts w:ascii="Courier" w:hAnsi="Courier"/>
      <w:b/>
      <w:bCs/>
    </w:rPr>
  </w:style>
  <w:style w:type="paragraph" w:styleId="ListParagraph">
    <w:name w:val="List Paragraph"/>
    <w:basedOn w:val="Normal"/>
    <w:uiPriority w:val="34"/>
    <w:qFormat/>
    <w:rsid w:val="00EC5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975</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DHSNB</dc:creator>
  <cp:lastModifiedBy>Durbala R Joseph</cp:lastModifiedBy>
  <cp:revision>6</cp:revision>
  <dcterms:created xsi:type="dcterms:W3CDTF">2023-03-13T11:45:00Z</dcterms:created>
  <dcterms:modified xsi:type="dcterms:W3CDTF">2026-02-18T12:49:00Z</dcterms:modified>
</cp:coreProperties>
</file>