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33270D" w:rsidP="00AD381B" w14:paraId="60BC1449" w14:textId="15B7F9E5">
      <w:pPr>
        <w:pStyle w:val="Heading1"/>
        <w:rPr>
          <w:b/>
          <w:bCs/>
          <w:sz w:val="24"/>
          <w:szCs w:val="24"/>
        </w:rPr>
      </w:pPr>
      <w:r w:rsidRPr="0033270D">
        <w:rPr>
          <w:b/>
          <w:bCs/>
          <w:sz w:val="24"/>
          <w:szCs w:val="24"/>
        </w:rPr>
        <w:t>SUPPORTING STATEMENT</w:t>
      </w:r>
    </w:p>
    <w:p w:rsidR="00043C32" w:rsidRPr="0033270D" w:rsidP="00AD381B" w14:paraId="60BC144A" w14:textId="77777777">
      <w:pPr>
        <w:pStyle w:val="Heading1"/>
        <w:rPr>
          <w:b/>
          <w:bCs/>
          <w:sz w:val="24"/>
          <w:szCs w:val="24"/>
        </w:rPr>
      </w:pPr>
      <w:r w:rsidRPr="3097ED47">
        <w:rPr>
          <w:b/>
          <w:bCs/>
          <w:sz w:val="24"/>
          <w:szCs w:val="24"/>
        </w:rPr>
        <w:t>FOR PAPERWORK REDUCTION ACT SUBMISSION</w:t>
      </w:r>
    </w:p>
    <w:p w:rsidR="43154CE6" w:rsidP="3097ED47" w14:paraId="1F362BEE" w14:textId="45F7E5EF">
      <w:pPr>
        <w:jc w:val="center"/>
        <w:rPr>
          <w:rFonts w:asciiTheme="minorHAnsi" w:hAnsiTheme="minorHAnsi" w:cstheme="minorBidi"/>
        </w:rPr>
      </w:pPr>
      <w:r w:rsidRPr="3097ED47">
        <w:rPr>
          <w:rFonts w:asciiTheme="minorHAnsi" w:hAnsiTheme="minorHAnsi" w:cstheme="minorBidi"/>
        </w:rPr>
        <w:t>Federal Perkins Loan Program Regulations</w:t>
      </w:r>
    </w:p>
    <w:p w:rsidR="00F600B7" w:rsidRPr="00AD381B" w:rsidP="00AD381B" w14:paraId="06AE1207" w14:textId="77777777">
      <w:pPr>
        <w:tabs>
          <w:tab w:val="left" w:pos="0"/>
        </w:tabs>
        <w:suppressAutoHyphens/>
        <w:rPr>
          <w:rFonts w:ascii="Times New Roman" w:hAnsi="Times New Roman"/>
          <w:szCs w:val="24"/>
        </w:rPr>
      </w:pPr>
    </w:p>
    <w:p w:rsidR="00EA1767" w:rsidRPr="00AD381B" w:rsidP="00AD381B"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0BC144D" w14:textId="00C131DB">
      <w:pPr>
        <w:pStyle w:val="ListParagraph"/>
        <w:suppressAutoHyphens/>
        <w:spacing w:line="240" w:lineRule="exact"/>
        <w:rPr>
          <w:rFonts w:ascii="Times New Roman" w:hAnsi="Times New Roman"/>
          <w:szCs w:val="24"/>
        </w:rPr>
      </w:pPr>
    </w:p>
    <w:p w:rsidR="0033270D" w:rsidRPr="0033270D" w:rsidP="0033270D" w14:paraId="3FB31FF9" w14:textId="181DAAC7">
      <w:pPr>
        <w:tabs>
          <w:tab w:val="left" w:pos="0"/>
        </w:tabs>
        <w:suppressAutoHyphens/>
        <w:ind w:left="720"/>
        <w:rPr>
          <w:rFonts w:asciiTheme="minorHAnsi" w:hAnsiTheme="minorHAnsi" w:cstheme="minorHAnsi"/>
          <w:szCs w:val="24"/>
        </w:rPr>
      </w:pPr>
      <w:r w:rsidRPr="7DE3F17A">
        <w:rPr>
          <w:rFonts w:asciiTheme="minorHAnsi" w:hAnsiTheme="minorHAnsi" w:cstheme="minorBidi"/>
        </w:rPr>
        <w:t>This is a request for an extension without change of the current Office of Management and Budget (OMB) approval of the reporting and recordkeeping requirement</w:t>
      </w:r>
      <w:r w:rsidRPr="7DE3F17A" w:rsidR="00C73D04">
        <w:rPr>
          <w:rFonts w:asciiTheme="minorHAnsi" w:hAnsiTheme="minorHAnsi" w:cstheme="minorBidi"/>
        </w:rPr>
        <w:t>s</w:t>
      </w:r>
      <w:r w:rsidRPr="7DE3F17A">
        <w:rPr>
          <w:rFonts w:asciiTheme="minorHAnsi" w:hAnsiTheme="minorHAnsi" w:cstheme="minorBidi"/>
        </w:rPr>
        <w:t xml:space="preserve"> contained in 34 CFR sections 674.39, 674.41, 674.42, 674.43, 674.45, 674.47, 674.48, and 674.49 under the control number 1845-0023.</w:t>
      </w:r>
    </w:p>
    <w:p w:rsidR="7DE3F17A" w:rsidP="7DE3F17A" w14:paraId="1865BA01" w14:textId="26A4F535">
      <w:pPr>
        <w:ind w:left="720"/>
        <w:rPr>
          <w:rFonts w:asciiTheme="minorHAnsi" w:hAnsiTheme="minorHAnsi" w:cstheme="minorBidi"/>
        </w:rPr>
      </w:pPr>
    </w:p>
    <w:p w:rsidR="55654F70" w:rsidP="0EA76E56" w14:paraId="1F03A7B8" w14:textId="7A7345CE">
      <w:pPr>
        <w:ind w:left="720"/>
      </w:pPr>
      <w:r w:rsidRPr="0EA76E56">
        <w:rPr>
          <w:rFonts w:ascii="Calibri" w:eastAsia="Calibri" w:hAnsi="Calibri" w:cs="Calibri"/>
          <w:szCs w:val="24"/>
        </w:rPr>
        <w:t xml:space="preserve">The One Big Beautiful Bill Act (OBBBA) signed into law on July 4, 2025, includes provisions that affect this collection; specifically, </w:t>
      </w:r>
      <w:hyperlink r:id="rId9">
        <w:r w:rsidRPr="0EA76E56">
          <w:rPr>
            <w:rStyle w:val="Hyperlink"/>
            <w:rFonts w:ascii="Calibri" w:eastAsia="Calibri" w:hAnsi="Calibri" w:cs="Calibri"/>
            <w:szCs w:val="24"/>
          </w:rPr>
          <w:t>34 CFR 674.39</w:t>
        </w:r>
      </w:hyperlink>
      <w:r w:rsidRPr="0EA76E56">
        <w:rPr>
          <w:rFonts w:ascii="Calibri" w:eastAsia="Calibri" w:hAnsi="Calibri" w:cs="Calibri"/>
          <w:szCs w:val="24"/>
        </w:rPr>
        <w:t xml:space="preserve"> Loan Rehabilitation. The Department published a Notice of Proposed Rulemaking on January 30, 2026 (91 FR 4254) and this notice captures burden changes for this requirement. That burden is assigned to 1845-0021 and available for public comment until March 2, 2026.</w:t>
      </w:r>
    </w:p>
    <w:p w:rsidR="7DE3F17A" w:rsidP="7DE3F17A" w14:paraId="10682072" w14:textId="0EDA6D75">
      <w:pPr>
        <w:ind w:left="720"/>
        <w:rPr>
          <w:rFonts w:asciiTheme="minorHAnsi" w:hAnsiTheme="minorHAnsi" w:cstheme="minorBidi"/>
        </w:rPr>
      </w:pPr>
    </w:p>
    <w:p w:rsidR="0033270D" w:rsidRPr="0033270D" w:rsidP="7DE3F17A" w14:paraId="4E1A108D" w14:textId="1ADA29E8">
      <w:pPr>
        <w:suppressAutoHyphens/>
        <w:ind w:left="720"/>
        <w:rPr>
          <w:rFonts w:asciiTheme="minorHAnsi" w:hAnsiTheme="minorHAnsi" w:cstheme="minorBidi"/>
        </w:rPr>
      </w:pPr>
      <w:r w:rsidRPr="7DE3F17A">
        <w:rPr>
          <w:rFonts w:asciiTheme="minorHAnsi" w:hAnsiTheme="minorHAnsi" w:cstheme="minorBidi"/>
        </w:rPr>
        <w:t xml:space="preserve">The information collections in these regulations are necessary to determine Federal Perkins Loan Program borrower eligibility to receive program benefits and to prevent fraud and abuse of program funds. </w:t>
      </w:r>
    </w:p>
    <w:p w:rsidR="0033270D" w:rsidRPr="0033270D" w:rsidP="0033270D" w14:paraId="58F9DC85" w14:textId="77777777">
      <w:pPr>
        <w:tabs>
          <w:tab w:val="left" w:pos="0"/>
        </w:tabs>
        <w:suppressAutoHyphens/>
        <w:ind w:left="720"/>
        <w:rPr>
          <w:rFonts w:asciiTheme="minorHAnsi" w:hAnsiTheme="minorHAnsi" w:cstheme="minorHAnsi"/>
          <w:szCs w:val="24"/>
        </w:rPr>
      </w:pPr>
    </w:p>
    <w:p w:rsidR="0033270D" w:rsidRPr="0033270D" w:rsidP="0033270D" w14:paraId="048DB85B"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674.39 – Loan rehabilitation.</w:t>
      </w:r>
    </w:p>
    <w:p w:rsidR="0033270D" w:rsidRPr="0033270D" w:rsidP="0033270D" w14:paraId="4BE62CF6"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participating institutions are required to have a loan rehabilitation program for the purposes of rehabilitating defaulted loans and outlines the requirements of the rehabilitation program.</w:t>
      </w:r>
    </w:p>
    <w:p w:rsidR="0033270D" w:rsidRPr="0033270D" w:rsidP="0033270D" w14:paraId="5857B228" w14:textId="77777777">
      <w:pPr>
        <w:tabs>
          <w:tab w:val="left" w:pos="0"/>
        </w:tabs>
        <w:suppressAutoHyphens/>
        <w:ind w:left="720"/>
        <w:rPr>
          <w:rFonts w:asciiTheme="minorHAnsi" w:hAnsiTheme="minorHAnsi" w:cstheme="minorHAnsi"/>
          <w:szCs w:val="24"/>
        </w:rPr>
      </w:pPr>
    </w:p>
    <w:p w:rsidR="0033270D" w:rsidRPr="0033270D" w:rsidP="0033270D" w14:paraId="375A8BBD"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674.41 – Due diligence – general requirements.</w:t>
      </w:r>
    </w:p>
    <w:p w:rsidR="0033270D" w:rsidRPr="0033270D" w:rsidP="0033270D" w14:paraId="27AF980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0033270D" w:rsidP="0033270D" w14:paraId="2085F37E" w14:textId="01F0A01D">
      <w:pPr>
        <w:ind w:left="720"/>
        <w:rPr>
          <w:rFonts w:asciiTheme="minorHAnsi" w:hAnsiTheme="minorHAnsi" w:cstheme="minorHAnsi"/>
          <w:szCs w:val="24"/>
        </w:rPr>
      </w:pPr>
    </w:p>
    <w:p w:rsidR="0033270D" w:rsidRPr="0033270D" w:rsidP="0033270D" w14:paraId="255C28CE" w14:textId="4BE4B87A">
      <w:pPr>
        <w:ind w:left="720"/>
        <w:rPr>
          <w:rFonts w:asciiTheme="minorHAnsi" w:hAnsiTheme="minorHAnsi" w:cstheme="minorHAnsi"/>
          <w:szCs w:val="24"/>
        </w:rPr>
      </w:pPr>
      <w:r w:rsidRPr="0033270D">
        <w:rPr>
          <w:rFonts w:asciiTheme="minorHAnsi" w:hAnsiTheme="minorHAnsi" w:cstheme="minorHAnsi"/>
          <w:szCs w:val="24"/>
        </w:rPr>
        <w:t>Section 674.42 – Contact with the borrower.</w:t>
      </w:r>
    </w:p>
    <w:p w:rsidR="0033270D" w:rsidRPr="0033270D" w:rsidP="0033270D" w14:paraId="5B962061"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0033270D" w:rsidRPr="0033270D" w:rsidP="0033270D" w14:paraId="29651643" w14:textId="77777777">
      <w:pPr>
        <w:tabs>
          <w:tab w:val="left" w:pos="0"/>
        </w:tabs>
        <w:suppressAutoHyphens/>
        <w:ind w:left="720"/>
        <w:rPr>
          <w:rFonts w:asciiTheme="minorHAnsi" w:hAnsiTheme="minorHAnsi" w:cstheme="minorHAnsi"/>
          <w:szCs w:val="24"/>
        </w:rPr>
      </w:pPr>
    </w:p>
    <w:p w:rsidR="0033270D" w:rsidRPr="0033270D" w:rsidP="0033270D" w14:paraId="2613C6D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674.43 – Billing procedures.</w:t>
      </w:r>
    </w:p>
    <w:p w:rsidR="0033270D" w:rsidRPr="0033270D" w:rsidP="0033270D" w14:paraId="5FBF9F96"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institutions are required to notify borrowers about the amount of repayment due, to remind borrowers when their payment is overdue, and to demand payment of overdue amounts. </w:t>
      </w:r>
    </w:p>
    <w:p w:rsidR="0033270D" w:rsidRPr="0033270D" w:rsidP="0033270D" w14:paraId="555A1EE6" w14:textId="77777777">
      <w:pPr>
        <w:tabs>
          <w:tab w:val="left" w:pos="0"/>
        </w:tabs>
        <w:suppressAutoHyphens/>
        <w:ind w:left="720"/>
        <w:rPr>
          <w:rFonts w:asciiTheme="minorHAnsi" w:hAnsiTheme="minorHAnsi" w:cstheme="minorHAnsi"/>
          <w:szCs w:val="24"/>
        </w:rPr>
      </w:pPr>
    </w:p>
    <w:p w:rsidR="0033270D" w:rsidRPr="0033270D" w:rsidP="0033270D" w14:paraId="7D603C7C"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674.45 – Collection procedures.</w:t>
      </w:r>
    </w:p>
    <w:p w:rsidR="0033270D" w:rsidRPr="0033270D" w:rsidP="0033270D" w14:paraId="6FFD6691"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33270D" w:rsidRPr="0033270D" w:rsidP="0033270D" w14:paraId="6754BCE3" w14:textId="77777777">
      <w:pPr>
        <w:tabs>
          <w:tab w:val="left" w:pos="0"/>
        </w:tabs>
        <w:suppressAutoHyphens/>
        <w:ind w:left="720"/>
        <w:rPr>
          <w:rFonts w:asciiTheme="minorHAnsi" w:hAnsiTheme="minorHAnsi" w:cstheme="minorHAnsi"/>
          <w:szCs w:val="24"/>
        </w:rPr>
      </w:pPr>
    </w:p>
    <w:p w:rsidR="0033270D" w:rsidRPr="0033270D" w:rsidP="0033270D" w14:paraId="38DF462E"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674.47 – Costs chargeable to the Fund.</w:t>
      </w:r>
    </w:p>
    <w:p w:rsidR="0033270D" w:rsidRPr="0033270D" w:rsidP="0033270D" w14:paraId="689413E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33270D" w:rsidRPr="0033270D" w:rsidP="0033270D" w14:paraId="13CC3972" w14:textId="77777777">
      <w:pPr>
        <w:tabs>
          <w:tab w:val="left" w:pos="0"/>
        </w:tabs>
        <w:suppressAutoHyphens/>
        <w:ind w:left="720"/>
        <w:rPr>
          <w:rFonts w:asciiTheme="minorHAnsi" w:hAnsiTheme="minorHAnsi" w:cstheme="minorHAnsi"/>
          <w:szCs w:val="24"/>
        </w:rPr>
      </w:pPr>
    </w:p>
    <w:p w:rsidR="0033270D" w:rsidRPr="0033270D" w:rsidP="0033270D" w14:paraId="1CC48A8E"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674.48 – Use of contractors to perform billing and collection activities.</w:t>
      </w:r>
    </w:p>
    <w:p w:rsidR="0033270D" w:rsidRPr="0033270D" w:rsidP="0033270D" w14:paraId="3B042FA5" w14:textId="450F42C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institutions that use contractors to perform billing and collection activities retain all responsibility to comply with the Title IV program requirements and must </w:t>
      </w:r>
      <w:r w:rsidRPr="0033270D" w:rsidR="00514886">
        <w:rPr>
          <w:rFonts w:asciiTheme="minorHAnsi" w:hAnsiTheme="minorHAnsi" w:cstheme="minorHAnsi"/>
          <w:szCs w:val="24"/>
        </w:rPr>
        <w:t>ensure</w:t>
      </w:r>
      <w:r w:rsidRPr="0033270D">
        <w:rPr>
          <w:rFonts w:asciiTheme="minorHAnsi" w:hAnsiTheme="minorHAnsi" w:cstheme="minorHAnsi"/>
          <w:szCs w:val="24"/>
        </w:rPr>
        <w:t xml:space="preserve"> that the third-party provider meets all the compliance requirements.</w:t>
      </w:r>
    </w:p>
    <w:p w:rsidR="0033270D" w:rsidRPr="0033270D" w:rsidP="0033270D" w14:paraId="2AA4A06A" w14:textId="77777777">
      <w:pPr>
        <w:tabs>
          <w:tab w:val="left" w:pos="0"/>
        </w:tabs>
        <w:suppressAutoHyphens/>
        <w:ind w:left="720"/>
        <w:rPr>
          <w:rFonts w:asciiTheme="minorHAnsi" w:hAnsiTheme="minorHAnsi" w:cstheme="minorHAnsi"/>
          <w:szCs w:val="24"/>
        </w:rPr>
      </w:pPr>
    </w:p>
    <w:p w:rsidR="0033270D" w:rsidRPr="0033270D" w:rsidP="0033270D" w14:paraId="08AAC353"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674.49 – Bankruptcy of borrower.</w:t>
      </w:r>
    </w:p>
    <w:p w:rsidR="0033270D" w:rsidRPr="0033270D" w:rsidP="0033270D" w14:paraId="1A13FF34"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F600B7" w:rsidP="00AD381B" w14:paraId="0EA249B8" w14:textId="77777777">
      <w:pPr>
        <w:pStyle w:val="ListParagraph"/>
        <w:suppressAutoHyphens/>
        <w:spacing w:line="240" w:lineRule="exact"/>
        <w:rPr>
          <w:rFonts w:ascii="Times New Roman" w:hAnsi="Times New Roman"/>
          <w:szCs w:val="24"/>
        </w:rPr>
      </w:pPr>
    </w:p>
    <w:p w:rsidR="00AD381B" w:rsidP="00AD381B"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14:paraId="60BC1450" w14:textId="77777777">
      <w:pPr>
        <w:suppressAutoHyphens/>
        <w:spacing w:line="240" w:lineRule="exact"/>
        <w:ind w:left="720"/>
        <w:rPr>
          <w:rFonts w:ascii="Times New Roman" w:hAnsi="Times New Roman"/>
          <w:szCs w:val="24"/>
        </w:rPr>
      </w:pPr>
    </w:p>
    <w:p w:rsidR="00F600B7" w:rsidRPr="0033270D" w:rsidP="303D3F3B" w14:paraId="3B06BC94" w14:textId="28B42150">
      <w:pPr>
        <w:suppressAutoHyphens/>
        <w:ind w:left="720"/>
        <w:rPr>
          <w:rFonts w:asciiTheme="minorHAnsi" w:hAnsiTheme="minorHAnsi" w:cstheme="minorBidi"/>
        </w:rPr>
      </w:pPr>
      <w:r w:rsidRPr="303D3F3B">
        <w:rPr>
          <w:rFonts w:asciiTheme="minorHAnsi" w:hAnsiTheme="minorHAnsi" w:cstheme="minorBidi"/>
        </w:rPr>
        <w:t>The information collected, recorded, and/or disclosed in 34 CFR 674.39, 674.41, 674.42, 674.43, 674.45, 674.47, and 674.49 will be used by the institution, as necessary, to provide for the making and servicing of Perkins Loans. If the information was not collected, recorded and/or disclosed as specified in these sections, the collection of Perkins Loans could be open to fraud and waste or abuse of the program funds.</w:t>
      </w:r>
    </w:p>
    <w:p w:rsidR="0033270D" w:rsidRPr="00AD381B" w:rsidP="00F600B7" w14:paraId="3C1A45CE" w14:textId="77777777">
      <w:pPr>
        <w:suppressAutoHyphens/>
        <w:spacing w:line="240" w:lineRule="exact"/>
        <w:ind w:left="720"/>
        <w:rPr>
          <w:rFonts w:ascii="Times New Roman" w:hAnsi="Times New Roman"/>
          <w:szCs w:val="24"/>
        </w:rPr>
      </w:pPr>
    </w:p>
    <w:p w:rsidR="00043C32" w:rsidRPr="00AD381B" w:rsidP="00AD381B"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0BC1453" w14:textId="77777777">
      <w:pPr>
        <w:pStyle w:val="ListParagraph"/>
        <w:tabs>
          <w:tab w:val="left" w:pos="-720"/>
        </w:tabs>
        <w:suppressAutoHyphens/>
        <w:contextualSpacing w:val="0"/>
        <w:rPr>
          <w:rFonts w:ascii="Times New Roman" w:hAnsi="Times New Roman"/>
          <w:szCs w:val="24"/>
        </w:rPr>
      </w:pPr>
    </w:p>
    <w:p w:rsidR="0033270D" w:rsidRPr="0033270D" w:rsidP="0033270D" w14:paraId="60398EF5" w14:textId="6BED70F9">
      <w:pPr>
        <w:tabs>
          <w:tab w:val="left" w:pos="-720"/>
        </w:tabs>
        <w:suppressAutoHyphens/>
        <w:ind w:left="720"/>
        <w:rPr>
          <w:rFonts w:asciiTheme="minorHAnsi" w:hAnsiTheme="minorHAnsi" w:cstheme="minorHAnsi"/>
          <w:szCs w:val="24"/>
        </w:rPr>
      </w:pPr>
      <w:r w:rsidRPr="0033270D">
        <w:rPr>
          <w:rFonts w:asciiTheme="minorHAnsi" w:hAnsiTheme="minorHAnsi" w:cstheme="minorHAnsi"/>
          <w:szCs w:val="24"/>
        </w:rPr>
        <w:t>There is nothing in these regulations that prohibits the use of technology to perform the required functions.</w:t>
      </w:r>
    </w:p>
    <w:p w:rsidR="00F600B7" w:rsidP="00AD381B" w14:paraId="4C4994F5" w14:textId="77777777">
      <w:pPr>
        <w:pStyle w:val="ListParagraph"/>
        <w:tabs>
          <w:tab w:val="left" w:pos="-720"/>
        </w:tabs>
        <w:suppressAutoHyphens/>
        <w:contextualSpacing w:val="0"/>
        <w:rPr>
          <w:rFonts w:ascii="Times New Roman" w:hAnsi="Times New Roman"/>
          <w:szCs w:val="24"/>
        </w:rPr>
      </w:pPr>
    </w:p>
    <w:p w:rsidR="00AD381B" w:rsidP="00AD381B"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F600B7" w:rsidP="00246FE9" w14:paraId="60BC1456" w14:textId="37573462">
      <w:pPr>
        <w:pStyle w:val="ListParagraph"/>
        <w:tabs>
          <w:tab w:val="left" w:pos="-720"/>
        </w:tabs>
        <w:suppressAutoHyphens/>
        <w:contextualSpacing w:val="0"/>
        <w:rPr>
          <w:rFonts w:ascii="Times New Roman" w:hAnsi="Times New Roman"/>
          <w:bCs/>
          <w:szCs w:val="24"/>
        </w:rPr>
      </w:pPr>
    </w:p>
    <w:p w:rsidR="00356E00" w:rsidRPr="00356E00" w:rsidP="00356E00" w14:paraId="6CA69C4E"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 xml:space="preserve">A review of the current procedures indicated that the requirements are minimal and avoid duplication.  </w:t>
      </w:r>
    </w:p>
    <w:p w:rsidR="00F600B7" w:rsidRPr="00F600B7" w:rsidP="00246FE9" w14:paraId="7E499519" w14:textId="77777777">
      <w:pPr>
        <w:pStyle w:val="ListParagraph"/>
        <w:tabs>
          <w:tab w:val="left" w:pos="-720"/>
        </w:tabs>
        <w:suppressAutoHyphens/>
        <w:contextualSpacing w:val="0"/>
        <w:rPr>
          <w:rFonts w:ascii="Times New Roman" w:hAnsi="Times New Roman"/>
          <w:bCs/>
          <w:szCs w:val="24"/>
        </w:rPr>
      </w:pPr>
    </w:p>
    <w:p w:rsidR="00043C32" w:rsidP="00F600B7" w14:paraId="60BC145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0BC1458" w14:textId="77777777">
      <w:pPr>
        <w:pStyle w:val="ListParagraph"/>
        <w:contextualSpacing w:val="0"/>
        <w:rPr>
          <w:rFonts w:ascii="Times New Roman" w:hAnsi="Times New Roman"/>
          <w:szCs w:val="24"/>
        </w:rPr>
      </w:pPr>
    </w:p>
    <w:p w:rsidR="00356E00" w:rsidRPr="00356E00" w:rsidP="00356E00" w14:paraId="77B5EBF0"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No small businesses are impacted by this collection.</w:t>
      </w:r>
    </w:p>
    <w:p w:rsidR="00356E00" w:rsidP="00AD381B" w14:paraId="325D3C6C" w14:textId="77777777">
      <w:pPr>
        <w:pStyle w:val="ListParagraph"/>
        <w:contextualSpacing w:val="0"/>
        <w:rPr>
          <w:rFonts w:ascii="Times New Roman" w:hAnsi="Times New Roman"/>
          <w:szCs w:val="24"/>
        </w:rPr>
      </w:pPr>
    </w:p>
    <w:p w:rsidR="00043C32" w:rsidP="00AD381B"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600B7" w:rsidRPr="00F600B7" w:rsidP="00F600B7" w14:paraId="35E67996" w14:textId="16CD0B5D">
      <w:pPr>
        <w:tabs>
          <w:tab w:val="left" w:pos="-720"/>
        </w:tabs>
        <w:suppressAutoHyphens/>
        <w:ind w:left="720"/>
        <w:rPr>
          <w:rFonts w:ascii="Times New Roman" w:hAnsi="Times New Roman"/>
          <w:bCs/>
          <w:szCs w:val="24"/>
        </w:rPr>
      </w:pPr>
    </w:p>
    <w:p w:rsidR="00356E00" w:rsidRPr="00356E00" w:rsidP="00356E00" w14:paraId="392B1AE7" w14:textId="77777777">
      <w:pPr>
        <w:tabs>
          <w:tab w:val="left" w:pos="-720"/>
        </w:tabs>
        <w:suppressAutoHyphens/>
        <w:ind w:left="720"/>
        <w:rPr>
          <w:rFonts w:asciiTheme="minorHAnsi" w:hAnsiTheme="minorHAnsi" w:cstheme="minorHAnsi"/>
        </w:rPr>
      </w:pPr>
      <w:r w:rsidRPr="00356E00">
        <w:rPr>
          <w:rFonts w:asciiTheme="minorHAnsi" w:hAnsiTheme="minorHAnsi" w:cstheme="minorHAnsi"/>
          <w:szCs w:val="24"/>
        </w:rPr>
        <w:t>The recordkeeping and reporting requirements are needed to assure accountability of program participants for proper program administration and less frequent collection could impair accountability of program participants and risk a loss of fiduciary security.</w:t>
      </w:r>
    </w:p>
    <w:p w:rsidR="00F600B7" w:rsidRPr="00F600B7" w:rsidP="00F600B7" w14:paraId="3B4A9587" w14:textId="77777777">
      <w:pPr>
        <w:tabs>
          <w:tab w:val="left" w:pos="-720"/>
        </w:tabs>
        <w:suppressAutoHyphens/>
        <w:ind w:left="720"/>
        <w:rPr>
          <w:rFonts w:ascii="Times New Roman" w:hAnsi="Times New Roman"/>
          <w:bCs/>
          <w:szCs w:val="24"/>
        </w:rPr>
      </w:pPr>
    </w:p>
    <w:p w:rsidR="00043C32" w:rsidRPr="00AD381B" w:rsidP="00AD381B" w14:paraId="60BC145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BC145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0BC145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0BC146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0BC14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0BC14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0BC14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0BC146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0BC146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F600B7" w:rsidP="00AD381B" w14:paraId="60BC146C" w14:textId="4A47232F">
      <w:pPr>
        <w:pStyle w:val="ListParagraph"/>
        <w:rPr>
          <w:rFonts w:ascii="Times New Roman" w:hAnsi="Times New Roman"/>
          <w:bCs/>
          <w:szCs w:val="24"/>
        </w:rPr>
      </w:pPr>
    </w:p>
    <w:p w:rsidR="00356E00" w:rsidRPr="00356E00" w:rsidP="00356E00" w14:paraId="54733BC7"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The collection of this information is conducted in a manner that is consistent with the guidelines in 5 CFR 1320.5(d)(2).</w:t>
      </w:r>
    </w:p>
    <w:p w:rsidR="00AD381B" w:rsidRPr="00F600B7" w:rsidP="00F600B7" w14:paraId="60BC146D" w14:textId="77777777">
      <w:pPr>
        <w:tabs>
          <w:tab w:val="left" w:pos="-720"/>
        </w:tabs>
        <w:suppressAutoHyphens/>
        <w:ind w:left="720"/>
        <w:rPr>
          <w:rFonts w:ascii="Times New Roman" w:hAnsi="Times New Roman"/>
          <w:bCs/>
          <w:szCs w:val="24"/>
        </w:rPr>
      </w:pPr>
    </w:p>
    <w:p w:rsidR="00D75313" w:rsidP="00AD381B"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0BC147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0BC1474" w14:textId="77777777">
      <w:pPr>
        <w:tabs>
          <w:tab w:val="left" w:pos="-720"/>
        </w:tabs>
        <w:suppressAutoHyphens/>
        <w:rPr>
          <w:rStyle w:val="a"/>
          <w:rFonts w:ascii="Times New Roman" w:hAnsi="Times New Roman"/>
          <w:b/>
          <w:szCs w:val="24"/>
        </w:rPr>
      </w:pPr>
    </w:p>
    <w:p w:rsidR="00043C32" w:rsidP="1A2142CA" w14:paraId="60BC1475" w14:textId="7B6553AF">
      <w:pPr>
        <w:suppressAutoHyphens/>
        <w:ind w:left="720"/>
        <w:rPr>
          <w:rStyle w:val="a"/>
          <w:rFonts w:ascii="Times New Roman" w:hAnsi="Times New Roman"/>
          <w:b/>
          <w:bCs/>
        </w:rPr>
      </w:pPr>
      <w:r w:rsidRPr="1A2142CA">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1A2142CA" w:rsidP="1A2142CA" w14:paraId="01C22AA8" w14:textId="18907379">
      <w:pPr>
        <w:ind w:left="720"/>
        <w:rPr>
          <w:rFonts w:ascii="Times New Roman" w:hAnsi="Times New Roman"/>
        </w:rPr>
      </w:pPr>
    </w:p>
    <w:p w:rsidR="00AD381B" w:rsidP="33F00343" w14:paraId="2DE40050" w14:textId="761EC0FB">
      <w:pPr>
        <w:suppressAutoHyphens/>
        <w:ind w:left="720"/>
        <w:rPr>
          <w:rFonts w:asciiTheme="minorHAnsi" w:eastAsiaTheme="minorEastAsia" w:hAnsiTheme="minorHAnsi" w:cstheme="minorBidi"/>
        </w:rPr>
      </w:pPr>
      <w:r w:rsidRPr="33F00343">
        <w:rPr>
          <w:rFonts w:asciiTheme="minorHAnsi" w:eastAsiaTheme="minorEastAsia" w:hAnsiTheme="minorHAnsi" w:cstheme="minorBidi"/>
        </w:rPr>
        <w:t xml:space="preserve">On February 23, </w:t>
      </w:r>
      <w:r w:rsidRPr="33F00343" w:rsidR="00B4397A">
        <w:rPr>
          <w:rFonts w:asciiTheme="minorHAnsi" w:eastAsiaTheme="minorEastAsia" w:hAnsiTheme="minorHAnsi" w:cstheme="minorBidi"/>
        </w:rPr>
        <w:t>2026,</w:t>
      </w:r>
      <w:r w:rsidRPr="33F00343" w:rsidR="008B4975">
        <w:rPr>
          <w:rFonts w:asciiTheme="minorHAnsi" w:eastAsiaTheme="minorEastAsia" w:hAnsiTheme="minorHAnsi" w:cstheme="minorBidi"/>
        </w:rPr>
        <w:t xml:space="preserve"> t</w:t>
      </w:r>
      <w:r w:rsidRPr="33F00343" w:rsidR="04324E52">
        <w:rPr>
          <w:rFonts w:asciiTheme="minorHAnsi" w:eastAsiaTheme="minorEastAsia" w:hAnsiTheme="minorHAnsi" w:cstheme="minorBidi"/>
        </w:rPr>
        <w:t xml:space="preserve">he Department </w:t>
      </w:r>
      <w:r w:rsidRPr="33F00343" w:rsidR="008B4975">
        <w:rPr>
          <w:rFonts w:asciiTheme="minorHAnsi" w:eastAsiaTheme="minorEastAsia" w:hAnsiTheme="minorHAnsi" w:cstheme="minorBidi"/>
        </w:rPr>
        <w:t>published a Federal Register Notice (</w:t>
      </w:r>
      <w:r w:rsidRPr="33F00343" w:rsidR="00ED54FA">
        <w:rPr>
          <w:rFonts w:asciiTheme="minorHAnsi" w:eastAsiaTheme="minorEastAsia" w:hAnsiTheme="minorHAnsi" w:cstheme="minorBidi"/>
        </w:rPr>
        <w:t xml:space="preserve">91 FR 8471) opening a 60-day public comment period on this collection. Only </w:t>
      </w:r>
      <w:r w:rsidRPr="33F00343" w:rsidR="004B45A2">
        <w:rPr>
          <w:rFonts w:asciiTheme="minorHAnsi" w:eastAsiaTheme="minorEastAsia" w:hAnsiTheme="minorHAnsi" w:cstheme="minorBidi"/>
        </w:rPr>
        <w:t>two</w:t>
      </w:r>
      <w:r w:rsidRPr="33F00343" w:rsidR="00ED54FA">
        <w:rPr>
          <w:rFonts w:asciiTheme="minorHAnsi" w:eastAsiaTheme="minorEastAsia" w:hAnsiTheme="minorHAnsi" w:cstheme="minorBidi"/>
        </w:rPr>
        <w:t xml:space="preserve"> nonsubstantial comment</w:t>
      </w:r>
      <w:r w:rsidRPr="33F00343" w:rsidR="004B45A2">
        <w:rPr>
          <w:rFonts w:asciiTheme="minorHAnsi" w:eastAsiaTheme="minorEastAsia" w:hAnsiTheme="minorHAnsi" w:cstheme="minorBidi"/>
        </w:rPr>
        <w:t>s</w:t>
      </w:r>
      <w:r w:rsidRPr="33F00343" w:rsidR="00ED54FA">
        <w:rPr>
          <w:rFonts w:asciiTheme="minorHAnsi" w:eastAsiaTheme="minorEastAsia" w:hAnsiTheme="minorHAnsi" w:cstheme="minorBidi"/>
        </w:rPr>
        <w:t xml:space="preserve"> w</w:t>
      </w:r>
      <w:r w:rsidRPr="33F00343" w:rsidR="00292F41">
        <w:rPr>
          <w:rFonts w:asciiTheme="minorHAnsi" w:eastAsiaTheme="minorEastAsia" w:hAnsiTheme="minorHAnsi" w:cstheme="minorBidi"/>
        </w:rPr>
        <w:t>ere</w:t>
      </w:r>
      <w:r w:rsidRPr="33F00343" w:rsidR="00ED54FA">
        <w:rPr>
          <w:rFonts w:asciiTheme="minorHAnsi" w:eastAsiaTheme="minorEastAsia" w:hAnsiTheme="minorHAnsi" w:cstheme="minorBidi"/>
        </w:rPr>
        <w:t xml:space="preserve"> received.</w:t>
      </w:r>
      <w:r w:rsidRPr="33F00343" w:rsidR="04324E52">
        <w:rPr>
          <w:rFonts w:asciiTheme="minorHAnsi" w:eastAsiaTheme="minorEastAsia" w:hAnsiTheme="minorHAnsi" w:cstheme="minorBidi"/>
        </w:rPr>
        <w:t xml:space="preserve"> </w:t>
      </w:r>
      <w:r w:rsidRPr="33F00343" w:rsidR="200E6468">
        <w:rPr>
          <w:rFonts w:asciiTheme="minorHAnsi" w:eastAsiaTheme="minorEastAsia" w:hAnsiTheme="minorHAnsi" w:cstheme="minorBidi"/>
        </w:rPr>
        <w:t xml:space="preserve">No changes were made to the information collection. </w:t>
      </w:r>
      <w:r w:rsidRPr="33F00343" w:rsidR="04324E52">
        <w:rPr>
          <w:rFonts w:asciiTheme="minorHAnsi" w:eastAsiaTheme="minorEastAsia" w:hAnsiTheme="minorHAnsi" w:cstheme="minorBidi"/>
        </w:rPr>
        <w:t xml:space="preserve">This is </w:t>
      </w:r>
      <w:r w:rsidRPr="33F00343" w:rsidR="00E33822">
        <w:rPr>
          <w:rFonts w:asciiTheme="minorHAnsi" w:eastAsiaTheme="minorEastAsia" w:hAnsiTheme="minorHAnsi" w:cstheme="minorBidi"/>
        </w:rPr>
        <w:t xml:space="preserve">now </w:t>
      </w:r>
      <w:r w:rsidRPr="33F00343" w:rsidR="04324E52">
        <w:rPr>
          <w:rFonts w:asciiTheme="minorHAnsi" w:eastAsiaTheme="minorEastAsia" w:hAnsiTheme="minorHAnsi" w:cstheme="minorBidi"/>
        </w:rPr>
        <w:t xml:space="preserve">the request for the </w:t>
      </w:r>
      <w:r w:rsidRPr="33F00343" w:rsidR="00E33822">
        <w:rPr>
          <w:rFonts w:asciiTheme="minorHAnsi" w:eastAsiaTheme="minorEastAsia" w:hAnsiTheme="minorHAnsi" w:cstheme="minorBidi"/>
        </w:rPr>
        <w:t>3</w:t>
      </w:r>
      <w:r w:rsidRPr="33F00343" w:rsidR="04324E52">
        <w:rPr>
          <w:rFonts w:asciiTheme="minorHAnsi" w:eastAsiaTheme="minorEastAsia" w:hAnsiTheme="minorHAnsi" w:cstheme="minorBidi"/>
        </w:rPr>
        <w:t>0-day public comment period.</w:t>
      </w:r>
    </w:p>
    <w:p w:rsidR="00DE4B55" w:rsidP="0353447D" w14:paraId="3B58D8B0" w14:textId="6E3AE9EF">
      <w:pPr>
        <w:suppressAutoHyphens/>
        <w:ind w:left="720"/>
        <w:rPr>
          <w:rFonts w:ascii="Times New Roman" w:hAnsi="Times New Roman"/>
        </w:rPr>
      </w:pPr>
    </w:p>
    <w:p w:rsidR="00043C32" w:rsidP="00AD381B"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F600B7" w:rsidP="00920F63" w14:paraId="60BC1479" w14:textId="77777777">
      <w:pPr>
        <w:pStyle w:val="ListParagraph"/>
        <w:tabs>
          <w:tab w:val="left" w:pos="-720"/>
        </w:tabs>
        <w:suppressAutoHyphens/>
        <w:contextualSpacing w:val="0"/>
        <w:rPr>
          <w:rFonts w:ascii="Times New Roman" w:hAnsi="Times New Roman"/>
          <w:bCs/>
          <w:szCs w:val="24"/>
        </w:rPr>
      </w:pPr>
    </w:p>
    <w:p w:rsidR="00356E00" w:rsidRPr="00356E00" w:rsidP="00356E00" w14:paraId="08109C9F"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No payments or gifts will be provided to the respondents that provide the information.</w:t>
      </w:r>
    </w:p>
    <w:p w:rsidR="00F600B7" w:rsidRPr="00F600B7" w:rsidP="00920F63" w14:paraId="6DC1FB78" w14:textId="77777777">
      <w:pPr>
        <w:pStyle w:val="ListParagraph"/>
        <w:tabs>
          <w:tab w:val="left" w:pos="-720"/>
        </w:tabs>
        <w:suppressAutoHyphens/>
        <w:contextualSpacing w:val="0"/>
        <w:rPr>
          <w:rFonts w:ascii="Times New Roman" w:hAnsi="Times New Roman"/>
          <w:bCs/>
          <w:szCs w:val="24"/>
        </w:rPr>
      </w:pPr>
    </w:p>
    <w:p w:rsidR="00043C32" w:rsidRPr="00D75313" w:rsidP="00AD381B"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14:paraId="60BC147C" w14:textId="6C557AF0">
      <w:pPr>
        <w:tabs>
          <w:tab w:val="left" w:pos="-720"/>
        </w:tabs>
        <w:suppressAutoHyphens/>
        <w:ind w:left="720"/>
        <w:rPr>
          <w:rFonts w:ascii="Times New Roman" w:hAnsi="Times New Roman"/>
          <w:bCs/>
          <w:szCs w:val="24"/>
        </w:rPr>
      </w:pPr>
    </w:p>
    <w:p w:rsidR="00356E00" w:rsidRPr="00356E00" w:rsidP="4DD7667B" w14:paraId="3041C705" w14:textId="42CD5D6D">
      <w:pPr>
        <w:suppressAutoHyphens/>
        <w:ind w:left="720"/>
        <w:rPr>
          <w:rFonts w:asciiTheme="minorHAnsi" w:hAnsiTheme="minorHAnsi" w:cstheme="minorBidi"/>
        </w:rPr>
      </w:pPr>
      <w:r w:rsidRPr="4DD7667B">
        <w:rPr>
          <w:rFonts w:asciiTheme="minorHAnsi" w:hAnsiTheme="minorHAnsi" w:cstheme="minorBidi"/>
        </w:rPr>
        <w:t>A Privacy Act Notice is included on the Federal Perkins Loan Promissory Note. In this notice, the borrower is informed of the statutory authority for collecting the information required. Although disclosure of the information is voluntary, the borrower is informed that in order to be considered for Perkins Loan Program funds, the information must be provided. The information provided is used to verify the borrower’s identity, to determine the borrower’s eligibility to receive a Perkins Loan Program loan and benefits,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00920F63" w:rsidRPr="00F600B7" w:rsidP="00F600B7" w14:paraId="60BC147D" w14:textId="77777777">
      <w:pPr>
        <w:tabs>
          <w:tab w:val="left" w:pos="-720"/>
        </w:tabs>
        <w:suppressAutoHyphens/>
        <w:ind w:left="720"/>
        <w:rPr>
          <w:rFonts w:ascii="Times New Roman" w:hAnsi="Times New Roman"/>
          <w:bCs/>
          <w:szCs w:val="24"/>
        </w:rPr>
      </w:pPr>
    </w:p>
    <w:p w:rsidR="00043C32" w:rsidP="00AD381B"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F600B7" w:rsidP="00F600B7" w14:paraId="60BC147F" w14:textId="77777777">
      <w:pPr>
        <w:tabs>
          <w:tab w:val="left" w:pos="-720"/>
        </w:tabs>
        <w:suppressAutoHyphens/>
        <w:ind w:left="720"/>
        <w:rPr>
          <w:rFonts w:ascii="Times New Roman" w:hAnsi="Times New Roman"/>
          <w:bCs/>
          <w:szCs w:val="24"/>
        </w:rPr>
      </w:pPr>
    </w:p>
    <w:p w:rsidR="00356E00" w:rsidRPr="00356E00" w:rsidP="00356E00" w14:paraId="53188BAF" w14:textId="65CD02F1">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The Department is not requesting any sensitive data</w:t>
      </w:r>
      <w:r w:rsidR="00E22945">
        <w:rPr>
          <w:rFonts w:asciiTheme="minorHAnsi" w:hAnsiTheme="minorHAnsi" w:cstheme="minorHAnsi"/>
          <w:szCs w:val="24"/>
        </w:rPr>
        <w:t xml:space="preserve"> as identified</w:t>
      </w:r>
      <w:r w:rsidRPr="00356E00">
        <w:rPr>
          <w:rFonts w:asciiTheme="minorHAnsi" w:hAnsiTheme="minorHAnsi" w:cstheme="minorHAnsi"/>
          <w:szCs w:val="24"/>
        </w:rPr>
        <w:t>.</w:t>
      </w:r>
    </w:p>
    <w:p w:rsidR="00F600B7" w:rsidRPr="00F600B7" w:rsidP="00F600B7" w14:paraId="197A1345" w14:textId="77777777">
      <w:pPr>
        <w:tabs>
          <w:tab w:val="left" w:pos="-720"/>
        </w:tabs>
        <w:suppressAutoHyphens/>
        <w:ind w:left="720"/>
        <w:rPr>
          <w:rFonts w:ascii="Times New Roman" w:hAnsi="Times New Roman"/>
          <w:bCs/>
          <w:szCs w:val="24"/>
        </w:rPr>
      </w:pPr>
    </w:p>
    <w:p w:rsidR="00043C32" w:rsidRPr="00920F63" w:rsidP="00AD381B"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0BC1482" w14:textId="77777777">
      <w:pPr>
        <w:tabs>
          <w:tab w:val="left" w:pos="-720"/>
        </w:tabs>
        <w:suppressAutoHyphens/>
        <w:rPr>
          <w:rStyle w:val="a"/>
          <w:rFonts w:ascii="Times New Roman" w:hAnsi="Times New Roman"/>
          <w:b/>
          <w:szCs w:val="24"/>
        </w:rPr>
      </w:pPr>
    </w:p>
    <w:p w:rsidR="00C224FD" w:rsidP="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0BC1488" w14:textId="77777777">
      <w:pPr>
        <w:tabs>
          <w:tab w:val="left" w:pos="-720"/>
          <w:tab w:val="left" w:pos="1247"/>
        </w:tabs>
        <w:suppressAutoHyphens/>
        <w:rPr>
          <w:rStyle w:val="a"/>
          <w:rFonts w:ascii="Times New Roman" w:hAnsi="Times New Roman"/>
          <w:b/>
          <w:szCs w:val="24"/>
        </w:rPr>
      </w:pPr>
    </w:p>
    <w:p w:rsidR="002B3BE8" w:rsidRPr="002B3BE8" w:rsidP="002B3BE8" w14:paraId="458775D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674.39 – Loan rehabilitation.</w:t>
      </w:r>
    </w:p>
    <w:p w:rsidR="002B3BE8" w:rsidRPr="002B3BE8" w:rsidP="002B3BE8" w14:paraId="78C0E2A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Participating institutions are required to have a loan rehabilitation program for the purposes of rehabilitating defaulted Perkins Loans.</w:t>
      </w:r>
    </w:p>
    <w:p w:rsidR="002B3BE8" w:rsidRPr="002B3BE8" w:rsidP="002B3BE8" w14:paraId="1AC495FC" w14:textId="77777777">
      <w:pPr>
        <w:tabs>
          <w:tab w:val="left" w:pos="0"/>
        </w:tabs>
        <w:suppressAutoHyphens/>
        <w:ind w:left="720"/>
        <w:rPr>
          <w:rFonts w:asciiTheme="minorHAnsi" w:hAnsiTheme="minorHAnsi" w:cstheme="minorHAnsi"/>
          <w:szCs w:val="24"/>
        </w:rPr>
      </w:pPr>
    </w:p>
    <w:p w:rsidR="002B3BE8" w:rsidRPr="002B3BE8" w:rsidP="002B3BE8" w14:paraId="02BAB2B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4F6641D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519,466 X .016666 hours</w:t>
      </w:r>
      <w:r w:rsidRPr="002B3BE8">
        <w:rPr>
          <w:rFonts w:asciiTheme="minorHAnsi" w:hAnsiTheme="minorHAnsi" w:cstheme="minorHAnsi"/>
          <w:szCs w:val="24"/>
        </w:rPr>
        <w:tab/>
        <w:t>=   8,657 hours</w:t>
      </w:r>
    </w:p>
    <w:p w:rsidR="002B3BE8" w:rsidRPr="002B3BE8" w:rsidP="002B3BE8" w14:paraId="20F798A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55A882E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.45 hours</w:t>
      </w:r>
      <w:r w:rsidRPr="002B3BE8">
        <w:rPr>
          <w:rFonts w:asciiTheme="minorHAnsi" w:hAnsiTheme="minorHAnsi" w:cstheme="minorHAnsi"/>
          <w:szCs w:val="24"/>
        </w:rPr>
        <w:tab/>
      </w:r>
      <w:r w:rsidRPr="002B3BE8">
        <w:rPr>
          <w:rFonts w:asciiTheme="minorHAnsi" w:hAnsiTheme="minorHAnsi" w:cstheme="minorHAnsi"/>
          <w:szCs w:val="24"/>
        </w:rPr>
        <w:tab/>
        <w:t>=      254 hours</w:t>
      </w:r>
    </w:p>
    <w:p w:rsidR="002B3BE8" w:rsidRPr="002B3BE8" w:rsidP="002B3BE8" w14:paraId="3CB2CD4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.45 hours</w:t>
      </w:r>
      <w:r w:rsidRPr="002B3BE8">
        <w:rPr>
          <w:rFonts w:asciiTheme="minorHAnsi" w:hAnsiTheme="minorHAnsi" w:cstheme="minorHAnsi"/>
          <w:szCs w:val="24"/>
        </w:rPr>
        <w:tab/>
      </w:r>
      <w:r w:rsidRPr="002B3BE8">
        <w:rPr>
          <w:rFonts w:asciiTheme="minorHAnsi" w:hAnsiTheme="minorHAnsi" w:cstheme="minorHAnsi"/>
          <w:szCs w:val="24"/>
        </w:rPr>
        <w:tab/>
        <w:t>=      396 hours</w:t>
      </w:r>
    </w:p>
    <w:p w:rsidR="002B3BE8" w:rsidRPr="002B3BE8" w:rsidP="002B3BE8" w14:paraId="327921B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.45 hours</w:t>
      </w:r>
      <w:r w:rsidRPr="002B3BE8">
        <w:rPr>
          <w:rFonts w:asciiTheme="minorHAnsi" w:hAnsiTheme="minorHAnsi" w:cstheme="minorHAnsi"/>
          <w:szCs w:val="24"/>
        </w:rPr>
        <w:tab/>
      </w:r>
      <w:r w:rsidRPr="002B3BE8">
        <w:rPr>
          <w:rFonts w:asciiTheme="minorHAnsi" w:hAnsiTheme="minorHAnsi" w:cstheme="minorHAnsi"/>
          <w:szCs w:val="24"/>
        </w:rPr>
        <w:tab/>
        <w:t>=        49 hours</w:t>
      </w:r>
    </w:p>
    <w:p w:rsidR="002B3BE8" w:rsidRPr="002B3BE8" w:rsidP="002B3BE8" w14:paraId="6C0E2611" w14:textId="77777777">
      <w:pPr>
        <w:tabs>
          <w:tab w:val="left" w:pos="0"/>
        </w:tabs>
        <w:suppressAutoHyphens/>
        <w:ind w:left="720"/>
        <w:rPr>
          <w:rFonts w:asciiTheme="minorHAnsi" w:hAnsiTheme="minorHAnsi" w:cstheme="minorHAnsi"/>
          <w:szCs w:val="24"/>
        </w:rPr>
      </w:pPr>
    </w:p>
    <w:p w:rsidR="002B3BE8" w:rsidRPr="002B3BE8" w:rsidP="002B3BE8" w14:paraId="75D73ECD"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5D913C9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b/>
        <w:t>521,019</w:t>
      </w:r>
      <w:r w:rsidRPr="002B3BE8">
        <w:rPr>
          <w:rFonts w:asciiTheme="minorHAnsi" w:hAnsiTheme="minorHAnsi" w:cstheme="minorHAnsi"/>
          <w:szCs w:val="24"/>
        </w:rPr>
        <w:tab/>
      </w:r>
      <w:r w:rsidRPr="002B3BE8">
        <w:rPr>
          <w:rFonts w:asciiTheme="minorHAnsi" w:hAnsiTheme="minorHAnsi" w:cstheme="minorHAnsi"/>
          <w:szCs w:val="24"/>
        </w:rPr>
        <w:tab/>
        <w:t>521,019</w:t>
      </w:r>
      <w:r w:rsidRPr="002B3BE8">
        <w:rPr>
          <w:rFonts w:asciiTheme="minorHAnsi" w:hAnsiTheme="minorHAnsi" w:cstheme="minorHAnsi"/>
          <w:szCs w:val="24"/>
        </w:rPr>
        <w:tab/>
      </w:r>
      <w:r w:rsidRPr="002B3BE8">
        <w:rPr>
          <w:rFonts w:asciiTheme="minorHAnsi" w:hAnsiTheme="minorHAnsi" w:cstheme="minorHAnsi"/>
          <w:szCs w:val="24"/>
        </w:rPr>
        <w:tab/>
        <w:t xml:space="preserve">    9,356</w:t>
      </w:r>
    </w:p>
    <w:p w:rsidR="002B3BE8" w:rsidRPr="002B3BE8" w:rsidP="002B3BE8" w14:paraId="27CDC838" w14:textId="77777777">
      <w:pPr>
        <w:tabs>
          <w:tab w:val="left" w:pos="0"/>
        </w:tabs>
        <w:suppressAutoHyphens/>
        <w:ind w:left="720"/>
        <w:rPr>
          <w:rFonts w:asciiTheme="minorHAnsi" w:hAnsiTheme="minorHAnsi" w:cstheme="minorHAnsi"/>
          <w:szCs w:val="24"/>
        </w:rPr>
      </w:pPr>
    </w:p>
    <w:p w:rsidR="002B3BE8" w:rsidRPr="002B3BE8" w:rsidP="002B3BE8" w14:paraId="1C86C6A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674.41 – Due diligence – general requirements.</w:t>
      </w:r>
    </w:p>
    <w:p w:rsidR="002B3BE8" w:rsidRPr="002B3BE8" w:rsidP="002B3BE8" w14:paraId="797F413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002B3BE8" w:rsidRPr="002B3BE8" w:rsidP="002B3BE8" w14:paraId="21F4D6CF" w14:textId="77777777">
      <w:pPr>
        <w:tabs>
          <w:tab w:val="left" w:pos="0"/>
        </w:tabs>
        <w:suppressAutoHyphens/>
        <w:ind w:left="720"/>
        <w:rPr>
          <w:rFonts w:asciiTheme="minorHAnsi" w:hAnsiTheme="minorHAnsi" w:cstheme="minorHAnsi"/>
          <w:szCs w:val="24"/>
        </w:rPr>
      </w:pPr>
    </w:p>
    <w:p w:rsidR="002B3BE8" w:rsidRPr="002B3BE8" w:rsidP="002B3BE8" w14:paraId="48E18D2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0FF0F5B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2,215,450 X .016666 hours</w:t>
      </w:r>
      <w:r w:rsidRPr="002B3BE8">
        <w:rPr>
          <w:rFonts w:asciiTheme="minorHAnsi" w:hAnsiTheme="minorHAnsi" w:cstheme="minorHAnsi"/>
          <w:szCs w:val="24"/>
        </w:rPr>
        <w:tab/>
        <w:t>=   36,923 hours</w:t>
      </w:r>
    </w:p>
    <w:p w:rsidR="002B3BE8" w:rsidRPr="002B3BE8" w:rsidP="002B3BE8" w14:paraId="2A0F8AE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3150B1C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002B3BE8" w:rsidRPr="002B3BE8" w:rsidP="002B3BE8" w14:paraId="7FC22FA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002B3BE8" w:rsidRPr="002B3BE8" w:rsidP="002B3BE8" w14:paraId="57AA471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002B3BE8" w:rsidRPr="002B3BE8" w:rsidP="002B3BE8" w14:paraId="3A765DA1" w14:textId="77777777">
      <w:pPr>
        <w:tabs>
          <w:tab w:val="left" w:pos="0"/>
        </w:tabs>
        <w:suppressAutoHyphens/>
        <w:ind w:left="720"/>
        <w:rPr>
          <w:rFonts w:asciiTheme="minorHAnsi" w:hAnsiTheme="minorHAnsi" w:cstheme="minorHAnsi"/>
          <w:szCs w:val="24"/>
        </w:rPr>
      </w:pPr>
    </w:p>
    <w:p w:rsidR="002B3BE8" w:rsidRPr="002B3BE8" w:rsidP="002B3BE8" w14:paraId="69F2B14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1E877E5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 215,450*</w:t>
      </w:r>
      <w:r w:rsidRPr="002B3BE8">
        <w:rPr>
          <w:rFonts w:asciiTheme="minorHAnsi" w:hAnsiTheme="minorHAnsi" w:cstheme="minorHAnsi"/>
          <w:szCs w:val="24"/>
        </w:rPr>
        <w:tab/>
        <w:t xml:space="preserve">      2, 217,003</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39,129</w:t>
      </w:r>
    </w:p>
    <w:p w:rsidR="002B3BE8" w:rsidRPr="002B3BE8" w:rsidP="002B3BE8" w14:paraId="4F073E2D" w14:textId="77777777">
      <w:pPr>
        <w:tabs>
          <w:tab w:val="left" w:pos="0"/>
        </w:tabs>
        <w:suppressAutoHyphens/>
        <w:ind w:left="720"/>
        <w:rPr>
          <w:rFonts w:asciiTheme="minorHAnsi" w:hAnsiTheme="minorHAnsi" w:cstheme="minorHAnsi"/>
          <w:szCs w:val="24"/>
        </w:rPr>
      </w:pPr>
    </w:p>
    <w:p w:rsidR="002B3BE8" w:rsidRPr="002B3BE8" w:rsidP="002B3BE8" w14:paraId="63E92B5F" w14:textId="77777777">
      <w:pPr>
        <w:tabs>
          <w:tab w:val="left" w:pos="0"/>
        </w:tabs>
        <w:suppressAutoHyphens/>
        <w:ind w:left="720"/>
        <w:rPr>
          <w:rFonts w:asciiTheme="minorHAnsi" w:hAnsiTheme="minorHAnsi" w:cstheme="minorHAnsi"/>
          <w:szCs w:val="24"/>
        </w:rPr>
      </w:pPr>
    </w:p>
    <w:p w:rsidR="002B3BE8" w:rsidRPr="002B3BE8" w:rsidP="002B3BE8" w14:paraId="0331D25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674.42 – Contact with the borrower.</w:t>
      </w:r>
    </w:p>
    <w:p w:rsidR="002B3BE8" w:rsidRPr="002B3BE8" w:rsidP="002B3BE8" w14:paraId="295F7D5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002B3BE8" w:rsidRPr="002B3BE8" w:rsidP="002B3BE8" w14:paraId="4F57763A" w14:textId="77777777">
      <w:pPr>
        <w:tabs>
          <w:tab w:val="left" w:pos="0"/>
        </w:tabs>
        <w:suppressAutoHyphens/>
        <w:ind w:left="720"/>
        <w:rPr>
          <w:rFonts w:asciiTheme="minorHAnsi" w:hAnsiTheme="minorHAnsi" w:cstheme="minorHAnsi"/>
          <w:szCs w:val="24"/>
        </w:rPr>
      </w:pPr>
    </w:p>
    <w:p w:rsidR="002B3BE8" w:rsidRPr="002B3BE8" w:rsidP="002B3BE8" w14:paraId="695F6BD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0CB89F4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2,215,450 X .016666 hours</w:t>
      </w:r>
      <w:r w:rsidRPr="002B3BE8">
        <w:rPr>
          <w:rFonts w:asciiTheme="minorHAnsi" w:hAnsiTheme="minorHAnsi" w:cstheme="minorHAnsi"/>
          <w:szCs w:val="24"/>
        </w:rPr>
        <w:tab/>
        <w:t>=   36,923 hours</w:t>
      </w:r>
    </w:p>
    <w:p w:rsidR="002B3BE8" w:rsidRPr="002B3BE8" w:rsidP="002B3BE8" w14:paraId="21C3128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53AB880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002B3BE8" w:rsidRPr="002B3BE8" w:rsidP="002B3BE8" w14:paraId="768F834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002B3BE8" w:rsidRPr="002B3BE8" w:rsidP="002B3BE8" w14:paraId="7AAD620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002B3BE8" w:rsidRPr="002B3BE8" w:rsidP="002B3BE8" w14:paraId="6897DD19" w14:textId="77777777">
      <w:pPr>
        <w:tabs>
          <w:tab w:val="left" w:pos="0"/>
        </w:tabs>
        <w:suppressAutoHyphens/>
        <w:ind w:left="720"/>
        <w:rPr>
          <w:rFonts w:asciiTheme="minorHAnsi" w:hAnsiTheme="minorHAnsi" w:cstheme="minorHAnsi"/>
          <w:szCs w:val="24"/>
        </w:rPr>
      </w:pPr>
    </w:p>
    <w:p w:rsidR="002B3BE8" w:rsidRPr="002B3BE8" w:rsidP="002B3BE8" w14:paraId="2509E77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0801A2D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 215,450*</w:t>
      </w:r>
      <w:r w:rsidRPr="002B3BE8">
        <w:rPr>
          <w:rFonts w:asciiTheme="minorHAnsi" w:hAnsiTheme="minorHAnsi" w:cstheme="minorHAnsi"/>
          <w:szCs w:val="24"/>
        </w:rPr>
        <w:tab/>
        <w:t xml:space="preserve">      2, 217,003</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39, 129</w:t>
      </w:r>
    </w:p>
    <w:p w:rsidR="002B3BE8" w:rsidRPr="002B3BE8" w:rsidP="002B3BE8" w14:paraId="41D0C714" w14:textId="77777777">
      <w:pPr>
        <w:tabs>
          <w:tab w:val="left" w:pos="0"/>
        </w:tabs>
        <w:suppressAutoHyphens/>
        <w:ind w:left="720"/>
        <w:rPr>
          <w:rFonts w:asciiTheme="minorHAnsi" w:hAnsiTheme="minorHAnsi" w:cstheme="minorHAnsi"/>
          <w:szCs w:val="24"/>
        </w:rPr>
      </w:pPr>
    </w:p>
    <w:p w:rsidR="002B3BE8" w:rsidRPr="002B3BE8" w:rsidP="002B3BE8" w14:paraId="0172343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674.43 – Billing procedures.</w:t>
      </w:r>
    </w:p>
    <w:p w:rsidR="002B3BE8" w:rsidRPr="002B3BE8" w:rsidP="002B3BE8" w14:paraId="1549F5A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that institutions are required to notify borrowers about the amount of repayment due, to remind borrowers when their payment is overdue, and to demand payment of overdue amounts. </w:t>
      </w:r>
    </w:p>
    <w:p w:rsidR="002B3BE8" w:rsidRPr="002B3BE8" w:rsidP="002B3BE8" w14:paraId="5162C391" w14:textId="77777777">
      <w:pPr>
        <w:tabs>
          <w:tab w:val="left" w:pos="0"/>
        </w:tabs>
        <w:suppressAutoHyphens/>
        <w:ind w:left="720"/>
        <w:rPr>
          <w:rFonts w:asciiTheme="minorHAnsi" w:hAnsiTheme="minorHAnsi" w:cstheme="minorHAnsi"/>
          <w:szCs w:val="24"/>
        </w:rPr>
      </w:pPr>
    </w:p>
    <w:p w:rsidR="002B3BE8" w:rsidRPr="002B3BE8" w:rsidP="002B3BE8" w14:paraId="54F56F3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66B8C24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2,734,916 X .016666 hours</w:t>
      </w:r>
      <w:r w:rsidRPr="002B3BE8">
        <w:rPr>
          <w:rFonts w:asciiTheme="minorHAnsi" w:hAnsiTheme="minorHAnsi" w:cstheme="minorHAnsi"/>
          <w:szCs w:val="24"/>
        </w:rPr>
        <w:tab/>
        <w:t xml:space="preserve">=   45,580 hours </w:t>
      </w:r>
    </w:p>
    <w:p w:rsidR="002B3BE8" w:rsidRPr="002B3BE8" w:rsidP="002B3BE8" w14:paraId="5901550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23282C2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002B3BE8" w:rsidRPr="002B3BE8" w:rsidP="002B3BE8" w14:paraId="5732FE5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002B3BE8" w:rsidRPr="002B3BE8" w:rsidP="002B3BE8" w14:paraId="5A53C9C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002B3BE8" w:rsidRPr="002B3BE8" w:rsidP="002B3BE8" w14:paraId="5B70113C" w14:textId="77777777">
      <w:pPr>
        <w:tabs>
          <w:tab w:val="left" w:pos="0"/>
        </w:tabs>
        <w:suppressAutoHyphens/>
        <w:ind w:left="720"/>
        <w:rPr>
          <w:rFonts w:asciiTheme="minorHAnsi" w:hAnsiTheme="minorHAnsi" w:cstheme="minorHAnsi"/>
          <w:szCs w:val="24"/>
        </w:rPr>
      </w:pPr>
    </w:p>
    <w:p w:rsidR="002B3BE8" w:rsidRPr="002B3BE8" w:rsidP="002B3BE8" w14:paraId="75520B0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677D07E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2,734,916*</w:t>
      </w:r>
      <w:r w:rsidRPr="002B3BE8">
        <w:rPr>
          <w:rFonts w:asciiTheme="minorHAnsi" w:hAnsiTheme="minorHAnsi" w:cstheme="minorHAnsi"/>
          <w:szCs w:val="24"/>
        </w:rPr>
        <w:tab/>
        <w:t xml:space="preserve">      2,736,469</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47,786</w:t>
      </w:r>
    </w:p>
    <w:p w:rsidR="002B3BE8" w:rsidRPr="002B3BE8" w:rsidP="002B3BE8" w14:paraId="42A4B0A3" w14:textId="77777777">
      <w:pPr>
        <w:tabs>
          <w:tab w:val="left" w:pos="0"/>
        </w:tabs>
        <w:suppressAutoHyphens/>
        <w:ind w:left="720"/>
        <w:rPr>
          <w:rFonts w:asciiTheme="minorHAnsi" w:hAnsiTheme="minorHAnsi" w:cstheme="minorHAnsi"/>
          <w:szCs w:val="24"/>
        </w:rPr>
      </w:pPr>
    </w:p>
    <w:p w:rsidR="002B3BE8" w:rsidRPr="002B3BE8" w:rsidP="002B3BE8" w14:paraId="43192BE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674.45 – Collection procedures.</w:t>
      </w:r>
    </w:p>
    <w:p w:rsidR="002B3BE8" w:rsidRPr="002B3BE8" w:rsidP="002B3BE8" w14:paraId="37B5990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2B3BE8" w:rsidRPr="002B3BE8" w:rsidP="002B3BE8" w14:paraId="4CBC7B28" w14:textId="77777777">
      <w:pPr>
        <w:tabs>
          <w:tab w:val="left" w:pos="0"/>
        </w:tabs>
        <w:suppressAutoHyphens/>
        <w:ind w:left="720"/>
        <w:rPr>
          <w:rFonts w:asciiTheme="minorHAnsi" w:hAnsiTheme="minorHAnsi" w:cstheme="minorHAnsi"/>
          <w:szCs w:val="24"/>
        </w:rPr>
      </w:pPr>
    </w:p>
    <w:p w:rsidR="002B3BE8" w:rsidRPr="002B3BE8" w:rsidP="002B3BE8" w14:paraId="75CD90A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6A33892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259,733 X .016666 hours</w:t>
      </w:r>
      <w:r w:rsidRPr="002B3BE8">
        <w:rPr>
          <w:rFonts w:asciiTheme="minorHAnsi" w:hAnsiTheme="minorHAnsi" w:cstheme="minorHAnsi"/>
          <w:szCs w:val="24"/>
        </w:rPr>
        <w:tab/>
        <w:t>=   4,329 hours</w:t>
      </w:r>
    </w:p>
    <w:p w:rsidR="002B3BE8" w:rsidRPr="002B3BE8" w:rsidP="002B3BE8" w14:paraId="5621440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553CB15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.75 hours</w:t>
      </w:r>
      <w:r w:rsidRPr="002B3BE8">
        <w:rPr>
          <w:rFonts w:asciiTheme="minorHAnsi" w:hAnsiTheme="minorHAnsi" w:cstheme="minorHAnsi"/>
          <w:szCs w:val="24"/>
        </w:rPr>
        <w:tab/>
        <w:t>=        423 hours</w:t>
      </w:r>
    </w:p>
    <w:p w:rsidR="002B3BE8" w:rsidRPr="002B3BE8" w:rsidP="002B3BE8" w14:paraId="146C31C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.75 hours</w:t>
      </w:r>
      <w:r w:rsidRPr="002B3BE8">
        <w:rPr>
          <w:rFonts w:asciiTheme="minorHAnsi" w:hAnsiTheme="minorHAnsi" w:cstheme="minorHAnsi"/>
          <w:szCs w:val="24"/>
        </w:rPr>
        <w:tab/>
        <w:t>=        660 hours</w:t>
      </w:r>
    </w:p>
    <w:p w:rsidR="002B3BE8" w:rsidRPr="002B3BE8" w:rsidP="002B3BE8" w14:paraId="15BF14C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.75 hours</w:t>
      </w:r>
      <w:r w:rsidRPr="002B3BE8">
        <w:rPr>
          <w:rFonts w:asciiTheme="minorHAnsi" w:hAnsiTheme="minorHAnsi" w:cstheme="minorHAnsi"/>
          <w:szCs w:val="24"/>
        </w:rPr>
        <w:tab/>
        <w:t>=          82 hours</w:t>
      </w:r>
    </w:p>
    <w:p w:rsidR="002B3BE8" w:rsidRPr="002B3BE8" w:rsidP="002B3BE8" w14:paraId="5E8C3269" w14:textId="77777777">
      <w:pPr>
        <w:tabs>
          <w:tab w:val="left" w:pos="0"/>
        </w:tabs>
        <w:suppressAutoHyphens/>
        <w:ind w:left="720"/>
        <w:rPr>
          <w:rFonts w:asciiTheme="minorHAnsi" w:hAnsiTheme="minorHAnsi" w:cstheme="minorHAnsi"/>
          <w:szCs w:val="24"/>
        </w:rPr>
      </w:pPr>
    </w:p>
    <w:p w:rsidR="002B3BE8" w:rsidRPr="002B3BE8" w:rsidP="002B3BE8" w14:paraId="4376E17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42B4DE6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259,733</w:t>
      </w:r>
      <w:r w:rsidRPr="002B3BE8">
        <w:rPr>
          <w:rFonts w:asciiTheme="minorHAnsi" w:hAnsiTheme="minorHAnsi" w:cstheme="minorHAnsi"/>
          <w:szCs w:val="24"/>
        </w:rPr>
        <w:tab/>
        <w:t xml:space="preserve">      </w:t>
      </w:r>
      <w:r w:rsidRPr="002B3BE8">
        <w:rPr>
          <w:rFonts w:asciiTheme="minorHAnsi" w:hAnsiTheme="minorHAnsi" w:cstheme="minorHAnsi"/>
          <w:szCs w:val="24"/>
        </w:rPr>
        <w:tab/>
        <w:t xml:space="preserve">      261,286</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5,494</w:t>
      </w:r>
    </w:p>
    <w:p w:rsidR="002B3BE8" w:rsidRPr="002B3BE8" w:rsidP="002B3BE8" w14:paraId="2FC53ADC" w14:textId="77777777">
      <w:pPr>
        <w:ind w:left="720"/>
        <w:rPr>
          <w:rFonts w:asciiTheme="minorHAnsi" w:hAnsiTheme="minorHAnsi" w:cstheme="minorHAnsi"/>
          <w:szCs w:val="24"/>
        </w:rPr>
      </w:pPr>
    </w:p>
    <w:p w:rsidR="002B3BE8" w:rsidRPr="002B3BE8" w:rsidP="002B3BE8" w14:paraId="3C6FE629" w14:textId="77777777">
      <w:pPr>
        <w:ind w:left="720"/>
        <w:rPr>
          <w:rFonts w:asciiTheme="minorHAnsi" w:hAnsiTheme="minorHAnsi" w:cstheme="minorHAnsi"/>
          <w:szCs w:val="24"/>
        </w:rPr>
      </w:pPr>
      <w:r w:rsidRPr="002B3BE8">
        <w:rPr>
          <w:rFonts w:asciiTheme="minorHAnsi" w:hAnsiTheme="minorHAnsi" w:cstheme="minorHAnsi"/>
          <w:szCs w:val="24"/>
        </w:rPr>
        <w:t>Section 674.47 – Costs chargeable to the Fund.</w:t>
      </w:r>
    </w:p>
    <w:p w:rsidR="002B3BE8" w:rsidRPr="002B3BE8" w:rsidP="002B3BE8" w14:paraId="2BDD7D6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2B3BE8" w:rsidRPr="002B3BE8" w:rsidP="002B3BE8" w14:paraId="6B1F947A" w14:textId="77777777">
      <w:pPr>
        <w:tabs>
          <w:tab w:val="left" w:pos="0"/>
        </w:tabs>
        <w:suppressAutoHyphens/>
        <w:ind w:left="720"/>
        <w:rPr>
          <w:rFonts w:asciiTheme="minorHAnsi" w:hAnsiTheme="minorHAnsi" w:cstheme="minorHAnsi"/>
          <w:szCs w:val="24"/>
        </w:rPr>
      </w:pPr>
    </w:p>
    <w:p w:rsidR="002B3BE8" w:rsidRPr="002B3BE8" w:rsidP="002B3BE8" w14:paraId="35900CE6"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724BA1B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259,733 X .016666 hours</w:t>
      </w:r>
      <w:r w:rsidRPr="002B3BE8">
        <w:rPr>
          <w:rFonts w:asciiTheme="minorHAnsi" w:hAnsiTheme="minorHAnsi" w:cstheme="minorHAnsi"/>
          <w:szCs w:val="24"/>
        </w:rPr>
        <w:tab/>
        <w:t>=   4,329 hours</w:t>
      </w:r>
    </w:p>
    <w:p w:rsidR="002B3BE8" w:rsidRPr="002B3BE8" w:rsidP="002B3BE8" w14:paraId="5A87618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16B5BB6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.83 hours</w:t>
      </w:r>
      <w:r w:rsidRPr="002B3BE8">
        <w:rPr>
          <w:rFonts w:asciiTheme="minorHAnsi" w:hAnsiTheme="minorHAnsi" w:cstheme="minorHAnsi"/>
          <w:szCs w:val="24"/>
        </w:rPr>
        <w:tab/>
        <w:t>=      468 hours</w:t>
      </w:r>
    </w:p>
    <w:p w:rsidR="002B3BE8" w:rsidRPr="002B3BE8" w:rsidP="002B3BE8" w14:paraId="54E266A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.83 hours</w:t>
      </w:r>
      <w:r w:rsidRPr="002B3BE8">
        <w:rPr>
          <w:rFonts w:asciiTheme="minorHAnsi" w:hAnsiTheme="minorHAnsi" w:cstheme="minorHAnsi"/>
          <w:szCs w:val="24"/>
        </w:rPr>
        <w:tab/>
        <w:t>=      730 hours</w:t>
      </w:r>
    </w:p>
    <w:p w:rsidR="002B3BE8" w:rsidRPr="002B3BE8" w:rsidP="002B3BE8" w14:paraId="0C8A176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.83 hours</w:t>
      </w:r>
      <w:r w:rsidRPr="002B3BE8">
        <w:rPr>
          <w:rFonts w:asciiTheme="minorHAnsi" w:hAnsiTheme="minorHAnsi" w:cstheme="minorHAnsi"/>
          <w:szCs w:val="24"/>
        </w:rPr>
        <w:tab/>
        <w:t>=        90 hours</w:t>
      </w:r>
    </w:p>
    <w:p w:rsidR="002B3BE8" w:rsidRPr="002B3BE8" w:rsidP="002B3BE8" w14:paraId="28AF8283" w14:textId="77777777">
      <w:pPr>
        <w:tabs>
          <w:tab w:val="left" w:pos="0"/>
        </w:tabs>
        <w:suppressAutoHyphens/>
        <w:ind w:left="720"/>
        <w:rPr>
          <w:rFonts w:asciiTheme="minorHAnsi" w:hAnsiTheme="minorHAnsi" w:cstheme="minorHAnsi"/>
          <w:szCs w:val="24"/>
        </w:rPr>
      </w:pPr>
    </w:p>
    <w:p w:rsidR="002B3BE8" w:rsidRPr="002B3BE8" w:rsidP="002B3BE8" w14:paraId="702E9DC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002B3BE8" w:rsidRPr="002B3BE8" w:rsidP="002B3BE8" w14:paraId="4766B78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b/>
        <w:t>259,733*</w:t>
      </w:r>
      <w:r w:rsidRPr="002B3BE8">
        <w:rPr>
          <w:rFonts w:asciiTheme="minorHAnsi" w:hAnsiTheme="minorHAnsi" w:cstheme="minorHAnsi"/>
          <w:szCs w:val="24"/>
        </w:rPr>
        <w:tab/>
        <w:t xml:space="preserve">       261,286</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 xml:space="preserve">     5,617</w:t>
      </w:r>
    </w:p>
    <w:p w:rsidR="002B3BE8" w:rsidRPr="002B3BE8" w:rsidP="002B3BE8" w14:paraId="4A9A80F1" w14:textId="77777777">
      <w:pPr>
        <w:tabs>
          <w:tab w:val="left" w:pos="0"/>
        </w:tabs>
        <w:suppressAutoHyphens/>
        <w:ind w:left="720"/>
        <w:rPr>
          <w:rFonts w:asciiTheme="minorHAnsi" w:hAnsiTheme="minorHAnsi" w:cstheme="minorHAnsi"/>
          <w:szCs w:val="24"/>
        </w:rPr>
      </w:pPr>
    </w:p>
    <w:p w:rsidR="002B3BE8" w:rsidRPr="002B3BE8" w:rsidP="002B3BE8" w14:paraId="2451766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674.48 – Use of contractors to perform billing and collection activities.</w:t>
      </w:r>
    </w:p>
    <w:p w:rsidR="002B3BE8" w:rsidRPr="002B3BE8" w:rsidP="4DD7667B" w14:paraId="6438AAAE" w14:textId="0B5E0486">
      <w:pPr>
        <w:suppressAutoHyphens/>
        <w:ind w:left="720"/>
        <w:rPr>
          <w:rFonts w:asciiTheme="minorHAnsi" w:hAnsiTheme="minorHAnsi" w:cstheme="minorBidi"/>
        </w:rPr>
      </w:pPr>
      <w:r w:rsidRPr="4DD7667B">
        <w:rPr>
          <w:rFonts w:asciiTheme="minorHAnsi" w:hAnsiTheme="minorHAnsi" w:cstheme="minorBidi"/>
        </w:rPr>
        <w:t xml:space="preserve">This section establishes that institutions that use contractors to perform billing and collection activities retain all responsibility to comply with the </w:t>
      </w:r>
      <w:r w:rsidRPr="4DD7667B" w:rsidR="66FBCED6">
        <w:rPr>
          <w:rFonts w:asciiTheme="minorHAnsi" w:hAnsiTheme="minorHAnsi" w:cstheme="minorBidi"/>
        </w:rPr>
        <w:t>t</w:t>
      </w:r>
      <w:r w:rsidRPr="4DD7667B">
        <w:rPr>
          <w:rFonts w:asciiTheme="minorHAnsi" w:hAnsiTheme="minorHAnsi" w:cstheme="minorBidi"/>
        </w:rPr>
        <w:t xml:space="preserve">itle IV program requirements and must </w:t>
      </w:r>
      <w:r w:rsidRPr="4DD7667B" w:rsidR="00514886">
        <w:rPr>
          <w:rFonts w:asciiTheme="minorHAnsi" w:hAnsiTheme="minorHAnsi" w:cstheme="minorBidi"/>
        </w:rPr>
        <w:t>ensure</w:t>
      </w:r>
      <w:r w:rsidRPr="4DD7667B">
        <w:rPr>
          <w:rFonts w:asciiTheme="minorHAnsi" w:hAnsiTheme="minorHAnsi" w:cstheme="minorBidi"/>
        </w:rPr>
        <w:t xml:space="preserve"> that the third-party provider meets all the compliance requirements.</w:t>
      </w:r>
    </w:p>
    <w:p w:rsidR="002B3BE8" w:rsidRPr="002B3BE8" w:rsidP="002B3BE8" w14:paraId="6CF8BDCF" w14:textId="77777777">
      <w:pPr>
        <w:tabs>
          <w:tab w:val="left" w:pos="0"/>
        </w:tabs>
        <w:suppressAutoHyphens/>
        <w:ind w:left="720"/>
        <w:rPr>
          <w:rFonts w:asciiTheme="minorHAnsi" w:hAnsiTheme="minorHAnsi" w:cstheme="minorHAnsi"/>
          <w:szCs w:val="24"/>
        </w:rPr>
      </w:pPr>
    </w:p>
    <w:p w:rsidR="002B3BE8" w:rsidRPr="002B3BE8" w:rsidP="002B3BE8" w14:paraId="1D969DE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3635139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2D3E66A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.92 hours</w:t>
      </w:r>
      <w:r w:rsidRPr="002B3BE8">
        <w:rPr>
          <w:rFonts w:asciiTheme="minorHAnsi" w:hAnsiTheme="minorHAnsi" w:cstheme="minorHAnsi"/>
          <w:szCs w:val="24"/>
        </w:rPr>
        <w:tab/>
        <w:t>=      519 hours</w:t>
      </w:r>
    </w:p>
    <w:p w:rsidR="002B3BE8" w:rsidRPr="002B3BE8" w:rsidP="002B3BE8" w14:paraId="4DF598E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.92 hours</w:t>
      </w:r>
      <w:r w:rsidRPr="002B3BE8">
        <w:rPr>
          <w:rFonts w:asciiTheme="minorHAnsi" w:hAnsiTheme="minorHAnsi" w:cstheme="minorHAnsi"/>
          <w:szCs w:val="24"/>
        </w:rPr>
        <w:tab/>
        <w:t>=      810 hours</w:t>
      </w:r>
    </w:p>
    <w:p w:rsidR="002B3BE8" w:rsidRPr="002B3BE8" w:rsidP="002B3BE8" w14:paraId="61F75CC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.92 hours</w:t>
      </w:r>
      <w:r w:rsidRPr="002B3BE8">
        <w:rPr>
          <w:rFonts w:asciiTheme="minorHAnsi" w:hAnsiTheme="minorHAnsi" w:cstheme="minorHAnsi"/>
          <w:szCs w:val="24"/>
        </w:rPr>
        <w:tab/>
        <w:t>=      100 hours</w:t>
      </w:r>
    </w:p>
    <w:p w:rsidR="002B3BE8" w:rsidRPr="002B3BE8" w:rsidP="002B3BE8" w14:paraId="69B0664F" w14:textId="77777777">
      <w:pPr>
        <w:tabs>
          <w:tab w:val="left" w:pos="0"/>
        </w:tabs>
        <w:suppressAutoHyphens/>
        <w:ind w:left="720"/>
        <w:rPr>
          <w:rFonts w:asciiTheme="minorHAnsi" w:hAnsiTheme="minorHAnsi" w:cstheme="minorHAnsi"/>
          <w:szCs w:val="24"/>
        </w:rPr>
      </w:pPr>
    </w:p>
    <w:p w:rsidR="002B3BE8" w:rsidRPr="002B3BE8" w:rsidP="002B3BE8" w14:paraId="2F51E13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t># of Burden Hours</w:t>
      </w:r>
    </w:p>
    <w:p w:rsidR="002B3BE8" w:rsidRPr="002B3BE8" w:rsidP="002B3BE8" w14:paraId="733A69ED"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b/>
        <w:t>*</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1,553</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1,429</w:t>
      </w:r>
    </w:p>
    <w:p w:rsidR="002B3BE8" w:rsidRPr="002B3BE8" w:rsidP="002B3BE8" w14:paraId="22FE8C9B" w14:textId="77777777">
      <w:pPr>
        <w:tabs>
          <w:tab w:val="left" w:pos="0"/>
        </w:tabs>
        <w:suppressAutoHyphens/>
        <w:ind w:left="720"/>
        <w:rPr>
          <w:rFonts w:asciiTheme="minorHAnsi" w:hAnsiTheme="minorHAnsi" w:cstheme="minorHAnsi"/>
          <w:szCs w:val="24"/>
        </w:rPr>
      </w:pPr>
    </w:p>
    <w:p w:rsidR="002B3BE8" w:rsidRPr="002B3BE8" w:rsidP="002B3BE8" w14:paraId="1A64D22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674.49 – Bankruptcy of borrower.</w:t>
      </w:r>
    </w:p>
    <w:p w:rsidR="002B3BE8" w:rsidRPr="002B3BE8" w:rsidP="002B3BE8" w14:paraId="28DFE73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2B3BE8" w:rsidRPr="002B3BE8" w:rsidP="002B3BE8" w14:paraId="30B5B472" w14:textId="77777777">
      <w:pPr>
        <w:tabs>
          <w:tab w:val="left" w:pos="-720"/>
        </w:tabs>
        <w:suppressAutoHyphens/>
        <w:ind w:left="700"/>
        <w:rPr>
          <w:rFonts w:asciiTheme="minorHAnsi" w:hAnsiTheme="minorHAnsi" w:cstheme="minorHAnsi"/>
          <w:szCs w:val="24"/>
        </w:rPr>
      </w:pPr>
    </w:p>
    <w:p w:rsidR="002B3BE8" w:rsidRPr="002B3BE8" w:rsidP="002B3BE8" w14:paraId="45D84B3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002B3BE8" w:rsidRPr="002B3BE8" w:rsidP="002B3BE8" w14:paraId="15CB242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002B3BE8" w:rsidRPr="002B3BE8" w:rsidP="002B3BE8" w14:paraId="2D35A59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.92 hours</w:t>
      </w:r>
      <w:r w:rsidRPr="002B3BE8">
        <w:rPr>
          <w:rFonts w:asciiTheme="minorHAnsi" w:hAnsiTheme="minorHAnsi" w:cstheme="minorHAnsi"/>
          <w:szCs w:val="24"/>
        </w:rPr>
        <w:tab/>
        <w:t>=      519 hours</w:t>
      </w:r>
    </w:p>
    <w:p w:rsidR="002B3BE8" w:rsidRPr="002B3BE8" w:rsidP="002B3BE8" w14:paraId="7E1F1E2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.92 hours</w:t>
      </w:r>
      <w:r w:rsidRPr="002B3BE8">
        <w:rPr>
          <w:rFonts w:asciiTheme="minorHAnsi" w:hAnsiTheme="minorHAnsi" w:cstheme="minorHAnsi"/>
          <w:szCs w:val="24"/>
        </w:rPr>
        <w:tab/>
        <w:t>=      810 hours</w:t>
      </w:r>
    </w:p>
    <w:p w:rsidR="002B3BE8" w:rsidRPr="002B3BE8" w:rsidP="002B3BE8" w14:paraId="0AD5694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.92 hours</w:t>
      </w:r>
      <w:r w:rsidRPr="002B3BE8">
        <w:rPr>
          <w:rFonts w:asciiTheme="minorHAnsi" w:hAnsiTheme="minorHAnsi" w:cstheme="minorHAnsi"/>
          <w:szCs w:val="24"/>
        </w:rPr>
        <w:tab/>
        <w:t>=      100 hours</w:t>
      </w:r>
    </w:p>
    <w:p w:rsidR="002B3BE8" w:rsidRPr="002B3BE8" w:rsidP="002B3BE8" w14:paraId="3834CD31" w14:textId="77777777">
      <w:pPr>
        <w:tabs>
          <w:tab w:val="left" w:pos="0"/>
        </w:tabs>
        <w:suppressAutoHyphens/>
        <w:ind w:left="720"/>
        <w:rPr>
          <w:rFonts w:asciiTheme="minorHAnsi" w:hAnsiTheme="minorHAnsi" w:cstheme="minorHAnsi"/>
          <w:szCs w:val="24"/>
        </w:rPr>
      </w:pPr>
    </w:p>
    <w:p w:rsidR="002B3BE8" w:rsidRPr="002B3BE8" w:rsidP="002B3BE8" w14:paraId="5CB0A911"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t># of Burden Hours</w:t>
      </w:r>
    </w:p>
    <w:p w:rsidR="002B3BE8" w:rsidRPr="002B3BE8" w:rsidP="002B3BE8" w14:paraId="0052C9F8" w14:textId="77777777">
      <w:pPr>
        <w:tabs>
          <w:tab w:val="left" w:pos="-720"/>
        </w:tabs>
        <w:suppressAutoHyphens/>
        <w:ind w:left="700"/>
        <w:rPr>
          <w:rFonts w:asciiTheme="minorHAnsi" w:hAnsiTheme="minorHAnsi" w:cstheme="minorHAnsi"/>
          <w:szCs w:val="24"/>
        </w:rPr>
      </w:pPr>
      <w:r w:rsidRPr="002B3BE8">
        <w:rPr>
          <w:rFonts w:asciiTheme="minorHAnsi" w:hAnsiTheme="minorHAnsi" w:cstheme="minorHAnsi"/>
          <w:szCs w:val="24"/>
        </w:rPr>
        <w:tab/>
      </w:r>
      <w:r w:rsidRPr="002B3BE8">
        <w:rPr>
          <w:rFonts w:asciiTheme="minorHAnsi" w:hAnsiTheme="minorHAnsi" w:cstheme="minorHAnsi"/>
          <w:szCs w:val="24"/>
        </w:rPr>
        <w:tab/>
        <w:t>*</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1,553</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1,429</w:t>
      </w:r>
    </w:p>
    <w:p w:rsidR="002B3BE8" w:rsidRPr="002B3BE8" w:rsidP="002B3BE8" w14:paraId="031AEBF1" w14:textId="77777777">
      <w:pPr>
        <w:tabs>
          <w:tab w:val="left" w:pos="-720"/>
        </w:tabs>
        <w:suppressAutoHyphens/>
        <w:ind w:left="700"/>
        <w:rPr>
          <w:rFonts w:asciiTheme="minorHAnsi" w:hAnsiTheme="minorHAnsi" w:cstheme="minorHAnsi"/>
          <w:szCs w:val="24"/>
        </w:rPr>
      </w:pPr>
    </w:p>
    <w:p w:rsidR="002B3BE8" w:rsidRPr="002B3BE8" w:rsidP="002B3BE8" w14:paraId="3ADA1C8C" w14:textId="77777777">
      <w:pPr>
        <w:tabs>
          <w:tab w:val="left" w:pos="-720"/>
        </w:tabs>
        <w:suppressAutoHyphens/>
        <w:rPr>
          <w:rFonts w:asciiTheme="minorHAnsi" w:hAnsiTheme="minorHAnsi" w:cstheme="minorHAnsi"/>
          <w:szCs w:val="24"/>
        </w:rPr>
      </w:pPr>
      <w:r w:rsidRPr="002B3BE8">
        <w:rPr>
          <w:rFonts w:asciiTheme="minorHAnsi" w:hAnsiTheme="minorHAnsi" w:cstheme="minorHAnsi"/>
          <w:szCs w:val="24"/>
        </w:rPr>
        <w:t>*-The asterisk in the respondent’s column is used to avoid over-counting the universe of institutions who could respond to the regulatory requirements</w:t>
      </w:r>
    </w:p>
    <w:p w:rsidR="002B3BE8" w:rsidRPr="004E03FD" w:rsidP="002B3BE8" w14:paraId="1B7655F4" w14:textId="77777777">
      <w:pPr>
        <w:tabs>
          <w:tab w:val="left" w:pos="-720"/>
        </w:tabs>
        <w:suppressAutoHyphens/>
        <w:ind w:left="720"/>
        <w:rPr>
          <w:rFonts w:ascii="Times New Roman" w:hAnsi="Times New Roman"/>
          <w:szCs w:val="24"/>
        </w:rPr>
      </w:pPr>
    </w:p>
    <w:p w:rsidR="006D0EF2" w:rsidP="006D0EF2" w14:paraId="27A38F57" w14:textId="101CF07F">
      <w:pPr>
        <w:pStyle w:val="ListParagraph"/>
        <w:tabs>
          <w:tab w:val="left" w:pos="-720"/>
        </w:tabs>
        <w:suppressAutoHyphens/>
        <w:ind w:left="0"/>
        <w:rPr>
          <w:rFonts w:asciiTheme="minorHAnsi" w:hAnsiTheme="minorHAnsi" w:cstheme="minorHAnsi"/>
        </w:rPr>
      </w:pPr>
      <w:r>
        <w:rPr>
          <w:rFonts w:asciiTheme="minorHAnsi" w:hAnsiTheme="minorHAnsi" w:cstheme="minorHAnsi"/>
        </w:rPr>
        <w:t>For individuals we have used the median hourly wage for all occupations</w:t>
      </w:r>
      <w:r w:rsidR="00365438">
        <w:rPr>
          <w:rFonts w:asciiTheme="minorHAnsi" w:hAnsiTheme="minorHAnsi" w:cstheme="minorHAnsi"/>
        </w:rPr>
        <w:t xml:space="preserve">. In </w:t>
      </w:r>
      <w:r w:rsidR="00126643">
        <w:rPr>
          <w:rFonts w:asciiTheme="minorHAnsi" w:hAnsiTheme="minorHAnsi" w:cstheme="minorHAnsi"/>
        </w:rPr>
        <w:t xml:space="preserve">May 2024, this was </w:t>
      </w:r>
      <w:r>
        <w:rPr>
          <w:rFonts w:asciiTheme="minorHAnsi" w:hAnsiTheme="minorHAnsi" w:cstheme="minorHAnsi"/>
        </w:rPr>
        <w:t>$2</w:t>
      </w:r>
      <w:r w:rsidR="00365438">
        <w:rPr>
          <w:rFonts w:asciiTheme="minorHAnsi" w:hAnsiTheme="minorHAnsi" w:cstheme="minorHAnsi"/>
        </w:rPr>
        <w:t>3</w:t>
      </w:r>
      <w:r>
        <w:rPr>
          <w:rFonts w:asciiTheme="minorHAnsi" w:hAnsiTheme="minorHAnsi" w:cstheme="minorHAnsi"/>
        </w:rPr>
        <w:t>.</w:t>
      </w:r>
      <w:r w:rsidR="00365438">
        <w:rPr>
          <w:rFonts w:asciiTheme="minorHAnsi" w:hAnsiTheme="minorHAnsi" w:cstheme="minorHAnsi"/>
        </w:rPr>
        <w:t>80</w:t>
      </w:r>
      <w:r>
        <w:rPr>
          <w:rFonts w:asciiTheme="minorHAnsi" w:hAnsiTheme="minorHAnsi" w:cstheme="minorHAnsi"/>
        </w:rPr>
        <w:t xml:space="preserve"> per hour according to BLS. </w:t>
      </w:r>
      <w:hyperlink r:id="rId11"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p w:rsidR="006D0EF2" w:rsidP="006D0EF2" w14:paraId="48BED0AD" w14:textId="77777777">
      <w:pPr>
        <w:pStyle w:val="ListParagraph"/>
        <w:tabs>
          <w:tab w:val="left" w:pos="-720"/>
        </w:tabs>
        <w:suppressAutoHyphens/>
        <w:ind w:left="0"/>
        <w:rPr>
          <w:rFonts w:asciiTheme="minorHAnsi" w:hAnsiTheme="minorHAnsi" w:cstheme="minorHAnsi"/>
        </w:rPr>
      </w:pPr>
    </w:p>
    <w:p w:rsidR="008C289E" w:rsidP="006D0EF2" w14:paraId="7B132BC5" w14:textId="2FC9626F">
      <w:pPr>
        <w:pStyle w:val="ListParagraph"/>
        <w:tabs>
          <w:tab w:val="left" w:pos="-720"/>
        </w:tabs>
        <w:suppressAutoHyphens/>
        <w:ind w:left="0"/>
        <w:rPr>
          <w:rFonts w:asciiTheme="minorHAnsi" w:hAnsiTheme="minorHAnsi" w:cstheme="minorHAnsi"/>
        </w:rPr>
      </w:pPr>
      <w:r>
        <w:rPr>
          <w:rFonts w:asciiTheme="minorHAnsi" w:hAnsiTheme="minorHAnsi" w:cstheme="minorHAnsi"/>
        </w:rPr>
        <w:t>For institutions we have used the median hourly wage for Education Administrators, Postsecondary, $4</w:t>
      </w:r>
      <w:r w:rsidR="00E023BF">
        <w:rPr>
          <w:rFonts w:asciiTheme="minorHAnsi" w:hAnsiTheme="minorHAnsi" w:cstheme="minorHAnsi"/>
        </w:rPr>
        <w:t>9</w:t>
      </w:r>
      <w:r>
        <w:rPr>
          <w:rFonts w:asciiTheme="minorHAnsi" w:hAnsiTheme="minorHAnsi" w:cstheme="minorHAnsi"/>
        </w:rPr>
        <w:t>.</w:t>
      </w:r>
      <w:r w:rsidR="00E023BF">
        <w:rPr>
          <w:rFonts w:asciiTheme="minorHAnsi" w:hAnsiTheme="minorHAnsi" w:cstheme="minorHAnsi"/>
        </w:rPr>
        <w:t>98</w:t>
      </w:r>
      <w:r>
        <w:rPr>
          <w:rFonts w:asciiTheme="minorHAnsi" w:hAnsiTheme="minorHAnsi" w:cstheme="minorHAnsi"/>
        </w:rPr>
        <w:t xml:space="preserve"> per hour according to BLS. </w:t>
      </w:r>
    </w:p>
    <w:p w:rsidR="006D0EF2" w:rsidP="006D0EF2" w14:paraId="5B584F0B" w14:textId="7FCF063D">
      <w:pPr>
        <w:pStyle w:val="ListParagraph"/>
        <w:tabs>
          <w:tab w:val="left" w:pos="-720"/>
        </w:tabs>
        <w:suppressAutoHyphens/>
        <w:ind w:left="0"/>
        <w:rPr>
          <w:rFonts w:asciiTheme="minorHAnsi" w:hAnsiTheme="minorHAnsi" w:cstheme="minorHAnsi"/>
        </w:rPr>
      </w:pPr>
      <w:hyperlink r:id="rId12" w:history="1">
        <w:r w:rsidRPr="00DA4D9E">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8C289E" w:rsidP="006D0EF2" w14:paraId="211A0F70" w14:textId="77777777">
      <w:pPr>
        <w:pStyle w:val="ListParagraph"/>
        <w:tabs>
          <w:tab w:val="left" w:pos="-720"/>
        </w:tabs>
        <w:suppressAutoHyphens/>
        <w:ind w:left="0"/>
        <w:rPr>
          <w:rStyle w:val="a"/>
          <w:rFonts w:asciiTheme="minorHAnsi" w:hAnsiTheme="minorHAnsi" w:cstheme="minorHAnsi"/>
          <w:b/>
          <w:bCs/>
          <w:i/>
          <w:iCs/>
          <w:sz w:val="22"/>
          <w:szCs w:val="22"/>
        </w:rPr>
      </w:pPr>
    </w:p>
    <w:p w:rsidR="00ED7195" w:rsidRPr="00920F63" w:rsidP="00756FD3" w14:paraId="60BC148B" w14:textId="7A48C4F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705"/>
        <w:gridCol w:w="1260"/>
        <w:gridCol w:w="1445"/>
        <w:gridCol w:w="1350"/>
        <w:gridCol w:w="1245"/>
        <w:gridCol w:w="15"/>
        <w:gridCol w:w="1975"/>
      </w:tblGrid>
      <w:tr w14:paraId="60BC14A3" w14:textId="77777777" w:rsidTr="00F87349">
        <w:tblPrEx>
          <w:tblW w:w="8995" w:type="dxa"/>
          <w:tblLayout w:type="fixed"/>
          <w:tblLook w:val="0020"/>
        </w:tblPrEx>
        <w:trPr>
          <w:tblHeader/>
        </w:trPr>
        <w:tc>
          <w:tcPr>
            <w:tcW w:w="1705" w:type="dxa"/>
          </w:tcPr>
          <w:p w:rsidR="006D0EF2" w:rsidRPr="007F6104" w:rsidP="00FE1BAE" w14:paraId="60BC14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6D0EF2" w:rsidRPr="007F6104" w:rsidP="00FE1BAE" w14:paraId="60BC149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445" w:type="dxa"/>
          </w:tcPr>
          <w:p w:rsidR="006D0EF2" w:rsidRPr="007F6104" w:rsidP="00FE1BAE" w14:paraId="60BC1498" w14:textId="77777777">
            <w:pPr>
              <w:jc w:val="center"/>
              <w:rPr>
                <w:rFonts w:ascii="Times New Roman" w:hAnsi="Times New Roman"/>
                <w:sz w:val="20"/>
              </w:rPr>
            </w:pPr>
            <w:r w:rsidRPr="007F6104">
              <w:rPr>
                <w:rFonts w:ascii="Times New Roman" w:hAnsi="Times New Roman"/>
                <w:sz w:val="20"/>
              </w:rPr>
              <w:t>Number of Responses</w:t>
            </w:r>
          </w:p>
        </w:tc>
        <w:tc>
          <w:tcPr>
            <w:tcW w:w="1350" w:type="dxa"/>
          </w:tcPr>
          <w:p w:rsidR="006D0EF2" w:rsidRPr="007F6104" w:rsidP="00F31BEC" w14:paraId="60BC14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45" w:type="dxa"/>
          </w:tcPr>
          <w:p w:rsidR="006D0EF2" w:rsidRPr="007F6104" w:rsidP="00FE1BAE" w14:paraId="60BC14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990" w:type="dxa"/>
            <w:gridSpan w:val="2"/>
          </w:tcPr>
          <w:p w:rsidR="006D0EF2" w:rsidRPr="007F6104" w:rsidP="00FE1BAE" w14:paraId="60BC14A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0BC14AD" w14:textId="77777777" w:rsidTr="00F87349">
        <w:tblPrEx>
          <w:tblW w:w="8995" w:type="dxa"/>
          <w:tblLayout w:type="fixed"/>
          <w:tblLook w:val="0020"/>
        </w:tblPrEx>
        <w:tc>
          <w:tcPr>
            <w:tcW w:w="1705" w:type="dxa"/>
          </w:tcPr>
          <w:p w:rsidR="006D0EF2" w:rsidRPr="00442E07" w:rsidP="00FE1BAE" w14:paraId="60BC14A4" w14:textId="6CE5A6B8">
            <w:pPr>
              <w:rPr>
                <w:rFonts w:ascii="Times New Roman" w:hAnsi="Times New Roman"/>
                <w:szCs w:val="24"/>
              </w:rPr>
            </w:pPr>
            <w:r>
              <w:rPr>
                <w:rFonts w:ascii="Times New Roman" w:hAnsi="Times New Roman"/>
                <w:szCs w:val="24"/>
              </w:rPr>
              <w:t>Individual</w:t>
            </w:r>
          </w:p>
        </w:tc>
        <w:tc>
          <w:tcPr>
            <w:tcW w:w="1260" w:type="dxa"/>
          </w:tcPr>
          <w:p w:rsidR="006D0EF2" w:rsidRPr="00442E07" w:rsidP="006D0EF2" w14:paraId="60BC14A7" w14:textId="38CCD66A">
            <w:pPr>
              <w:jc w:val="right"/>
              <w:rPr>
                <w:rFonts w:ascii="Times New Roman" w:hAnsi="Times New Roman"/>
                <w:szCs w:val="24"/>
              </w:rPr>
            </w:pPr>
            <w:r>
              <w:rPr>
                <w:rFonts w:ascii="Times New Roman" w:hAnsi="Times New Roman"/>
                <w:szCs w:val="24"/>
              </w:rPr>
              <w:t>8,204,748</w:t>
            </w:r>
          </w:p>
        </w:tc>
        <w:tc>
          <w:tcPr>
            <w:tcW w:w="1445" w:type="dxa"/>
          </w:tcPr>
          <w:p w:rsidR="006D0EF2" w:rsidRPr="00442E07" w:rsidP="006D0EF2" w14:paraId="60BC14A8" w14:textId="259758E6">
            <w:pPr>
              <w:jc w:val="right"/>
              <w:rPr>
                <w:rFonts w:ascii="Times New Roman" w:hAnsi="Times New Roman"/>
                <w:szCs w:val="24"/>
              </w:rPr>
            </w:pPr>
            <w:r>
              <w:rPr>
                <w:rFonts w:ascii="Times New Roman" w:hAnsi="Times New Roman"/>
                <w:szCs w:val="24"/>
              </w:rPr>
              <w:t>8,204,748</w:t>
            </w:r>
          </w:p>
        </w:tc>
        <w:tc>
          <w:tcPr>
            <w:tcW w:w="1350" w:type="dxa"/>
          </w:tcPr>
          <w:p w:rsidR="006D0EF2" w:rsidRPr="00442E07" w:rsidP="006D0EF2" w14:paraId="60BC14AA" w14:textId="28DC1556">
            <w:pPr>
              <w:jc w:val="right"/>
              <w:rPr>
                <w:rFonts w:ascii="Times New Roman" w:hAnsi="Times New Roman"/>
                <w:szCs w:val="24"/>
              </w:rPr>
            </w:pPr>
            <w:r>
              <w:rPr>
                <w:rFonts w:ascii="Times New Roman" w:hAnsi="Times New Roman"/>
                <w:szCs w:val="24"/>
              </w:rPr>
              <w:t>136,741</w:t>
            </w:r>
          </w:p>
        </w:tc>
        <w:tc>
          <w:tcPr>
            <w:tcW w:w="1260" w:type="dxa"/>
            <w:gridSpan w:val="2"/>
          </w:tcPr>
          <w:p w:rsidR="006D0EF2" w:rsidRPr="00442E07" w:rsidP="006D0EF2" w14:paraId="60BC14AB" w14:textId="7BC4981E">
            <w:pPr>
              <w:jc w:val="right"/>
              <w:rPr>
                <w:rFonts w:ascii="Times New Roman" w:hAnsi="Times New Roman"/>
                <w:szCs w:val="24"/>
              </w:rPr>
            </w:pPr>
            <w:r>
              <w:rPr>
                <w:rFonts w:ascii="Times New Roman" w:hAnsi="Times New Roman"/>
                <w:szCs w:val="24"/>
              </w:rPr>
              <w:t>$2</w:t>
            </w:r>
            <w:r w:rsidR="004A369D">
              <w:rPr>
                <w:rFonts w:ascii="Times New Roman" w:hAnsi="Times New Roman"/>
                <w:szCs w:val="24"/>
              </w:rPr>
              <w:t>3</w:t>
            </w:r>
            <w:r w:rsidR="00587B93">
              <w:rPr>
                <w:rFonts w:ascii="Times New Roman" w:hAnsi="Times New Roman"/>
                <w:szCs w:val="24"/>
              </w:rPr>
              <w:t>.80</w:t>
            </w:r>
          </w:p>
        </w:tc>
        <w:tc>
          <w:tcPr>
            <w:tcW w:w="1975" w:type="dxa"/>
          </w:tcPr>
          <w:p w:rsidR="006D0EF2" w:rsidRPr="00442E07" w:rsidP="006D0EF2" w14:paraId="60BC14AC" w14:textId="65F88509">
            <w:pPr>
              <w:jc w:val="right"/>
              <w:rPr>
                <w:rFonts w:ascii="Times New Roman" w:hAnsi="Times New Roman"/>
                <w:szCs w:val="24"/>
              </w:rPr>
            </w:pPr>
            <w:r>
              <w:rPr>
                <w:rFonts w:ascii="Times New Roman" w:hAnsi="Times New Roman"/>
                <w:szCs w:val="24"/>
              </w:rPr>
              <w:t>$</w:t>
            </w:r>
            <w:r w:rsidR="00A23F8E">
              <w:rPr>
                <w:rFonts w:ascii="Times New Roman" w:hAnsi="Times New Roman"/>
                <w:szCs w:val="24"/>
              </w:rPr>
              <w:t>3,254,436</w:t>
            </w:r>
          </w:p>
        </w:tc>
      </w:tr>
      <w:tr w14:paraId="60BC14B7" w14:textId="77777777" w:rsidTr="00F87349">
        <w:tblPrEx>
          <w:tblW w:w="8995" w:type="dxa"/>
          <w:tblLayout w:type="fixed"/>
          <w:tblLook w:val="0020"/>
        </w:tblPrEx>
        <w:tc>
          <w:tcPr>
            <w:tcW w:w="1705" w:type="dxa"/>
          </w:tcPr>
          <w:p w:rsidR="006D0EF2" w:rsidRPr="00442E07" w:rsidP="00FE1BAE" w14:paraId="60BC14AE" w14:textId="1C4E9049">
            <w:pPr>
              <w:rPr>
                <w:rFonts w:ascii="Times New Roman" w:hAnsi="Times New Roman"/>
                <w:szCs w:val="24"/>
              </w:rPr>
            </w:pPr>
            <w:r>
              <w:rPr>
                <w:rFonts w:ascii="Times New Roman" w:hAnsi="Times New Roman"/>
                <w:szCs w:val="24"/>
              </w:rPr>
              <w:t>For-Profit Institutions</w:t>
            </w:r>
          </w:p>
        </w:tc>
        <w:tc>
          <w:tcPr>
            <w:tcW w:w="1260" w:type="dxa"/>
          </w:tcPr>
          <w:p w:rsidR="006D0EF2" w:rsidRPr="00442E07" w:rsidP="006D0EF2" w14:paraId="60BC14B1" w14:textId="4D62D039">
            <w:pPr>
              <w:jc w:val="right"/>
              <w:rPr>
                <w:rFonts w:ascii="Times New Roman" w:hAnsi="Times New Roman"/>
                <w:szCs w:val="24"/>
              </w:rPr>
            </w:pPr>
            <w:r>
              <w:rPr>
                <w:rFonts w:ascii="Times New Roman" w:hAnsi="Times New Roman"/>
                <w:szCs w:val="24"/>
              </w:rPr>
              <w:t>109</w:t>
            </w:r>
          </w:p>
        </w:tc>
        <w:tc>
          <w:tcPr>
            <w:tcW w:w="1445" w:type="dxa"/>
          </w:tcPr>
          <w:p w:rsidR="006D0EF2" w:rsidRPr="00442E07" w:rsidP="006D0EF2" w14:paraId="60BC14B2" w14:textId="1533D126">
            <w:pPr>
              <w:jc w:val="right"/>
              <w:rPr>
                <w:rFonts w:ascii="Times New Roman" w:hAnsi="Times New Roman"/>
                <w:szCs w:val="24"/>
              </w:rPr>
            </w:pPr>
            <w:r>
              <w:rPr>
                <w:rFonts w:ascii="Times New Roman" w:hAnsi="Times New Roman"/>
                <w:szCs w:val="24"/>
              </w:rPr>
              <w:t>872</w:t>
            </w:r>
          </w:p>
        </w:tc>
        <w:tc>
          <w:tcPr>
            <w:tcW w:w="1350" w:type="dxa"/>
          </w:tcPr>
          <w:p w:rsidR="006D0EF2" w:rsidRPr="00442E07" w:rsidP="006D0EF2" w14:paraId="60BC14B4" w14:textId="6FE6EA29">
            <w:pPr>
              <w:pStyle w:val="EndnoteText"/>
              <w:tabs>
                <w:tab w:val="clear" w:pos="-720"/>
              </w:tabs>
              <w:suppressAutoHyphens w:val="0"/>
              <w:jc w:val="right"/>
              <w:rPr>
                <w:rFonts w:ascii="Times New Roman" w:hAnsi="Times New Roman"/>
                <w:szCs w:val="24"/>
              </w:rPr>
            </w:pPr>
            <w:r>
              <w:rPr>
                <w:rFonts w:ascii="Times New Roman" w:hAnsi="Times New Roman"/>
                <w:szCs w:val="24"/>
              </w:rPr>
              <w:t>886</w:t>
            </w:r>
          </w:p>
        </w:tc>
        <w:tc>
          <w:tcPr>
            <w:tcW w:w="1245" w:type="dxa"/>
          </w:tcPr>
          <w:p w:rsidR="006D0EF2" w:rsidRPr="00442E07" w:rsidP="006D0EF2" w14:paraId="60BC14B5" w14:textId="54446716">
            <w:pPr>
              <w:jc w:val="right"/>
              <w:rPr>
                <w:rFonts w:ascii="Times New Roman" w:hAnsi="Times New Roman"/>
                <w:szCs w:val="24"/>
              </w:rPr>
            </w:pPr>
            <w:r>
              <w:rPr>
                <w:rFonts w:ascii="Times New Roman" w:hAnsi="Times New Roman"/>
                <w:szCs w:val="24"/>
              </w:rPr>
              <w:t>$4</w:t>
            </w:r>
            <w:r w:rsidR="00A23F8E">
              <w:rPr>
                <w:rFonts w:ascii="Times New Roman" w:hAnsi="Times New Roman"/>
                <w:szCs w:val="24"/>
              </w:rPr>
              <w:t>9.98</w:t>
            </w:r>
          </w:p>
        </w:tc>
        <w:tc>
          <w:tcPr>
            <w:tcW w:w="1990" w:type="dxa"/>
            <w:gridSpan w:val="2"/>
          </w:tcPr>
          <w:p w:rsidR="00F87349" w:rsidRPr="00442E07" w:rsidP="00F87349" w14:paraId="60BC14B6" w14:textId="758E009A">
            <w:pPr>
              <w:jc w:val="right"/>
              <w:rPr>
                <w:rFonts w:ascii="Times New Roman" w:hAnsi="Times New Roman"/>
                <w:szCs w:val="24"/>
              </w:rPr>
            </w:pPr>
            <w:r>
              <w:rPr>
                <w:rFonts w:ascii="Times New Roman" w:hAnsi="Times New Roman"/>
                <w:szCs w:val="24"/>
              </w:rPr>
              <w:t>$4</w:t>
            </w:r>
            <w:r w:rsidR="00613340">
              <w:rPr>
                <w:rFonts w:ascii="Times New Roman" w:hAnsi="Times New Roman"/>
                <w:szCs w:val="24"/>
              </w:rPr>
              <w:t>4</w:t>
            </w:r>
            <w:r w:rsidR="00396786">
              <w:rPr>
                <w:rFonts w:ascii="Times New Roman" w:hAnsi="Times New Roman"/>
                <w:szCs w:val="24"/>
              </w:rPr>
              <w:t>,</w:t>
            </w:r>
            <w:r w:rsidR="00613340">
              <w:rPr>
                <w:rFonts w:ascii="Times New Roman" w:hAnsi="Times New Roman"/>
                <w:szCs w:val="24"/>
              </w:rPr>
              <w:t>282</w:t>
            </w:r>
          </w:p>
        </w:tc>
      </w:tr>
      <w:tr w14:paraId="60BC14C1" w14:textId="77777777" w:rsidTr="00F87349">
        <w:tblPrEx>
          <w:tblW w:w="8995" w:type="dxa"/>
          <w:tblLayout w:type="fixed"/>
          <w:tblLook w:val="0020"/>
        </w:tblPrEx>
        <w:tc>
          <w:tcPr>
            <w:tcW w:w="1705" w:type="dxa"/>
          </w:tcPr>
          <w:p w:rsidR="006D0EF2" w:rsidRPr="00442E07" w:rsidP="00FE1BAE" w14:paraId="60BC14B8" w14:textId="21BCC604">
            <w:pPr>
              <w:rPr>
                <w:rFonts w:ascii="Times New Roman" w:hAnsi="Times New Roman"/>
                <w:szCs w:val="24"/>
              </w:rPr>
            </w:pPr>
            <w:r>
              <w:rPr>
                <w:rFonts w:ascii="Times New Roman" w:hAnsi="Times New Roman"/>
                <w:szCs w:val="24"/>
              </w:rPr>
              <w:t>Not-for-Profit Institutions</w:t>
            </w:r>
          </w:p>
        </w:tc>
        <w:tc>
          <w:tcPr>
            <w:tcW w:w="1260" w:type="dxa"/>
          </w:tcPr>
          <w:p w:rsidR="006D0EF2" w:rsidRPr="00442E07" w:rsidP="006D0EF2" w14:paraId="60BC14BB" w14:textId="2BE6BCA5">
            <w:pPr>
              <w:jc w:val="right"/>
              <w:rPr>
                <w:rFonts w:ascii="Times New Roman" w:hAnsi="Times New Roman"/>
                <w:szCs w:val="24"/>
              </w:rPr>
            </w:pPr>
            <w:r>
              <w:rPr>
                <w:rFonts w:ascii="Times New Roman" w:hAnsi="Times New Roman"/>
                <w:szCs w:val="24"/>
              </w:rPr>
              <w:t>880</w:t>
            </w:r>
          </w:p>
        </w:tc>
        <w:tc>
          <w:tcPr>
            <w:tcW w:w="1445" w:type="dxa"/>
          </w:tcPr>
          <w:p w:rsidR="006D0EF2" w:rsidRPr="00442E07" w:rsidP="006D0EF2" w14:paraId="60BC14BC" w14:textId="1428954D">
            <w:pPr>
              <w:jc w:val="right"/>
              <w:rPr>
                <w:rFonts w:ascii="Times New Roman" w:hAnsi="Times New Roman"/>
                <w:szCs w:val="24"/>
              </w:rPr>
            </w:pPr>
            <w:r>
              <w:rPr>
                <w:rFonts w:ascii="Times New Roman" w:hAnsi="Times New Roman"/>
                <w:szCs w:val="24"/>
              </w:rPr>
              <w:t>7,040</w:t>
            </w:r>
          </w:p>
        </w:tc>
        <w:tc>
          <w:tcPr>
            <w:tcW w:w="1350" w:type="dxa"/>
          </w:tcPr>
          <w:p w:rsidR="006D0EF2" w:rsidRPr="00442E07" w:rsidP="006D0EF2" w14:paraId="60BC14BE" w14:textId="61AFF843">
            <w:pPr>
              <w:pStyle w:val="EndnoteText"/>
              <w:tabs>
                <w:tab w:val="clear" w:pos="-720"/>
              </w:tabs>
              <w:suppressAutoHyphens w:val="0"/>
              <w:jc w:val="right"/>
              <w:rPr>
                <w:rFonts w:ascii="Times New Roman" w:hAnsi="Times New Roman"/>
                <w:szCs w:val="24"/>
              </w:rPr>
            </w:pPr>
            <w:r>
              <w:rPr>
                <w:rFonts w:ascii="Times New Roman" w:hAnsi="Times New Roman"/>
                <w:szCs w:val="24"/>
              </w:rPr>
              <w:t>7,156</w:t>
            </w:r>
          </w:p>
        </w:tc>
        <w:tc>
          <w:tcPr>
            <w:tcW w:w="1260" w:type="dxa"/>
            <w:gridSpan w:val="2"/>
          </w:tcPr>
          <w:p w:rsidR="006D0EF2" w:rsidRPr="00442E07" w:rsidP="006D0EF2" w14:paraId="60BC14BF" w14:textId="75CE6398">
            <w:pPr>
              <w:jc w:val="right"/>
              <w:rPr>
                <w:rFonts w:ascii="Times New Roman" w:hAnsi="Times New Roman"/>
                <w:szCs w:val="24"/>
              </w:rPr>
            </w:pPr>
            <w:r>
              <w:rPr>
                <w:rFonts w:ascii="Times New Roman" w:hAnsi="Times New Roman"/>
                <w:szCs w:val="24"/>
              </w:rPr>
              <w:t>$4</w:t>
            </w:r>
            <w:r w:rsidR="00396786">
              <w:rPr>
                <w:rFonts w:ascii="Times New Roman" w:hAnsi="Times New Roman"/>
                <w:szCs w:val="24"/>
              </w:rPr>
              <w:t>9.98</w:t>
            </w:r>
          </w:p>
        </w:tc>
        <w:tc>
          <w:tcPr>
            <w:tcW w:w="1975" w:type="dxa"/>
          </w:tcPr>
          <w:p w:rsidR="006D0EF2" w:rsidRPr="00442E07" w:rsidP="006D0EF2" w14:paraId="60BC14C0" w14:textId="43FA2088">
            <w:pPr>
              <w:jc w:val="right"/>
              <w:rPr>
                <w:rFonts w:ascii="Times New Roman" w:hAnsi="Times New Roman"/>
                <w:szCs w:val="24"/>
              </w:rPr>
            </w:pPr>
            <w:r>
              <w:rPr>
                <w:rFonts w:ascii="Times New Roman" w:hAnsi="Times New Roman"/>
                <w:szCs w:val="24"/>
              </w:rPr>
              <w:t>$335,402</w:t>
            </w:r>
          </w:p>
        </w:tc>
      </w:tr>
      <w:tr w14:paraId="60BC14CB" w14:textId="77777777" w:rsidTr="00F87349">
        <w:tblPrEx>
          <w:tblW w:w="8995" w:type="dxa"/>
          <w:tblLayout w:type="fixed"/>
          <w:tblLook w:val="0020"/>
        </w:tblPrEx>
        <w:tc>
          <w:tcPr>
            <w:tcW w:w="1705" w:type="dxa"/>
          </w:tcPr>
          <w:p w:rsidR="006D0EF2" w:rsidRPr="00442E07" w:rsidP="00FE1BAE" w14:paraId="60BC14C2" w14:textId="6F094F6C">
            <w:pPr>
              <w:rPr>
                <w:rFonts w:ascii="Times New Roman" w:hAnsi="Times New Roman"/>
                <w:szCs w:val="24"/>
              </w:rPr>
            </w:pPr>
            <w:r>
              <w:rPr>
                <w:rFonts w:ascii="Times New Roman" w:hAnsi="Times New Roman"/>
                <w:szCs w:val="24"/>
              </w:rPr>
              <w:t>Public Institutions</w:t>
            </w:r>
          </w:p>
        </w:tc>
        <w:tc>
          <w:tcPr>
            <w:tcW w:w="1260" w:type="dxa"/>
          </w:tcPr>
          <w:p w:rsidR="006D0EF2" w:rsidRPr="00442E07" w:rsidP="006D0EF2" w14:paraId="60BC14C5" w14:textId="305B9DB4">
            <w:pPr>
              <w:jc w:val="right"/>
              <w:rPr>
                <w:rFonts w:ascii="Times New Roman" w:hAnsi="Times New Roman"/>
                <w:szCs w:val="24"/>
              </w:rPr>
            </w:pPr>
            <w:r>
              <w:rPr>
                <w:rFonts w:ascii="Times New Roman" w:hAnsi="Times New Roman"/>
                <w:szCs w:val="24"/>
              </w:rPr>
              <w:t>564</w:t>
            </w:r>
          </w:p>
        </w:tc>
        <w:tc>
          <w:tcPr>
            <w:tcW w:w="1445" w:type="dxa"/>
          </w:tcPr>
          <w:p w:rsidR="006D0EF2" w:rsidRPr="00442E07" w:rsidP="006D0EF2" w14:paraId="60BC14C6" w14:textId="3A729E8A">
            <w:pPr>
              <w:jc w:val="right"/>
              <w:rPr>
                <w:rFonts w:ascii="Times New Roman" w:hAnsi="Times New Roman"/>
                <w:szCs w:val="24"/>
              </w:rPr>
            </w:pPr>
            <w:r>
              <w:rPr>
                <w:rFonts w:ascii="Times New Roman" w:hAnsi="Times New Roman"/>
                <w:szCs w:val="24"/>
              </w:rPr>
              <w:t>4,512</w:t>
            </w:r>
          </w:p>
        </w:tc>
        <w:tc>
          <w:tcPr>
            <w:tcW w:w="1350" w:type="dxa"/>
          </w:tcPr>
          <w:p w:rsidR="006D0EF2" w:rsidRPr="00442E07" w:rsidP="006D0EF2" w14:paraId="60BC14C8" w14:textId="0C35703E">
            <w:pPr>
              <w:jc w:val="right"/>
              <w:rPr>
                <w:rFonts w:ascii="Times New Roman" w:hAnsi="Times New Roman"/>
                <w:szCs w:val="24"/>
              </w:rPr>
            </w:pPr>
            <w:r>
              <w:rPr>
                <w:rFonts w:ascii="Times New Roman" w:hAnsi="Times New Roman"/>
                <w:szCs w:val="24"/>
              </w:rPr>
              <w:t>4,586</w:t>
            </w:r>
          </w:p>
        </w:tc>
        <w:tc>
          <w:tcPr>
            <w:tcW w:w="1260" w:type="dxa"/>
            <w:gridSpan w:val="2"/>
          </w:tcPr>
          <w:p w:rsidR="006D0EF2" w:rsidRPr="00442E07" w:rsidP="006D0EF2" w14:paraId="60BC14C9" w14:textId="19369B83">
            <w:pPr>
              <w:jc w:val="right"/>
              <w:rPr>
                <w:rFonts w:ascii="Times New Roman" w:hAnsi="Times New Roman"/>
                <w:szCs w:val="24"/>
              </w:rPr>
            </w:pPr>
            <w:r>
              <w:rPr>
                <w:rFonts w:ascii="Times New Roman" w:hAnsi="Times New Roman"/>
                <w:szCs w:val="24"/>
              </w:rPr>
              <w:t>$4</w:t>
            </w:r>
            <w:r w:rsidR="00396786">
              <w:rPr>
                <w:rFonts w:ascii="Times New Roman" w:hAnsi="Times New Roman"/>
                <w:szCs w:val="24"/>
              </w:rPr>
              <w:t>9.98</w:t>
            </w:r>
          </w:p>
        </w:tc>
        <w:tc>
          <w:tcPr>
            <w:tcW w:w="1975" w:type="dxa"/>
          </w:tcPr>
          <w:p w:rsidR="006D0EF2" w:rsidRPr="00442E07" w:rsidP="006D0EF2" w14:paraId="60BC14CA" w14:textId="042D959C">
            <w:pPr>
              <w:jc w:val="right"/>
              <w:rPr>
                <w:rFonts w:ascii="Times New Roman" w:hAnsi="Times New Roman"/>
                <w:szCs w:val="24"/>
              </w:rPr>
            </w:pPr>
            <w:r>
              <w:rPr>
                <w:rFonts w:ascii="Times New Roman" w:hAnsi="Times New Roman"/>
                <w:szCs w:val="24"/>
              </w:rPr>
              <w:t>$2</w:t>
            </w:r>
            <w:r w:rsidR="007C423B">
              <w:rPr>
                <w:rFonts w:ascii="Times New Roman" w:hAnsi="Times New Roman"/>
                <w:szCs w:val="24"/>
              </w:rPr>
              <w:t>29,208</w:t>
            </w:r>
          </w:p>
        </w:tc>
      </w:tr>
      <w:tr w14:paraId="60BC14D5" w14:textId="77777777" w:rsidTr="00F87349">
        <w:tblPrEx>
          <w:tblW w:w="8995" w:type="dxa"/>
          <w:tblLayout w:type="fixed"/>
          <w:tblLook w:val="0020"/>
        </w:tblPrEx>
        <w:tc>
          <w:tcPr>
            <w:tcW w:w="1705" w:type="dxa"/>
          </w:tcPr>
          <w:p w:rsidR="006D0EF2" w:rsidRPr="00442E07" w:rsidP="00FE1BAE" w14:paraId="60BC14CC" w14:textId="77777777">
            <w:pPr>
              <w:rPr>
                <w:rFonts w:ascii="Times New Roman" w:hAnsi="Times New Roman"/>
                <w:szCs w:val="24"/>
              </w:rPr>
            </w:pPr>
            <w:r>
              <w:rPr>
                <w:rFonts w:ascii="Times New Roman" w:hAnsi="Times New Roman"/>
                <w:szCs w:val="24"/>
              </w:rPr>
              <w:t>Annualized Totals</w:t>
            </w:r>
          </w:p>
        </w:tc>
        <w:tc>
          <w:tcPr>
            <w:tcW w:w="1260" w:type="dxa"/>
          </w:tcPr>
          <w:p w:rsidR="006D0EF2" w:rsidRPr="00442E07" w:rsidP="006D0EF2" w14:paraId="60BC14CF" w14:textId="338DFCC7">
            <w:pPr>
              <w:jc w:val="right"/>
              <w:rPr>
                <w:rFonts w:ascii="Times New Roman" w:hAnsi="Times New Roman"/>
                <w:szCs w:val="24"/>
              </w:rPr>
            </w:pPr>
            <w:r w:rsidRPr="004E03FD">
              <w:rPr>
                <w:rFonts w:ascii="Times New Roman" w:hAnsi="Times New Roman"/>
                <w:szCs w:val="24"/>
              </w:rPr>
              <w:t>8,20</w:t>
            </w:r>
            <w:r>
              <w:rPr>
                <w:rFonts w:ascii="Times New Roman" w:hAnsi="Times New Roman"/>
                <w:szCs w:val="24"/>
              </w:rPr>
              <w:t>6</w:t>
            </w:r>
            <w:r w:rsidRPr="004E03FD">
              <w:rPr>
                <w:rFonts w:ascii="Times New Roman" w:hAnsi="Times New Roman"/>
                <w:szCs w:val="24"/>
              </w:rPr>
              <w:t>,</w:t>
            </w:r>
            <w:r>
              <w:rPr>
                <w:rFonts w:ascii="Times New Roman" w:hAnsi="Times New Roman"/>
                <w:szCs w:val="24"/>
              </w:rPr>
              <w:t>301</w:t>
            </w:r>
          </w:p>
        </w:tc>
        <w:tc>
          <w:tcPr>
            <w:tcW w:w="1445" w:type="dxa"/>
          </w:tcPr>
          <w:p w:rsidR="006D0EF2" w:rsidRPr="00442E07" w:rsidP="006D0EF2" w14:paraId="60BC14D0" w14:textId="507DE839">
            <w:pPr>
              <w:jc w:val="right"/>
              <w:rPr>
                <w:rFonts w:ascii="Times New Roman" w:hAnsi="Times New Roman"/>
                <w:szCs w:val="24"/>
              </w:rPr>
            </w:pPr>
            <w:r w:rsidRPr="004E03FD">
              <w:rPr>
                <w:rFonts w:ascii="Times New Roman" w:hAnsi="Times New Roman"/>
                <w:szCs w:val="24"/>
              </w:rPr>
              <w:t>8,217,172</w:t>
            </w:r>
          </w:p>
        </w:tc>
        <w:tc>
          <w:tcPr>
            <w:tcW w:w="1350" w:type="dxa"/>
          </w:tcPr>
          <w:p w:rsidR="006D0EF2" w:rsidRPr="00442E07" w:rsidP="006D0EF2" w14:paraId="60BC14D2" w14:textId="7EAEEA09">
            <w:pPr>
              <w:jc w:val="right"/>
              <w:rPr>
                <w:rFonts w:ascii="Times New Roman" w:hAnsi="Times New Roman"/>
                <w:szCs w:val="24"/>
              </w:rPr>
            </w:pPr>
            <w:r w:rsidRPr="004E03FD">
              <w:rPr>
                <w:rFonts w:ascii="Times New Roman" w:hAnsi="Times New Roman"/>
                <w:szCs w:val="24"/>
              </w:rPr>
              <w:t>149,369</w:t>
            </w:r>
          </w:p>
        </w:tc>
        <w:tc>
          <w:tcPr>
            <w:tcW w:w="1260" w:type="dxa"/>
            <w:gridSpan w:val="2"/>
          </w:tcPr>
          <w:p w:rsidR="006D0EF2" w:rsidRPr="00442E07" w:rsidP="006D0EF2" w14:paraId="60BC14D3" w14:textId="77777777">
            <w:pPr>
              <w:jc w:val="right"/>
              <w:rPr>
                <w:rFonts w:ascii="Times New Roman" w:hAnsi="Times New Roman"/>
                <w:szCs w:val="24"/>
              </w:rPr>
            </w:pPr>
          </w:p>
        </w:tc>
        <w:tc>
          <w:tcPr>
            <w:tcW w:w="1975" w:type="dxa"/>
          </w:tcPr>
          <w:p w:rsidR="006D0EF2" w:rsidRPr="00442E07" w:rsidP="006D0EF2" w14:paraId="60BC14D4" w14:textId="0000F058">
            <w:pPr>
              <w:jc w:val="right"/>
              <w:rPr>
                <w:rFonts w:ascii="Times New Roman" w:hAnsi="Times New Roman"/>
                <w:szCs w:val="24"/>
              </w:rPr>
            </w:pPr>
            <w:r>
              <w:rPr>
                <w:rFonts w:ascii="Times New Roman" w:hAnsi="Times New Roman"/>
                <w:szCs w:val="24"/>
              </w:rPr>
              <w:t>$3,</w:t>
            </w:r>
            <w:r w:rsidR="00A04671">
              <w:rPr>
                <w:rFonts w:ascii="Times New Roman" w:hAnsi="Times New Roman"/>
                <w:szCs w:val="24"/>
              </w:rPr>
              <w:t>863,328</w:t>
            </w:r>
          </w:p>
        </w:tc>
      </w:tr>
    </w:tbl>
    <w:p w:rsidR="001A6AE0" w:rsidP="000446F5" w14:paraId="60BC14D6"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0BC14D8" w14:textId="77777777">
      <w:pPr>
        <w:pStyle w:val="ListParagraph"/>
        <w:tabs>
          <w:tab w:val="left" w:pos="-720"/>
        </w:tabs>
        <w:suppressAutoHyphens/>
        <w:rPr>
          <w:rStyle w:val="a"/>
          <w:rFonts w:ascii="Times New Roman" w:hAnsi="Times New Roman"/>
          <w:szCs w:val="24"/>
        </w:rPr>
      </w:pPr>
    </w:p>
    <w:p w:rsidR="00043C32" w:rsidRPr="00ED7195" w:rsidP="00AD381B" w14:paraId="60BC14D9"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0BC14DB"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60BC14D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0BC14D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BC14E0" w14:textId="77777777">
      <w:pPr>
        <w:tabs>
          <w:tab w:val="left" w:pos="-720"/>
        </w:tabs>
        <w:suppressAutoHyphens/>
        <w:rPr>
          <w:rFonts w:ascii="Times New Roman" w:hAnsi="Times New Roman"/>
          <w:b/>
          <w:szCs w:val="24"/>
        </w:rPr>
      </w:pPr>
    </w:p>
    <w:p w:rsidR="00043C32" w:rsidRPr="00ED7195" w:rsidP="00AD381B"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14:paraId="60BC14E4" w14:textId="4A69BCBC">
      <w:pPr>
        <w:tabs>
          <w:tab w:val="left" w:pos="-720"/>
        </w:tabs>
        <w:suppressAutoHyphens/>
        <w:ind w:left="720"/>
        <w:rPr>
          <w:rFonts w:ascii="Times New Roman" w:hAnsi="Times New Roman"/>
          <w:szCs w:val="24"/>
        </w:rPr>
      </w:pPr>
    </w:p>
    <w:p w:rsidR="0070264F" w:rsidRPr="0070264F" w:rsidP="0070264F" w14:paraId="4641FE04"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There are no start-up costs associated with these regulations.</w:t>
      </w:r>
    </w:p>
    <w:p w:rsidR="00F600B7" w:rsidP="00F600B7" w14:paraId="22BD334A" w14:textId="77777777">
      <w:pPr>
        <w:tabs>
          <w:tab w:val="left" w:pos="-720"/>
        </w:tabs>
        <w:suppressAutoHyphens/>
        <w:ind w:left="720"/>
        <w:rPr>
          <w:rFonts w:ascii="Times New Roman" w:hAnsi="Times New Roman"/>
          <w:szCs w:val="24"/>
        </w:rPr>
      </w:pPr>
    </w:p>
    <w:p w:rsidR="00043C32" w:rsidRPr="00534B4A" w:rsidP="00AD381B"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600B7" w14:paraId="60BC14E6" w14:textId="77777777">
      <w:pPr>
        <w:tabs>
          <w:tab w:val="left" w:pos="-720"/>
        </w:tabs>
        <w:suppressAutoHyphens/>
        <w:ind w:left="720"/>
        <w:rPr>
          <w:rFonts w:ascii="Times New Roman" w:hAnsi="Times New Roman"/>
          <w:szCs w:val="24"/>
        </w:rPr>
      </w:pPr>
    </w:p>
    <w:p w:rsidR="0070264F" w:rsidRPr="0070264F" w:rsidP="0070264F" w14:paraId="3D1036FB"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There are no additional costs to the Federal government as a result of these regulations.</w:t>
      </w:r>
    </w:p>
    <w:p w:rsidR="00F600B7" w:rsidP="00F600B7" w14:paraId="13E58A30" w14:textId="77777777">
      <w:pPr>
        <w:pStyle w:val="ListParagraph"/>
        <w:tabs>
          <w:tab w:val="left" w:pos="-720"/>
        </w:tabs>
        <w:suppressAutoHyphens/>
        <w:contextualSpacing w:val="0"/>
        <w:rPr>
          <w:rFonts w:ascii="Times New Roman" w:hAnsi="Times New Roman"/>
          <w:szCs w:val="24"/>
        </w:rPr>
      </w:pPr>
    </w:p>
    <w:p w:rsidR="00800D30" w:rsidP="00800D30"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0BC14E9" w14:textId="77777777">
      <w:pPr>
        <w:pStyle w:val="ListParagraph"/>
        <w:tabs>
          <w:tab w:val="left" w:pos="-720"/>
        </w:tabs>
        <w:suppressAutoHyphens/>
        <w:contextualSpacing w:val="0"/>
        <w:rPr>
          <w:rFonts w:ascii="Times New Roman" w:hAnsi="Times New Roman"/>
          <w:b/>
          <w:szCs w:val="24"/>
        </w:rPr>
      </w:pPr>
    </w:p>
    <w:p w:rsidR="00800D30" w:rsidRPr="00756FD3" w:rsidP="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0BC14E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0BC14F0" w14:textId="77777777" w:rsidTr="0052073E">
        <w:tblPrEx>
          <w:tblW w:w="9445" w:type="dxa"/>
          <w:tblLook w:val="04A0"/>
        </w:tblPrEx>
        <w:tc>
          <w:tcPr>
            <w:tcW w:w="2048" w:type="dxa"/>
            <w:shd w:val="clear" w:color="auto" w:fill="D9D9D9" w:themeFill="background1" w:themeFillShade="D9"/>
          </w:tcPr>
          <w:p w:rsidR="0052073E" w:rsidP="00534B4A" w14:paraId="60BC14EC" w14:textId="77777777">
            <w:pPr>
              <w:tabs>
                <w:tab w:val="left" w:pos="-720"/>
              </w:tabs>
              <w:suppressAutoHyphens/>
              <w:rPr>
                <w:rFonts w:ascii="Times New Roman" w:hAnsi="Times New Roman"/>
                <w:b/>
                <w:szCs w:val="24"/>
              </w:rPr>
            </w:pPr>
          </w:p>
        </w:tc>
        <w:tc>
          <w:tcPr>
            <w:tcW w:w="2048" w:type="dxa"/>
          </w:tcPr>
          <w:p w:rsidR="0052073E" w:rsidP="00534B4A" w14:paraId="60BC14E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0BC14E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0BC14E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0BC14F5" w14:textId="77777777" w:rsidTr="0052073E">
        <w:tblPrEx>
          <w:tblW w:w="9445" w:type="dxa"/>
          <w:tblLook w:val="04A0"/>
        </w:tblPrEx>
        <w:tc>
          <w:tcPr>
            <w:tcW w:w="2048" w:type="dxa"/>
          </w:tcPr>
          <w:p w:rsidR="0052073E" w:rsidP="00534B4A" w14:paraId="60BC14F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0BC14F2" w14:textId="77777777">
            <w:pPr>
              <w:tabs>
                <w:tab w:val="left" w:pos="-720"/>
              </w:tabs>
              <w:suppressAutoHyphens/>
              <w:rPr>
                <w:rFonts w:ascii="Times New Roman" w:hAnsi="Times New Roman"/>
                <w:b/>
                <w:szCs w:val="24"/>
              </w:rPr>
            </w:pPr>
          </w:p>
        </w:tc>
        <w:tc>
          <w:tcPr>
            <w:tcW w:w="2829" w:type="dxa"/>
          </w:tcPr>
          <w:p w:rsidR="0052073E" w:rsidP="00534B4A" w14:paraId="60BC14F3" w14:textId="15EFF3D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60BC14F4" w14:textId="77777777">
            <w:pPr>
              <w:tabs>
                <w:tab w:val="left" w:pos="-720"/>
              </w:tabs>
              <w:suppressAutoHyphens/>
              <w:rPr>
                <w:rFonts w:ascii="Times New Roman" w:hAnsi="Times New Roman"/>
                <w:b/>
                <w:szCs w:val="24"/>
              </w:rPr>
            </w:pPr>
          </w:p>
        </w:tc>
      </w:tr>
      <w:tr w14:paraId="60BC14FA" w14:textId="77777777" w:rsidTr="0052073E">
        <w:tblPrEx>
          <w:tblW w:w="9445" w:type="dxa"/>
          <w:tblLook w:val="04A0"/>
        </w:tblPrEx>
        <w:tc>
          <w:tcPr>
            <w:tcW w:w="2048" w:type="dxa"/>
          </w:tcPr>
          <w:p w:rsidR="0052073E" w:rsidP="00534B4A" w14:paraId="60BC14F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0BC14F7" w14:textId="77777777">
            <w:pPr>
              <w:tabs>
                <w:tab w:val="left" w:pos="-720"/>
              </w:tabs>
              <w:suppressAutoHyphens/>
              <w:rPr>
                <w:rFonts w:ascii="Times New Roman" w:hAnsi="Times New Roman"/>
                <w:b/>
                <w:szCs w:val="24"/>
              </w:rPr>
            </w:pPr>
          </w:p>
        </w:tc>
        <w:tc>
          <w:tcPr>
            <w:tcW w:w="2829" w:type="dxa"/>
          </w:tcPr>
          <w:p w:rsidR="0052073E" w:rsidP="00534B4A" w14:paraId="60BC14F8" w14:textId="316B0EDF">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60BC14F9" w14:textId="77777777">
            <w:pPr>
              <w:tabs>
                <w:tab w:val="left" w:pos="-720"/>
              </w:tabs>
              <w:suppressAutoHyphens/>
              <w:rPr>
                <w:rFonts w:ascii="Times New Roman" w:hAnsi="Times New Roman"/>
                <w:b/>
                <w:szCs w:val="24"/>
              </w:rPr>
            </w:pPr>
          </w:p>
        </w:tc>
      </w:tr>
      <w:tr w14:paraId="60BC14FF" w14:textId="77777777" w:rsidTr="0052073E">
        <w:tblPrEx>
          <w:tblW w:w="9445" w:type="dxa"/>
          <w:tblLook w:val="04A0"/>
        </w:tblPrEx>
        <w:tc>
          <w:tcPr>
            <w:tcW w:w="2048" w:type="dxa"/>
          </w:tcPr>
          <w:p w:rsidR="0052073E" w:rsidP="00534B4A" w14:paraId="60BC14F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0BC14FC" w14:textId="77777777">
            <w:pPr>
              <w:tabs>
                <w:tab w:val="left" w:pos="-720"/>
              </w:tabs>
              <w:suppressAutoHyphens/>
              <w:rPr>
                <w:rFonts w:ascii="Times New Roman" w:hAnsi="Times New Roman"/>
                <w:b/>
                <w:szCs w:val="24"/>
              </w:rPr>
            </w:pPr>
          </w:p>
        </w:tc>
        <w:tc>
          <w:tcPr>
            <w:tcW w:w="2829" w:type="dxa"/>
          </w:tcPr>
          <w:p w:rsidR="0052073E" w:rsidP="00534B4A" w14:paraId="60BC14FD" w14:textId="73265394">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60BC14FE" w14:textId="77777777">
            <w:pPr>
              <w:tabs>
                <w:tab w:val="left" w:pos="-720"/>
              </w:tabs>
              <w:suppressAutoHyphens/>
              <w:rPr>
                <w:rFonts w:ascii="Times New Roman" w:hAnsi="Times New Roman"/>
                <w:b/>
                <w:szCs w:val="24"/>
              </w:rPr>
            </w:pPr>
          </w:p>
        </w:tc>
      </w:tr>
    </w:tbl>
    <w:p w:rsidR="00F27AAF" w:rsidP="00F600B7" w14:paraId="60BC1500" w14:textId="612B5F9C">
      <w:pPr>
        <w:tabs>
          <w:tab w:val="left" w:pos="-720"/>
        </w:tabs>
        <w:suppressAutoHyphens/>
        <w:ind w:left="720"/>
        <w:rPr>
          <w:rFonts w:ascii="Times New Roman" w:hAnsi="Times New Roman"/>
          <w:bCs/>
          <w:szCs w:val="24"/>
        </w:rPr>
      </w:pPr>
    </w:p>
    <w:p w:rsidR="0070264F" w:rsidRPr="0070264F" w:rsidP="4DD7667B" w14:paraId="414DE1E8" w14:textId="3AC30CDE">
      <w:pPr>
        <w:suppressAutoHyphens/>
        <w:ind w:left="720"/>
        <w:rPr>
          <w:rFonts w:asciiTheme="minorHAnsi" w:hAnsiTheme="minorHAnsi" w:cstheme="minorBidi"/>
        </w:rPr>
      </w:pPr>
      <w:r w:rsidRPr="4DD7667B">
        <w:rPr>
          <w:rFonts w:asciiTheme="minorHAnsi" w:hAnsiTheme="minorHAnsi" w:cstheme="minorBidi"/>
        </w:rPr>
        <w:t xml:space="preserve">The Department is requesting an extension without change of this information collection. The regulations requiring this collection remain in place without change. The Department is requesting an extension of the current burden of 149,369 hours, 8,206,301 respondents and 8,217,172 response totals.  </w:t>
      </w:r>
    </w:p>
    <w:p w:rsidR="00534B4A" w:rsidRPr="00F600B7" w:rsidP="00F600B7" w14:paraId="60BC1501" w14:textId="77777777">
      <w:pPr>
        <w:tabs>
          <w:tab w:val="left" w:pos="-720"/>
        </w:tabs>
        <w:suppressAutoHyphens/>
        <w:ind w:left="720"/>
        <w:rPr>
          <w:rFonts w:ascii="Times New Roman" w:hAnsi="Times New Roman"/>
          <w:bCs/>
          <w:szCs w:val="24"/>
        </w:rPr>
      </w:pPr>
    </w:p>
    <w:p w:rsidR="00043C32" w:rsidP="00AD381B"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14:paraId="60BC1503" w14:textId="77777777">
      <w:pPr>
        <w:tabs>
          <w:tab w:val="left" w:pos="-720"/>
        </w:tabs>
        <w:suppressAutoHyphens/>
        <w:ind w:left="720"/>
        <w:rPr>
          <w:rFonts w:ascii="Times New Roman" w:hAnsi="Times New Roman"/>
          <w:szCs w:val="24"/>
        </w:rPr>
      </w:pPr>
    </w:p>
    <w:p w:rsidR="0070264F" w:rsidRPr="0070264F" w:rsidP="0070264F" w14:paraId="7D088EF6"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 results of the collection of information will not be published.</w:t>
      </w:r>
    </w:p>
    <w:p w:rsidR="00F600B7" w:rsidRPr="00534B4A" w:rsidP="00F600B7" w14:paraId="31D090E1" w14:textId="77777777">
      <w:pPr>
        <w:tabs>
          <w:tab w:val="left" w:pos="-720"/>
        </w:tabs>
        <w:suppressAutoHyphens/>
        <w:ind w:left="720"/>
        <w:rPr>
          <w:rFonts w:ascii="Times New Roman" w:hAnsi="Times New Roman"/>
          <w:szCs w:val="24"/>
        </w:rPr>
      </w:pPr>
    </w:p>
    <w:p w:rsidR="00043C32" w:rsidRPr="00534B4A" w:rsidP="00AD381B"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F600B7" w:rsidP="00F600B7" w14:paraId="60BC1506" w14:textId="77777777">
      <w:pPr>
        <w:tabs>
          <w:tab w:val="left" w:pos="-720"/>
        </w:tabs>
        <w:suppressAutoHyphens/>
        <w:ind w:left="720"/>
        <w:rPr>
          <w:rFonts w:ascii="Times New Roman" w:hAnsi="Times New Roman"/>
          <w:bCs/>
          <w:szCs w:val="24"/>
        </w:rPr>
      </w:pPr>
    </w:p>
    <w:p w:rsidR="0070264F" w:rsidRPr="0070264F" w:rsidP="0070264F" w14:paraId="075562B0"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 Department is not seeking this approval.</w:t>
      </w:r>
    </w:p>
    <w:p w:rsidR="0070264F" w:rsidRPr="00F600B7" w:rsidP="00F600B7" w14:paraId="5095E57B" w14:textId="77777777">
      <w:pPr>
        <w:tabs>
          <w:tab w:val="left" w:pos="-720"/>
        </w:tabs>
        <w:suppressAutoHyphens/>
        <w:ind w:left="720"/>
        <w:rPr>
          <w:rFonts w:ascii="Times New Roman" w:hAnsi="Times New Roman"/>
          <w:bCs/>
          <w:szCs w:val="24"/>
        </w:rPr>
      </w:pPr>
    </w:p>
    <w:p w:rsidR="001C73C0" w:rsidP="00AD381B"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600B7" w:rsidRPr="00F600B7" w:rsidP="00F600B7" w14:paraId="75F01645" w14:textId="372142D0">
      <w:pPr>
        <w:tabs>
          <w:tab w:val="left" w:pos="-720"/>
        </w:tabs>
        <w:suppressAutoHyphens/>
        <w:ind w:left="720"/>
        <w:rPr>
          <w:rFonts w:ascii="Times New Roman" w:hAnsi="Times New Roman"/>
          <w:bCs/>
          <w:szCs w:val="24"/>
        </w:rPr>
      </w:pPr>
    </w:p>
    <w:p w:rsidR="0070264F" w:rsidRPr="0070264F" w:rsidP="4DD7667B" w14:paraId="0C6AC74D" w14:textId="7BE4E5CD">
      <w:pPr>
        <w:suppressAutoHyphens/>
        <w:ind w:left="720"/>
        <w:rPr>
          <w:rFonts w:asciiTheme="minorHAnsi" w:hAnsiTheme="minorHAnsi" w:cstheme="minorBidi"/>
        </w:rPr>
      </w:pPr>
      <w:r w:rsidRPr="4DD7667B">
        <w:rPr>
          <w:rStyle w:val="a"/>
          <w:rFonts w:asciiTheme="minorHAnsi" w:hAnsiTheme="minorHAnsi" w:cstheme="minorBidi"/>
        </w:rPr>
        <w:t>The Department is not requesting any exceptions to the “Certification for Paperwork Reduction Act Submissions”</w:t>
      </w:r>
    </w:p>
    <w:p w:rsidR="00F600B7" w:rsidRPr="00F600B7" w:rsidP="00F600B7" w14:paraId="13E5C7D4" w14:textId="77777777">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D04" w14:paraId="60BC150D" w14:textId="77777777">
    <w:pPr>
      <w:spacing w:before="140" w:line="100" w:lineRule="exact"/>
      <w:rPr>
        <w:sz w:val="10"/>
      </w:rPr>
    </w:pPr>
  </w:p>
  <w:p w:rsidR="00C73D04" w14:paraId="60BC150E" w14:textId="77777777">
    <w:pPr>
      <w:tabs>
        <w:tab w:val="left" w:pos="0"/>
      </w:tabs>
      <w:suppressAutoHyphens/>
    </w:pPr>
  </w:p>
  <w:p w:rsidR="00C73D04" w14:paraId="60BC15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C73D04" w:rsidRPr="00534B4A" w14:paraId="60BC151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C73D0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49D6" w:rsidP="00043C32" w14:paraId="5FE6C44C" w14:textId="77777777">
      <w:r>
        <w:separator/>
      </w:r>
    </w:p>
  </w:footnote>
  <w:footnote w:type="continuationSeparator" w:id="1">
    <w:p w:rsidR="007F49D6" w:rsidP="00043C32" w14:paraId="74BB44FA" w14:textId="77777777">
      <w:r>
        <w:continuationSeparator/>
      </w:r>
    </w:p>
  </w:footnote>
  <w:footnote w:type="continuationNotice" w:id="2">
    <w:p w:rsidR="007F49D6" w14:paraId="1F2F4C95" w14:textId="77777777"/>
  </w:footnote>
  <w:footnote w:id="3">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4DD7667B" w14:paraId="5BA85CF2" w14:textId="5B4EF524">
    <w:pPr>
      <w:pStyle w:val="Header"/>
      <w:rPr>
        <w:rFonts w:ascii="Times New Roman" w:hAnsi="Times New Roman"/>
      </w:rPr>
    </w:pPr>
    <w:r w:rsidRPr="3097ED47">
      <w:rPr>
        <w:rFonts w:ascii="Times New Roman" w:hAnsi="Times New Roman"/>
      </w:rPr>
      <w:t xml:space="preserve">Tracking and OMB Number: (XX) 1845-0023  </w:t>
    </w:r>
    <w:r>
      <w:tab/>
    </w:r>
    <w:r w:rsidRPr="76BC0393" w:rsidR="76BC0393">
      <w:rPr>
        <w:rFonts w:ascii="Times New Roman" w:hAnsi="Times New Roman"/>
      </w:rPr>
      <w:t>0</w:t>
    </w:r>
    <w:r w:rsidR="00B4279E">
      <w:rPr>
        <w:rFonts w:ascii="Times New Roman" w:hAnsi="Times New Roman"/>
      </w:rPr>
      <w:t>5</w:t>
    </w:r>
    <w:r w:rsidRPr="76BC0393" w:rsidR="76BC0393">
      <w:rPr>
        <w:rFonts w:ascii="Times New Roman" w:hAnsi="Times New Roman"/>
      </w:rPr>
      <w:t>/</w:t>
    </w:r>
    <w:r w:rsidRPr="3097ED47">
      <w:rPr>
        <w:rFonts w:ascii="Times New Roman" w:hAnsi="Times New Roman"/>
      </w:rPr>
      <w:t>0</w:t>
    </w:r>
    <w:r w:rsidR="00B4279E">
      <w:rPr>
        <w:rFonts w:ascii="Times New Roman" w:hAnsi="Times New Roman"/>
      </w:rPr>
      <w:t>5</w:t>
    </w:r>
    <w:r w:rsidRPr="3097ED47">
      <w:rPr>
        <w:rFonts w:ascii="Times New Roman" w:hAnsi="Times New Roman"/>
      </w:rPr>
      <w:t>/</w:t>
    </w:r>
    <w:r w:rsidRPr="76BC0393" w:rsidR="76BC0393">
      <w:rPr>
        <w:rFonts w:ascii="Times New Roman" w:hAnsi="Times New Roman"/>
      </w:rPr>
      <w:t>2026</w:t>
    </w:r>
  </w:p>
  <w:p w:rsidR="00F600B7" w14:paraId="02641A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0061392">
    <w:abstractNumId w:val="0"/>
  </w:num>
  <w:num w:numId="2" w16cid:durableId="2132438431">
    <w:abstractNumId w:val="2"/>
  </w:num>
  <w:num w:numId="3" w16cid:durableId="184560793">
    <w:abstractNumId w:val="1"/>
  </w:num>
  <w:num w:numId="4" w16cid:durableId="229732860">
    <w:abstractNumId w:val="3"/>
  </w:num>
  <w:num w:numId="5" w16cid:durableId="196446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7C4D"/>
    <w:rsid w:val="00035ED5"/>
    <w:rsid w:val="00043C32"/>
    <w:rsid w:val="000446F5"/>
    <w:rsid w:val="00093017"/>
    <w:rsid w:val="00126643"/>
    <w:rsid w:val="001824F3"/>
    <w:rsid w:val="001A6AE0"/>
    <w:rsid w:val="001C73C0"/>
    <w:rsid w:val="001E79BD"/>
    <w:rsid w:val="002225CC"/>
    <w:rsid w:val="00224A3B"/>
    <w:rsid w:val="00240A39"/>
    <w:rsid w:val="00246FE9"/>
    <w:rsid w:val="00250100"/>
    <w:rsid w:val="00262A69"/>
    <w:rsid w:val="00270AF7"/>
    <w:rsid w:val="00292F41"/>
    <w:rsid w:val="002A3221"/>
    <w:rsid w:val="002B3BE8"/>
    <w:rsid w:val="002C02EF"/>
    <w:rsid w:val="002C3520"/>
    <w:rsid w:val="002E14E0"/>
    <w:rsid w:val="002F55E5"/>
    <w:rsid w:val="0032078A"/>
    <w:rsid w:val="0032539E"/>
    <w:rsid w:val="00327A2C"/>
    <w:rsid w:val="0033270D"/>
    <w:rsid w:val="00356E00"/>
    <w:rsid w:val="00365438"/>
    <w:rsid w:val="003860E4"/>
    <w:rsid w:val="003875D9"/>
    <w:rsid w:val="00396786"/>
    <w:rsid w:val="003B1545"/>
    <w:rsid w:val="00412915"/>
    <w:rsid w:val="00442E07"/>
    <w:rsid w:val="004A369D"/>
    <w:rsid w:val="004B45A2"/>
    <w:rsid w:val="004E03FD"/>
    <w:rsid w:val="00514886"/>
    <w:rsid w:val="0052073E"/>
    <w:rsid w:val="005230B5"/>
    <w:rsid w:val="00525422"/>
    <w:rsid w:val="00534B4A"/>
    <w:rsid w:val="005463E3"/>
    <w:rsid w:val="00581C11"/>
    <w:rsid w:val="00587B93"/>
    <w:rsid w:val="00613340"/>
    <w:rsid w:val="00625324"/>
    <w:rsid w:val="0068567A"/>
    <w:rsid w:val="006A292A"/>
    <w:rsid w:val="006A38F7"/>
    <w:rsid w:val="006A4EBB"/>
    <w:rsid w:val="006B3424"/>
    <w:rsid w:val="006B4172"/>
    <w:rsid w:val="006D0EF2"/>
    <w:rsid w:val="0070264F"/>
    <w:rsid w:val="007513D5"/>
    <w:rsid w:val="00755D99"/>
    <w:rsid w:val="00756FD3"/>
    <w:rsid w:val="00765392"/>
    <w:rsid w:val="007907A4"/>
    <w:rsid w:val="00790E3E"/>
    <w:rsid w:val="007B0A24"/>
    <w:rsid w:val="007C0A4C"/>
    <w:rsid w:val="007C423B"/>
    <w:rsid w:val="007E368F"/>
    <w:rsid w:val="007F49D6"/>
    <w:rsid w:val="007F6104"/>
    <w:rsid w:val="00800D30"/>
    <w:rsid w:val="00807D1A"/>
    <w:rsid w:val="00827239"/>
    <w:rsid w:val="008528BD"/>
    <w:rsid w:val="00874EFE"/>
    <w:rsid w:val="00882126"/>
    <w:rsid w:val="008933F1"/>
    <w:rsid w:val="008B4975"/>
    <w:rsid w:val="008C289E"/>
    <w:rsid w:val="008D0601"/>
    <w:rsid w:val="008D0EA8"/>
    <w:rsid w:val="008D1F11"/>
    <w:rsid w:val="008E5919"/>
    <w:rsid w:val="008F2790"/>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9F6333"/>
    <w:rsid w:val="00A04671"/>
    <w:rsid w:val="00A118A2"/>
    <w:rsid w:val="00A23F26"/>
    <w:rsid w:val="00A23F8E"/>
    <w:rsid w:val="00A4001C"/>
    <w:rsid w:val="00A40AAB"/>
    <w:rsid w:val="00A46D01"/>
    <w:rsid w:val="00A70816"/>
    <w:rsid w:val="00A7636D"/>
    <w:rsid w:val="00A9138E"/>
    <w:rsid w:val="00A9672C"/>
    <w:rsid w:val="00AC1C89"/>
    <w:rsid w:val="00AD381B"/>
    <w:rsid w:val="00AE10C8"/>
    <w:rsid w:val="00AF5B5B"/>
    <w:rsid w:val="00AF5D1A"/>
    <w:rsid w:val="00B017F9"/>
    <w:rsid w:val="00B07213"/>
    <w:rsid w:val="00B10A05"/>
    <w:rsid w:val="00B4279E"/>
    <w:rsid w:val="00B4397A"/>
    <w:rsid w:val="00B54167"/>
    <w:rsid w:val="00B62E06"/>
    <w:rsid w:val="00B64B1D"/>
    <w:rsid w:val="00B9671B"/>
    <w:rsid w:val="00BA1D31"/>
    <w:rsid w:val="00C164D3"/>
    <w:rsid w:val="00C20670"/>
    <w:rsid w:val="00C224FD"/>
    <w:rsid w:val="00C73D04"/>
    <w:rsid w:val="00C86713"/>
    <w:rsid w:val="00C875E8"/>
    <w:rsid w:val="00C91AB9"/>
    <w:rsid w:val="00C92035"/>
    <w:rsid w:val="00CC244A"/>
    <w:rsid w:val="00CC2A72"/>
    <w:rsid w:val="00CC3FB5"/>
    <w:rsid w:val="00CD2067"/>
    <w:rsid w:val="00CD47BC"/>
    <w:rsid w:val="00D34984"/>
    <w:rsid w:val="00D36C35"/>
    <w:rsid w:val="00D75313"/>
    <w:rsid w:val="00DA4D9E"/>
    <w:rsid w:val="00DE4B55"/>
    <w:rsid w:val="00E023BF"/>
    <w:rsid w:val="00E16ACD"/>
    <w:rsid w:val="00E17134"/>
    <w:rsid w:val="00E22945"/>
    <w:rsid w:val="00E25EBC"/>
    <w:rsid w:val="00E33822"/>
    <w:rsid w:val="00E66550"/>
    <w:rsid w:val="00E877BF"/>
    <w:rsid w:val="00E9001E"/>
    <w:rsid w:val="00EA1767"/>
    <w:rsid w:val="00EA7240"/>
    <w:rsid w:val="00EB0929"/>
    <w:rsid w:val="00EB0FA5"/>
    <w:rsid w:val="00EC01DD"/>
    <w:rsid w:val="00EC35E3"/>
    <w:rsid w:val="00ED54FA"/>
    <w:rsid w:val="00ED7195"/>
    <w:rsid w:val="00EF0032"/>
    <w:rsid w:val="00EF0992"/>
    <w:rsid w:val="00F012FE"/>
    <w:rsid w:val="00F0414F"/>
    <w:rsid w:val="00F27AAF"/>
    <w:rsid w:val="00F31BEC"/>
    <w:rsid w:val="00F5782B"/>
    <w:rsid w:val="00F600B7"/>
    <w:rsid w:val="00F73131"/>
    <w:rsid w:val="00F7555D"/>
    <w:rsid w:val="00F87349"/>
    <w:rsid w:val="00FA4ADB"/>
    <w:rsid w:val="00FC669D"/>
    <w:rsid w:val="00FD4F0B"/>
    <w:rsid w:val="00FE02FC"/>
    <w:rsid w:val="00FE1BAE"/>
    <w:rsid w:val="0353447D"/>
    <w:rsid w:val="04324E52"/>
    <w:rsid w:val="0477F9C5"/>
    <w:rsid w:val="04D56834"/>
    <w:rsid w:val="08C35C5A"/>
    <w:rsid w:val="093B19AF"/>
    <w:rsid w:val="0A9B2765"/>
    <w:rsid w:val="0CBDCDEA"/>
    <w:rsid w:val="0EA76E56"/>
    <w:rsid w:val="0F3774A8"/>
    <w:rsid w:val="0F86A2BA"/>
    <w:rsid w:val="1217383E"/>
    <w:rsid w:val="12FF72B5"/>
    <w:rsid w:val="17429314"/>
    <w:rsid w:val="177C7482"/>
    <w:rsid w:val="1A2142CA"/>
    <w:rsid w:val="1DC6F549"/>
    <w:rsid w:val="1DCAF49C"/>
    <w:rsid w:val="200E6468"/>
    <w:rsid w:val="23BFE19C"/>
    <w:rsid w:val="251259B2"/>
    <w:rsid w:val="270ACFE1"/>
    <w:rsid w:val="2A498719"/>
    <w:rsid w:val="2F59ECF7"/>
    <w:rsid w:val="303D3F3B"/>
    <w:rsid w:val="3097ED47"/>
    <w:rsid w:val="33F00343"/>
    <w:rsid w:val="34798CBD"/>
    <w:rsid w:val="35079B0D"/>
    <w:rsid w:val="38433DF5"/>
    <w:rsid w:val="3A54DF0D"/>
    <w:rsid w:val="3BBA9E9F"/>
    <w:rsid w:val="3C463E5C"/>
    <w:rsid w:val="41370B5A"/>
    <w:rsid w:val="4279D5AA"/>
    <w:rsid w:val="43154CE6"/>
    <w:rsid w:val="44872B01"/>
    <w:rsid w:val="4AC83E22"/>
    <w:rsid w:val="4DD7667B"/>
    <w:rsid w:val="4F2091B3"/>
    <w:rsid w:val="50FD1A66"/>
    <w:rsid w:val="55654F70"/>
    <w:rsid w:val="569AD62A"/>
    <w:rsid w:val="582D16D1"/>
    <w:rsid w:val="59118A0E"/>
    <w:rsid w:val="5F733227"/>
    <w:rsid w:val="63C94537"/>
    <w:rsid w:val="66FBCED6"/>
    <w:rsid w:val="6B6F8ACD"/>
    <w:rsid w:val="6DCF7D99"/>
    <w:rsid w:val="6E7FD77F"/>
    <w:rsid w:val="7192728D"/>
    <w:rsid w:val="74E2FDD8"/>
    <w:rsid w:val="76BC0393"/>
    <w:rsid w:val="772EAA08"/>
    <w:rsid w:val="784F3A0C"/>
    <w:rsid w:val="7977849D"/>
    <w:rsid w:val="7A663B06"/>
    <w:rsid w:val="7D07574D"/>
    <w:rsid w:val="7DE3F17A"/>
    <w:rsid w:val="7F014B2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0BC1447"/>
  <w15:docId w15:val="{647F3A82-784B-4C53-B81B-AA7EC8BE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65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ection-674.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763E1E65-863D-4EBA-9B17-F3185426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4077</Words>
  <Characters>23241</Characters>
  <Application>Microsoft Office Word</Application>
  <DocSecurity>0</DocSecurity>
  <Lines>193</Lines>
  <Paragraphs>54</Paragraphs>
  <ScaleCrop>false</ScaleCrop>
  <Company>U.S. Department of Education</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38</cp:revision>
  <dcterms:created xsi:type="dcterms:W3CDTF">2025-08-28T14:28:00Z</dcterms:created>
  <dcterms:modified xsi:type="dcterms:W3CDTF">2026-05-05T13:57:00Z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