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86890" w:rsidRPr="007D31B7" w:rsidP="549EAD48" w14:paraId="1D3AF36B" w14:textId="77777777">
      <w:pPr>
        <w:jc w:val="center"/>
        <w:rPr>
          <w:szCs w:val="26"/>
        </w:rPr>
      </w:pPr>
      <w:r w:rsidRPr="007D31B7">
        <w:rPr>
          <w:szCs w:val="26"/>
        </w:rPr>
        <w:t>UNITED STATES OF AMERICA</w:t>
      </w:r>
    </w:p>
    <w:p w:rsidR="00F86890" w:rsidRPr="007D31B7" w:rsidP="549EAD48" w14:paraId="79992091" w14:textId="77777777">
      <w:pPr>
        <w:jc w:val="center"/>
        <w:rPr>
          <w:szCs w:val="26"/>
        </w:rPr>
      </w:pPr>
      <w:r w:rsidRPr="007D31B7">
        <w:rPr>
          <w:szCs w:val="26"/>
        </w:rPr>
        <w:t>FEDERAL ENERGY REGULATORY COMMISSION</w:t>
      </w:r>
    </w:p>
    <w:p w:rsidR="00F86890" w:rsidRPr="007D31B7" w:rsidP="549EAD48" w14:paraId="02834C92" w14:textId="77777777">
      <w:pPr>
        <w:rPr>
          <w:szCs w:val="26"/>
        </w:rPr>
      </w:pPr>
    </w:p>
    <w:p w:rsidR="00F86890" w:rsidRPr="007D31B7" w:rsidP="549EAD48" w14:paraId="021D341E" w14:textId="31DED9A2">
      <w:pPr>
        <w:jc w:val="center"/>
        <w:rPr>
          <w:szCs w:val="26"/>
        </w:rPr>
      </w:pPr>
      <w:r w:rsidRPr="007D31B7">
        <w:rPr>
          <w:szCs w:val="26"/>
        </w:rPr>
        <w:t xml:space="preserve">[Docket No. </w:t>
      </w:r>
      <w:r w:rsidRPr="007D31B7" w:rsidR="00462DBE">
        <w:rPr>
          <w:szCs w:val="26"/>
        </w:rPr>
        <w:t>IC</w:t>
      </w:r>
      <w:r w:rsidRPr="007D31B7" w:rsidR="0040332D">
        <w:rPr>
          <w:szCs w:val="26"/>
        </w:rPr>
        <w:t>26</w:t>
      </w:r>
      <w:r w:rsidRPr="007D31B7" w:rsidR="00462DBE">
        <w:rPr>
          <w:szCs w:val="26"/>
        </w:rPr>
        <w:t>-</w:t>
      </w:r>
      <w:r w:rsidRPr="007D31B7" w:rsidR="00957939">
        <w:rPr>
          <w:szCs w:val="26"/>
        </w:rPr>
        <w:t>18</w:t>
      </w:r>
      <w:r w:rsidRPr="007D31B7">
        <w:rPr>
          <w:szCs w:val="26"/>
        </w:rPr>
        <w:t>-000]</w:t>
      </w:r>
    </w:p>
    <w:p w:rsidR="00F86890" w:rsidRPr="007D31B7" w:rsidP="549EAD48" w14:paraId="3565036C" w14:textId="77777777">
      <w:pPr>
        <w:rPr>
          <w:szCs w:val="26"/>
        </w:rPr>
      </w:pPr>
    </w:p>
    <w:p w:rsidR="00F86890" w:rsidRPr="007D31B7" w:rsidP="549EAD48" w14:paraId="7F410A43" w14:textId="321C3FC7">
      <w:pPr>
        <w:jc w:val="center"/>
        <w:rPr>
          <w:szCs w:val="26"/>
        </w:rPr>
      </w:pPr>
      <w:r w:rsidRPr="007D31B7">
        <w:rPr>
          <w:szCs w:val="26"/>
        </w:rPr>
        <w:t>COMMISSION INFORMATION COLLECTION ACTIVITIES (FERC-</w:t>
      </w:r>
      <w:r w:rsidRPr="007D31B7" w:rsidR="003B0D2E">
        <w:rPr>
          <w:szCs w:val="26"/>
        </w:rPr>
        <w:t>549B</w:t>
      </w:r>
      <w:r w:rsidRPr="007D31B7">
        <w:rPr>
          <w:szCs w:val="26"/>
        </w:rPr>
        <w:t>);</w:t>
      </w:r>
    </w:p>
    <w:p w:rsidR="00F86890" w:rsidRPr="007D31B7" w:rsidP="549EAD48" w14:paraId="7D33A233" w14:textId="1D4C1788">
      <w:pPr>
        <w:jc w:val="center"/>
        <w:rPr>
          <w:szCs w:val="26"/>
        </w:rPr>
      </w:pPr>
      <w:r w:rsidRPr="007D31B7">
        <w:rPr>
          <w:szCs w:val="26"/>
        </w:rPr>
        <w:t xml:space="preserve">COMMENT REQUEST </w:t>
      </w:r>
    </w:p>
    <w:p w:rsidR="00F86890" w:rsidRPr="007D31B7" w:rsidP="549EAD48" w14:paraId="40E27417" w14:textId="77777777">
      <w:pPr>
        <w:rPr>
          <w:szCs w:val="26"/>
        </w:rPr>
      </w:pPr>
    </w:p>
    <w:p w:rsidR="00F86890" w:rsidRPr="007D31B7" w:rsidP="549EAD48" w14:paraId="4A8C700B" w14:textId="6FAFC7AA">
      <w:pPr>
        <w:spacing w:line="480" w:lineRule="auto"/>
        <w:jc w:val="center"/>
        <w:rPr>
          <w:szCs w:val="26"/>
        </w:rPr>
      </w:pPr>
      <w:r w:rsidRPr="007D31B7">
        <w:rPr>
          <w:szCs w:val="26"/>
        </w:rPr>
        <w:t>(</w:t>
      </w:r>
      <w:r w:rsidR="00D6144A">
        <w:rPr>
          <w:szCs w:val="26"/>
        </w:rPr>
        <w:t>March 9, 2026</w:t>
      </w:r>
      <w:r w:rsidRPr="007D31B7">
        <w:rPr>
          <w:szCs w:val="26"/>
        </w:rPr>
        <w:t>)</w:t>
      </w:r>
    </w:p>
    <w:p w:rsidR="00F86890" w:rsidRPr="007D31B7" w:rsidP="549EAD48" w14:paraId="08B34019" w14:textId="77777777">
      <w:pPr>
        <w:spacing w:line="480" w:lineRule="auto"/>
        <w:rPr>
          <w:szCs w:val="26"/>
        </w:rPr>
      </w:pPr>
      <w:r w:rsidRPr="007D31B7">
        <w:rPr>
          <w:b/>
          <w:bCs/>
          <w:szCs w:val="26"/>
        </w:rPr>
        <w:t>AGENCY:</w:t>
      </w:r>
      <w:r w:rsidRPr="007D31B7">
        <w:rPr>
          <w:szCs w:val="26"/>
        </w:rPr>
        <w:t xml:space="preserve">  </w:t>
      </w:r>
      <w:r w:rsidRPr="007D31B7">
        <w:rPr>
          <w:szCs w:val="26"/>
        </w:rPr>
        <w:t>Federal Energy Regulatory Commission.</w:t>
      </w:r>
    </w:p>
    <w:p w:rsidR="00F86890" w:rsidRPr="007D31B7" w:rsidP="549EAD48" w14:paraId="5FAEBA59" w14:textId="3720348C">
      <w:pPr>
        <w:spacing w:line="480" w:lineRule="auto"/>
        <w:rPr>
          <w:szCs w:val="26"/>
        </w:rPr>
      </w:pPr>
      <w:r w:rsidRPr="007D31B7">
        <w:rPr>
          <w:b/>
          <w:bCs/>
          <w:szCs w:val="26"/>
        </w:rPr>
        <w:t>ACTION:</w:t>
      </w:r>
      <w:r w:rsidRPr="007D31B7">
        <w:rPr>
          <w:szCs w:val="26"/>
        </w:rPr>
        <w:t xml:space="preserve">  </w:t>
      </w:r>
      <w:r w:rsidRPr="007D31B7">
        <w:rPr>
          <w:szCs w:val="26"/>
        </w:rPr>
        <w:t xml:space="preserve">Notice </w:t>
      </w:r>
      <w:r w:rsidRPr="007D31B7" w:rsidR="00B923C2">
        <w:rPr>
          <w:szCs w:val="26"/>
        </w:rPr>
        <w:t xml:space="preserve">of </w:t>
      </w:r>
      <w:r w:rsidRPr="007D31B7">
        <w:rPr>
          <w:szCs w:val="26"/>
        </w:rPr>
        <w:t>information collection and request for comments.</w:t>
      </w:r>
    </w:p>
    <w:p w:rsidR="00F86890" w:rsidRPr="007D31B7" w:rsidP="5AF05077" w14:paraId="4D2FDC2C" w14:textId="2F956606">
      <w:pPr>
        <w:spacing w:line="480" w:lineRule="auto"/>
        <w:rPr>
          <w:szCs w:val="26"/>
        </w:rPr>
      </w:pPr>
      <w:r w:rsidRPr="007D31B7">
        <w:rPr>
          <w:b/>
          <w:bCs/>
          <w:szCs w:val="26"/>
        </w:rPr>
        <w:t>SUMMARY:</w:t>
      </w:r>
      <w:r w:rsidRPr="007D31B7">
        <w:rPr>
          <w:szCs w:val="26"/>
        </w:rPr>
        <w:t xml:space="preserve">  In compliance with the requirements of </w:t>
      </w:r>
      <w:r w:rsidRPr="007D31B7" w:rsidR="00DA7F57">
        <w:rPr>
          <w:szCs w:val="26"/>
        </w:rPr>
        <w:t xml:space="preserve">the </w:t>
      </w:r>
      <w:r w:rsidRPr="007D31B7" w:rsidR="0005366B">
        <w:rPr>
          <w:szCs w:val="26"/>
        </w:rPr>
        <w:t>Paperwork Reduction Act of 1995</w:t>
      </w:r>
      <w:r w:rsidRPr="007D31B7" w:rsidR="00002127">
        <w:rPr>
          <w:szCs w:val="26"/>
        </w:rPr>
        <w:t>, 44 USC 3506(</w:t>
      </w:r>
      <w:r w:rsidRPr="007D31B7" w:rsidR="00672BEA">
        <w:rPr>
          <w:szCs w:val="26"/>
        </w:rPr>
        <w:t>c</w:t>
      </w:r>
      <w:r w:rsidRPr="007D31B7" w:rsidR="00002127">
        <w:rPr>
          <w:szCs w:val="26"/>
        </w:rPr>
        <w:t>)(2)(A)</w:t>
      </w:r>
      <w:r w:rsidRPr="007D31B7">
        <w:rPr>
          <w:szCs w:val="26"/>
        </w:rPr>
        <w:t xml:space="preserve">, the Federal Energy Regulatory Commission (Commission or FERC) </w:t>
      </w:r>
      <w:r w:rsidRPr="007D31B7" w:rsidR="00A6608D">
        <w:rPr>
          <w:szCs w:val="26"/>
        </w:rPr>
        <w:t>is soliciting public comment</w:t>
      </w:r>
      <w:r w:rsidRPr="007D31B7" w:rsidR="00782058">
        <w:rPr>
          <w:szCs w:val="26"/>
        </w:rPr>
        <w:t>s</w:t>
      </w:r>
      <w:r w:rsidRPr="007D31B7" w:rsidR="00A6608D">
        <w:rPr>
          <w:szCs w:val="26"/>
        </w:rPr>
        <w:t xml:space="preserve"> on </w:t>
      </w:r>
      <w:r w:rsidRPr="007D31B7" w:rsidR="002A06E9">
        <w:rPr>
          <w:szCs w:val="26"/>
        </w:rPr>
        <w:t>the c</w:t>
      </w:r>
      <w:r w:rsidRPr="007D31B7" w:rsidR="00A6608D">
        <w:rPr>
          <w:szCs w:val="26"/>
        </w:rPr>
        <w:t>urrently approved information collection</w:t>
      </w:r>
      <w:r w:rsidRPr="007D31B7" w:rsidR="00EE7454">
        <w:rPr>
          <w:szCs w:val="26"/>
        </w:rPr>
        <w:t xml:space="preserve">, </w:t>
      </w:r>
      <w:r w:rsidRPr="007D31B7" w:rsidR="00A6608D">
        <w:rPr>
          <w:szCs w:val="26"/>
        </w:rPr>
        <w:t>FERC-54</w:t>
      </w:r>
      <w:r w:rsidRPr="007D31B7" w:rsidR="00EE7454">
        <w:rPr>
          <w:szCs w:val="26"/>
        </w:rPr>
        <w:t>9B</w:t>
      </w:r>
      <w:r w:rsidRPr="007D31B7" w:rsidR="00A6608D">
        <w:rPr>
          <w:szCs w:val="26"/>
        </w:rPr>
        <w:t xml:space="preserve"> (</w:t>
      </w:r>
      <w:bookmarkStart w:id="0" w:name="_Hlk106029981"/>
      <w:r w:rsidRPr="007D31B7" w:rsidR="00A6608D">
        <w:rPr>
          <w:szCs w:val="26"/>
        </w:rPr>
        <w:t>Gas Pipeline Rates:</w:t>
      </w:r>
      <w:r w:rsidRPr="007D31B7" w:rsidR="003230F8">
        <w:rPr>
          <w:szCs w:val="26"/>
        </w:rPr>
        <w:t xml:space="preserve"> Annual Capacity Reports and Index of Customers</w:t>
      </w:r>
      <w:bookmarkEnd w:id="0"/>
      <w:r w:rsidRPr="007D31B7" w:rsidR="00A6608D">
        <w:rPr>
          <w:szCs w:val="26"/>
        </w:rPr>
        <w:t>)</w:t>
      </w:r>
      <w:r w:rsidRPr="007D31B7" w:rsidR="002A06E9">
        <w:rPr>
          <w:szCs w:val="26"/>
        </w:rPr>
        <w:t>.</w:t>
      </w:r>
      <w:r w:rsidRPr="007D31B7">
        <w:rPr>
          <w:szCs w:val="26"/>
        </w:rPr>
        <w:t xml:space="preserve"> </w:t>
      </w:r>
      <w:r w:rsidRPr="007D31B7" w:rsidR="42508A23">
        <w:rPr>
          <w:szCs w:val="26"/>
        </w:rPr>
        <w:t xml:space="preserve"> </w:t>
      </w:r>
      <w:r w:rsidRPr="007D31B7" w:rsidR="00B65C5A">
        <w:rPr>
          <w:szCs w:val="26"/>
        </w:rPr>
        <w:t xml:space="preserve">No Comments were received on the 60-day notice. </w:t>
      </w:r>
    </w:p>
    <w:p w:rsidR="42508A23" w:rsidRPr="007D31B7" w:rsidP="5AF05077" w14:paraId="67015706" w14:textId="08327397">
      <w:pPr>
        <w:spacing w:line="480" w:lineRule="auto"/>
        <w:rPr>
          <w:color w:val="000000" w:themeColor="text1"/>
          <w:szCs w:val="26"/>
        </w:rPr>
      </w:pPr>
      <w:r w:rsidRPr="007D31B7">
        <w:rPr>
          <w:b/>
          <w:bCs/>
          <w:color w:val="000000" w:themeColor="text1"/>
          <w:szCs w:val="26"/>
        </w:rPr>
        <w:t>DATES:</w:t>
      </w:r>
      <w:r w:rsidRPr="007D31B7">
        <w:rPr>
          <w:color w:val="000000" w:themeColor="text1"/>
          <w:szCs w:val="26"/>
        </w:rPr>
        <w:t xml:space="preserve">  Comments on the collection of information are due </w:t>
      </w:r>
      <w:r w:rsidRPr="007D31B7">
        <w:rPr>
          <w:b/>
          <w:bCs/>
          <w:color w:val="000000" w:themeColor="text1"/>
          <w:szCs w:val="26"/>
        </w:rPr>
        <w:t>[INSERT DATE 30 DAYS AFTER DATE OF PUBLICATION IN THE FEDERAL REGISTER]</w:t>
      </w:r>
      <w:r w:rsidRPr="007D31B7">
        <w:rPr>
          <w:color w:val="000000" w:themeColor="text1"/>
          <w:szCs w:val="26"/>
        </w:rPr>
        <w:t xml:space="preserve">. </w:t>
      </w:r>
    </w:p>
    <w:p w:rsidR="42508A23" w:rsidRPr="007D31B7" w:rsidP="5AF05077" w14:paraId="68927B05" w14:textId="7E413B28">
      <w:pPr>
        <w:spacing w:line="480" w:lineRule="auto"/>
        <w:rPr>
          <w:color w:val="000000" w:themeColor="text1"/>
          <w:szCs w:val="26"/>
        </w:rPr>
      </w:pPr>
      <w:r w:rsidRPr="007D31B7">
        <w:rPr>
          <w:b/>
          <w:bCs/>
          <w:color w:val="000000" w:themeColor="text1"/>
          <w:szCs w:val="26"/>
        </w:rPr>
        <w:t>ADDRESSES:</w:t>
      </w:r>
      <w:r w:rsidRPr="007D31B7">
        <w:rPr>
          <w:color w:val="000000" w:themeColor="text1"/>
          <w:szCs w:val="26"/>
        </w:rPr>
        <w:t xml:space="preserve"> Send written comments on FERC-549B to OMB through </w:t>
      </w:r>
      <w:hyperlink r:id="rId11">
        <w:r w:rsidRPr="007D31B7">
          <w:rPr>
            <w:rStyle w:val="Hyperlink"/>
            <w:szCs w:val="26"/>
          </w:rPr>
          <w:t>https://www.reginfo.gov/public/do/PRA/icrPublicCommentRequest?ref_nbr=</w:t>
        </w:r>
        <w:r w:rsidRPr="007D31B7" w:rsidR="1556F8B3">
          <w:rPr>
            <w:rStyle w:val="Hyperlink"/>
            <w:szCs w:val="26"/>
          </w:rPr>
          <w:t>202602-1902-004</w:t>
        </w:r>
      </w:hyperlink>
      <w:r w:rsidRPr="007D31B7" w:rsidR="1556F8B3">
        <w:rPr>
          <w:szCs w:val="26"/>
        </w:rPr>
        <w:t xml:space="preserve">. </w:t>
      </w:r>
      <w:r w:rsidRPr="007D31B7">
        <w:rPr>
          <w:color w:val="000000" w:themeColor="text1"/>
          <w:szCs w:val="26"/>
        </w:rPr>
        <w:t xml:space="preserve">You can also visit </w:t>
      </w:r>
      <w:hyperlink r:id="rId12">
        <w:r w:rsidRPr="007D31B7">
          <w:rPr>
            <w:rStyle w:val="Hyperlink"/>
            <w:szCs w:val="26"/>
          </w:rPr>
          <w:t>https://www.reginfo.gov/public/do/PRAMain</w:t>
        </w:r>
      </w:hyperlink>
      <w:r w:rsidRPr="007D31B7">
        <w:rPr>
          <w:color w:val="000000" w:themeColor="text1"/>
          <w:szCs w:val="26"/>
        </w:rPr>
        <w:t xml:space="preserve"> and use the drop-down under “Currently under Review” to select the “Federal Energy Regulatory Commission” where you can see the open opportunities to provide comments. Comments should be sent within 30 days of publication of this notice.</w:t>
      </w:r>
    </w:p>
    <w:p w:rsidR="42508A23" w:rsidRPr="007D31B7" w:rsidP="5AF05077" w14:paraId="232FF9B7" w14:textId="614EEAE4">
      <w:pPr>
        <w:spacing w:line="480" w:lineRule="auto"/>
        <w:rPr>
          <w:color w:val="000000" w:themeColor="text1"/>
          <w:szCs w:val="26"/>
        </w:rPr>
      </w:pPr>
      <w:r w:rsidRPr="007D31B7">
        <w:rPr>
          <w:color w:val="000000" w:themeColor="text1"/>
          <w:szCs w:val="26"/>
        </w:rPr>
        <w:t xml:space="preserve">Please submit a copy of your comments to the Commission via email to </w:t>
      </w:r>
      <w:hyperlink r:id="rId13">
        <w:r w:rsidRPr="007D31B7">
          <w:rPr>
            <w:rStyle w:val="Hyperlink"/>
            <w:szCs w:val="26"/>
          </w:rPr>
          <w:t>DataClearance@FERC.gov</w:t>
        </w:r>
      </w:hyperlink>
      <w:r w:rsidRPr="007D31B7">
        <w:rPr>
          <w:color w:val="000000" w:themeColor="text1"/>
          <w:szCs w:val="26"/>
        </w:rPr>
        <w:t xml:space="preserve">. You must specify the Docket No. (IC26-18-000) and the </w:t>
      </w:r>
      <w:r w:rsidRPr="007D31B7">
        <w:rPr>
          <w:color w:val="000000" w:themeColor="text1"/>
          <w:szCs w:val="26"/>
        </w:rPr>
        <w:t>FERC Information Collection number (FERC-549B) in your email. If you are unable to file electronically, comments may be filed by USPS mail or by hand (including courier) delivery:</w:t>
      </w:r>
    </w:p>
    <w:p w:rsidR="42508A23" w:rsidRPr="007D31B7" w:rsidP="5AF05077" w14:paraId="73319FCD" w14:textId="2CC898C3">
      <w:pPr>
        <w:pStyle w:val="ListParagraph"/>
        <w:numPr>
          <w:ilvl w:val="0"/>
          <w:numId w:val="1"/>
        </w:numPr>
        <w:spacing w:line="480" w:lineRule="auto"/>
        <w:rPr>
          <w:color w:val="000000" w:themeColor="text1"/>
          <w:szCs w:val="26"/>
        </w:rPr>
      </w:pPr>
      <w:r w:rsidRPr="007D31B7">
        <w:rPr>
          <w:color w:val="000000" w:themeColor="text1"/>
          <w:szCs w:val="26"/>
        </w:rPr>
        <w:t>Mail via U.S. Postal Service Only: Federal Energy Regulatory Commission, Secretary of the Commission, 888 First Street, N.E., Washington, DC 20426.</w:t>
      </w:r>
    </w:p>
    <w:p w:rsidR="42508A23" w:rsidRPr="007D31B7" w:rsidP="5AF05077" w14:paraId="0A46390A" w14:textId="72E43045">
      <w:pPr>
        <w:pStyle w:val="ListParagraph"/>
        <w:numPr>
          <w:ilvl w:val="0"/>
          <w:numId w:val="1"/>
        </w:numPr>
        <w:spacing w:line="480" w:lineRule="auto"/>
        <w:rPr>
          <w:color w:val="000000" w:themeColor="text1"/>
          <w:szCs w:val="26"/>
        </w:rPr>
      </w:pPr>
      <w:r w:rsidRPr="007D31B7">
        <w:rPr>
          <w:color w:val="000000" w:themeColor="text1"/>
          <w:szCs w:val="26"/>
        </w:rPr>
        <w:t>All other delivery methods: Federal Energy Regulatory Commission, Secretary of the Commission, 12225 Wilkins Avenue, Rockville, MD 20852.</w:t>
      </w:r>
    </w:p>
    <w:p w:rsidR="42508A23" w:rsidRPr="007D31B7" w:rsidP="5AF05077" w14:paraId="3008E2DB" w14:textId="13412231">
      <w:pPr>
        <w:spacing w:line="480" w:lineRule="auto"/>
        <w:rPr>
          <w:color w:val="000000" w:themeColor="text1"/>
          <w:szCs w:val="26"/>
        </w:rPr>
      </w:pPr>
      <w:r w:rsidRPr="007D31B7">
        <w:rPr>
          <w:i/>
          <w:iCs/>
          <w:color w:val="000000" w:themeColor="text1"/>
          <w:szCs w:val="26"/>
        </w:rPr>
        <w:t>Docket</w:t>
      </w:r>
      <w:r w:rsidRPr="007D31B7">
        <w:rPr>
          <w:color w:val="000000" w:themeColor="text1"/>
          <w:szCs w:val="26"/>
        </w:rPr>
        <w:t xml:space="preserve">:  To view comments and issuances in this docket, please visit </w:t>
      </w:r>
      <w:hyperlink r:id="rId14">
        <w:r w:rsidRPr="007D31B7">
          <w:rPr>
            <w:rStyle w:val="Hyperlink"/>
            <w:szCs w:val="26"/>
          </w:rPr>
          <w:t>https://elibrary.ferc.gov/eLibrary/search</w:t>
        </w:r>
      </w:hyperlink>
      <w:r w:rsidRPr="007D31B7">
        <w:rPr>
          <w:color w:val="000000" w:themeColor="text1"/>
          <w:szCs w:val="26"/>
        </w:rPr>
        <w:t xml:space="preserve">. </w:t>
      </w:r>
    </w:p>
    <w:p w:rsidR="42508A23" w:rsidRPr="007D31B7" w:rsidP="5AF05077" w14:paraId="5566D635" w14:textId="1B2C8D8B">
      <w:pPr>
        <w:spacing w:line="480" w:lineRule="auto"/>
        <w:rPr>
          <w:color w:val="000000" w:themeColor="text1"/>
          <w:szCs w:val="26"/>
        </w:rPr>
      </w:pPr>
      <w:r w:rsidRPr="007D31B7">
        <w:rPr>
          <w:b/>
          <w:bCs/>
          <w:color w:val="000000" w:themeColor="text1"/>
          <w:szCs w:val="26"/>
        </w:rPr>
        <w:t>FOR FURTHER INFORMATION CONTACT:</w:t>
      </w:r>
      <w:r w:rsidRPr="007D31B7">
        <w:rPr>
          <w:color w:val="000000" w:themeColor="text1"/>
          <w:szCs w:val="26"/>
        </w:rPr>
        <w:t xml:space="preserve">  Kayla Williams, (202) 502-6468. </w:t>
      </w:r>
      <w:hyperlink r:id="rId13">
        <w:r w:rsidRPr="007D31B7">
          <w:rPr>
            <w:rStyle w:val="Hyperlink"/>
            <w:szCs w:val="26"/>
          </w:rPr>
          <w:t>DataClearance@FERC.gov</w:t>
        </w:r>
      </w:hyperlink>
    </w:p>
    <w:p w:rsidR="00C056FE" w:rsidRPr="007D31B7" w:rsidP="549EAD48" w14:paraId="20207DF2" w14:textId="77777777">
      <w:pPr>
        <w:spacing w:line="480" w:lineRule="auto"/>
        <w:rPr>
          <w:szCs w:val="26"/>
        </w:rPr>
      </w:pPr>
      <w:r w:rsidRPr="007D31B7">
        <w:rPr>
          <w:szCs w:val="26"/>
        </w:rPr>
        <w:t xml:space="preserve"> </w:t>
      </w:r>
      <w:r w:rsidRPr="007D31B7">
        <w:rPr>
          <w:b/>
          <w:bCs/>
          <w:szCs w:val="26"/>
        </w:rPr>
        <w:t>SUPPLEMENTARY INFORMATION:</w:t>
      </w:r>
      <w:r w:rsidRPr="007D31B7">
        <w:rPr>
          <w:szCs w:val="26"/>
        </w:rPr>
        <w:t xml:space="preserve">  </w:t>
      </w:r>
    </w:p>
    <w:p w:rsidR="008E3D19" w:rsidRPr="007D31B7" w:rsidP="7E27CEE0" w14:paraId="02006A18" w14:textId="537B9030">
      <w:pPr>
        <w:spacing w:line="480" w:lineRule="auto"/>
        <w:rPr>
          <w:szCs w:val="26"/>
        </w:rPr>
      </w:pPr>
      <w:r w:rsidRPr="007D31B7">
        <w:rPr>
          <w:i/>
          <w:iCs/>
          <w:szCs w:val="26"/>
        </w:rPr>
        <w:t>Title:</w:t>
      </w:r>
      <w:r w:rsidRPr="007D31B7">
        <w:rPr>
          <w:szCs w:val="26"/>
        </w:rPr>
        <w:t xml:space="preserve"> </w:t>
      </w:r>
      <w:r w:rsidRPr="007D31B7" w:rsidR="3ADDA393">
        <w:rPr>
          <w:szCs w:val="26"/>
        </w:rPr>
        <w:t xml:space="preserve"> </w:t>
      </w:r>
      <w:r w:rsidRPr="007D31B7">
        <w:rPr>
          <w:szCs w:val="26"/>
        </w:rPr>
        <w:t>FERC-549B</w:t>
      </w:r>
      <w:r w:rsidRPr="007D31B7" w:rsidR="006C6072">
        <w:rPr>
          <w:szCs w:val="26"/>
        </w:rPr>
        <w:t xml:space="preserve"> (</w:t>
      </w:r>
      <w:r w:rsidRPr="007D31B7">
        <w:rPr>
          <w:szCs w:val="26"/>
        </w:rPr>
        <w:t xml:space="preserve">Gas Pipeline Rates: </w:t>
      </w:r>
      <w:r w:rsidRPr="007D31B7" w:rsidR="006C6072">
        <w:rPr>
          <w:szCs w:val="26"/>
        </w:rPr>
        <w:t xml:space="preserve">Annual </w:t>
      </w:r>
      <w:r w:rsidRPr="007D31B7">
        <w:rPr>
          <w:szCs w:val="26"/>
        </w:rPr>
        <w:t>Capacity Reports and Index of Customers</w:t>
      </w:r>
      <w:r w:rsidRPr="007D31B7" w:rsidR="002A6C6C">
        <w:rPr>
          <w:szCs w:val="26"/>
        </w:rPr>
        <w:t>)</w:t>
      </w:r>
      <w:r w:rsidRPr="007D31B7">
        <w:rPr>
          <w:szCs w:val="26"/>
        </w:rPr>
        <w:t xml:space="preserve"> </w:t>
      </w:r>
    </w:p>
    <w:p w:rsidR="008E3D19" w:rsidRPr="007D31B7" w:rsidP="7E27CEE0" w14:paraId="536F93BB" w14:textId="16BA232F">
      <w:pPr>
        <w:spacing w:line="480" w:lineRule="auto"/>
        <w:rPr>
          <w:szCs w:val="26"/>
        </w:rPr>
      </w:pPr>
      <w:r w:rsidRPr="007D31B7">
        <w:rPr>
          <w:i/>
          <w:iCs/>
          <w:szCs w:val="26"/>
        </w:rPr>
        <w:t>OMB Control No.:</w:t>
      </w:r>
      <w:r w:rsidRPr="007D31B7">
        <w:rPr>
          <w:szCs w:val="26"/>
        </w:rPr>
        <w:t xml:space="preserve"> </w:t>
      </w:r>
      <w:r w:rsidRPr="007D31B7" w:rsidR="090F91E1">
        <w:rPr>
          <w:szCs w:val="26"/>
        </w:rPr>
        <w:t xml:space="preserve"> </w:t>
      </w:r>
      <w:r w:rsidRPr="007D31B7">
        <w:rPr>
          <w:szCs w:val="26"/>
        </w:rPr>
        <w:t xml:space="preserve">1902-0169 </w:t>
      </w:r>
    </w:p>
    <w:p w:rsidR="008E3D19" w:rsidRPr="007D31B7" w:rsidP="7E27CEE0" w14:paraId="1C66A743" w14:textId="2044453E">
      <w:pPr>
        <w:spacing w:line="480" w:lineRule="auto"/>
        <w:rPr>
          <w:szCs w:val="26"/>
        </w:rPr>
      </w:pPr>
      <w:r w:rsidRPr="007D31B7">
        <w:rPr>
          <w:i/>
          <w:iCs/>
          <w:szCs w:val="26"/>
        </w:rPr>
        <w:t>Type of Request:</w:t>
      </w:r>
      <w:r w:rsidRPr="007D31B7">
        <w:rPr>
          <w:szCs w:val="26"/>
        </w:rPr>
        <w:t xml:space="preserve"> </w:t>
      </w:r>
      <w:r w:rsidRPr="007D31B7" w:rsidR="62C071B8">
        <w:rPr>
          <w:szCs w:val="26"/>
        </w:rPr>
        <w:t xml:space="preserve"> </w:t>
      </w:r>
      <w:r w:rsidRPr="007D31B7" w:rsidR="00D404E6">
        <w:rPr>
          <w:szCs w:val="26"/>
        </w:rPr>
        <w:t>Reinstatement</w:t>
      </w:r>
      <w:r w:rsidRPr="007D31B7">
        <w:rPr>
          <w:szCs w:val="26"/>
        </w:rPr>
        <w:t xml:space="preserve"> of the FERC-549B information collection requirements with no changes to the reporting requirements. </w:t>
      </w:r>
    </w:p>
    <w:p w:rsidR="00FD23FF" w:rsidRPr="007D31B7" w:rsidP="1972669F" w14:paraId="206AFF31" w14:textId="3744FCF0">
      <w:pPr>
        <w:spacing w:line="480" w:lineRule="auto"/>
        <w:rPr>
          <w:szCs w:val="26"/>
        </w:rPr>
      </w:pPr>
      <w:r w:rsidRPr="007D31B7">
        <w:rPr>
          <w:i/>
          <w:iCs/>
          <w:szCs w:val="26"/>
        </w:rPr>
        <w:t>Abstract:</w:t>
      </w:r>
      <w:r w:rsidRPr="007D31B7" w:rsidR="1A360361">
        <w:rPr>
          <w:i/>
          <w:iCs/>
          <w:szCs w:val="26"/>
        </w:rPr>
        <w:t xml:space="preserve"> </w:t>
      </w:r>
      <w:r w:rsidRPr="007D31B7">
        <w:rPr>
          <w:szCs w:val="26"/>
        </w:rPr>
        <w:t xml:space="preserve"> As described below, FERC-549B is comprised of information collection activities at 18 C</w:t>
      </w:r>
      <w:r w:rsidRPr="007D31B7" w:rsidR="00616138">
        <w:rPr>
          <w:szCs w:val="26"/>
        </w:rPr>
        <w:t>.</w:t>
      </w:r>
      <w:r w:rsidRPr="007D31B7">
        <w:rPr>
          <w:szCs w:val="26"/>
        </w:rPr>
        <w:t>F</w:t>
      </w:r>
      <w:r w:rsidRPr="007D31B7" w:rsidR="00616138">
        <w:rPr>
          <w:szCs w:val="26"/>
        </w:rPr>
        <w:t>.</w:t>
      </w:r>
      <w:r w:rsidRPr="007D31B7">
        <w:rPr>
          <w:szCs w:val="26"/>
        </w:rPr>
        <w:t>R</w:t>
      </w:r>
      <w:r w:rsidRPr="007D31B7" w:rsidR="00616138">
        <w:rPr>
          <w:szCs w:val="26"/>
        </w:rPr>
        <w:t>.</w:t>
      </w:r>
      <w:r w:rsidRPr="007D31B7">
        <w:rPr>
          <w:szCs w:val="26"/>
        </w:rPr>
        <w:t xml:space="preserve"> </w:t>
      </w:r>
      <w:r w:rsidRPr="007D31B7" w:rsidR="00EA0AED">
        <w:rPr>
          <w:szCs w:val="26"/>
        </w:rPr>
        <w:t xml:space="preserve">§ </w:t>
      </w:r>
      <w:r w:rsidRPr="007D31B7">
        <w:rPr>
          <w:szCs w:val="26"/>
        </w:rPr>
        <w:t>284.13(b)</w:t>
      </w:r>
      <w:r w:rsidRPr="007D31B7" w:rsidR="00DC2BD8">
        <w:rPr>
          <w:szCs w:val="26"/>
        </w:rPr>
        <w:t>-</w:t>
      </w:r>
      <w:r w:rsidRPr="007D31B7" w:rsidR="00EA4A6F">
        <w:rPr>
          <w:szCs w:val="26"/>
        </w:rPr>
        <w:t>(</w:t>
      </w:r>
      <w:r w:rsidRPr="007D31B7">
        <w:rPr>
          <w:szCs w:val="26"/>
        </w:rPr>
        <w:t>c)</w:t>
      </w:r>
      <w:r w:rsidRPr="007D31B7" w:rsidR="00152F44">
        <w:rPr>
          <w:szCs w:val="26"/>
        </w:rPr>
        <w:t xml:space="preserve"> and </w:t>
      </w:r>
      <w:r w:rsidRPr="007D31B7" w:rsidR="00F94050">
        <w:rPr>
          <w:szCs w:val="26"/>
        </w:rPr>
        <w:t>18 C.F.R. § 284.13</w:t>
      </w:r>
      <w:r w:rsidRPr="007D31B7">
        <w:rPr>
          <w:szCs w:val="26"/>
        </w:rPr>
        <w:t>(d)(1)</w:t>
      </w:r>
      <w:r w:rsidRPr="007D31B7" w:rsidR="00FD3488">
        <w:rPr>
          <w:szCs w:val="26"/>
        </w:rPr>
        <w:t>-</w:t>
      </w:r>
      <w:r w:rsidRPr="007D31B7">
        <w:rPr>
          <w:szCs w:val="26"/>
        </w:rPr>
        <w:t>(d)(2).</w:t>
      </w:r>
      <w:r w:rsidRPr="007D31B7" w:rsidR="4C87126D">
        <w:rPr>
          <w:szCs w:val="26"/>
        </w:rPr>
        <w:t xml:space="preserve"> </w:t>
      </w:r>
      <w:r w:rsidRPr="007D31B7">
        <w:rPr>
          <w:szCs w:val="26"/>
        </w:rPr>
        <w:t xml:space="preserve"> The purpose of these information collection activities is to provide reliable information about capacity availability and price that shippers need to make informed decisions in a competitive market, and to enable shippers and the Commission to monitor marketplace behavior to </w:t>
      </w:r>
      <w:r w:rsidRPr="007D31B7">
        <w:rPr>
          <w:szCs w:val="26"/>
        </w:rPr>
        <w:t>detect, and remedy anti-competitive behavior.</w:t>
      </w:r>
      <w:r w:rsidRPr="007D31B7" w:rsidR="1116075D">
        <w:rPr>
          <w:szCs w:val="26"/>
        </w:rPr>
        <w:t xml:space="preserve"> </w:t>
      </w:r>
      <w:r w:rsidRPr="007D31B7">
        <w:rPr>
          <w:szCs w:val="26"/>
        </w:rPr>
        <w:t xml:space="preserve"> The regulations at 18 C</w:t>
      </w:r>
      <w:r w:rsidRPr="007D31B7" w:rsidR="00DF5C2C">
        <w:rPr>
          <w:szCs w:val="26"/>
        </w:rPr>
        <w:t>.</w:t>
      </w:r>
      <w:r w:rsidRPr="007D31B7">
        <w:rPr>
          <w:szCs w:val="26"/>
        </w:rPr>
        <w:t>F</w:t>
      </w:r>
      <w:r w:rsidRPr="007D31B7" w:rsidR="00DF5C2C">
        <w:rPr>
          <w:szCs w:val="26"/>
        </w:rPr>
        <w:t>.</w:t>
      </w:r>
      <w:r w:rsidRPr="007D31B7">
        <w:rPr>
          <w:szCs w:val="26"/>
        </w:rPr>
        <w:t>R</w:t>
      </w:r>
      <w:r w:rsidRPr="007D31B7" w:rsidR="00DF5C2C">
        <w:rPr>
          <w:szCs w:val="26"/>
        </w:rPr>
        <w:t>.</w:t>
      </w:r>
      <w:r w:rsidRPr="007D31B7">
        <w:rPr>
          <w:szCs w:val="26"/>
        </w:rPr>
        <w:t xml:space="preserve"> </w:t>
      </w:r>
      <w:r w:rsidRPr="007D31B7" w:rsidR="00DF5C2C">
        <w:rPr>
          <w:szCs w:val="26"/>
        </w:rPr>
        <w:t xml:space="preserve">§ </w:t>
      </w:r>
      <w:r w:rsidRPr="007D31B7">
        <w:rPr>
          <w:szCs w:val="26"/>
        </w:rPr>
        <w:t xml:space="preserve">284.13(b) and </w:t>
      </w:r>
      <w:r w:rsidRPr="007D31B7" w:rsidR="00DF5C2C">
        <w:rPr>
          <w:szCs w:val="26"/>
        </w:rPr>
        <w:t xml:space="preserve">18 C.F.R. § </w:t>
      </w:r>
      <w:r w:rsidRPr="007D31B7">
        <w:rPr>
          <w:szCs w:val="26"/>
        </w:rPr>
        <w:t xml:space="preserve">284.13(d)(1) require each interstate pipeline to post information about firm and interruptible service on its </w:t>
      </w:r>
      <w:r w:rsidRPr="007D31B7" w:rsidR="00D431B0">
        <w:rPr>
          <w:szCs w:val="26"/>
        </w:rPr>
        <w:t>I</w:t>
      </w:r>
      <w:r w:rsidRPr="007D31B7">
        <w:rPr>
          <w:szCs w:val="26"/>
        </w:rPr>
        <w:t>nternet website, and in downloadable file formats.</w:t>
      </w:r>
      <w:r w:rsidRPr="007D31B7" w:rsidR="57454A88">
        <w:rPr>
          <w:szCs w:val="26"/>
        </w:rPr>
        <w:t xml:space="preserve"> </w:t>
      </w:r>
      <w:r w:rsidRPr="007D31B7">
        <w:rPr>
          <w:szCs w:val="26"/>
        </w:rPr>
        <w:t xml:space="preserve"> The information required at 18 C</w:t>
      </w:r>
      <w:r w:rsidRPr="007D31B7" w:rsidR="008D5D5A">
        <w:rPr>
          <w:szCs w:val="26"/>
        </w:rPr>
        <w:t>.</w:t>
      </w:r>
      <w:r w:rsidRPr="007D31B7">
        <w:rPr>
          <w:szCs w:val="26"/>
        </w:rPr>
        <w:t>F</w:t>
      </w:r>
      <w:r w:rsidRPr="007D31B7" w:rsidR="008D5D5A">
        <w:rPr>
          <w:szCs w:val="26"/>
        </w:rPr>
        <w:t>.</w:t>
      </w:r>
      <w:r w:rsidRPr="007D31B7">
        <w:rPr>
          <w:szCs w:val="26"/>
        </w:rPr>
        <w:t>R</w:t>
      </w:r>
      <w:r w:rsidRPr="007D31B7" w:rsidR="008D5D5A">
        <w:rPr>
          <w:szCs w:val="26"/>
        </w:rPr>
        <w:t>.</w:t>
      </w:r>
      <w:r w:rsidRPr="007D31B7">
        <w:rPr>
          <w:szCs w:val="26"/>
        </w:rPr>
        <w:t xml:space="preserve"> </w:t>
      </w:r>
      <w:r w:rsidRPr="007D31B7" w:rsidR="008D5D5A">
        <w:rPr>
          <w:szCs w:val="26"/>
        </w:rPr>
        <w:t xml:space="preserve">§ </w:t>
      </w:r>
      <w:r w:rsidRPr="007D31B7">
        <w:rPr>
          <w:szCs w:val="26"/>
        </w:rPr>
        <w:t>284.13(b) includes identification of the shippers receiving service, and details about contracts for firm service, capacity release transactions,</w:t>
      </w:r>
      <w:r>
        <w:rPr>
          <w:rStyle w:val="FootnoteReference"/>
        </w:rPr>
        <w:footnoteReference w:id="2"/>
      </w:r>
      <w:r w:rsidRPr="007D31B7">
        <w:rPr>
          <w:szCs w:val="26"/>
        </w:rPr>
        <w:t xml:space="preserve"> and agreements for interruptible service. </w:t>
      </w:r>
      <w:r w:rsidRPr="007D31B7" w:rsidR="59696794">
        <w:rPr>
          <w:szCs w:val="26"/>
        </w:rPr>
        <w:t xml:space="preserve"> </w:t>
      </w:r>
      <w:r w:rsidRPr="007D31B7">
        <w:rPr>
          <w:szCs w:val="26"/>
        </w:rPr>
        <w:t>The pipeline must maintain access to that information for a period not less than 90 days from the date of posting.</w:t>
      </w:r>
      <w:r w:rsidRPr="007D31B7" w:rsidR="3492E826">
        <w:rPr>
          <w:szCs w:val="26"/>
        </w:rPr>
        <w:t xml:space="preserve"> </w:t>
      </w:r>
      <w:r w:rsidRPr="007D31B7">
        <w:rPr>
          <w:szCs w:val="26"/>
        </w:rPr>
        <w:t xml:space="preserve"> The regulation at 18 C</w:t>
      </w:r>
      <w:r w:rsidRPr="007D31B7" w:rsidR="00F27242">
        <w:rPr>
          <w:szCs w:val="26"/>
        </w:rPr>
        <w:t>.</w:t>
      </w:r>
      <w:r w:rsidRPr="007D31B7">
        <w:rPr>
          <w:szCs w:val="26"/>
        </w:rPr>
        <w:t>F</w:t>
      </w:r>
      <w:r w:rsidRPr="007D31B7" w:rsidR="00F27242">
        <w:rPr>
          <w:szCs w:val="26"/>
        </w:rPr>
        <w:t>.</w:t>
      </w:r>
      <w:r w:rsidRPr="007D31B7">
        <w:rPr>
          <w:szCs w:val="26"/>
        </w:rPr>
        <w:t>R</w:t>
      </w:r>
      <w:r w:rsidRPr="007D31B7" w:rsidR="00F27242">
        <w:rPr>
          <w:szCs w:val="26"/>
        </w:rPr>
        <w:t>. §</w:t>
      </w:r>
      <w:r w:rsidRPr="007D31B7">
        <w:rPr>
          <w:szCs w:val="26"/>
        </w:rPr>
        <w:t xml:space="preserve"> 284.13(d)(1) requires equal and timely access to information relevant to the availability of all transportation services whenever capacity is scheduled. </w:t>
      </w:r>
      <w:r w:rsidRPr="007D31B7" w:rsidR="38F5A453">
        <w:rPr>
          <w:szCs w:val="26"/>
        </w:rPr>
        <w:t xml:space="preserve"> </w:t>
      </w:r>
      <w:r w:rsidRPr="007D31B7">
        <w:rPr>
          <w:szCs w:val="26"/>
        </w:rPr>
        <w:t>In addition, each interstate pipeline must provide information about the volumes of no-notice transportation</w:t>
      </w:r>
      <w:r>
        <w:rPr>
          <w:rStyle w:val="FootnoteReference"/>
        </w:rPr>
        <w:footnoteReference w:id="3"/>
      </w:r>
      <w:r w:rsidRPr="007D31B7">
        <w:rPr>
          <w:szCs w:val="26"/>
        </w:rPr>
        <w:t xml:space="preserve"> provided. </w:t>
      </w:r>
      <w:r w:rsidRPr="007D31B7" w:rsidR="707561AB">
        <w:rPr>
          <w:szCs w:val="26"/>
        </w:rPr>
        <w:t xml:space="preserve"> </w:t>
      </w:r>
      <w:r w:rsidRPr="007D31B7">
        <w:rPr>
          <w:szCs w:val="26"/>
        </w:rPr>
        <w:t xml:space="preserve">This information collection activity enables shippers to release transportation and storage capacity to other shippers wanting to obtain capacity. </w:t>
      </w:r>
      <w:r w:rsidRPr="007D31B7" w:rsidR="184F1513">
        <w:rPr>
          <w:szCs w:val="26"/>
        </w:rPr>
        <w:t xml:space="preserve"> </w:t>
      </w:r>
      <w:r w:rsidRPr="007D31B7">
        <w:rPr>
          <w:szCs w:val="26"/>
        </w:rPr>
        <w:t xml:space="preserve">The information results in reliable capacity information availability and price data that shippers need to make informed decisions in a competitive market and </w:t>
      </w:r>
      <w:r w:rsidRPr="007D31B7" w:rsidR="00EC5C55">
        <w:rPr>
          <w:szCs w:val="26"/>
        </w:rPr>
        <w:t>enable</w:t>
      </w:r>
      <w:r w:rsidRPr="007D31B7">
        <w:rPr>
          <w:szCs w:val="26"/>
        </w:rPr>
        <w:t xml:space="preserve"> shippers and the Commission to monitor the market for potential abuses. </w:t>
      </w:r>
      <w:r w:rsidRPr="007D31B7" w:rsidR="5B112B65">
        <w:rPr>
          <w:szCs w:val="26"/>
        </w:rPr>
        <w:t xml:space="preserve"> </w:t>
      </w:r>
      <w:r w:rsidRPr="007D31B7">
        <w:rPr>
          <w:szCs w:val="26"/>
        </w:rPr>
        <w:t>The regulation at 18 C</w:t>
      </w:r>
      <w:r w:rsidRPr="007D31B7" w:rsidR="00922F0E">
        <w:rPr>
          <w:szCs w:val="26"/>
        </w:rPr>
        <w:t>.</w:t>
      </w:r>
      <w:r w:rsidRPr="007D31B7">
        <w:rPr>
          <w:szCs w:val="26"/>
        </w:rPr>
        <w:t>F</w:t>
      </w:r>
      <w:r w:rsidRPr="007D31B7" w:rsidR="00922F0E">
        <w:rPr>
          <w:szCs w:val="26"/>
        </w:rPr>
        <w:t>.</w:t>
      </w:r>
      <w:r w:rsidRPr="007D31B7">
        <w:rPr>
          <w:szCs w:val="26"/>
        </w:rPr>
        <w:t>R</w:t>
      </w:r>
      <w:r w:rsidRPr="007D31B7" w:rsidR="00922F0E">
        <w:rPr>
          <w:szCs w:val="26"/>
        </w:rPr>
        <w:t>. §</w:t>
      </w:r>
      <w:r w:rsidRPr="007D31B7">
        <w:rPr>
          <w:szCs w:val="26"/>
        </w:rPr>
        <w:t xml:space="preserve"> 284.13(c) requires each interstate pipeline to file with the Commission an index of all its firm transportation and storage customers under contract on the first business day of each calendar quarter.</w:t>
      </w:r>
      <w:r w:rsidRPr="007D31B7" w:rsidR="21EC9D22">
        <w:rPr>
          <w:szCs w:val="26"/>
        </w:rPr>
        <w:t xml:space="preserve"> </w:t>
      </w:r>
      <w:r w:rsidRPr="007D31B7">
        <w:rPr>
          <w:szCs w:val="26"/>
        </w:rPr>
        <w:t xml:space="preserve"> The index of customers also must be posted on the </w:t>
      </w:r>
      <w:r w:rsidRPr="007D31B7">
        <w:rPr>
          <w:szCs w:val="26"/>
        </w:rPr>
        <w:t xml:space="preserve">pipeline’s own </w:t>
      </w:r>
      <w:r w:rsidRPr="007D31B7" w:rsidR="007D2BBA">
        <w:rPr>
          <w:szCs w:val="26"/>
        </w:rPr>
        <w:t>I</w:t>
      </w:r>
      <w:r w:rsidRPr="007D31B7">
        <w:rPr>
          <w:szCs w:val="26"/>
        </w:rPr>
        <w:t>nternet website, in downloadable file formats, and must be made available until the next quarterly index is posted.</w:t>
      </w:r>
      <w:r w:rsidRPr="007D31B7" w:rsidR="5A6A860C">
        <w:rPr>
          <w:szCs w:val="26"/>
        </w:rPr>
        <w:t xml:space="preserve"> </w:t>
      </w:r>
      <w:r w:rsidRPr="007D31B7">
        <w:rPr>
          <w:szCs w:val="26"/>
        </w:rPr>
        <w:t xml:space="preserve"> The requirements for the electronic index can be obtained </w:t>
      </w:r>
      <w:r w:rsidRPr="007D31B7" w:rsidR="00504500">
        <w:rPr>
          <w:szCs w:val="26"/>
        </w:rPr>
        <w:t xml:space="preserve">at </w:t>
      </w:r>
      <w:hyperlink r:id="rId15" w:history="1">
        <w:r w:rsidRPr="007D31B7" w:rsidR="000B12B1">
          <w:rPr>
            <w:rStyle w:val="Hyperlink"/>
            <w:szCs w:val="26"/>
          </w:rPr>
          <w:t>https://www.ferc.gov/industries-data/natural-gas/industry-forms/form-549b-index-customers</w:t>
        </w:r>
      </w:hyperlink>
      <w:r w:rsidRPr="007D31B7" w:rsidR="000B12B1">
        <w:rPr>
          <w:szCs w:val="26"/>
        </w:rPr>
        <w:t>.</w:t>
      </w:r>
      <w:r w:rsidRPr="007D31B7">
        <w:rPr>
          <w:szCs w:val="26"/>
        </w:rPr>
        <w:t xml:space="preserve"> </w:t>
      </w:r>
      <w:r w:rsidRPr="007D31B7" w:rsidR="7DC7E062">
        <w:rPr>
          <w:szCs w:val="26"/>
        </w:rPr>
        <w:t xml:space="preserve"> </w:t>
      </w:r>
      <w:r w:rsidRPr="007D31B7">
        <w:rPr>
          <w:szCs w:val="26"/>
        </w:rPr>
        <w:t>The regulation at 18 C</w:t>
      </w:r>
      <w:r w:rsidRPr="007D31B7" w:rsidR="00530ECD">
        <w:rPr>
          <w:szCs w:val="26"/>
        </w:rPr>
        <w:t>.</w:t>
      </w:r>
      <w:r w:rsidRPr="007D31B7">
        <w:rPr>
          <w:szCs w:val="26"/>
        </w:rPr>
        <w:t>F</w:t>
      </w:r>
      <w:r w:rsidRPr="007D31B7" w:rsidR="00530ECD">
        <w:rPr>
          <w:szCs w:val="26"/>
        </w:rPr>
        <w:t>.</w:t>
      </w:r>
      <w:r w:rsidRPr="007D31B7">
        <w:rPr>
          <w:szCs w:val="26"/>
        </w:rPr>
        <w:t>R</w:t>
      </w:r>
      <w:r w:rsidRPr="007D31B7" w:rsidR="00530ECD">
        <w:rPr>
          <w:szCs w:val="26"/>
        </w:rPr>
        <w:t>.</w:t>
      </w:r>
      <w:r w:rsidRPr="007D31B7">
        <w:rPr>
          <w:szCs w:val="26"/>
        </w:rPr>
        <w:t xml:space="preserve"> </w:t>
      </w:r>
      <w:r w:rsidRPr="007D31B7" w:rsidR="00B660F3">
        <w:rPr>
          <w:szCs w:val="26"/>
        </w:rPr>
        <w:t xml:space="preserve">§ </w:t>
      </w:r>
      <w:r w:rsidRPr="007D31B7">
        <w:rPr>
          <w:szCs w:val="26"/>
        </w:rPr>
        <w:t xml:space="preserve">284.13(d)(2) requires an annual peak-day capacity report of all interstate pipelines, including natural gas storage-only companies. </w:t>
      </w:r>
      <w:r w:rsidRPr="007D31B7" w:rsidR="68CA8FD9">
        <w:rPr>
          <w:szCs w:val="26"/>
        </w:rPr>
        <w:t xml:space="preserve"> </w:t>
      </w:r>
      <w:r w:rsidRPr="007D31B7">
        <w:rPr>
          <w:szCs w:val="26"/>
        </w:rPr>
        <w:t xml:space="preserve">This report is generally a short report showing the peak day design capacity or the actual peak day capacity achieved, with a short explanation, if needed. </w:t>
      </w:r>
      <w:r w:rsidRPr="007D31B7" w:rsidR="2B02ECEB">
        <w:rPr>
          <w:szCs w:val="26"/>
        </w:rPr>
        <w:t xml:space="preserve"> </w:t>
      </w:r>
      <w:r w:rsidRPr="007D31B7">
        <w:rPr>
          <w:szCs w:val="26"/>
        </w:rPr>
        <w:t xml:space="preserve">The regulation provides that an interstate pipeline must make an annual filing by March 1 of each year showing the estimated peak day capacity of the pipeline's system, and the estimated storage capacity and maximum daily delivery capability of storage facilities under reasonably representative operating assumptions and the respective assignments of that capacity to the various firm services provided by the pipeline. </w:t>
      </w:r>
    </w:p>
    <w:p w:rsidR="00FD23FF" w:rsidRPr="007D31B7" w:rsidP="7E27CEE0" w14:paraId="51B635AC" w14:textId="2A5C46DE">
      <w:pPr>
        <w:spacing w:line="480" w:lineRule="auto"/>
        <w:rPr>
          <w:szCs w:val="26"/>
        </w:rPr>
      </w:pPr>
      <w:r w:rsidRPr="007D31B7">
        <w:rPr>
          <w:i/>
          <w:iCs/>
          <w:szCs w:val="26"/>
        </w:rPr>
        <w:t>Types of Respondents:</w:t>
      </w:r>
      <w:r w:rsidRPr="007D31B7">
        <w:rPr>
          <w:szCs w:val="26"/>
        </w:rPr>
        <w:t xml:space="preserve"> </w:t>
      </w:r>
      <w:r w:rsidRPr="007D31B7" w:rsidR="528052BC">
        <w:rPr>
          <w:szCs w:val="26"/>
        </w:rPr>
        <w:t xml:space="preserve"> </w:t>
      </w:r>
      <w:r w:rsidRPr="007D31B7">
        <w:rPr>
          <w:szCs w:val="26"/>
        </w:rPr>
        <w:t xml:space="preserve">Respondents for this data collection are interstate pipelines and storage facilities subject to FERC regulation under the Natural Gas Act. </w:t>
      </w:r>
    </w:p>
    <w:p w:rsidR="00261A97" w:rsidRPr="007D31B7" w:rsidP="7E27CEE0" w14:paraId="5891673C" w14:textId="3096115A">
      <w:pPr>
        <w:spacing w:line="480" w:lineRule="auto"/>
        <w:rPr>
          <w:szCs w:val="26"/>
        </w:rPr>
      </w:pPr>
      <w:r w:rsidRPr="007D31B7">
        <w:rPr>
          <w:i/>
          <w:iCs/>
          <w:szCs w:val="26"/>
        </w:rPr>
        <w:t>Estimate of Annual Burden:</w:t>
      </w:r>
      <w:r>
        <w:rPr>
          <w:rStyle w:val="FootnoteReference"/>
          <w:i/>
          <w:iCs/>
        </w:rPr>
        <w:footnoteReference w:id="4"/>
      </w:r>
      <w:r w:rsidRPr="007D31B7" w:rsidR="0543035A">
        <w:rPr>
          <w:i/>
          <w:iCs/>
          <w:szCs w:val="26"/>
        </w:rPr>
        <w:t xml:space="preserve"> </w:t>
      </w:r>
      <w:r w:rsidRPr="007D31B7">
        <w:rPr>
          <w:szCs w:val="26"/>
        </w:rPr>
        <w:t xml:space="preserve"> The Commission estimates the annual public reporting burden and cost for FERC-549B as shown in the following table: </w:t>
      </w:r>
      <w:r w:rsidRPr="007D31B7" w:rsidR="787C10BB">
        <w:rPr>
          <w:szCs w:val="26"/>
        </w:rPr>
        <w:t xml:space="preserve"> </w:t>
      </w:r>
      <w:r w:rsidRPr="007D31B7">
        <w:rPr>
          <w:szCs w:val="26"/>
        </w:rPr>
        <w:t xml:space="preserve">FERC-549B (Gas Pipeline Rates: </w:t>
      </w:r>
      <w:r w:rsidRPr="007D31B7" w:rsidR="00AD4BC1">
        <w:rPr>
          <w:szCs w:val="26"/>
        </w:rPr>
        <w:t xml:space="preserve">Annual </w:t>
      </w:r>
      <w:r w:rsidRPr="007D31B7">
        <w:rPr>
          <w:szCs w:val="26"/>
        </w:rPr>
        <w:t xml:space="preserve">Capacity Reports and Index of Customers) </w:t>
      </w: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60"/>
        <w:gridCol w:w="1495"/>
        <w:gridCol w:w="1495"/>
        <w:gridCol w:w="1409"/>
        <w:gridCol w:w="1310"/>
        <w:gridCol w:w="1316"/>
        <w:gridCol w:w="1234"/>
      </w:tblGrid>
      <w:tr w14:paraId="6A29B6BF" w14:textId="77777777" w:rsidTr="7E27CEE0">
        <w:tblPrEx>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7"/>
            <w:tcBorders>
              <w:bottom w:val="single" w:sz="4" w:space="0" w:color="auto"/>
            </w:tcBorders>
            <w:shd w:val="clear" w:color="auto" w:fill="D9D9D9" w:themeFill="background1" w:themeFillShade="D9"/>
          </w:tcPr>
          <w:p w:rsidR="00AB265F" w:rsidRPr="007D31B7" w:rsidP="00867CC5" w14:paraId="07D3F9FB" w14:textId="0824692A">
            <w:pPr>
              <w:jc w:val="center"/>
              <w:rPr>
                <w:b/>
                <w:bCs/>
                <w:szCs w:val="26"/>
              </w:rPr>
            </w:pPr>
            <w:r w:rsidRPr="007D31B7">
              <w:rPr>
                <w:b/>
                <w:bCs/>
                <w:szCs w:val="26"/>
              </w:rPr>
              <w:t xml:space="preserve">FERC-549B (Gas Pipeline Rates: </w:t>
            </w:r>
            <w:r w:rsidRPr="007D31B7" w:rsidR="00AD4BC1">
              <w:rPr>
                <w:b/>
                <w:bCs/>
                <w:szCs w:val="26"/>
              </w:rPr>
              <w:t xml:space="preserve">Annual </w:t>
            </w:r>
            <w:r w:rsidRPr="007D31B7">
              <w:rPr>
                <w:b/>
                <w:bCs/>
                <w:szCs w:val="26"/>
              </w:rPr>
              <w:t>Capacity Reports and Index of Customers)</w:t>
            </w:r>
          </w:p>
        </w:tc>
      </w:tr>
      <w:tr w14:paraId="68164E3E" w14:textId="77777777" w:rsidTr="7E27CEE0">
        <w:tblPrEx>
          <w:tblW w:w="5358" w:type="pct"/>
          <w:tblInd w:w="-72" w:type="dxa"/>
          <w:tblLayout w:type="fixed"/>
          <w:tblLook w:val="01E0"/>
        </w:tblPrEx>
        <w:trPr>
          <w:cantSplit/>
        </w:trPr>
        <w:tc>
          <w:tcPr>
            <w:tcW w:w="878" w:type="pct"/>
            <w:shd w:val="clear" w:color="auto" w:fill="D9D9D9" w:themeFill="background1" w:themeFillShade="D9"/>
            <w:vAlign w:val="bottom"/>
          </w:tcPr>
          <w:p w:rsidR="00AB265F" w:rsidRPr="007D31B7" w:rsidP="0067022F" w14:paraId="5D54AFCD" w14:textId="77777777">
            <w:pPr>
              <w:rPr>
                <w:b/>
                <w:szCs w:val="26"/>
              </w:rPr>
            </w:pPr>
          </w:p>
        </w:tc>
        <w:tc>
          <w:tcPr>
            <w:tcW w:w="746" w:type="pct"/>
            <w:shd w:val="clear" w:color="auto" w:fill="D9D9D9" w:themeFill="background1" w:themeFillShade="D9"/>
            <w:vAlign w:val="bottom"/>
          </w:tcPr>
          <w:p w:rsidR="00AB265F" w:rsidRPr="007D31B7" w:rsidP="0067022F" w14:paraId="14E93354" w14:textId="353D7FD9">
            <w:pPr>
              <w:rPr>
                <w:b/>
                <w:szCs w:val="26"/>
              </w:rPr>
            </w:pPr>
            <w:r w:rsidRPr="007D31B7">
              <w:rPr>
                <w:b/>
                <w:szCs w:val="26"/>
              </w:rPr>
              <w:t xml:space="preserve">Annual </w:t>
            </w:r>
            <w:r w:rsidRPr="007D31B7">
              <w:rPr>
                <w:b/>
                <w:szCs w:val="26"/>
              </w:rPr>
              <w:t>Number of Respondents</w:t>
            </w:r>
            <w:r w:rsidRPr="007D31B7">
              <w:rPr>
                <w:b/>
                <w:szCs w:val="26"/>
              </w:rPr>
              <w:br/>
              <w:t>(1)</w:t>
            </w:r>
          </w:p>
        </w:tc>
        <w:tc>
          <w:tcPr>
            <w:tcW w:w="746" w:type="pct"/>
            <w:shd w:val="clear" w:color="auto" w:fill="D9D9D9" w:themeFill="background1" w:themeFillShade="D9"/>
            <w:vAlign w:val="bottom"/>
          </w:tcPr>
          <w:p w:rsidR="00AB265F" w:rsidRPr="007D31B7" w:rsidP="0067022F" w14:paraId="5162C78D" w14:textId="77777777">
            <w:pPr>
              <w:rPr>
                <w:b/>
                <w:szCs w:val="26"/>
              </w:rPr>
            </w:pPr>
            <w:r w:rsidRPr="007D31B7">
              <w:rPr>
                <w:b/>
                <w:szCs w:val="26"/>
              </w:rPr>
              <w:t>Annual Number of Responses per Respondent</w:t>
            </w:r>
          </w:p>
          <w:p w:rsidR="00AB265F" w:rsidRPr="007D31B7" w:rsidP="0067022F" w14:paraId="558E423D" w14:textId="77777777">
            <w:pPr>
              <w:rPr>
                <w:b/>
                <w:szCs w:val="26"/>
              </w:rPr>
            </w:pPr>
            <w:r w:rsidRPr="007D31B7">
              <w:rPr>
                <w:b/>
                <w:szCs w:val="26"/>
              </w:rPr>
              <w:t>(2)</w:t>
            </w:r>
          </w:p>
        </w:tc>
        <w:tc>
          <w:tcPr>
            <w:tcW w:w="703" w:type="pct"/>
            <w:shd w:val="clear" w:color="auto" w:fill="D9D9D9" w:themeFill="background1" w:themeFillShade="D9"/>
            <w:vAlign w:val="bottom"/>
          </w:tcPr>
          <w:p w:rsidR="00AB265F" w:rsidRPr="007D31B7" w:rsidP="0067022F" w14:paraId="4D900C14" w14:textId="77777777">
            <w:pPr>
              <w:rPr>
                <w:b/>
                <w:szCs w:val="26"/>
              </w:rPr>
            </w:pPr>
            <w:r w:rsidRPr="007D31B7">
              <w:rPr>
                <w:b/>
                <w:szCs w:val="26"/>
              </w:rPr>
              <w:t>Total Number of Responses (1) *(2) = (3)</w:t>
            </w:r>
          </w:p>
        </w:tc>
        <w:tc>
          <w:tcPr>
            <w:tcW w:w="654" w:type="pct"/>
            <w:shd w:val="clear" w:color="auto" w:fill="D9D9D9" w:themeFill="background1" w:themeFillShade="D9"/>
            <w:vAlign w:val="bottom"/>
          </w:tcPr>
          <w:p w:rsidR="00AB265F" w:rsidRPr="007D31B7" w:rsidP="0067022F" w14:paraId="2A2C4704" w14:textId="600181E8">
            <w:pPr>
              <w:rPr>
                <w:b/>
                <w:szCs w:val="26"/>
              </w:rPr>
            </w:pPr>
            <w:r w:rsidRPr="007D31B7">
              <w:rPr>
                <w:b/>
                <w:szCs w:val="26"/>
              </w:rPr>
              <w:t>Average Burden &amp; Cost ($) Per Response</w:t>
            </w:r>
          </w:p>
          <w:p w:rsidR="00AB265F" w:rsidRPr="007D31B7" w:rsidP="0067022F" w14:paraId="7FAD1F91" w14:textId="1F6402D9">
            <w:pPr>
              <w:rPr>
                <w:b/>
                <w:szCs w:val="26"/>
              </w:rPr>
            </w:pPr>
            <w:r w:rsidRPr="007D31B7">
              <w:rPr>
                <w:b/>
                <w:szCs w:val="26"/>
              </w:rPr>
              <w:t>(4)</w:t>
            </w:r>
            <w:r w:rsidRPr="007D31B7" w:rsidR="00B95082">
              <w:rPr>
                <w:rStyle w:val="FootnoteReference"/>
              </w:rPr>
              <w:t xml:space="preserve"> </w:t>
            </w:r>
            <w:r>
              <w:rPr>
                <w:rStyle w:val="FootnoteReference"/>
              </w:rPr>
              <w:footnoteReference w:id="5"/>
            </w:r>
          </w:p>
        </w:tc>
        <w:tc>
          <w:tcPr>
            <w:tcW w:w="657" w:type="pct"/>
            <w:shd w:val="clear" w:color="auto" w:fill="D9D9D9" w:themeFill="background1" w:themeFillShade="D9"/>
            <w:vAlign w:val="bottom"/>
          </w:tcPr>
          <w:p w:rsidR="00AB265F" w:rsidRPr="007D31B7" w:rsidP="0067022F" w14:paraId="2FA109F1" w14:textId="77777777">
            <w:pPr>
              <w:rPr>
                <w:b/>
                <w:szCs w:val="26"/>
              </w:rPr>
            </w:pPr>
            <w:r w:rsidRPr="007D31B7">
              <w:rPr>
                <w:b/>
                <w:szCs w:val="26"/>
              </w:rPr>
              <w:t>Total Annual Burden &amp; Total Annual Cost ($)</w:t>
            </w:r>
          </w:p>
          <w:p w:rsidR="00AB265F" w:rsidRPr="007D31B7" w:rsidP="0067022F" w14:paraId="50073D97" w14:textId="77777777">
            <w:pPr>
              <w:rPr>
                <w:b/>
                <w:szCs w:val="26"/>
              </w:rPr>
            </w:pPr>
            <w:r w:rsidRPr="007D31B7">
              <w:rPr>
                <w:b/>
                <w:szCs w:val="26"/>
              </w:rPr>
              <w:t>(3) *(4) = (5)</w:t>
            </w:r>
          </w:p>
        </w:tc>
        <w:tc>
          <w:tcPr>
            <w:tcW w:w="616" w:type="pct"/>
            <w:shd w:val="clear" w:color="auto" w:fill="D9D9D9" w:themeFill="background1" w:themeFillShade="D9"/>
            <w:vAlign w:val="bottom"/>
          </w:tcPr>
          <w:p w:rsidR="00AB265F" w:rsidRPr="007D31B7" w:rsidP="0067022F" w14:paraId="40D297EE" w14:textId="77777777">
            <w:pPr>
              <w:rPr>
                <w:b/>
                <w:szCs w:val="26"/>
              </w:rPr>
            </w:pPr>
            <w:r w:rsidRPr="007D31B7">
              <w:rPr>
                <w:b/>
                <w:szCs w:val="26"/>
              </w:rPr>
              <w:t>Cost per Respondent</w:t>
            </w:r>
          </w:p>
          <w:p w:rsidR="00AB265F" w:rsidRPr="007D31B7" w:rsidP="0067022F" w14:paraId="6A1B69A3" w14:textId="77777777">
            <w:pPr>
              <w:rPr>
                <w:b/>
                <w:szCs w:val="26"/>
              </w:rPr>
            </w:pPr>
            <w:r w:rsidRPr="007D31B7">
              <w:rPr>
                <w:b/>
                <w:szCs w:val="26"/>
              </w:rPr>
              <w:t>($)</w:t>
            </w:r>
          </w:p>
          <w:p w:rsidR="00AB265F" w:rsidRPr="007D31B7" w:rsidP="0067022F" w14:paraId="38B08CCC" w14:textId="77777777">
            <w:pPr>
              <w:rPr>
                <w:b/>
                <w:szCs w:val="26"/>
              </w:rPr>
            </w:pPr>
            <w:r w:rsidRPr="007D31B7">
              <w:rPr>
                <w:b/>
                <w:szCs w:val="26"/>
              </w:rPr>
              <w:t>(5) ÷ (1)</w:t>
            </w:r>
          </w:p>
        </w:tc>
      </w:tr>
      <w:tr w14:paraId="117AB8A2" w14:textId="77777777" w:rsidTr="7E27CEE0">
        <w:tblPrEx>
          <w:tblW w:w="5358" w:type="pct"/>
          <w:tblInd w:w="-72" w:type="dxa"/>
          <w:tblLayout w:type="fixed"/>
          <w:tblLook w:val="01E0"/>
        </w:tblPrEx>
        <w:trPr>
          <w:cantSplit/>
        </w:trPr>
        <w:tc>
          <w:tcPr>
            <w:tcW w:w="878" w:type="pct"/>
            <w:vAlign w:val="bottom"/>
          </w:tcPr>
          <w:p w:rsidR="00AB265F" w:rsidRPr="007D31B7" w:rsidP="0067022F" w14:paraId="3AC47C16" w14:textId="77777777">
            <w:pPr>
              <w:rPr>
                <w:szCs w:val="26"/>
              </w:rPr>
            </w:pPr>
            <w:r w:rsidRPr="007D31B7">
              <w:rPr>
                <w:szCs w:val="26"/>
              </w:rPr>
              <w:t>Capacity Reports under 284.13(b) &amp; 284.13(d)(1)</w:t>
            </w:r>
          </w:p>
        </w:tc>
        <w:tc>
          <w:tcPr>
            <w:tcW w:w="746" w:type="pct"/>
            <w:vAlign w:val="bottom"/>
          </w:tcPr>
          <w:p w:rsidR="00AB265F" w:rsidRPr="007D31B7" w:rsidP="0067022F" w14:paraId="1ED9307C" w14:textId="77777777">
            <w:pPr>
              <w:jc w:val="right"/>
              <w:rPr>
                <w:szCs w:val="26"/>
              </w:rPr>
            </w:pPr>
          </w:p>
          <w:p w:rsidR="00AB265F" w:rsidRPr="007D31B7" w:rsidP="0067022F" w14:paraId="0D25CC62" w14:textId="77777777">
            <w:pPr>
              <w:jc w:val="right"/>
              <w:rPr>
                <w:szCs w:val="26"/>
              </w:rPr>
            </w:pPr>
            <w:r w:rsidRPr="007D31B7">
              <w:rPr>
                <w:szCs w:val="26"/>
              </w:rPr>
              <w:t>168</w:t>
            </w:r>
          </w:p>
        </w:tc>
        <w:tc>
          <w:tcPr>
            <w:tcW w:w="746" w:type="pct"/>
            <w:vAlign w:val="bottom"/>
          </w:tcPr>
          <w:p w:rsidR="00AB265F" w:rsidRPr="007D31B7" w:rsidP="0067022F" w14:paraId="7E1E7C14" w14:textId="77777777">
            <w:pPr>
              <w:jc w:val="right"/>
              <w:rPr>
                <w:szCs w:val="26"/>
              </w:rPr>
            </w:pPr>
            <w:r w:rsidRPr="007D31B7">
              <w:rPr>
                <w:szCs w:val="26"/>
              </w:rPr>
              <w:t>6</w:t>
            </w:r>
          </w:p>
        </w:tc>
        <w:tc>
          <w:tcPr>
            <w:tcW w:w="703" w:type="pct"/>
            <w:vAlign w:val="bottom"/>
          </w:tcPr>
          <w:p w:rsidR="00AB265F" w:rsidRPr="007D31B7" w:rsidP="0067022F" w14:paraId="728AF91C" w14:textId="77777777">
            <w:pPr>
              <w:jc w:val="right"/>
              <w:rPr>
                <w:szCs w:val="26"/>
              </w:rPr>
            </w:pPr>
            <w:r w:rsidRPr="007D31B7">
              <w:rPr>
                <w:szCs w:val="26"/>
              </w:rPr>
              <w:t>1,008</w:t>
            </w:r>
          </w:p>
        </w:tc>
        <w:tc>
          <w:tcPr>
            <w:tcW w:w="654" w:type="pct"/>
            <w:vAlign w:val="bottom"/>
          </w:tcPr>
          <w:p w:rsidR="00AB265F" w:rsidRPr="007D31B7" w:rsidP="0067022F" w14:paraId="58838C19" w14:textId="77777777">
            <w:pPr>
              <w:jc w:val="right"/>
              <w:rPr>
                <w:szCs w:val="26"/>
              </w:rPr>
            </w:pPr>
          </w:p>
          <w:p w:rsidR="00AB265F" w:rsidRPr="007D31B7" w:rsidP="0067022F" w14:paraId="49A28EB2" w14:textId="77777777">
            <w:pPr>
              <w:jc w:val="right"/>
              <w:rPr>
                <w:szCs w:val="26"/>
              </w:rPr>
            </w:pPr>
            <w:r w:rsidRPr="007D31B7">
              <w:rPr>
                <w:szCs w:val="26"/>
              </w:rPr>
              <w:t>145 hrs.;</w:t>
            </w:r>
          </w:p>
          <w:p w:rsidR="00AB265F" w:rsidRPr="007D31B7" w:rsidP="0067022F" w14:paraId="7C4926EA" w14:textId="5188F99C">
            <w:pPr>
              <w:jc w:val="right"/>
              <w:rPr>
                <w:szCs w:val="26"/>
              </w:rPr>
            </w:pPr>
            <w:r w:rsidRPr="007D31B7">
              <w:rPr>
                <w:szCs w:val="26"/>
              </w:rPr>
              <w:t>$</w:t>
            </w:r>
            <w:r w:rsidRPr="007D31B7" w:rsidR="00E05648">
              <w:rPr>
                <w:szCs w:val="26"/>
              </w:rPr>
              <w:t>14,790</w:t>
            </w:r>
          </w:p>
        </w:tc>
        <w:tc>
          <w:tcPr>
            <w:tcW w:w="657" w:type="pct"/>
            <w:vAlign w:val="bottom"/>
          </w:tcPr>
          <w:p w:rsidR="00AB265F" w:rsidRPr="007D31B7" w:rsidP="0067022F" w14:paraId="1D66E090" w14:textId="77777777">
            <w:pPr>
              <w:jc w:val="right"/>
              <w:rPr>
                <w:szCs w:val="26"/>
              </w:rPr>
            </w:pPr>
          </w:p>
          <w:p w:rsidR="00AB265F" w:rsidRPr="007D31B7" w:rsidP="0067022F" w14:paraId="0EC1AA0A" w14:textId="77777777">
            <w:pPr>
              <w:jc w:val="right"/>
              <w:rPr>
                <w:szCs w:val="26"/>
              </w:rPr>
            </w:pPr>
            <w:r w:rsidRPr="007D31B7">
              <w:rPr>
                <w:szCs w:val="26"/>
              </w:rPr>
              <w:t>146,160 hrs.;</w:t>
            </w:r>
          </w:p>
          <w:p w:rsidR="00AB265F" w:rsidRPr="007D31B7" w:rsidP="0067022F" w14:paraId="36A4FE2D" w14:textId="0DE3788E">
            <w:pPr>
              <w:jc w:val="right"/>
              <w:rPr>
                <w:szCs w:val="26"/>
              </w:rPr>
            </w:pPr>
            <w:r w:rsidRPr="007D31B7">
              <w:rPr>
                <w:szCs w:val="26"/>
              </w:rPr>
              <w:t>$</w:t>
            </w:r>
            <w:r w:rsidRPr="007D31B7" w:rsidR="00BE210A">
              <w:rPr>
                <w:szCs w:val="26"/>
              </w:rPr>
              <w:t>14,908,320</w:t>
            </w:r>
          </w:p>
        </w:tc>
        <w:tc>
          <w:tcPr>
            <w:tcW w:w="616" w:type="pct"/>
            <w:vAlign w:val="bottom"/>
          </w:tcPr>
          <w:p w:rsidR="00AB265F" w:rsidRPr="007D31B7" w:rsidP="0067022F" w14:paraId="72B7D531" w14:textId="63B7DBAA">
            <w:pPr>
              <w:jc w:val="right"/>
              <w:rPr>
                <w:szCs w:val="26"/>
              </w:rPr>
            </w:pPr>
            <w:r w:rsidRPr="007D31B7">
              <w:rPr>
                <w:szCs w:val="26"/>
              </w:rPr>
              <w:t>$</w:t>
            </w:r>
            <w:r w:rsidRPr="007D31B7" w:rsidR="00141C8B">
              <w:rPr>
                <w:szCs w:val="26"/>
              </w:rPr>
              <w:t>88,740</w:t>
            </w:r>
          </w:p>
        </w:tc>
      </w:tr>
      <w:tr w14:paraId="6CDCE632" w14:textId="77777777" w:rsidTr="7E27CEE0">
        <w:tblPrEx>
          <w:tblW w:w="5358" w:type="pct"/>
          <w:tblInd w:w="-72" w:type="dxa"/>
          <w:tblLayout w:type="fixed"/>
          <w:tblLook w:val="01E0"/>
        </w:tblPrEx>
        <w:trPr>
          <w:cantSplit/>
        </w:trPr>
        <w:tc>
          <w:tcPr>
            <w:tcW w:w="878" w:type="pct"/>
            <w:vAlign w:val="bottom"/>
          </w:tcPr>
          <w:p w:rsidR="00AB265F" w:rsidRPr="007D31B7" w:rsidP="0067022F" w14:paraId="2C09CDD5" w14:textId="77777777">
            <w:pPr>
              <w:rPr>
                <w:szCs w:val="26"/>
              </w:rPr>
            </w:pPr>
            <w:r w:rsidRPr="007D31B7">
              <w:rPr>
                <w:szCs w:val="26"/>
              </w:rPr>
              <w:t>Peak Day Annual Capacity Report under 284.13(d)(2)</w:t>
            </w:r>
          </w:p>
        </w:tc>
        <w:tc>
          <w:tcPr>
            <w:tcW w:w="746" w:type="pct"/>
            <w:vAlign w:val="bottom"/>
          </w:tcPr>
          <w:p w:rsidR="00AB265F" w:rsidRPr="007D31B7" w:rsidP="0067022F" w14:paraId="0F2A39F3" w14:textId="77777777">
            <w:pPr>
              <w:jc w:val="right"/>
              <w:rPr>
                <w:szCs w:val="26"/>
              </w:rPr>
            </w:pPr>
            <w:r w:rsidRPr="007D31B7">
              <w:rPr>
                <w:szCs w:val="26"/>
              </w:rPr>
              <w:t>168</w:t>
            </w:r>
          </w:p>
        </w:tc>
        <w:tc>
          <w:tcPr>
            <w:tcW w:w="746" w:type="pct"/>
            <w:vAlign w:val="bottom"/>
          </w:tcPr>
          <w:p w:rsidR="00AB265F" w:rsidRPr="007D31B7" w:rsidP="0067022F" w14:paraId="61FDE363" w14:textId="77777777">
            <w:pPr>
              <w:jc w:val="right"/>
              <w:rPr>
                <w:szCs w:val="26"/>
              </w:rPr>
            </w:pPr>
            <w:r w:rsidRPr="007D31B7">
              <w:rPr>
                <w:szCs w:val="26"/>
              </w:rPr>
              <w:t>1</w:t>
            </w:r>
          </w:p>
        </w:tc>
        <w:tc>
          <w:tcPr>
            <w:tcW w:w="703" w:type="pct"/>
            <w:vAlign w:val="bottom"/>
          </w:tcPr>
          <w:p w:rsidR="00AB265F" w:rsidRPr="007D31B7" w:rsidP="0067022F" w14:paraId="64092B13" w14:textId="77777777">
            <w:pPr>
              <w:jc w:val="right"/>
              <w:rPr>
                <w:szCs w:val="26"/>
              </w:rPr>
            </w:pPr>
            <w:r w:rsidRPr="007D31B7">
              <w:rPr>
                <w:szCs w:val="26"/>
              </w:rPr>
              <w:t>168</w:t>
            </w:r>
          </w:p>
        </w:tc>
        <w:tc>
          <w:tcPr>
            <w:tcW w:w="654" w:type="pct"/>
            <w:vAlign w:val="bottom"/>
          </w:tcPr>
          <w:p w:rsidR="00AB265F" w:rsidRPr="007D31B7" w:rsidP="0067022F" w14:paraId="4EC65723" w14:textId="77777777">
            <w:pPr>
              <w:jc w:val="right"/>
              <w:rPr>
                <w:szCs w:val="26"/>
              </w:rPr>
            </w:pPr>
          </w:p>
          <w:p w:rsidR="00AB265F" w:rsidRPr="007D31B7" w:rsidP="0067022F" w14:paraId="2A09AE63" w14:textId="77777777">
            <w:pPr>
              <w:jc w:val="right"/>
              <w:rPr>
                <w:szCs w:val="26"/>
              </w:rPr>
            </w:pPr>
            <w:r w:rsidRPr="007D31B7">
              <w:rPr>
                <w:szCs w:val="26"/>
              </w:rPr>
              <w:t>10 hrs.;</w:t>
            </w:r>
          </w:p>
          <w:p w:rsidR="00AB265F" w:rsidRPr="007D31B7" w:rsidP="0067022F" w14:paraId="5073C92E" w14:textId="3B41888E">
            <w:pPr>
              <w:jc w:val="right"/>
              <w:rPr>
                <w:szCs w:val="26"/>
              </w:rPr>
            </w:pPr>
            <w:r w:rsidRPr="007D31B7">
              <w:rPr>
                <w:szCs w:val="26"/>
              </w:rPr>
              <w:t>$</w:t>
            </w:r>
            <w:r w:rsidRPr="007D31B7" w:rsidR="00141C8B">
              <w:rPr>
                <w:szCs w:val="26"/>
              </w:rPr>
              <w:t>1,020</w:t>
            </w:r>
          </w:p>
        </w:tc>
        <w:tc>
          <w:tcPr>
            <w:tcW w:w="657" w:type="pct"/>
            <w:vAlign w:val="bottom"/>
          </w:tcPr>
          <w:p w:rsidR="00AB265F" w:rsidRPr="007D31B7" w:rsidP="0067022F" w14:paraId="04F9D2EA" w14:textId="77777777">
            <w:pPr>
              <w:jc w:val="right"/>
              <w:rPr>
                <w:szCs w:val="26"/>
              </w:rPr>
            </w:pPr>
          </w:p>
          <w:p w:rsidR="00AB265F" w:rsidRPr="007D31B7" w:rsidP="0067022F" w14:paraId="7F1D0F61" w14:textId="77777777">
            <w:pPr>
              <w:jc w:val="right"/>
              <w:rPr>
                <w:szCs w:val="26"/>
              </w:rPr>
            </w:pPr>
            <w:r w:rsidRPr="007D31B7">
              <w:rPr>
                <w:szCs w:val="26"/>
              </w:rPr>
              <w:t>1,680 hrs.;</w:t>
            </w:r>
          </w:p>
          <w:p w:rsidR="00AB265F" w:rsidRPr="007D31B7" w:rsidP="0067022F" w14:paraId="18E3FB2B" w14:textId="7BA27698">
            <w:pPr>
              <w:jc w:val="right"/>
              <w:rPr>
                <w:szCs w:val="26"/>
              </w:rPr>
            </w:pPr>
            <w:r w:rsidRPr="007D31B7">
              <w:rPr>
                <w:szCs w:val="26"/>
              </w:rPr>
              <w:t>$</w:t>
            </w:r>
            <w:r w:rsidRPr="007D31B7" w:rsidR="003F271A">
              <w:rPr>
                <w:szCs w:val="26"/>
              </w:rPr>
              <w:t>171,360</w:t>
            </w:r>
          </w:p>
        </w:tc>
        <w:tc>
          <w:tcPr>
            <w:tcW w:w="616" w:type="pct"/>
            <w:vAlign w:val="bottom"/>
          </w:tcPr>
          <w:p w:rsidR="00AB265F" w:rsidRPr="007D31B7" w:rsidP="0067022F" w14:paraId="7D276F11" w14:textId="28ABB078">
            <w:pPr>
              <w:jc w:val="right"/>
              <w:rPr>
                <w:szCs w:val="26"/>
              </w:rPr>
            </w:pPr>
            <w:r w:rsidRPr="007D31B7">
              <w:rPr>
                <w:szCs w:val="26"/>
              </w:rPr>
              <w:t>$</w:t>
            </w:r>
            <w:r w:rsidRPr="007D31B7" w:rsidR="00CF20A2">
              <w:rPr>
                <w:szCs w:val="26"/>
              </w:rPr>
              <w:t>1,020</w:t>
            </w:r>
            <w:r w:rsidRPr="007D31B7">
              <w:rPr>
                <w:szCs w:val="26"/>
              </w:rPr>
              <w:t xml:space="preserve"> </w:t>
            </w:r>
          </w:p>
        </w:tc>
      </w:tr>
      <w:tr w14:paraId="278AA6CE" w14:textId="77777777" w:rsidTr="7E27CEE0">
        <w:tblPrEx>
          <w:tblW w:w="5358" w:type="pct"/>
          <w:tblInd w:w="-72" w:type="dxa"/>
          <w:tblLayout w:type="fixed"/>
          <w:tblLook w:val="01E0"/>
        </w:tblPrEx>
        <w:trPr>
          <w:cantSplit/>
        </w:trPr>
        <w:tc>
          <w:tcPr>
            <w:tcW w:w="878" w:type="pct"/>
            <w:vAlign w:val="bottom"/>
          </w:tcPr>
          <w:p w:rsidR="00AB265F" w:rsidRPr="007D31B7" w:rsidP="0067022F" w14:paraId="7177F24A" w14:textId="77777777">
            <w:pPr>
              <w:rPr>
                <w:szCs w:val="26"/>
              </w:rPr>
            </w:pPr>
            <w:r w:rsidRPr="007D31B7">
              <w:rPr>
                <w:szCs w:val="26"/>
              </w:rPr>
              <w:t>Index of Customers under 284.13(c)</w:t>
            </w:r>
            <w:r>
              <w:rPr>
                <w:b/>
                <w:bCs/>
                <w:szCs w:val="26"/>
                <w:vertAlign w:val="superscript"/>
              </w:rPr>
              <w:footnoteReference w:id="6"/>
            </w:r>
          </w:p>
        </w:tc>
        <w:tc>
          <w:tcPr>
            <w:tcW w:w="746" w:type="pct"/>
            <w:vAlign w:val="bottom"/>
          </w:tcPr>
          <w:p w:rsidR="00AB265F" w:rsidRPr="007D31B7" w:rsidP="0067022F" w14:paraId="2196F0E7" w14:textId="77777777">
            <w:pPr>
              <w:jc w:val="right"/>
              <w:rPr>
                <w:szCs w:val="26"/>
              </w:rPr>
            </w:pPr>
          </w:p>
          <w:p w:rsidR="00AB265F" w:rsidRPr="007D31B7" w:rsidP="0067022F" w14:paraId="36A496AD" w14:textId="77777777">
            <w:pPr>
              <w:jc w:val="right"/>
              <w:rPr>
                <w:szCs w:val="26"/>
              </w:rPr>
            </w:pPr>
            <w:r w:rsidRPr="007D31B7">
              <w:rPr>
                <w:szCs w:val="26"/>
              </w:rPr>
              <w:t>168</w:t>
            </w:r>
          </w:p>
        </w:tc>
        <w:tc>
          <w:tcPr>
            <w:tcW w:w="746" w:type="pct"/>
            <w:vAlign w:val="bottom"/>
          </w:tcPr>
          <w:p w:rsidR="00AB265F" w:rsidRPr="007D31B7" w:rsidP="0067022F" w14:paraId="63352CA2" w14:textId="77777777">
            <w:pPr>
              <w:jc w:val="right"/>
              <w:rPr>
                <w:szCs w:val="26"/>
              </w:rPr>
            </w:pPr>
            <w:r w:rsidRPr="007D31B7">
              <w:rPr>
                <w:szCs w:val="26"/>
              </w:rPr>
              <w:t>4</w:t>
            </w:r>
          </w:p>
        </w:tc>
        <w:tc>
          <w:tcPr>
            <w:tcW w:w="703" w:type="pct"/>
            <w:vAlign w:val="bottom"/>
          </w:tcPr>
          <w:p w:rsidR="00AB265F" w:rsidRPr="007D31B7" w:rsidP="0067022F" w14:paraId="09FE2F20" w14:textId="77777777">
            <w:pPr>
              <w:jc w:val="right"/>
              <w:rPr>
                <w:szCs w:val="26"/>
              </w:rPr>
            </w:pPr>
            <w:r w:rsidRPr="007D31B7">
              <w:rPr>
                <w:szCs w:val="26"/>
              </w:rPr>
              <w:t>672</w:t>
            </w:r>
          </w:p>
        </w:tc>
        <w:tc>
          <w:tcPr>
            <w:tcW w:w="654" w:type="pct"/>
            <w:vAlign w:val="bottom"/>
          </w:tcPr>
          <w:p w:rsidR="00AB265F" w:rsidRPr="007D31B7" w:rsidP="0067022F" w14:paraId="7762A428" w14:textId="77777777">
            <w:pPr>
              <w:jc w:val="right"/>
              <w:rPr>
                <w:szCs w:val="26"/>
              </w:rPr>
            </w:pPr>
          </w:p>
          <w:p w:rsidR="00AB265F" w:rsidRPr="007D31B7" w:rsidP="0067022F" w14:paraId="1E4081F4" w14:textId="77777777">
            <w:pPr>
              <w:jc w:val="right"/>
              <w:rPr>
                <w:szCs w:val="26"/>
              </w:rPr>
            </w:pPr>
            <w:r w:rsidRPr="007D31B7">
              <w:rPr>
                <w:szCs w:val="26"/>
              </w:rPr>
              <w:t>3 hrs.;</w:t>
            </w:r>
          </w:p>
          <w:p w:rsidR="00AB265F" w:rsidRPr="007D31B7" w:rsidP="0067022F" w14:paraId="2BC62504" w14:textId="3ED511AC">
            <w:pPr>
              <w:jc w:val="right"/>
              <w:rPr>
                <w:szCs w:val="26"/>
              </w:rPr>
            </w:pPr>
            <w:r w:rsidRPr="007D31B7">
              <w:rPr>
                <w:szCs w:val="26"/>
              </w:rPr>
              <w:t>$</w:t>
            </w:r>
            <w:r w:rsidRPr="007D31B7" w:rsidR="00966A35">
              <w:rPr>
                <w:szCs w:val="26"/>
              </w:rPr>
              <w:t>306</w:t>
            </w:r>
          </w:p>
        </w:tc>
        <w:tc>
          <w:tcPr>
            <w:tcW w:w="657" w:type="pct"/>
            <w:vAlign w:val="bottom"/>
          </w:tcPr>
          <w:p w:rsidR="00AB265F" w:rsidRPr="007D31B7" w:rsidP="0067022F" w14:paraId="6B86C6D8" w14:textId="77777777">
            <w:pPr>
              <w:jc w:val="right"/>
              <w:rPr>
                <w:szCs w:val="26"/>
              </w:rPr>
            </w:pPr>
          </w:p>
          <w:p w:rsidR="00AB265F" w:rsidRPr="007D31B7" w:rsidP="0067022F" w14:paraId="2C8735BF" w14:textId="77777777">
            <w:pPr>
              <w:jc w:val="right"/>
              <w:rPr>
                <w:szCs w:val="26"/>
              </w:rPr>
            </w:pPr>
            <w:r w:rsidRPr="007D31B7">
              <w:rPr>
                <w:szCs w:val="26"/>
              </w:rPr>
              <w:t>2,016 hrs.;</w:t>
            </w:r>
          </w:p>
          <w:p w:rsidR="00AB265F" w:rsidRPr="007D31B7" w:rsidP="0067022F" w14:paraId="5A259BCE" w14:textId="25A47338">
            <w:pPr>
              <w:jc w:val="right"/>
              <w:rPr>
                <w:szCs w:val="26"/>
              </w:rPr>
            </w:pPr>
            <w:r w:rsidRPr="007D31B7">
              <w:rPr>
                <w:szCs w:val="26"/>
              </w:rPr>
              <w:t>$</w:t>
            </w:r>
            <w:r w:rsidRPr="007D31B7" w:rsidR="00E72E69">
              <w:rPr>
                <w:szCs w:val="26"/>
              </w:rPr>
              <w:t>205,632</w:t>
            </w:r>
          </w:p>
        </w:tc>
        <w:tc>
          <w:tcPr>
            <w:tcW w:w="616" w:type="pct"/>
            <w:vAlign w:val="bottom"/>
          </w:tcPr>
          <w:p w:rsidR="00AB265F" w:rsidRPr="007D31B7" w:rsidP="0067022F" w14:paraId="6FD7093F" w14:textId="1561A946">
            <w:pPr>
              <w:jc w:val="right"/>
              <w:rPr>
                <w:szCs w:val="26"/>
              </w:rPr>
            </w:pPr>
            <w:r w:rsidRPr="007D31B7">
              <w:rPr>
                <w:szCs w:val="26"/>
              </w:rPr>
              <w:t>$</w:t>
            </w:r>
            <w:r w:rsidRPr="007D31B7" w:rsidR="003260D7">
              <w:rPr>
                <w:szCs w:val="26"/>
              </w:rPr>
              <w:t>1,224</w:t>
            </w:r>
            <w:r w:rsidRPr="007D31B7">
              <w:rPr>
                <w:szCs w:val="26"/>
              </w:rPr>
              <w:t xml:space="preserve"> </w:t>
            </w:r>
          </w:p>
        </w:tc>
      </w:tr>
      <w:tr w14:paraId="4DF23F0E" w14:textId="77777777" w:rsidTr="7E27CEE0">
        <w:tblPrEx>
          <w:tblW w:w="5358" w:type="pct"/>
          <w:tblInd w:w="-72" w:type="dxa"/>
          <w:tblLayout w:type="fixed"/>
          <w:tblLook w:val="01E0"/>
        </w:tblPrEx>
        <w:trPr>
          <w:cantSplit/>
          <w:trHeight w:val="485"/>
        </w:trPr>
        <w:tc>
          <w:tcPr>
            <w:tcW w:w="878" w:type="pct"/>
            <w:tcBorders>
              <w:bottom w:val="single" w:sz="4" w:space="0" w:color="auto"/>
            </w:tcBorders>
            <w:vAlign w:val="bottom"/>
          </w:tcPr>
          <w:p w:rsidR="00AB265F" w:rsidRPr="007D31B7" w:rsidP="0067022F" w14:paraId="0D2DFC7D" w14:textId="77777777">
            <w:pPr>
              <w:rPr>
                <w:b/>
                <w:szCs w:val="26"/>
              </w:rPr>
            </w:pPr>
            <w:r w:rsidRPr="007D31B7">
              <w:rPr>
                <w:b/>
                <w:szCs w:val="26"/>
              </w:rPr>
              <w:t>TOTAL</w:t>
            </w:r>
          </w:p>
        </w:tc>
        <w:tc>
          <w:tcPr>
            <w:tcW w:w="1492" w:type="pct"/>
            <w:gridSpan w:val="2"/>
            <w:tcBorders>
              <w:bottom w:val="single" w:sz="4" w:space="0" w:color="auto"/>
            </w:tcBorders>
            <w:shd w:val="clear" w:color="auto" w:fill="D9D9D9" w:themeFill="background1" w:themeFillShade="D9"/>
            <w:vAlign w:val="bottom"/>
          </w:tcPr>
          <w:p w:rsidR="00AB265F" w:rsidRPr="007D31B7" w:rsidP="0067022F" w14:paraId="383BFE1C" w14:textId="77777777">
            <w:pPr>
              <w:jc w:val="right"/>
              <w:rPr>
                <w:szCs w:val="26"/>
              </w:rPr>
            </w:pPr>
          </w:p>
        </w:tc>
        <w:tc>
          <w:tcPr>
            <w:tcW w:w="703" w:type="pct"/>
            <w:tcBorders>
              <w:bottom w:val="single" w:sz="4" w:space="0" w:color="auto"/>
            </w:tcBorders>
            <w:vAlign w:val="bottom"/>
          </w:tcPr>
          <w:p w:rsidR="00AB265F" w:rsidRPr="007D31B7" w:rsidP="0067022F" w14:paraId="70904293" w14:textId="77777777">
            <w:pPr>
              <w:jc w:val="right"/>
              <w:rPr>
                <w:b/>
                <w:szCs w:val="26"/>
              </w:rPr>
            </w:pPr>
            <w:r w:rsidRPr="007D31B7">
              <w:rPr>
                <w:b/>
                <w:szCs w:val="26"/>
              </w:rPr>
              <w:t>1,848</w:t>
            </w:r>
          </w:p>
        </w:tc>
        <w:tc>
          <w:tcPr>
            <w:tcW w:w="654" w:type="pct"/>
            <w:tcBorders>
              <w:bottom w:val="single" w:sz="4" w:space="0" w:color="auto"/>
            </w:tcBorders>
            <w:shd w:val="clear" w:color="auto" w:fill="D9D9D9" w:themeFill="background1" w:themeFillShade="D9"/>
            <w:vAlign w:val="bottom"/>
          </w:tcPr>
          <w:p w:rsidR="00AB265F" w:rsidRPr="007D31B7" w:rsidP="0067022F" w14:paraId="6956E967" w14:textId="77777777">
            <w:pPr>
              <w:jc w:val="right"/>
              <w:rPr>
                <w:szCs w:val="26"/>
              </w:rPr>
            </w:pPr>
          </w:p>
        </w:tc>
        <w:tc>
          <w:tcPr>
            <w:tcW w:w="657" w:type="pct"/>
            <w:tcBorders>
              <w:bottom w:val="single" w:sz="4" w:space="0" w:color="auto"/>
            </w:tcBorders>
            <w:vAlign w:val="bottom"/>
          </w:tcPr>
          <w:p w:rsidR="00AB265F" w:rsidRPr="007D31B7" w:rsidP="0067022F" w14:paraId="4644F2C1" w14:textId="77777777">
            <w:pPr>
              <w:jc w:val="right"/>
              <w:rPr>
                <w:b/>
                <w:szCs w:val="26"/>
              </w:rPr>
            </w:pPr>
            <w:r w:rsidRPr="007D31B7">
              <w:rPr>
                <w:b/>
                <w:szCs w:val="26"/>
              </w:rPr>
              <w:t>149,856 hrs.;</w:t>
            </w:r>
          </w:p>
          <w:p w:rsidR="00AB265F" w:rsidRPr="007D31B7" w:rsidP="0067022F" w14:paraId="5E21A3E3" w14:textId="7BE5866D">
            <w:pPr>
              <w:jc w:val="right"/>
              <w:rPr>
                <w:b/>
                <w:szCs w:val="26"/>
              </w:rPr>
            </w:pPr>
            <w:r w:rsidRPr="007D31B7">
              <w:rPr>
                <w:b/>
                <w:szCs w:val="26"/>
              </w:rPr>
              <w:t>$</w:t>
            </w:r>
            <w:r w:rsidRPr="007D31B7" w:rsidR="005468E4">
              <w:rPr>
                <w:b/>
                <w:szCs w:val="26"/>
              </w:rPr>
              <w:t>15,285,312</w:t>
            </w:r>
          </w:p>
        </w:tc>
        <w:tc>
          <w:tcPr>
            <w:tcW w:w="616" w:type="pct"/>
            <w:tcBorders>
              <w:bottom w:val="single" w:sz="4" w:space="0" w:color="auto"/>
            </w:tcBorders>
            <w:vAlign w:val="bottom"/>
          </w:tcPr>
          <w:p w:rsidR="00AB265F" w:rsidRPr="007D31B7" w:rsidP="0067022F" w14:paraId="4B992A22" w14:textId="77E31DF6">
            <w:pPr>
              <w:jc w:val="right"/>
              <w:rPr>
                <w:b/>
                <w:szCs w:val="26"/>
              </w:rPr>
            </w:pPr>
          </w:p>
        </w:tc>
      </w:tr>
    </w:tbl>
    <w:p w:rsidR="00AB265F" w:rsidRPr="007D31B7" w:rsidP="00261A97" w14:paraId="16FAA9A8" w14:textId="77777777">
      <w:pPr>
        <w:spacing w:line="480" w:lineRule="auto"/>
        <w:rPr>
          <w:szCs w:val="26"/>
        </w:rPr>
      </w:pPr>
    </w:p>
    <w:p w:rsidR="00F86890" w:rsidRPr="007D31B7" w:rsidP="549EAD48" w14:paraId="537730BC" w14:textId="77777777">
      <w:pPr>
        <w:spacing w:line="480" w:lineRule="auto"/>
        <w:rPr>
          <w:szCs w:val="26"/>
        </w:rPr>
      </w:pPr>
      <w:r w:rsidRPr="007D31B7">
        <w:rPr>
          <w:i/>
          <w:iCs/>
          <w:szCs w:val="26"/>
        </w:rPr>
        <w:t xml:space="preserve">Comments:  </w:t>
      </w:r>
      <w:r w:rsidRPr="007D31B7">
        <w:rPr>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w:t>
      </w:r>
      <w:r w:rsidRPr="007D31B7" w:rsidR="009447D3">
        <w:rPr>
          <w:szCs w:val="26"/>
        </w:rPr>
        <w:t xml:space="preserve">and cost </w:t>
      </w:r>
      <w:r w:rsidRPr="007D31B7">
        <w:rPr>
          <w:szCs w:val="26"/>
        </w:rPr>
        <w:t xml:space="preserve">of the collection of information, including the validity of </w:t>
      </w:r>
      <w:r w:rsidRPr="007D31B7">
        <w:rPr>
          <w:szCs w:val="26"/>
        </w:rPr>
        <w:t xml:space="preserve">the methodology and assumptions used; (3) ways to enhance the quality, utility and clarity of the information </w:t>
      </w:r>
      <w:r w:rsidRPr="007D31B7" w:rsidR="00647B24">
        <w:rPr>
          <w:szCs w:val="26"/>
        </w:rPr>
        <w:t>collection</w:t>
      </w:r>
      <w:r w:rsidRPr="007D31B7">
        <w:rPr>
          <w:szCs w:val="26"/>
        </w:rPr>
        <w:t>; and (4) ways to minimize the burden of the collection of information on those who are to respond, i</w:t>
      </w:r>
      <w:r w:rsidRPr="007D31B7" w:rsidR="00647B24">
        <w:rPr>
          <w:szCs w:val="26"/>
        </w:rPr>
        <w:t xml:space="preserve">ncluding the use of </w:t>
      </w:r>
      <w:r w:rsidRPr="007D31B7">
        <w:rPr>
          <w:szCs w:val="26"/>
        </w:rPr>
        <w:t xml:space="preserve">automated collection techniques or other forms of information technology.  </w:t>
      </w:r>
    </w:p>
    <w:p w:rsidR="004530E0" w:rsidRPr="007D31B7" w:rsidP="549EAD48" w14:paraId="1E958C2B" w14:textId="77777777">
      <w:pPr>
        <w:spacing w:line="480" w:lineRule="auto"/>
        <w:ind w:firstLine="720"/>
        <w:rPr>
          <w:szCs w:val="26"/>
        </w:rPr>
      </w:pPr>
    </w:p>
    <w:p w:rsidR="004530E0" w:rsidRPr="007D31B7" w:rsidP="549EAD48" w14:paraId="6A2F085D" w14:textId="77777777">
      <w:pPr>
        <w:rPr>
          <w:szCs w:val="26"/>
        </w:rPr>
      </w:pPr>
    </w:p>
    <w:p w:rsidR="007D31B7" w:rsidP="007D31B7" w14:paraId="1A1FC9F1" w14:textId="77777777">
      <w:pPr>
        <w:rPr>
          <w:szCs w:val="26"/>
        </w:rPr>
      </w:pPr>
    </w:p>
    <w:p w:rsidR="007D31B7" w:rsidP="007D31B7" w14:paraId="2FE2535B" w14:textId="77777777">
      <w:pPr>
        <w:rPr>
          <w:szCs w:val="26"/>
        </w:rPr>
      </w:pPr>
    </w:p>
    <w:p w:rsidR="007D31B7" w:rsidRPr="007D31B7" w:rsidP="007D31B7" w14:paraId="00081688" w14:textId="3CB37D78">
      <w:pPr>
        <w:ind w:firstLine="2606"/>
        <w:jc w:val="center"/>
      </w:pPr>
      <w:r w:rsidRPr="007D31B7">
        <w:t>Debbie-Anne A. Reese,</w:t>
      </w:r>
    </w:p>
    <w:p w:rsidR="007D31B7" w:rsidRPr="007D31B7" w:rsidP="007D31B7" w14:paraId="475D9E4D" w14:textId="4CE12748">
      <w:pPr>
        <w:ind w:firstLine="2606"/>
        <w:jc w:val="center"/>
      </w:pPr>
      <w:r w:rsidRPr="007D31B7">
        <w:t>Secretary.</w:t>
      </w:r>
    </w:p>
    <w:p w:rsidR="007D31B7" w:rsidRPr="007D31B7" w:rsidP="007D31B7" w14:paraId="1A795B62" w14:textId="77777777">
      <w:pPr>
        <w:rPr>
          <w:szCs w:val="26"/>
        </w:rPr>
      </w:pPr>
    </w:p>
    <w:sectPr w:rsidSect="00EF5878">
      <w:headerReference w:type="even" r:id="rId16"/>
      <w:headerReference w:type="default" r:id="rId1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F0501" w14:paraId="3167EF8F" w14:textId="77777777">
      <w:r>
        <w:separator/>
      </w:r>
    </w:p>
  </w:footnote>
  <w:footnote w:type="continuationSeparator" w:id="1">
    <w:p w:rsidR="00AF0501" w14:paraId="62312055" w14:textId="77777777">
      <w:r>
        <w:continuationSeparator/>
      </w:r>
    </w:p>
  </w:footnote>
  <w:footnote w:id="2">
    <w:p w:rsidR="00B33AD0" w:rsidRPr="001D5BC0" w14:paraId="3ED9B15E" w14:textId="1B60753F">
      <w:pPr>
        <w:pStyle w:val="FootnoteText"/>
        <w:rPr>
          <w:sz w:val="26"/>
          <w:szCs w:val="26"/>
        </w:rPr>
      </w:pPr>
      <w:r>
        <w:rPr>
          <w:rStyle w:val="FootnoteReference"/>
        </w:rPr>
        <w:footnoteRef/>
      </w:r>
      <w:r>
        <w:t xml:space="preserve"> </w:t>
      </w:r>
      <w:r w:rsidRPr="00716426">
        <w:rPr>
          <w:sz w:val="26"/>
          <w:szCs w:val="26"/>
        </w:rPr>
        <w:t>As provided at 18 CFR 284.8, an interstate pipeline that offers transportation service on a firm basis must include in its tariff a mechanism for firm shippers to release firm capacity to the pipeline for resale.</w:t>
      </w:r>
    </w:p>
  </w:footnote>
  <w:footnote w:id="3">
    <w:p w:rsidR="00817FE7" w14:paraId="732CC51C" w14:textId="73899334">
      <w:pPr>
        <w:pStyle w:val="FootnoteText"/>
      </w:pPr>
      <w:r>
        <w:rPr>
          <w:rStyle w:val="FootnoteReference"/>
        </w:rPr>
        <w:footnoteRef/>
      </w:r>
      <w:r>
        <w:t xml:space="preserve"> </w:t>
      </w:r>
      <w:r w:rsidRPr="00716426">
        <w:rPr>
          <w:sz w:val="26"/>
          <w:szCs w:val="26"/>
        </w:rPr>
        <w:t>No-notice transportation allows for the reservation of pipeline capacity on demand without incurring any penalties.</w:t>
      </w:r>
    </w:p>
  </w:footnote>
  <w:footnote w:id="4">
    <w:p w:rsidR="00EE17EB" w14:paraId="4E0C7C2C" w14:textId="068F74F1">
      <w:pPr>
        <w:pStyle w:val="FootnoteText"/>
        <w:rPr>
          <w:sz w:val="26"/>
          <w:szCs w:val="26"/>
        </w:rPr>
      </w:pPr>
      <w:r>
        <w:rPr>
          <w:rStyle w:val="FootnoteReference"/>
        </w:rPr>
        <w:footnoteRef/>
      </w:r>
      <w:r>
        <w:t xml:space="preserve"> </w:t>
      </w:r>
      <w:r w:rsidRPr="00716426">
        <w:rPr>
          <w:sz w:val="26"/>
          <w:szCs w:val="26"/>
        </w:rPr>
        <w:t>The Commission defines burden as the total time, effort, or financial resources expended by persons to generate, maintain, retain, or disclose or provide information to or for a Federal agency. For further explanation of what is included in the information collection burden, reference 5 Code of Federal Regulations 1320.3.</w:t>
      </w:r>
    </w:p>
    <w:p w:rsidR="00B33AD0" w14:paraId="27798385" w14:textId="77777777">
      <w:pPr>
        <w:pStyle w:val="FootnoteText"/>
      </w:pPr>
    </w:p>
  </w:footnote>
  <w:footnote w:id="5">
    <w:p w:rsidR="001D5BC0" w:rsidRPr="00B963A1" w:rsidP="004C36F6" w14:paraId="3D9561D2" w14:textId="1F6FEED6">
      <w:pPr>
        <w:pStyle w:val="FootnoteText"/>
        <w:rPr>
          <w:sz w:val="26"/>
          <w:szCs w:val="26"/>
        </w:rPr>
      </w:pPr>
      <w:r>
        <w:rPr>
          <w:rStyle w:val="FootnoteReference"/>
        </w:rPr>
        <w:footnoteRef/>
      </w:r>
      <w:r>
        <w:t xml:space="preserve"> </w:t>
      </w:r>
      <w:r w:rsidRPr="00716426" w:rsidR="00B33AD0">
        <w:rPr>
          <w:sz w:val="26"/>
          <w:szCs w:val="26"/>
        </w:rPr>
        <w:t>The Commission staff estimates that the industry’s hourly cost for wages plus benefits is similar to the Commission’s $10</w:t>
      </w:r>
      <w:r w:rsidR="00DD6A79">
        <w:rPr>
          <w:sz w:val="26"/>
          <w:szCs w:val="26"/>
        </w:rPr>
        <w:t>2</w:t>
      </w:r>
      <w:r w:rsidRPr="00716426" w:rsidR="00B33AD0">
        <w:rPr>
          <w:sz w:val="26"/>
          <w:szCs w:val="26"/>
        </w:rPr>
        <w:t>.00 FY 202</w:t>
      </w:r>
      <w:r w:rsidR="00C05B81">
        <w:rPr>
          <w:sz w:val="26"/>
          <w:szCs w:val="26"/>
        </w:rPr>
        <w:t>6</w:t>
      </w:r>
      <w:r w:rsidRPr="00716426" w:rsidR="00B33AD0">
        <w:rPr>
          <w:sz w:val="26"/>
          <w:szCs w:val="26"/>
        </w:rPr>
        <w:t xml:space="preserve"> average hourly cost for wages and benefits.</w:t>
      </w:r>
    </w:p>
  </w:footnote>
  <w:footnote w:id="6">
    <w:p w:rsidR="00AB265F" w:rsidP="00AB265F" w14:paraId="6169DAB8" w14:textId="77777777">
      <w:pPr>
        <w:pStyle w:val="FootnoteText"/>
      </w:pPr>
      <w:r w:rsidRPr="00057251">
        <w:rPr>
          <w:rStyle w:val="FootnoteReference"/>
        </w:rPr>
        <w:footnoteRef/>
      </w:r>
      <w:r w:rsidRPr="00057251">
        <w:t xml:space="preserve"> </w:t>
      </w:r>
      <w:r w:rsidRPr="00716426">
        <w:rPr>
          <w:sz w:val="26"/>
          <w:szCs w:val="26"/>
        </w:rPr>
        <w:t>The burden per response is based on burden expended on similar forms and other similar FERC reporting requirements (e.g. capacity reports).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79AA" w:rsidP="00920A1C" w14:paraId="167CFFEE"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D79AA" w:rsidP="005E318F" w14:paraId="54731278"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79AA" w:rsidP="005E318F" w14:paraId="5EB90FBC" w14:textId="7EA8E2D2">
    <w:pPr>
      <w:pStyle w:val="Header"/>
      <w:ind w:right="360"/>
    </w:pPr>
    <w:r>
      <w:t xml:space="preserve">Docket No. </w:t>
    </w:r>
    <w:r w:rsidRPr="00C349E9">
      <w:t>IC</w:t>
    </w:r>
    <w:r w:rsidRPr="00C349E9" w:rsidR="00957939">
      <w:t>26</w:t>
    </w:r>
    <w:r w:rsidRPr="00C349E9">
      <w:t>-</w:t>
    </w:r>
    <w:r w:rsidRPr="00C349E9" w:rsidR="00957939">
      <w:t>18</w:t>
    </w:r>
    <w:r w:rsidRPr="00C349E9">
      <w:t>-000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
    <w:nsid w:val="56DDAA89"/>
    <w:multiLevelType w:val="hybridMultilevel"/>
    <w:tmpl w:val="1C08E6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5EE719D3"/>
    <w:multiLevelType w:val="hybridMultilevel"/>
    <w:tmpl w:val="B9A2F77C"/>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9BBF315"/>
    <w:multiLevelType w:val="hybridMultilevel"/>
    <w:tmpl w:val="ECA2A6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986468029">
    <w:abstractNumId w:val="2"/>
  </w:num>
  <w:num w:numId="2" w16cid:durableId="134183757">
    <w:abstractNumId w:val="4"/>
  </w:num>
  <w:num w:numId="3" w16cid:durableId="1872111158">
    <w:abstractNumId w:val="3"/>
  </w:num>
  <w:num w:numId="4" w16cid:durableId="126822442">
    <w:abstractNumId w:val="0"/>
  </w:num>
  <w:num w:numId="5" w16cid:durableId="1283345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90"/>
    <w:rsid w:val="0000007C"/>
    <w:rsid w:val="00002127"/>
    <w:rsid w:val="0000305D"/>
    <w:rsid w:val="00003A58"/>
    <w:rsid w:val="00004A34"/>
    <w:rsid w:val="00004D97"/>
    <w:rsid w:val="00004E01"/>
    <w:rsid w:val="00014E36"/>
    <w:rsid w:val="00024DBA"/>
    <w:rsid w:val="00024ECA"/>
    <w:rsid w:val="00036FEC"/>
    <w:rsid w:val="00041471"/>
    <w:rsid w:val="00043468"/>
    <w:rsid w:val="000436E9"/>
    <w:rsid w:val="0005366B"/>
    <w:rsid w:val="00055C05"/>
    <w:rsid w:val="00057251"/>
    <w:rsid w:val="0006335A"/>
    <w:rsid w:val="00072256"/>
    <w:rsid w:val="00072448"/>
    <w:rsid w:val="00080D5F"/>
    <w:rsid w:val="000838BE"/>
    <w:rsid w:val="000854B7"/>
    <w:rsid w:val="00093E92"/>
    <w:rsid w:val="000A27CA"/>
    <w:rsid w:val="000A5308"/>
    <w:rsid w:val="000A7D1F"/>
    <w:rsid w:val="000B12B1"/>
    <w:rsid w:val="000B723A"/>
    <w:rsid w:val="000C22B5"/>
    <w:rsid w:val="000C47F2"/>
    <w:rsid w:val="000C56A4"/>
    <w:rsid w:val="000D3639"/>
    <w:rsid w:val="000D5216"/>
    <w:rsid w:val="000F3299"/>
    <w:rsid w:val="000F3E00"/>
    <w:rsid w:val="00103D50"/>
    <w:rsid w:val="00114B14"/>
    <w:rsid w:val="001240FD"/>
    <w:rsid w:val="00125F00"/>
    <w:rsid w:val="00141C8B"/>
    <w:rsid w:val="00145D61"/>
    <w:rsid w:val="00146600"/>
    <w:rsid w:val="00146B5E"/>
    <w:rsid w:val="001470C0"/>
    <w:rsid w:val="001475FE"/>
    <w:rsid w:val="00150CA6"/>
    <w:rsid w:val="00152F44"/>
    <w:rsid w:val="00154602"/>
    <w:rsid w:val="00156E56"/>
    <w:rsid w:val="00163BBE"/>
    <w:rsid w:val="00176D66"/>
    <w:rsid w:val="00181F00"/>
    <w:rsid w:val="0019407A"/>
    <w:rsid w:val="0019691F"/>
    <w:rsid w:val="001A29CA"/>
    <w:rsid w:val="001A4577"/>
    <w:rsid w:val="001A5E0A"/>
    <w:rsid w:val="001A6B7C"/>
    <w:rsid w:val="001A7291"/>
    <w:rsid w:val="001B40FA"/>
    <w:rsid w:val="001B49BD"/>
    <w:rsid w:val="001B6B4A"/>
    <w:rsid w:val="001C3324"/>
    <w:rsid w:val="001C3703"/>
    <w:rsid w:val="001C4D3A"/>
    <w:rsid w:val="001C5D46"/>
    <w:rsid w:val="001D275B"/>
    <w:rsid w:val="001D5BC0"/>
    <w:rsid w:val="001E69DB"/>
    <w:rsid w:val="001F0B06"/>
    <w:rsid w:val="001F2664"/>
    <w:rsid w:val="001F47CB"/>
    <w:rsid w:val="00204D0F"/>
    <w:rsid w:val="002055B4"/>
    <w:rsid w:val="00215A17"/>
    <w:rsid w:val="00224904"/>
    <w:rsid w:val="002265E9"/>
    <w:rsid w:val="00241BFD"/>
    <w:rsid w:val="00251C88"/>
    <w:rsid w:val="00252CD0"/>
    <w:rsid w:val="00256FAB"/>
    <w:rsid w:val="00261A97"/>
    <w:rsid w:val="002677D6"/>
    <w:rsid w:val="002704DC"/>
    <w:rsid w:val="0027273D"/>
    <w:rsid w:val="002760AC"/>
    <w:rsid w:val="00285E62"/>
    <w:rsid w:val="002866DE"/>
    <w:rsid w:val="0028677A"/>
    <w:rsid w:val="0029476E"/>
    <w:rsid w:val="00296592"/>
    <w:rsid w:val="002A06E9"/>
    <w:rsid w:val="002A6174"/>
    <w:rsid w:val="002A6C6C"/>
    <w:rsid w:val="002B43A6"/>
    <w:rsid w:val="002B62A0"/>
    <w:rsid w:val="002C0ECB"/>
    <w:rsid w:val="002C23E9"/>
    <w:rsid w:val="002F55CC"/>
    <w:rsid w:val="00304914"/>
    <w:rsid w:val="00317A96"/>
    <w:rsid w:val="00321BE7"/>
    <w:rsid w:val="00321EB8"/>
    <w:rsid w:val="003230F8"/>
    <w:rsid w:val="00323139"/>
    <w:rsid w:val="003260D7"/>
    <w:rsid w:val="00335092"/>
    <w:rsid w:val="00341866"/>
    <w:rsid w:val="00356E26"/>
    <w:rsid w:val="00366669"/>
    <w:rsid w:val="00370763"/>
    <w:rsid w:val="00374409"/>
    <w:rsid w:val="003744A3"/>
    <w:rsid w:val="00381700"/>
    <w:rsid w:val="0038666A"/>
    <w:rsid w:val="00386BED"/>
    <w:rsid w:val="003A1D7A"/>
    <w:rsid w:val="003B0D2E"/>
    <w:rsid w:val="003B4D70"/>
    <w:rsid w:val="003C1644"/>
    <w:rsid w:val="003C1F91"/>
    <w:rsid w:val="003D6813"/>
    <w:rsid w:val="003F271A"/>
    <w:rsid w:val="003F32A9"/>
    <w:rsid w:val="0040332D"/>
    <w:rsid w:val="00414715"/>
    <w:rsid w:val="004230B0"/>
    <w:rsid w:val="00423C49"/>
    <w:rsid w:val="0042785C"/>
    <w:rsid w:val="00430164"/>
    <w:rsid w:val="00432C41"/>
    <w:rsid w:val="0043489E"/>
    <w:rsid w:val="00434D8B"/>
    <w:rsid w:val="00445DDF"/>
    <w:rsid w:val="004530E0"/>
    <w:rsid w:val="00453F74"/>
    <w:rsid w:val="00455A33"/>
    <w:rsid w:val="00455C4D"/>
    <w:rsid w:val="00462DBE"/>
    <w:rsid w:val="00470106"/>
    <w:rsid w:val="0047321C"/>
    <w:rsid w:val="004855F2"/>
    <w:rsid w:val="00487256"/>
    <w:rsid w:val="00490E50"/>
    <w:rsid w:val="004952E3"/>
    <w:rsid w:val="004A04D2"/>
    <w:rsid w:val="004A334C"/>
    <w:rsid w:val="004A51DF"/>
    <w:rsid w:val="004A6E59"/>
    <w:rsid w:val="004B665B"/>
    <w:rsid w:val="004C36C3"/>
    <w:rsid w:val="004C36F6"/>
    <w:rsid w:val="004C3BB0"/>
    <w:rsid w:val="004C3C65"/>
    <w:rsid w:val="004D1EE5"/>
    <w:rsid w:val="004D4CD3"/>
    <w:rsid w:val="004D53C3"/>
    <w:rsid w:val="004D778A"/>
    <w:rsid w:val="004D79AA"/>
    <w:rsid w:val="004F3E67"/>
    <w:rsid w:val="0050437A"/>
    <w:rsid w:val="00504500"/>
    <w:rsid w:val="00515CA5"/>
    <w:rsid w:val="00517B18"/>
    <w:rsid w:val="00521ABE"/>
    <w:rsid w:val="00524B22"/>
    <w:rsid w:val="00530BB4"/>
    <w:rsid w:val="00530ECD"/>
    <w:rsid w:val="005320C7"/>
    <w:rsid w:val="005346F4"/>
    <w:rsid w:val="00534B97"/>
    <w:rsid w:val="00537276"/>
    <w:rsid w:val="0054477B"/>
    <w:rsid w:val="005468E4"/>
    <w:rsid w:val="00551B13"/>
    <w:rsid w:val="005521E7"/>
    <w:rsid w:val="00556AC8"/>
    <w:rsid w:val="005665D1"/>
    <w:rsid w:val="005701E9"/>
    <w:rsid w:val="00572DE6"/>
    <w:rsid w:val="00584568"/>
    <w:rsid w:val="0058734A"/>
    <w:rsid w:val="0058744A"/>
    <w:rsid w:val="005916D2"/>
    <w:rsid w:val="00592AD7"/>
    <w:rsid w:val="00594550"/>
    <w:rsid w:val="005953A4"/>
    <w:rsid w:val="005A02C5"/>
    <w:rsid w:val="005A6D8E"/>
    <w:rsid w:val="005B0E46"/>
    <w:rsid w:val="005D0272"/>
    <w:rsid w:val="005E318F"/>
    <w:rsid w:val="005E4C62"/>
    <w:rsid w:val="005E5996"/>
    <w:rsid w:val="005E6B6B"/>
    <w:rsid w:val="006053EE"/>
    <w:rsid w:val="006070B9"/>
    <w:rsid w:val="00616138"/>
    <w:rsid w:val="00617E46"/>
    <w:rsid w:val="0062025E"/>
    <w:rsid w:val="00625882"/>
    <w:rsid w:val="006276C9"/>
    <w:rsid w:val="006400D4"/>
    <w:rsid w:val="00644F08"/>
    <w:rsid w:val="00647B24"/>
    <w:rsid w:val="00656DF0"/>
    <w:rsid w:val="0065768D"/>
    <w:rsid w:val="0067022F"/>
    <w:rsid w:val="00672BEA"/>
    <w:rsid w:val="0068483B"/>
    <w:rsid w:val="006902C3"/>
    <w:rsid w:val="0069142C"/>
    <w:rsid w:val="00694675"/>
    <w:rsid w:val="00695504"/>
    <w:rsid w:val="00696A1D"/>
    <w:rsid w:val="006A2074"/>
    <w:rsid w:val="006A4D89"/>
    <w:rsid w:val="006A64E7"/>
    <w:rsid w:val="006B4821"/>
    <w:rsid w:val="006C57B1"/>
    <w:rsid w:val="006C6072"/>
    <w:rsid w:val="006D011D"/>
    <w:rsid w:val="006D549E"/>
    <w:rsid w:val="006E6000"/>
    <w:rsid w:val="006E7FB0"/>
    <w:rsid w:val="006F4A80"/>
    <w:rsid w:val="006F77BE"/>
    <w:rsid w:val="0070048D"/>
    <w:rsid w:val="00703DFC"/>
    <w:rsid w:val="0070558B"/>
    <w:rsid w:val="0070613B"/>
    <w:rsid w:val="00706B7E"/>
    <w:rsid w:val="0071251E"/>
    <w:rsid w:val="00715910"/>
    <w:rsid w:val="00716426"/>
    <w:rsid w:val="007204E3"/>
    <w:rsid w:val="00720B54"/>
    <w:rsid w:val="00720E07"/>
    <w:rsid w:val="00725908"/>
    <w:rsid w:val="0072643A"/>
    <w:rsid w:val="007410BD"/>
    <w:rsid w:val="00750707"/>
    <w:rsid w:val="0076489B"/>
    <w:rsid w:val="00764A91"/>
    <w:rsid w:val="00764B90"/>
    <w:rsid w:val="00766823"/>
    <w:rsid w:val="007726D7"/>
    <w:rsid w:val="00773856"/>
    <w:rsid w:val="00782058"/>
    <w:rsid w:val="0078241C"/>
    <w:rsid w:val="00785CF9"/>
    <w:rsid w:val="007957B9"/>
    <w:rsid w:val="007A46B4"/>
    <w:rsid w:val="007A5C4A"/>
    <w:rsid w:val="007C0E1A"/>
    <w:rsid w:val="007D1408"/>
    <w:rsid w:val="007D2400"/>
    <w:rsid w:val="007D2BBA"/>
    <w:rsid w:val="007D31B7"/>
    <w:rsid w:val="007D4A4A"/>
    <w:rsid w:val="007E52AC"/>
    <w:rsid w:val="007E6973"/>
    <w:rsid w:val="007E699A"/>
    <w:rsid w:val="007E7573"/>
    <w:rsid w:val="007F4F94"/>
    <w:rsid w:val="007F7E3C"/>
    <w:rsid w:val="00817FE7"/>
    <w:rsid w:val="00827DA2"/>
    <w:rsid w:val="0083270A"/>
    <w:rsid w:val="00834B9E"/>
    <w:rsid w:val="0083507A"/>
    <w:rsid w:val="008410EA"/>
    <w:rsid w:val="00841CCE"/>
    <w:rsid w:val="00852671"/>
    <w:rsid w:val="00855434"/>
    <w:rsid w:val="0086417D"/>
    <w:rsid w:val="00865949"/>
    <w:rsid w:val="00865E72"/>
    <w:rsid w:val="00867CC5"/>
    <w:rsid w:val="0087254C"/>
    <w:rsid w:val="00880EEA"/>
    <w:rsid w:val="008814F7"/>
    <w:rsid w:val="00891E91"/>
    <w:rsid w:val="00893604"/>
    <w:rsid w:val="008937E8"/>
    <w:rsid w:val="00893FB3"/>
    <w:rsid w:val="008956A4"/>
    <w:rsid w:val="00897891"/>
    <w:rsid w:val="008B47EF"/>
    <w:rsid w:val="008B5814"/>
    <w:rsid w:val="008C7005"/>
    <w:rsid w:val="008D5D5A"/>
    <w:rsid w:val="008D7DF2"/>
    <w:rsid w:val="008E3D19"/>
    <w:rsid w:val="008E4CB7"/>
    <w:rsid w:val="008F1C43"/>
    <w:rsid w:val="008F66AB"/>
    <w:rsid w:val="00906BFB"/>
    <w:rsid w:val="009124A0"/>
    <w:rsid w:val="009131BC"/>
    <w:rsid w:val="0091686D"/>
    <w:rsid w:val="00920A1C"/>
    <w:rsid w:val="00922F0E"/>
    <w:rsid w:val="00924B80"/>
    <w:rsid w:val="00937BCD"/>
    <w:rsid w:val="009447D3"/>
    <w:rsid w:val="009537F4"/>
    <w:rsid w:val="00956FF9"/>
    <w:rsid w:val="00957939"/>
    <w:rsid w:val="00961DAE"/>
    <w:rsid w:val="00966148"/>
    <w:rsid w:val="00966A35"/>
    <w:rsid w:val="009679E3"/>
    <w:rsid w:val="00970608"/>
    <w:rsid w:val="009713C5"/>
    <w:rsid w:val="0097434D"/>
    <w:rsid w:val="00977E05"/>
    <w:rsid w:val="0098034C"/>
    <w:rsid w:val="00991D87"/>
    <w:rsid w:val="009947B6"/>
    <w:rsid w:val="00994B38"/>
    <w:rsid w:val="00997AE4"/>
    <w:rsid w:val="009A61E8"/>
    <w:rsid w:val="009B027F"/>
    <w:rsid w:val="009B7DFA"/>
    <w:rsid w:val="009C2E1C"/>
    <w:rsid w:val="009D505F"/>
    <w:rsid w:val="009E1DA1"/>
    <w:rsid w:val="009F19C4"/>
    <w:rsid w:val="009F4AB4"/>
    <w:rsid w:val="009F71DC"/>
    <w:rsid w:val="00A0763E"/>
    <w:rsid w:val="00A15BF1"/>
    <w:rsid w:val="00A17794"/>
    <w:rsid w:val="00A226EE"/>
    <w:rsid w:val="00A272CB"/>
    <w:rsid w:val="00A34319"/>
    <w:rsid w:val="00A34518"/>
    <w:rsid w:val="00A35158"/>
    <w:rsid w:val="00A3726A"/>
    <w:rsid w:val="00A40B65"/>
    <w:rsid w:val="00A4355D"/>
    <w:rsid w:val="00A51FCA"/>
    <w:rsid w:val="00A536DA"/>
    <w:rsid w:val="00A56980"/>
    <w:rsid w:val="00A60681"/>
    <w:rsid w:val="00A6608D"/>
    <w:rsid w:val="00A71E40"/>
    <w:rsid w:val="00A72661"/>
    <w:rsid w:val="00A72F11"/>
    <w:rsid w:val="00A85DE0"/>
    <w:rsid w:val="00A86BC4"/>
    <w:rsid w:val="00A96311"/>
    <w:rsid w:val="00A9631E"/>
    <w:rsid w:val="00AA7819"/>
    <w:rsid w:val="00AB0A99"/>
    <w:rsid w:val="00AB20D8"/>
    <w:rsid w:val="00AB265F"/>
    <w:rsid w:val="00AB436E"/>
    <w:rsid w:val="00AC4CC5"/>
    <w:rsid w:val="00AC7480"/>
    <w:rsid w:val="00AD4BC1"/>
    <w:rsid w:val="00AE0995"/>
    <w:rsid w:val="00AE4572"/>
    <w:rsid w:val="00AE61E0"/>
    <w:rsid w:val="00AF0501"/>
    <w:rsid w:val="00AF4F93"/>
    <w:rsid w:val="00B018B9"/>
    <w:rsid w:val="00B07FB7"/>
    <w:rsid w:val="00B1101F"/>
    <w:rsid w:val="00B17B2A"/>
    <w:rsid w:val="00B2439B"/>
    <w:rsid w:val="00B3254F"/>
    <w:rsid w:val="00B33628"/>
    <w:rsid w:val="00B337D1"/>
    <w:rsid w:val="00B33AD0"/>
    <w:rsid w:val="00B43366"/>
    <w:rsid w:val="00B4431A"/>
    <w:rsid w:val="00B460AF"/>
    <w:rsid w:val="00B52047"/>
    <w:rsid w:val="00B62B35"/>
    <w:rsid w:val="00B646A9"/>
    <w:rsid w:val="00B65C5A"/>
    <w:rsid w:val="00B660F3"/>
    <w:rsid w:val="00B710EA"/>
    <w:rsid w:val="00B75595"/>
    <w:rsid w:val="00B806DB"/>
    <w:rsid w:val="00B81BC5"/>
    <w:rsid w:val="00B835C5"/>
    <w:rsid w:val="00B923C2"/>
    <w:rsid w:val="00B95082"/>
    <w:rsid w:val="00B963A1"/>
    <w:rsid w:val="00B97BC8"/>
    <w:rsid w:val="00BA7702"/>
    <w:rsid w:val="00BB1C54"/>
    <w:rsid w:val="00BC1B93"/>
    <w:rsid w:val="00BC7ACE"/>
    <w:rsid w:val="00BD0A6B"/>
    <w:rsid w:val="00BD15D4"/>
    <w:rsid w:val="00BE210A"/>
    <w:rsid w:val="00BF0461"/>
    <w:rsid w:val="00BF144D"/>
    <w:rsid w:val="00C01B8E"/>
    <w:rsid w:val="00C0487E"/>
    <w:rsid w:val="00C056FE"/>
    <w:rsid w:val="00C05B81"/>
    <w:rsid w:val="00C05E2D"/>
    <w:rsid w:val="00C1080B"/>
    <w:rsid w:val="00C13D4D"/>
    <w:rsid w:val="00C14CA1"/>
    <w:rsid w:val="00C209EA"/>
    <w:rsid w:val="00C20BA6"/>
    <w:rsid w:val="00C211B3"/>
    <w:rsid w:val="00C3310F"/>
    <w:rsid w:val="00C33BBC"/>
    <w:rsid w:val="00C349E9"/>
    <w:rsid w:val="00C41350"/>
    <w:rsid w:val="00C446C7"/>
    <w:rsid w:val="00C4788A"/>
    <w:rsid w:val="00C53513"/>
    <w:rsid w:val="00C56512"/>
    <w:rsid w:val="00C63FEE"/>
    <w:rsid w:val="00C70D6C"/>
    <w:rsid w:val="00C71F08"/>
    <w:rsid w:val="00C84A4C"/>
    <w:rsid w:val="00C856C1"/>
    <w:rsid w:val="00C91F29"/>
    <w:rsid w:val="00C936A0"/>
    <w:rsid w:val="00C950B8"/>
    <w:rsid w:val="00C9728E"/>
    <w:rsid w:val="00C97402"/>
    <w:rsid w:val="00CA5395"/>
    <w:rsid w:val="00CA582B"/>
    <w:rsid w:val="00CA5D25"/>
    <w:rsid w:val="00CB10EF"/>
    <w:rsid w:val="00CC084C"/>
    <w:rsid w:val="00CC312A"/>
    <w:rsid w:val="00CC74B4"/>
    <w:rsid w:val="00CD31E5"/>
    <w:rsid w:val="00CD787F"/>
    <w:rsid w:val="00CE0248"/>
    <w:rsid w:val="00CE0EF2"/>
    <w:rsid w:val="00CE64F2"/>
    <w:rsid w:val="00CF20A2"/>
    <w:rsid w:val="00CF490B"/>
    <w:rsid w:val="00CF5B9A"/>
    <w:rsid w:val="00D01316"/>
    <w:rsid w:val="00D02D61"/>
    <w:rsid w:val="00D05437"/>
    <w:rsid w:val="00D074F9"/>
    <w:rsid w:val="00D20E2B"/>
    <w:rsid w:val="00D23599"/>
    <w:rsid w:val="00D33436"/>
    <w:rsid w:val="00D404E6"/>
    <w:rsid w:val="00D431B0"/>
    <w:rsid w:val="00D43998"/>
    <w:rsid w:val="00D47828"/>
    <w:rsid w:val="00D6144A"/>
    <w:rsid w:val="00D63246"/>
    <w:rsid w:val="00D63C82"/>
    <w:rsid w:val="00D67693"/>
    <w:rsid w:val="00D70310"/>
    <w:rsid w:val="00D74273"/>
    <w:rsid w:val="00D76D45"/>
    <w:rsid w:val="00D77890"/>
    <w:rsid w:val="00D8329D"/>
    <w:rsid w:val="00D87C24"/>
    <w:rsid w:val="00D90CBF"/>
    <w:rsid w:val="00D90F48"/>
    <w:rsid w:val="00D9166B"/>
    <w:rsid w:val="00D92CB4"/>
    <w:rsid w:val="00D93E95"/>
    <w:rsid w:val="00D94313"/>
    <w:rsid w:val="00DA6F3C"/>
    <w:rsid w:val="00DA7F57"/>
    <w:rsid w:val="00DB44CE"/>
    <w:rsid w:val="00DC05D3"/>
    <w:rsid w:val="00DC09DD"/>
    <w:rsid w:val="00DC0CCD"/>
    <w:rsid w:val="00DC2BD8"/>
    <w:rsid w:val="00DC4367"/>
    <w:rsid w:val="00DD02E8"/>
    <w:rsid w:val="00DD3E84"/>
    <w:rsid w:val="00DD6A79"/>
    <w:rsid w:val="00DF281F"/>
    <w:rsid w:val="00DF3DC8"/>
    <w:rsid w:val="00DF57D1"/>
    <w:rsid w:val="00DF5C2C"/>
    <w:rsid w:val="00DF64E9"/>
    <w:rsid w:val="00E027CE"/>
    <w:rsid w:val="00E05648"/>
    <w:rsid w:val="00E0745C"/>
    <w:rsid w:val="00E102DA"/>
    <w:rsid w:val="00E12578"/>
    <w:rsid w:val="00E146ED"/>
    <w:rsid w:val="00E2091C"/>
    <w:rsid w:val="00E310B1"/>
    <w:rsid w:val="00E4230F"/>
    <w:rsid w:val="00E436DC"/>
    <w:rsid w:val="00E43FF3"/>
    <w:rsid w:val="00E52021"/>
    <w:rsid w:val="00E521EB"/>
    <w:rsid w:val="00E57F5B"/>
    <w:rsid w:val="00E60318"/>
    <w:rsid w:val="00E6445A"/>
    <w:rsid w:val="00E6573E"/>
    <w:rsid w:val="00E72E69"/>
    <w:rsid w:val="00E808CB"/>
    <w:rsid w:val="00E92ACF"/>
    <w:rsid w:val="00E9701C"/>
    <w:rsid w:val="00EA07A3"/>
    <w:rsid w:val="00EA0AED"/>
    <w:rsid w:val="00EA26F9"/>
    <w:rsid w:val="00EA4A6F"/>
    <w:rsid w:val="00EA5739"/>
    <w:rsid w:val="00EB0BB4"/>
    <w:rsid w:val="00EB6EE6"/>
    <w:rsid w:val="00EC0705"/>
    <w:rsid w:val="00EC4610"/>
    <w:rsid w:val="00EC4C08"/>
    <w:rsid w:val="00EC5C55"/>
    <w:rsid w:val="00EC657E"/>
    <w:rsid w:val="00EC7372"/>
    <w:rsid w:val="00EE17EB"/>
    <w:rsid w:val="00EE4F64"/>
    <w:rsid w:val="00EE5F32"/>
    <w:rsid w:val="00EE64A4"/>
    <w:rsid w:val="00EE7454"/>
    <w:rsid w:val="00EF5878"/>
    <w:rsid w:val="00F02B46"/>
    <w:rsid w:val="00F04F98"/>
    <w:rsid w:val="00F05061"/>
    <w:rsid w:val="00F15EB8"/>
    <w:rsid w:val="00F17D46"/>
    <w:rsid w:val="00F2283B"/>
    <w:rsid w:val="00F239CB"/>
    <w:rsid w:val="00F252DC"/>
    <w:rsid w:val="00F27242"/>
    <w:rsid w:val="00F30FE9"/>
    <w:rsid w:val="00F31331"/>
    <w:rsid w:val="00F33CC9"/>
    <w:rsid w:val="00F34211"/>
    <w:rsid w:val="00F4212C"/>
    <w:rsid w:val="00F42509"/>
    <w:rsid w:val="00F47BB0"/>
    <w:rsid w:val="00F500B7"/>
    <w:rsid w:val="00F50EDA"/>
    <w:rsid w:val="00F52847"/>
    <w:rsid w:val="00F567F0"/>
    <w:rsid w:val="00F619B0"/>
    <w:rsid w:val="00F62C6E"/>
    <w:rsid w:val="00F63C6E"/>
    <w:rsid w:val="00F67CA1"/>
    <w:rsid w:val="00F7127D"/>
    <w:rsid w:val="00F72A15"/>
    <w:rsid w:val="00F730F8"/>
    <w:rsid w:val="00F75289"/>
    <w:rsid w:val="00F76482"/>
    <w:rsid w:val="00F80272"/>
    <w:rsid w:val="00F81786"/>
    <w:rsid w:val="00F86890"/>
    <w:rsid w:val="00F86EDC"/>
    <w:rsid w:val="00F94050"/>
    <w:rsid w:val="00F94545"/>
    <w:rsid w:val="00FA1560"/>
    <w:rsid w:val="00FA2A52"/>
    <w:rsid w:val="00FA4464"/>
    <w:rsid w:val="00FB5088"/>
    <w:rsid w:val="00FC34C8"/>
    <w:rsid w:val="00FC4CD8"/>
    <w:rsid w:val="00FC55F4"/>
    <w:rsid w:val="00FC5E3E"/>
    <w:rsid w:val="00FD23FF"/>
    <w:rsid w:val="00FD3488"/>
    <w:rsid w:val="00FE439E"/>
    <w:rsid w:val="0543035A"/>
    <w:rsid w:val="079DBF4F"/>
    <w:rsid w:val="090F91E1"/>
    <w:rsid w:val="0C3579C2"/>
    <w:rsid w:val="0D4DB07B"/>
    <w:rsid w:val="0E0E55CF"/>
    <w:rsid w:val="1116075D"/>
    <w:rsid w:val="1556F8B3"/>
    <w:rsid w:val="17AC423D"/>
    <w:rsid w:val="184F1513"/>
    <w:rsid w:val="1972669F"/>
    <w:rsid w:val="1A360361"/>
    <w:rsid w:val="1B1C8489"/>
    <w:rsid w:val="1F5ED241"/>
    <w:rsid w:val="21EC9D22"/>
    <w:rsid w:val="29A2266B"/>
    <w:rsid w:val="2A003FC6"/>
    <w:rsid w:val="2B02ECEB"/>
    <w:rsid w:val="2C6B83C6"/>
    <w:rsid w:val="2CCCEC48"/>
    <w:rsid w:val="31E38862"/>
    <w:rsid w:val="33796BD6"/>
    <w:rsid w:val="34379FCE"/>
    <w:rsid w:val="3492E826"/>
    <w:rsid w:val="38F5A453"/>
    <w:rsid w:val="3A441CB7"/>
    <w:rsid w:val="3ADDA393"/>
    <w:rsid w:val="42508A23"/>
    <w:rsid w:val="457A4171"/>
    <w:rsid w:val="4C87126D"/>
    <w:rsid w:val="4D6AD80D"/>
    <w:rsid w:val="4EB4E0BC"/>
    <w:rsid w:val="528052BC"/>
    <w:rsid w:val="549EAD48"/>
    <w:rsid w:val="57454A88"/>
    <w:rsid w:val="577696C3"/>
    <w:rsid w:val="59696794"/>
    <w:rsid w:val="5A6A860C"/>
    <w:rsid w:val="5AF05077"/>
    <w:rsid w:val="5B112B65"/>
    <w:rsid w:val="5EFAF138"/>
    <w:rsid w:val="62C071B8"/>
    <w:rsid w:val="679453F5"/>
    <w:rsid w:val="68CA8FD9"/>
    <w:rsid w:val="6C347A34"/>
    <w:rsid w:val="6DAC7052"/>
    <w:rsid w:val="6EB199A2"/>
    <w:rsid w:val="707561AB"/>
    <w:rsid w:val="740D4924"/>
    <w:rsid w:val="787C10BB"/>
    <w:rsid w:val="7DC7E062"/>
    <w:rsid w:val="7E143282"/>
    <w:rsid w:val="7E27CEE0"/>
    <w:rsid w:val="7F33786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D21D8B7"/>
  <w15:chartTrackingRefBased/>
  <w15:docId w15:val="{530D0A66-0382-468E-BCF4-067144EE4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3"/>
      </w:numPr>
    </w:p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487256"/>
    <w:rPr>
      <w:rFonts w:ascii="Times New Roman" w:hAnsi="Times New Roman"/>
      <w:b/>
      <w:sz w:val="26"/>
      <w:szCs w:val="26"/>
      <w:vertAlign w:val="superscript"/>
    </w:rPr>
  </w:style>
  <w:style w:type="paragraph" w:styleId="FootnoteText">
    <w:name w:val="footnote text"/>
    <w:aliases w:val=" Char,Char,Footnote Text Char,Footnote Text Char Char,Footnote Text Char Char Char,Footnote Text Char Char Char Char Char1,Footnote Text Char Char1,Footnote Text Char1,Footnote Text Char1 Char,Footnote Text Char1 Char Char Char1,f,fn,ft"/>
    <w:basedOn w:val="Normal"/>
    <w:link w:val="FootnoteTextChar2"/>
    <w:rsid w:val="00D20E2B"/>
    <w:rPr>
      <w:sz w:val="22"/>
      <w:szCs w:val="20"/>
    </w:rPr>
  </w:style>
  <w:style w:type="paragraph" w:styleId="Header">
    <w:name w:val="header"/>
    <w:basedOn w:val="Normal"/>
    <w:rsid w:val="005E318F"/>
    <w:pPr>
      <w:tabs>
        <w:tab w:val="center" w:pos="4320"/>
        <w:tab w:val="right" w:pos="8640"/>
      </w:tabs>
    </w:pPr>
  </w:style>
  <w:style w:type="character" w:styleId="PageNumber">
    <w:name w:val="page number"/>
    <w:basedOn w:val="DefaultParagraphFont"/>
    <w:rsid w:val="005E318F"/>
  </w:style>
  <w:style w:type="paragraph" w:styleId="Footer">
    <w:name w:val="footer"/>
    <w:basedOn w:val="Normal"/>
    <w:rsid w:val="005E318F"/>
    <w:pPr>
      <w:tabs>
        <w:tab w:val="center" w:pos="4320"/>
        <w:tab w:val="right" w:pos="8640"/>
      </w:tabs>
    </w:pPr>
  </w:style>
  <w:style w:type="character" w:styleId="Hyperlink">
    <w:name w:val="Hyperlink"/>
    <w:rsid w:val="00C56512"/>
    <w:rPr>
      <w:color w:val="0000FF"/>
      <w:u w:val="single"/>
    </w:rPr>
  </w:style>
  <w:style w:type="character" w:styleId="FollowedHyperlink">
    <w:name w:val="FollowedHyperlink"/>
    <w:rsid w:val="00F42509"/>
    <w:rPr>
      <w:color w:val="800080"/>
      <w:u w:val="single"/>
    </w:rPr>
  </w:style>
  <w:style w:type="paragraph" w:styleId="BalloonText">
    <w:name w:val="Balloon Text"/>
    <w:basedOn w:val="Normal"/>
    <w:semiHidden/>
    <w:rsid w:val="00F42509"/>
    <w:rPr>
      <w:rFonts w:ascii="Tahoma" w:hAnsi="Tahoma" w:cs="Tahoma"/>
      <w:sz w:val="16"/>
      <w:szCs w:val="16"/>
    </w:rPr>
  </w:style>
  <w:style w:type="table" w:styleId="TableGrid">
    <w:name w:val="Table Grid"/>
    <w:basedOn w:val="TableNormal"/>
    <w:rsid w:val="00215A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rsid w:val="00DC05D3"/>
    <w:pPr>
      <w:numPr>
        <w:numId w:val="5"/>
      </w:numPr>
      <w:spacing w:after="120" w:line="480" w:lineRule="auto"/>
    </w:pPr>
  </w:style>
  <w:style w:type="paragraph" w:customStyle="1" w:styleId="LegalFormat">
    <w:name w:val="Legal Format"/>
    <w:basedOn w:val="ListContinue"/>
    <w:rsid w:val="00DC05D3"/>
    <w:pPr>
      <w:spacing w:after="0"/>
      <w:ind w:left="0"/>
    </w:pPr>
    <w:rPr>
      <w:u w:val="single"/>
    </w:rPr>
  </w:style>
  <w:style w:type="paragraph" w:styleId="ListParagraph">
    <w:name w:val="List Paragraph"/>
    <w:basedOn w:val="Normal"/>
    <w:uiPriority w:val="34"/>
    <w:qFormat/>
    <w:rsid w:val="549EAD48"/>
    <w:pPr>
      <w:ind w:left="720"/>
      <w:contextualSpacing/>
    </w:pPr>
  </w:style>
  <w:style w:type="character" w:customStyle="1" w:styleId="FootnoteTextChar2">
    <w:name w:val="Footnote Text Char2"/>
    <w:aliases w:val=" Char Char,Char Char,Footnote Text Char Char Char Char,Footnote Text Char Char Char1,Footnote Text Char Char1 Char,Footnote Text Char Char2,Footnote Text Char1 Char Char,Footnote Text Char1 Char1,f Char,fn Char,ft Char"/>
    <w:link w:val="FootnoteText"/>
    <w:rsid w:val="00AB265F"/>
    <w:rPr>
      <w:sz w:val="22"/>
    </w:rPr>
  </w:style>
  <w:style w:type="paragraph" w:styleId="Revision">
    <w:name w:val="Revision"/>
    <w:hidden/>
    <w:uiPriority w:val="99"/>
    <w:semiHidden/>
    <w:rsid w:val="004A04D2"/>
    <w:rPr>
      <w:sz w:val="26"/>
      <w:szCs w:val="24"/>
    </w:rPr>
  </w:style>
  <w:style w:type="character" w:styleId="CommentReference">
    <w:name w:val="annotation reference"/>
    <w:basedOn w:val="DefaultParagraphFont"/>
    <w:rsid w:val="00D074F9"/>
    <w:rPr>
      <w:sz w:val="16"/>
      <w:szCs w:val="16"/>
    </w:rPr>
  </w:style>
  <w:style w:type="paragraph" w:styleId="CommentText">
    <w:name w:val="annotation text"/>
    <w:basedOn w:val="Normal"/>
    <w:link w:val="CommentTextChar"/>
    <w:rsid w:val="00D074F9"/>
    <w:rPr>
      <w:sz w:val="20"/>
      <w:szCs w:val="20"/>
    </w:rPr>
  </w:style>
  <w:style w:type="character" w:customStyle="1" w:styleId="CommentTextChar">
    <w:name w:val="Comment Text Char"/>
    <w:basedOn w:val="DefaultParagraphFont"/>
    <w:link w:val="CommentText"/>
    <w:rsid w:val="00D074F9"/>
  </w:style>
  <w:style w:type="paragraph" w:styleId="CommentSubject">
    <w:name w:val="annotation subject"/>
    <w:basedOn w:val="CommentText"/>
    <w:next w:val="CommentText"/>
    <w:link w:val="CommentSubjectChar"/>
    <w:rsid w:val="00D074F9"/>
    <w:rPr>
      <w:b/>
      <w:bCs/>
    </w:rPr>
  </w:style>
  <w:style w:type="character" w:customStyle="1" w:styleId="CommentSubjectChar">
    <w:name w:val="Comment Subject Char"/>
    <w:basedOn w:val="CommentTextChar"/>
    <w:link w:val="CommentSubject"/>
    <w:rsid w:val="00D074F9"/>
    <w:rPr>
      <w:b/>
      <w:bCs/>
    </w:rPr>
  </w:style>
  <w:style w:type="character" w:styleId="UnresolvedMention">
    <w:name w:val="Unresolved Mention"/>
    <w:basedOn w:val="DefaultParagraphFont"/>
    <w:uiPriority w:val="99"/>
    <w:semiHidden/>
    <w:unhideWhenUsed/>
    <w:rsid w:val="006702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https://www.reginfo.gov/public/do/PRA/icrPublicCommentRequest?ref_nbr=202602-1902-004" TargetMode="External" /><Relationship Id="rId12" Type="http://schemas.openxmlformats.org/officeDocument/2006/relationships/hyperlink" Target="https://www.reginfo.gov/public/do/PRAMain" TargetMode="External" /><Relationship Id="rId13" Type="http://schemas.openxmlformats.org/officeDocument/2006/relationships/hyperlink" Target="mailto:DataClearance@FERC.gov" TargetMode="External" /><Relationship Id="rId14" Type="http://schemas.openxmlformats.org/officeDocument/2006/relationships/hyperlink" Target="https://elibrary.ferc.gov/eLibrary/search" TargetMode="External" /><Relationship Id="rId15" Type="http://schemas.openxmlformats.org/officeDocument/2006/relationships/hyperlink" Target="https://www.ferc.gov/industries-data/natural-gas/industry-forms/form-549b-index-customers" TargetMode="External"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74a4cd09-5f17-433b-814a-38e7e9115d16"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E502A652-F07C-4057-9DEF-C6AA7646F8CA}">
  <ds:schemaRefs>
    <ds:schemaRef ds:uri="http://schemas.microsoft.com/sharepoint/v3/contenttype/forms"/>
  </ds:schemaRefs>
</ds:datastoreItem>
</file>

<file path=customXml/itemProps2.xml><?xml version="1.0" encoding="utf-8"?>
<ds:datastoreItem xmlns:ds="http://schemas.openxmlformats.org/officeDocument/2006/customXml" ds:itemID="{9EF03387-B5F2-40F4-BE1A-A59A9C0BD037}">
  <ds:schemaRefs>
    <ds:schemaRef ds:uri="http://schemas.openxmlformats.org/officeDocument/2006/bibliography"/>
  </ds:schemaRefs>
</ds:datastoreItem>
</file>

<file path=customXml/itemProps3.xml><?xml version="1.0" encoding="utf-8"?>
<ds:datastoreItem xmlns:ds="http://schemas.openxmlformats.org/officeDocument/2006/customXml" ds:itemID="{6D0B87CB-BDE5-4A3D-815F-26EE37E9773E}">
  <ds:schemaRefs>
    <ds:schemaRef ds:uri="Microsoft.SharePoint.Taxonomy.ContentTypeSync"/>
  </ds:schemaRefs>
</ds:datastoreItem>
</file>

<file path=customXml/itemProps4.xml><?xml version="1.0" encoding="utf-8"?>
<ds:datastoreItem xmlns:ds="http://schemas.openxmlformats.org/officeDocument/2006/customXml" ds:itemID="{8EBCA711-36AD-4041-8C7D-1CFE99453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B372C71-564C-4169-9E7C-D65FFE42DA54}">
  <ds:schemaRefs>
    <ds:schemaRef ds:uri="http://schemas.microsoft.com/office/2006/metadata/longProperties"/>
  </ds:schemaRefs>
</ds:datastoreItem>
</file>

<file path=customXml/itemProps6.xml><?xml version="1.0" encoding="utf-8"?>
<ds:datastoreItem xmlns:ds="http://schemas.openxmlformats.org/officeDocument/2006/customXml" ds:itemID="{1238E832-110B-4A4B-9991-5C2CC4D01FD9}">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5e8733a2-e908-454b-85cf-c9d17e1d094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otalTime>5</TotalTime>
  <Pages>6</Pages>
  <Words>1084</Words>
  <Characters>6527</Characters>
  <Application>Microsoft Office Word</Application>
  <DocSecurity>0</DocSecurity>
  <Lines>210</Lines>
  <Paragraphs>85</Paragraphs>
  <ScaleCrop>false</ScaleCrop>
  <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2011-07-29T18:17:00Z</cp:lastPrinted>
  <dcterms:created xsi:type="dcterms:W3CDTF">2026-03-09T14:03:00Z</dcterms:created>
  <dcterms:modified xsi:type="dcterms:W3CDTF">2026-03-09T14:31:00Z</dcterms:modified>
</cp:coreProperties>
</file>