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F659C" w:rsidRPr="004065DF" w:rsidP="004065DF" w14:paraId="18EC8E9A" w14:textId="32C79EB5">
      <w:pPr>
        <w:jc w:val="center"/>
        <w:rPr>
          <w:b/>
          <w:bCs/>
        </w:rPr>
      </w:pPr>
      <w:r w:rsidRPr="00233571">
        <w:rPr>
          <w:bCs/>
        </w:rPr>
        <w:t>Supporting Statement</w:t>
      </w:r>
    </w:p>
    <w:p w:rsidR="000F659C" w:rsidP="004065DF" w14:paraId="462769DC" w14:textId="77777777">
      <w:pPr>
        <w:jc w:val="center"/>
        <w:rPr>
          <w:b/>
          <w:bCs/>
        </w:rPr>
      </w:pPr>
      <w:r>
        <w:rPr>
          <w:b/>
          <w:bCs/>
        </w:rPr>
        <w:t>FERC</w:t>
      </w:r>
      <w:r w:rsidR="008C21CF">
        <w:rPr>
          <w:b/>
          <w:bCs/>
        </w:rPr>
        <w:t>-</w:t>
      </w:r>
      <w:r>
        <w:rPr>
          <w:b/>
          <w:bCs/>
        </w:rPr>
        <w:t>549B</w:t>
      </w:r>
      <w:r w:rsidR="00233571">
        <w:rPr>
          <w:b/>
          <w:bCs/>
        </w:rPr>
        <w:t xml:space="preserve">: </w:t>
      </w:r>
      <w:r w:rsidR="007C2CF6">
        <w:rPr>
          <w:b/>
        </w:rPr>
        <w:t>Gas Pipeline Rates: Capacity Reports and Index of Customers</w:t>
      </w:r>
    </w:p>
    <w:p w:rsidR="00233571" w:rsidRPr="00233571" w:rsidP="6C5C4610" w14:paraId="7114F46F" w14:textId="46E8FB11">
      <w:pPr>
        <w:jc w:val="center"/>
      </w:pPr>
      <w:r>
        <w:t xml:space="preserve">Reinstatement </w:t>
      </w:r>
      <w:r>
        <w:t>requested</w:t>
      </w:r>
    </w:p>
    <w:p w:rsidR="00E66D62" w:rsidRPr="004065DF" w:rsidP="004065DF" w14:paraId="4BF24C85" w14:textId="77777777">
      <w:pPr>
        <w:rPr>
          <w:bCs/>
          <w:u w:val="single"/>
        </w:rPr>
      </w:pPr>
    </w:p>
    <w:p w:rsidR="00943FF9" w:rsidP="00C46632" w14:paraId="296E7072" w14:textId="77777777">
      <w:pPr>
        <w:widowControl/>
        <w:autoSpaceDE/>
        <w:autoSpaceDN/>
        <w:adjustRightInd/>
      </w:pPr>
      <w:r w:rsidRPr="004065DF">
        <w:t>The Federal Ene</w:t>
      </w:r>
      <w:r w:rsidR="00233571">
        <w:t xml:space="preserve">rgy Regulatory Commission (FERC or </w:t>
      </w:r>
      <w:r w:rsidRPr="004065DF">
        <w:t>Commission) r</w:t>
      </w:r>
      <w:r w:rsidRPr="004065DF" w:rsidR="000F659C">
        <w:t>equest</w:t>
      </w:r>
      <w:r w:rsidRPr="004065DF">
        <w:t>s</w:t>
      </w:r>
      <w:r w:rsidR="004F6CEE">
        <w:t xml:space="preserve"> that the Office of Management and Budget (OMB) review and approve</w:t>
      </w:r>
      <w:r w:rsidR="0070243A">
        <w:t xml:space="preserve"> </w:t>
      </w:r>
      <w:r w:rsidR="008B3167">
        <w:t>FERC</w:t>
      </w:r>
      <w:r w:rsidR="0072118B">
        <w:t>-</w:t>
      </w:r>
      <w:r w:rsidR="008B3167">
        <w:t xml:space="preserve"> 549B</w:t>
      </w:r>
      <w:r w:rsidRPr="00595AE7" w:rsidR="004F6CEE">
        <w:rPr>
          <w:vertAlign w:val="superscript"/>
        </w:rPr>
        <w:t xml:space="preserve"> </w:t>
      </w:r>
      <w:r w:rsidR="004F6CEE">
        <w:t>(</w:t>
      </w:r>
      <w:r w:rsidRPr="007C2CF6" w:rsidR="007C2CF6">
        <w:t>Gas Pipeline Rates: Capacity Reports and Index of Customers</w:t>
      </w:r>
      <w:r w:rsidR="004F6CEE">
        <w:t>)</w:t>
      </w:r>
      <w:r w:rsidR="009802EF">
        <w:t xml:space="preserve"> information collection</w:t>
      </w:r>
      <w:r w:rsidR="004F6CEE">
        <w:t xml:space="preserve"> for a three-year period under OMB Control Number 1902-</w:t>
      </w:r>
      <w:r w:rsidR="007B54CB">
        <w:t>0169.  The requirements are</w:t>
      </w:r>
      <w:r w:rsidR="002C2680">
        <w:t xml:space="preserve"> listed</w:t>
      </w:r>
      <w:r w:rsidR="007B54CB">
        <w:t xml:space="preserve"> in the Commission’s regulations at 18 CFR 284.13(b),</w:t>
      </w:r>
      <w:r w:rsidR="00190E96">
        <w:t xml:space="preserve"> 18 CFR 284.13(c),</w:t>
      </w:r>
      <w:r w:rsidR="007B54CB">
        <w:t xml:space="preserve"> 18 CFR 284.13(d</w:t>
      </w:r>
      <w:r w:rsidR="00E54753">
        <w:t>)(1), and 18 CFR 284.13(d)(2).</w:t>
      </w:r>
    </w:p>
    <w:p w:rsidR="00902C90" w:rsidRPr="00902C90" w:rsidP="00902C90" w14:paraId="54748972" w14:textId="77777777">
      <w:pPr>
        <w:widowControl/>
        <w:autoSpaceDE/>
        <w:autoSpaceDN/>
        <w:adjustRightInd/>
      </w:pPr>
    </w:p>
    <w:p w:rsidR="000F659C" w:rsidRPr="004065DF" w:rsidP="004065DF" w14:paraId="04668E5A" w14:textId="77777777">
      <w:pPr>
        <w:tabs>
          <w:tab w:val="left" w:pos="-1440"/>
        </w:tabs>
        <w:ind w:left="720" w:hanging="720"/>
        <w:rPr>
          <w:b/>
          <w:bCs/>
        </w:rPr>
      </w:pPr>
      <w:r w:rsidRPr="004065DF">
        <w:rPr>
          <w:b/>
          <w:bCs/>
        </w:rPr>
        <w:t>1.</w:t>
      </w:r>
      <w:r w:rsidRPr="004065DF">
        <w:rPr>
          <w:b/>
          <w:bCs/>
        </w:rPr>
        <w:tab/>
        <w:t>CIRCUMSTANCES THAT MAKE THE COLLECTION OF INFORMATION NECESSARY</w:t>
      </w:r>
    </w:p>
    <w:p w:rsidR="0080198A" w:rsidRPr="0080198A" w:rsidP="0080198A" w14:paraId="6D6FD1A2" w14:textId="77777777"/>
    <w:p w:rsidR="007B54CB" w:rsidP="007B54CB" w14:paraId="75CA23DE" w14:textId="77777777">
      <w:r w:rsidRPr="00A80A95">
        <w:t>Under the Natural Gas Act (NGA),</w:t>
      </w:r>
      <w:r>
        <w:rPr>
          <w:rStyle w:val="FootnoteReference"/>
          <w:vertAlign w:val="superscript"/>
        </w:rPr>
        <w:footnoteReference w:id="2"/>
      </w:r>
      <w:r w:rsidRPr="00A80A95">
        <w:t xml:space="preserve"> the Commission has oversight of the rates that natural gas pipelines charge to move natural gas in interstate commerce.  The Commission must ensure that the rates are just and reasonable.</w:t>
      </w:r>
      <w:r>
        <w:rPr>
          <w:rStyle w:val="FootnoteReference"/>
          <w:vertAlign w:val="superscript"/>
        </w:rPr>
        <w:footnoteReference w:id="3"/>
      </w:r>
      <w:r>
        <w:rPr>
          <w:vertAlign w:val="superscript"/>
        </w:rPr>
        <w:t xml:space="preserve"> </w:t>
      </w:r>
      <w:r>
        <w:t xml:space="preserve">  </w:t>
      </w:r>
      <w:r w:rsidRPr="00A80A95">
        <w:t xml:space="preserve">Shippers of natural gas need accurate information about the capacity </w:t>
      </w:r>
      <w:r>
        <w:t xml:space="preserve">in </w:t>
      </w:r>
      <w:r w:rsidRPr="00A80A95">
        <w:t xml:space="preserve">pipeline corridors, especially regarding its value.  Shippers need this information </w:t>
      </w:r>
      <w:r>
        <w:t>to be able to determine what capacity will be available when</w:t>
      </w:r>
      <w:r w:rsidRPr="00A80A95">
        <w:t xml:space="preserve"> </w:t>
      </w:r>
      <w:r>
        <w:t xml:space="preserve">and to </w:t>
      </w:r>
      <w:r w:rsidRPr="00A80A95">
        <w:t xml:space="preserve">make informed decisions about the capacity they may want to purchase.  </w:t>
      </w:r>
    </w:p>
    <w:p w:rsidR="007B54CB" w:rsidP="007B54CB" w14:paraId="66CEEAC4" w14:textId="77777777">
      <w:pPr>
        <w:ind w:firstLine="360"/>
      </w:pPr>
    </w:p>
    <w:p w:rsidR="007B54CB" w:rsidRPr="00A80A95" w:rsidP="007B54CB" w14:paraId="2B11496E" w14:textId="77777777">
      <w:r>
        <w:t xml:space="preserve">The Commission established </w:t>
      </w:r>
      <w:r w:rsidR="009F0C7C">
        <w:t xml:space="preserve">this collection of information </w:t>
      </w:r>
      <w:r>
        <w:t xml:space="preserve">in </w:t>
      </w:r>
      <w:r w:rsidR="00A31CE2">
        <w:t>order to</w:t>
      </w:r>
      <w:r w:rsidR="00A31CE2">
        <w:t xml:space="preserve"> address these </w:t>
      </w:r>
      <w:r w:rsidR="009F0C7C">
        <w:t xml:space="preserve">issues.  </w:t>
      </w:r>
    </w:p>
    <w:p w:rsidR="00790EAA" w:rsidP="007B54CB" w14:paraId="513ACDD6" w14:textId="77777777">
      <w:r>
        <w:t>FERC</w:t>
      </w:r>
      <w:r w:rsidR="00DD0DDE">
        <w:t>-</w:t>
      </w:r>
      <w:r>
        <w:t>549B</w:t>
      </w:r>
      <w:r w:rsidRPr="00A80A95" w:rsidR="007B54CB">
        <w:t xml:space="preserve"> cover</w:t>
      </w:r>
      <w:r w:rsidR="007B54CB">
        <w:t>s</w:t>
      </w:r>
      <w:r w:rsidRPr="00A80A95" w:rsidR="007B54CB">
        <w:t xml:space="preserve"> </w:t>
      </w:r>
      <w:r w:rsidR="007B54CB">
        <w:t xml:space="preserve">the </w:t>
      </w:r>
      <w:r w:rsidRPr="00A80A95" w:rsidR="007B54CB">
        <w:t xml:space="preserve">various aspects of </w:t>
      </w:r>
      <w:r w:rsidR="007B54CB">
        <w:t xml:space="preserve">releasing and acquiring natural </w:t>
      </w:r>
      <w:r w:rsidRPr="00A80A95" w:rsidR="007B54CB">
        <w:t xml:space="preserve">gas pipeline capacity </w:t>
      </w:r>
      <w:r w:rsidR="007B54CB">
        <w:t xml:space="preserve">that are </w:t>
      </w:r>
      <w:r w:rsidRPr="00A80A95" w:rsidR="007B54CB">
        <w:t xml:space="preserve">needed </w:t>
      </w:r>
      <w:r w:rsidR="007B54CB">
        <w:t xml:space="preserve">for regulatory oversight and efficient </w:t>
      </w:r>
      <w:r w:rsidRPr="00A80A95" w:rsidR="007B54CB">
        <w:t>business</w:t>
      </w:r>
      <w:r w:rsidR="007B54CB">
        <w:t xml:space="preserve"> transactions to occur easily</w:t>
      </w:r>
      <w:r w:rsidRPr="00A80A95" w:rsidR="007B54CB">
        <w:t xml:space="preserve">.  There are </w:t>
      </w:r>
      <w:r w:rsidR="007B54CB">
        <w:t xml:space="preserve">three </w:t>
      </w:r>
      <w:r w:rsidRPr="00A80A95" w:rsidR="007B54CB">
        <w:t xml:space="preserve">distinct reporting requirements </w:t>
      </w:r>
      <w:r w:rsidR="00E5459A">
        <w:t>in</w:t>
      </w:r>
      <w:r w:rsidRPr="00A80A95" w:rsidR="007B54CB">
        <w:t xml:space="preserve"> </w:t>
      </w:r>
      <w:r>
        <w:t>FERC</w:t>
      </w:r>
      <w:r w:rsidR="00E5459A">
        <w:t>-</w:t>
      </w:r>
      <w:r>
        <w:t>549B</w:t>
      </w:r>
      <w:r w:rsidR="007B54CB">
        <w:t>:</w:t>
      </w:r>
    </w:p>
    <w:p w:rsidR="009F0C7C" w:rsidP="007B54CB" w14:paraId="57F77284" w14:textId="77777777"/>
    <w:p w:rsidR="00790EAA" w:rsidP="00790EAA" w14:paraId="4AF121BF" w14:textId="77777777">
      <w:pPr>
        <w:numPr>
          <w:ilvl w:val="0"/>
          <w:numId w:val="34"/>
        </w:numPr>
      </w:pPr>
      <w:r>
        <w:t>C</w:t>
      </w:r>
      <w:r w:rsidR="007B54CB">
        <w:t xml:space="preserve">apacity reports related to firm, released and interruptible transportation </w:t>
      </w:r>
      <w:r w:rsidR="007B54CB">
        <w:t>service;</w:t>
      </w:r>
      <w:r w:rsidR="007B54CB">
        <w:t xml:space="preserve"> </w:t>
      </w:r>
    </w:p>
    <w:p w:rsidR="00790EAA" w:rsidP="00790EAA" w14:paraId="1FA87687" w14:textId="77777777">
      <w:pPr>
        <w:numPr>
          <w:ilvl w:val="0"/>
          <w:numId w:val="34"/>
        </w:numPr>
      </w:pPr>
      <w:r>
        <w:t>P</w:t>
      </w:r>
      <w:r w:rsidR="007B54CB">
        <w:t xml:space="preserve">eak day annual capacity reports; and </w:t>
      </w:r>
    </w:p>
    <w:p w:rsidR="007B54CB" w:rsidP="00790EAA" w14:paraId="1CD7E03A" w14:textId="77777777">
      <w:pPr>
        <w:numPr>
          <w:ilvl w:val="0"/>
          <w:numId w:val="34"/>
        </w:numPr>
      </w:pPr>
      <w:r>
        <w:t>Index of Customers</w:t>
      </w:r>
      <w:r w:rsidR="00E41841">
        <w:t xml:space="preserve"> (IOC)</w:t>
      </w:r>
      <w:r>
        <w:t>.</w:t>
      </w:r>
    </w:p>
    <w:p w:rsidR="007B54CB" w:rsidP="007B54CB" w14:paraId="20C1D9FA" w14:textId="77777777">
      <w:pPr>
        <w:ind w:firstLine="360"/>
      </w:pPr>
    </w:p>
    <w:p w:rsidR="007B54CB" w:rsidRPr="00A80A95" w:rsidP="007B54CB" w14:paraId="47D41B8B" w14:textId="77777777">
      <w:pPr>
        <w:rPr>
          <w:b/>
        </w:rPr>
      </w:pPr>
      <w:r>
        <w:rPr>
          <w:b/>
        </w:rPr>
        <w:t xml:space="preserve">Reports on Firm and Interruptible Services and on </w:t>
      </w:r>
      <w:r w:rsidRPr="00A80A95">
        <w:rPr>
          <w:b/>
        </w:rPr>
        <w:t>Capacity</w:t>
      </w:r>
      <w:r>
        <w:rPr>
          <w:b/>
        </w:rPr>
        <w:t xml:space="preserve"> and Flow Information</w:t>
      </w:r>
      <w:r w:rsidRPr="00A80A95">
        <w:rPr>
          <w:b/>
        </w:rPr>
        <w:t xml:space="preserve">  </w:t>
      </w:r>
    </w:p>
    <w:p w:rsidR="007B54CB" w:rsidP="007B54CB" w14:paraId="2F318787" w14:textId="77777777"/>
    <w:p w:rsidR="007B54CB" w:rsidP="007B54CB" w14:paraId="1A290C54" w14:textId="55668F33">
      <w:r>
        <w:t xml:space="preserve">The regulation at </w:t>
      </w:r>
      <w:r>
        <w:t>18 CFR 284.13(b) require</w:t>
      </w:r>
      <w:r>
        <w:t>s</w:t>
      </w:r>
      <w:r>
        <w:t xml:space="preserve"> </w:t>
      </w:r>
      <w:r>
        <w:t xml:space="preserve">each </w:t>
      </w:r>
      <w:r>
        <w:t xml:space="preserve">interstate natural gas pipeline </w:t>
      </w:r>
      <w:r>
        <w:t xml:space="preserve">to </w:t>
      </w:r>
      <w:r>
        <w:t xml:space="preserve">post </w:t>
      </w:r>
      <w:r>
        <w:t xml:space="preserve">information </w:t>
      </w:r>
      <w:r>
        <w:t xml:space="preserve">on </w:t>
      </w:r>
      <w:r>
        <w:t xml:space="preserve">a </w:t>
      </w:r>
      <w:r>
        <w:t>website with respect to each contract, or revision of a contract for firm and released transportation service</w:t>
      </w:r>
      <w:r>
        <w:t>.  T</w:t>
      </w:r>
      <w:r>
        <w:t xml:space="preserve">he following information </w:t>
      </w:r>
      <w:r>
        <w:t xml:space="preserve">must be available on the website </w:t>
      </w:r>
      <w:r>
        <w:t xml:space="preserve">no later than the first </w:t>
      </w:r>
      <w:r w:rsidR="00D421A1">
        <w:t xml:space="preserve">day </w:t>
      </w:r>
      <w:r w:rsidR="00CD7C4E">
        <w:t>in</w:t>
      </w:r>
      <w:r>
        <w:t xml:space="preserve"> a transaction: who is releasing and taking the capacity; contract numbers, prices, volumes, and duration; any terms and conditions which differ from those in the pipeline’s tariff; receipt and delivery points as well as zones; whether there is an affiliate relationship between the pipeline and the shipper or between the releasing and replacement </w:t>
      </w:r>
      <w:r>
        <w:t xml:space="preserve">shipper; whether a capacity release is a release to an asset manager and the asset manager's obligation to deliver gas to, or purchase gas from, the releasing shipper; and whether a capacity release is a release to a marketer participating in a state-regulated retail access program. </w:t>
      </w:r>
    </w:p>
    <w:p w:rsidR="007B54CB" w:rsidP="007B54CB" w14:paraId="33CAB487" w14:textId="77777777"/>
    <w:p w:rsidR="007B54CB" w:rsidRPr="00A80A95" w:rsidP="007B54CB" w14:paraId="027C79DC" w14:textId="77777777">
      <w:r>
        <w:t xml:space="preserve">For interruptible service under </w:t>
      </w:r>
      <w:r w:rsidRPr="00A80A95">
        <w:t>18 CFR 284.13(b)</w:t>
      </w:r>
      <w:r>
        <w:t xml:space="preserve">, Commission regulations require interstate natural gas pipelines to post on their websites </w:t>
      </w:r>
      <w:r w:rsidRPr="001531B8">
        <w:t>on a daily basis no later than the first nomination for service under an interruptible agreement</w:t>
      </w:r>
      <w:r>
        <w:t xml:space="preserve">: who </w:t>
      </w:r>
      <w:r w:rsidRPr="00EF37B0">
        <w:t>the shipper receiving service</w:t>
      </w:r>
      <w:r>
        <w:t xml:space="preserve"> is, t</w:t>
      </w:r>
      <w:r w:rsidRPr="00EF37B0">
        <w:t xml:space="preserve">he rate charged; </w:t>
      </w:r>
      <w:r>
        <w:t>t</w:t>
      </w:r>
      <w:r w:rsidRPr="00EF37B0">
        <w:t xml:space="preserve">he maximum rate; </w:t>
      </w:r>
      <w:r>
        <w:t xml:space="preserve"> the receipt and delivery points, zones or segments </w:t>
      </w:r>
      <w:r w:rsidRPr="00EF37B0">
        <w:t>covered between which the shipper is entitled to transport gas at the rate charged;</w:t>
      </w:r>
      <w:r>
        <w:t xml:space="preserve"> t</w:t>
      </w:r>
      <w:r w:rsidRPr="00EF37B0">
        <w:t xml:space="preserve">he quantity of gas the shipper is entitled to transport; </w:t>
      </w:r>
      <w:r>
        <w:t>s</w:t>
      </w:r>
      <w:r w:rsidRPr="00EF37B0">
        <w:t>pecial details pertaining to the agreement, including conditions applicable to a discounted transportation contract and all aspects in which the agreement devi</w:t>
      </w:r>
      <w:r>
        <w:t>ates from the pipeline's tariff ; and wh</w:t>
      </w:r>
      <w:r w:rsidRPr="00EF37B0">
        <w:t xml:space="preserve">ether the shipper is affiliated with the pipeline. </w:t>
      </w:r>
      <w:r w:rsidRPr="00A80A95">
        <w:t xml:space="preserve"> </w:t>
      </w:r>
    </w:p>
    <w:p w:rsidR="007B54CB" w:rsidP="007B54CB" w14:paraId="7C5BA617" w14:textId="77777777"/>
    <w:p w:rsidR="007B54CB" w:rsidP="007B54CB" w14:paraId="62FFB0E6" w14:textId="61766380">
      <w:r w:rsidRPr="00A80A95">
        <w:t>At 18 CFR 284.13(d)(1)</w:t>
      </w:r>
      <w:r w:rsidR="00777376">
        <w:t>,</w:t>
      </w:r>
      <w:r w:rsidRPr="00A80A95">
        <w:t xml:space="preserve"> the Commission requires interstate </w:t>
      </w:r>
      <w:r>
        <w:t xml:space="preserve">natural gas </w:t>
      </w:r>
      <w:r w:rsidRPr="00A80A95">
        <w:t>pipeline</w:t>
      </w:r>
      <w:r>
        <w:t>s</w:t>
      </w:r>
      <w:r w:rsidRPr="00A80A95">
        <w:t xml:space="preserve"> </w:t>
      </w:r>
      <w:r w:rsidR="006112B9">
        <w:t xml:space="preserve">to </w:t>
      </w:r>
      <w:r w:rsidRPr="00477283">
        <w:t xml:space="preserve">provide on </w:t>
      </w:r>
      <w:r>
        <w:t>their web</w:t>
      </w:r>
      <w:r w:rsidRPr="00477283">
        <w:t>site</w:t>
      </w:r>
      <w:r>
        <w:t>s</w:t>
      </w:r>
      <w:r w:rsidR="1DFDB4CE">
        <w:t>,</w:t>
      </w:r>
      <w:r w:rsidRPr="00477283">
        <w:t xml:space="preserve"> and in downloadable file formats</w:t>
      </w:r>
      <w:r w:rsidR="603D0214">
        <w:t>,</w:t>
      </w:r>
      <w:r w:rsidRPr="00477283">
        <w:t xml:space="preserve"> </w:t>
      </w:r>
      <w:r w:rsidRPr="00A80A95">
        <w:t>equal and timely access to information relevant to the availability of all transportation services whenever capacity is scheduled, including, but not limited to</w:t>
      </w:r>
      <w:r>
        <w:t xml:space="preserve">: </w:t>
      </w:r>
      <w:r w:rsidRPr="00A80A95">
        <w:t>the availability of capacity at receipt points, on the mainline, at delivery points, and in storage fields</w:t>
      </w:r>
      <w:r>
        <w:t>;</w:t>
      </w:r>
      <w:r w:rsidRPr="00A80A95">
        <w:t xml:space="preserve"> whether the capacity is available directly from the pipeline or through capacity release</w:t>
      </w:r>
      <w:r>
        <w:t>;</w:t>
      </w:r>
      <w:r w:rsidRPr="00A80A95">
        <w:t xml:space="preserve"> the total design capacity of each point or segment on the system</w:t>
      </w:r>
      <w:r>
        <w:t>;</w:t>
      </w:r>
      <w:r w:rsidRPr="00A80A95">
        <w:t xml:space="preserve"> the amount scheduled at each point or segment whenever capacity is scheduled</w:t>
      </w:r>
      <w:r>
        <w:t>;</w:t>
      </w:r>
      <w:r w:rsidRPr="00A80A95">
        <w:t xml:space="preserve"> and all planned and actual service outages or reductions in service capacity. </w:t>
      </w:r>
      <w:r>
        <w:t xml:space="preserve"> </w:t>
      </w:r>
      <w:r w:rsidRPr="00A80A95">
        <w:t>An interstate pipeline must also provide information about the volum</w:t>
      </w:r>
      <w:r>
        <w:t xml:space="preserve">es of </w:t>
      </w:r>
      <w:r>
        <w:t>no</w:t>
      </w:r>
      <w:r>
        <w:t xml:space="preserve">-notice transportation.  </w:t>
      </w:r>
      <w:r w:rsidRPr="00A80A95">
        <w:t xml:space="preserve">This information must be posted at each receipt and delivery point before 11:30 a.m. central time three days after the day of gas flow and must reflect the pipeline's best estimate. </w:t>
      </w:r>
      <w:r>
        <w:t xml:space="preserve"> </w:t>
      </w:r>
      <w:r w:rsidRPr="00A80A95">
        <w:t xml:space="preserve">Updated information must be posted at each receipt and delivery point as necessary within ten business days after the month of gas flow.  </w:t>
      </w:r>
    </w:p>
    <w:p w:rsidR="000D1E33" w:rsidP="007B54CB" w14:paraId="063251BB" w14:textId="77777777"/>
    <w:p w:rsidR="000D1E33" w:rsidRPr="000D1E33" w:rsidP="007B54CB" w14:paraId="5376352B" w14:textId="77777777">
      <w:r>
        <w:t>18 CFR</w:t>
      </w:r>
      <w:r>
        <w:t xml:space="preserve"> 284.13(b) and 284.12(b) refer to separate processes, but generally the same information </w:t>
      </w:r>
      <w:r w:rsidR="004C6C58">
        <w:t>must be</w:t>
      </w:r>
      <w:r>
        <w:t xml:space="preserve"> reported.  Section 284.13(b) deals with how some of the information determined in section 284.12(b) is to be posted and/or reported.  For instance, Section 284.13(b)(1) details how the </w:t>
      </w:r>
      <w:r w:rsidR="002046DF">
        <w:t xml:space="preserve">firm </w:t>
      </w:r>
      <w:r>
        <w:t>shipper</w:t>
      </w:r>
      <w:r w:rsidR="002046DF">
        <w:t>’</w:t>
      </w:r>
      <w:r>
        <w:t>s unused capacity or released capacity is to be posted on the pipeline</w:t>
      </w:r>
      <w:r w:rsidR="002046DF">
        <w:t>’</w:t>
      </w:r>
      <w:r>
        <w:t xml:space="preserve">s website.  However, Section 284.12(b) refers to the uniform business process that every pipeline must follow for accepting nominations from shippers, for scheduling the </w:t>
      </w:r>
      <w:r>
        <w:t>shippers’</w:t>
      </w:r>
      <w:r>
        <w:t xml:space="preserve"> nominated gas, and for shippers to release their unused capacity into the pipeline’s market for capacity.  The regulations also detail the business processes the pipeline must follow to maintain flowing gas including</w:t>
      </w:r>
      <w:r w:rsidR="002046DF">
        <w:t>:</w:t>
      </w:r>
      <w:r>
        <w:t xml:space="preserve"> requirement to sign contracts with respect to balance flowing gas at every interconnection with another pipeline, the treatment of penalty revenue from shippers that fail to stay in compliance with the contracts (operational balancing agreements), and the communication protocols between the pipeline and its shippers.  Neither of these regulat</w:t>
      </w:r>
      <w:r>
        <w:t>ions are a subset of the other.</w:t>
      </w:r>
      <w:r>
        <w:t xml:space="preserve"> </w:t>
      </w:r>
    </w:p>
    <w:p w:rsidR="007B54CB" w:rsidP="007B54CB" w14:paraId="78E2A256" w14:textId="77777777"/>
    <w:p w:rsidR="007B54CB" w:rsidP="007B54CB" w14:paraId="297AB6C7" w14:textId="77777777">
      <w:pPr>
        <w:rPr>
          <w:b/>
        </w:rPr>
      </w:pPr>
      <w:r w:rsidRPr="00B16DEA">
        <w:rPr>
          <w:b/>
        </w:rPr>
        <w:t xml:space="preserve">Peak Day </w:t>
      </w:r>
      <w:r>
        <w:rPr>
          <w:b/>
        </w:rPr>
        <w:t>A</w:t>
      </w:r>
      <w:r w:rsidRPr="00B16DEA">
        <w:rPr>
          <w:b/>
        </w:rPr>
        <w:t>nnual Capacity Report</w:t>
      </w:r>
    </w:p>
    <w:p w:rsidR="00E51088" w:rsidRPr="00B16DEA" w:rsidP="007B54CB" w14:paraId="63C2BBBE" w14:textId="77777777">
      <w:pPr>
        <w:rPr>
          <w:b/>
        </w:rPr>
      </w:pPr>
    </w:p>
    <w:p w:rsidR="007B54CB" w:rsidRPr="00A80A95" w:rsidP="007B54CB" w14:paraId="40A964DB" w14:textId="77777777">
      <w:r w:rsidRPr="00A80A95">
        <w:t xml:space="preserve">The </w:t>
      </w:r>
      <w:r>
        <w:t xml:space="preserve">second </w:t>
      </w:r>
      <w:r w:rsidRPr="00A80A95">
        <w:t xml:space="preserve">requirement </w:t>
      </w:r>
      <w:r w:rsidR="00CE7F52">
        <w:t xml:space="preserve">of </w:t>
      </w:r>
      <w:r>
        <w:t>FERC</w:t>
      </w:r>
      <w:r w:rsidR="00CE7F52">
        <w:t>-</w:t>
      </w:r>
      <w:r>
        <w:t xml:space="preserve">549B </w:t>
      </w:r>
      <w:r w:rsidRPr="00A80A95">
        <w:t xml:space="preserve">is </w:t>
      </w:r>
      <w:r w:rsidR="00CE7F52">
        <w:t xml:space="preserve">described at </w:t>
      </w:r>
      <w:r w:rsidRPr="00A80A95">
        <w:t>18 CFR 284.13(d)(2)</w:t>
      </w:r>
      <w:r w:rsidR="00CE7F52">
        <w:t xml:space="preserve">, which requires </w:t>
      </w:r>
      <w:r>
        <w:t xml:space="preserve">interstate </w:t>
      </w:r>
      <w:r w:rsidRPr="00A80A95">
        <w:t xml:space="preserve">natural gas pipelines </w:t>
      </w:r>
      <w:r w:rsidR="00CE7F52">
        <w:t xml:space="preserve">to </w:t>
      </w:r>
      <w:r w:rsidRPr="00A80A95">
        <w:t xml:space="preserve">make an annual filing </w:t>
      </w:r>
      <w:r w:rsidRPr="00457AE4">
        <w:t xml:space="preserve">by March 1 of each year showing the </w:t>
      </w:r>
      <w:r w:rsidRPr="00457AE4">
        <w:t xml:space="preserve">estimated peak day capacity of the pipeline's system, and the estimated storage capacity </w:t>
      </w:r>
      <w:r w:rsidR="002046DF">
        <w:t xml:space="preserve">(if available) </w:t>
      </w:r>
      <w:r w:rsidRPr="00457AE4">
        <w:t>and maximum daily delivery capability of storage facilities under reasonably representative operating assumptions and the respective assignments of that capacity to the various firm services provided by the pipeline.</w:t>
      </w:r>
    </w:p>
    <w:p w:rsidR="007B54CB" w:rsidP="007B54CB" w14:paraId="3D8EF090" w14:textId="77777777"/>
    <w:p w:rsidR="007B54CB" w:rsidRPr="000A79F1" w:rsidP="007B54CB" w14:paraId="2FAF9756" w14:textId="77777777">
      <w:pPr>
        <w:rPr>
          <w:b/>
        </w:rPr>
      </w:pPr>
      <w:r w:rsidRPr="000A79F1">
        <w:rPr>
          <w:b/>
        </w:rPr>
        <w:t>Index of Customers</w:t>
      </w:r>
    </w:p>
    <w:p w:rsidR="007B54CB" w:rsidP="007B54CB" w14:paraId="7E4D7B9B" w14:textId="77777777"/>
    <w:p w:rsidR="007B54CB" w:rsidP="00022087" w14:paraId="7D8BE071" w14:textId="77777777">
      <w:pPr>
        <w:tabs>
          <w:tab w:val="left" w:pos="4680"/>
        </w:tabs>
      </w:pPr>
      <w:r>
        <w:t xml:space="preserve">The regulation at </w:t>
      </w:r>
      <w:r w:rsidR="00CE7F52">
        <w:t>1</w:t>
      </w:r>
      <w:r>
        <w:t xml:space="preserve">8 CFR 284.13(c) </w:t>
      </w:r>
      <w:r>
        <w:t xml:space="preserve">requires each interstate natural gas pipeline to file </w:t>
      </w:r>
      <w:r w:rsidRPr="00E50261">
        <w:t xml:space="preserve">an index of all its firm transportation and storage customers under contract </w:t>
      </w:r>
      <w:r w:rsidR="009B3826">
        <w:t xml:space="preserve">on the </w:t>
      </w:r>
      <w:r w:rsidRPr="00E50261">
        <w:t xml:space="preserve">first day of </w:t>
      </w:r>
      <w:r w:rsidR="009B3826">
        <w:t>each</w:t>
      </w:r>
      <w:r w:rsidRPr="00E50261" w:rsidR="009B3826">
        <w:t xml:space="preserve"> </w:t>
      </w:r>
      <w:r w:rsidRPr="00E50261">
        <w:t>quarter</w:t>
      </w:r>
      <w:r w:rsidR="009B3826">
        <w:t xml:space="preserve"> during the calendar year</w:t>
      </w:r>
      <w:r>
        <w:t>.  In addition, t</w:t>
      </w:r>
      <w:r w:rsidRPr="00E50261">
        <w:t xml:space="preserve">he </w:t>
      </w:r>
      <w:r>
        <w:t>Index of Customers (</w:t>
      </w:r>
      <w:r>
        <w:t>IOC</w:t>
      </w:r>
      <w:r>
        <w:t>)</w:t>
      </w:r>
      <w:r>
        <w:t xml:space="preserve"> </w:t>
      </w:r>
      <w:r w:rsidRPr="00E50261">
        <w:t xml:space="preserve">must </w:t>
      </w:r>
      <w:r>
        <w:t xml:space="preserve">be </w:t>
      </w:r>
      <w:r w:rsidRPr="00E50261">
        <w:t>posted on the pipeline's web</w:t>
      </w:r>
      <w:r>
        <w:t xml:space="preserve"> site</w:t>
      </w:r>
      <w:r w:rsidR="00E05587">
        <w:t xml:space="preserve"> </w:t>
      </w:r>
      <w:r w:rsidRPr="00E50261">
        <w:t xml:space="preserve">in a downloadable format complying with the specifications established by the Commission. </w:t>
      </w:r>
      <w:r>
        <w:t xml:space="preserve"> </w:t>
      </w:r>
      <w:r w:rsidRPr="00E50261">
        <w:t xml:space="preserve">The information posted on the pipeline's web site must be made available until the next quarterly </w:t>
      </w:r>
      <w:r w:rsidR="009B3826">
        <w:t xml:space="preserve">IOC </w:t>
      </w:r>
      <w:r w:rsidRPr="00E50261">
        <w:t xml:space="preserve">is posted. </w:t>
      </w:r>
    </w:p>
    <w:p w:rsidR="007B54CB" w:rsidP="007B54CB" w14:paraId="7A2E480F" w14:textId="77777777">
      <w:pPr>
        <w:ind w:firstLine="360"/>
      </w:pPr>
    </w:p>
    <w:p w:rsidR="0080198A" w:rsidRPr="0080198A" w:rsidP="007B54CB" w14:paraId="5C8F4EC6" w14:textId="3CFCB63D">
      <w:r>
        <w:t>The Commission requires detailed data in the IOC filings.  These include: who the customer</w:t>
      </w:r>
      <w:r w:rsidR="009B3826">
        <w:t>s</w:t>
      </w:r>
      <w:r>
        <w:t xml:space="preserve"> and shipper</w:t>
      </w:r>
      <w:r w:rsidR="009B3826">
        <w:t>s</w:t>
      </w:r>
      <w:r>
        <w:t xml:space="preserve"> are</w:t>
      </w:r>
      <w:r w:rsidR="009B3826">
        <w:t>,</w:t>
      </w:r>
      <w:r>
        <w:t xml:space="preserve"> the rate schedule under which service is rendered</w:t>
      </w:r>
      <w:r w:rsidR="009B3826">
        <w:t>,</w:t>
      </w:r>
      <w:r>
        <w:t xml:space="preserve"> contract information such as effective rate, termination dates, maximum daily contract quantity for either transportation or storage</w:t>
      </w:r>
      <w:r w:rsidR="009B3826">
        <w:t>,</w:t>
      </w:r>
      <w:r>
        <w:t xml:space="preserve"> the receipt and delivery points under contract</w:t>
      </w:r>
      <w:r w:rsidR="009B3826">
        <w:t>,</w:t>
      </w:r>
      <w:r>
        <w:t xml:space="preserve"> the zones or segments in which the capacity is held</w:t>
      </w:r>
      <w:r w:rsidR="009B3826">
        <w:t>,</w:t>
      </w:r>
      <w:r>
        <w:t xml:space="preserve"> common transaction point codes</w:t>
      </w:r>
      <w:r w:rsidR="009B3826">
        <w:t>,</w:t>
      </w:r>
      <w:r>
        <w:t xml:space="preserve"> whether the contract includes negotiated rates</w:t>
      </w:r>
      <w:r w:rsidR="009B3826">
        <w:t>,</w:t>
      </w:r>
      <w:r>
        <w:t xml:space="preserve"> the names of any agents or asset managers that control capacity in a pipeline rate zone</w:t>
      </w:r>
      <w:r w:rsidR="009B3826">
        <w:t>,</w:t>
      </w:r>
      <w:r>
        <w:t xml:space="preserve"> and any affiliate relationship between the pipeline and the holder of capacity</w:t>
      </w:r>
      <w:r w:rsidR="00BF73C2">
        <w:t>.</w:t>
      </w:r>
      <w:r>
        <w:t xml:space="preserve"> </w:t>
      </w:r>
    </w:p>
    <w:p w:rsidR="00E66D62" w:rsidRPr="004065DF" w:rsidP="004065DF" w14:paraId="00CDEE5B" w14:textId="77777777"/>
    <w:p w:rsidR="000F659C" w:rsidRPr="004065DF" w:rsidP="004065DF" w14:paraId="773DC62A" w14:textId="77777777">
      <w:pPr>
        <w:tabs>
          <w:tab w:val="left" w:pos="-1440"/>
        </w:tabs>
        <w:ind w:left="720" w:hanging="720"/>
        <w:rPr>
          <w:b/>
          <w:bCs/>
        </w:rPr>
      </w:pPr>
      <w:r w:rsidRPr="004065DF">
        <w:rPr>
          <w:b/>
          <w:bCs/>
        </w:rPr>
        <w:t>2.</w:t>
      </w:r>
      <w:r w:rsidRPr="004065DF">
        <w:rPr>
          <w:b/>
          <w:bCs/>
        </w:rPr>
        <w:tab/>
        <w:t>HOW, BY WHOM, AND FOR WHAT PURPOSE THE INFORMATION IS TO BE USED AND THE CONSEQUENCES OF NOT COLLECTING THE INFORMATION</w:t>
      </w:r>
    </w:p>
    <w:p w:rsidR="000F659C" w:rsidRPr="004065DF" w:rsidP="004065DF" w14:paraId="17E82070" w14:textId="77777777">
      <w:pPr>
        <w:rPr>
          <w:bCs/>
        </w:rPr>
      </w:pPr>
    </w:p>
    <w:p w:rsidR="004A57E3" w:rsidP="004A57E3" w14:paraId="3F312C59" w14:textId="77777777">
      <w:r>
        <w:t xml:space="preserve">The Commission uses the information </w:t>
      </w:r>
      <w:r w:rsidR="008B4B23">
        <w:t xml:space="preserve">in the three FERC-549B requirements </w:t>
      </w:r>
      <w:r>
        <w:t xml:space="preserve">to analyze </w:t>
      </w:r>
      <w:r w:rsidR="003D679E">
        <w:t xml:space="preserve">pipelines’ </w:t>
      </w:r>
      <w:r>
        <w:t xml:space="preserve">capacity and to ensure that rates for gas capacity are just and reasonable.  </w:t>
      </w:r>
      <w:r w:rsidR="00DE050A">
        <w:t xml:space="preserve">FERC-549B </w:t>
      </w:r>
      <w:r w:rsidR="008B4B23">
        <w:t xml:space="preserve">data </w:t>
      </w:r>
      <w:r w:rsidR="00DE050A">
        <w:t xml:space="preserve">enables </w:t>
      </w:r>
      <w:r>
        <w:t xml:space="preserve">the Commission to monitor marketplace behavior as well as to detect and remedy anti-competitive behavior.   </w:t>
      </w:r>
      <w:r w:rsidR="0009591A">
        <w:t>Natural gas s</w:t>
      </w:r>
      <w:r w:rsidRPr="00A80A95">
        <w:t xml:space="preserve">hippers </w:t>
      </w:r>
      <w:r w:rsidR="0009591A">
        <w:t xml:space="preserve">may also </w:t>
      </w:r>
      <w:r>
        <w:t xml:space="preserve">use </w:t>
      </w:r>
      <w:r w:rsidR="0009591A">
        <w:t xml:space="preserve">FERC-549B </w:t>
      </w:r>
      <w:r w:rsidRPr="00A80A95">
        <w:t xml:space="preserve">information </w:t>
      </w:r>
      <w:r w:rsidR="0009591A">
        <w:t xml:space="preserve">regarding existing and upcoming </w:t>
      </w:r>
      <w:r w:rsidRPr="00A80A95">
        <w:t xml:space="preserve">capacity </w:t>
      </w:r>
      <w:r>
        <w:t xml:space="preserve">in </w:t>
      </w:r>
      <w:r w:rsidRPr="00A80A95">
        <w:t>pipeline corridors</w:t>
      </w:r>
      <w:r w:rsidR="0009591A">
        <w:t xml:space="preserve"> for planning </w:t>
      </w:r>
      <w:r w:rsidR="0009591A">
        <w:t>purpose</w:t>
      </w:r>
      <w:r w:rsidRPr="00A80A95">
        <w:t xml:space="preserve">, especially </w:t>
      </w:r>
      <w:r>
        <w:t xml:space="preserve">data related to the </w:t>
      </w:r>
      <w:r w:rsidRPr="00A80A95">
        <w:t>value</w:t>
      </w:r>
      <w:r>
        <w:t xml:space="preserve"> of capacity</w:t>
      </w:r>
      <w:r w:rsidRPr="00A80A95">
        <w:t xml:space="preserve">.  Shippers </w:t>
      </w:r>
      <w:r>
        <w:t xml:space="preserve">use </w:t>
      </w:r>
      <w:r w:rsidRPr="00A80A95">
        <w:t xml:space="preserve">this information to </w:t>
      </w:r>
      <w:r>
        <w:t>determine where</w:t>
      </w:r>
      <w:r w:rsidR="009B3826">
        <w:t xml:space="preserve"> and when</w:t>
      </w:r>
      <w:r>
        <w:t xml:space="preserve"> capacity is available as well as to </w:t>
      </w:r>
      <w:r w:rsidRPr="00A80A95">
        <w:t xml:space="preserve">make informed decisions about the capacity they may want to purchase.  </w:t>
      </w:r>
    </w:p>
    <w:p w:rsidR="004A57E3" w:rsidP="004A57E3" w14:paraId="5C7F2CFE" w14:textId="77777777"/>
    <w:p w:rsidR="00E03622" w:rsidRPr="005255B4" w:rsidP="004A57E3" w14:paraId="15EE043D" w14:textId="77777777">
      <w:r>
        <w:t xml:space="preserve">Without </w:t>
      </w:r>
      <w:r w:rsidR="006C66DF">
        <w:t xml:space="preserve">the </w:t>
      </w:r>
      <w:r>
        <w:t>data, the Commission would not be able to exercise its statutory responsibility of ensuring that rates are just and reasonable and would not be able to detect market power abuses or business practices that are unduly discriminatory or preferential.</w:t>
      </w:r>
      <w:r w:rsidR="0009591A">
        <w:t xml:space="preserve">  </w:t>
      </w:r>
      <w:r>
        <w:t xml:space="preserve">Without the data, natural gas shippers would not have </w:t>
      </w:r>
      <w:r w:rsidR="0009591A">
        <w:t xml:space="preserve">sufficient </w:t>
      </w:r>
      <w:r>
        <w:t xml:space="preserve">information about potential pipeline capacity alternatives.   </w:t>
      </w:r>
      <w:r w:rsidR="0009591A">
        <w:t>Competition in the e</w:t>
      </w:r>
      <w:r>
        <w:t>nergy market would be negatively affected.  If accurate, timely</w:t>
      </w:r>
      <w:r w:rsidR="0009591A">
        <w:t>,</w:t>
      </w:r>
      <w:r>
        <w:t xml:space="preserve"> and complete capacity information </w:t>
      </w:r>
      <w:r w:rsidR="009B3826">
        <w:t xml:space="preserve">are </w:t>
      </w:r>
      <w:r>
        <w:t xml:space="preserve">not </w:t>
      </w:r>
      <w:r w:rsidR="009B3826">
        <w:t xml:space="preserve">made </w:t>
      </w:r>
      <w:r>
        <w:t xml:space="preserve">available through the </w:t>
      </w:r>
      <w:r w:rsidR="008B3167">
        <w:t>FERC</w:t>
      </w:r>
      <w:r w:rsidR="00617CC0">
        <w:t xml:space="preserve">-549B </w:t>
      </w:r>
      <w:r>
        <w:t>requirements, shippers would not know whether there is pipeline capacity they can use, when that would become available</w:t>
      </w:r>
      <w:r w:rsidR="009B3826">
        <w:t>,</w:t>
      </w:r>
      <w:r>
        <w:t xml:space="preserve"> and under what circumstances or how the cost of the capacity they currently hold compares to other pipeline capacity they may be able to use</w:t>
      </w:r>
      <w:r w:rsidRPr="00DA3BF5" w:rsidR="00662369">
        <w:t>.</w:t>
      </w:r>
    </w:p>
    <w:p w:rsidR="004065DF" w:rsidRPr="004065DF" w:rsidP="004065DF" w14:paraId="67254437" w14:textId="77777777"/>
    <w:p w:rsidR="000F659C" w:rsidRPr="004065DF" w:rsidP="004065DF" w14:paraId="1BB6EAB1" w14:textId="77777777">
      <w:pPr>
        <w:tabs>
          <w:tab w:val="left" w:pos="-1440"/>
        </w:tabs>
        <w:ind w:left="720" w:hanging="720"/>
        <w:rPr>
          <w:b/>
          <w:bCs/>
        </w:rPr>
      </w:pPr>
      <w:r w:rsidRPr="004065DF">
        <w:rPr>
          <w:b/>
          <w:bCs/>
        </w:rPr>
        <w:t>3.</w:t>
      </w:r>
      <w:r w:rsidRPr="004065DF">
        <w:rPr>
          <w:b/>
          <w:bCs/>
        </w:rPr>
        <w:tab/>
        <w:t>DESCRIBE ANY CONSIDERATION OF THE USE OF IMPROVED INFORMATION TECHNOLOGY TO REDUCE BURDEN AND TECHNICAL OR LEGAL OBSTACLES TO REDUCING BURDEN</w:t>
      </w:r>
    </w:p>
    <w:p w:rsidR="00D047D6" w:rsidP="00D047D6" w14:paraId="535653AE" w14:textId="77777777">
      <w:pPr>
        <w:widowControl/>
        <w:rPr>
          <w:sz w:val="26"/>
          <w:szCs w:val="26"/>
        </w:rPr>
      </w:pPr>
    </w:p>
    <w:p w:rsidR="004A57E3" w:rsidP="004A57E3" w14:paraId="31D509B6" w14:textId="77777777">
      <w:r>
        <w:t>When the Commission first required pipeline companies to file capacity information, the internet did not exist.  Instead, natural gas pipelines were required to develop and use Electronic Bulletin Boards (EBBs) to provide shippers with equal and timely access to capacity data.  They were also required</w:t>
      </w:r>
      <w:r w:rsidR="68C08348">
        <w:t xml:space="preserve"> to submit the IOC</w:t>
      </w:r>
      <w:r>
        <w:t xml:space="preserve"> information to the Commission on diskettes, in tab-delimited format.  </w:t>
      </w:r>
      <w:r w:rsidR="7CBDB8A3">
        <w:t>T</w:t>
      </w:r>
      <w:r>
        <w:t>he tab-delimited files were available in the Commission’s Public Reference Room and eLibrary.</w:t>
      </w:r>
    </w:p>
    <w:p w:rsidR="004A57E3" w:rsidP="004A57E3" w14:paraId="54E25A3E" w14:textId="77777777"/>
    <w:p w:rsidR="00662369" w:rsidRPr="00662369" w:rsidP="004A57E3" w14:paraId="0AACCF2C" w14:textId="77777777">
      <w:r>
        <w:t xml:space="preserve">With the availability of the internet, the Commission recognized that </w:t>
      </w:r>
      <w:r>
        <w:t>the majority of</w:t>
      </w:r>
      <w:r>
        <w:t xml:space="preserve"> pipelines could post all the</w:t>
      </w:r>
      <w:r w:rsidR="00030598">
        <w:t xml:space="preserve"> relevant </w:t>
      </w:r>
      <w:r>
        <w:t>information on websites.  The Commission requires natural gas pipelines to use this improved information technology.</w:t>
      </w:r>
      <w:r w:rsidR="00153749">
        <w:t xml:space="preserve">  </w:t>
      </w:r>
      <w:r>
        <w:t xml:space="preserve">It eliminated requirements for the use of electronic bulletin boards and for filing data on diskettes.  The tab delimited </w:t>
      </w:r>
      <w:r w:rsidR="00E41841">
        <w:t>files for the IOC</w:t>
      </w:r>
      <w:r>
        <w:t xml:space="preserve"> are now on the Commission’s website at. </w:t>
      </w:r>
      <w:hyperlink r:id="rId11" w:history="1">
        <w:r w:rsidRPr="00610783" w:rsidR="006A3815">
          <w:rPr>
            <w:rStyle w:val="Hyperlink"/>
          </w:rPr>
          <w:t>https://www.ferc.gov/industries-data/natural-gas/overview/general-information/natural-gas-industry-forms/form-549b-index</w:t>
        </w:r>
      </w:hyperlink>
      <w:r w:rsidR="006A3815">
        <w:t xml:space="preserve">.  </w:t>
      </w:r>
      <w:r>
        <w:t>They are also in FERC’s eLibrary system</w:t>
      </w:r>
      <w:r w:rsidRPr="00662369">
        <w:t>.</w:t>
      </w:r>
    </w:p>
    <w:p w:rsidR="00153749" w:rsidP="00153749" w14:paraId="22948BE0" w14:textId="77777777"/>
    <w:p w:rsidR="000F659C" w:rsidRPr="004065DF" w:rsidP="00153749" w14:paraId="37C6CF64" w14:textId="77777777">
      <w:pPr>
        <w:rPr>
          <w:b/>
          <w:bCs/>
        </w:rPr>
      </w:pPr>
      <w:r w:rsidRPr="004065DF">
        <w:rPr>
          <w:b/>
          <w:bCs/>
        </w:rPr>
        <w:t>4.</w:t>
      </w:r>
      <w:r w:rsidRPr="004065DF">
        <w:rPr>
          <w:b/>
          <w:bCs/>
        </w:rPr>
        <w:tab/>
        <w:t xml:space="preserve">DESCRIBE EFFORTS TO IDENTIFY DUPLICATION AND SHOW SPECIFICALLY WHY ANY SIMILAR INFORMATION ALREADY AVAILABLE CANNOT BE USED OR MODIFIED FOR USE FOR THE PURPOSE(S) DESCRIBED IN INSTRUCTION </w:t>
      </w:r>
      <w:r w:rsidR="00D047D6">
        <w:rPr>
          <w:b/>
          <w:bCs/>
        </w:rPr>
        <w:t xml:space="preserve">NO. </w:t>
      </w:r>
      <w:r w:rsidRPr="004065DF">
        <w:rPr>
          <w:b/>
          <w:bCs/>
        </w:rPr>
        <w:t>2.</w:t>
      </w:r>
    </w:p>
    <w:p w:rsidR="000F659C" w:rsidRPr="004065DF" w:rsidP="004065DF" w14:paraId="610EFFF3" w14:textId="77777777">
      <w:pPr>
        <w:rPr>
          <w:bCs/>
        </w:rPr>
      </w:pPr>
    </w:p>
    <w:p w:rsidR="004C0C50" w:rsidP="00F90E24" w14:paraId="177DF834" w14:textId="77777777">
      <w:pPr>
        <w:tabs>
          <w:tab w:val="left" w:pos="-1440"/>
        </w:tabs>
        <w:rPr>
          <w:bCs/>
        </w:rPr>
      </w:pPr>
      <w:r>
        <w:t>The Commission regularly reviews f</w:t>
      </w:r>
      <w:r w:rsidRPr="00843C1E">
        <w:t>iling requirements</w:t>
      </w:r>
      <w:r>
        <w:t xml:space="preserve"> as part of its OMB renewal process.  The </w:t>
      </w:r>
      <w:r>
        <w:t xml:space="preserve">information </w:t>
      </w:r>
      <w:r>
        <w:t xml:space="preserve">required by </w:t>
      </w:r>
      <w:r w:rsidR="008B3167">
        <w:t>FERC</w:t>
      </w:r>
      <w:r>
        <w:t>-549B</w:t>
      </w:r>
      <w:r>
        <w:t xml:space="preserve"> is not available elsewhere</w:t>
      </w:r>
      <w:r w:rsidRPr="00AA4E18" w:rsidR="00AA4E18">
        <w:rPr>
          <w:bCs/>
        </w:rPr>
        <w:t>.</w:t>
      </w:r>
    </w:p>
    <w:p w:rsidR="00AA4E18" w:rsidP="00F90E24" w14:paraId="56A79E15" w14:textId="77777777">
      <w:pPr>
        <w:tabs>
          <w:tab w:val="left" w:pos="-1440"/>
        </w:tabs>
        <w:rPr>
          <w:bCs/>
        </w:rPr>
      </w:pPr>
      <w:r>
        <w:rPr>
          <w:bCs/>
        </w:rPr>
        <w:t xml:space="preserve"> </w:t>
      </w:r>
    </w:p>
    <w:p w:rsidR="00AA4E18" w:rsidRPr="00AA4E18" w:rsidP="00AA4E18" w14:paraId="7768787F" w14:textId="77777777">
      <w:pPr>
        <w:tabs>
          <w:tab w:val="left" w:pos="-1440"/>
        </w:tabs>
        <w:ind w:left="720" w:hanging="720"/>
        <w:rPr>
          <w:b/>
          <w:bCs/>
        </w:rPr>
      </w:pPr>
      <w:r w:rsidRPr="00AA4E18">
        <w:rPr>
          <w:b/>
          <w:bCs/>
        </w:rPr>
        <w:t>5.</w:t>
      </w:r>
      <w:r>
        <w:rPr>
          <w:bCs/>
        </w:rPr>
        <w:tab/>
      </w:r>
      <w:r w:rsidRPr="00AA4E18">
        <w:rPr>
          <w:b/>
          <w:bCs/>
        </w:rPr>
        <w:t>METHODS USED TO MINIMIZE BURDEN IN COLLECTION OF INFORMATION INVOLVING SMALL ENTITIES</w:t>
      </w:r>
    </w:p>
    <w:p w:rsidR="00AA4E18" w:rsidRPr="00AA4E18" w:rsidP="00AA4E18" w14:paraId="7DE39D6A" w14:textId="77777777">
      <w:pPr>
        <w:tabs>
          <w:tab w:val="left" w:pos="-1440"/>
        </w:tabs>
        <w:rPr>
          <w:b/>
          <w:bCs/>
        </w:rPr>
      </w:pPr>
    </w:p>
    <w:p w:rsidR="00AA4E18" w:rsidRPr="00AA4E18" w:rsidP="00AA4E18" w14:paraId="201AE053" w14:textId="77777777">
      <w:pPr>
        <w:tabs>
          <w:tab w:val="left" w:pos="-1440"/>
        </w:tabs>
        <w:rPr>
          <w:bCs/>
        </w:rPr>
      </w:pPr>
      <w:r>
        <w:t>FERC-549B</w:t>
      </w:r>
      <w:r w:rsidR="004A57E3">
        <w:t xml:space="preserve"> affect</w:t>
      </w:r>
      <w:r>
        <w:t>s</w:t>
      </w:r>
      <w:r w:rsidR="004A57E3">
        <w:t xml:space="preserve"> the day-to-day operations of both major and non-major natural gas pipeline companies.  The Commission minimizes the </w:t>
      </w:r>
      <w:r w:rsidR="008E2D33">
        <w:t xml:space="preserve">burden </w:t>
      </w:r>
      <w:r w:rsidR="004A57E3">
        <w:t xml:space="preserve">by not requiring any capacity </w:t>
      </w:r>
      <w:r w:rsidR="00E45147">
        <w:t xml:space="preserve">or customer </w:t>
      </w:r>
      <w:r w:rsidR="004A57E3">
        <w:t>information respondents wouldn’t already have as a matter of established business practices</w:t>
      </w:r>
      <w:r w:rsidRPr="00AA4E18">
        <w:rPr>
          <w:bCs/>
        </w:rPr>
        <w:t>.</w:t>
      </w:r>
    </w:p>
    <w:p w:rsidR="00AA4E18" w:rsidRPr="00AA4E18" w:rsidP="00F90E24" w14:paraId="421C8A86" w14:textId="77777777">
      <w:pPr>
        <w:tabs>
          <w:tab w:val="left" w:pos="-1440"/>
        </w:tabs>
        <w:rPr>
          <w:bCs/>
        </w:rPr>
      </w:pPr>
    </w:p>
    <w:p w:rsidR="00877019" w:rsidRPr="004065DF" w:rsidP="004065DF" w14:paraId="5BFAFD43" w14:textId="77777777">
      <w:pPr>
        <w:tabs>
          <w:tab w:val="left" w:pos="-1440"/>
        </w:tabs>
        <w:ind w:left="720" w:hanging="720"/>
        <w:rPr>
          <w:b/>
          <w:bCs/>
        </w:rPr>
      </w:pPr>
      <w:r w:rsidRPr="004065DF">
        <w:rPr>
          <w:b/>
          <w:bCs/>
        </w:rPr>
        <w:t>6.</w:t>
      </w:r>
      <w:r w:rsidRPr="004065DF">
        <w:rPr>
          <w:b/>
          <w:bCs/>
        </w:rPr>
        <w:tab/>
        <w:t>CONSEQUENCE TO FEDERAL PROGRAM IF COLLECT</w:t>
      </w:r>
      <w:r w:rsidR="00001779">
        <w:rPr>
          <w:b/>
          <w:bCs/>
        </w:rPr>
        <w:t xml:space="preserve">ION WERE </w:t>
      </w:r>
      <w:r w:rsidRPr="004065DF">
        <w:rPr>
          <w:b/>
          <w:bCs/>
        </w:rPr>
        <w:t>CONDUCTED LESS FREQUENTLY</w:t>
      </w:r>
    </w:p>
    <w:p w:rsidR="000F659C" w:rsidRPr="004065DF" w:rsidP="004065DF" w14:paraId="46D2D13A" w14:textId="77777777">
      <w:pPr>
        <w:rPr>
          <w:bCs/>
        </w:rPr>
      </w:pPr>
    </w:p>
    <w:p w:rsidR="00B93844" w:rsidRPr="00CB10BA" w:rsidP="00CB10BA" w14:paraId="20B16867" w14:textId="77777777">
      <w:r>
        <w:t>The Commission and natural gas shippers would be disadvantaged by not having access to the most current data for competitive and regulatory purposes.</w:t>
      </w:r>
      <w:r>
        <w:t xml:space="preserve">  Additionally, if the Commission did not collect IOC data (i.e. a list of all firm transportation and storage customers), the Commission’s mission under 18 CFR 284 Part G would be undermined due to a lack of essential data for competitive and regulatory purposes.</w:t>
      </w:r>
      <w:r>
        <w:t xml:space="preserve">  Both </w:t>
      </w:r>
      <w:r>
        <w:t xml:space="preserve">the Commission and natural gas shippers </w:t>
      </w:r>
      <w:r>
        <w:t xml:space="preserve">need access to up-to-date information to monitor the self-implementing pipeline transportation </w:t>
      </w:r>
      <w:r>
        <w:t xml:space="preserve">and storage activities that are supposed to be carried out in a nondiscriminatory manner and at </w:t>
      </w:r>
      <w:r>
        <w:t>just and</w:t>
      </w:r>
      <w:r>
        <w:t xml:space="preserve"> reasonable rates</w:t>
      </w:r>
      <w:r w:rsidRPr="00CB10BA" w:rsidR="00CB10BA">
        <w:t>.</w:t>
      </w:r>
    </w:p>
    <w:p w:rsidR="00EF0C33" w:rsidRPr="004065DF" w:rsidP="004065DF" w14:paraId="50FEF216" w14:textId="77777777"/>
    <w:p w:rsidR="000F659C" w:rsidRPr="004065DF" w:rsidP="004065DF" w14:paraId="5F9A1872" w14:textId="77777777">
      <w:pPr>
        <w:tabs>
          <w:tab w:val="left" w:pos="-1440"/>
        </w:tabs>
        <w:ind w:left="720" w:hanging="720"/>
        <w:rPr>
          <w:b/>
          <w:bCs/>
        </w:rPr>
      </w:pPr>
      <w:r w:rsidRPr="004065DF">
        <w:rPr>
          <w:b/>
          <w:bCs/>
        </w:rPr>
        <w:t>7.</w:t>
      </w:r>
      <w:r w:rsidRPr="004065DF">
        <w:rPr>
          <w:b/>
          <w:bCs/>
        </w:rPr>
        <w:tab/>
        <w:t>EXPLAIN ANY SPECIAL CIRCUMSTANCES RELATING TO THE INFORMATION COLLECTION</w:t>
      </w:r>
    </w:p>
    <w:p w:rsidR="000F659C" w:rsidRPr="004065DF" w:rsidP="004065DF" w14:paraId="35A8C12E" w14:textId="77777777">
      <w:pPr>
        <w:rPr>
          <w:bCs/>
        </w:rPr>
      </w:pPr>
    </w:p>
    <w:p w:rsidR="00E66D62" w:rsidP="004065DF" w14:paraId="2607CD8A" w14:textId="77777777">
      <w:pPr>
        <w:tabs>
          <w:tab w:val="left" w:pos="-1440"/>
        </w:tabs>
        <w:ind w:left="720" w:hanging="720"/>
      </w:pPr>
      <w:r w:rsidRPr="00FD796F">
        <w:t>There are no special circumstances related to the information collection.</w:t>
      </w:r>
    </w:p>
    <w:p w:rsidR="00FD796F" w:rsidRPr="004065DF" w:rsidP="004065DF" w14:paraId="1464FA15" w14:textId="77777777">
      <w:pPr>
        <w:tabs>
          <w:tab w:val="left" w:pos="-1440"/>
        </w:tabs>
        <w:ind w:left="720" w:hanging="720"/>
        <w:rPr>
          <w:bCs/>
        </w:rPr>
      </w:pPr>
    </w:p>
    <w:p w:rsidR="00D8257A" w:rsidRPr="004065DF" w:rsidP="004065DF" w14:paraId="00DAAE08" w14:textId="77777777">
      <w:pPr>
        <w:tabs>
          <w:tab w:val="left" w:pos="-1440"/>
        </w:tabs>
        <w:ind w:left="720" w:hanging="720"/>
        <w:rPr>
          <w:b/>
          <w:bCs/>
        </w:rPr>
      </w:pPr>
      <w:r w:rsidRPr="004065DF">
        <w:rPr>
          <w:b/>
          <w:bCs/>
        </w:rPr>
        <w:t>8.</w:t>
      </w:r>
      <w:r w:rsidRPr="004065DF">
        <w:rPr>
          <w:b/>
          <w:bCs/>
        </w:rPr>
        <w:tab/>
        <w:t>DESCRIBE EFFORTS TO CONSULT OUTSIDE THE AGENCY: SUMMARIZE PUBLIC COMMENTS AND THE AGENCY'S RESPONSE TO THESE COMMENTS</w:t>
      </w:r>
    </w:p>
    <w:p w:rsidR="00D8257A" w:rsidRPr="004065DF" w:rsidP="004065DF" w14:paraId="6053176F" w14:textId="77777777"/>
    <w:p w:rsidR="00951473" w14:paraId="1BE7551A" w14:textId="020795AB">
      <w:r>
        <w:t xml:space="preserve">On </w:t>
      </w:r>
      <w:r w:rsidR="78C4F670">
        <w:t xml:space="preserve">February </w:t>
      </w:r>
      <w:r w:rsidR="7EC4A551">
        <w:t>11</w:t>
      </w:r>
      <w:r w:rsidR="78C4F670">
        <w:t>,</w:t>
      </w:r>
      <w:r w:rsidR="000F5484">
        <w:t xml:space="preserve"> 202</w:t>
      </w:r>
      <w:r w:rsidR="0E5826BB">
        <w:t>6</w:t>
      </w:r>
      <w:r w:rsidR="0030585F">
        <w:t xml:space="preserve">, the </w:t>
      </w:r>
      <w:r w:rsidR="00DC1AC9">
        <w:t xml:space="preserve">Commission published a notice </w:t>
      </w:r>
      <w:r>
        <w:t xml:space="preserve">in the Federal Register </w:t>
      </w:r>
      <w:r w:rsidR="009B75A1">
        <w:t xml:space="preserve">stating that it is requesting a </w:t>
      </w:r>
      <w:r w:rsidR="1E5858AD">
        <w:t xml:space="preserve">reinstatement of the </w:t>
      </w:r>
      <w:r w:rsidR="00BF738A">
        <w:t>FERC-549B</w:t>
      </w:r>
      <w:r w:rsidR="1E5858AD">
        <w:t xml:space="preserve"> </w:t>
      </w:r>
      <w:r w:rsidR="00BF738A">
        <w:t xml:space="preserve">information collection </w:t>
      </w:r>
      <w:r w:rsidR="009B75A1">
        <w:t xml:space="preserve">and </w:t>
      </w:r>
      <w:r>
        <w:t>invit</w:t>
      </w:r>
      <w:r w:rsidR="14946EA0">
        <w:t>ed</w:t>
      </w:r>
      <w:r>
        <w:t xml:space="preserve"> public comment</w:t>
      </w:r>
      <w:r w:rsidR="004A4D39">
        <w:t xml:space="preserve"> for 60 days</w:t>
      </w:r>
      <w:r w:rsidR="0030585F">
        <w:t xml:space="preserve"> (</w:t>
      </w:r>
      <w:r w:rsidR="3250DCA8">
        <w:t>91</w:t>
      </w:r>
      <w:r w:rsidR="0030585F">
        <w:t xml:space="preserve"> FR</w:t>
      </w:r>
      <w:r w:rsidR="2EC8BBA4">
        <w:t xml:space="preserve"> 6208</w:t>
      </w:r>
      <w:r w:rsidR="0030585F">
        <w:t>)</w:t>
      </w:r>
      <w:r>
        <w:t>.</w:t>
      </w:r>
      <w:r w:rsidR="006F30DD">
        <w:t xml:space="preserve"> </w:t>
      </w:r>
      <w:r w:rsidR="009B75A1">
        <w:t xml:space="preserve">On </w:t>
      </w:r>
      <w:r w:rsidR="37B5483E">
        <w:t>March</w:t>
      </w:r>
      <w:r w:rsidR="00EA746C">
        <w:t xml:space="preserve"> </w:t>
      </w:r>
      <w:r w:rsidR="79803890">
        <w:t>12</w:t>
      </w:r>
      <w:r w:rsidR="0042160C">
        <w:t>, 202</w:t>
      </w:r>
      <w:r w:rsidR="125AE8B3">
        <w:t>6</w:t>
      </w:r>
      <w:r w:rsidR="0042160C">
        <w:t>,</w:t>
      </w:r>
      <w:r w:rsidR="008E1741">
        <w:t xml:space="preserve"> </w:t>
      </w:r>
      <w:r w:rsidR="009B75A1">
        <w:t xml:space="preserve">the Commission </w:t>
      </w:r>
      <w:r w:rsidR="00F70014">
        <w:t xml:space="preserve">published a notice in the </w:t>
      </w:r>
      <w:r w:rsidR="00EA746C">
        <w:t xml:space="preserve">Federal Register </w:t>
      </w:r>
      <w:r w:rsidR="006A3576">
        <w:t>announcing</w:t>
      </w:r>
      <w:r w:rsidR="005977D7">
        <w:t xml:space="preserve"> its </w:t>
      </w:r>
      <w:r w:rsidR="009B75A1">
        <w:t xml:space="preserve">submission of its </w:t>
      </w:r>
      <w:r w:rsidR="00884FFD">
        <w:t xml:space="preserve">reinstatement </w:t>
      </w:r>
      <w:r w:rsidR="009B75A1">
        <w:t xml:space="preserve">request to </w:t>
      </w:r>
      <w:r w:rsidR="00F24945">
        <w:t>OMB and</w:t>
      </w:r>
      <w:r w:rsidR="009B75A1">
        <w:t xml:space="preserve"> asking that public comment be sent </w:t>
      </w:r>
      <w:r w:rsidR="00FF79FD">
        <w:t xml:space="preserve">within 30 days </w:t>
      </w:r>
      <w:r w:rsidR="009B75A1">
        <w:t>to OMB with copies to the Commission</w:t>
      </w:r>
      <w:r w:rsidR="005977D7">
        <w:t xml:space="preserve"> (</w:t>
      </w:r>
      <w:r w:rsidR="54C12FFB">
        <w:t>91 FR 12187</w:t>
      </w:r>
      <w:r w:rsidR="005977D7">
        <w:t>)</w:t>
      </w:r>
      <w:r w:rsidR="009B75A1">
        <w:t>.</w:t>
      </w:r>
      <w:r w:rsidR="00C00DFC">
        <w:t xml:space="preserve"> </w:t>
      </w:r>
      <w:r w:rsidRPr="0033478C" w:rsidR="0033478C">
        <w:t>The Commission received one comment from </w:t>
      </w:r>
      <w:r w:rsidR="00C80785">
        <w:t>the American Gas Association (AGA)</w:t>
      </w:r>
      <w:r w:rsidRPr="0033478C" w:rsidR="0033478C">
        <w:t> regarding </w:t>
      </w:r>
      <w:r w:rsidR="00ED5628">
        <w:t>the FERC- 549B information collection</w:t>
      </w:r>
      <w:r w:rsidR="00167240">
        <w:t xml:space="preserve">.  </w:t>
      </w:r>
    </w:p>
    <w:p w:rsidR="00951473" w14:paraId="44D8E280" w14:textId="77777777"/>
    <w:p w:rsidR="00DC7C8B" w14:paraId="2856200E" w14:textId="4F76221D">
      <w:r>
        <w:t xml:space="preserve">AGA </w:t>
      </w:r>
      <w:r w:rsidR="00236C8C">
        <w:t xml:space="preserve">filed comments in support </w:t>
      </w:r>
      <w:r w:rsidR="00C949BB">
        <w:t xml:space="preserve">of </w:t>
      </w:r>
      <w:r w:rsidR="73C848CE">
        <w:t xml:space="preserve">the </w:t>
      </w:r>
      <w:r w:rsidR="00C949BB">
        <w:t>FERC- 549B information collection</w:t>
      </w:r>
      <w:r w:rsidR="006F6E96">
        <w:t xml:space="preserve"> and </w:t>
      </w:r>
      <w:r w:rsidRPr="00DC7C8B">
        <w:t xml:space="preserve">recommends that </w:t>
      </w:r>
      <w:r>
        <w:t xml:space="preserve">the Commission </w:t>
      </w:r>
      <w:r w:rsidRPr="00DC7C8B">
        <w:t xml:space="preserve">consider </w:t>
      </w:r>
      <w:r>
        <w:t>“</w:t>
      </w:r>
      <w:r w:rsidRPr="00DC7C8B">
        <w:t>improvements to the information collection activities that would increase the effectiveness, functionality and provide further transparency for the Commission and shippers.</w:t>
      </w:r>
      <w:r>
        <w:t xml:space="preserve">” </w:t>
      </w:r>
      <w:r w:rsidRPr="00DC7C8B">
        <w:t xml:space="preserve">Specifically, </w:t>
      </w:r>
      <w:r>
        <w:t xml:space="preserve">AGA states that </w:t>
      </w:r>
      <w:r w:rsidRPr="00DC7C8B">
        <w:t>the Commission should consider the following matters:</w:t>
      </w:r>
    </w:p>
    <w:p w:rsidR="330B31EE" w14:paraId="2AC9093D" w14:textId="69F07697"/>
    <w:p w:rsidR="00EF3663" w:rsidRPr="00EF3663" w:rsidP="00EF3663" w14:paraId="14C4B297" w14:textId="6C1F8CC5">
      <w:pPr>
        <w:widowControl/>
        <w:numPr>
          <w:ilvl w:val="0"/>
          <w:numId w:val="1"/>
        </w:numPr>
        <w:rPr>
          <w:color w:val="000000"/>
          <w:sz w:val="23"/>
          <w:szCs w:val="23"/>
        </w:rPr>
      </w:pPr>
      <w:r w:rsidRPr="76F51616">
        <w:t xml:space="preserve">Index of Customers – </w:t>
      </w:r>
      <w:r w:rsidR="00764763">
        <w:t>AGA states that the Commission should con</w:t>
      </w:r>
      <w:r w:rsidR="00E36F4F">
        <w:t xml:space="preserve">sider </w:t>
      </w:r>
      <w:r w:rsidR="00162248">
        <w:t>r</w:t>
      </w:r>
      <w:r w:rsidRPr="76F51616">
        <w:t>equir</w:t>
      </w:r>
      <w:r w:rsidR="00162248">
        <w:t>ing pipelines</w:t>
      </w:r>
      <w:r w:rsidRPr="76F51616">
        <w:t xml:space="preserve"> </w:t>
      </w:r>
      <w:r w:rsidR="00290769">
        <w:t>post the Index of Customers</w:t>
      </w:r>
      <w:r w:rsidR="001D4DEB">
        <w:t xml:space="preserve"> data in </w:t>
      </w:r>
      <w:r w:rsidRPr="76F51616">
        <w:t>a consistent and easy to use format</w:t>
      </w:r>
      <w:r w:rsidR="00A67A94">
        <w:t>, such as in a Microsoft Excel spreadsheet</w:t>
      </w:r>
      <w:r w:rsidR="003D61B9">
        <w:t xml:space="preserve">. Additionally, </w:t>
      </w:r>
      <w:r w:rsidR="007D2AC7">
        <w:t xml:space="preserve">AGA </w:t>
      </w:r>
      <w:r w:rsidR="00182E77">
        <w:t xml:space="preserve">states that </w:t>
      </w:r>
      <w:r w:rsidR="007D2AC7">
        <w:t xml:space="preserve">the Commission </w:t>
      </w:r>
      <w:r w:rsidRPr="003D61B9" w:rsidR="003D61B9">
        <w:t xml:space="preserve">should consider requiring pipelines to identify contracts for incremental service in the Index of Customers, </w:t>
      </w:r>
      <w:r w:rsidRPr="003D61B9" w:rsidR="003D61B9">
        <w:t>similar to</w:t>
      </w:r>
      <w:r w:rsidRPr="003D61B9" w:rsidR="003D61B9">
        <w:t xml:space="preserve"> the existing identification of negotiated rates in the Index of Customers</w:t>
      </w:r>
      <w:r w:rsidR="00182E77">
        <w:t xml:space="preserve">. </w:t>
      </w:r>
      <w:r w:rsidRPr="00182E77" w:rsidR="00FE2A85">
        <w:rPr>
          <w:color w:val="000000"/>
          <w:sz w:val="23"/>
          <w:szCs w:val="23"/>
        </w:rPr>
        <w:t xml:space="preserve"> </w:t>
      </w:r>
    </w:p>
    <w:p w:rsidR="00FE2A85" w:rsidP="009F083E" w14:paraId="372915A9" w14:textId="77777777">
      <w:pPr>
        <w:ind w:left="720"/>
      </w:pPr>
    </w:p>
    <w:p w:rsidR="00155FD2" w:rsidRPr="00155FD2" w:rsidP="004E5F6E" w14:paraId="599B06DD" w14:textId="6B64C0EE">
      <w:pPr>
        <w:numPr>
          <w:ilvl w:val="0"/>
          <w:numId w:val="1"/>
        </w:numPr>
      </w:pPr>
      <w:r w:rsidRPr="76F51616">
        <w:t xml:space="preserve">Operational Flow Orders – </w:t>
      </w:r>
      <w:r w:rsidR="00AC5075">
        <w:t>AGA states that the Commission should r</w:t>
      </w:r>
      <w:r w:rsidRPr="76F51616">
        <w:t xml:space="preserve">equire </w:t>
      </w:r>
      <w:r>
        <w:t>pipelines to post reports on system constraints, (i.e., Operational Flow Orders (OFOs)</w:t>
      </w:r>
      <w:r w:rsidR="001E67B1">
        <w:t>)</w:t>
      </w:r>
      <w:r>
        <w:t xml:space="preserve"> </w:t>
      </w:r>
      <w:r w:rsidRPr="76F51616">
        <w:t>the reports to be posted for longer than 90 days</w:t>
      </w:r>
      <w:r w:rsidR="004E5F6E">
        <w:t xml:space="preserve">.  </w:t>
      </w:r>
    </w:p>
    <w:p w:rsidR="00AA4743" w:rsidRPr="00AA4743" w:rsidP="00AA4743" w14:paraId="66C71FAE" w14:textId="77777777">
      <w:pPr>
        <w:pStyle w:val="Default"/>
        <w:rPr>
          <w:rFonts w:ascii="Times New Roman" w:hAnsi="Times New Roman" w:cs="Times New Roman"/>
        </w:rPr>
      </w:pPr>
    </w:p>
    <w:p w:rsidR="00AA4743" w:rsidRPr="00AA4743" w:rsidP="00AA4743" w14:paraId="00174AA7" w14:textId="0DF6CC9C">
      <w:pPr>
        <w:widowControl/>
        <w:numPr>
          <w:ilvl w:val="0"/>
          <w:numId w:val="1"/>
        </w:numPr>
        <w:rPr>
          <w:color w:val="000000"/>
          <w:sz w:val="23"/>
          <w:szCs w:val="23"/>
        </w:rPr>
      </w:pPr>
      <w:r w:rsidRPr="009F083E">
        <w:rPr>
          <w:color w:val="000000"/>
          <w:sz w:val="23"/>
          <w:szCs w:val="23"/>
        </w:rPr>
        <w:t>Standardized Disclosures</w:t>
      </w:r>
      <w:r w:rsidRPr="00AA4743">
        <w:rPr>
          <w:b/>
          <w:bCs/>
          <w:color w:val="000000"/>
          <w:sz w:val="23"/>
          <w:szCs w:val="23"/>
        </w:rPr>
        <w:t xml:space="preserve"> </w:t>
      </w:r>
      <w:r>
        <w:rPr>
          <w:color w:val="000000"/>
          <w:sz w:val="23"/>
          <w:szCs w:val="23"/>
        </w:rPr>
        <w:t>–</w:t>
      </w:r>
      <w:r w:rsidRPr="00AA4743">
        <w:rPr>
          <w:color w:val="000000"/>
          <w:sz w:val="23"/>
          <w:szCs w:val="23"/>
        </w:rPr>
        <w:t xml:space="preserve"> </w:t>
      </w:r>
      <w:r>
        <w:rPr>
          <w:color w:val="000000"/>
          <w:sz w:val="23"/>
          <w:szCs w:val="23"/>
        </w:rPr>
        <w:t xml:space="preserve">AGA states that the Commission should </w:t>
      </w:r>
      <w:r w:rsidRPr="00AA4743">
        <w:rPr>
          <w:color w:val="000000"/>
          <w:sz w:val="23"/>
          <w:szCs w:val="23"/>
        </w:rPr>
        <w:t xml:space="preserve">encourage the use of a standardized disclosure template across pipelines. </w:t>
      </w:r>
      <w:r w:rsidR="00F504C7">
        <w:rPr>
          <w:color w:val="000000"/>
          <w:sz w:val="23"/>
          <w:szCs w:val="23"/>
        </w:rPr>
        <w:t>AGA contends that “p</w:t>
      </w:r>
      <w:r w:rsidRPr="00AA4743">
        <w:rPr>
          <w:color w:val="000000"/>
          <w:sz w:val="23"/>
          <w:szCs w:val="23"/>
        </w:rPr>
        <w:t>ipelines do not post this information in a consistent format</w:t>
      </w:r>
      <w:r w:rsidR="00924BE5">
        <w:rPr>
          <w:color w:val="000000"/>
          <w:sz w:val="23"/>
          <w:szCs w:val="23"/>
        </w:rPr>
        <w:t xml:space="preserve">. . . </w:t>
      </w:r>
      <w:r w:rsidRPr="00AA4743">
        <w:rPr>
          <w:color w:val="000000"/>
          <w:sz w:val="23"/>
          <w:szCs w:val="23"/>
        </w:rPr>
        <w:t>which can limit accessibility, compatibility, and overall utility of the data for shippers.</w:t>
      </w:r>
      <w:r w:rsidR="00F504C7">
        <w:rPr>
          <w:color w:val="000000"/>
          <w:sz w:val="23"/>
          <w:szCs w:val="23"/>
        </w:rPr>
        <w:t>”</w:t>
      </w:r>
      <w:r w:rsidRPr="00AA4743">
        <w:rPr>
          <w:color w:val="000000"/>
          <w:sz w:val="23"/>
          <w:szCs w:val="23"/>
        </w:rPr>
        <w:t xml:space="preserve"> </w:t>
      </w:r>
    </w:p>
    <w:p w:rsidR="005A4FC3" w:rsidP="005A4FC3" w14:paraId="2A114BB9" w14:textId="77777777">
      <w:pPr>
        <w:rPr>
          <w:b/>
          <w:bCs/>
        </w:rPr>
      </w:pPr>
    </w:p>
    <w:p w:rsidR="5DB9FFB8" w:rsidRPr="005A4FC3" w:rsidP="009F083E" w14:paraId="46A2B0D3" w14:textId="0EBEF153">
      <w:pPr>
        <w:widowControl/>
        <w:autoSpaceDE/>
        <w:autoSpaceDN/>
        <w:adjustRightInd/>
      </w:pPr>
      <w:r w:rsidRPr="009F083E">
        <w:t xml:space="preserve">The requirements for </w:t>
      </w:r>
      <w:r w:rsidR="00880989">
        <w:t xml:space="preserve">FERC- 549B </w:t>
      </w:r>
      <w:r w:rsidRPr="009F083E">
        <w:t xml:space="preserve">are governed by </w:t>
      </w:r>
      <w:r w:rsidR="009D3D5B">
        <w:t>1</w:t>
      </w:r>
      <w:r w:rsidRPr="00902C90" w:rsidR="00317826">
        <w:t>8 C.F.R. § 284.13(b)-(c) and 18 C.F.R. § 284.13(d)(</w:t>
      </w:r>
      <w:r w:rsidRPr="00902C90" w:rsidR="00317826">
        <w:t>1)-(</w:t>
      </w:r>
      <w:r w:rsidRPr="00902C90" w:rsidR="00317826">
        <w:t>d)(2)</w:t>
      </w:r>
      <w:r w:rsidRPr="009F083E">
        <w:t xml:space="preserve">, which include the frequency, content, scope, and availability of the </w:t>
      </w:r>
      <w:r w:rsidRPr="009F083E">
        <w:t xml:space="preserve">collections. </w:t>
      </w:r>
      <w:r w:rsidR="009D3D5B">
        <w:t xml:space="preserve">AGA’s </w:t>
      </w:r>
      <w:r w:rsidRPr="009F083E">
        <w:t>comment address</w:t>
      </w:r>
      <w:r w:rsidR="004D5FF7">
        <w:t>es</w:t>
      </w:r>
      <w:r w:rsidRPr="009F083E">
        <w:t xml:space="preserve"> topics that are defined in those regulations and policy statement</w:t>
      </w:r>
      <w:r w:rsidR="0080301C">
        <w:t>s</w:t>
      </w:r>
      <w:r w:rsidRPr="009F083E">
        <w:t xml:space="preserve"> and so are outside of the scope of this Information Collections </w:t>
      </w:r>
      <w:r w:rsidR="00DA5815">
        <w:t>reinstatement</w:t>
      </w:r>
      <w:r w:rsidRPr="009F083E">
        <w:t xml:space="preserve"> process. FERC is not currently considering changes to these regulations. Therefore, the Commission does not propose any changes to the currently approved </w:t>
      </w:r>
      <w:r w:rsidR="00880989">
        <w:t xml:space="preserve">FERC- 549B information collection </w:t>
      </w:r>
      <w:r w:rsidRPr="009F083E">
        <w:t>at this time</w:t>
      </w:r>
      <w:r w:rsidRPr="009F083E">
        <w:t>.</w:t>
      </w:r>
    </w:p>
    <w:p w:rsidR="76F51616" w14:paraId="5103E102" w14:textId="1A14CE82"/>
    <w:p w:rsidR="00D8257A" w:rsidRPr="004065DF" w:rsidP="004065DF" w14:paraId="0E02C2CE" w14:textId="77777777">
      <w:pPr>
        <w:tabs>
          <w:tab w:val="left" w:pos="-1440"/>
        </w:tabs>
        <w:ind w:left="720" w:hanging="720"/>
        <w:rPr>
          <w:b/>
          <w:bCs/>
        </w:rPr>
      </w:pPr>
      <w:r w:rsidRPr="004065DF">
        <w:rPr>
          <w:b/>
          <w:bCs/>
        </w:rPr>
        <w:t>9.</w:t>
      </w:r>
      <w:r w:rsidRPr="004065DF">
        <w:rPr>
          <w:b/>
          <w:bCs/>
        </w:rPr>
        <w:tab/>
        <w:t>EXPLAIN ANY PAYMENT OR GIFTS TO RESPONDENTS</w:t>
      </w:r>
    </w:p>
    <w:p w:rsidR="00D8257A" w:rsidRPr="004065DF" w:rsidP="004065DF" w14:paraId="1AF804F9" w14:textId="77777777">
      <w:pPr>
        <w:rPr>
          <w:bCs/>
        </w:rPr>
      </w:pPr>
    </w:p>
    <w:p w:rsidR="00D8257A" w:rsidRPr="004065DF" w:rsidP="004065DF" w14:paraId="37E37769" w14:textId="77777777">
      <w:r>
        <w:t xml:space="preserve">There are no payments or gifts to respondents in </w:t>
      </w:r>
      <w:r w:rsidR="00E56173">
        <w:t xml:space="preserve">the </w:t>
      </w:r>
      <w:r w:rsidR="008B3167">
        <w:t>FERC</w:t>
      </w:r>
      <w:r w:rsidR="0009591A">
        <w:t>-</w:t>
      </w:r>
      <w:r w:rsidR="008B3167">
        <w:t>549B</w:t>
      </w:r>
      <w:r w:rsidR="00E56173">
        <w:t xml:space="preserve"> requirements.</w:t>
      </w:r>
    </w:p>
    <w:p w:rsidR="00E66D62" w:rsidRPr="004065DF" w:rsidP="004065DF" w14:paraId="2C68BE67" w14:textId="77777777"/>
    <w:p w:rsidR="00D8257A" w:rsidRPr="004065DF" w:rsidP="004065DF" w14:paraId="495D454B" w14:textId="77777777">
      <w:pPr>
        <w:tabs>
          <w:tab w:val="left" w:pos="-1440"/>
        </w:tabs>
        <w:ind w:left="720" w:hanging="720"/>
        <w:rPr>
          <w:b/>
          <w:bCs/>
        </w:rPr>
      </w:pPr>
      <w:r w:rsidRPr="004065DF">
        <w:rPr>
          <w:b/>
          <w:bCs/>
        </w:rPr>
        <w:t>10.</w:t>
      </w:r>
      <w:r w:rsidRPr="004065DF">
        <w:rPr>
          <w:b/>
          <w:bCs/>
        </w:rPr>
        <w:tab/>
        <w:t>DESCRIBE ANY ASSURANCE OF CONFIDENTIALITY PROVIDED TO RESPONDENTS</w:t>
      </w:r>
    </w:p>
    <w:p w:rsidR="00D8257A" w:rsidRPr="004065DF" w:rsidP="004065DF" w14:paraId="1A3819DA" w14:textId="77777777">
      <w:pPr>
        <w:rPr>
          <w:bCs/>
        </w:rPr>
      </w:pPr>
    </w:p>
    <w:p w:rsidR="00E66D62" w:rsidP="004065DF" w14:paraId="75447E3C" w14:textId="77777777">
      <w:r w:rsidRPr="006601E3">
        <w:t xml:space="preserve">All data </w:t>
      </w:r>
      <w:r>
        <w:t>are</w:t>
      </w:r>
      <w:r>
        <w:t xml:space="preserve"> public information</w:t>
      </w:r>
      <w:r w:rsidRPr="006601E3">
        <w:t xml:space="preserve"> and</w:t>
      </w:r>
      <w:r>
        <w:t>,</w:t>
      </w:r>
      <w:r w:rsidRPr="006601E3">
        <w:t xml:space="preserve"> therefore</w:t>
      </w:r>
      <w:r>
        <w:t>,</w:t>
      </w:r>
      <w:r w:rsidRPr="006601E3">
        <w:t xml:space="preserve"> not </w:t>
      </w:r>
      <w:r>
        <w:t>confidential.  A filer</w:t>
      </w:r>
      <w:r w:rsidRPr="006601E3">
        <w:t xml:space="preserve"> ma</w:t>
      </w:r>
      <w:r>
        <w:t xml:space="preserve">y request (as allowed under the </w:t>
      </w:r>
      <w:r w:rsidRPr="006601E3">
        <w:t>Commission’s r</w:t>
      </w:r>
      <w:r>
        <w:t xml:space="preserve">egulations at 18 CFR 388.112) confidential treatment of some or </w:t>
      </w:r>
      <w:r>
        <w:t>all of</w:t>
      </w:r>
      <w:r>
        <w:t xml:space="preserve"> a </w:t>
      </w:r>
      <w:r w:rsidR="008B3167">
        <w:t>FERC</w:t>
      </w:r>
      <w:r w:rsidR="0009591A">
        <w:t>-</w:t>
      </w:r>
      <w:r w:rsidR="008B3167">
        <w:t>549B</w:t>
      </w:r>
      <w:r w:rsidRPr="006601E3">
        <w:t xml:space="preserve"> filing.  </w:t>
      </w:r>
      <w:r>
        <w:t xml:space="preserve"> </w:t>
      </w:r>
      <w:r w:rsidRPr="006601E3">
        <w:t>Each request for confidential treatment will be reviewed on a case-by-case basis</w:t>
      </w:r>
      <w:r w:rsidRPr="00DC1AC9" w:rsidR="00DC1AC9">
        <w:t>.</w:t>
      </w:r>
    </w:p>
    <w:p w:rsidR="00DC1AC9" w:rsidRPr="004065DF" w:rsidP="004065DF" w14:paraId="5FABACEB" w14:textId="77777777"/>
    <w:p w:rsidR="00D8257A" w:rsidRPr="004065DF" w:rsidP="004065DF" w14:paraId="5815AD94" w14:textId="77777777">
      <w:pPr>
        <w:tabs>
          <w:tab w:val="left" w:pos="-1440"/>
        </w:tabs>
        <w:ind w:left="720" w:hanging="720"/>
        <w:rPr>
          <w:b/>
          <w:bCs/>
        </w:rPr>
      </w:pPr>
      <w:r w:rsidRPr="004065DF">
        <w:rPr>
          <w:b/>
          <w:bCs/>
        </w:rPr>
        <w:t>11.</w:t>
      </w:r>
      <w:r w:rsidRPr="004065DF">
        <w:rPr>
          <w:b/>
          <w:bCs/>
        </w:rPr>
        <w:tab/>
      </w:r>
      <w:r w:rsidR="00DC1AC9">
        <w:rPr>
          <w:b/>
          <w:bCs/>
          <w:sz w:val="26"/>
          <w:szCs w:val="26"/>
        </w:rPr>
        <w:t>PROVIDE ADDITIONAL JUSTIFICATION FOR ANY QUESTIONS OF A SENSITIVE NATURE, SUCH AS SEXUAL BEHAVIOR AND ATTITUDES, RELIGIOUS BELIEFS, AND OTHER MATTERS THAT ARE COMMONLY CONSIDERED PRIVATE.</w:t>
      </w:r>
    </w:p>
    <w:p w:rsidR="00D8257A" w:rsidRPr="004065DF" w:rsidP="004065DF" w14:paraId="52B0EA6B" w14:textId="77777777">
      <w:pPr>
        <w:rPr>
          <w:b/>
          <w:bCs/>
        </w:rPr>
      </w:pPr>
    </w:p>
    <w:p w:rsidR="00530CA3" w:rsidP="004065DF" w14:paraId="681DFB09" w14:textId="77777777">
      <w:r w:rsidRPr="004065DF">
        <w:t xml:space="preserve">There are no questions of a sensitive nature </w:t>
      </w:r>
      <w:r w:rsidR="00017F39">
        <w:t>ass</w:t>
      </w:r>
      <w:r w:rsidR="00987B6A">
        <w:t xml:space="preserve">ociated with the </w:t>
      </w:r>
      <w:r w:rsidR="00017F39">
        <w:t>reporting requirements</w:t>
      </w:r>
      <w:r w:rsidRPr="004065DF">
        <w:t>.</w:t>
      </w:r>
    </w:p>
    <w:p w:rsidR="00D8257A" w:rsidRPr="00DC7163" w:rsidP="00DC7163" w14:paraId="61348540" w14:textId="77777777"/>
    <w:p w:rsidR="00D8257A" w:rsidRPr="004065DF" w:rsidP="004065DF" w14:paraId="36E8C131" w14:textId="77777777">
      <w:pPr>
        <w:tabs>
          <w:tab w:val="left" w:pos="-1440"/>
        </w:tabs>
        <w:ind w:left="720" w:hanging="720"/>
        <w:rPr>
          <w:b/>
          <w:bCs/>
        </w:rPr>
      </w:pPr>
      <w:r w:rsidRPr="004065DF">
        <w:rPr>
          <w:b/>
          <w:bCs/>
        </w:rPr>
        <w:t>12.</w:t>
      </w:r>
      <w:r w:rsidRPr="004065DF">
        <w:rPr>
          <w:b/>
          <w:bCs/>
        </w:rPr>
        <w:tab/>
        <w:t>ESTIMATED BURDEN OF COLLECTION OF INFORMATION</w:t>
      </w:r>
    </w:p>
    <w:p w:rsidR="00D8257A" w:rsidRPr="004065DF" w:rsidP="004065DF" w14:paraId="1A483F95" w14:textId="77777777">
      <w:pPr>
        <w:rPr>
          <w:bCs/>
        </w:rPr>
      </w:pPr>
    </w:p>
    <w:p w:rsidR="0029150C" w:rsidRPr="0029150C" w:rsidP="0029150C" w14:paraId="65628AD3" w14:textId="77777777">
      <w:r w:rsidRPr="0029150C">
        <w:t>The Commission estimates the annual public reporting burden</w:t>
      </w:r>
      <w:r>
        <w:rPr>
          <w:b/>
          <w:vertAlign w:val="superscript"/>
        </w:rPr>
        <w:footnoteReference w:id="4"/>
      </w:r>
      <w:r w:rsidRPr="0029150C">
        <w:t xml:space="preserve"> and cost</w:t>
      </w:r>
      <w:r>
        <w:rPr>
          <w:b/>
          <w:vertAlign w:val="superscript"/>
        </w:rPr>
        <w:footnoteReference w:id="5"/>
      </w:r>
      <w:r w:rsidRPr="0029150C">
        <w:t xml:space="preserve"> for FERC-549B as shown in the following table:</w:t>
      </w: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60"/>
        <w:gridCol w:w="1495"/>
        <w:gridCol w:w="1495"/>
        <w:gridCol w:w="1409"/>
        <w:gridCol w:w="1310"/>
        <w:gridCol w:w="1316"/>
        <w:gridCol w:w="1234"/>
      </w:tblGrid>
      <w:tr w14:paraId="692BADD5" w14:textId="77777777" w:rsidTr="00B647C3">
        <w:tblPrEx>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Pr>
        <w:tc>
          <w:tcPr>
            <w:tcW w:w="5000" w:type="pct"/>
            <w:gridSpan w:val="7"/>
            <w:tcBorders>
              <w:bottom w:val="single" w:sz="4" w:space="0" w:color="auto"/>
            </w:tcBorders>
            <w:shd w:val="clear" w:color="auto" w:fill="D9D9D9"/>
          </w:tcPr>
          <w:p w:rsidR="0029150C" w:rsidRPr="0029150C" w:rsidP="0029150C" w14:paraId="1074BAB7" w14:textId="77777777">
            <w:pPr>
              <w:rPr>
                <w:b/>
              </w:rPr>
            </w:pPr>
            <w:r w:rsidRPr="0029150C">
              <w:rPr>
                <w:b/>
              </w:rPr>
              <w:t>FERC-549B (Gas Pipeline Rates: Capacity Reports and Index of Customers)</w:t>
            </w:r>
          </w:p>
        </w:tc>
      </w:tr>
      <w:tr w14:paraId="61836815" w14:textId="77777777" w:rsidTr="00B647C3">
        <w:tblPrEx>
          <w:tblW w:w="5358" w:type="pct"/>
          <w:tblInd w:w="-72" w:type="dxa"/>
          <w:tblLayout w:type="fixed"/>
          <w:tblLook w:val="01E0"/>
        </w:tblPrEx>
        <w:trPr>
          <w:cantSplit/>
        </w:trPr>
        <w:tc>
          <w:tcPr>
            <w:tcW w:w="878" w:type="pct"/>
            <w:shd w:val="clear" w:color="auto" w:fill="D9D9D9"/>
            <w:vAlign w:val="bottom"/>
          </w:tcPr>
          <w:p w:rsidR="0029150C" w:rsidRPr="0029150C" w:rsidP="0029150C" w14:paraId="4BB8BCCA" w14:textId="77777777">
            <w:pPr>
              <w:rPr>
                <w:b/>
              </w:rPr>
            </w:pPr>
          </w:p>
        </w:tc>
        <w:tc>
          <w:tcPr>
            <w:tcW w:w="746" w:type="pct"/>
            <w:shd w:val="clear" w:color="auto" w:fill="D9D9D9"/>
            <w:vAlign w:val="bottom"/>
          </w:tcPr>
          <w:p w:rsidR="0029150C" w:rsidRPr="0029150C" w:rsidP="0029150C" w14:paraId="092F6741" w14:textId="77777777">
            <w:pPr>
              <w:rPr>
                <w:b/>
              </w:rPr>
            </w:pPr>
            <w:r w:rsidRPr="0029150C">
              <w:rPr>
                <w:b/>
              </w:rPr>
              <w:t>Number of Respondents</w:t>
            </w:r>
            <w:r w:rsidRPr="0029150C">
              <w:rPr>
                <w:b/>
              </w:rPr>
              <w:br/>
              <w:t>(1)</w:t>
            </w:r>
          </w:p>
        </w:tc>
        <w:tc>
          <w:tcPr>
            <w:tcW w:w="746" w:type="pct"/>
            <w:shd w:val="clear" w:color="auto" w:fill="D9D9D9"/>
            <w:vAlign w:val="bottom"/>
          </w:tcPr>
          <w:p w:rsidR="0029150C" w:rsidRPr="0029150C" w:rsidP="0029150C" w14:paraId="7A98E23B" w14:textId="77777777">
            <w:pPr>
              <w:rPr>
                <w:b/>
              </w:rPr>
            </w:pPr>
            <w:r w:rsidRPr="0029150C">
              <w:rPr>
                <w:b/>
              </w:rPr>
              <w:t>Annual Number of Responses per Respondent</w:t>
            </w:r>
          </w:p>
          <w:p w:rsidR="0029150C" w:rsidRPr="0029150C" w:rsidP="0029150C" w14:paraId="562BE56C" w14:textId="77777777">
            <w:pPr>
              <w:rPr>
                <w:b/>
              </w:rPr>
            </w:pPr>
            <w:r w:rsidRPr="0029150C">
              <w:rPr>
                <w:b/>
              </w:rPr>
              <w:t>(2)</w:t>
            </w:r>
          </w:p>
        </w:tc>
        <w:tc>
          <w:tcPr>
            <w:tcW w:w="703" w:type="pct"/>
            <w:shd w:val="clear" w:color="auto" w:fill="D9D9D9"/>
            <w:vAlign w:val="bottom"/>
          </w:tcPr>
          <w:p w:rsidR="0029150C" w:rsidRPr="0029150C" w:rsidP="0029150C" w14:paraId="6D0D40F7" w14:textId="77777777">
            <w:pPr>
              <w:rPr>
                <w:b/>
              </w:rPr>
            </w:pPr>
            <w:r w:rsidRPr="0029150C">
              <w:rPr>
                <w:b/>
              </w:rPr>
              <w:t>Total Number of Responses (1) *(2) = (3)</w:t>
            </w:r>
          </w:p>
        </w:tc>
        <w:tc>
          <w:tcPr>
            <w:tcW w:w="654" w:type="pct"/>
            <w:shd w:val="clear" w:color="auto" w:fill="D9D9D9"/>
            <w:vAlign w:val="bottom"/>
          </w:tcPr>
          <w:p w:rsidR="0029150C" w:rsidRPr="0029150C" w:rsidP="0029150C" w14:paraId="308230AD" w14:textId="77777777">
            <w:pPr>
              <w:rPr>
                <w:b/>
              </w:rPr>
            </w:pPr>
            <w:r w:rsidRPr="0029150C">
              <w:rPr>
                <w:b/>
              </w:rPr>
              <w:t>Average Burden &amp; Cost ($) Per Response</w:t>
            </w:r>
          </w:p>
          <w:p w:rsidR="0029150C" w:rsidRPr="0029150C" w:rsidP="0029150C" w14:paraId="0D923AE3" w14:textId="77777777">
            <w:pPr>
              <w:rPr>
                <w:b/>
              </w:rPr>
            </w:pPr>
            <w:r w:rsidRPr="0029150C">
              <w:rPr>
                <w:b/>
              </w:rPr>
              <w:t>(4)</w:t>
            </w:r>
          </w:p>
        </w:tc>
        <w:tc>
          <w:tcPr>
            <w:tcW w:w="657" w:type="pct"/>
            <w:shd w:val="clear" w:color="auto" w:fill="D9D9D9"/>
            <w:vAlign w:val="bottom"/>
          </w:tcPr>
          <w:p w:rsidR="0029150C" w:rsidRPr="0029150C" w:rsidP="0029150C" w14:paraId="3DE9C85E" w14:textId="77777777">
            <w:pPr>
              <w:rPr>
                <w:b/>
              </w:rPr>
            </w:pPr>
            <w:r w:rsidRPr="0029150C">
              <w:rPr>
                <w:b/>
              </w:rPr>
              <w:t>Total Annual Burden &amp; Total Annual Cost ($)</w:t>
            </w:r>
          </w:p>
          <w:p w:rsidR="0029150C" w:rsidRPr="0029150C" w:rsidP="0029150C" w14:paraId="4CB896F0" w14:textId="77777777">
            <w:pPr>
              <w:rPr>
                <w:b/>
              </w:rPr>
            </w:pPr>
            <w:r w:rsidRPr="0029150C">
              <w:rPr>
                <w:b/>
              </w:rPr>
              <w:t>(3) *(4) = (5)</w:t>
            </w:r>
          </w:p>
        </w:tc>
        <w:tc>
          <w:tcPr>
            <w:tcW w:w="616" w:type="pct"/>
            <w:shd w:val="clear" w:color="auto" w:fill="D9D9D9"/>
            <w:vAlign w:val="bottom"/>
          </w:tcPr>
          <w:p w:rsidR="0029150C" w:rsidRPr="0029150C" w:rsidP="0029150C" w14:paraId="60835864" w14:textId="77777777">
            <w:pPr>
              <w:rPr>
                <w:b/>
              </w:rPr>
            </w:pPr>
            <w:r w:rsidRPr="0029150C">
              <w:rPr>
                <w:b/>
              </w:rPr>
              <w:t>Cost per Respondent</w:t>
            </w:r>
          </w:p>
          <w:p w:rsidR="0029150C" w:rsidRPr="0029150C" w:rsidP="0029150C" w14:paraId="29E2E10D" w14:textId="77777777">
            <w:pPr>
              <w:rPr>
                <w:b/>
              </w:rPr>
            </w:pPr>
            <w:r w:rsidRPr="0029150C">
              <w:rPr>
                <w:b/>
              </w:rPr>
              <w:t>($)</w:t>
            </w:r>
          </w:p>
          <w:p w:rsidR="0029150C" w:rsidRPr="0029150C" w:rsidP="0029150C" w14:paraId="7FE078B3" w14:textId="77777777">
            <w:pPr>
              <w:rPr>
                <w:b/>
              </w:rPr>
            </w:pPr>
            <w:r w:rsidRPr="0029150C">
              <w:rPr>
                <w:b/>
              </w:rPr>
              <w:t>(5) ÷ (1)</w:t>
            </w:r>
          </w:p>
        </w:tc>
      </w:tr>
      <w:tr w14:paraId="5AC79494" w14:textId="77777777" w:rsidTr="00440B21">
        <w:tblPrEx>
          <w:tblW w:w="5358" w:type="pct"/>
          <w:tblInd w:w="-72" w:type="dxa"/>
          <w:tblLayout w:type="fixed"/>
          <w:tblLook w:val="01E0"/>
        </w:tblPrEx>
        <w:trPr>
          <w:cantSplit/>
        </w:trPr>
        <w:tc>
          <w:tcPr>
            <w:tcW w:w="878" w:type="pct"/>
            <w:vAlign w:val="bottom"/>
          </w:tcPr>
          <w:p w:rsidR="0029150C" w:rsidRPr="0029150C" w:rsidP="0029150C" w14:paraId="093CCD9E" w14:textId="77777777">
            <w:r w:rsidRPr="0029150C">
              <w:t>Capacity Reports under 284.13(b) &amp; 284.13(d)(1)</w:t>
            </w:r>
          </w:p>
        </w:tc>
        <w:tc>
          <w:tcPr>
            <w:tcW w:w="746" w:type="pct"/>
            <w:vAlign w:val="bottom"/>
          </w:tcPr>
          <w:p w:rsidR="0029150C" w:rsidRPr="0029150C" w:rsidP="00440B21" w14:paraId="7CA8CDA8" w14:textId="77777777">
            <w:pPr>
              <w:jc w:val="right"/>
            </w:pPr>
          </w:p>
          <w:p w:rsidR="0029150C" w:rsidRPr="0029150C" w:rsidP="00440B21" w14:paraId="72E6AD20" w14:textId="77777777">
            <w:pPr>
              <w:jc w:val="right"/>
            </w:pPr>
            <w:r w:rsidRPr="0029150C">
              <w:t>168</w:t>
            </w:r>
          </w:p>
        </w:tc>
        <w:tc>
          <w:tcPr>
            <w:tcW w:w="746" w:type="pct"/>
            <w:vAlign w:val="bottom"/>
          </w:tcPr>
          <w:p w:rsidR="0029150C" w:rsidRPr="0029150C" w:rsidP="00440B21" w14:paraId="168C91A6" w14:textId="77777777">
            <w:pPr>
              <w:jc w:val="right"/>
            </w:pPr>
            <w:r w:rsidRPr="0029150C">
              <w:t>6</w:t>
            </w:r>
          </w:p>
        </w:tc>
        <w:tc>
          <w:tcPr>
            <w:tcW w:w="703" w:type="pct"/>
            <w:vAlign w:val="bottom"/>
          </w:tcPr>
          <w:p w:rsidR="0029150C" w:rsidRPr="0029150C" w:rsidP="00440B21" w14:paraId="29BC4BDF" w14:textId="77777777">
            <w:pPr>
              <w:jc w:val="right"/>
            </w:pPr>
            <w:r w:rsidRPr="0029150C">
              <w:t>1,008</w:t>
            </w:r>
          </w:p>
        </w:tc>
        <w:tc>
          <w:tcPr>
            <w:tcW w:w="654" w:type="pct"/>
            <w:vAlign w:val="bottom"/>
          </w:tcPr>
          <w:p w:rsidR="0029150C" w:rsidRPr="0029150C" w:rsidP="00440B21" w14:paraId="37B77730" w14:textId="77777777">
            <w:pPr>
              <w:jc w:val="right"/>
            </w:pPr>
          </w:p>
          <w:p w:rsidR="0029150C" w:rsidRPr="0029150C" w:rsidP="00440B21" w14:paraId="146449BA" w14:textId="77777777">
            <w:pPr>
              <w:jc w:val="right"/>
            </w:pPr>
            <w:r w:rsidRPr="0029150C">
              <w:t xml:space="preserve">145 </w:t>
            </w:r>
            <w:r w:rsidRPr="0029150C">
              <w:t>hrs.;</w:t>
            </w:r>
          </w:p>
          <w:p w:rsidR="0029150C" w:rsidRPr="0029150C" w:rsidP="00440B21" w14:paraId="666D1D84" w14:textId="77777777">
            <w:pPr>
              <w:jc w:val="right"/>
            </w:pPr>
            <w:r w:rsidRPr="0029150C">
              <w:t>$12,615</w:t>
            </w:r>
          </w:p>
        </w:tc>
        <w:tc>
          <w:tcPr>
            <w:tcW w:w="657" w:type="pct"/>
            <w:vAlign w:val="bottom"/>
          </w:tcPr>
          <w:p w:rsidR="0029150C" w:rsidRPr="0029150C" w:rsidP="00440B21" w14:paraId="03122C98" w14:textId="77777777">
            <w:pPr>
              <w:jc w:val="right"/>
            </w:pPr>
          </w:p>
          <w:p w:rsidR="0029150C" w:rsidRPr="0029150C" w:rsidP="00440B21" w14:paraId="6B457C50" w14:textId="77777777">
            <w:pPr>
              <w:jc w:val="right"/>
            </w:pPr>
            <w:r w:rsidRPr="0029150C">
              <w:t xml:space="preserve">146,160 </w:t>
            </w:r>
            <w:r w:rsidRPr="0029150C">
              <w:t>hrs.;</w:t>
            </w:r>
          </w:p>
          <w:p w:rsidR="0029150C" w:rsidRPr="0029150C" w:rsidP="00440B21" w14:paraId="63BEF2A3" w14:textId="77777777">
            <w:pPr>
              <w:jc w:val="right"/>
            </w:pPr>
            <w:r w:rsidRPr="0029150C">
              <w:t>$12,715,920</w:t>
            </w:r>
          </w:p>
        </w:tc>
        <w:tc>
          <w:tcPr>
            <w:tcW w:w="616" w:type="pct"/>
            <w:vAlign w:val="bottom"/>
          </w:tcPr>
          <w:p w:rsidR="0029150C" w:rsidRPr="0029150C" w:rsidP="00440B21" w14:paraId="2F6F4570" w14:textId="77777777">
            <w:pPr>
              <w:jc w:val="right"/>
            </w:pPr>
            <w:r w:rsidRPr="0029150C">
              <w:t>$75,690</w:t>
            </w:r>
          </w:p>
        </w:tc>
      </w:tr>
      <w:tr w14:paraId="417022A6" w14:textId="77777777" w:rsidTr="00440B21">
        <w:tblPrEx>
          <w:tblW w:w="5358" w:type="pct"/>
          <w:tblInd w:w="-72" w:type="dxa"/>
          <w:tblLayout w:type="fixed"/>
          <w:tblLook w:val="01E0"/>
        </w:tblPrEx>
        <w:trPr>
          <w:cantSplit/>
        </w:trPr>
        <w:tc>
          <w:tcPr>
            <w:tcW w:w="878" w:type="pct"/>
            <w:vAlign w:val="bottom"/>
          </w:tcPr>
          <w:p w:rsidR="0029150C" w:rsidRPr="0029150C" w:rsidP="0029150C" w14:paraId="359BE921" w14:textId="77777777">
            <w:r w:rsidRPr="0029150C">
              <w:t>Peak Day Annual Capacity Report under 284.13(d)(2)</w:t>
            </w:r>
          </w:p>
        </w:tc>
        <w:tc>
          <w:tcPr>
            <w:tcW w:w="746" w:type="pct"/>
            <w:vAlign w:val="bottom"/>
          </w:tcPr>
          <w:p w:rsidR="0029150C" w:rsidRPr="0029150C" w:rsidP="00440B21" w14:paraId="394B5807" w14:textId="77777777">
            <w:pPr>
              <w:jc w:val="right"/>
            </w:pPr>
            <w:r w:rsidRPr="0029150C">
              <w:t>168</w:t>
            </w:r>
          </w:p>
        </w:tc>
        <w:tc>
          <w:tcPr>
            <w:tcW w:w="746" w:type="pct"/>
            <w:vAlign w:val="bottom"/>
          </w:tcPr>
          <w:p w:rsidR="0029150C" w:rsidRPr="0029150C" w:rsidP="00440B21" w14:paraId="1A7CD17F" w14:textId="77777777">
            <w:pPr>
              <w:jc w:val="right"/>
            </w:pPr>
            <w:r w:rsidRPr="0029150C">
              <w:t>1</w:t>
            </w:r>
          </w:p>
        </w:tc>
        <w:tc>
          <w:tcPr>
            <w:tcW w:w="703" w:type="pct"/>
            <w:vAlign w:val="bottom"/>
          </w:tcPr>
          <w:p w:rsidR="0029150C" w:rsidRPr="0029150C" w:rsidP="00440B21" w14:paraId="417DBD85" w14:textId="77777777">
            <w:pPr>
              <w:jc w:val="right"/>
            </w:pPr>
            <w:r w:rsidRPr="0029150C">
              <w:t>168</w:t>
            </w:r>
          </w:p>
        </w:tc>
        <w:tc>
          <w:tcPr>
            <w:tcW w:w="654" w:type="pct"/>
            <w:vAlign w:val="bottom"/>
          </w:tcPr>
          <w:p w:rsidR="0029150C" w:rsidRPr="0029150C" w:rsidP="00440B21" w14:paraId="0FDC5CA1" w14:textId="77777777">
            <w:pPr>
              <w:jc w:val="right"/>
            </w:pPr>
          </w:p>
          <w:p w:rsidR="0029150C" w:rsidRPr="0029150C" w:rsidP="00440B21" w14:paraId="13DA40A4" w14:textId="77777777">
            <w:pPr>
              <w:jc w:val="right"/>
            </w:pPr>
            <w:r w:rsidRPr="0029150C">
              <w:t xml:space="preserve">10 </w:t>
            </w:r>
            <w:r w:rsidRPr="0029150C">
              <w:t>hrs.;</w:t>
            </w:r>
          </w:p>
          <w:p w:rsidR="0029150C" w:rsidRPr="0029150C" w:rsidP="00440B21" w14:paraId="36EE973D" w14:textId="77777777">
            <w:pPr>
              <w:jc w:val="right"/>
            </w:pPr>
            <w:r w:rsidRPr="0029150C">
              <w:t>$870</w:t>
            </w:r>
          </w:p>
        </w:tc>
        <w:tc>
          <w:tcPr>
            <w:tcW w:w="657" w:type="pct"/>
            <w:vAlign w:val="bottom"/>
          </w:tcPr>
          <w:p w:rsidR="0029150C" w:rsidRPr="0029150C" w:rsidP="00440B21" w14:paraId="7A2CD9D2" w14:textId="77777777">
            <w:pPr>
              <w:jc w:val="right"/>
            </w:pPr>
          </w:p>
          <w:p w:rsidR="0029150C" w:rsidRPr="0029150C" w:rsidP="00440B21" w14:paraId="25AD4540" w14:textId="77777777">
            <w:pPr>
              <w:jc w:val="right"/>
            </w:pPr>
            <w:r w:rsidRPr="0029150C">
              <w:t xml:space="preserve">1,680 </w:t>
            </w:r>
            <w:r w:rsidRPr="0029150C">
              <w:t>hrs.;</w:t>
            </w:r>
          </w:p>
          <w:p w:rsidR="0029150C" w:rsidRPr="0029150C" w:rsidP="00440B21" w14:paraId="03467AC0" w14:textId="77777777">
            <w:pPr>
              <w:jc w:val="right"/>
            </w:pPr>
            <w:r w:rsidRPr="0029150C">
              <w:t>$146,160</w:t>
            </w:r>
          </w:p>
        </w:tc>
        <w:tc>
          <w:tcPr>
            <w:tcW w:w="616" w:type="pct"/>
            <w:vAlign w:val="bottom"/>
          </w:tcPr>
          <w:p w:rsidR="0029150C" w:rsidRPr="0029150C" w:rsidP="00440B21" w14:paraId="41DFCAB4" w14:textId="77777777">
            <w:pPr>
              <w:jc w:val="right"/>
            </w:pPr>
            <w:r w:rsidRPr="0029150C">
              <w:t xml:space="preserve">$870 </w:t>
            </w:r>
          </w:p>
        </w:tc>
      </w:tr>
      <w:tr w14:paraId="64B0BD00" w14:textId="77777777" w:rsidTr="00440B21">
        <w:tblPrEx>
          <w:tblW w:w="5358" w:type="pct"/>
          <w:tblInd w:w="-72" w:type="dxa"/>
          <w:tblLayout w:type="fixed"/>
          <w:tblLook w:val="01E0"/>
        </w:tblPrEx>
        <w:trPr>
          <w:cantSplit/>
        </w:trPr>
        <w:tc>
          <w:tcPr>
            <w:tcW w:w="878" w:type="pct"/>
            <w:vAlign w:val="bottom"/>
          </w:tcPr>
          <w:p w:rsidR="0029150C" w:rsidRPr="0029150C" w:rsidP="0029150C" w14:paraId="05EE212F" w14:textId="77777777">
            <w:r w:rsidRPr="0029150C">
              <w:t>Index of Customers under 284.13(c)</w:t>
            </w:r>
            <w:r>
              <w:rPr>
                <w:vertAlign w:val="superscript"/>
              </w:rPr>
              <w:footnoteReference w:id="6"/>
            </w:r>
          </w:p>
        </w:tc>
        <w:tc>
          <w:tcPr>
            <w:tcW w:w="746" w:type="pct"/>
            <w:vAlign w:val="bottom"/>
          </w:tcPr>
          <w:p w:rsidR="0029150C" w:rsidRPr="0029150C" w:rsidP="00440B21" w14:paraId="1B7BCA9D" w14:textId="77777777">
            <w:pPr>
              <w:jc w:val="right"/>
            </w:pPr>
          </w:p>
          <w:p w:rsidR="0029150C" w:rsidRPr="0029150C" w:rsidP="00440B21" w14:paraId="7718A7E6" w14:textId="77777777">
            <w:pPr>
              <w:jc w:val="right"/>
            </w:pPr>
            <w:r w:rsidRPr="0029150C">
              <w:t>168</w:t>
            </w:r>
          </w:p>
        </w:tc>
        <w:tc>
          <w:tcPr>
            <w:tcW w:w="746" w:type="pct"/>
            <w:vAlign w:val="bottom"/>
          </w:tcPr>
          <w:p w:rsidR="0029150C" w:rsidRPr="0029150C" w:rsidP="00440B21" w14:paraId="07EE0B9C" w14:textId="77777777">
            <w:pPr>
              <w:jc w:val="right"/>
            </w:pPr>
            <w:r w:rsidRPr="0029150C">
              <w:t>4</w:t>
            </w:r>
          </w:p>
        </w:tc>
        <w:tc>
          <w:tcPr>
            <w:tcW w:w="703" w:type="pct"/>
            <w:vAlign w:val="bottom"/>
          </w:tcPr>
          <w:p w:rsidR="0029150C" w:rsidRPr="0029150C" w:rsidP="00440B21" w14:paraId="52400642" w14:textId="77777777">
            <w:pPr>
              <w:jc w:val="right"/>
            </w:pPr>
            <w:r w:rsidRPr="0029150C">
              <w:t>672</w:t>
            </w:r>
          </w:p>
        </w:tc>
        <w:tc>
          <w:tcPr>
            <w:tcW w:w="654" w:type="pct"/>
            <w:vAlign w:val="bottom"/>
          </w:tcPr>
          <w:p w:rsidR="0029150C" w:rsidRPr="0029150C" w:rsidP="00440B21" w14:paraId="7D3D00B8" w14:textId="77777777">
            <w:pPr>
              <w:jc w:val="right"/>
            </w:pPr>
          </w:p>
          <w:p w:rsidR="0029150C" w:rsidRPr="0029150C" w:rsidP="00440B21" w14:paraId="28517E84" w14:textId="77777777">
            <w:pPr>
              <w:jc w:val="right"/>
            </w:pPr>
            <w:r w:rsidRPr="0029150C">
              <w:t xml:space="preserve">3 </w:t>
            </w:r>
            <w:r w:rsidRPr="0029150C">
              <w:t>hrs.;</w:t>
            </w:r>
          </w:p>
          <w:p w:rsidR="0029150C" w:rsidRPr="0029150C" w:rsidP="00440B21" w14:paraId="596F688A" w14:textId="77777777">
            <w:pPr>
              <w:jc w:val="right"/>
            </w:pPr>
            <w:r w:rsidRPr="0029150C">
              <w:t>$261</w:t>
            </w:r>
          </w:p>
        </w:tc>
        <w:tc>
          <w:tcPr>
            <w:tcW w:w="657" w:type="pct"/>
            <w:vAlign w:val="bottom"/>
          </w:tcPr>
          <w:p w:rsidR="0029150C" w:rsidRPr="0029150C" w:rsidP="00440B21" w14:paraId="220A6720" w14:textId="77777777">
            <w:pPr>
              <w:jc w:val="right"/>
            </w:pPr>
          </w:p>
          <w:p w:rsidR="0029150C" w:rsidRPr="0029150C" w:rsidP="00440B21" w14:paraId="04230D2C" w14:textId="77777777">
            <w:pPr>
              <w:jc w:val="right"/>
            </w:pPr>
            <w:r w:rsidRPr="0029150C">
              <w:t xml:space="preserve">2,016 </w:t>
            </w:r>
            <w:r w:rsidRPr="0029150C">
              <w:t>hrs.;</w:t>
            </w:r>
          </w:p>
          <w:p w:rsidR="0029150C" w:rsidRPr="0029150C" w:rsidP="00440B21" w14:paraId="4FBCFC98" w14:textId="77777777">
            <w:pPr>
              <w:jc w:val="right"/>
            </w:pPr>
            <w:r w:rsidRPr="0029150C">
              <w:t>$175,392</w:t>
            </w:r>
          </w:p>
        </w:tc>
        <w:tc>
          <w:tcPr>
            <w:tcW w:w="616" w:type="pct"/>
            <w:vAlign w:val="bottom"/>
          </w:tcPr>
          <w:p w:rsidR="0029150C" w:rsidRPr="0029150C" w:rsidP="00440B21" w14:paraId="2033221F" w14:textId="77777777">
            <w:pPr>
              <w:jc w:val="right"/>
            </w:pPr>
            <w:r w:rsidRPr="0029150C">
              <w:t xml:space="preserve">$1,044 </w:t>
            </w:r>
          </w:p>
        </w:tc>
      </w:tr>
      <w:tr w14:paraId="7933257A" w14:textId="77777777" w:rsidTr="00440B21">
        <w:tblPrEx>
          <w:tblW w:w="5358" w:type="pct"/>
          <w:tblInd w:w="-72" w:type="dxa"/>
          <w:tblLayout w:type="fixed"/>
          <w:tblLook w:val="01E0"/>
        </w:tblPrEx>
        <w:trPr>
          <w:cantSplit/>
          <w:trHeight w:val="485"/>
        </w:trPr>
        <w:tc>
          <w:tcPr>
            <w:tcW w:w="878" w:type="pct"/>
            <w:tcBorders>
              <w:bottom w:val="single" w:sz="4" w:space="0" w:color="auto"/>
            </w:tcBorders>
            <w:vAlign w:val="bottom"/>
          </w:tcPr>
          <w:p w:rsidR="0029150C" w:rsidRPr="0029150C" w:rsidP="0029150C" w14:paraId="6B4F9C9D" w14:textId="77777777">
            <w:pPr>
              <w:rPr>
                <w:b/>
              </w:rPr>
            </w:pPr>
            <w:r w:rsidRPr="0029150C">
              <w:rPr>
                <w:b/>
              </w:rPr>
              <w:t>TOTAL</w:t>
            </w:r>
          </w:p>
        </w:tc>
        <w:tc>
          <w:tcPr>
            <w:tcW w:w="1492" w:type="pct"/>
            <w:gridSpan w:val="2"/>
            <w:tcBorders>
              <w:bottom w:val="single" w:sz="4" w:space="0" w:color="auto"/>
            </w:tcBorders>
            <w:shd w:val="clear" w:color="auto" w:fill="D9D9D9"/>
            <w:vAlign w:val="bottom"/>
          </w:tcPr>
          <w:p w:rsidR="0029150C" w:rsidRPr="0029150C" w:rsidP="00440B21" w14:paraId="68381749" w14:textId="77777777">
            <w:pPr>
              <w:jc w:val="right"/>
            </w:pPr>
          </w:p>
        </w:tc>
        <w:tc>
          <w:tcPr>
            <w:tcW w:w="703" w:type="pct"/>
            <w:tcBorders>
              <w:bottom w:val="single" w:sz="4" w:space="0" w:color="auto"/>
            </w:tcBorders>
            <w:vAlign w:val="bottom"/>
          </w:tcPr>
          <w:p w:rsidR="0029150C" w:rsidRPr="0029150C" w:rsidP="00440B21" w14:paraId="4AE24D38" w14:textId="77777777">
            <w:pPr>
              <w:jc w:val="right"/>
              <w:rPr>
                <w:b/>
              </w:rPr>
            </w:pPr>
            <w:r w:rsidRPr="0029150C">
              <w:rPr>
                <w:b/>
              </w:rPr>
              <w:t>1,848</w:t>
            </w:r>
          </w:p>
        </w:tc>
        <w:tc>
          <w:tcPr>
            <w:tcW w:w="654" w:type="pct"/>
            <w:tcBorders>
              <w:bottom w:val="single" w:sz="4" w:space="0" w:color="auto"/>
            </w:tcBorders>
            <w:shd w:val="clear" w:color="auto" w:fill="D9D9D9"/>
            <w:vAlign w:val="bottom"/>
          </w:tcPr>
          <w:p w:rsidR="0029150C" w:rsidRPr="0029150C" w:rsidP="00440B21" w14:paraId="66B9474A" w14:textId="77777777">
            <w:pPr>
              <w:jc w:val="right"/>
            </w:pPr>
          </w:p>
        </w:tc>
        <w:tc>
          <w:tcPr>
            <w:tcW w:w="657" w:type="pct"/>
            <w:tcBorders>
              <w:bottom w:val="single" w:sz="4" w:space="0" w:color="auto"/>
            </w:tcBorders>
            <w:vAlign w:val="bottom"/>
          </w:tcPr>
          <w:p w:rsidR="0029150C" w:rsidRPr="0029150C" w:rsidP="00440B21" w14:paraId="6CF0DBF0" w14:textId="77777777">
            <w:pPr>
              <w:jc w:val="right"/>
              <w:rPr>
                <w:b/>
              </w:rPr>
            </w:pPr>
            <w:r w:rsidRPr="0029150C">
              <w:rPr>
                <w:b/>
              </w:rPr>
              <w:t xml:space="preserve">149,856 </w:t>
            </w:r>
            <w:r w:rsidRPr="0029150C">
              <w:rPr>
                <w:b/>
              </w:rPr>
              <w:t>hrs.;</w:t>
            </w:r>
          </w:p>
          <w:p w:rsidR="0029150C" w:rsidRPr="0029150C" w:rsidP="00440B21" w14:paraId="6F328244" w14:textId="77777777">
            <w:pPr>
              <w:jc w:val="right"/>
              <w:rPr>
                <w:b/>
              </w:rPr>
            </w:pPr>
            <w:r w:rsidRPr="0029150C">
              <w:rPr>
                <w:b/>
              </w:rPr>
              <w:t>$13,037,47240</w:t>
            </w:r>
          </w:p>
        </w:tc>
        <w:tc>
          <w:tcPr>
            <w:tcW w:w="616" w:type="pct"/>
            <w:tcBorders>
              <w:bottom w:val="single" w:sz="4" w:space="0" w:color="auto"/>
            </w:tcBorders>
            <w:vAlign w:val="bottom"/>
          </w:tcPr>
          <w:p w:rsidR="0029150C" w:rsidRPr="0029150C" w:rsidP="00440B21" w14:paraId="7FBC631C" w14:textId="77777777">
            <w:pPr>
              <w:jc w:val="right"/>
              <w:rPr>
                <w:b/>
              </w:rPr>
            </w:pPr>
            <w:r w:rsidRPr="0029150C">
              <w:rPr>
                <w:b/>
              </w:rPr>
              <w:t>$77,604</w:t>
            </w:r>
          </w:p>
        </w:tc>
      </w:tr>
    </w:tbl>
    <w:p w:rsidR="00814AA1" w:rsidP="00530CA3" w14:paraId="25BC3B9E" w14:textId="77777777"/>
    <w:p w:rsidR="000A1968" w:rsidRPr="000A1968" w:rsidP="004065DF" w14:paraId="449A5E54" w14:textId="0408F921">
      <w:pPr>
        <w:rPr>
          <w:b/>
        </w:rPr>
      </w:pPr>
      <w:r>
        <w:rPr>
          <w:b/>
        </w:rPr>
        <w:t>13</w:t>
      </w:r>
      <w:r w:rsidRPr="000A1968">
        <w:rPr>
          <w:b/>
        </w:rPr>
        <w:t>. ESTIMATE OF THE TOTAL ANNUAL COST BURDEN TO RESPONDENTS</w:t>
      </w:r>
    </w:p>
    <w:p w:rsidR="00F21C4B" w:rsidRPr="004065DF" w:rsidP="004065DF" w14:paraId="71219B5F" w14:textId="77777777"/>
    <w:p w:rsidR="005B5397" w:rsidRPr="004065DF" w:rsidP="004065DF" w14:paraId="31528A11" w14:textId="77777777">
      <w:r>
        <w:t xml:space="preserve">There are no capital or start-up costs associated with this collection.  </w:t>
      </w:r>
      <w:r>
        <w:t>All of</w:t>
      </w:r>
      <w:r>
        <w:t xml:space="preserve"> the costs are associated with the burden hours and accounted for in Question #12.</w:t>
      </w:r>
    </w:p>
    <w:p w:rsidR="005B5397" w:rsidRPr="004065DF" w:rsidP="004065DF" w14:paraId="46878013" w14:textId="77777777"/>
    <w:p w:rsidR="005B5397" w:rsidRPr="004065DF" w:rsidP="004065DF" w14:paraId="574920D5" w14:textId="77777777">
      <w:pPr>
        <w:rPr>
          <w:b/>
        </w:rPr>
      </w:pPr>
      <w:r w:rsidRPr="004065DF">
        <w:rPr>
          <w:b/>
        </w:rPr>
        <w:t>1</w:t>
      </w:r>
      <w:r w:rsidR="0013562B">
        <w:rPr>
          <w:b/>
        </w:rPr>
        <w:t>4</w:t>
      </w:r>
      <w:r w:rsidR="000A1968">
        <w:rPr>
          <w:b/>
        </w:rPr>
        <w:t xml:space="preserve">. ESTIMATE OF THE TOTAL ANNUAL COST </w:t>
      </w:r>
      <w:r w:rsidRPr="004065DF">
        <w:rPr>
          <w:b/>
        </w:rPr>
        <w:t xml:space="preserve">TO </w:t>
      </w:r>
      <w:r w:rsidR="0013562B">
        <w:rPr>
          <w:b/>
        </w:rPr>
        <w:t>FEDERAL GOVERNMENT</w:t>
      </w:r>
    </w:p>
    <w:p w:rsidR="00310F28" w:rsidRPr="004065DF" w:rsidP="00943FF9" w14:paraId="2B7D739B" w14:textId="77777777">
      <w:pPr>
        <w:tabs>
          <w:tab w:val="left" w:pos="-1440"/>
        </w:tabs>
        <w:rPr>
          <w:b/>
          <w:bCs/>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2"/>
        <w:gridCol w:w="3201"/>
        <w:gridCol w:w="2995"/>
      </w:tblGrid>
      <w:tr w14:paraId="110F0044" w14:textId="77777777" w:rsidTr="5538CB9E">
        <w:tblPrEx>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182" w:type="dxa"/>
            <w:tcBorders>
              <w:top w:val="single" w:sz="4" w:space="0" w:color="auto"/>
              <w:left w:val="single" w:sz="4" w:space="0" w:color="auto"/>
              <w:bottom w:val="single" w:sz="4" w:space="0" w:color="auto"/>
              <w:right w:val="single" w:sz="4" w:space="0" w:color="auto"/>
            </w:tcBorders>
            <w:shd w:val="clear" w:color="auto" w:fill="CCCCCC"/>
          </w:tcPr>
          <w:p w:rsidR="00EF593A" w14:paraId="06C8CE30" w14:textId="77777777"/>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rsidR="00EF593A" w14:paraId="609AC8D9" w14:textId="77777777">
            <w:pPr>
              <w:rPr>
                <w:b/>
              </w:rPr>
            </w:pPr>
            <w:r>
              <w:rPr>
                <w:b/>
              </w:rPr>
              <w:t>Number of Employees (FTE)</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rsidR="00EF593A" w14:paraId="2D181CA0" w14:textId="77777777">
            <w:pPr>
              <w:rPr>
                <w:b/>
              </w:rPr>
            </w:pPr>
            <w:r>
              <w:rPr>
                <w:b/>
              </w:rPr>
              <w:t>Estimated Annual Federal Cost</w:t>
            </w:r>
          </w:p>
        </w:tc>
      </w:tr>
      <w:tr w14:paraId="537305D3" w14:textId="77777777" w:rsidTr="5538CB9E">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EF593A" w14:paraId="0789F7E4" w14:textId="40385311">
            <w:r>
              <w:t>Analysis and Processing of filings</w:t>
            </w:r>
            <w:r>
              <w:rPr>
                <w:rStyle w:val="FootnoteReference"/>
                <w:vertAlign w:val="superscript"/>
              </w:rPr>
              <w:footnoteReference w:id="7"/>
            </w:r>
          </w:p>
        </w:tc>
        <w:tc>
          <w:tcPr>
            <w:tcW w:w="3201" w:type="dxa"/>
            <w:tcBorders>
              <w:top w:val="single" w:sz="4" w:space="0" w:color="auto"/>
              <w:left w:val="single" w:sz="4" w:space="0" w:color="auto"/>
              <w:bottom w:val="single" w:sz="4" w:space="0" w:color="auto"/>
              <w:right w:val="single" w:sz="4" w:space="0" w:color="auto"/>
            </w:tcBorders>
            <w:vAlign w:val="bottom"/>
            <w:hideMark/>
          </w:tcPr>
          <w:p w:rsidR="00EF593A" w:rsidRPr="0052362F" w:rsidP="00030DEE" w14:paraId="52F7885F" w14:textId="77777777">
            <w:pPr>
              <w:jc w:val="right"/>
            </w:pPr>
            <w:r>
              <w:t>2.25</w:t>
            </w:r>
          </w:p>
        </w:tc>
        <w:tc>
          <w:tcPr>
            <w:tcW w:w="2995" w:type="dxa"/>
            <w:tcBorders>
              <w:top w:val="single" w:sz="4" w:space="0" w:color="auto"/>
              <w:left w:val="single" w:sz="4" w:space="0" w:color="auto"/>
              <w:bottom w:val="single" w:sz="4" w:space="0" w:color="auto"/>
              <w:right w:val="single" w:sz="4" w:space="0" w:color="auto"/>
            </w:tcBorders>
            <w:vAlign w:val="bottom"/>
            <w:hideMark/>
          </w:tcPr>
          <w:p w:rsidR="00EF593A" w:rsidRPr="0052362F" w:rsidP="005255B4" w14:paraId="7D37743B" w14:textId="105DEDAA">
            <w:pPr>
              <w:jc w:val="right"/>
            </w:pPr>
            <w:r>
              <w:t>$</w:t>
            </w:r>
            <w:r w:rsidRPr="003E5F33" w:rsidR="003E5F33">
              <w:t>479,25</w:t>
            </w:r>
            <w:r w:rsidR="003E5F33">
              <w:t xml:space="preserve">7 </w:t>
            </w:r>
            <w:r w:rsidR="0077550F">
              <w:t>(rounded)</w:t>
            </w:r>
          </w:p>
        </w:tc>
      </w:tr>
      <w:tr w14:paraId="1B16CDE7" w14:textId="77777777" w:rsidTr="5538CB9E">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EF593A" w:rsidP="00FF06CC" w14:paraId="7EB35C5F" w14:textId="77777777">
            <w:r>
              <w:t>PRA</w:t>
            </w:r>
            <w:r>
              <w:rPr>
                <w:rStyle w:val="FootnoteReference"/>
                <w:vertAlign w:val="superscript"/>
              </w:rPr>
              <w:footnoteReference w:id="8"/>
            </w:r>
            <w:r>
              <w:t xml:space="preserve"> Administrative Cost</w:t>
            </w:r>
            <w:r>
              <w:rPr>
                <w:sz w:val="26"/>
                <w:szCs w:val="26"/>
                <w:vertAlign w:val="superscript"/>
              </w:rPr>
              <w:footnoteReference w:id="9"/>
            </w:r>
          </w:p>
        </w:tc>
        <w:tc>
          <w:tcPr>
            <w:tcW w:w="320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F593A" w:rsidRPr="0052362F" w14:paraId="41EB97DB" w14:textId="77777777">
            <w:pPr>
              <w:jc w:val="right"/>
            </w:pPr>
          </w:p>
        </w:tc>
        <w:tc>
          <w:tcPr>
            <w:tcW w:w="2995" w:type="dxa"/>
            <w:tcBorders>
              <w:top w:val="single" w:sz="4" w:space="0" w:color="auto"/>
              <w:left w:val="single" w:sz="4" w:space="0" w:color="auto"/>
              <w:bottom w:val="single" w:sz="4" w:space="0" w:color="auto"/>
              <w:right w:val="single" w:sz="4" w:space="0" w:color="auto"/>
            </w:tcBorders>
            <w:vAlign w:val="center"/>
            <w:hideMark/>
          </w:tcPr>
          <w:p w:rsidR="00EF593A" w:rsidRPr="0052362F" w14:paraId="062D8368" w14:textId="593E6964">
            <w:pPr>
              <w:jc w:val="right"/>
            </w:pPr>
            <w:r>
              <w:t>$</w:t>
            </w:r>
            <w:r w:rsidRPr="003E5F33" w:rsidR="003E5F33">
              <w:t>8,404</w:t>
            </w:r>
          </w:p>
        </w:tc>
      </w:tr>
      <w:tr w14:paraId="738DD52D" w14:textId="77777777" w:rsidTr="5538CB9E">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EF593A" w14:paraId="54E5D555" w14:textId="77777777">
            <w:pPr>
              <w:rPr>
                <w:b/>
              </w:rPr>
            </w:pPr>
            <w:r>
              <w:rPr>
                <w:b/>
              </w:rPr>
              <w:t>FERC Total</w:t>
            </w:r>
          </w:p>
        </w:tc>
        <w:tc>
          <w:tcPr>
            <w:tcW w:w="0" w:type="auto"/>
            <w:vMerge/>
            <w:vAlign w:val="center"/>
            <w:hideMark/>
          </w:tcPr>
          <w:p w:rsidR="00EF593A" w:rsidRPr="0052362F" w14:paraId="1036037C" w14:textId="77777777"/>
        </w:tc>
        <w:tc>
          <w:tcPr>
            <w:tcW w:w="2995" w:type="dxa"/>
            <w:tcBorders>
              <w:top w:val="single" w:sz="4" w:space="0" w:color="auto"/>
              <w:left w:val="single" w:sz="4" w:space="0" w:color="auto"/>
              <w:bottom w:val="single" w:sz="4" w:space="0" w:color="auto"/>
              <w:right w:val="single" w:sz="4" w:space="0" w:color="auto"/>
            </w:tcBorders>
            <w:vAlign w:val="center"/>
            <w:hideMark/>
          </w:tcPr>
          <w:p w:rsidR="00EF593A" w:rsidRPr="0052362F" w:rsidP="00760E3D" w14:paraId="03306B37" w14:textId="5E485661">
            <w:pPr>
              <w:jc w:val="right"/>
            </w:pPr>
            <w:r>
              <w:t>$</w:t>
            </w:r>
            <w:r w:rsidRPr="00B647C3" w:rsidR="00B647C3">
              <w:t>487,66</w:t>
            </w:r>
            <w:r w:rsidR="00B647C3">
              <w:t>1</w:t>
            </w:r>
          </w:p>
        </w:tc>
      </w:tr>
    </w:tbl>
    <w:p w:rsidR="00D8257A" w:rsidRPr="004065DF" w:rsidP="004065DF" w14:paraId="23380208" w14:textId="77777777">
      <w:pPr>
        <w:rPr>
          <w:b/>
          <w:bCs/>
        </w:rPr>
      </w:pPr>
    </w:p>
    <w:p w:rsidR="00453A9D" w:rsidRPr="004065DF" w:rsidP="004065DF" w14:paraId="36B2BFDA" w14:textId="77777777">
      <w:r w:rsidRPr="004065DF">
        <w:t>The Commission bases its estimate of the “Analysis and Processing of filings” cost to the Federal Government on salaries and benefits for professional and clerical support.  This estimated cost represents staff analysis, decision-making, and review of any actual filings submitted in response to the information collection.</w:t>
      </w:r>
    </w:p>
    <w:p w:rsidR="00B827A3" w:rsidRPr="004065DF" w:rsidP="009802EF" w14:paraId="0276EAF6" w14:textId="77777777">
      <w:pPr>
        <w:pStyle w:val="ListParagraph"/>
        <w:tabs>
          <w:tab w:val="left" w:pos="1185"/>
        </w:tabs>
        <w:spacing w:after="0" w:line="240" w:lineRule="auto"/>
        <w:ind w:left="0"/>
      </w:pPr>
      <w:r>
        <w:rPr>
          <w:rFonts w:ascii="Times New Roman" w:hAnsi="Times New Roman"/>
          <w:b/>
          <w:bCs/>
          <w:sz w:val="24"/>
          <w:szCs w:val="24"/>
        </w:rPr>
        <w:tab/>
      </w:r>
    </w:p>
    <w:p w:rsidR="00D8257A" w:rsidRPr="004065DF" w:rsidP="004065DF" w14:paraId="27208DE6" w14:textId="77777777">
      <w:pPr>
        <w:tabs>
          <w:tab w:val="left" w:pos="-1440"/>
        </w:tabs>
        <w:ind w:left="720" w:hanging="720"/>
        <w:rPr>
          <w:b/>
          <w:bCs/>
        </w:rPr>
      </w:pPr>
      <w:r w:rsidRPr="004065DF">
        <w:rPr>
          <w:b/>
          <w:bCs/>
        </w:rPr>
        <w:t>1</w:t>
      </w:r>
      <w:r w:rsidR="00E67159">
        <w:rPr>
          <w:b/>
          <w:bCs/>
        </w:rPr>
        <w:t>5</w:t>
      </w:r>
      <w:r w:rsidRPr="004065DF">
        <w:rPr>
          <w:b/>
          <w:bCs/>
        </w:rPr>
        <w:t>.</w:t>
      </w:r>
      <w:r w:rsidRPr="004065DF">
        <w:rPr>
          <w:b/>
          <w:bCs/>
        </w:rPr>
        <w:tab/>
        <w:t>REASONS FOR CHANGES IN BURDEN INCLUDING THE NEED FOR ANY INCREASE</w:t>
      </w:r>
    </w:p>
    <w:p w:rsidR="00C461EA" w:rsidP="004065DF" w14:paraId="26F082AE" w14:textId="77777777"/>
    <w:p w:rsidR="001F28FA" w:rsidRPr="00190D25" w:rsidP="001F28FA" w14:paraId="73D21AAF" w14:textId="77AB9081">
      <w:r w:rsidRPr="001E5E2D">
        <w:rPr>
          <w:sz w:val="26"/>
          <w:szCs w:val="26"/>
        </w:rPr>
        <w:t xml:space="preserve">The </w:t>
      </w:r>
      <w:r w:rsidRPr="007C713E">
        <w:t xml:space="preserve">public reporting burden has </w:t>
      </w:r>
      <w:r w:rsidRPr="007C713E" w:rsidR="00F036EB">
        <w:t xml:space="preserve">not changed </w:t>
      </w:r>
      <w:r w:rsidRPr="007C713E">
        <w:t>for this information collection</w:t>
      </w:r>
      <w:r w:rsidR="001E5E2D">
        <w:t>.</w:t>
      </w:r>
    </w:p>
    <w:p w:rsidR="00CE7754" w:rsidP="001F28FA" w14:paraId="5E56A4BB" w14:textId="77777777"/>
    <w:p w:rsidR="00FD7726" w:rsidRPr="004065DF" w:rsidP="004065DF" w14:paraId="34E13B08" w14:textId="054BEA03">
      <w:pPr>
        <w:tabs>
          <w:tab w:val="left" w:pos="-1440"/>
        </w:tabs>
        <w:ind w:left="720" w:hanging="720"/>
        <w:rPr>
          <w:b/>
          <w:bCs/>
        </w:rPr>
      </w:pPr>
      <w:r w:rsidRPr="004065DF">
        <w:rPr>
          <w:b/>
          <w:bCs/>
        </w:rPr>
        <w:t>1</w:t>
      </w:r>
      <w:r w:rsidR="00E67159">
        <w:rPr>
          <w:b/>
          <w:bCs/>
        </w:rPr>
        <w:t>6</w:t>
      </w:r>
      <w:r w:rsidRPr="004065DF">
        <w:rPr>
          <w:b/>
          <w:bCs/>
        </w:rPr>
        <w:t>.</w:t>
      </w:r>
      <w:r w:rsidRPr="004065DF">
        <w:rPr>
          <w:b/>
          <w:bCs/>
        </w:rPr>
        <w:tab/>
        <w:t>TIME SCHEDULE FOR TH</w:t>
      </w:r>
      <w:r w:rsidR="00002006">
        <w:rPr>
          <w:b/>
          <w:bCs/>
        </w:rPr>
        <w:t>/</w:t>
      </w:r>
      <w:r w:rsidRPr="004065DF">
        <w:rPr>
          <w:b/>
          <w:bCs/>
        </w:rPr>
        <w:t>E PUBLICATION OF DATA</w:t>
      </w:r>
    </w:p>
    <w:p w:rsidR="00396927" w:rsidP="004065DF" w14:paraId="3FA27647" w14:textId="77777777">
      <w:pPr>
        <w:rPr>
          <w:bCs/>
        </w:rPr>
      </w:pPr>
    </w:p>
    <w:p w:rsidR="004F7E31" w:rsidRPr="004065DF" w:rsidP="004065DF" w14:paraId="56A04980" w14:textId="77777777">
      <w:r>
        <w:rPr>
          <w:bCs/>
        </w:rPr>
        <w:t>There are no tabulations, statistical analysis, or publications</w:t>
      </w:r>
      <w:r w:rsidRPr="004065DF" w:rsidR="00453A9D">
        <w:rPr>
          <w:bCs/>
        </w:rPr>
        <w:t xml:space="preserve"> of information</w:t>
      </w:r>
      <w:r w:rsidR="006434A1">
        <w:rPr>
          <w:bCs/>
        </w:rPr>
        <w:t xml:space="preserve"> planned for th</w:t>
      </w:r>
      <w:r w:rsidR="00F45371">
        <w:rPr>
          <w:bCs/>
        </w:rPr>
        <w:t xml:space="preserve">is </w:t>
      </w:r>
      <w:r>
        <w:rPr>
          <w:bCs/>
        </w:rPr>
        <w:t>information collection.  The</w:t>
      </w:r>
      <w:r w:rsidR="00C60BF1">
        <w:rPr>
          <w:bCs/>
        </w:rPr>
        <w:t xml:space="preserve"> Commission intends </w:t>
      </w:r>
      <w:r w:rsidR="001E4181">
        <w:rPr>
          <w:bCs/>
        </w:rPr>
        <w:t xml:space="preserve">to use </w:t>
      </w:r>
      <w:r w:rsidR="00C60BF1">
        <w:rPr>
          <w:bCs/>
        </w:rPr>
        <w:t>the</w:t>
      </w:r>
      <w:r>
        <w:rPr>
          <w:bCs/>
        </w:rPr>
        <w:t xml:space="preserve"> data for regulatory purposes only.</w:t>
      </w:r>
    </w:p>
    <w:p w:rsidR="004F7E31" w:rsidRPr="004065DF" w:rsidP="004065DF" w14:paraId="5E3086D2" w14:textId="77777777"/>
    <w:p w:rsidR="00FD7726" w:rsidRPr="004065DF" w:rsidP="004065DF" w14:paraId="06B0FF88" w14:textId="77777777">
      <w:pPr>
        <w:tabs>
          <w:tab w:val="left" w:pos="-1440"/>
        </w:tabs>
        <w:ind w:left="720" w:hanging="720"/>
        <w:rPr>
          <w:b/>
          <w:bCs/>
        </w:rPr>
      </w:pPr>
      <w:r>
        <w:rPr>
          <w:b/>
          <w:bCs/>
        </w:rPr>
        <w:t>17</w:t>
      </w:r>
      <w:r w:rsidRPr="004065DF">
        <w:rPr>
          <w:b/>
          <w:bCs/>
        </w:rPr>
        <w:t>.</w:t>
      </w:r>
      <w:r w:rsidRPr="004065DF">
        <w:rPr>
          <w:b/>
          <w:bCs/>
        </w:rPr>
        <w:tab/>
        <w:t>DISPLAY OF EXPIRATION DATE</w:t>
      </w:r>
    </w:p>
    <w:p w:rsidR="00FD7726" w:rsidRPr="004065DF" w:rsidP="004065DF" w14:paraId="4F47C4B2" w14:textId="77777777">
      <w:pPr>
        <w:rPr>
          <w:b/>
          <w:bCs/>
        </w:rPr>
      </w:pPr>
    </w:p>
    <w:p w:rsidR="00A32E56" w:rsidP="00A32E56" w14:paraId="0F51B4A9" w14:textId="77777777">
      <w:pPr>
        <w:tabs>
          <w:tab w:val="left" w:pos="-1440"/>
        </w:tabs>
        <w:ind w:left="720" w:hanging="720"/>
      </w:pPr>
      <w:r>
        <w:t>T</w:t>
      </w:r>
      <w:r w:rsidRPr="000E1224" w:rsidR="000E1224">
        <w:t>he expiration date is displayed in a table posted on ferc.gov at</w:t>
      </w:r>
      <w:r w:rsidR="000403A2">
        <w:t xml:space="preserve"> </w:t>
      </w:r>
      <w:hyperlink r:id="rId12" w:history="1">
        <w:r w:rsidRPr="00431E9F" w:rsidR="000403A2">
          <w:rPr>
            <w:rStyle w:val="Hyperlink"/>
          </w:rPr>
          <w:t>https://www.ferc.gov/industriesdata/natural-gas/industry-forms</w:t>
        </w:r>
      </w:hyperlink>
      <w:r w:rsidR="000403A2">
        <w:t>.</w:t>
      </w:r>
    </w:p>
    <w:p w:rsidR="00A34269" w:rsidP="004065DF" w14:paraId="4C8C829F" w14:textId="77777777">
      <w:pPr>
        <w:tabs>
          <w:tab w:val="left" w:pos="-1440"/>
        </w:tabs>
        <w:ind w:left="720" w:hanging="720"/>
      </w:pPr>
    </w:p>
    <w:p w:rsidR="00FD7726" w:rsidRPr="004065DF" w:rsidP="004065DF" w14:paraId="457BF5B0" w14:textId="77777777">
      <w:pPr>
        <w:tabs>
          <w:tab w:val="left" w:pos="-1440"/>
        </w:tabs>
        <w:ind w:left="720" w:hanging="720"/>
        <w:rPr>
          <w:b/>
          <w:bCs/>
        </w:rPr>
      </w:pPr>
      <w:r>
        <w:rPr>
          <w:b/>
          <w:bCs/>
        </w:rPr>
        <w:t>18</w:t>
      </w:r>
      <w:r w:rsidRPr="004065DF">
        <w:rPr>
          <w:b/>
          <w:bCs/>
        </w:rPr>
        <w:t>.</w:t>
      </w:r>
      <w:r w:rsidRPr="004065DF">
        <w:rPr>
          <w:b/>
          <w:bCs/>
        </w:rPr>
        <w:tab/>
        <w:t>EXCEPTIONS TO THE CERTIFICATION STATEMENT</w:t>
      </w:r>
    </w:p>
    <w:p w:rsidR="00FD7726" w:rsidRPr="004065DF" w:rsidP="004065DF" w14:paraId="3F8D384E" w14:textId="77777777">
      <w:pPr>
        <w:rPr>
          <w:b/>
          <w:bCs/>
        </w:rPr>
      </w:pPr>
    </w:p>
    <w:p w:rsidR="00C50D0D" w:rsidRPr="00E67159" w:rsidP="00E67159" w14:paraId="27B5DA3C" w14:textId="77777777">
      <w:r w:rsidRPr="004065DF">
        <w:t>T</w:t>
      </w:r>
      <w:r w:rsidRPr="004065DF" w:rsidR="00FD7726">
        <w:t>he</w:t>
      </w:r>
      <w:r w:rsidR="008B2DA3">
        <w:t xml:space="preserve"> only exception is that</w:t>
      </w:r>
      <w:r w:rsidRPr="004065DF" w:rsidR="00FD7726">
        <w:t xml:space="preserve"> Commiss</w:t>
      </w:r>
      <w:r w:rsidRPr="004065DF">
        <w:t>ion will not be using statistical survey methodology for this information collection.</w:t>
      </w:r>
    </w:p>
    <w:sectPr w:rsidSect="00E54753">
      <w:headerReference w:type="default" r:id="rId13"/>
      <w:footerReference w:type="default" r:id="rId14"/>
      <w:headerReference w:type="first" r:id="rId15"/>
      <w:pgSz w:w="12240" w:h="15840" w:code="1"/>
      <w:pgMar w:top="1440" w:right="1440" w:bottom="1440" w:left="1440" w:header="1166" w:footer="1080" w:gutter="0"/>
      <w:pgNumType w:fmt="numberInDash"/>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4753" w14:paraId="2D9C8B77" w14:textId="77777777">
    <w:pPr>
      <w:pStyle w:val="Footer"/>
      <w:jc w:val="right"/>
    </w:pPr>
    <w:r>
      <w:fldChar w:fldCharType="begin"/>
    </w:r>
    <w:r>
      <w:instrText xml:space="preserve"> PAGE   \* MERGEFORMAT </w:instrText>
    </w:r>
    <w:r>
      <w:fldChar w:fldCharType="separate"/>
    </w:r>
    <w:r w:rsidR="00CD34E8">
      <w:rPr>
        <w:noProof/>
      </w:rPr>
      <w:t>- 1 -</w:t>
    </w:r>
    <w:r>
      <w:rPr>
        <w:noProof/>
      </w:rPr>
      <w:fldChar w:fldCharType="end"/>
    </w:r>
  </w:p>
  <w:p w:rsidR="00E54753" w14:paraId="699F26B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175E4" w14:paraId="4490CE8E" w14:textId="77777777">
      <w:r>
        <w:separator/>
      </w:r>
    </w:p>
  </w:footnote>
  <w:footnote w:type="continuationSeparator" w:id="1">
    <w:p w:rsidR="001175E4" w14:paraId="773C61C0" w14:textId="77777777">
      <w:r>
        <w:continuationSeparator/>
      </w:r>
    </w:p>
  </w:footnote>
  <w:footnote w:id="2">
    <w:p w:rsidR="007B54CB" w:rsidRPr="00B93844" w:rsidP="008B3167" w14:paraId="5236506B" w14:textId="21247A2E">
      <w:pPr>
        <w:pStyle w:val="FootnoteText"/>
      </w:pPr>
      <w:r w:rsidRPr="00B93844">
        <w:rPr>
          <w:rStyle w:val="FootnoteReference"/>
          <w:vertAlign w:val="superscript"/>
        </w:rPr>
        <w:footnoteRef/>
      </w:r>
      <w:r w:rsidRPr="00B93844">
        <w:rPr>
          <w:vertAlign w:val="superscript"/>
        </w:rPr>
        <w:t xml:space="preserve"> </w:t>
      </w:r>
      <w:r w:rsidRPr="00B93844">
        <w:t>15 U</w:t>
      </w:r>
      <w:r w:rsidR="00FB5F61">
        <w:t>.S.C. 717 through 717z.</w:t>
      </w:r>
    </w:p>
  </w:footnote>
  <w:footnote w:id="3">
    <w:p w:rsidR="007B54CB" w:rsidRPr="00B93844" w:rsidP="008B3167" w14:paraId="08B7F5B6" w14:textId="4654D304">
      <w:pPr>
        <w:pStyle w:val="FootnoteText"/>
      </w:pPr>
      <w:r w:rsidRPr="00B93844">
        <w:rPr>
          <w:rStyle w:val="FootnoteReference"/>
          <w:vertAlign w:val="superscript"/>
        </w:rPr>
        <w:footnoteRef/>
      </w:r>
      <w:r w:rsidRPr="00B93844">
        <w:rPr>
          <w:vertAlign w:val="superscript"/>
        </w:rPr>
        <w:t xml:space="preserve">  </w:t>
      </w:r>
      <w:r w:rsidRPr="00B93844">
        <w:t>Under Section 4 of the NGA</w:t>
      </w:r>
      <w:r w:rsidR="009F205E">
        <w:t xml:space="preserve"> </w:t>
      </w:r>
      <w:r w:rsidR="00416D33">
        <w:t>(15 U.S.C. 717c)</w:t>
      </w:r>
      <w:r w:rsidRPr="00B93844">
        <w:t xml:space="preserve">, rates are established by the pipeline filing for rate changes.  The established rate continues in effect until the pipeline makes a subsequent rate case filing or the Commission </w:t>
      </w:r>
      <w:r w:rsidRPr="00B93844">
        <w:t>takes action</w:t>
      </w:r>
      <w:r w:rsidRPr="00B93844">
        <w:t xml:space="preserve"> under Section 5 of NGA </w:t>
      </w:r>
      <w:r w:rsidR="00416D33">
        <w:t>(15 U.S.C. 717d)</w:t>
      </w:r>
      <w:r w:rsidR="007D7731">
        <w:t xml:space="preserve"> </w:t>
      </w:r>
      <w:r w:rsidRPr="00B93844">
        <w:t xml:space="preserve">and determines that the existing rates are not just and reasonable.  Section 16 </w:t>
      </w:r>
      <w:r w:rsidR="007D7731">
        <w:t>(15 U.S</w:t>
      </w:r>
      <w:r w:rsidR="00B44197">
        <w:t xml:space="preserve">.C. </w:t>
      </w:r>
      <w:r w:rsidRPr="00C64C58" w:rsidR="0000675D">
        <w:t>717</w:t>
      </w:r>
      <w:r w:rsidRPr="00C64C58" w:rsidR="0000675D">
        <w:rPr>
          <w:i/>
          <w:iCs/>
        </w:rPr>
        <w:t>o</w:t>
      </w:r>
      <w:r w:rsidR="00C64C58">
        <w:t xml:space="preserve">) </w:t>
      </w:r>
      <w:r w:rsidRPr="00C64C58">
        <w:t>authorizes</w:t>
      </w:r>
      <w:r w:rsidRPr="00B93844">
        <w:t xml:space="preserve"> the Commission to prescribe the rules and regulations necessary to administer its rate mandates.</w:t>
      </w:r>
    </w:p>
  </w:footnote>
  <w:footnote w:id="4">
    <w:p w:rsidR="0029150C" w:rsidRPr="00057251" w:rsidP="0029150C" w14:paraId="3A31A059" w14:textId="77777777">
      <w:pPr>
        <w:pStyle w:val="FootnoteText"/>
        <w:tabs>
          <w:tab w:val="left" w:pos="8280"/>
        </w:tabs>
      </w:pPr>
      <w:r>
        <w:rPr>
          <w:rStyle w:val="FootnoteReference"/>
        </w:rPr>
        <w:footnoteRef/>
      </w:r>
      <w:r>
        <w:t xml:space="preserve"> </w:t>
      </w:r>
      <w:r w:rsidRPr="00057251">
        <w:rPr>
          <w:szCs w:val="26"/>
        </w:rPr>
        <w:t xml:space="preserve">For FERC-549B, FERC-549D, FERC-556, and FERC-561, “burden” is defined as the total time, effort, or financial resources expended by persons to generate, maintain, retain, or disclose or provide information to or for a </w:t>
      </w:r>
      <w:r w:rsidRPr="00057251">
        <w:rPr>
          <w:szCs w:val="26"/>
        </w:rPr>
        <w:t>Federal</w:t>
      </w:r>
      <w:r w:rsidRPr="00057251">
        <w:rPr>
          <w:szCs w:val="26"/>
        </w:rPr>
        <w:t xml:space="preserve"> agency. For further explanation of what is included in the information collection burden, refer to 5 CFR 1320.3.</w:t>
      </w:r>
    </w:p>
  </w:footnote>
  <w:footnote w:id="5">
    <w:p w:rsidR="0029150C" w:rsidRPr="00057251" w:rsidP="0029150C" w14:paraId="1CE146E2" w14:textId="77777777">
      <w:pPr>
        <w:pStyle w:val="FootnoteText"/>
        <w:rPr>
          <w:szCs w:val="26"/>
        </w:rPr>
      </w:pPr>
      <w:r w:rsidRPr="00057251">
        <w:rPr>
          <w:rStyle w:val="FootnoteReference"/>
        </w:rPr>
        <w:footnoteRef/>
      </w:r>
      <w:r w:rsidRPr="00057251">
        <w:rPr>
          <w:szCs w:val="26"/>
        </w:rPr>
        <w:t xml:space="preserve"> For FERC-549B, the Commission staff believes that industry is similarly situated to the Commission in terms of wages and benefits.  Therefore, </w:t>
      </w:r>
      <w:bookmarkStart w:id="0" w:name="_Hlk103752559"/>
      <w:r w:rsidRPr="00057251">
        <w:rPr>
          <w:szCs w:val="26"/>
        </w:rPr>
        <w:t>cost estimates are based on FERC’s 2021 average annual wage (and benefits) for a full-time employee of $180,703 (or $87.00/hour).</w:t>
      </w:r>
      <w:bookmarkEnd w:id="0"/>
    </w:p>
  </w:footnote>
  <w:footnote w:id="6">
    <w:p w:rsidR="0029150C" w:rsidP="0029150C" w14:paraId="096909B2" w14:textId="77777777">
      <w:pPr>
        <w:pStyle w:val="FootnoteText"/>
      </w:pPr>
      <w:r w:rsidRPr="00057251">
        <w:rPr>
          <w:rStyle w:val="FootnoteReference"/>
        </w:rPr>
        <w:footnoteRef/>
      </w:r>
      <w:r w:rsidRPr="00057251">
        <w:t xml:space="preserve"> The burden per response is based on burden expended on similar forms and other similar FERC reporting requirements (e.g. capacity reports).</w:t>
      </w:r>
    </w:p>
  </w:footnote>
  <w:footnote w:id="7">
    <w:p w:rsidR="00E675A3" w:rsidRPr="00B93844" w:rsidP="008B3167" w14:paraId="4F51B144" w14:textId="45E822F8">
      <w:pPr>
        <w:pStyle w:val="FootnoteText"/>
      </w:pPr>
      <w:r w:rsidRPr="00B93844">
        <w:rPr>
          <w:rStyle w:val="FootnoteReference"/>
        </w:rPr>
        <w:footnoteRef/>
      </w:r>
      <w:r w:rsidRPr="00B93844">
        <w:t xml:space="preserve"> </w:t>
      </w:r>
      <w:r w:rsidRPr="00360187" w:rsidR="00360187">
        <w:t>Based upon the Commission’s 202</w:t>
      </w:r>
      <w:r w:rsidR="00301777">
        <w:t>6</w:t>
      </w:r>
      <w:r w:rsidRPr="00360187" w:rsidR="00360187">
        <w:t xml:space="preserve"> full-time equivalent average annual salary plus benefits ($</w:t>
      </w:r>
      <w:r w:rsidR="00301777">
        <w:t>213</w:t>
      </w:r>
      <w:r w:rsidR="001C3351">
        <w:t>,</w:t>
      </w:r>
      <w:r w:rsidR="009470CB">
        <w:t>00</w:t>
      </w:r>
      <w:r w:rsidR="0059026C">
        <w:t>3</w:t>
      </w:r>
      <w:r w:rsidRPr="00360187" w:rsidR="00360187">
        <w:t xml:space="preserve"> per year).</w:t>
      </w:r>
    </w:p>
  </w:footnote>
  <w:footnote w:id="8">
    <w:p w:rsidR="00E675A3" w:rsidRPr="00B93844" w:rsidP="008B3167" w14:paraId="0C0A560C" w14:textId="77777777">
      <w:pPr>
        <w:pStyle w:val="FootnoteText"/>
      </w:pPr>
      <w:r w:rsidRPr="00B93844">
        <w:rPr>
          <w:rStyle w:val="FootnoteReference"/>
        </w:rPr>
        <w:footnoteRef/>
      </w:r>
      <w:r w:rsidRPr="00B93844">
        <w:t xml:space="preserve"> Paperwork Reduction Act of 1995 (PRA)</w:t>
      </w:r>
    </w:p>
  </w:footnote>
  <w:footnote w:id="9">
    <w:p w:rsidR="00E03622" w:rsidRPr="00B93844" w:rsidP="00E03622" w14:paraId="0393C3C2" w14:textId="77777777">
      <w:pPr>
        <w:pStyle w:val="FootnoteText"/>
      </w:pPr>
      <w:r w:rsidRPr="00B93844">
        <w:rPr>
          <w:rStyle w:val="FootnoteReference"/>
        </w:rPr>
        <w:footnoteRef/>
      </w:r>
      <w:r w:rsidRPr="00B93844">
        <w:t xml:space="preserve"> </w:t>
      </w:r>
      <w:r w:rsidRPr="00194638" w:rsidR="00194638">
        <w:t>The PRA Administrative Cost 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75A3" w14:paraId="0A3D491E" w14:textId="77777777">
    <w:pPr>
      <w:pStyle w:val="Header"/>
    </w:pPr>
    <w:r>
      <w:t>FERC</w:t>
    </w:r>
    <w:r w:rsidR="00926CB1">
      <w:t>-</w:t>
    </w:r>
    <w:r>
      <w:t>549B</w:t>
    </w:r>
    <w:r w:rsidR="00E946F0">
      <w:t xml:space="preserve"> (OMB No. 1902-0169</w:t>
    </w:r>
    <w:r w:rsidR="00790EAA">
      <w:t>)</w:t>
    </w:r>
  </w:p>
  <w:p w:rsidR="00E675A3" w14:paraId="6C2AC648" w14:textId="77777777">
    <w:pPr>
      <w:pStyle w:val="Header"/>
    </w:pPr>
  </w:p>
  <w:p w:rsidR="00E675A3" w14:paraId="4005B5D0"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75A3" w14:paraId="4B4C79B9" w14:textId="77777777">
    <w:pPr>
      <w:pStyle w:val="Header"/>
    </w:pPr>
    <w:r>
      <w:t>FERC Form No. 549B</w:t>
    </w:r>
    <w:r w:rsidR="007B54CB">
      <w:t xml:space="preserve"> (OMB Control No. 1902-0169</w:t>
    </w: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84B8578"/>
    <w:multiLevelType w:val="hybridMultilevel"/>
    <w:tmpl w:val="FFFFFFFF"/>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9414BEBE"/>
    <w:multiLevelType w:val="hybridMultilevel"/>
    <w:tmpl w:val="640D5BEC"/>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C1E2B856"/>
    <w:multiLevelType w:val="hybridMultilevel"/>
    <w:tmpl w:val="BD923B52"/>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E747D647"/>
    <w:multiLevelType w:val="hybridMultilevel"/>
    <w:tmpl w:val="FFFFFFFF"/>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FF1CA2DB"/>
    <w:multiLevelType w:val="hybridMultilevel"/>
    <w:tmpl w:val="FFFFFFFF"/>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0003214C"/>
    <w:multiLevelType w:val="hybridMultilevel"/>
    <w:tmpl w:val="9AD67B92"/>
    <w:lvl w:ilvl="0">
      <w:start w:val="703"/>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047D5C4A"/>
    <w:multiLevelType w:val="hybridMultilevel"/>
    <w:tmpl w:val="7B8AE8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7">
    <w:nsid w:val="04F01A89"/>
    <w:multiLevelType w:val="hybridMultilevel"/>
    <w:tmpl w:val="68CA78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C4C7F75"/>
    <w:multiLevelType w:val="hybridMultilevel"/>
    <w:tmpl w:val="BB9C09D4"/>
    <w:lvl w:ilvl="0">
      <w:start w:val="703"/>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0DFC21E7"/>
    <w:multiLevelType w:val="hybridMultilevel"/>
    <w:tmpl w:val="B2DE8BAA"/>
    <w:lvl w:ilvl="0">
      <w:start w:val="1"/>
      <w:numFmt w:val="bullet"/>
      <w:lvlText w:val=""/>
      <w:lvlJc w:val="left"/>
      <w:pPr>
        <w:tabs>
          <w:tab w:val="num" w:pos="720"/>
        </w:tabs>
        <w:ind w:left="720" w:hanging="360"/>
      </w:pPr>
      <w:rPr>
        <w:rFonts w:ascii="Symbol" w:hAnsi="Symbol" w:hint="default"/>
        <w:color w:val="auto"/>
        <w:sz w:val="28"/>
        <w:szCs w:val="2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0E394FCE"/>
    <w:multiLevelType w:val="hybridMultilevel"/>
    <w:tmpl w:val="A46E7FA0"/>
    <w:lvl w:ilvl="0">
      <w:start w:val="1"/>
      <w:numFmt w:val="bullet"/>
      <w:lvlText w:val=""/>
      <w:lvlJc w:val="left"/>
      <w:pPr>
        <w:tabs>
          <w:tab w:val="num" w:pos="360"/>
        </w:tabs>
        <w:ind w:left="576" w:hanging="216"/>
      </w:pPr>
      <w:rPr>
        <w:rFonts w:ascii="Symbol" w:hAnsi="Symbol" w:cs="Times New Roman" w:hint="default"/>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10F81F6B"/>
    <w:multiLevelType w:val="hybridMultilevel"/>
    <w:tmpl w:val="EEC0D2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942216A"/>
    <w:multiLevelType w:val="hybridMultilevel"/>
    <w:tmpl w:val="4FD8826A"/>
    <w:lvl w:ilvl="0">
      <w:start w:val="1"/>
      <w:numFmt w:val="bullet"/>
      <w:lvlText w:val=""/>
      <w:lvlJc w:val="left"/>
      <w:pPr>
        <w:ind w:left="840" w:hanging="360"/>
      </w:pPr>
      <w:rPr>
        <w:rFonts w:ascii="Symbol" w:hAnsi="Symbol" w:hint="default"/>
      </w:rPr>
    </w:lvl>
    <w:lvl w:ilvl="1" w:tentative="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13">
    <w:nsid w:val="1B3D1BAA"/>
    <w:multiLevelType w:val="hybridMultilevel"/>
    <w:tmpl w:val="FDDA60A0"/>
    <w:lvl w:ilvl="0">
      <w:start w:val="2"/>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4">
    <w:nsid w:val="1EC3529F"/>
    <w:multiLevelType w:val="hybridMultilevel"/>
    <w:tmpl w:val="F8741D1C"/>
    <w:lvl w:ilvl="0">
      <w:start w:val="703"/>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32C087D"/>
    <w:multiLevelType w:val="hybridMultilevel"/>
    <w:tmpl w:val="B3C419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7F92BE0"/>
    <w:multiLevelType w:val="hybridMultilevel"/>
    <w:tmpl w:val="055AA072"/>
    <w:lvl w:ilvl="0">
      <w:start w:val="1"/>
      <w:numFmt w:val="bullet"/>
      <w:lvlText w:val=""/>
      <w:lvlJc w:val="left"/>
      <w:pPr>
        <w:tabs>
          <w:tab w:val="num" w:pos="0"/>
        </w:tabs>
        <w:ind w:left="216" w:hanging="216"/>
      </w:pPr>
      <w:rPr>
        <w:rFonts w:ascii="Symbol" w:hAnsi="Symbol" w:cs="Times New Roman"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2BAB67B3"/>
    <w:multiLevelType w:val="hybridMultilevel"/>
    <w:tmpl w:val="F0AEE946"/>
    <w:lvl w:ilvl="0">
      <w:start w:val="1"/>
      <w:numFmt w:val="bullet"/>
      <w:lvlText w:val=""/>
      <w:lvlJc w:val="left"/>
      <w:pPr>
        <w:tabs>
          <w:tab w:val="num" w:pos="360"/>
        </w:tabs>
        <w:ind w:left="576" w:hanging="216"/>
      </w:pPr>
      <w:rPr>
        <w:rFonts w:ascii="Symbol" w:hAnsi="Symbol" w:cs="Times New Roman" w:hint="default"/>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324D7723"/>
    <w:multiLevelType w:val="hybridMultilevel"/>
    <w:tmpl w:val="47D294DC"/>
    <w:lvl w:ilvl="0">
      <w:start w:val="2"/>
      <w:numFmt w:val="lowerLetter"/>
      <w:lvlText w:val="%1)"/>
      <w:lvlJc w:val="left"/>
      <w:pPr>
        <w:tabs>
          <w:tab w:val="num" w:pos="1872"/>
        </w:tabs>
        <w:ind w:left="1872" w:hanging="360"/>
      </w:pPr>
      <w:rPr>
        <w:rFonts w:hint="default"/>
      </w:rPr>
    </w:lvl>
    <w:lvl w:ilvl="1" w:tentative="1">
      <w:start w:val="1"/>
      <w:numFmt w:val="lowerLetter"/>
      <w:lvlText w:val="%2."/>
      <w:lvlJc w:val="left"/>
      <w:pPr>
        <w:tabs>
          <w:tab w:val="num" w:pos="2592"/>
        </w:tabs>
        <w:ind w:left="2592" w:hanging="360"/>
      </w:pPr>
    </w:lvl>
    <w:lvl w:ilvl="2" w:tentative="1">
      <w:start w:val="1"/>
      <w:numFmt w:val="lowerRoman"/>
      <w:lvlText w:val="%3."/>
      <w:lvlJc w:val="right"/>
      <w:pPr>
        <w:tabs>
          <w:tab w:val="num" w:pos="3312"/>
        </w:tabs>
        <w:ind w:left="3312" w:hanging="180"/>
      </w:pPr>
    </w:lvl>
    <w:lvl w:ilvl="3" w:tentative="1">
      <w:start w:val="1"/>
      <w:numFmt w:val="decimal"/>
      <w:lvlText w:val="%4."/>
      <w:lvlJc w:val="left"/>
      <w:pPr>
        <w:tabs>
          <w:tab w:val="num" w:pos="4032"/>
        </w:tabs>
        <w:ind w:left="4032" w:hanging="360"/>
      </w:pPr>
    </w:lvl>
    <w:lvl w:ilvl="4" w:tentative="1">
      <w:start w:val="1"/>
      <w:numFmt w:val="lowerLetter"/>
      <w:lvlText w:val="%5."/>
      <w:lvlJc w:val="left"/>
      <w:pPr>
        <w:tabs>
          <w:tab w:val="num" w:pos="4752"/>
        </w:tabs>
        <w:ind w:left="4752" w:hanging="360"/>
      </w:pPr>
    </w:lvl>
    <w:lvl w:ilvl="5" w:tentative="1">
      <w:start w:val="1"/>
      <w:numFmt w:val="lowerRoman"/>
      <w:lvlText w:val="%6."/>
      <w:lvlJc w:val="right"/>
      <w:pPr>
        <w:tabs>
          <w:tab w:val="num" w:pos="5472"/>
        </w:tabs>
        <w:ind w:left="5472" w:hanging="180"/>
      </w:pPr>
    </w:lvl>
    <w:lvl w:ilvl="6" w:tentative="1">
      <w:start w:val="1"/>
      <w:numFmt w:val="decimal"/>
      <w:lvlText w:val="%7."/>
      <w:lvlJc w:val="left"/>
      <w:pPr>
        <w:tabs>
          <w:tab w:val="num" w:pos="6192"/>
        </w:tabs>
        <w:ind w:left="6192" w:hanging="360"/>
      </w:pPr>
    </w:lvl>
    <w:lvl w:ilvl="7" w:tentative="1">
      <w:start w:val="1"/>
      <w:numFmt w:val="lowerLetter"/>
      <w:lvlText w:val="%8."/>
      <w:lvlJc w:val="left"/>
      <w:pPr>
        <w:tabs>
          <w:tab w:val="num" w:pos="6912"/>
        </w:tabs>
        <w:ind w:left="6912" w:hanging="360"/>
      </w:pPr>
    </w:lvl>
    <w:lvl w:ilvl="8" w:tentative="1">
      <w:start w:val="1"/>
      <w:numFmt w:val="lowerRoman"/>
      <w:lvlText w:val="%9."/>
      <w:lvlJc w:val="right"/>
      <w:pPr>
        <w:tabs>
          <w:tab w:val="num" w:pos="7632"/>
        </w:tabs>
        <w:ind w:left="7632" w:hanging="180"/>
      </w:pPr>
    </w:lvl>
  </w:abstractNum>
  <w:abstractNum w:abstractNumId="19">
    <w:nsid w:val="32CD1BC9"/>
    <w:multiLevelType w:val="hybridMultilevel"/>
    <w:tmpl w:val="5620A3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3156D43"/>
    <w:multiLevelType w:val="multilevel"/>
    <w:tmpl w:val="8152A0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21">
    <w:nsid w:val="33FD383E"/>
    <w:multiLevelType w:val="hybridMultilevel"/>
    <w:tmpl w:val="14A2ED0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35FD710A"/>
    <w:multiLevelType w:val="hybridMultilevel"/>
    <w:tmpl w:val="BDA4F7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97D2C53"/>
    <w:multiLevelType w:val="hybridMultilevel"/>
    <w:tmpl w:val="324E674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39924AC2"/>
    <w:multiLevelType w:val="multilevel"/>
    <w:tmpl w:val="F0AEE946"/>
    <w:lvl w:ilvl="0">
      <w:start w:val="1"/>
      <w:numFmt w:val="bullet"/>
      <w:lvlText w:val=""/>
      <w:lvlJc w:val="left"/>
      <w:pPr>
        <w:tabs>
          <w:tab w:val="num" w:pos="360"/>
        </w:tabs>
        <w:ind w:left="576" w:hanging="216"/>
      </w:pPr>
      <w:rPr>
        <w:rFonts w:ascii="Symbol" w:hAnsi="Symbol" w:cs="Times New Roman"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41941EDE"/>
    <w:multiLevelType w:val="hybridMultilevel"/>
    <w:tmpl w:val="01C09E0C"/>
    <w:lvl w:ilvl="0">
      <w:start w:val="703"/>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4D7B1E49"/>
    <w:multiLevelType w:val="hybridMultilevel"/>
    <w:tmpl w:val="05B444C0"/>
    <w:lvl w:ilvl="0">
      <w:start w:val="13"/>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7">
    <w:nsid w:val="55031C89"/>
    <w:multiLevelType w:val="hybridMultilevel"/>
    <w:tmpl w:val="87647D04"/>
    <w:lvl w:ilvl="0">
      <w:start w:val="1"/>
      <w:numFmt w:val="bullet"/>
      <w:lvlText w:val=""/>
      <w:lvlJc w:val="left"/>
      <w:pPr>
        <w:tabs>
          <w:tab w:val="num" w:pos="360"/>
        </w:tabs>
        <w:ind w:left="576" w:hanging="216"/>
      </w:pPr>
      <w:rPr>
        <w:rFonts w:ascii="Symbol" w:hAnsi="Symbol" w:cs="Times New Roman" w:hint="default"/>
        <w:color w:val="auto"/>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58A33788"/>
    <w:multiLevelType w:val="hybridMultilevel"/>
    <w:tmpl w:val="39909D64"/>
    <w:lvl w:ilvl="0">
      <w:start w:val="2"/>
      <w:numFmt w:val="decimal"/>
      <w:lvlText w:val="%1."/>
      <w:lvlJc w:val="left"/>
      <w:pPr>
        <w:tabs>
          <w:tab w:val="num" w:pos="2810"/>
        </w:tabs>
        <w:ind w:left="2810" w:hanging="360"/>
      </w:pPr>
      <w:rPr>
        <w:rFonts w:hint="default"/>
      </w:rPr>
    </w:lvl>
    <w:lvl w:ilvl="1">
      <w:start w:val="2"/>
      <w:numFmt w:val="lowerLetter"/>
      <w:lvlText w:val="%2."/>
      <w:lvlJc w:val="left"/>
      <w:pPr>
        <w:tabs>
          <w:tab w:val="num" w:pos="3530"/>
        </w:tabs>
        <w:ind w:left="3530" w:hanging="360"/>
      </w:pPr>
      <w:rPr>
        <w:rFonts w:hint="default"/>
      </w:rPr>
    </w:lvl>
    <w:lvl w:ilvl="2" w:tentative="1">
      <w:start w:val="1"/>
      <w:numFmt w:val="lowerRoman"/>
      <w:lvlText w:val="%3."/>
      <w:lvlJc w:val="right"/>
      <w:pPr>
        <w:tabs>
          <w:tab w:val="num" w:pos="4250"/>
        </w:tabs>
        <w:ind w:left="4250" w:hanging="180"/>
      </w:pPr>
    </w:lvl>
    <w:lvl w:ilvl="3" w:tentative="1">
      <w:start w:val="1"/>
      <w:numFmt w:val="decimal"/>
      <w:lvlText w:val="%4."/>
      <w:lvlJc w:val="left"/>
      <w:pPr>
        <w:tabs>
          <w:tab w:val="num" w:pos="4970"/>
        </w:tabs>
        <w:ind w:left="4970" w:hanging="360"/>
      </w:pPr>
    </w:lvl>
    <w:lvl w:ilvl="4" w:tentative="1">
      <w:start w:val="1"/>
      <w:numFmt w:val="lowerLetter"/>
      <w:lvlText w:val="%5."/>
      <w:lvlJc w:val="left"/>
      <w:pPr>
        <w:tabs>
          <w:tab w:val="num" w:pos="5690"/>
        </w:tabs>
        <w:ind w:left="5690" w:hanging="360"/>
      </w:pPr>
    </w:lvl>
    <w:lvl w:ilvl="5" w:tentative="1">
      <w:start w:val="1"/>
      <w:numFmt w:val="lowerRoman"/>
      <w:lvlText w:val="%6."/>
      <w:lvlJc w:val="right"/>
      <w:pPr>
        <w:tabs>
          <w:tab w:val="num" w:pos="6410"/>
        </w:tabs>
        <w:ind w:left="6410" w:hanging="180"/>
      </w:pPr>
    </w:lvl>
    <w:lvl w:ilvl="6" w:tentative="1">
      <w:start w:val="1"/>
      <w:numFmt w:val="decimal"/>
      <w:lvlText w:val="%7."/>
      <w:lvlJc w:val="left"/>
      <w:pPr>
        <w:tabs>
          <w:tab w:val="num" w:pos="7130"/>
        </w:tabs>
        <w:ind w:left="7130" w:hanging="360"/>
      </w:pPr>
    </w:lvl>
    <w:lvl w:ilvl="7" w:tentative="1">
      <w:start w:val="1"/>
      <w:numFmt w:val="lowerLetter"/>
      <w:lvlText w:val="%8."/>
      <w:lvlJc w:val="left"/>
      <w:pPr>
        <w:tabs>
          <w:tab w:val="num" w:pos="7850"/>
        </w:tabs>
        <w:ind w:left="7850" w:hanging="360"/>
      </w:pPr>
    </w:lvl>
    <w:lvl w:ilvl="8" w:tentative="1">
      <w:start w:val="1"/>
      <w:numFmt w:val="lowerRoman"/>
      <w:lvlText w:val="%9."/>
      <w:lvlJc w:val="right"/>
      <w:pPr>
        <w:tabs>
          <w:tab w:val="num" w:pos="8570"/>
        </w:tabs>
        <w:ind w:left="8570" w:hanging="180"/>
      </w:pPr>
    </w:lvl>
  </w:abstractNum>
  <w:abstractNum w:abstractNumId="29">
    <w:nsid w:val="5A246766"/>
    <w:multiLevelType w:val="hybridMultilevel"/>
    <w:tmpl w:val="580E891E"/>
    <w:lvl w:ilvl="0">
      <w:start w:val="2010"/>
      <w:numFmt w:val="bullet"/>
      <w:lvlText w:val="-"/>
      <w:lvlJc w:val="left"/>
      <w:pPr>
        <w:tabs>
          <w:tab w:val="num" w:pos="405"/>
        </w:tabs>
        <w:ind w:left="405" w:hanging="360"/>
      </w:pPr>
      <w:rPr>
        <w:rFonts w:ascii="Arial" w:eastAsia="Times New Roman" w:hAnsi="Arial" w:cs="Arial" w:hint="default"/>
      </w:rPr>
    </w:lvl>
    <w:lvl w:ilvl="1" w:tentative="1">
      <w:start w:val="1"/>
      <w:numFmt w:val="bullet"/>
      <w:lvlText w:val="o"/>
      <w:lvlJc w:val="left"/>
      <w:pPr>
        <w:tabs>
          <w:tab w:val="num" w:pos="1125"/>
        </w:tabs>
        <w:ind w:left="1125" w:hanging="360"/>
      </w:pPr>
      <w:rPr>
        <w:rFonts w:ascii="Courier New" w:hAnsi="Courier New" w:cs="Courier New" w:hint="default"/>
      </w:rPr>
    </w:lvl>
    <w:lvl w:ilvl="2" w:tentative="1">
      <w:start w:val="1"/>
      <w:numFmt w:val="bullet"/>
      <w:lvlText w:val=""/>
      <w:lvlJc w:val="left"/>
      <w:pPr>
        <w:tabs>
          <w:tab w:val="num" w:pos="1845"/>
        </w:tabs>
        <w:ind w:left="1845" w:hanging="360"/>
      </w:pPr>
      <w:rPr>
        <w:rFonts w:ascii="Wingdings" w:hAnsi="Wingdings" w:hint="default"/>
      </w:rPr>
    </w:lvl>
    <w:lvl w:ilvl="3" w:tentative="1">
      <w:start w:val="1"/>
      <w:numFmt w:val="bullet"/>
      <w:lvlText w:val=""/>
      <w:lvlJc w:val="left"/>
      <w:pPr>
        <w:tabs>
          <w:tab w:val="num" w:pos="2565"/>
        </w:tabs>
        <w:ind w:left="2565" w:hanging="360"/>
      </w:pPr>
      <w:rPr>
        <w:rFonts w:ascii="Symbol" w:hAnsi="Symbol" w:hint="default"/>
      </w:rPr>
    </w:lvl>
    <w:lvl w:ilvl="4" w:tentative="1">
      <w:start w:val="1"/>
      <w:numFmt w:val="bullet"/>
      <w:lvlText w:val="o"/>
      <w:lvlJc w:val="left"/>
      <w:pPr>
        <w:tabs>
          <w:tab w:val="num" w:pos="3285"/>
        </w:tabs>
        <w:ind w:left="3285" w:hanging="360"/>
      </w:pPr>
      <w:rPr>
        <w:rFonts w:ascii="Courier New" w:hAnsi="Courier New" w:cs="Courier New" w:hint="default"/>
      </w:rPr>
    </w:lvl>
    <w:lvl w:ilvl="5" w:tentative="1">
      <w:start w:val="1"/>
      <w:numFmt w:val="bullet"/>
      <w:lvlText w:val=""/>
      <w:lvlJc w:val="left"/>
      <w:pPr>
        <w:tabs>
          <w:tab w:val="num" w:pos="4005"/>
        </w:tabs>
        <w:ind w:left="4005" w:hanging="360"/>
      </w:pPr>
      <w:rPr>
        <w:rFonts w:ascii="Wingdings" w:hAnsi="Wingdings" w:hint="default"/>
      </w:rPr>
    </w:lvl>
    <w:lvl w:ilvl="6" w:tentative="1">
      <w:start w:val="1"/>
      <w:numFmt w:val="bullet"/>
      <w:lvlText w:val=""/>
      <w:lvlJc w:val="left"/>
      <w:pPr>
        <w:tabs>
          <w:tab w:val="num" w:pos="4725"/>
        </w:tabs>
        <w:ind w:left="4725" w:hanging="360"/>
      </w:pPr>
      <w:rPr>
        <w:rFonts w:ascii="Symbol" w:hAnsi="Symbol" w:hint="default"/>
      </w:rPr>
    </w:lvl>
    <w:lvl w:ilvl="7" w:tentative="1">
      <w:start w:val="1"/>
      <w:numFmt w:val="bullet"/>
      <w:lvlText w:val="o"/>
      <w:lvlJc w:val="left"/>
      <w:pPr>
        <w:tabs>
          <w:tab w:val="num" w:pos="5445"/>
        </w:tabs>
        <w:ind w:left="5445" w:hanging="360"/>
      </w:pPr>
      <w:rPr>
        <w:rFonts w:ascii="Courier New" w:hAnsi="Courier New" w:cs="Courier New" w:hint="default"/>
      </w:rPr>
    </w:lvl>
    <w:lvl w:ilvl="8" w:tentative="1">
      <w:start w:val="1"/>
      <w:numFmt w:val="bullet"/>
      <w:lvlText w:val=""/>
      <w:lvlJc w:val="left"/>
      <w:pPr>
        <w:tabs>
          <w:tab w:val="num" w:pos="6165"/>
        </w:tabs>
        <w:ind w:left="6165" w:hanging="360"/>
      </w:pPr>
      <w:rPr>
        <w:rFonts w:ascii="Wingdings" w:hAnsi="Wingdings" w:hint="default"/>
      </w:rPr>
    </w:lvl>
  </w:abstractNum>
  <w:abstractNum w:abstractNumId="30">
    <w:nsid w:val="65412D59"/>
    <w:multiLevelType w:val="hybridMultilevel"/>
    <w:tmpl w:val="8580E652"/>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66E11790"/>
    <w:multiLevelType w:val="hybridMultilevel"/>
    <w:tmpl w:val="C4DA5566"/>
    <w:lvl w:ilvl="0">
      <w:start w:val="1"/>
      <w:numFmt w:val="bullet"/>
      <w:lvlText w:val=""/>
      <w:lvlJc w:val="left"/>
      <w:pPr>
        <w:tabs>
          <w:tab w:val="num" w:pos="0"/>
        </w:tabs>
        <w:ind w:left="216" w:hanging="216"/>
      </w:pPr>
      <w:rPr>
        <w:rFonts w:ascii="Symbol" w:hAnsi="Symbol" w:cs="Times New Roman" w:hint="default"/>
        <w:sz w:val="16"/>
      </w:rPr>
    </w:lvl>
    <w:lvl w:ilvl="1">
      <w:start w:val="1"/>
      <w:numFmt w:val="bullet"/>
      <w:lvlText w:val="o"/>
      <w:lvlJc w:val="left"/>
      <w:pPr>
        <w:tabs>
          <w:tab w:val="num" w:pos="1440"/>
        </w:tabs>
        <w:ind w:left="1440" w:hanging="360"/>
      </w:pPr>
      <w:rPr>
        <w:rFonts w:ascii="Courier New" w:hAnsi="Courier New" w:cs="Courier New" w:hint="default"/>
        <w:sz w:val="16"/>
      </w:rPr>
    </w:lvl>
    <w:lvl w:ilvl="2">
      <w:start w:val="1"/>
      <w:numFmt w:val="bullet"/>
      <w:lvlText w:val=""/>
      <w:lvlJc w:val="left"/>
      <w:pPr>
        <w:tabs>
          <w:tab w:val="num" w:pos="1800"/>
        </w:tabs>
        <w:ind w:left="2016" w:hanging="216"/>
      </w:pPr>
      <w:rPr>
        <w:rFonts w:ascii="Symbol" w:hAnsi="Symbol" w:cs="Times New Roman" w:hint="default"/>
        <w:sz w:val="16"/>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690A6FA0"/>
    <w:multiLevelType w:val="hybridMultilevel"/>
    <w:tmpl w:val="B68C87D4"/>
    <w:lvl w:ilvl="0">
      <w:start w:val="1"/>
      <w:numFmt w:val="bullet"/>
      <w:lvlText w:val=""/>
      <w:lvlJc w:val="left"/>
      <w:pPr>
        <w:tabs>
          <w:tab w:val="num" w:pos="0"/>
        </w:tabs>
        <w:ind w:left="216" w:hanging="216"/>
      </w:pPr>
      <w:rPr>
        <w:rFonts w:ascii="Symbol" w:hAnsi="Symbol" w:cs="Times New Roman"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6F00E427"/>
    <w:multiLevelType w:val="hybridMultilevel"/>
    <w:tmpl w:val="FFFFFFFF"/>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4">
    <w:nsid w:val="73764AC1"/>
    <w:multiLevelType w:val="hybridMultilevel"/>
    <w:tmpl w:val="EEC241E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296" w:hanging="216"/>
      </w:pPr>
      <w:rPr>
        <w:rFonts w:ascii="Symbol" w:hAnsi="Symbol" w:cs="Times New Roman" w:hint="default"/>
        <w:sz w:val="24"/>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nsid w:val="738BDF1F"/>
    <w:multiLevelType w:val="hybridMultilevel"/>
    <w:tmpl w:val="FFFFFFFF"/>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6">
    <w:nsid w:val="7562138E"/>
    <w:multiLevelType w:val="hybridMultilevel"/>
    <w:tmpl w:val="A8D8EF0C"/>
    <w:lvl w:ilvl="0">
      <w:start w:val="1"/>
      <w:numFmt w:val="bullet"/>
      <w:lvlText w:val=""/>
      <w:lvlJc w:val="left"/>
      <w:pPr>
        <w:tabs>
          <w:tab w:val="num" w:pos="360"/>
        </w:tabs>
        <w:ind w:left="576" w:hanging="216"/>
      </w:pPr>
      <w:rPr>
        <w:rFonts w:ascii="Symbol" w:hAnsi="Symbol" w:cs="Times New Roman" w:hint="default"/>
        <w:color w:val="auto"/>
        <w:sz w:val="28"/>
        <w:szCs w:val="2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nsid w:val="7E3DD280"/>
    <w:multiLevelType w:val="hybridMultilevel"/>
    <w:tmpl w:val="EFE009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nsid w:val="7E4E4DD3"/>
    <w:multiLevelType w:val="hybridMultilevel"/>
    <w:tmpl w:val="DFBE2616"/>
    <w:lvl w:ilvl="0">
      <w:start w:val="1"/>
      <w:numFmt w:val="decimal"/>
      <w:pStyle w:val="FERCparanumber"/>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nsid w:val="7F1A5133"/>
    <w:multiLevelType w:val="hybridMultilevel"/>
    <w:tmpl w:val="3FD653A8"/>
    <w:lvl w:ilvl="0">
      <w:start w:val="2010"/>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038242042">
    <w:abstractNumId w:val="37"/>
  </w:num>
  <w:num w:numId="2" w16cid:durableId="1889340234">
    <w:abstractNumId w:val="26"/>
  </w:num>
  <w:num w:numId="3" w16cid:durableId="1332874154">
    <w:abstractNumId w:val="39"/>
  </w:num>
  <w:num w:numId="4" w16cid:durableId="1266620232">
    <w:abstractNumId w:val="34"/>
  </w:num>
  <w:num w:numId="5" w16cid:durableId="695153170">
    <w:abstractNumId w:val="23"/>
  </w:num>
  <w:num w:numId="6" w16cid:durableId="1139614364">
    <w:abstractNumId w:val="28"/>
  </w:num>
  <w:num w:numId="7" w16cid:durableId="1224373349">
    <w:abstractNumId w:val="13"/>
  </w:num>
  <w:num w:numId="8" w16cid:durableId="1963345008">
    <w:abstractNumId w:val="27"/>
  </w:num>
  <w:num w:numId="9" w16cid:durableId="1672678563">
    <w:abstractNumId w:val="17"/>
  </w:num>
  <w:num w:numId="10" w16cid:durableId="760099667">
    <w:abstractNumId w:val="10"/>
  </w:num>
  <w:num w:numId="11" w16cid:durableId="657073610">
    <w:abstractNumId w:val="18"/>
  </w:num>
  <w:num w:numId="12" w16cid:durableId="515732677">
    <w:abstractNumId w:val="1"/>
  </w:num>
  <w:num w:numId="13" w16cid:durableId="1811434372">
    <w:abstractNumId w:val="32"/>
  </w:num>
  <w:num w:numId="14" w16cid:durableId="24603080">
    <w:abstractNumId w:val="16"/>
  </w:num>
  <w:num w:numId="15" w16cid:durableId="283116248">
    <w:abstractNumId w:val="31"/>
  </w:num>
  <w:num w:numId="16" w16cid:durableId="463889437">
    <w:abstractNumId w:val="30"/>
  </w:num>
  <w:num w:numId="17" w16cid:durableId="597838128">
    <w:abstractNumId w:val="21"/>
  </w:num>
  <w:num w:numId="18" w16cid:durableId="1202478775">
    <w:abstractNumId w:val="20"/>
  </w:num>
  <w:num w:numId="19" w16cid:durableId="1775855366">
    <w:abstractNumId w:val="38"/>
  </w:num>
  <w:num w:numId="20" w16cid:durableId="515853538">
    <w:abstractNumId w:val="2"/>
  </w:num>
  <w:num w:numId="21" w16cid:durableId="24184787">
    <w:abstractNumId w:val="29"/>
  </w:num>
  <w:num w:numId="22" w16cid:durableId="1508013831">
    <w:abstractNumId w:val="24"/>
  </w:num>
  <w:num w:numId="23" w16cid:durableId="696854202">
    <w:abstractNumId w:val="36"/>
  </w:num>
  <w:num w:numId="24" w16cid:durableId="1879276293">
    <w:abstractNumId w:val="9"/>
  </w:num>
  <w:num w:numId="25" w16cid:durableId="629552019">
    <w:abstractNumId w:val="5"/>
  </w:num>
  <w:num w:numId="26" w16cid:durableId="1972055174">
    <w:abstractNumId w:val="25"/>
  </w:num>
  <w:num w:numId="27" w16cid:durableId="1661080072">
    <w:abstractNumId w:val="8"/>
  </w:num>
  <w:num w:numId="28" w16cid:durableId="798380603">
    <w:abstractNumId w:val="14"/>
  </w:num>
  <w:num w:numId="29" w16cid:durableId="23101517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12474468">
    <w:abstractNumId w:val="7"/>
  </w:num>
  <w:num w:numId="31" w16cid:durableId="181626570">
    <w:abstractNumId w:val="22"/>
  </w:num>
  <w:num w:numId="32" w16cid:durableId="617684259">
    <w:abstractNumId w:val="6"/>
  </w:num>
  <w:num w:numId="33" w16cid:durableId="1226376780">
    <w:abstractNumId w:val="19"/>
  </w:num>
  <w:num w:numId="34" w16cid:durableId="579562306">
    <w:abstractNumId w:val="11"/>
  </w:num>
  <w:num w:numId="35" w16cid:durableId="1073356159">
    <w:abstractNumId w:val="15"/>
  </w:num>
  <w:num w:numId="36" w16cid:durableId="668993272">
    <w:abstractNumId w:val="12"/>
  </w:num>
  <w:num w:numId="37" w16cid:durableId="1059550738">
    <w:abstractNumId w:val="35"/>
  </w:num>
  <w:num w:numId="38" w16cid:durableId="668170596">
    <w:abstractNumId w:val="0"/>
  </w:num>
  <w:num w:numId="39" w16cid:durableId="320040541">
    <w:abstractNumId w:val="3"/>
  </w:num>
  <w:num w:numId="40" w16cid:durableId="403529069">
    <w:abstractNumId w:val="33"/>
  </w:num>
  <w:num w:numId="41" w16cid:durableId="20458585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footnotePr>
    <w:footnote w:id="0"/>
    <w:footnote w:id="1"/>
  </w:foot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59C"/>
    <w:rsid w:val="000007CD"/>
    <w:rsid w:val="00001779"/>
    <w:rsid w:val="00002006"/>
    <w:rsid w:val="000044E1"/>
    <w:rsid w:val="0000675D"/>
    <w:rsid w:val="000072D4"/>
    <w:rsid w:val="00010E7C"/>
    <w:rsid w:val="00011602"/>
    <w:rsid w:val="00012137"/>
    <w:rsid w:val="000121C3"/>
    <w:rsid w:val="000123F7"/>
    <w:rsid w:val="00012B1A"/>
    <w:rsid w:val="000138A1"/>
    <w:rsid w:val="00013CC8"/>
    <w:rsid w:val="00013D2D"/>
    <w:rsid w:val="000156A7"/>
    <w:rsid w:val="000156D5"/>
    <w:rsid w:val="000179A0"/>
    <w:rsid w:val="00017D8C"/>
    <w:rsid w:val="00017F39"/>
    <w:rsid w:val="00022087"/>
    <w:rsid w:val="000229DB"/>
    <w:rsid w:val="0002338D"/>
    <w:rsid w:val="000275E5"/>
    <w:rsid w:val="00030598"/>
    <w:rsid w:val="00030DEE"/>
    <w:rsid w:val="00031C77"/>
    <w:rsid w:val="00034421"/>
    <w:rsid w:val="00036E11"/>
    <w:rsid w:val="000374A5"/>
    <w:rsid w:val="00037714"/>
    <w:rsid w:val="000403A2"/>
    <w:rsid w:val="000416E2"/>
    <w:rsid w:val="0004771F"/>
    <w:rsid w:val="00057251"/>
    <w:rsid w:val="0005733F"/>
    <w:rsid w:val="00060D22"/>
    <w:rsid w:val="0006308E"/>
    <w:rsid w:val="00067B3D"/>
    <w:rsid w:val="00067D59"/>
    <w:rsid w:val="00067EB6"/>
    <w:rsid w:val="00072035"/>
    <w:rsid w:val="00073BDF"/>
    <w:rsid w:val="0007618E"/>
    <w:rsid w:val="000812E3"/>
    <w:rsid w:val="000840E3"/>
    <w:rsid w:val="00087711"/>
    <w:rsid w:val="00087B55"/>
    <w:rsid w:val="00087B93"/>
    <w:rsid w:val="000941A8"/>
    <w:rsid w:val="00094646"/>
    <w:rsid w:val="00094C45"/>
    <w:rsid w:val="0009591A"/>
    <w:rsid w:val="00095E31"/>
    <w:rsid w:val="00097A55"/>
    <w:rsid w:val="000A007A"/>
    <w:rsid w:val="000A1276"/>
    <w:rsid w:val="000A1968"/>
    <w:rsid w:val="000A4E7B"/>
    <w:rsid w:val="000A79F1"/>
    <w:rsid w:val="000B711F"/>
    <w:rsid w:val="000B76D4"/>
    <w:rsid w:val="000C108C"/>
    <w:rsid w:val="000C2067"/>
    <w:rsid w:val="000C228A"/>
    <w:rsid w:val="000C289F"/>
    <w:rsid w:val="000C2DC4"/>
    <w:rsid w:val="000C371F"/>
    <w:rsid w:val="000C4FAB"/>
    <w:rsid w:val="000D1E33"/>
    <w:rsid w:val="000D3DD1"/>
    <w:rsid w:val="000D7AEE"/>
    <w:rsid w:val="000E1224"/>
    <w:rsid w:val="000E1946"/>
    <w:rsid w:val="000E3124"/>
    <w:rsid w:val="000E375F"/>
    <w:rsid w:val="000E3F07"/>
    <w:rsid w:val="000E4429"/>
    <w:rsid w:val="000E4C98"/>
    <w:rsid w:val="000E6414"/>
    <w:rsid w:val="000E78EF"/>
    <w:rsid w:val="000E7F94"/>
    <w:rsid w:val="000F1EC5"/>
    <w:rsid w:val="000F2A6E"/>
    <w:rsid w:val="000F2C42"/>
    <w:rsid w:val="000F41E7"/>
    <w:rsid w:val="000F5484"/>
    <w:rsid w:val="000F659C"/>
    <w:rsid w:val="000F7B20"/>
    <w:rsid w:val="001008C2"/>
    <w:rsid w:val="0010220D"/>
    <w:rsid w:val="001102DE"/>
    <w:rsid w:val="00112C21"/>
    <w:rsid w:val="0011432E"/>
    <w:rsid w:val="00114C07"/>
    <w:rsid w:val="001159B2"/>
    <w:rsid w:val="001175E4"/>
    <w:rsid w:val="00125A25"/>
    <w:rsid w:val="00126AFC"/>
    <w:rsid w:val="0013310A"/>
    <w:rsid w:val="001334CB"/>
    <w:rsid w:val="001343CA"/>
    <w:rsid w:val="0013562B"/>
    <w:rsid w:val="00140172"/>
    <w:rsid w:val="0014112D"/>
    <w:rsid w:val="001445BD"/>
    <w:rsid w:val="00144CDE"/>
    <w:rsid w:val="00145475"/>
    <w:rsid w:val="00146240"/>
    <w:rsid w:val="001531B8"/>
    <w:rsid w:val="00153749"/>
    <w:rsid w:val="0015386E"/>
    <w:rsid w:val="0015574D"/>
    <w:rsid w:val="00155FD2"/>
    <w:rsid w:val="00156973"/>
    <w:rsid w:val="00157271"/>
    <w:rsid w:val="00157FCE"/>
    <w:rsid w:val="0016057D"/>
    <w:rsid w:val="00162248"/>
    <w:rsid w:val="00162C34"/>
    <w:rsid w:val="001651FE"/>
    <w:rsid w:val="00165A84"/>
    <w:rsid w:val="001667B8"/>
    <w:rsid w:val="00167240"/>
    <w:rsid w:val="00170914"/>
    <w:rsid w:val="00172D01"/>
    <w:rsid w:val="00174937"/>
    <w:rsid w:val="00180103"/>
    <w:rsid w:val="00181396"/>
    <w:rsid w:val="00181E9B"/>
    <w:rsid w:val="00182E77"/>
    <w:rsid w:val="0018448E"/>
    <w:rsid w:val="00184870"/>
    <w:rsid w:val="00185D0E"/>
    <w:rsid w:val="0019015F"/>
    <w:rsid w:val="001901E5"/>
    <w:rsid w:val="0019089D"/>
    <w:rsid w:val="00190D25"/>
    <w:rsid w:val="00190E96"/>
    <w:rsid w:val="001915B2"/>
    <w:rsid w:val="00193DD0"/>
    <w:rsid w:val="00194638"/>
    <w:rsid w:val="00195FAB"/>
    <w:rsid w:val="001961C3"/>
    <w:rsid w:val="001A3711"/>
    <w:rsid w:val="001A467B"/>
    <w:rsid w:val="001B2C8B"/>
    <w:rsid w:val="001B33A2"/>
    <w:rsid w:val="001B5A5B"/>
    <w:rsid w:val="001B69A3"/>
    <w:rsid w:val="001B7C75"/>
    <w:rsid w:val="001C3190"/>
    <w:rsid w:val="001C3351"/>
    <w:rsid w:val="001C437E"/>
    <w:rsid w:val="001C484D"/>
    <w:rsid w:val="001C5398"/>
    <w:rsid w:val="001D0497"/>
    <w:rsid w:val="001D4723"/>
    <w:rsid w:val="001D4DEB"/>
    <w:rsid w:val="001D4E07"/>
    <w:rsid w:val="001D6DEA"/>
    <w:rsid w:val="001E3BB2"/>
    <w:rsid w:val="001E4181"/>
    <w:rsid w:val="001E4E99"/>
    <w:rsid w:val="001E5E2D"/>
    <w:rsid w:val="001E67B1"/>
    <w:rsid w:val="001F0325"/>
    <w:rsid w:val="001F199B"/>
    <w:rsid w:val="001F259D"/>
    <w:rsid w:val="001F28FA"/>
    <w:rsid w:val="001F3D21"/>
    <w:rsid w:val="001F72BA"/>
    <w:rsid w:val="002012A2"/>
    <w:rsid w:val="002013B5"/>
    <w:rsid w:val="00201447"/>
    <w:rsid w:val="00201A77"/>
    <w:rsid w:val="00202860"/>
    <w:rsid w:val="002028CD"/>
    <w:rsid w:val="00203697"/>
    <w:rsid w:val="002046DF"/>
    <w:rsid w:val="002058B4"/>
    <w:rsid w:val="002060CB"/>
    <w:rsid w:val="0020649B"/>
    <w:rsid w:val="00207438"/>
    <w:rsid w:val="00211A90"/>
    <w:rsid w:val="00211CCA"/>
    <w:rsid w:val="00213FDB"/>
    <w:rsid w:val="002148A9"/>
    <w:rsid w:val="0021575D"/>
    <w:rsid w:val="002216E5"/>
    <w:rsid w:val="00226922"/>
    <w:rsid w:val="002269D4"/>
    <w:rsid w:val="002300D7"/>
    <w:rsid w:val="00231DDE"/>
    <w:rsid w:val="00233571"/>
    <w:rsid w:val="002349EB"/>
    <w:rsid w:val="0023572E"/>
    <w:rsid w:val="002364F9"/>
    <w:rsid w:val="00236C8C"/>
    <w:rsid w:val="002413DD"/>
    <w:rsid w:val="00242C33"/>
    <w:rsid w:val="00246090"/>
    <w:rsid w:val="00246258"/>
    <w:rsid w:val="0024629B"/>
    <w:rsid w:val="0025062A"/>
    <w:rsid w:val="00250708"/>
    <w:rsid w:val="00251497"/>
    <w:rsid w:val="00251706"/>
    <w:rsid w:val="00253CA8"/>
    <w:rsid w:val="00257C76"/>
    <w:rsid w:val="00260D82"/>
    <w:rsid w:val="002612ED"/>
    <w:rsid w:val="002638A9"/>
    <w:rsid w:val="00265FA1"/>
    <w:rsid w:val="00267515"/>
    <w:rsid w:val="00273E26"/>
    <w:rsid w:val="00274486"/>
    <w:rsid w:val="00275D06"/>
    <w:rsid w:val="00276663"/>
    <w:rsid w:val="00277AB1"/>
    <w:rsid w:val="00281490"/>
    <w:rsid w:val="00285076"/>
    <w:rsid w:val="002851E1"/>
    <w:rsid w:val="00290100"/>
    <w:rsid w:val="0029029F"/>
    <w:rsid w:val="00290769"/>
    <w:rsid w:val="0029150C"/>
    <w:rsid w:val="0029394A"/>
    <w:rsid w:val="002A3339"/>
    <w:rsid w:val="002A4015"/>
    <w:rsid w:val="002A6609"/>
    <w:rsid w:val="002A6B6B"/>
    <w:rsid w:val="002A7C40"/>
    <w:rsid w:val="002B051F"/>
    <w:rsid w:val="002B4C42"/>
    <w:rsid w:val="002B4EE8"/>
    <w:rsid w:val="002B57B3"/>
    <w:rsid w:val="002C0B96"/>
    <w:rsid w:val="002C13A2"/>
    <w:rsid w:val="002C1C2C"/>
    <w:rsid w:val="002C1CC3"/>
    <w:rsid w:val="002C2680"/>
    <w:rsid w:val="002C2A6B"/>
    <w:rsid w:val="002C3AE3"/>
    <w:rsid w:val="002C418A"/>
    <w:rsid w:val="002C62C1"/>
    <w:rsid w:val="002C7CBF"/>
    <w:rsid w:val="002D0291"/>
    <w:rsid w:val="002D09B4"/>
    <w:rsid w:val="002D273E"/>
    <w:rsid w:val="002D41D5"/>
    <w:rsid w:val="002D7A3D"/>
    <w:rsid w:val="002E03BD"/>
    <w:rsid w:val="002E05BD"/>
    <w:rsid w:val="002E4713"/>
    <w:rsid w:val="002E71E5"/>
    <w:rsid w:val="002E7D0D"/>
    <w:rsid w:val="002F08EE"/>
    <w:rsid w:val="002F1D55"/>
    <w:rsid w:val="002F2E6D"/>
    <w:rsid w:val="002F4B0C"/>
    <w:rsid w:val="002F5F96"/>
    <w:rsid w:val="002F79D4"/>
    <w:rsid w:val="003001E2"/>
    <w:rsid w:val="00300F41"/>
    <w:rsid w:val="00301777"/>
    <w:rsid w:val="00302EC5"/>
    <w:rsid w:val="003043B3"/>
    <w:rsid w:val="0030585F"/>
    <w:rsid w:val="00310F28"/>
    <w:rsid w:val="00311164"/>
    <w:rsid w:val="00311374"/>
    <w:rsid w:val="00311B6C"/>
    <w:rsid w:val="00316ED5"/>
    <w:rsid w:val="00317826"/>
    <w:rsid w:val="00317CEF"/>
    <w:rsid w:val="0033202E"/>
    <w:rsid w:val="0033313E"/>
    <w:rsid w:val="00333F7C"/>
    <w:rsid w:val="003343FD"/>
    <w:rsid w:val="0033478C"/>
    <w:rsid w:val="0033526F"/>
    <w:rsid w:val="003365F1"/>
    <w:rsid w:val="00340D12"/>
    <w:rsid w:val="00343441"/>
    <w:rsid w:val="00343676"/>
    <w:rsid w:val="00347D3A"/>
    <w:rsid w:val="00351757"/>
    <w:rsid w:val="003523AA"/>
    <w:rsid w:val="00352B98"/>
    <w:rsid w:val="00352EA9"/>
    <w:rsid w:val="00354C93"/>
    <w:rsid w:val="00357C4B"/>
    <w:rsid w:val="003600C4"/>
    <w:rsid w:val="003600D4"/>
    <w:rsid w:val="00360187"/>
    <w:rsid w:val="0036075E"/>
    <w:rsid w:val="00363ADB"/>
    <w:rsid w:val="003648B9"/>
    <w:rsid w:val="0037407F"/>
    <w:rsid w:val="00374D7C"/>
    <w:rsid w:val="0037685F"/>
    <w:rsid w:val="00376CA7"/>
    <w:rsid w:val="00380B87"/>
    <w:rsid w:val="00381760"/>
    <w:rsid w:val="0038236A"/>
    <w:rsid w:val="003836B1"/>
    <w:rsid w:val="0038479E"/>
    <w:rsid w:val="0038555E"/>
    <w:rsid w:val="003862B7"/>
    <w:rsid w:val="00392BEF"/>
    <w:rsid w:val="00394B38"/>
    <w:rsid w:val="00395976"/>
    <w:rsid w:val="00396927"/>
    <w:rsid w:val="003A245C"/>
    <w:rsid w:val="003A4F19"/>
    <w:rsid w:val="003A5158"/>
    <w:rsid w:val="003A7289"/>
    <w:rsid w:val="003B2E4A"/>
    <w:rsid w:val="003B40C0"/>
    <w:rsid w:val="003B5CA8"/>
    <w:rsid w:val="003B6D3A"/>
    <w:rsid w:val="003C0416"/>
    <w:rsid w:val="003C1055"/>
    <w:rsid w:val="003C19AF"/>
    <w:rsid w:val="003C5CBA"/>
    <w:rsid w:val="003C714F"/>
    <w:rsid w:val="003D18BA"/>
    <w:rsid w:val="003D25AB"/>
    <w:rsid w:val="003D2FBF"/>
    <w:rsid w:val="003D4379"/>
    <w:rsid w:val="003D4A46"/>
    <w:rsid w:val="003D61B9"/>
    <w:rsid w:val="003D679E"/>
    <w:rsid w:val="003D72B7"/>
    <w:rsid w:val="003D759E"/>
    <w:rsid w:val="003E2399"/>
    <w:rsid w:val="003E33D1"/>
    <w:rsid w:val="003E3464"/>
    <w:rsid w:val="003E3E9E"/>
    <w:rsid w:val="003E5F33"/>
    <w:rsid w:val="003F0291"/>
    <w:rsid w:val="003F2E1E"/>
    <w:rsid w:val="003F37F5"/>
    <w:rsid w:val="003F607F"/>
    <w:rsid w:val="0040284A"/>
    <w:rsid w:val="00402E64"/>
    <w:rsid w:val="00404011"/>
    <w:rsid w:val="004065DF"/>
    <w:rsid w:val="004066E9"/>
    <w:rsid w:val="00412DB4"/>
    <w:rsid w:val="004143B9"/>
    <w:rsid w:val="00416D33"/>
    <w:rsid w:val="0042160C"/>
    <w:rsid w:val="00427980"/>
    <w:rsid w:val="00427FA9"/>
    <w:rsid w:val="004312A0"/>
    <w:rsid w:val="00431E9F"/>
    <w:rsid w:val="00432210"/>
    <w:rsid w:val="00434874"/>
    <w:rsid w:val="004355BB"/>
    <w:rsid w:val="004355C6"/>
    <w:rsid w:val="0043560C"/>
    <w:rsid w:val="00435E6F"/>
    <w:rsid w:val="004375ED"/>
    <w:rsid w:val="00440AE5"/>
    <w:rsid w:val="00440B21"/>
    <w:rsid w:val="00443950"/>
    <w:rsid w:val="00446218"/>
    <w:rsid w:val="004466CE"/>
    <w:rsid w:val="00446E71"/>
    <w:rsid w:val="00452E83"/>
    <w:rsid w:val="00453A9D"/>
    <w:rsid w:val="00453B5E"/>
    <w:rsid w:val="00453E93"/>
    <w:rsid w:val="0045466B"/>
    <w:rsid w:val="00454C15"/>
    <w:rsid w:val="00455B14"/>
    <w:rsid w:val="00455C81"/>
    <w:rsid w:val="00455D6A"/>
    <w:rsid w:val="00456294"/>
    <w:rsid w:val="00456853"/>
    <w:rsid w:val="00456D03"/>
    <w:rsid w:val="00457AE4"/>
    <w:rsid w:val="004616B4"/>
    <w:rsid w:val="004640DE"/>
    <w:rsid w:val="0046452F"/>
    <w:rsid w:val="0046573E"/>
    <w:rsid w:val="00466AF1"/>
    <w:rsid w:val="00470645"/>
    <w:rsid w:val="00471C0C"/>
    <w:rsid w:val="00475826"/>
    <w:rsid w:val="00477283"/>
    <w:rsid w:val="00480337"/>
    <w:rsid w:val="00480748"/>
    <w:rsid w:val="0048165A"/>
    <w:rsid w:val="00481EC8"/>
    <w:rsid w:val="00482E6C"/>
    <w:rsid w:val="00482EF7"/>
    <w:rsid w:val="00484368"/>
    <w:rsid w:val="00485EE9"/>
    <w:rsid w:val="00490835"/>
    <w:rsid w:val="00497191"/>
    <w:rsid w:val="004977B9"/>
    <w:rsid w:val="004A1428"/>
    <w:rsid w:val="004A3129"/>
    <w:rsid w:val="004A33C6"/>
    <w:rsid w:val="004A40C4"/>
    <w:rsid w:val="004A4D39"/>
    <w:rsid w:val="004A5141"/>
    <w:rsid w:val="004A57E3"/>
    <w:rsid w:val="004A5AB2"/>
    <w:rsid w:val="004A75A8"/>
    <w:rsid w:val="004B0A62"/>
    <w:rsid w:val="004B20C9"/>
    <w:rsid w:val="004B3429"/>
    <w:rsid w:val="004B5254"/>
    <w:rsid w:val="004B5DD4"/>
    <w:rsid w:val="004C0C50"/>
    <w:rsid w:val="004C1CED"/>
    <w:rsid w:val="004C4D45"/>
    <w:rsid w:val="004C5855"/>
    <w:rsid w:val="004C677B"/>
    <w:rsid w:val="004C6C58"/>
    <w:rsid w:val="004C7CAA"/>
    <w:rsid w:val="004D0015"/>
    <w:rsid w:val="004D1709"/>
    <w:rsid w:val="004D1738"/>
    <w:rsid w:val="004D190F"/>
    <w:rsid w:val="004D1A3F"/>
    <w:rsid w:val="004D221F"/>
    <w:rsid w:val="004D2375"/>
    <w:rsid w:val="004D29C7"/>
    <w:rsid w:val="004D5640"/>
    <w:rsid w:val="004D5FF7"/>
    <w:rsid w:val="004D61DE"/>
    <w:rsid w:val="004D64A6"/>
    <w:rsid w:val="004E167E"/>
    <w:rsid w:val="004E1F9D"/>
    <w:rsid w:val="004E4F99"/>
    <w:rsid w:val="004E53AD"/>
    <w:rsid w:val="004E5D18"/>
    <w:rsid w:val="004E5F6E"/>
    <w:rsid w:val="004F2406"/>
    <w:rsid w:val="004F467F"/>
    <w:rsid w:val="004F50E1"/>
    <w:rsid w:val="004F604B"/>
    <w:rsid w:val="004F65D9"/>
    <w:rsid w:val="004F6CEE"/>
    <w:rsid w:val="004F7E31"/>
    <w:rsid w:val="00500911"/>
    <w:rsid w:val="00501D13"/>
    <w:rsid w:val="00502EB6"/>
    <w:rsid w:val="005030D3"/>
    <w:rsid w:val="00503A19"/>
    <w:rsid w:val="00505509"/>
    <w:rsid w:val="00505C68"/>
    <w:rsid w:val="005110CF"/>
    <w:rsid w:val="005116EA"/>
    <w:rsid w:val="00512F40"/>
    <w:rsid w:val="00514B80"/>
    <w:rsid w:val="00516DA9"/>
    <w:rsid w:val="00517268"/>
    <w:rsid w:val="0052362F"/>
    <w:rsid w:val="00523D29"/>
    <w:rsid w:val="00524FED"/>
    <w:rsid w:val="0052528D"/>
    <w:rsid w:val="005255B4"/>
    <w:rsid w:val="0052676F"/>
    <w:rsid w:val="00530CA3"/>
    <w:rsid w:val="00531501"/>
    <w:rsid w:val="00532EBD"/>
    <w:rsid w:val="005343A2"/>
    <w:rsid w:val="005361BE"/>
    <w:rsid w:val="00536F65"/>
    <w:rsid w:val="00537151"/>
    <w:rsid w:val="005371C3"/>
    <w:rsid w:val="00537AAA"/>
    <w:rsid w:val="00541197"/>
    <w:rsid w:val="00545053"/>
    <w:rsid w:val="00550AB0"/>
    <w:rsid w:val="00550D48"/>
    <w:rsid w:val="00551812"/>
    <w:rsid w:val="00556CC7"/>
    <w:rsid w:val="00557AA8"/>
    <w:rsid w:val="00557FD9"/>
    <w:rsid w:val="00561B12"/>
    <w:rsid w:val="005628C9"/>
    <w:rsid w:val="00564795"/>
    <w:rsid w:val="0056696C"/>
    <w:rsid w:val="005676EF"/>
    <w:rsid w:val="00572852"/>
    <w:rsid w:val="00573C6D"/>
    <w:rsid w:val="00573EAA"/>
    <w:rsid w:val="005756C8"/>
    <w:rsid w:val="005765AC"/>
    <w:rsid w:val="00576B31"/>
    <w:rsid w:val="00577F66"/>
    <w:rsid w:val="00581AAE"/>
    <w:rsid w:val="00581F92"/>
    <w:rsid w:val="00583484"/>
    <w:rsid w:val="00583497"/>
    <w:rsid w:val="00584E56"/>
    <w:rsid w:val="00584F9D"/>
    <w:rsid w:val="0059026C"/>
    <w:rsid w:val="0059177F"/>
    <w:rsid w:val="005919C7"/>
    <w:rsid w:val="00592BD5"/>
    <w:rsid w:val="00595A6F"/>
    <w:rsid w:val="00595AE7"/>
    <w:rsid w:val="005977D7"/>
    <w:rsid w:val="005A1212"/>
    <w:rsid w:val="005A22C9"/>
    <w:rsid w:val="005A3198"/>
    <w:rsid w:val="005A481D"/>
    <w:rsid w:val="005A4FC3"/>
    <w:rsid w:val="005A570F"/>
    <w:rsid w:val="005A7A42"/>
    <w:rsid w:val="005B024E"/>
    <w:rsid w:val="005B096E"/>
    <w:rsid w:val="005B3E69"/>
    <w:rsid w:val="005B5397"/>
    <w:rsid w:val="005B6203"/>
    <w:rsid w:val="005B7848"/>
    <w:rsid w:val="005B7ACF"/>
    <w:rsid w:val="005C1017"/>
    <w:rsid w:val="005C14E4"/>
    <w:rsid w:val="005C16D6"/>
    <w:rsid w:val="005C26AE"/>
    <w:rsid w:val="005C2742"/>
    <w:rsid w:val="005C4598"/>
    <w:rsid w:val="005C4EAC"/>
    <w:rsid w:val="005C7F93"/>
    <w:rsid w:val="005D1CFF"/>
    <w:rsid w:val="005D3D0E"/>
    <w:rsid w:val="005D560C"/>
    <w:rsid w:val="005D5846"/>
    <w:rsid w:val="005D5B40"/>
    <w:rsid w:val="005D6013"/>
    <w:rsid w:val="005D6226"/>
    <w:rsid w:val="005D73E0"/>
    <w:rsid w:val="005E0647"/>
    <w:rsid w:val="005E0890"/>
    <w:rsid w:val="005E1749"/>
    <w:rsid w:val="005E2204"/>
    <w:rsid w:val="005E2ADA"/>
    <w:rsid w:val="005E5872"/>
    <w:rsid w:val="005F0DF2"/>
    <w:rsid w:val="005F3B2F"/>
    <w:rsid w:val="005F3B8C"/>
    <w:rsid w:val="005F5128"/>
    <w:rsid w:val="005F5F64"/>
    <w:rsid w:val="005F6348"/>
    <w:rsid w:val="00610783"/>
    <w:rsid w:val="00610E97"/>
    <w:rsid w:val="006112B9"/>
    <w:rsid w:val="006125DC"/>
    <w:rsid w:val="00614E06"/>
    <w:rsid w:val="00614E89"/>
    <w:rsid w:val="00614EAC"/>
    <w:rsid w:val="0061659D"/>
    <w:rsid w:val="00616B50"/>
    <w:rsid w:val="00617CC0"/>
    <w:rsid w:val="00621F6F"/>
    <w:rsid w:val="00622131"/>
    <w:rsid w:val="00623CCB"/>
    <w:rsid w:val="0062467F"/>
    <w:rsid w:val="00625D99"/>
    <w:rsid w:val="0062649E"/>
    <w:rsid w:val="006270BB"/>
    <w:rsid w:val="006301F1"/>
    <w:rsid w:val="006312C0"/>
    <w:rsid w:val="00632BE3"/>
    <w:rsid w:val="00633121"/>
    <w:rsid w:val="00633514"/>
    <w:rsid w:val="00633CA0"/>
    <w:rsid w:val="00634231"/>
    <w:rsid w:val="006352C9"/>
    <w:rsid w:val="00636977"/>
    <w:rsid w:val="006434A1"/>
    <w:rsid w:val="00644BA2"/>
    <w:rsid w:val="00645DB3"/>
    <w:rsid w:val="0064704C"/>
    <w:rsid w:val="0064735C"/>
    <w:rsid w:val="006501D9"/>
    <w:rsid w:val="006512AD"/>
    <w:rsid w:val="00653666"/>
    <w:rsid w:val="00653E31"/>
    <w:rsid w:val="00656C7E"/>
    <w:rsid w:val="006601E3"/>
    <w:rsid w:val="00661322"/>
    <w:rsid w:val="00661E48"/>
    <w:rsid w:val="00661F6C"/>
    <w:rsid w:val="0066224C"/>
    <w:rsid w:val="00662369"/>
    <w:rsid w:val="00666D14"/>
    <w:rsid w:val="00671929"/>
    <w:rsid w:val="006723C8"/>
    <w:rsid w:val="00673700"/>
    <w:rsid w:val="00673894"/>
    <w:rsid w:val="006761E4"/>
    <w:rsid w:val="00676203"/>
    <w:rsid w:val="006806D2"/>
    <w:rsid w:val="00681485"/>
    <w:rsid w:val="006834F2"/>
    <w:rsid w:val="00683683"/>
    <w:rsid w:val="00684597"/>
    <w:rsid w:val="00684C0F"/>
    <w:rsid w:val="00686BF5"/>
    <w:rsid w:val="00687A95"/>
    <w:rsid w:val="00687B79"/>
    <w:rsid w:val="006905A7"/>
    <w:rsid w:val="00691742"/>
    <w:rsid w:val="006930F2"/>
    <w:rsid w:val="00693627"/>
    <w:rsid w:val="006942AD"/>
    <w:rsid w:val="006944B2"/>
    <w:rsid w:val="006A0138"/>
    <w:rsid w:val="006A04B8"/>
    <w:rsid w:val="006A3576"/>
    <w:rsid w:val="006A3815"/>
    <w:rsid w:val="006A44E1"/>
    <w:rsid w:val="006A47F8"/>
    <w:rsid w:val="006A5B04"/>
    <w:rsid w:val="006A70F2"/>
    <w:rsid w:val="006A73EE"/>
    <w:rsid w:val="006B1198"/>
    <w:rsid w:val="006B12EC"/>
    <w:rsid w:val="006B23A9"/>
    <w:rsid w:val="006B53FA"/>
    <w:rsid w:val="006B5CF8"/>
    <w:rsid w:val="006B636D"/>
    <w:rsid w:val="006C0E44"/>
    <w:rsid w:val="006C11B5"/>
    <w:rsid w:val="006C43DE"/>
    <w:rsid w:val="006C66DF"/>
    <w:rsid w:val="006D054C"/>
    <w:rsid w:val="006D0AB6"/>
    <w:rsid w:val="006D0F06"/>
    <w:rsid w:val="006D109A"/>
    <w:rsid w:val="006D2337"/>
    <w:rsid w:val="006D3351"/>
    <w:rsid w:val="006D3ECF"/>
    <w:rsid w:val="006D4864"/>
    <w:rsid w:val="006D4D20"/>
    <w:rsid w:val="006D629E"/>
    <w:rsid w:val="006E3945"/>
    <w:rsid w:val="006E3EFA"/>
    <w:rsid w:val="006E4936"/>
    <w:rsid w:val="006E528C"/>
    <w:rsid w:val="006E54D5"/>
    <w:rsid w:val="006E695D"/>
    <w:rsid w:val="006E7DEC"/>
    <w:rsid w:val="006F0135"/>
    <w:rsid w:val="006F2258"/>
    <w:rsid w:val="006F23F3"/>
    <w:rsid w:val="006F30DD"/>
    <w:rsid w:val="006F3453"/>
    <w:rsid w:val="006F359C"/>
    <w:rsid w:val="006F6E96"/>
    <w:rsid w:val="006F70B1"/>
    <w:rsid w:val="006F7A9B"/>
    <w:rsid w:val="0070243A"/>
    <w:rsid w:val="00703741"/>
    <w:rsid w:val="0070572A"/>
    <w:rsid w:val="00707CE6"/>
    <w:rsid w:val="00712116"/>
    <w:rsid w:val="007155A2"/>
    <w:rsid w:val="00716629"/>
    <w:rsid w:val="00717193"/>
    <w:rsid w:val="0072064C"/>
    <w:rsid w:val="00721018"/>
    <w:rsid w:val="0072118B"/>
    <w:rsid w:val="00723293"/>
    <w:rsid w:val="0072485B"/>
    <w:rsid w:val="007261FE"/>
    <w:rsid w:val="00726397"/>
    <w:rsid w:val="00732431"/>
    <w:rsid w:val="007324E9"/>
    <w:rsid w:val="00732741"/>
    <w:rsid w:val="00733AA4"/>
    <w:rsid w:val="0073459B"/>
    <w:rsid w:val="007369B1"/>
    <w:rsid w:val="00737223"/>
    <w:rsid w:val="0073754B"/>
    <w:rsid w:val="00737998"/>
    <w:rsid w:val="0074086F"/>
    <w:rsid w:val="00750034"/>
    <w:rsid w:val="00751AC0"/>
    <w:rsid w:val="007530E6"/>
    <w:rsid w:val="007547BB"/>
    <w:rsid w:val="00757EE7"/>
    <w:rsid w:val="00760261"/>
    <w:rsid w:val="00760C10"/>
    <w:rsid w:val="00760E3D"/>
    <w:rsid w:val="00761CBE"/>
    <w:rsid w:val="00761EA1"/>
    <w:rsid w:val="00763057"/>
    <w:rsid w:val="00763B6B"/>
    <w:rsid w:val="00764763"/>
    <w:rsid w:val="00764DF9"/>
    <w:rsid w:val="007657F1"/>
    <w:rsid w:val="007702F0"/>
    <w:rsid w:val="007717E9"/>
    <w:rsid w:val="00771A2A"/>
    <w:rsid w:val="00773385"/>
    <w:rsid w:val="0077550F"/>
    <w:rsid w:val="00777376"/>
    <w:rsid w:val="00780BC1"/>
    <w:rsid w:val="007811C0"/>
    <w:rsid w:val="0078410E"/>
    <w:rsid w:val="00784E2D"/>
    <w:rsid w:val="00785CCE"/>
    <w:rsid w:val="00790EAA"/>
    <w:rsid w:val="00790EB6"/>
    <w:rsid w:val="007920B5"/>
    <w:rsid w:val="00796FE8"/>
    <w:rsid w:val="00797659"/>
    <w:rsid w:val="007A0294"/>
    <w:rsid w:val="007A04DE"/>
    <w:rsid w:val="007A27F6"/>
    <w:rsid w:val="007A64CC"/>
    <w:rsid w:val="007B1541"/>
    <w:rsid w:val="007B19C5"/>
    <w:rsid w:val="007B2319"/>
    <w:rsid w:val="007B4BA3"/>
    <w:rsid w:val="007B4FCE"/>
    <w:rsid w:val="007B5437"/>
    <w:rsid w:val="007B54CB"/>
    <w:rsid w:val="007B6D31"/>
    <w:rsid w:val="007B758E"/>
    <w:rsid w:val="007C18E2"/>
    <w:rsid w:val="007C1C4E"/>
    <w:rsid w:val="007C28D3"/>
    <w:rsid w:val="007C2CF6"/>
    <w:rsid w:val="007C3AF5"/>
    <w:rsid w:val="007C713E"/>
    <w:rsid w:val="007C7510"/>
    <w:rsid w:val="007D0890"/>
    <w:rsid w:val="007D2AC7"/>
    <w:rsid w:val="007D3119"/>
    <w:rsid w:val="007D376B"/>
    <w:rsid w:val="007D4F3E"/>
    <w:rsid w:val="007D7731"/>
    <w:rsid w:val="007E008A"/>
    <w:rsid w:val="007E1872"/>
    <w:rsid w:val="007E33DB"/>
    <w:rsid w:val="007E456C"/>
    <w:rsid w:val="007E52CF"/>
    <w:rsid w:val="007E5EE8"/>
    <w:rsid w:val="007E728B"/>
    <w:rsid w:val="007E7B0C"/>
    <w:rsid w:val="007F2293"/>
    <w:rsid w:val="007F5CD8"/>
    <w:rsid w:val="007F68F3"/>
    <w:rsid w:val="007F6909"/>
    <w:rsid w:val="007F774B"/>
    <w:rsid w:val="0080198A"/>
    <w:rsid w:val="008020C2"/>
    <w:rsid w:val="00802CB8"/>
    <w:rsid w:val="00802D54"/>
    <w:rsid w:val="0080301C"/>
    <w:rsid w:val="00803625"/>
    <w:rsid w:val="00803B78"/>
    <w:rsid w:val="00804E5B"/>
    <w:rsid w:val="008064C3"/>
    <w:rsid w:val="008066D7"/>
    <w:rsid w:val="00807B0C"/>
    <w:rsid w:val="00811980"/>
    <w:rsid w:val="008143E4"/>
    <w:rsid w:val="008146C1"/>
    <w:rsid w:val="00814AA1"/>
    <w:rsid w:val="00814ACC"/>
    <w:rsid w:val="00815EEB"/>
    <w:rsid w:val="008216AE"/>
    <w:rsid w:val="00823CDC"/>
    <w:rsid w:val="008259FD"/>
    <w:rsid w:val="0082686C"/>
    <w:rsid w:val="008272B1"/>
    <w:rsid w:val="0082763F"/>
    <w:rsid w:val="0083225A"/>
    <w:rsid w:val="00834BBD"/>
    <w:rsid w:val="00836000"/>
    <w:rsid w:val="0083EDE9"/>
    <w:rsid w:val="0084005B"/>
    <w:rsid w:val="0084043F"/>
    <w:rsid w:val="0084171D"/>
    <w:rsid w:val="00841D33"/>
    <w:rsid w:val="00841E3F"/>
    <w:rsid w:val="00843C1E"/>
    <w:rsid w:val="00844667"/>
    <w:rsid w:val="00846934"/>
    <w:rsid w:val="0084723A"/>
    <w:rsid w:val="00851639"/>
    <w:rsid w:val="00851D56"/>
    <w:rsid w:val="008558B6"/>
    <w:rsid w:val="00857F3E"/>
    <w:rsid w:val="00862BEC"/>
    <w:rsid w:val="00862C97"/>
    <w:rsid w:val="00865ED8"/>
    <w:rsid w:val="00866561"/>
    <w:rsid w:val="008669D0"/>
    <w:rsid w:val="00870701"/>
    <w:rsid w:val="00870EAA"/>
    <w:rsid w:val="00871544"/>
    <w:rsid w:val="0087442B"/>
    <w:rsid w:val="00874C19"/>
    <w:rsid w:val="00875247"/>
    <w:rsid w:val="00877019"/>
    <w:rsid w:val="00877212"/>
    <w:rsid w:val="008779FB"/>
    <w:rsid w:val="00877BE0"/>
    <w:rsid w:val="00880989"/>
    <w:rsid w:val="00881250"/>
    <w:rsid w:val="008833EC"/>
    <w:rsid w:val="00884179"/>
    <w:rsid w:val="00884FFD"/>
    <w:rsid w:val="00885B84"/>
    <w:rsid w:val="00887A7C"/>
    <w:rsid w:val="008908B6"/>
    <w:rsid w:val="00891D73"/>
    <w:rsid w:val="00892207"/>
    <w:rsid w:val="008928E1"/>
    <w:rsid w:val="0089646D"/>
    <w:rsid w:val="00897A7C"/>
    <w:rsid w:val="008A12B3"/>
    <w:rsid w:val="008A1714"/>
    <w:rsid w:val="008A4741"/>
    <w:rsid w:val="008A59D1"/>
    <w:rsid w:val="008B25DF"/>
    <w:rsid w:val="008B2DA3"/>
    <w:rsid w:val="008B3167"/>
    <w:rsid w:val="008B31AC"/>
    <w:rsid w:val="008B3689"/>
    <w:rsid w:val="008B3F74"/>
    <w:rsid w:val="008B4B23"/>
    <w:rsid w:val="008B5F78"/>
    <w:rsid w:val="008C0849"/>
    <w:rsid w:val="008C1A7E"/>
    <w:rsid w:val="008C21CF"/>
    <w:rsid w:val="008C3105"/>
    <w:rsid w:val="008C3B52"/>
    <w:rsid w:val="008C47B4"/>
    <w:rsid w:val="008C4E1C"/>
    <w:rsid w:val="008C5C84"/>
    <w:rsid w:val="008C72BA"/>
    <w:rsid w:val="008D0694"/>
    <w:rsid w:val="008D0749"/>
    <w:rsid w:val="008D1A46"/>
    <w:rsid w:val="008D38C3"/>
    <w:rsid w:val="008D4F82"/>
    <w:rsid w:val="008D5138"/>
    <w:rsid w:val="008E1676"/>
    <w:rsid w:val="008E1741"/>
    <w:rsid w:val="008E2D33"/>
    <w:rsid w:val="008E33B7"/>
    <w:rsid w:val="008E6437"/>
    <w:rsid w:val="008E7428"/>
    <w:rsid w:val="008E7497"/>
    <w:rsid w:val="008F0531"/>
    <w:rsid w:val="008F07C8"/>
    <w:rsid w:val="008F0905"/>
    <w:rsid w:val="008F0BCE"/>
    <w:rsid w:val="008F1E5D"/>
    <w:rsid w:val="008F27CA"/>
    <w:rsid w:val="008F2CC0"/>
    <w:rsid w:val="008F37FC"/>
    <w:rsid w:val="008F3825"/>
    <w:rsid w:val="008F630A"/>
    <w:rsid w:val="00902C90"/>
    <w:rsid w:val="0091000B"/>
    <w:rsid w:val="00910D2F"/>
    <w:rsid w:val="00913A81"/>
    <w:rsid w:val="00913E01"/>
    <w:rsid w:val="00914126"/>
    <w:rsid w:val="0091536C"/>
    <w:rsid w:val="00915CAE"/>
    <w:rsid w:val="00917F67"/>
    <w:rsid w:val="009208F0"/>
    <w:rsid w:val="00924385"/>
    <w:rsid w:val="00924BE5"/>
    <w:rsid w:val="009251B7"/>
    <w:rsid w:val="00925E9F"/>
    <w:rsid w:val="00926CB1"/>
    <w:rsid w:val="00932354"/>
    <w:rsid w:val="009325A1"/>
    <w:rsid w:val="0093278A"/>
    <w:rsid w:val="009329E6"/>
    <w:rsid w:val="00933136"/>
    <w:rsid w:val="00934FFF"/>
    <w:rsid w:val="0093539B"/>
    <w:rsid w:val="00935961"/>
    <w:rsid w:val="00935DFA"/>
    <w:rsid w:val="009361ED"/>
    <w:rsid w:val="00937187"/>
    <w:rsid w:val="00937506"/>
    <w:rsid w:val="00937B3E"/>
    <w:rsid w:val="00937F12"/>
    <w:rsid w:val="00941662"/>
    <w:rsid w:val="00943D7F"/>
    <w:rsid w:val="00943FF9"/>
    <w:rsid w:val="0094512F"/>
    <w:rsid w:val="0094586A"/>
    <w:rsid w:val="00946D3D"/>
    <w:rsid w:val="009470CB"/>
    <w:rsid w:val="0094791E"/>
    <w:rsid w:val="00947D3F"/>
    <w:rsid w:val="0095042D"/>
    <w:rsid w:val="00951473"/>
    <w:rsid w:val="00952A34"/>
    <w:rsid w:val="009539D7"/>
    <w:rsid w:val="00954FEA"/>
    <w:rsid w:val="00955302"/>
    <w:rsid w:val="009562B1"/>
    <w:rsid w:val="00956FAA"/>
    <w:rsid w:val="00963611"/>
    <w:rsid w:val="0096457B"/>
    <w:rsid w:val="0096552E"/>
    <w:rsid w:val="009655DB"/>
    <w:rsid w:val="00965DE9"/>
    <w:rsid w:val="00967568"/>
    <w:rsid w:val="0097145F"/>
    <w:rsid w:val="0097178B"/>
    <w:rsid w:val="00972A34"/>
    <w:rsid w:val="009802EF"/>
    <w:rsid w:val="0098123B"/>
    <w:rsid w:val="009844DB"/>
    <w:rsid w:val="009844E5"/>
    <w:rsid w:val="00985A56"/>
    <w:rsid w:val="0098621C"/>
    <w:rsid w:val="00987B6A"/>
    <w:rsid w:val="009906D9"/>
    <w:rsid w:val="009920CE"/>
    <w:rsid w:val="009921C2"/>
    <w:rsid w:val="009926CE"/>
    <w:rsid w:val="00992F7D"/>
    <w:rsid w:val="00993238"/>
    <w:rsid w:val="0099347F"/>
    <w:rsid w:val="00993D68"/>
    <w:rsid w:val="009942CD"/>
    <w:rsid w:val="00995D93"/>
    <w:rsid w:val="00997921"/>
    <w:rsid w:val="009A2986"/>
    <w:rsid w:val="009A326B"/>
    <w:rsid w:val="009A444F"/>
    <w:rsid w:val="009A53A1"/>
    <w:rsid w:val="009A610E"/>
    <w:rsid w:val="009A6887"/>
    <w:rsid w:val="009B000E"/>
    <w:rsid w:val="009B13AA"/>
    <w:rsid w:val="009B3308"/>
    <w:rsid w:val="009B3826"/>
    <w:rsid w:val="009B3A97"/>
    <w:rsid w:val="009B5D39"/>
    <w:rsid w:val="009B6D7A"/>
    <w:rsid w:val="009B75A1"/>
    <w:rsid w:val="009C0998"/>
    <w:rsid w:val="009C136F"/>
    <w:rsid w:val="009C161D"/>
    <w:rsid w:val="009C2082"/>
    <w:rsid w:val="009C5780"/>
    <w:rsid w:val="009C6E71"/>
    <w:rsid w:val="009C7B0B"/>
    <w:rsid w:val="009D0597"/>
    <w:rsid w:val="009D3D5B"/>
    <w:rsid w:val="009D4D7B"/>
    <w:rsid w:val="009D6781"/>
    <w:rsid w:val="009E0A47"/>
    <w:rsid w:val="009E1151"/>
    <w:rsid w:val="009E1EC6"/>
    <w:rsid w:val="009E54BB"/>
    <w:rsid w:val="009E5688"/>
    <w:rsid w:val="009E7FC8"/>
    <w:rsid w:val="009F03D5"/>
    <w:rsid w:val="009F0619"/>
    <w:rsid w:val="009F083E"/>
    <w:rsid w:val="009F0C7C"/>
    <w:rsid w:val="009F18E9"/>
    <w:rsid w:val="009F1BDC"/>
    <w:rsid w:val="009F205E"/>
    <w:rsid w:val="009F35BD"/>
    <w:rsid w:val="009F7253"/>
    <w:rsid w:val="00A002DB"/>
    <w:rsid w:val="00A008A6"/>
    <w:rsid w:val="00A02352"/>
    <w:rsid w:val="00A023EF"/>
    <w:rsid w:val="00A04FAC"/>
    <w:rsid w:val="00A05F22"/>
    <w:rsid w:val="00A06F39"/>
    <w:rsid w:val="00A07AD5"/>
    <w:rsid w:val="00A107EB"/>
    <w:rsid w:val="00A13C69"/>
    <w:rsid w:val="00A167BB"/>
    <w:rsid w:val="00A17550"/>
    <w:rsid w:val="00A17E4C"/>
    <w:rsid w:val="00A20C54"/>
    <w:rsid w:val="00A21169"/>
    <w:rsid w:val="00A227FD"/>
    <w:rsid w:val="00A23327"/>
    <w:rsid w:val="00A257A1"/>
    <w:rsid w:val="00A25934"/>
    <w:rsid w:val="00A2798E"/>
    <w:rsid w:val="00A306C3"/>
    <w:rsid w:val="00A31CE2"/>
    <w:rsid w:val="00A31E79"/>
    <w:rsid w:val="00A32380"/>
    <w:rsid w:val="00A32E56"/>
    <w:rsid w:val="00A34269"/>
    <w:rsid w:val="00A35D49"/>
    <w:rsid w:val="00A36BB9"/>
    <w:rsid w:val="00A44083"/>
    <w:rsid w:val="00A46A14"/>
    <w:rsid w:val="00A46A44"/>
    <w:rsid w:val="00A46A92"/>
    <w:rsid w:val="00A471BA"/>
    <w:rsid w:val="00A50732"/>
    <w:rsid w:val="00A508EB"/>
    <w:rsid w:val="00A53074"/>
    <w:rsid w:val="00A543F4"/>
    <w:rsid w:val="00A54DFB"/>
    <w:rsid w:val="00A558FC"/>
    <w:rsid w:val="00A56EB6"/>
    <w:rsid w:val="00A57803"/>
    <w:rsid w:val="00A57DC8"/>
    <w:rsid w:val="00A61486"/>
    <w:rsid w:val="00A62715"/>
    <w:rsid w:val="00A67A94"/>
    <w:rsid w:val="00A73FC2"/>
    <w:rsid w:val="00A75FEC"/>
    <w:rsid w:val="00A76452"/>
    <w:rsid w:val="00A765B6"/>
    <w:rsid w:val="00A77B68"/>
    <w:rsid w:val="00A80413"/>
    <w:rsid w:val="00A80A95"/>
    <w:rsid w:val="00A80B86"/>
    <w:rsid w:val="00A81DC7"/>
    <w:rsid w:val="00A82F51"/>
    <w:rsid w:val="00A834D6"/>
    <w:rsid w:val="00A837A3"/>
    <w:rsid w:val="00A83C53"/>
    <w:rsid w:val="00A8654A"/>
    <w:rsid w:val="00A86B70"/>
    <w:rsid w:val="00A86DD1"/>
    <w:rsid w:val="00A876A6"/>
    <w:rsid w:val="00A975F6"/>
    <w:rsid w:val="00AA267A"/>
    <w:rsid w:val="00AA39FF"/>
    <w:rsid w:val="00AA3B58"/>
    <w:rsid w:val="00AA468A"/>
    <w:rsid w:val="00AA4743"/>
    <w:rsid w:val="00AA4E18"/>
    <w:rsid w:val="00AA64CB"/>
    <w:rsid w:val="00AA758D"/>
    <w:rsid w:val="00AB2B5D"/>
    <w:rsid w:val="00AB6CEC"/>
    <w:rsid w:val="00AB7087"/>
    <w:rsid w:val="00AC2256"/>
    <w:rsid w:val="00AC2728"/>
    <w:rsid w:val="00AC274E"/>
    <w:rsid w:val="00AC2984"/>
    <w:rsid w:val="00AC4314"/>
    <w:rsid w:val="00AC447E"/>
    <w:rsid w:val="00AC5075"/>
    <w:rsid w:val="00AC6B29"/>
    <w:rsid w:val="00AC6D19"/>
    <w:rsid w:val="00AD05AB"/>
    <w:rsid w:val="00AD0858"/>
    <w:rsid w:val="00AD33EC"/>
    <w:rsid w:val="00AD3611"/>
    <w:rsid w:val="00AD4133"/>
    <w:rsid w:val="00AD44B9"/>
    <w:rsid w:val="00AD56BD"/>
    <w:rsid w:val="00AD6245"/>
    <w:rsid w:val="00AD6251"/>
    <w:rsid w:val="00AE0433"/>
    <w:rsid w:val="00AE1DD5"/>
    <w:rsid w:val="00AE6744"/>
    <w:rsid w:val="00AE7FD4"/>
    <w:rsid w:val="00AF017C"/>
    <w:rsid w:val="00AF02AB"/>
    <w:rsid w:val="00AF1F01"/>
    <w:rsid w:val="00AF390B"/>
    <w:rsid w:val="00AF3A46"/>
    <w:rsid w:val="00AF4161"/>
    <w:rsid w:val="00AF4776"/>
    <w:rsid w:val="00AF5772"/>
    <w:rsid w:val="00AF6807"/>
    <w:rsid w:val="00B001D5"/>
    <w:rsid w:val="00B00670"/>
    <w:rsid w:val="00B02967"/>
    <w:rsid w:val="00B03410"/>
    <w:rsid w:val="00B03849"/>
    <w:rsid w:val="00B05C76"/>
    <w:rsid w:val="00B119A7"/>
    <w:rsid w:val="00B1362E"/>
    <w:rsid w:val="00B16DEA"/>
    <w:rsid w:val="00B178A0"/>
    <w:rsid w:val="00B20DE6"/>
    <w:rsid w:val="00B22236"/>
    <w:rsid w:val="00B22B2A"/>
    <w:rsid w:val="00B22D32"/>
    <w:rsid w:val="00B25DCA"/>
    <w:rsid w:val="00B26EF2"/>
    <w:rsid w:val="00B3344D"/>
    <w:rsid w:val="00B33BD8"/>
    <w:rsid w:val="00B3459F"/>
    <w:rsid w:val="00B3542D"/>
    <w:rsid w:val="00B363F2"/>
    <w:rsid w:val="00B3769F"/>
    <w:rsid w:val="00B3777A"/>
    <w:rsid w:val="00B40453"/>
    <w:rsid w:val="00B40C4E"/>
    <w:rsid w:val="00B42989"/>
    <w:rsid w:val="00B44197"/>
    <w:rsid w:val="00B44DCB"/>
    <w:rsid w:val="00B51E68"/>
    <w:rsid w:val="00B54293"/>
    <w:rsid w:val="00B572C1"/>
    <w:rsid w:val="00B62D69"/>
    <w:rsid w:val="00B631F4"/>
    <w:rsid w:val="00B63F0A"/>
    <w:rsid w:val="00B647C3"/>
    <w:rsid w:val="00B652C3"/>
    <w:rsid w:val="00B660D4"/>
    <w:rsid w:val="00B74188"/>
    <w:rsid w:val="00B74794"/>
    <w:rsid w:val="00B7793B"/>
    <w:rsid w:val="00B81A03"/>
    <w:rsid w:val="00B81D8B"/>
    <w:rsid w:val="00B81FA2"/>
    <w:rsid w:val="00B826F4"/>
    <w:rsid w:val="00B827A3"/>
    <w:rsid w:val="00B84E41"/>
    <w:rsid w:val="00B853DA"/>
    <w:rsid w:val="00B8660D"/>
    <w:rsid w:val="00B873A5"/>
    <w:rsid w:val="00B93587"/>
    <w:rsid w:val="00B93844"/>
    <w:rsid w:val="00B9428F"/>
    <w:rsid w:val="00B950BB"/>
    <w:rsid w:val="00B96DF3"/>
    <w:rsid w:val="00B978E1"/>
    <w:rsid w:val="00B97D76"/>
    <w:rsid w:val="00BA019D"/>
    <w:rsid w:val="00BA13E7"/>
    <w:rsid w:val="00BB0D86"/>
    <w:rsid w:val="00BB236B"/>
    <w:rsid w:val="00BB51D7"/>
    <w:rsid w:val="00BB60DA"/>
    <w:rsid w:val="00BB761C"/>
    <w:rsid w:val="00BB76CA"/>
    <w:rsid w:val="00BB7D3A"/>
    <w:rsid w:val="00BC09EF"/>
    <w:rsid w:val="00BC2DBC"/>
    <w:rsid w:val="00BC49A0"/>
    <w:rsid w:val="00BC56D1"/>
    <w:rsid w:val="00BC5C40"/>
    <w:rsid w:val="00BC623D"/>
    <w:rsid w:val="00BC6507"/>
    <w:rsid w:val="00BC7E6C"/>
    <w:rsid w:val="00BD3DAC"/>
    <w:rsid w:val="00BD4013"/>
    <w:rsid w:val="00BD589C"/>
    <w:rsid w:val="00BD7060"/>
    <w:rsid w:val="00BE05F2"/>
    <w:rsid w:val="00BE22F2"/>
    <w:rsid w:val="00BE2D46"/>
    <w:rsid w:val="00BE4C5B"/>
    <w:rsid w:val="00BF0D42"/>
    <w:rsid w:val="00BF6C94"/>
    <w:rsid w:val="00BF738A"/>
    <w:rsid w:val="00BF73C2"/>
    <w:rsid w:val="00BF77E8"/>
    <w:rsid w:val="00C00DFC"/>
    <w:rsid w:val="00C02702"/>
    <w:rsid w:val="00C031A2"/>
    <w:rsid w:val="00C05628"/>
    <w:rsid w:val="00C07161"/>
    <w:rsid w:val="00C10D5A"/>
    <w:rsid w:val="00C1285A"/>
    <w:rsid w:val="00C133C5"/>
    <w:rsid w:val="00C135D6"/>
    <w:rsid w:val="00C15553"/>
    <w:rsid w:val="00C15DAC"/>
    <w:rsid w:val="00C17C7F"/>
    <w:rsid w:val="00C21B7A"/>
    <w:rsid w:val="00C224BA"/>
    <w:rsid w:val="00C2387A"/>
    <w:rsid w:val="00C24BE9"/>
    <w:rsid w:val="00C252BB"/>
    <w:rsid w:val="00C25546"/>
    <w:rsid w:val="00C25A33"/>
    <w:rsid w:val="00C26848"/>
    <w:rsid w:val="00C326B2"/>
    <w:rsid w:val="00C32B4D"/>
    <w:rsid w:val="00C33524"/>
    <w:rsid w:val="00C34ED8"/>
    <w:rsid w:val="00C34FC3"/>
    <w:rsid w:val="00C361A0"/>
    <w:rsid w:val="00C36E0B"/>
    <w:rsid w:val="00C40596"/>
    <w:rsid w:val="00C40BCC"/>
    <w:rsid w:val="00C42503"/>
    <w:rsid w:val="00C440D2"/>
    <w:rsid w:val="00C44E91"/>
    <w:rsid w:val="00C455E1"/>
    <w:rsid w:val="00C45845"/>
    <w:rsid w:val="00C461EA"/>
    <w:rsid w:val="00C46632"/>
    <w:rsid w:val="00C47B89"/>
    <w:rsid w:val="00C50D0D"/>
    <w:rsid w:val="00C50EAF"/>
    <w:rsid w:val="00C514C4"/>
    <w:rsid w:val="00C51D83"/>
    <w:rsid w:val="00C523EC"/>
    <w:rsid w:val="00C53E0C"/>
    <w:rsid w:val="00C5462E"/>
    <w:rsid w:val="00C5744F"/>
    <w:rsid w:val="00C60045"/>
    <w:rsid w:val="00C60BF1"/>
    <w:rsid w:val="00C60EF2"/>
    <w:rsid w:val="00C64C58"/>
    <w:rsid w:val="00C66296"/>
    <w:rsid w:val="00C6672A"/>
    <w:rsid w:val="00C718FD"/>
    <w:rsid w:val="00C71C1C"/>
    <w:rsid w:val="00C75CA8"/>
    <w:rsid w:val="00C768DB"/>
    <w:rsid w:val="00C77885"/>
    <w:rsid w:val="00C806D5"/>
    <w:rsid w:val="00C80785"/>
    <w:rsid w:val="00C809B2"/>
    <w:rsid w:val="00C809BE"/>
    <w:rsid w:val="00C84EBD"/>
    <w:rsid w:val="00C869D1"/>
    <w:rsid w:val="00C870BB"/>
    <w:rsid w:val="00C870C7"/>
    <w:rsid w:val="00C91D6F"/>
    <w:rsid w:val="00C92772"/>
    <w:rsid w:val="00C949BB"/>
    <w:rsid w:val="00CA08FB"/>
    <w:rsid w:val="00CA0E9A"/>
    <w:rsid w:val="00CA217E"/>
    <w:rsid w:val="00CA27D8"/>
    <w:rsid w:val="00CA30A3"/>
    <w:rsid w:val="00CA3496"/>
    <w:rsid w:val="00CA5A06"/>
    <w:rsid w:val="00CA6EF7"/>
    <w:rsid w:val="00CB0A36"/>
    <w:rsid w:val="00CB10BA"/>
    <w:rsid w:val="00CB1C82"/>
    <w:rsid w:val="00CB1D11"/>
    <w:rsid w:val="00CB320D"/>
    <w:rsid w:val="00CB4B51"/>
    <w:rsid w:val="00CB748E"/>
    <w:rsid w:val="00CC009C"/>
    <w:rsid w:val="00CC0E81"/>
    <w:rsid w:val="00CC3CCA"/>
    <w:rsid w:val="00CC48CC"/>
    <w:rsid w:val="00CC6F0F"/>
    <w:rsid w:val="00CD1085"/>
    <w:rsid w:val="00CD32D2"/>
    <w:rsid w:val="00CD34E8"/>
    <w:rsid w:val="00CD5008"/>
    <w:rsid w:val="00CD6F31"/>
    <w:rsid w:val="00CD7AF6"/>
    <w:rsid w:val="00CD7C4E"/>
    <w:rsid w:val="00CE06DD"/>
    <w:rsid w:val="00CE0F59"/>
    <w:rsid w:val="00CE2182"/>
    <w:rsid w:val="00CE2826"/>
    <w:rsid w:val="00CE49E7"/>
    <w:rsid w:val="00CE4AF0"/>
    <w:rsid w:val="00CE7754"/>
    <w:rsid w:val="00CE79AA"/>
    <w:rsid w:val="00CE7F52"/>
    <w:rsid w:val="00CF157B"/>
    <w:rsid w:val="00CF1F22"/>
    <w:rsid w:val="00CF5F8C"/>
    <w:rsid w:val="00CF750D"/>
    <w:rsid w:val="00D01509"/>
    <w:rsid w:val="00D017D3"/>
    <w:rsid w:val="00D023CB"/>
    <w:rsid w:val="00D04190"/>
    <w:rsid w:val="00D047D6"/>
    <w:rsid w:val="00D04FEE"/>
    <w:rsid w:val="00D05929"/>
    <w:rsid w:val="00D06CAF"/>
    <w:rsid w:val="00D07786"/>
    <w:rsid w:val="00D07F51"/>
    <w:rsid w:val="00D118A4"/>
    <w:rsid w:val="00D21465"/>
    <w:rsid w:val="00D21D32"/>
    <w:rsid w:val="00D23050"/>
    <w:rsid w:val="00D23A05"/>
    <w:rsid w:val="00D24EC7"/>
    <w:rsid w:val="00D26061"/>
    <w:rsid w:val="00D27109"/>
    <w:rsid w:val="00D3041D"/>
    <w:rsid w:val="00D313E9"/>
    <w:rsid w:val="00D314B9"/>
    <w:rsid w:val="00D33DB8"/>
    <w:rsid w:val="00D33F59"/>
    <w:rsid w:val="00D36558"/>
    <w:rsid w:val="00D40A0C"/>
    <w:rsid w:val="00D40A46"/>
    <w:rsid w:val="00D421A1"/>
    <w:rsid w:val="00D42867"/>
    <w:rsid w:val="00D439B9"/>
    <w:rsid w:val="00D456FF"/>
    <w:rsid w:val="00D45C4B"/>
    <w:rsid w:val="00D520E5"/>
    <w:rsid w:val="00D533F7"/>
    <w:rsid w:val="00D53AE6"/>
    <w:rsid w:val="00D546D2"/>
    <w:rsid w:val="00D54DDC"/>
    <w:rsid w:val="00D54DE7"/>
    <w:rsid w:val="00D55328"/>
    <w:rsid w:val="00D55F8F"/>
    <w:rsid w:val="00D5632A"/>
    <w:rsid w:val="00D57128"/>
    <w:rsid w:val="00D573BB"/>
    <w:rsid w:val="00D6047F"/>
    <w:rsid w:val="00D718DE"/>
    <w:rsid w:val="00D73441"/>
    <w:rsid w:val="00D7520E"/>
    <w:rsid w:val="00D77E44"/>
    <w:rsid w:val="00D80CC6"/>
    <w:rsid w:val="00D8257A"/>
    <w:rsid w:val="00D8477B"/>
    <w:rsid w:val="00D85BC2"/>
    <w:rsid w:val="00D86CAA"/>
    <w:rsid w:val="00D93FBA"/>
    <w:rsid w:val="00D94174"/>
    <w:rsid w:val="00D96016"/>
    <w:rsid w:val="00D97122"/>
    <w:rsid w:val="00DA1C82"/>
    <w:rsid w:val="00DA1EED"/>
    <w:rsid w:val="00DA31F2"/>
    <w:rsid w:val="00DA3BF5"/>
    <w:rsid w:val="00DA3E7E"/>
    <w:rsid w:val="00DA481F"/>
    <w:rsid w:val="00DA546B"/>
    <w:rsid w:val="00DA55C3"/>
    <w:rsid w:val="00DA5815"/>
    <w:rsid w:val="00DA5D02"/>
    <w:rsid w:val="00DB2F03"/>
    <w:rsid w:val="00DB3508"/>
    <w:rsid w:val="00DB3797"/>
    <w:rsid w:val="00DB7C15"/>
    <w:rsid w:val="00DC15CD"/>
    <w:rsid w:val="00DC1AC9"/>
    <w:rsid w:val="00DC274B"/>
    <w:rsid w:val="00DC3AD2"/>
    <w:rsid w:val="00DC414D"/>
    <w:rsid w:val="00DC6797"/>
    <w:rsid w:val="00DC6899"/>
    <w:rsid w:val="00DC7163"/>
    <w:rsid w:val="00DC72A4"/>
    <w:rsid w:val="00DC757D"/>
    <w:rsid w:val="00DC7C8B"/>
    <w:rsid w:val="00DD0470"/>
    <w:rsid w:val="00DD08BE"/>
    <w:rsid w:val="00DD0DDE"/>
    <w:rsid w:val="00DD210D"/>
    <w:rsid w:val="00DD218E"/>
    <w:rsid w:val="00DD2683"/>
    <w:rsid w:val="00DD2E0F"/>
    <w:rsid w:val="00DD4AD7"/>
    <w:rsid w:val="00DD4FD8"/>
    <w:rsid w:val="00DD52A8"/>
    <w:rsid w:val="00DD726F"/>
    <w:rsid w:val="00DD7D0F"/>
    <w:rsid w:val="00DE050A"/>
    <w:rsid w:val="00DE15B7"/>
    <w:rsid w:val="00DE193F"/>
    <w:rsid w:val="00DE19FE"/>
    <w:rsid w:val="00DE1F04"/>
    <w:rsid w:val="00DE4A86"/>
    <w:rsid w:val="00DF0234"/>
    <w:rsid w:val="00DF2823"/>
    <w:rsid w:val="00DF3A60"/>
    <w:rsid w:val="00DF5FC2"/>
    <w:rsid w:val="00DF7128"/>
    <w:rsid w:val="00E0028B"/>
    <w:rsid w:val="00E035AA"/>
    <w:rsid w:val="00E03622"/>
    <w:rsid w:val="00E03A02"/>
    <w:rsid w:val="00E03F19"/>
    <w:rsid w:val="00E04325"/>
    <w:rsid w:val="00E05587"/>
    <w:rsid w:val="00E05F64"/>
    <w:rsid w:val="00E07958"/>
    <w:rsid w:val="00E104DB"/>
    <w:rsid w:val="00E1180E"/>
    <w:rsid w:val="00E13025"/>
    <w:rsid w:val="00E13761"/>
    <w:rsid w:val="00E15C14"/>
    <w:rsid w:val="00E17815"/>
    <w:rsid w:val="00E20229"/>
    <w:rsid w:val="00E2155B"/>
    <w:rsid w:val="00E2176B"/>
    <w:rsid w:val="00E218CF"/>
    <w:rsid w:val="00E2255F"/>
    <w:rsid w:val="00E25FEA"/>
    <w:rsid w:val="00E34A33"/>
    <w:rsid w:val="00E35581"/>
    <w:rsid w:val="00E3633C"/>
    <w:rsid w:val="00E36BB3"/>
    <w:rsid w:val="00E36F4F"/>
    <w:rsid w:val="00E37CF6"/>
    <w:rsid w:val="00E4061B"/>
    <w:rsid w:val="00E409EE"/>
    <w:rsid w:val="00E41841"/>
    <w:rsid w:val="00E4184E"/>
    <w:rsid w:val="00E43E69"/>
    <w:rsid w:val="00E43EB0"/>
    <w:rsid w:val="00E44ABF"/>
    <w:rsid w:val="00E45147"/>
    <w:rsid w:val="00E47471"/>
    <w:rsid w:val="00E50261"/>
    <w:rsid w:val="00E50489"/>
    <w:rsid w:val="00E51088"/>
    <w:rsid w:val="00E516F8"/>
    <w:rsid w:val="00E530C9"/>
    <w:rsid w:val="00E54154"/>
    <w:rsid w:val="00E5459A"/>
    <w:rsid w:val="00E54753"/>
    <w:rsid w:val="00E54F6C"/>
    <w:rsid w:val="00E553EC"/>
    <w:rsid w:val="00E56129"/>
    <w:rsid w:val="00E56173"/>
    <w:rsid w:val="00E571CB"/>
    <w:rsid w:val="00E6019A"/>
    <w:rsid w:val="00E61212"/>
    <w:rsid w:val="00E65560"/>
    <w:rsid w:val="00E66675"/>
    <w:rsid w:val="00E66D62"/>
    <w:rsid w:val="00E67159"/>
    <w:rsid w:val="00E675A3"/>
    <w:rsid w:val="00E70D76"/>
    <w:rsid w:val="00E7102D"/>
    <w:rsid w:val="00E7353E"/>
    <w:rsid w:val="00E749EC"/>
    <w:rsid w:val="00E75279"/>
    <w:rsid w:val="00E757F2"/>
    <w:rsid w:val="00E800D0"/>
    <w:rsid w:val="00E83265"/>
    <w:rsid w:val="00E8637B"/>
    <w:rsid w:val="00E946F0"/>
    <w:rsid w:val="00E94FAD"/>
    <w:rsid w:val="00E96376"/>
    <w:rsid w:val="00E97D3F"/>
    <w:rsid w:val="00EA3E01"/>
    <w:rsid w:val="00EA41B0"/>
    <w:rsid w:val="00EA51AD"/>
    <w:rsid w:val="00EA64A9"/>
    <w:rsid w:val="00EA6B70"/>
    <w:rsid w:val="00EA746C"/>
    <w:rsid w:val="00EB5720"/>
    <w:rsid w:val="00EB611E"/>
    <w:rsid w:val="00EB6BE6"/>
    <w:rsid w:val="00EB7471"/>
    <w:rsid w:val="00EC0733"/>
    <w:rsid w:val="00EC2B52"/>
    <w:rsid w:val="00EC3A30"/>
    <w:rsid w:val="00EC5251"/>
    <w:rsid w:val="00EC6248"/>
    <w:rsid w:val="00EC703A"/>
    <w:rsid w:val="00EC78D3"/>
    <w:rsid w:val="00EC7F32"/>
    <w:rsid w:val="00ED0353"/>
    <w:rsid w:val="00ED0937"/>
    <w:rsid w:val="00ED09D3"/>
    <w:rsid w:val="00ED0EC8"/>
    <w:rsid w:val="00ED2B6F"/>
    <w:rsid w:val="00ED2D2C"/>
    <w:rsid w:val="00ED3A36"/>
    <w:rsid w:val="00ED45CB"/>
    <w:rsid w:val="00ED4B01"/>
    <w:rsid w:val="00ED5628"/>
    <w:rsid w:val="00ED57B0"/>
    <w:rsid w:val="00ED640C"/>
    <w:rsid w:val="00ED64B8"/>
    <w:rsid w:val="00ED64DF"/>
    <w:rsid w:val="00ED6F0E"/>
    <w:rsid w:val="00ED7745"/>
    <w:rsid w:val="00EE0877"/>
    <w:rsid w:val="00EE1D9E"/>
    <w:rsid w:val="00EE2365"/>
    <w:rsid w:val="00EE459E"/>
    <w:rsid w:val="00EE45C1"/>
    <w:rsid w:val="00EE4B61"/>
    <w:rsid w:val="00EE4B6F"/>
    <w:rsid w:val="00EE5D65"/>
    <w:rsid w:val="00EE67F8"/>
    <w:rsid w:val="00EE6EF0"/>
    <w:rsid w:val="00EE7DFB"/>
    <w:rsid w:val="00EF0C33"/>
    <w:rsid w:val="00EF0E47"/>
    <w:rsid w:val="00EF1CD9"/>
    <w:rsid w:val="00EF286B"/>
    <w:rsid w:val="00EF3663"/>
    <w:rsid w:val="00EF37B0"/>
    <w:rsid w:val="00EF593A"/>
    <w:rsid w:val="00EF69D0"/>
    <w:rsid w:val="00EF72B6"/>
    <w:rsid w:val="00EF784B"/>
    <w:rsid w:val="00F010FD"/>
    <w:rsid w:val="00F02651"/>
    <w:rsid w:val="00F0327F"/>
    <w:rsid w:val="00F036EB"/>
    <w:rsid w:val="00F04C03"/>
    <w:rsid w:val="00F05C30"/>
    <w:rsid w:val="00F072D3"/>
    <w:rsid w:val="00F106AD"/>
    <w:rsid w:val="00F11820"/>
    <w:rsid w:val="00F149D2"/>
    <w:rsid w:val="00F154C4"/>
    <w:rsid w:val="00F155F5"/>
    <w:rsid w:val="00F15CA8"/>
    <w:rsid w:val="00F20B69"/>
    <w:rsid w:val="00F21C4B"/>
    <w:rsid w:val="00F22FC1"/>
    <w:rsid w:val="00F24945"/>
    <w:rsid w:val="00F24B99"/>
    <w:rsid w:val="00F25A72"/>
    <w:rsid w:val="00F25B65"/>
    <w:rsid w:val="00F26E9C"/>
    <w:rsid w:val="00F27195"/>
    <w:rsid w:val="00F308B4"/>
    <w:rsid w:val="00F31283"/>
    <w:rsid w:val="00F314F8"/>
    <w:rsid w:val="00F3599D"/>
    <w:rsid w:val="00F3735F"/>
    <w:rsid w:val="00F37659"/>
    <w:rsid w:val="00F37B40"/>
    <w:rsid w:val="00F42662"/>
    <w:rsid w:val="00F42B68"/>
    <w:rsid w:val="00F42BD6"/>
    <w:rsid w:val="00F42CB9"/>
    <w:rsid w:val="00F4536E"/>
    <w:rsid w:val="00F45371"/>
    <w:rsid w:val="00F453FA"/>
    <w:rsid w:val="00F4630A"/>
    <w:rsid w:val="00F504C7"/>
    <w:rsid w:val="00F507D4"/>
    <w:rsid w:val="00F519C2"/>
    <w:rsid w:val="00F52615"/>
    <w:rsid w:val="00F5501A"/>
    <w:rsid w:val="00F553C3"/>
    <w:rsid w:val="00F5697F"/>
    <w:rsid w:val="00F637A4"/>
    <w:rsid w:val="00F65085"/>
    <w:rsid w:val="00F655CD"/>
    <w:rsid w:val="00F657AF"/>
    <w:rsid w:val="00F671A3"/>
    <w:rsid w:val="00F67EEC"/>
    <w:rsid w:val="00F70014"/>
    <w:rsid w:val="00F7274E"/>
    <w:rsid w:val="00F74375"/>
    <w:rsid w:val="00F750BD"/>
    <w:rsid w:val="00F75DB8"/>
    <w:rsid w:val="00F76865"/>
    <w:rsid w:val="00F77D43"/>
    <w:rsid w:val="00F80828"/>
    <w:rsid w:val="00F81060"/>
    <w:rsid w:val="00F826B1"/>
    <w:rsid w:val="00F85766"/>
    <w:rsid w:val="00F86C8F"/>
    <w:rsid w:val="00F90983"/>
    <w:rsid w:val="00F90E24"/>
    <w:rsid w:val="00F9136A"/>
    <w:rsid w:val="00F91F53"/>
    <w:rsid w:val="00F9459F"/>
    <w:rsid w:val="00F9668C"/>
    <w:rsid w:val="00F97709"/>
    <w:rsid w:val="00F977D4"/>
    <w:rsid w:val="00FA1A82"/>
    <w:rsid w:val="00FA3657"/>
    <w:rsid w:val="00FA5597"/>
    <w:rsid w:val="00FA6438"/>
    <w:rsid w:val="00FA65D3"/>
    <w:rsid w:val="00FA76E3"/>
    <w:rsid w:val="00FB5F61"/>
    <w:rsid w:val="00FC0337"/>
    <w:rsid w:val="00FC15D6"/>
    <w:rsid w:val="00FC17B1"/>
    <w:rsid w:val="00FC36E6"/>
    <w:rsid w:val="00FC77C3"/>
    <w:rsid w:val="00FD14B2"/>
    <w:rsid w:val="00FD15D6"/>
    <w:rsid w:val="00FD3DAA"/>
    <w:rsid w:val="00FD45E5"/>
    <w:rsid w:val="00FD5CCE"/>
    <w:rsid w:val="00FD6A59"/>
    <w:rsid w:val="00FD7726"/>
    <w:rsid w:val="00FD796F"/>
    <w:rsid w:val="00FD7DFF"/>
    <w:rsid w:val="00FE1C9D"/>
    <w:rsid w:val="00FE1DD1"/>
    <w:rsid w:val="00FE2A85"/>
    <w:rsid w:val="00FE2CB3"/>
    <w:rsid w:val="00FE495A"/>
    <w:rsid w:val="00FE5621"/>
    <w:rsid w:val="00FE679B"/>
    <w:rsid w:val="00FF06CC"/>
    <w:rsid w:val="00FF0833"/>
    <w:rsid w:val="00FF0BC3"/>
    <w:rsid w:val="00FF1ED8"/>
    <w:rsid w:val="00FF2511"/>
    <w:rsid w:val="00FF3008"/>
    <w:rsid w:val="00FF37E8"/>
    <w:rsid w:val="00FF4916"/>
    <w:rsid w:val="00FF5166"/>
    <w:rsid w:val="00FF5C9A"/>
    <w:rsid w:val="00FF6CEF"/>
    <w:rsid w:val="00FF79FD"/>
    <w:rsid w:val="00FF7F6C"/>
    <w:rsid w:val="0101C469"/>
    <w:rsid w:val="0AF70524"/>
    <w:rsid w:val="0B0260F5"/>
    <w:rsid w:val="0BE6FE39"/>
    <w:rsid w:val="0E25E8AD"/>
    <w:rsid w:val="0E5826BB"/>
    <w:rsid w:val="0EF66D43"/>
    <w:rsid w:val="125AE8B3"/>
    <w:rsid w:val="14946EA0"/>
    <w:rsid w:val="14C0C366"/>
    <w:rsid w:val="1DFDB4CE"/>
    <w:rsid w:val="1E5858AD"/>
    <w:rsid w:val="2111CD10"/>
    <w:rsid w:val="237798AA"/>
    <w:rsid w:val="26A3ABB3"/>
    <w:rsid w:val="27F3F56B"/>
    <w:rsid w:val="28159525"/>
    <w:rsid w:val="287FCB82"/>
    <w:rsid w:val="2880ECF9"/>
    <w:rsid w:val="2CE0BB3A"/>
    <w:rsid w:val="2EC8BBA4"/>
    <w:rsid w:val="3250DCA8"/>
    <w:rsid w:val="330B31EE"/>
    <w:rsid w:val="37B5483E"/>
    <w:rsid w:val="3CA0ADA5"/>
    <w:rsid w:val="3E286399"/>
    <w:rsid w:val="3EA4345F"/>
    <w:rsid w:val="45AC0B40"/>
    <w:rsid w:val="4A245EB9"/>
    <w:rsid w:val="4B7911FE"/>
    <w:rsid w:val="4C85B1AB"/>
    <w:rsid w:val="4E47F5F2"/>
    <w:rsid w:val="531D3EDD"/>
    <w:rsid w:val="53A2A262"/>
    <w:rsid w:val="53D3F544"/>
    <w:rsid w:val="54682434"/>
    <w:rsid w:val="54C12FFB"/>
    <w:rsid w:val="5538CB9E"/>
    <w:rsid w:val="59D5DCC8"/>
    <w:rsid w:val="5B66796F"/>
    <w:rsid w:val="5C194BD8"/>
    <w:rsid w:val="5D675C49"/>
    <w:rsid w:val="5DA164CB"/>
    <w:rsid w:val="5DB9FFB8"/>
    <w:rsid w:val="603D0214"/>
    <w:rsid w:val="60D4E61C"/>
    <w:rsid w:val="68C08348"/>
    <w:rsid w:val="6935539B"/>
    <w:rsid w:val="69A21C1A"/>
    <w:rsid w:val="6B20F36C"/>
    <w:rsid w:val="6C5C4610"/>
    <w:rsid w:val="6CCE72A1"/>
    <w:rsid w:val="6F5E5B56"/>
    <w:rsid w:val="71774546"/>
    <w:rsid w:val="7263BB19"/>
    <w:rsid w:val="72DC3BB7"/>
    <w:rsid w:val="73C848CE"/>
    <w:rsid w:val="76F51616"/>
    <w:rsid w:val="78C4F670"/>
    <w:rsid w:val="79803890"/>
    <w:rsid w:val="7BEE9411"/>
    <w:rsid w:val="7CBDB8A3"/>
    <w:rsid w:val="7EC4A55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584DE0CC"/>
  <w15:chartTrackingRefBased/>
  <w15:docId w15:val="{BF5FDC14-16AB-4614-A547-EA2237E20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style>
  <w:style w:type="character" w:customStyle="1" w:styleId="Hypertext">
    <w:name w:val="Hypertext"/>
    <w:rPr>
      <w:color w:val="0000FF"/>
      <w:u w:val="single"/>
    </w:rPr>
  </w:style>
  <w:style w:type="paragraph" w:styleId="Header">
    <w:name w:val="header"/>
    <w:basedOn w:val="Normal"/>
    <w:link w:val="HeaderChar"/>
    <w:uiPriority w:val="99"/>
    <w:rsid w:val="003B2E4A"/>
    <w:pPr>
      <w:tabs>
        <w:tab w:val="center" w:pos="4320"/>
        <w:tab w:val="right" w:pos="8640"/>
      </w:tabs>
    </w:pPr>
  </w:style>
  <w:style w:type="paragraph" w:styleId="Footer">
    <w:name w:val="footer"/>
    <w:basedOn w:val="Normal"/>
    <w:link w:val="FooterChar"/>
    <w:uiPriority w:val="99"/>
    <w:rsid w:val="003B2E4A"/>
    <w:pPr>
      <w:tabs>
        <w:tab w:val="center" w:pos="4320"/>
        <w:tab w:val="right" w:pos="8640"/>
      </w:tabs>
    </w:pPr>
  </w:style>
  <w:style w:type="character" w:styleId="PageNumber">
    <w:name w:val="page number"/>
    <w:basedOn w:val="DefaultParagraphFont"/>
    <w:rsid w:val="003B2E4A"/>
  </w:style>
  <w:style w:type="character" w:styleId="Hyperlink">
    <w:name w:val="Hyperlink"/>
    <w:rsid w:val="00A54DFB"/>
    <w:rPr>
      <w:color w:val="0000FF"/>
      <w:u w:val="single"/>
    </w:rPr>
  </w:style>
  <w:style w:type="paragraph" w:styleId="FootnoteText">
    <w:name w:val="footnote text"/>
    <w:aliases w:val=" Char,Char,Footnote Text Char,Footnote Text Char Char,Footnote Text Char Char Char,Footnote Text Char Char Char Char Char1,Footnote Text Char Char1,Footnote Text Char1,Footnote Text Char1 Char,Footnote Text Char1 Char Char Char1,f,fn,ft"/>
    <w:basedOn w:val="Normal"/>
    <w:link w:val="FootnoteTextChar2"/>
    <w:rsid w:val="00D8257A"/>
    <w:rPr>
      <w:sz w:val="20"/>
      <w:szCs w:val="20"/>
    </w:rPr>
  </w:style>
  <w:style w:type="paragraph" w:customStyle="1" w:styleId="Style5">
    <w:name w:val="Style 5"/>
    <w:basedOn w:val="Normal"/>
    <w:rsid w:val="00D8257A"/>
    <w:pPr>
      <w:autoSpaceDE/>
      <w:autoSpaceDN/>
      <w:adjustRightInd/>
      <w:spacing w:line="480" w:lineRule="auto"/>
      <w:ind w:firstLine="720"/>
    </w:pPr>
    <w:rPr>
      <w:noProof/>
      <w:color w:val="000000"/>
      <w:sz w:val="20"/>
      <w:szCs w:val="20"/>
    </w:rPr>
  </w:style>
  <w:style w:type="table" w:styleId="TableGrid">
    <w:name w:val="Table Grid"/>
    <w:basedOn w:val="TableNormal"/>
    <w:rsid w:val="0046452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21D32"/>
    <w:rPr>
      <w:sz w:val="16"/>
      <w:szCs w:val="16"/>
    </w:rPr>
  </w:style>
  <w:style w:type="paragraph" w:styleId="CommentText">
    <w:name w:val="annotation text"/>
    <w:basedOn w:val="Normal"/>
    <w:semiHidden/>
    <w:rsid w:val="00D21D32"/>
    <w:rPr>
      <w:sz w:val="20"/>
      <w:szCs w:val="20"/>
    </w:rPr>
  </w:style>
  <w:style w:type="paragraph" w:styleId="CommentSubject">
    <w:name w:val="annotation subject"/>
    <w:basedOn w:val="CommentText"/>
    <w:next w:val="CommentText"/>
    <w:semiHidden/>
    <w:rsid w:val="00D21D32"/>
    <w:rPr>
      <w:b/>
      <w:bCs/>
    </w:rPr>
  </w:style>
  <w:style w:type="paragraph" w:styleId="BalloonText">
    <w:name w:val="Balloon Text"/>
    <w:basedOn w:val="Normal"/>
    <w:semiHidden/>
    <w:rsid w:val="00D21D32"/>
    <w:rPr>
      <w:rFonts w:ascii="Tahoma" w:hAnsi="Tahoma" w:cs="Tahoma"/>
      <w:sz w:val="16"/>
      <w:szCs w:val="16"/>
    </w:rPr>
  </w:style>
  <w:style w:type="paragraph" w:styleId="NormalWeb">
    <w:name w:val="Normal (Web)"/>
    <w:basedOn w:val="Normal"/>
    <w:rsid w:val="008D0749"/>
    <w:pPr>
      <w:widowControl/>
      <w:autoSpaceDE/>
      <w:autoSpaceDN/>
      <w:adjustRightInd/>
      <w:spacing w:before="100" w:beforeAutospacing="1" w:after="100" w:afterAutospacing="1"/>
    </w:pPr>
  </w:style>
  <w:style w:type="paragraph" w:customStyle="1" w:styleId="Default">
    <w:name w:val="Default"/>
    <w:rsid w:val="00CC0E81"/>
    <w:pPr>
      <w:autoSpaceDE w:val="0"/>
      <w:autoSpaceDN w:val="0"/>
      <w:adjustRightInd w:val="0"/>
    </w:pPr>
    <w:rPr>
      <w:rFonts w:ascii="Verdana" w:hAnsi="Verdana" w:cs="Verdana"/>
      <w:color w:val="000000"/>
      <w:sz w:val="24"/>
      <w:szCs w:val="24"/>
    </w:rPr>
  </w:style>
  <w:style w:type="character" w:customStyle="1" w:styleId="FootnoteTextChar2">
    <w:name w:val="Footnote Text Char2"/>
    <w:aliases w:val=" Char Char,Char Char,Footnote Text Char Char Char Char,Footnote Text Char Char Char1,Footnote Text Char Char1 Char,Footnote Text Char Char2,Footnote Text Char1 Char Char,Footnote Text Char1 Char1,f Char,fn Char,ft Char"/>
    <w:link w:val="FootnoteText"/>
    <w:rsid w:val="000E4429"/>
    <w:rPr>
      <w:lang w:val="en-US" w:eastAsia="en-US" w:bidi="ar-SA"/>
    </w:rPr>
  </w:style>
  <w:style w:type="character" w:customStyle="1" w:styleId="ptext-2">
    <w:name w:val="ptext-2"/>
    <w:basedOn w:val="DefaultParagraphFont"/>
    <w:rsid w:val="00EE0877"/>
  </w:style>
  <w:style w:type="paragraph" w:customStyle="1" w:styleId="CM10">
    <w:name w:val="CM10"/>
    <w:basedOn w:val="Default"/>
    <w:next w:val="Default"/>
    <w:rsid w:val="00ED0EC8"/>
    <w:rPr>
      <w:rFonts w:ascii="Times New Roman" w:hAnsi="Times New Roman" w:cs="Times New Roman"/>
      <w:color w:val="auto"/>
    </w:rPr>
  </w:style>
  <w:style w:type="paragraph" w:customStyle="1" w:styleId="CM11">
    <w:name w:val="CM11"/>
    <w:basedOn w:val="Default"/>
    <w:next w:val="Default"/>
    <w:rsid w:val="00ED0EC8"/>
    <w:rPr>
      <w:rFonts w:ascii="Times New Roman" w:hAnsi="Times New Roman" w:cs="Times New Roman"/>
      <w:color w:val="auto"/>
    </w:rPr>
  </w:style>
  <w:style w:type="paragraph" w:customStyle="1" w:styleId="CM12">
    <w:name w:val="CM12"/>
    <w:basedOn w:val="Default"/>
    <w:next w:val="Default"/>
    <w:rsid w:val="00ED0EC8"/>
    <w:rPr>
      <w:rFonts w:ascii="Times New Roman" w:hAnsi="Times New Roman" w:cs="Times New Roman"/>
      <w:color w:val="auto"/>
    </w:rPr>
  </w:style>
  <w:style w:type="paragraph" w:customStyle="1" w:styleId="CM2">
    <w:name w:val="CM2"/>
    <w:basedOn w:val="Default"/>
    <w:next w:val="Default"/>
    <w:rsid w:val="00ED0EC8"/>
    <w:pPr>
      <w:spacing w:line="526" w:lineRule="atLeast"/>
    </w:pPr>
    <w:rPr>
      <w:rFonts w:ascii="Times New Roman" w:hAnsi="Times New Roman" w:cs="Times New Roman"/>
      <w:color w:val="auto"/>
    </w:rPr>
  </w:style>
  <w:style w:type="paragraph" w:customStyle="1" w:styleId="CM3">
    <w:name w:val="CM3"/>
    <w:basedOn w:val="Default"/>
    <w:next w:val="Default"/>
    <w:rsid w:val="00ED0EC8"/>
    <w:rPr>
      <w:rFonts w:ascii="Times New Roman" w:hAnsi="Times New Roman" w:cs="Times New Roman"/>
      <w:color w:val="auto"/>
    </w:rPr>
  </w:style>
  <w:style w:type="paragraph" w:customStyle="1" w:styleId="CM13">
    <w:name w:val="CM13"/>
    <w:basedOn w:val="Default"/>
    <w:next w:val="Default"/>
    <w:rsid w:val="00ED0EC8"/>
    <w:rPr>
      <w:rFonts w:ascii="Times New Roman" w:hAnsi="Times New Roman" w:cs="Times New Roman"/>
      <w:color w:val="auto"/>
    </w:rPr>
  </w:style>
  <w:style w:type="paragraph" w:customStyle="1" w:styleId="CM4">
    <w:name w:val="CM4"/>
    <w:basedOn w:val="Default"/>
    <w:next w:val="Default"/>
    <w:rsid w:val="00ED0EC8"/>
    <w:pPr>
      <w:spacing w:line="220" w:lineRule="atLeast"/>
    </w:pPr>
    <w:rPr>
      <w:rFonts w:ascii="Times New Roman" w:hAnsi="Times New Roman" w:cs="Times New Roman"/>
      <w:color w:val="auto"/>
    </w:rPr>
  </w:style>
  <w:style w:type="paragraph" w:customStyle="1" w:styleId="CM14">
    <w:name w:val="CM14"/>
    <w:basedOn w:val="Default"/>
    <w:next w:val="Default"/>
    <w:rsid w:val="00ED0EC8"/>
    <w:rPr>
      <w:rFonts w:ascii="Times New Roman" w:hAnsi="Times New Roman" w:cs="Times New Roman"/>
      <w:color w:val="auto"/>
    </w:rPr>
  </w:style>
  <w:style w:type="paragraph" w:customStyle="1" w:styleId="CM5">
    <w:name w:val="CM5"/>
    <w:basedOn w:val="Default"/>
    <w:next w:val="Default"/>
    <w:rsid w:val="00ED0EC8"/>
    <w:rPr>
      <w:rFonts w:ascii="Times New Roman" w:hAnsi="Times New Roman" w:cs="Times New Roman"/>
      <w:color w:val="auto"/>
    </w:rPr>
  </w:style>
  <w:style w:type="paragraph" w:customStyle="1" w:styleId="CM6">
    <w:name w:val="CM6"/>
    <w:basedOn w:val="Default"/>
    <w:next w:val="Default"/>
    <w:rsid w:val="00ED0EC8"/>
    <w:pPr>
      <w:spacing w:line="528" w:lineRule="atLeast"/>
    </w:pPr>
    <w:rPr>
      <w:rFonts w:ascii="Times New Roman" w:hAnsi="Times New Roman" w:cs="Times New Roman"/>
      <w:color w:val="auto"/>
    </w:rPr>
  </w:style>
  <w:style w:type="paragraph" w:customStyle="1" w:styleId="CM15">
    <w:name w:val="CM15"/>
    <w:basedOn w:val="Default"/>
    <w:next w:val="Default"/>
    <w:rsid w:val="00ED0EC8"/>
    <w:rPr>
      <w:rFonts w:ascii="Times New Roman" w:hAnsi="Times New Roman" w:cs="Times New Roman"/>
      <w:color w:val="auto"/>
    </w:rPr>
  </w:style>
  <w:style w:type="paragraph" w:customStyle="1" w:styleId="CM9">
    <w:name w:val="CM9"/>
    <w:basedOn w:val="Default"/>
    <w:next w:val="Default"/>
    <w:rsid w:val="00ED0EC8"/>
    <w:pPr>
      <w:spacing w:line="526" w:lineRule="atLeast"/>
    </w:pPr>
    <w:rPr>
      <w:rFonts w:ascii="Times New Roman" w:hAnsi="Times New Roman" w:cs="Times New Roman"/>
      <w:color w:val="auto"/>
    </w:rPr>
  </w:style>
  <w:style w:type="paragraph" w:customStyle="1" w:styleId="CM16">
    <w:name w:val="CM16"/>
    <w:basedOn w:val="Default"/>
    <w:next w:val="Default"/>
    <w:rsid w:val="00ED0EC8"/>
    <w:rPr>
      <w:rFonts w:ascii="Times New Roman" w:hAnsi="Times New Roman" w:cs="Times New Roman"/>
      <w:color w:val="auto"/>
    </w:rPr>
  </w:style>
  <w:style w:type="paragraph" w:customStyle="1" w:styleId="BodyFootnote">
    <w:name w:val="Body Footnote"/>
    <w:basedOn w:val="FootnoteText"/>
    <w:autoRedefine/>
    <w:rsid w:val="00311164"/>
    <w:pPr>
      <w:ind w:firstLine="720"/>
    </w:pPr>
    <w:rPr>
      <w:rFonts w:ascii="Arial" w:hAnsi="Arial" w:cs="Arial"/>
      <w:sz w:val="16"/>
      <w:szCs w:val="26"/>
    </w:rPr>
  </w:style>
  <w:style w:type="paragraph" w:styleId="ListContinue">
    <w:name w:val="List Continue"/>
    <w:basedOn w:val="Normal"/>
    <w:uiPriority w:val="99"/>
    <w:rsid w:val="00311164"/>
    <w:pPr>
      <w:widowControl/>
      <w:autoSpaceDE/>
      <w:autoSpaceDN/>
      <w:adjustRightInd/>
      <w:spacing w:after="120"/>
      <w:ind w:left="360"/>
    </w:pPr>
    <w:rPr>
      <w:rFonts w:ascii="Arial" w:hAnsi="Arial" w:cs="Arial"/>
      <w:sz w:val="16"/>
      <w:szCs w:val="16"/>
    </w:rPr>
  </w:style>
  <w:style w:type="paragraph" w:customStyle="1" w:styleId="LegalFormat">
    <w:name w:val="Legal Format"/>
    <w:basedOn w:val="ListContinue"/>
    <w:autoRedefine/>
    <w:rsid w:val="00181E9B"/>
    <w:pPr>
      <w:framePr w:hSpace="180" w:wrap="around" w:vAnchor="text" w:hAnchor="margin" w:x="108" w:y="229"/>
      <w:spacing w:after="0"/>
      <w:ind w:left="0"/>
      <w:jc w:val="right"/>
    </w:pPr>
    <w:rPr>
      <w:rFonts w:ascii="Times New Roman" w:hAnsi="Times New Roman" w:cs="Times New Roman"/>
      <w:b/>
      <w:sz w:val="24"/>
    </w:rPr>
  </w:style>
  <w:style w:type="paragraph" w:customStyle="1" w:styleId="FERCparanumber">
    <w:name w:val="FERC paranumber"/>
    <w:basedOn w:val="Normal"/>
    <w:rsid w:val="00311164"/>
    <w:pPr>
      <w:numPr>
        <w:numId w:val="19"/>
      </w:numPr>
    </w:pPr>
    <w:rPr>
      <w:rFonts w:ascii="Arial" w:hAnsi="Arial" w:cs="Arial"/>
      <w:sz w:val="16"/>
      <w:szCs w:val="16"/>
    </w:rPr>
  </w:style>
  <w:style w:type="character" w:styleId="FollowedHyperlink">
    <w:name w:val="FollowedHyperlink"/>
    <w:rsid w:val="00311164"/>
    <w:rPr>
      <w:color w:val="800080"/>
      <w:u w:val="single"/>
    </w:rPr>
  </w:style>
  <w:style w:type="character" w:customStyle="1" w:styleId="st1">
    <w:name w:val="st1"/>
    <w:rsid w:val="005D6226"/>
  </w:style>
  <w:style w:type="paragraph" w:styleId="PlainText">
    <w:name w:val="Plain Text"/>
    <w:basedOn w:val="Normal"/>
    <w:link w:val="PlainTextChar"/>
    <w:uiPriority w:val="99"/>
    <w:unhideWhenUsed/>
    <w:rsid w:val="004466CE"/>
    <w:pPr>
      <w:widowControl/>
      <w:autoSpaceDE/>
      <w:autoSpaceDN/>
      <w:adjustRightInd/>
    </w:pPr>
    <w:rPr>
      <w:rFonts w:eastAsia="Calibri"/>
      <w:sz w:val="26"/>
      <w:szCs w:val="26"/>
      <w:lang w:val="x-none" w:eastAsia="x-none"/>
    </w:rPr>
  </w:style>
  <w:style w:type="character" w:customStyle="1" w:styleId="PlainTextChar">
    <w:name w:val="Plain Text Char"/>
    <w:link w:val="PlainText"/>
    <w:uiPriority w:val="99"/>
    <w:rsid w:val="004466CE"/>
    <w:rPr>
      <w:rFonts w:eastAsia="Calibri"/>
      <w:sz w:val="26"/>
      <w:szCs w:val="26"/>
    </w:rPr>
  </w:style>
  <w:style w:type="paragraph" w:styleId="ListParagraph">
    <w:name w:val="List Paragraph"/>
    <w:basedOn w:val="Normal"/>
    <w:qFormat/>
    <w:rsid w:val="005B5397"/>
    <w:pPr>
      <w:widowControl/>
      <w:autoSpaceDE/>
      <w:autoSpaceDN/>
      <w:adjustRightInd/>
      <w:spacing w:after="200" w:line="276" w:lineRule="auto"/>
      <w:ind w:left="720"/>
      <w:contextualSpacing/>
    </w:pPr>
    <w:rPr>
      <w:rFonts w:ascii="Calibri" w:hAnsi="Calibri"/>
      <w:sz w:val="22"/>
      <w:szCs w:val="22"/>
    </w:rPr>
  </w:style>
  <w:style w:type="character" w:customStyle="1" w:styleId="FootnoteTextChar2CharChar1">
    <w:name w:val="Footnote Text Char2 Char Char1"/>
    <w:aliases w:val=" Char Char1,Footnote Text Char Char Char Char Char Char1,Footnote Text Char Char1 Char Char1,Footnote Text Char1 Char Char Char Char Char Char Char Char1,Footnote Text Char1 Char Char Char Char1,fn Char1,ft Char1"/>
    <w:locked/>
    <w:rsid w:val="00EF593A"/>
  </w:style>
  <w:style w:type="paragraph" w:styleId="Revision">
    <w:name w:val="Revision"/>
    <w:hidden/>
    <w:uiPriority w:val="99"/>
    <w:semiHidden/>
    <w:rsid w:val="00112C21"/>
    <w:rPr>
      <w:sz w:val="24"/>
      <w:szCs w:val="24"/>
    </w:rPr>
  </w:style>
  <w:style w:type="character" w:styleId="UnresolvedMention">
    <w:name w:val="Unresolved Mention"/>
    <w:uiPriority w:val="99"/>
    <w:semiHidden/>
    <w:unhideWhenUsed/>
    <w:rsid w:val="00662369"/>
    <w:rPr>
      <w:color w:val="808080"/>
      <w:shd w:val="clear" w:color="auto" w:fill="E6E6E6"/>
    </w:rPr>
  </w:style>
  <w:style w:type="character" w:customStyle="1" w:styleId="HeaderChar">
    <w:name w:val="Header Char"/>
    <w:link w:val="Header"/>
    <w:uiPriority w:val="99"/>
    <w:rsid w:val="00E54753"/>
    <w:rPr>
      <w:sz w:val="24"/>
      <w:szCs w:val="24"/>
    </w:rPr>
  </w:style>
  <w:style w:type="character" w:customStyle="1" w:styleId="FooterChar">
    <w:name w:val="Footer Char"/>
    <w:link w:val="Footer"/>
    <w:uiPriority w:val="99"/>
    <w:rsid w:val="00E54753"/>
    <w:rPr>
      <w:sz w:val="24"/>
      <w:szCs w:val="24"/>
    </w:rPr>
  </w:style>
  <w:style w:type="character" w:styleId="SubtleEmphasis">
    <w:name w:val="Subtle Emphasis"/>
    <w:uiPriority w:val="19"/>
    <w:qFormat/>
    <w:rsid w:val="00D97122"/>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hyperlink" Target="https://www.ferc.gov/industries-data/natural-gas/overview/general-information/natural-gas-industry-forms/form-549b-index" TargetMode="External" /><Relationship Id="rId12" Type="http://schemas.openxmlformats.org/officeDocument/2006/relationships/hyperlink" Target="https://www.ferc.gov/industriesdata/natural-gas/industry-forms"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header" Target="head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62E1DFB6D69D4983BED8CA804A90D7" ma:contentTypeVersion="0" ma:contentTypeDescription="Create a new document." ma:contentTypeScope="" ma:versionID="b2b59ea85ed96a0f988dec2a13ba52b7">
  <xsd:schema xmlns:xsd="http://www.w3.org/2001/XMLSchema" xmlns:xs="http://www.w3.org/2001/XMLSchema" xmlns:p="http://schemas.microsoft.com/office/2006/metadata/properties" targetNamespace="http://schemas.microsoft.com/office/2006/metadata/properties" ma:root="true" ma:fieldsID="2341298396067f5d70212a1b4ccb31b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74a4cd09-5f17-433b-814a-38e7e9115d16"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D9185C-7865-4B2A-B103-36B59DF0DFB3}">
  <ds:schemaRefs>
    <ds:schemaRef ds:uri="http://schemas.microsoft.com/office/2006/metadata/longProperties"/>
  </ds:schemaRefs>
</ds:datastoreItem>
</file>

<file path=customXml/itemProps2.xml><?xml version="1.0" encoding="utf-8"?>
<ds:datastoreItem xmlns:ds="http://schemas.openxmlformats.org/officeDocument/2006/customXml" ds:itemID="{F5FFDC56-AE84-41D0-86B3-C733F32E6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C8A0FF8-22C8-4D26-8CC0-A2C295222CA4}">
  <ds:schemaRefs>
    <ds:schemaRef ds:uri="http://schemas.openxmlformats.org/officeDocument/2006/bibliography"/>
  </ds:schemaRefs>
</ds:datastoreItem>
</file>

<file path=customXml/itemProps4.xml><?xml version="1.0" encoding="utf-8"?>
<ds:datastoreItem xmlns:ds="http://schemas.openxmlformats.org/officeDocument/2006/customXml" ds:itemID="{A61603E4-6C11-41B3-962A-20E1193AF243}">
  <ds:schemaRefs>
    <ds:schemaRef ds:uri="http://schemas.microsoft.com/sharepoint/v3/contenttype/forms"/>
  </ds:schemaRefs>
</ds:datastoreItem>
</file>

<file path=customXml/itemProps5.xml><?xml version="1.0" encoding="utf-8"?>
<ds:datastoreItem xmlns:ds="http://schemas.openxmlformats.org/officeDocument/2006/customXml" ds:itemID="{3CD312BE-6B04-4214-88C3-A685330622E6}">
  <ds:schemaRefs>
    <ds:schemaRef ds:uri="Microsoft.SharePoint.Taxonomy.ContentTypeSync"/>
  </ds:schemaRefs>
</ds:datastoreItem>
</file>

<file path=customXml/itemProps6.xml><?xml version="1.0" encoding="utf-8"?>
<ds:datastoreItem xmlns:ds="http://schemas.openxmlformats.org/officeDocument/2006/customXml" ds:itemID="{61E8FCAF-BE7E-47B7-B658-77ADC2F5CE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2675</Words>
  <Characters>15222</Characters>
  <Application>Microsoft Office Word</Application>
  <DocSecurity>0</DocSecurity>
  <Lines>390</Lines>
  <Paragraphs>138</Paragraphs>
  <ScaleCrop>false</ScaleCrop>
  <Company>Federal Energy Regulatory Commission</Company>
  <LinksUpToDate>false</LinksUpToDate>
  <CharactersWithSpaces>17759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FERC Form No. 549B supporting statement</dc:title>
  <dc:creator>ferc</dc:creator>
  <cp:lastModifiedBy>Ken Ambrose</cp:lastModifiedBy>
  <cp:revision>2</cp:revision>
  <cp:lastPrinted>2014-02-25T10:09:00Z</cp:lastPrinted>
  <dcterms:created xsi:type="dcterms:W3CDTF">2026-04-14T20:44:00Z</dcterms:created>
  <dcterms:modified xsi:type="dcterms:W3CDTF">2026-04-14T20:44:00Z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1. Collection Number">
    <vt:lpwstr>549B</vt:lpwstr>
  </property>
  <property fmtid="{D5CDD505-2E9C-101B-9397-08002B2CF9AE}" pid="3" name="1. Docket Number">
    <vt:lpwstr>IC17-11</vt:lpwstr>
  </property>
  <property fmtid="{D5CDD505-2E9C-101B-9397-08002B2CF9AE}" pid="4" name="2. Collection Number">
    <vt:lpwstr/>
  </property>
  <property fmtid="{D5CDD505-2E9C-101B-9397-08002B2CF9AE}" pid="5" name="2. Docket Number">
    <vt:lpwstr/>
  </property>
  <property fmtid="{D5CDD505-2E9C-101B-9397-08002B2CF9AE}" pid="6" name="3. Collection Number">
    <vt:lpwstr/>
  </property>
  <property fmtid="{D5CDD505-2E9C-101B-9397-08002B2CF9AE}" pid="7" name="3. Docket Number">
    <vt:lpwstr/>
  </property>
  <property fmtid="{D5CDD505-2E9C-101B-9397-08002B2CF9AE}" pid="8" name="ContentType">
    <vt:lpwstr>Document</vt:lpwstr>
  </property>
  <property fmtid="{D5CDD505-2E9C-101B-9397-08002B2CF9AE}" pid="9" name="ContentTypeId">
    <vt:lpwstr>0x0101001EA51C0686BDB848B772F285AB6866B0</vt:lpwstr>
  </property>
  <property fmtid="{D5CDD505-2E9C-101B-9397-08002B2CF9AE}" pid="10" name="Date">
    <vt:lpwstr>2017-11-20T00:00:00Z</vt:lpwstr>
  </property>
  <property fmtid="{D5CDD505-2E9C-101B-9397-08002B2CF9AE}" pid="11" name="MSIP_Label_bd24d06a-0e85-4d57-b1e0-ba34b1abc708_ActionId">
    <vt:lpwstr>f22664c0-15f7-4a1d-9d9c-2a2caf1323ed</vt:lpwstr>
  </property>
  <property fmtid="{D5CDD505-2E9C-101B-9397-08002B2CF9AE}" pid="12" name="MSIP_Label_bd24d06a-0e85-4d57-b1e0-ba34b1abc708_ContentBits">
    <vt:lpwstr>0</vt:lpwstr>
  </property>
  <property fmtid="{D5CDD505-2E9C-101B-9397-08002B2CF9AE}" pid="13" name="MSIP_Label_bd24d06a-0e85-4d57-b1e0-ba34b1abc708_Enabled">
    <vt:lpwstr>true</vt:lpwstr>
  </property>
  <property fmtid="{D5CDD505-2E9C-101B-9397-08002B2CF9AE}" pid="14" name="MSIP_Label_bd24d06a-0e85-4d57-b1e0-ba34b1abc708_Method">
    <vt:lpwstr>Privileged</vt:lpwstr>
  </property>
  <property fmtid="{D5CDD505-2E9C-101B-9397-08002B2CF9AE}" pid="15" name="MSIP_Label_bd24d06a-0e85-4d57-b1e0-ba34b1abc708_Name">
    <vt:lpwstr>bd24d06a-0e85-4d57-b1e0-ba34b1abc708</vt:lpwstr>
  </property>
  <property fmtid="{D5CDD505-2E9C-101B-9397-08002B2CF9AE}" pid="16" name="MSIP_Label_bd24d06a-0e85-4d57-b1e0-ba34b1abc708_SetDate">
    <vt:lpwstr>2026-03-16T13:36:09Z</vt:lpwstr>
  </property>
  <property fmtid="{D5CDD505-2E9C-101B-9397-08002B2CF9AE}" pid="17" name="MSIP_Label_bd24d06a-0e85-4d57-b1e0-ba34b1abc708_SiteId">
    <vt:lpwstr>19caa9e9-04ff-43fa-885f-d77fac387903</vt:lpwstr>
  </property>
  <property fmtid="{D5CDD505-2E9C-101B-9397-08002B2CF9AE}" pid="18" name="MSIP_Label_bd24d06a-0e85-4d57-b1e0-ba34b1abc708_Tag">
    <vt:lpwstr>10, 0, 1, 1</vt:lpwstr>
  </property>
  <property fmtid="{D5CDD505-2E9C-101B-9397-08002B2CF9AE}" pid="19" name="Renewal Document Type">
    <vt:lpwstr>OMB Supporting Statement</vt:lpwstr>
  </property>
  <property fmtid="{D5CDD505-2E9C-101B-9397-08002B2CF9AE}" pid="20" name="Rulemaking Document Type">
    <vt:lpwstr>None</vt:lpwstr>
  </property>
  <property fmtid="{D5CDD505-2E9C-101B-9397-08002B2CF9AE}" pid="21" name="Status">
    <vt:lpwstr>Final</vt:lpwstr>
  </property>
  <property fmtid="{D5CDD505-2E9C-101B-9397-08002B2CF9AE}" pid="22" name="_NewReviewCycle">
    <vt:lpwstr/>
  </property>
</Properties>
</file>