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6DF3" w:rsidRPr="00DA17BD" w:rsidP="38DE5EDF" w14:paraId="7D741048" w14:textId="77777777">
      <w:pPr>
        <w:pStyle w:val="N6-DateInd"/>
        <w:spacing w:line="240" w:lineRule="auto"/>
        <w:ind w:left="0"/>
        <w:jc w:val="center"/>
        <w:rPr>
          <w:rFonts w:ascii="Arial" w:eastAsia="Arial" w:hAnsi="Arial" w:cs="Arial"/>
          <w:b/>
          <w:bCs/>
          <w:szCs w:val="22"/>
        </w:rPr>
      </w:pPr>
      <w:r w:rsidRPr="00DA17BD">
        <w:rPr>
          <w:rFonts w:ascii="Arial" w:eastAsia="Arial" w:hAnsi="Arial" w:cs="Arial"/>
          <w:b/>
          <w:bCs/>
          <w:szCs w:val="22"/>
        </w:rPr>
        <w:t>Supporting Statement – Part A</w:t>
      </w:r>
    </w:p>
    <w:p w:rsidR="00F9463C" w:rsidRPr="00DA17BD" w:rsidP="38DE5EDF" w14:paraId="68A1A05A" w14:textId="77777777">
      <w:pPr>
        <w:pStyle w:val="N6-DateInd"/>
        <w:spacing w:line="240" w:lineRule="auto"/>
        <w:ind w:left="0"/>
        <w:rPr>
          <w:rFonts w:ascii="Arial" w:eastAsia="Arial" w:hAnsi="Arial" w:cs="Arial"/>
          <w:b/>
          <w:szCs w:val="22"/>
        </w:rPr>
      </w:pPr>
    </w:p>
    <w:p w:rsidR="00756DF3" w:rsidRPr="00DA17BD" w:rsidP="38DE5EDF" w14:paraId="1B9182D3" w14:textId="4399DDF2">
      <w:pPr>
        <w:jc w:val="center"/>
        <w:rPr>
          <w:rFonts w:ascii="Arial" w:eastAsia="Arial" w:hAnsi="Arial" w:cs="Arial"/>
          <w:b/>
          <w:sz w:val="22"/>
          <w:szCs w:val="22"/>
        </w:rPr>
      </w:pPr>
      <w:r w:rsidRPr="00DA17BD">
        <w:rPr>
          <w:rFonts w:ascii="Arial" w:eastAsia="Arial" w:hAnsi="Arial" w:cs="Arial"/>
          <w:b/>
          <w:sz w:val="22"/>
          <w:szCs w:val="22"/>
        </w:rPr>
        <w:t>Emergency Survey</w:t>
      </w:r>
      <w:r w:rsidRPr="00DA17BD" w:rsidR="1816BF77">
        <w:rPr>
          <w:rFonts w:ascii="Arial" w:eastAsia="Arial" w:hAnsi="Arial" w:cs="Arial"/>
          <w:b/>
          <w:sz w:val="22"/>
          <w:szCs w:val="22"/>
        </w:rPr>
        <w:t xml:space="preserve"> – </w:t>
      </w:r>
      <w:r w:rsidRPr="00DA17BD" w:rsidR="00DA17BD">
        <w:rPr>
          <w:rFonts w:ascii="Arial" w:hAnsi="Arial" w:cs="Arial"/>
          <w:b/>
          <w:sz w:val="22"/>
          <w:szCs w:val="22"/>
        </w:rPr>
        <w:t>EIA-860 Supplement – State Level Generator Air Permit Inventory</w:t>
      </w:r>
    </w:p>
    <w:p w:rsidR="00F9463C" w:rsidRPr="00DA17BD" w:rsidP="38DE5EDF" w14:paraId="3854A23C" w14:textId="77777777">
      <w:pPr>
        <w:jc w:val="center"/>
        <w:rPr>
          <w:rFonts w:ascii="Arial" w:eastAsia="Arial" w:hAnsi="Arial" w:cs="Arial"/>
          <w:b/>
          <w:sz w:val="22"/>
          <w:szCs w:val="22"/>
        </w:rPr>
      </w:pPr>
    </w:p>
    <w:p w:rsidR="00F9463C" w:rsidRPr="00DA17BD" w:rsidP="38DE5EDF" w14:paraId="21E09983" w14:textId="7C8417AF">
      <w:pPr>
        <w:jc w:val="center"/>
        <w:rPr>
          <w:rFonts w:ascii="Arial" w:eastAsia="Arial" w:hAnsi="Arial" w:cs="Arial"/>
          <w:b/>
          <w:bCs/>
          <w:sz w:val="22"/>
          <w:szCs w:val="22"/>
        </w:rPr>
      </w:pPr>
      <w:r w:rsidRPr="00DA17BD">
        <w:rPr>
          <w:rFonts w:ascii="Arial" w:eastAsia="Arial" w:hAnsi="Arial" w:cs="Arial"/>
          <w:b/>
          <w:sz w:val="22"/>
          <w:szCs w:val="22"/>
        </w:rPr>
        <w:t xml:space="preserve">OMB No. </w:t>
      </w:r>
      <w:r w:rsidRPr="00DA17BD" w:rsidR="2EECD7B6">
        <w:rPr>
          <w:rFonts w:ascii="Arial" w:eastAsia="Arial" w:hAnsi="Arial" w:cs="Arial"/>
          <w:b/>
          <w:bCs/>
          <w:sz w:val="22"/>
          <w:szCs w:val="22"/>
        </w:rPr>
        <w:t>1905</w:t>
      </w:r>
      <w:r w:rsidRPr="00DA17BD">
        <w:rPr>
          <w:rFonts w:ascii="Arial" w:eastAsia="Arial" w:hAnsi="Arial" w:cs="Arial"/>
          <w:b/>
          <w:bCs/>
          <w:sz w:val="22"/>
          <w:szCs w:val="22"/>
        </w:rPr>
        <w:t xml:space="preserve"> - XXXX</w:t>
      </w:r>
    </w:p>
    <w:p w:rsidR="00263A5D" w:rsidRPr="00DA17BD" w:rsidP="38DE5EDF" w14:paraId="406DF588" w14:textId="77777777">
      <w:pPr>
        <w:contextualSpacing/>
        <w:rPr>
          <w:rFonts w:ascii="Arial" w:eastAsia="Arial" w:hAnsi="Arial" w:cs="Arial"/>
          <w:sz w:val="22"/>
          <w:szCs w:val="22"/>
        </w:rPr>
      </w:pPr>
    </w:p>
    <w:p w:rsidR="00F81A65" w:rsidRPr="00DA17BD" w:rsidP="38DE5EDF" w14:paraId="27CF04F5" w14:textId="0685E69E">
      <w:pPr>
        <w:contextualSpacing/>
        <w:rPr>
          <w:rFonts w:ascii="Arial" w:eastAsia="Arial" w:hAnsi="Arial" w:cs="Arial"/>
          <w:b/>
          <w:bCs/>
          <w:sz w:val="22"/>
          <w:szCs w:val="22"/>
        </w:rPr>
      </w:pPr>
      <w:r w:rsidRPr="00DA17BD">
        <w:rPr>
          <w:rFonts w:ascii="Arial" w:eastAsia="Arial" w:hAnsi="Arial" w:cs="Arial"/>
          <w:b/>
          <w:bCs/>
          <w:sz w:val="22"/>
          <w:szCs w:val="22"/>
        </w:rPr>
        <w:t>Introduction</w:t>
      </w:r>
    </w:p>
    <w:p w:rsidR="00F81A65" w:rsidRPr="00DA17BD" w:rsidP="38DE5EDF" w14:paraId="4BFDF51C" w14:textId="77777777">
      <w:pPr>
        <w:contextualSpacing/>
        <w:rPr>
          <w:rFonts w:ascii="Arial" w:eastAsia="Arial" w:hAnsi="Arial" w:cs="Arial"/>
          <w:b/>
          <w:bCs/>
          <w:sz w:val="22"/>
          <w:szCs w:val="22"/>
        </w:rPr>
      </w:pPr>
    </w:p>
    <w:p w:rsidR="00CF7144" w:rsidRPr="0018286C" w:rsidP="00411F26" w14:paraId="68B0FF4C" w14:textId="5E781CE0">
      <w:pPr>
        <w:contextualSpacing/>
        <w:rPr>
          <w:rFonts w:ascii="Arial" w:eastAsia="Arial" w:hAnsi="Arial" w:cs="Arial"/>
          <w:sz w:val="22"/>
          <w:szCs w:val="22"/>
        </w:rPr>
      </w:pPr>
      <w:r w:rsidRPr="0018286C">
        <w:rPr>
          <w:rFonts w:ascii="Arial" w:eastAsia="Arial" w:hAnsi="Arial" w:cs="Arial"/>
          <w:sz w:val="22"/>
          <w:szCs w:val="22"/>
        </w:rPr>
        <w:t>The U.S. Energy Information Administration (EIA) is the statistical and analytical agency within the Departm</w:t>
      </w:r>
      <w:r w:rsidRPr="0018286C" w:rsidR="7AC94A6E">
        <w:rPr>
          <w:rFonts w:ascii="Arial" w:eastAsia="Arial" w:hAnsi="Arial" w:cs="Arial"/>
          <w:sz w:val="22"/>
          <w:szCs w:val="22"/>
        </w:rPr>
        <w:t xml:space="preserve">ent of Energy (DOE). </w:t>
      </w:r>
      <w:r w:rsidRPr="0018286C">
        <w:rPr>
          <w:rFonts w:ascii="Arial" w:eastAsia="Arial" w:hAnsi="Arial" w:cs="Arial"/>
          <w:sz w:val="22"/>
          <w:szCs w:val="22"/>
        </w:rPr>
        <w:t>EIA</w:t>
      </w:r>
      <w:r w:rsidRPr="0018286C" w:rsidR="7AC94A6E">
        <w:rPr>
          <w:rFonts w:ascii="Arial" w:eastAsia="Arial" w:hAnsi="Arial" w:cs="Arial"/>
          <w:sz w:val="22"/>
          <w:szCs w:val="22"/>
        </w:rPr>
        <w:t>’s</w:t>
      </w:r>
      <w:r w:rsidRPr="0018286C">
        <w:rPr>
          <w:rFonts w:ascii="Arial" w:eastAsia="Arial" w:hAnsi="Arial" w:cs="Arial"/>
          <w:sz w:val="22"/>
          <w:szCs w:val="22"/>
        </w:rPr>
        <w:t xml:space="preserve"> mission is to collect, analyze, and disseminate independent and impartial energy information to promote sound policymaking, efficient markets, and public understanding of energy and its interaction with the economy and the environment. EIA is the Nation’s premier source of energy </w:t>
      </w:r>
      <w:r w:rsidRPr="0018286C" w:rsidR="00F948A1">
        <w:rPr>
          <w:rFonts w:ascii="Arial" w:eastAsia="Arial" w:hAnsi="Arial" w:cs="Arial"/>
          <w:sz w:val="22"/>
          <w:szCs w:val="22"/>
        </w:rPr>
        <w:t>information,</w:t>
      </w:r>
      <w:r w:rsidRPr="0018286C">
        <w:rPr>
          <w:rFonts w:ascii="Arial" w:eastAsia="Arial" w:hAnsi="Arial" w:cs="Arial"/>
          <w:sz w:val="22"/>
          <w:szCs w:val="22"/>
        </w:rPr>
        <w:t xml:space="preserve"> and, by law, its data, analyses, and forecasts are independent of approval by any other officer or employee of the United States Government. EIA conducts a relevant, reliable, and timely data collection program that covers the full spectrum of energy sources, end uses, and energy flows; generates short- and long-term domestic and international energy projections; and performs informative energy analyses. EIA communicates its statistical and analytical products primarily through its website and customer contact center. </w:t>
      </w:r>
    </w:p>
    <w:p w:rsidR="00CF7144" w:rsidRPr="0018286C" w:rsidP="00411F26" w14:paraId="693EF56D" w14:textId="77777777">
      <w:pPr>
        <w:contextualSpacing/>
        <w:rPr>
          <w:rFonts w:ascii="Arial" w:eastAsia="Arial" w:hAnsi="Arial" w:cs="Arial"/>
          <w:sz w:val="22"/>
          <w:szCs w:val="22"/>
        </w:rPr>
      </w:pPr>
    </w:p>
    <w:p w:rsidR="7953883C" w:rsidRPr="0018286C" w:rsidP="00411F26" w14:paraId="187FDE4F" w14:textId="76FA8D54">
      <w:pPr>
        <w:rPr>
          <w:rFonts w:ascii="Arial" w:eastAsia="Arial" w:hAnsi="Arial" w:cs="Arial"/>
          <w:sz w:val="22"/>
          <w:szCs w:val="22"/>
          <w:vertAlign w:val="superscript"/>
        </w:rPr>
      </w:pPr>
      <w:r w:rsidRPr="0018286C">
        <w:rPr>
          <w:rFonts w:ascii="Arial" w:eastAsia="Arial" w:hAnsi="Arial" w:cs="Arial"/>
          <w:sz w:val="22"/>
          <w:szCs w:val="22"/>
        </w:rPr>
        <w:t xml:space="preserve">To meet this obligation, EIA’s Office of Energy Statistics conducts surveys that collect information about the national energy </w:t>
      </w:r>
      <w:r w:rsidRPr="0018286C" w:rsidR="52035762">
        <w:rPr>
          <w:rFonts w:ascii="Arial" w:eastAsia="Arial" w:hAnsi="Arial" w:cs="Arial"/>
          <w:sz w:val="22"/>
          <w:szCs w:val="22"/>
        </w:rPr>
        <w:t xml:space="preserve">system </w:t>
      </w:r>
      <w:r w:rsidRPr="0018286C">
        <w:rPr>
          <w:rFonts w:ascii="Arial" w:eastAsia="Arial" w:hAnsi="Arial" w:cs="Arial"/>
          <w:sz w:val="22"/>
          <w:szCs w:val="22"/>
        </w:rPr>
        <w:t xml:space="preserve">and key activities that affect that </w:t>
      </w:r>
      <w:r w:rsidRPr="0018286C" w:rsidR="11C69714">
        <w:rPr>
          <w:rFonts w:ascii="Arial" w:eastAsia="Arial" w:hAnsi="Arial" w:cs="Arial"/>
          <w:sz w:val="22"/>
          <w:szCs w:val="22"/>
        </w:rPr>
        <w:t>system</w:t>
      </w:r>
      <w:r w:rsidRPr="0018286C">
        <w:rPr>
          <w:rFonts w:ascii="Arial" w:eastAsia="Arial" w:hAnsi="Arial" w:cs="Arial"/>
          <w:sz w:val="22"/>
          <w:szCs w:val="22"/>
        </w:rPr>
        <w:t xml:space="preserve">. Increases in electricity demand have important effects on electric transmission and distribution systems. </w:t>
      </w:r>
      <w:r w:rsidRPr="0018286C" w:rsidR="581FEAA2">
        <w:rPr>
          <w:rFonts w:ascii="Arial" w:eastAsia="Arial" w:hAnsi="Arial" w:cs="Arial"/>
          <w:sz w:val="22"/>
          <w:szCs w:val="22"/>
        </w:rPr>
        <w:t xml:space="preserve">As evidence, </w:t>
      </w:r>
      <w:r w:rsidRPr="0018286C" w:rsidR="0DC7F85D">
        <w:rPr>
          <w:rFonts w:ascii="Arial" w:eastAsia="Arial" w:hAnsi="Arial" w:cs="Arial"/>
          <w:sz w:val="22"/>
          <w:szCs w:val="22"/>
        </w:rPr>
        <w:t xml:space="preserve"> 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ascii="Arial" w:eastAsia="Arial" w:hAnsi="Arial" w:cs="Arial"/>
          <w:sz w:val="22"/>
          <w:szCs w:val="22"/>
        </w:rPr>
        <w:footnoteReference w:id="2"/>
      </w:r>
      <w:r w:rsidRPr="0018286C" w:rsidR="0DC7F85D">
        <w:rPr>
          <w:rFonts w:ascii="Arial" w:eastAsia="Arial" w:hAnsi="Arial" w:cs="Arial"/>
          <w:sz w:val="22"/>
          <w:szCs w:val="22"/>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ascii="Arial" w:eastAsia="Arial" w:hAnsi="Arial" w:cs="Arial"/>
          <w:sz w:val="22"/>
          <w:szCs w:val="22"/>
        </w:rPr>
        <w:footnoteReference w:id="3"/>
      </w:r>
      <w:r w:rsidRPr="0018286C" w:rsidR="0DC7F85D">
        <w:rPr>
          <w:rFonts w:ascii="Arial" w:eastAsia="Arial" w:hAnsi="Arial" w:cs="Arial"/>
          <w:sz w:val="22"/>
          <w:szCs w:val="22"/>
          <w:vertAlign w:val="superscript"/>
        </w:rPr>
        <w:t xml:space="preserve"> </w:t>
      </w:r>
      <w:r w:rsidRPr="0018286C" w:rsidR="0DC7F85D">
        <w:rPr>
          <w:rFonts w:ascii="Arial" w:eastAsia="Arial" w:hAnsi="Arial" w:cs="Arial"/>
          <w:sz w:val="22"/>
          <w:szCs w:val="22"/>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ascii="Arial" w:eastAsia="Arial" w:hAnsi="Arial" w:cs="Arial"/>
          <w:sz w:val="22"/>
          <w:szCs w:val="22"/>
        </w:rPr>
        <w:footnoteReference w:id="4"/>
      </w:r>
      <w:r w:rsidR="00C8174F">
        <w:rPr>
          <w:rStyle w:val="FootnoteReference"/>
          <w:rFonts w:ascii="Arial" w:eastAsia="Arial" w:hAnsi="Arial" w:cs="Arial"/>
          <w:sz w:val="22"/>
          <w:szCs w:val="22"/>
        </w:rPr>
        <w:t xml:space="preserve"> </w:t>
      </w:r>
      <w:r w:rsidR="00C8174F">
        <w:rPr>
          <w:rFonts w:ascii="Arial" w:eastAsia="Arial" w:hAnsi="Arial" w:cs="Arial"/>
          <w:sz w:val="22"/>
          <w:szCs w:val="22"/>
        </w:rPr>
        <w:t xml:space="preserve"> </w:t>
      </w:r>
      <w:r w:rsidRPr="0018286C" w:rsidR="0DC7F85D">
        <w:rPr>
          <w:rFonts w:ascii="Arial" w:eastAsia="Arial" w:hAnsi="Arial" w:cs="Arial"/>
          <w:sz w:val="22"/>
          <w:szCs w:val="22"/>
        </w:rPr>
        <w:t>With respect to the expansion of artificial intelligence, Executive Order 14365, “Ensuring a National Policy Framework for Artificial Intelligence,” issued on December 11, 2025, asserts that “we remain in the earliest days of this technological revolution and are in a race with adversaries for supremacy within it.”</w:t>
      </w:r>
      <w:r>
        <w:rPr>
          <w:rStyle w:val="FootnoteReference"/>
          <w:rFonts w:ascii="Arial" w:eastAsia="Arial" w:hAnsi="Arial" w:cs="Arial"/>
          <w:sz w:val="22"/>
          <w:szCs w:val="22"/>
        </w:rPr>
        <w:footnoteReference w:id="5"/>
      </w:r>
    </w:p>
    <w:p w:rsidR="3DDD0EB2" w:rsidRPr="0018286C" w:rsidP="00411F26" w14:paraId="58FBC32C" w14:textId="793AA57E">
      <w:pPr>
        <w:rPr>
          <w:rFonts w:ascii="Arial" w:eastAsia="Arial" w:hAnsi="Arial" w:cs="Arial"/>
          <w:sz w:val="22"/>
          <w:szCs w:val="22"/>
          <w:vertAlign w:val="superscript"/>
        </w:rPr>
      </w:pPr>
    </w:p>
    <w:p w:rsidR="0DC7F85D" w:rsidRPr="0018286C" w:rsidP="00411F26" w14:paraId="50EEE79C" w14:textId="7148622B">
      <w:pPr>
        <w:rPr>
          <w:rFonts w:ascii="Arial" w:eastAsia="Arial" w:hAnsi="Arial" w:cs="Arial"/>
          <w:sz w:val="22"/>
          <w:szCs w:val="22"/>
        </w:rPr>
      </w:pPr>
      <w:r w:rsidRPr="0018286C">
        <w:rPr>
          <w:rFonts w:ascii="Arial" w:eastAsia="Arial" w:hAnsi="Arial" w:cs="Arial"/>
          <w:sz w:val="22"/>
          <w:szCs w:val="22"/>
        </w:rPr>
        <w:t>The urgency articulated by these executive orders</w:t>
      </w:r>
      <w:r>
        <w:rPr>
          <w:rStyle w:val="FootnoteReference"/>
          <w:rFonts w:ascii="Arial" w:eastAsia="Arial" w:hAnsi="Arial" w:cs="Arial"/>
          <w:sz w:val="22"/>
          <w:szCs w:val="22"/>
        </w:rPr>
        <w:footnoteReference w:id="6"/>
      </w:r>
      <w:r w:rsidR="006503FA">
        <w:rPr>
          <w:rFonts w:ascii="Arial" w:eastAsia="Arial" w:hAnsi="Arial" w:cs="Arial"/>
          <w:sz w:val="22"/>
          <w:szCs w:val="22"/>
        </w:rPr>
        <w:t xml:space="preserve"> </w:t>
      </w:r>
      <w:r w:rsidR="00A44C5D">
        <w:rPr>
          <w:rFonts w:ascii="Arial" w:eastAsia="Arial" w:hAnsi="Arial" w:cs="Arial"/>
          <w:sz w:val="22"/>
          <w:szCs w:val="22"/>
        </w:rPr>
        <w:t xml:space="preserve">is </w:t>
      </w:r>
      <w:r w:rsidRPr="0018286C">
        <w:rPr>
          <w:rFonts w:ascii="Arial" w:eastAsia="Arial" w:hAnsi="Arial" w:cs="Arial"/>
          <w:sz w:val="22"/>
          <w:szCs w:val="22"/>
        </w:rPr>
        <w:t xml:space="preserve">underscored by the </w:t>
      </w:r>
      <w:r w:rsidRPr="0018286C" w:rsidR="00411F26">
        <w:rPr>
          <w:rFonts w:ascii="Arial" w:eastAsia="Arial" w:hAnsi="Arial" w:cs="Arial"/>
          <w:sz w:val="22"/>
          <w:szCs w:val="22"/>
        </w:rPr>
        <w:t xml:space="preserve">36 </w:t>
      </w:r>
      <w:r w:rsidRPr="0018286C">
        <w:rPr>
          <w:rFonts w:ascii="Arial" w:eastAsia="Arial" w:hAnsi="Arial" w:cs="Arial"/>
          <w:sz w:val="22"/>
          <w:szCs w:val="22"/>
        </w:rPr>
        <w:t>emergency orders issued by the U.S. Department of Energy (DOE) under section 202(c) of the Federal Power Act (FPA) since January 2025. By comparison, only one 202(c) order was issued in each o</w:t>
      </w:r>
      <w:r w:rsidRPr="00D25884">
        <w:rPr>
          <w:rFonts w:ascii="Arial" w:eastAsia="Arial" w:hAnsi="Arial" w:cs="Arial"/>
          <w:sz w:val="22"/>
          <w:szCs w:val="22"/>
        </w:rPr>
        <w:t>f 2023 a</w:t>
      </w:r>
      <w:r w:rsidRPr="00740155">
        <w:rPr>
          <w:rFonts w:ascii="Arial" w:eastAsia="Arial" w:hAnsi="Arial" w:cs="Arial"/>
          <w:sz w:val="22"/>
          <w:szCs w:val="22"/>
        </w:rPr>
        <w:t>nd 2024.</w:t>
      </w:r>
      <w:r>
        <w:rPr>
          <w:rStyle w:val="FootnoteReference"/>
          <w:rFonts w:ascii="Arial" w:eastAsia="Arial" w:hAnsi="Arial" w:cs="Arial"/>
          <w:sz w:val="22"/>
          <w:szCs w:val="22"/>
        </w:rPr>
        <w:footnoteReference w:id="7"/>
      </w:r>
      <w:r w:rsidR="00740155">
        <w:rPr>
          <w:rFonts w:ascii="Arial" w:eastAsia="Arial" w:hAnsi="Arial" w:cs="Arial"/>
          <w:sz w:val="22"/>
          <w:szCs w:val="22"/>
          <w:vertAlign w:val="superscript"/>
        </w:rPr>
        <w:t xml:space="preserve"> </w:t>
      </w:r>
      <w:r w:rsidR="00D25884">
        <w:rPr>
          <w:rFonts w:ascii="Arial" w:eastAsia="Arial" w:hAnsi="Arial" w:cs="Arial"/>
          <w:sz w:val="22"/>
          <w:szCs w:val="22"/>
          <w:vertAlign w:val="superscript"/>
        </w:rPr>
        <w:t xml:space="preserve"> </w:t>
      </w:r>
      <w:r w:rsidRPr="0018286C">
        <w:rPr>
          <w:rFonts w:ascii="Arial" w:eastAsia="Arial" w:hAnsi="Arial" w:cs="Arial"/>
          <w:sz w:val="22"/>
          <w:szCs w:val="22"/>
        </w:rPr>
        <w:t>FPA section 202(c)(1) provides that whenever the Secretary of Energy determines “that an emergency exists by reason of a sudden increase in the demand for electric energy, or a shortage of electric energy or of facilities for the generation or transmission of electric energy,” then the Secretary has the authority “to require by order . . . such generation, delivery, interchange, or transmission of electric energy as in [his] judgment will best meet the emergency and serve the public interest.”</w:t>
      </w:r>
      <w:r>
        <w:rPr>
          <w:rStyle w:val="FootnoteReference"/>
          <w:rFonts w:ascii="Arial" w:eastAsia="Arial" w:hAnsi="Arial" w:cs="Arial"/>
          <w:sz w:val="22"/>
          <w:szCs w:val="22"/>
        </w:rPr>
        <w:footnoteReference w:id="8"/>
      </w:r>
      <w:r w:rsidRPr="0018286C">
        <w:rPr>
          <w:rFonts w:ascii="Arial" w:eastAsia="Arial" w:hAnsi="Arial" w:cs="Arial"/>
          <w:sz w:val="22"/>
          <w:szCs w:val="22"/>
        </w:rPr>
        <w:t xml:space="preserve"> This statutory language constitutes a specific grant of authority to the Secretary to authorize the operation of generation, delivery, and transmission resources that the Secretary has determined will best meet an emergency. Such orders have affected every region of the country, including Colorado, Florida, Indiana, Maryland, Michigan, New York, Pennsylvania, Texas, Puerto Rico, and Washington. Each of these orders inherently signifies an official declaration of an “emergency" within the electric power system</w:t>
      </w:r>
      <w:r w:rsidR="00AD1A89">
        <w:rPr>
          <w:rFonts w:ascii="Arial" w:eastAsia="Arial" w:hAnsi="Arial" w:cs="Arial"/>
          <w:sz w:val="22"/>
          <w:szCs w:val="22"/>
        </w:rPr>
        <w:t xml:space="preserve">. </w:t>
      </w:r>
    </w:p>
    <w:p w:rsidR="3DDD0EB2" w:rsidRPr="0018286C" w:rsidP="00411F26" w14:paraId="16C8282A" w14:textId="22C03723">
      <w:pPr>
        <w:rPr>
          <w:rFonts w:ascii="Arial" w:eastAsia="Arial" w:hAnsi="Arial" w:cs="Arial"/>
          <w:sz w:val="22"/>
          <w:szCs w:val="22"/>
        </w:rPr>
      </w:pPr>
    </w:p>
    <w:p w:rsidR="0DC7F85D" w:rsidRPr="002352C2" w:rsidP="00411F26" w14:paraId="2EAF678D" w14:textId="69D8A415">
      <w:pPr>
        <w:rPr>
          <w:rFonts w:ascii="Arial" w:eastAsia="Arial" w:hAnsi="Arial" w:cs="Arial"/>
          <w:sz w:val="22"/>
          <w:szCs w:val="22"/>
        </w:rPr>
      </w:pPr>
      <w:r w:rsidRPr="002352C2">
        <w:rPr>
          <w:rFonts w:ascii="Arial" w:eastAsia="Arial" w:hAnsi="Arial" w:cs="Arial"/>
          <w:sz w:val="22"/>
          <w:szCs w:val="22"/>
        </w:rPr>
        <w:t xml:space="preserve">The Department of Energy Organization Act establishes the EIA Administrator’s central mission as "carrying out a central, comprehensive, and unified energy data and information program which will collect, evaluate, assemble, analyze, and disseminate data and information . . . which is relevant to the adequacy of energy resources to meet demands in the </w:t>
      </w:r>
      <w:r w:rsidRPr="002352C2">
        <w:rPr>
          <w:rFonts w:ascii="Arial" w:eastAsia="Arial" w:hAnsi="Arial" w:cs="Arial"/>
          <w:sz w:val="22"/>
          <w:szCs w:val="22"/>
        </w:rPr>
        <w:t>near and longer term</w:t>
      </w:r>
      <w:r w:rsidRPr="002352C2">
        <w:rPr>
          <w:rFonts w:ascii="Arial" w:eastAsia="Arial" w:hAnsi="Arial" w:cs="Arial"/>
          <w:sz w:val="22"/>
          <w:szCs w:val="22"/>
        </w:rPr>
        <w:t xml:space="preserve"> future for the Nation’s economic and social needs.” To achieve this mission, the EIA manages a complex system of surveys to gather data from every sector of the U.S. energy system. One survey critical to this effort is EIA-860, Annual Electric Power Industry Report, which is intended to maintain a census of every U.S. electricity generating unit with a generation capacity equal to or greater than one megawatt (1 MW). The Department of Energy uses the results of this mandatory annual survey to inform its emergency orders under section 202(c) of the Federal Power Act. It is accompanied by a monthly requirement to provide updates on generator retirements and additions.</w:t>
      </w:r>
    </w:p>
    <w:p w:rsidR="3DDD0EB2" w:rsidRPr="0018286C" w:rsidP="00411F26" w14:paraId="76CCBC8A" w14:textId="2B9618DF">
      <w:pPr>
        <w:rPr>
          <w:rFonts w:ascii="Arial" w:eastAsia="Arial" w:hAnsi="Arial" w:cs="Arial"/>
          <w:sz w:val="22"/>
          <w:szCs w:val="22"/>
        </w:rPr>
      </w:pPr>
    </w:p>
    <w:p w:rsidR="0DC7F85D" w:rsidRPr="002352C2" w:rsidP="00411F26" w14:paraId="5DE5FE97" w14:textId="0444711C">
      <w:pPr>
        <w:rPr>
          <w:rFonts w:ascii="Arial" w:eastAsia="Arial" w:hAnsi="Arial" w:cs="Arial"/>
          <w:sz w:val="22"/>
          <w:szCs w:val="22"/>
        </w:rPr>
      </w:pPr>
      <w:r w:rsidRPr="002352C2">
        <w:rPr>
          <w:rFonts w:ascii="Arial" w:eastAsia="Arial" w:hAnsi="Arial" w:cs="Arial"/>
          <w:sz w:val="22"/>
          <w:szCs w:val="22"/>
        </w:rPr>
        <w:t>This emergency request is prompted by a demonstrable mission requirement, not a theoretical exercise. On January 22, 2026, Secretary of Energy Chris Wright issued a letter to reliability coordinators and balancing authorities in which he reiterated the present “national energy emergency” and stated that “backup generation can and should be used to save American</w:t>
      </w:r>
    </w:p>
    <w:p w:rsidR="0DC7F85D" w:rsidRPr="002352C2" w:rsidP="00411F26" w14:paraId="2BF2AF6A" w14:textId="1D353DAA">
      <w:pPr>
        <w:rPr>
          <w:rFonts w:ascii="Arial" w:eastAsia="Arial" w:hAnsi="Arial" w:cs="Arial"/>
          <w:sz w:val="22"/>
          <w:szCs w:val="22"/>
        </w:rPr>
      </w:pPr>
      <w:r w:rsidRPr="002352C2">
        <w:rPr>
          <w:rFonts w:ascii="Arial" w:eastAsia="Arial" w:hAnsi="Arial" w:cs="Arial"/>
          <w:sz w:val="22"/>
          <w:szCs w:val="22"/>
        </w:rPr>
        <w:t>lives and avoid billions of dollars in economic devastation.” The letter elaborates that the Department of Energy will issue further 202(c) orders in order to “ensure that the tens of gigawatts of available backup generation, which would otherwise stand idle, is</w:t>
      </w:r>
      <w:r w:rsidRPr="002352C2" w:rsidR="002352C2">
        <w:rPr>
          <w:rFonts w:ascii="Arial" w:eastAsia="Arial" w:hAnsi="Arial" w:cs="Arial"/>
          <w:sz w:val="22"/>
          <w:szCs w:val="22"/>
        </w:rPr>
        <w:t xml:space="preserve"> </w:t>
      </w:r>
      <w:r w:rsidRPr="002352C2">
        <w:rPr>
          <w:rFonts w:ascii="Arial" w:eastAsia="Arial" w:hAnsi="Arial" w:cs="Arial"/>
          <w:sz w:val="22"/>
          <w:szCs w:val="22"/>
        </w:rPr>
        <w:t>available during emergency conditions.</w:t>
      </w:r>
      <w:r>
        <w:rPr>
          <w:rStyle w:val="FootnoteReference"/>
          <w:rFonts w:ascii="Arial" w:eastAsia="Arial" w:hAnsi="Arial" w:cs="Arial"/>
          <w:sz w:val="22"/>
          <w:szCs w:val="22"/>
        </w:rPr>
        <w:footnoteReference w:id="9"/>
      </w:r>
      <w:r w:rsidRPr="002352C2">
        <w:rPr>
          <w:rFonts w:ascii="Arial" w:eastAsia="Arial" w:hAnsi="Arial" w:cs="Arial"/>
          <w:sz w:val="22"/>
          <w:szCs w:val="22"/>
        </w:rPr>
        <w:t xml:space="preserve"> A full twenty such orders have been issued or extended since the date of this letter, all in the immediate context of Winter Storm Fern.</w:t>
      </w:r>
    </w:p>
    <w:p w:rsidR="3DDD0EB2" w:rsidRPr="0018286C" w:rsidP="00411F26" w14:paraId="1EC31179" w14:textId="61AE89A2">
      <w:pPr>
        <w:rPr>
          <w:rFonts w:ascii="Arial" w:eastAsia="Arial" w:hAnsi="Arial" w:cs="Arial"/>
          <w:sz w:val="22"/>
          <w:szCs w:val="22"/>
          <w:u w:val="single"/>
        </w:rPr>
      </w:pPr>
    </w:p>
    <w:p w:rsidR="32E3259F" w:rsidRPr="0018286C" w:rsidP="00411F26" w14:paraId="2A6960BB" w14:textId="03C7FB50">
      <w:pPr>
        <w:contextualSpacing/>
        <w:rPr>
          <w:rFonts w:ascii="Arial" w:hAnsi="Arial" w:cs="Arial"/>
          <w:sz w:val="22"/>
          <w:szCs w:val="22"/>
        </w:rPr>
      </w:pPr>
      <w:r>
        <w:rPr>
          <w:rFonts w:ascii="Arial" w:hAnsi="Arial" w:cs="Arial"/>
          <w:sz w:val="22"/>
          <w:szCs w:val="22"/>
        </w:rPr>
        <w:t xml:space="preserve">EIA </w:t>
      </w:r>
      <w:r w:rsidRPr="0018286C">
        <w:rPr>
          <w:rFonts w:ascii="Arial" w:hAnsi="Arial" w:cs="Arial"/>
          <w:sz w:val="22"/>
          <w:szCs w:val="22"/>
        </w:rPr>
        <w:t>has a critical need to enhance the completeness and accuracy of the frame for the EIA-860. While the survey generally excludes smaller distributed generation, backup generators are included if they meet the 1</w:t>
      </w:r>
      <w:r w:rsidRPr="002352C2">
        <w:rPr>
          <w:rFonts w:ascii="Arial" w:hAnsi="Arial" w:cs="Arial"/>
          <w:sz w:val="22"/>
          <w:szCs w:val="22"/>
        </w:rPr>
        <w:t xml:space="preserve"> MW threshold within a surveyed facility. However, many backup generators are often excluded or inconsistently captured due to capacity limitations or intermittent operation, revealing data gaps. </w:t>
      </w:r>
      <w:r w:rsidRPr="009F7A31" w:rsidR="009F7A31">
        <w:rPr>
          <w:rFonts w:ascii="Arial" w:hAnsi="Arial" w:cs="Arial"/>
          <w:sz w:val="22"/>
          <w:szCs w:val="22"/>
        </w:rPr>
        <w:t xml:space="preserve">The current sampling frame is unlikely to represent a complete </w:t>
      </w:r>
      <w:r w:rsidRPr="009F7A31" w:rsidR="009F7A31">
        <w:rPr>
          <w:rFonts w:ascii="Arial" w:hAnsi="Arial" w:cs="Arial"/>
          <w:sz w:val="22"/>
          <w:szCs w:val="22"/>
        </w:rPr>
        <w:t>enumeration of backup generators. Our assessment indicates a potential underestimation of the generator population, possibly by several hundred to over a thousand units.</w:t>
      </w:r>
      <w:r w:rsidRPr="002352C2">
        <w:rPr>
          <w:rFonts w:ascii="Arial" w:hAnsi="Arial" w:cs="Arial"/>
          <w:sz w:val="22"/>
          <w:szCs w:val="22"/>
        </w:rPr>
        <w:t xml:space="preserve"> DOE’s recent </w:t>
      </w:r>
      <w:r w:rsidRPr="002352C2">
        <w:rPr>
          <w:rFonts w:ascii="Arial" w:hAnsi="Arial" w:cs="Arial"/>
          <w:i/>
          <w:iCs/>
          <w:sz w:val="22"/>
          <w:szCs w:val="22"/>
        </w:rPr>
        <w:t xml:space="preserve">Resource Adequacy Report </w:t>
      </w:r>
      <w:r w:rsidRPr="002352C2">
        <w:rPr>
          <w:rFonts w:ascii="Arial" w:hAnsi="Arial" w:cs="Arial"/>
          <w:sz w:val="22"/>
          <w:szCs w:val="22"/>
        </w:rPr>
        <w:t>(July 2025) utilizes EIA-860 data to warn that energy resources are inadequate to meet growing demand,</w:t>
      </w:r>
      <w:r>
        <w:rPr>
          <w:rStyle w:val="FootnoteReference"/>
          <w:rFonts w:ascii="Arial" w:hAnsi="Arial" w:cs="Arial"/>
          <w:sz w:val="22"/>
          <w:szCs w:val="22"/>
        </w:rPr>
        <w:footnoteReference w:id="10"/>
      </w:r>
      <w:r w:rsidRPr="002352C2">
        <w:rPr>
          <w:rFonts w:ascii="Arial" w:hAnsi="Arial" w:cs="Arial"/>
          <w:sz w:val="22"/>
          <w:szCs w:val="22"/>
        </w:rPr>
        <w:t xml:space="preserve"> a strong signal underscoring the importance to policymakers of the EIA’s statutory mission to collect information on “the adequacy of energy resources.”</w:t>
      </w:r>
      <w:r>
        <w:rPr>
          <w:rStyle w:val="FootnoteReference"/>
          <w:rFonts w:ascii="Arial" w:hAnsi="Arial" w:cs="Arial"/>
          <w:sz w:val="22"/>
          <w:szCs w:val="22"/>
        </w:rPr>
        <w:footnoteReference w:id="11"/>
      </w:r>
      <w:r w:rsidRPr="002352C2">
        <w:rPr>
          <w:rFonts w:ascii="Arial" w:hAnsi="Arial" w:cs="Arial"/>
          <w:sz w:val="22"/>
          <w:szCs w:val="22"/>
          <w:vertAlign w:val="superscript"/>
        </w:rPr>
        <w:t xml:space="preserve"> </w:t>
      </w:r>
      <w:r w:rsidRPr="002352C2">
        <w:rPr>
          <w:rFonts w:ascii="Arial" w:hAnsi="Arial" w:cs="Arial"/>
          <w:sz w:val="22"/>
          <w:szCs w:val="22"/>
        </w:rPr>
        <w:t xml:space="preserve">The current lack of comprehensive data on backup generators, particularly smaller emergency units, represents a significant gap in our understanding of total U.S. grid capacity and resilience. This gap could hinder effective emergency response and grid management during periods of stress, potentially leading to widespread power outages, economic disruption, and the loss of human life. </w:t>
      </w:r>
    </w:p>
    <w:p w:rsidR="3DDD0EB2" w:rsidRPr="0018286C" w:rsidP="00411F26" w14:paraId="673C3952" w14:textId="2BB00337">
      <w:pPr>
        <w:contextualSpacing/>
        <w:rPr>
          <w:rFonts w:ascii="Arial" w:hAnsi="Arial" w:cs="Arial"/>
          <w:sz w:val="22"/>
          <w:szCs w:val="22"/>
        </w:rPr>
      </w:pPr>
    </w:p>
    <w:p w:rsidR="32E3259F" w:rsidRPr="0018286C" w:rsidP="00411F26" w14:paraId="306B9750" w14:textId="60057131">
      <w:pPr>
        <w:contextualSpacing/>
        <w:rPr>
          <w:rFonts w:ascii="Arial" w:hAnsi="Arial" w:cs="Arial"/>
          <w:sz w:val="22"/>
          <w:szCs w:val="22"/>
        </w:rPr>
      </w:pPr>
      <w:r w:rsidRPr="0018286C">
        <w:rPr>
          <w:rFonts w:ascii="Arial" w:hAnsi="Arial" w:cs="Arial"/>
          <w:sz w:val="22"/>
          <w:szCs w:val="22"/>
        </w:rPr>
        <w:t xml:space="preserve">This proposed information collection request addresses these gaps by acquiring existing backup generator data from all 50 states, the District of Columbia, and five U.S. territories via air permitting offices, which regulate generators under the Clean Air Act, rather than imposing new direct reporting burdens on operators. This administrative data acquisition will enhance the EIA-860 frame's completeness and accuracy through reconciliation and validation, without altering </w:t>
      </w:r>
      <w:r w:rsidRPr="0018286C">
        <w:rPr>
          <w:rFonts w:ascii="Arial" w:hAnsi="Arial" w:cs="Arial"/>
          <w:sz w:val="22"/>
          <w:szCs w:val="22"/>
          <w:u w:val="single"/>
        </w:rPr>
        <w:t>t</w:t>
      </w:r>
      <w:r w:rsidRPr="0018286C">
        <w:rPr>
          <w:rFonts w:ascii="Arial" w:hAnsi="Arial" w:cs="Arial"/>
          <w:sz w:val="22"/>
          <w:szCs w:val="22"/>
        </w:rPr>
        <w:t>he survey's fundamental purpose and structure in any way. This emergency procedure entails only a different data acquisition method for this specific generator subset.</w:t>
      </w:r>
    </w:p>
    <w:p w:rsidR="3DDD0EB2" w:rsidP="3DDD0EB2" w14:paraId="7A6CC3F1" w14:textId="2B86E399">
      <w:pPr>
        <w:spacing w:line="259" w:lineRule="auto"/>
        <w:rPr>
          <w:rFonts w:ascii="Arial" w:eastAsia="Arial" w:hAnsi="Arial" w:cs="Arial"/>
          <w:color w:val="D13438"/>
          <w:sz w:val="22"/>
          <w:szCs w:val="22"/>
          <w:u w:val="single"/>
        </w:rPr>
      </w:pPr>
    </w:p>
    <w:p w:rsidR="3DDD0EB2" w:rsidP="3DDD0EB2" w14:paraId="19584264" w14:textId="6B9460B6">
      <w:pPr>
        <w:contextualSpacing/>
        <w:rPr>
          <w:rFonts w:ascii="Arial" w:hAnsi="Arial" w:cs="Arial"/>
          <w:color w:val="000000" w:themeColor="text1"/>
          <w:sz w:val="22"/>
          <w:szCs w:val="22"/>
        </w:rPr>
      </w:pPr>
    </w:p>
    <w:p w:rsidR="0C080BEF" w:rsidRPr="00EA7F9E" w:rsidP="0C080BEF" w14:paraId="6DB5B539" w14:textId="5239931D">
      <w:pPr>
        <w:contextualSpacing/>
        <w:rPr>
          <w:rFonts w:ascii="Arial" w:eastAsia="Arial" w:hAnsi="Arial" w:cs="Arial"/>
          <w:sz w:val="22"/>
          <w:szCs w:val="22"/>
        </w:rPr>
      </w:pPr>
    </w:p>
    <w:p w:rsidR="001C3BFD" w:rsidRPr="00EA7F9E" w14:paraId="555FDE87" w14:textId="77777777">
      <w:pPr>
        <w:rPr>
          <w:rFonts w:ascii="Arial" w:eastAsia="Arial" w:hAnsi="Arial" w:cs="Arial"/>
          <w:b/>
          <w:sz w:val="22"/>
          <w:szCs w:val="22"/>
        </w:rPr>
      </w:pPr>
      <w:r w:rsidRPr="00EA7F9E">
        <w:rPr>
          <w:rFonts w:ascii="Arial" w:eastAsia="Arial" w:hAnsi="Arial" w:cs="Arial"/>
          <w:sz w:val="22"/>
          <w:szCs w:val="22"/>
        </w:rPr>
        <w:br w:type="page"/>
      </w:r>
    </w:p>
    <w:p w:rsidR="00263A5D" w:rsidRPr="003F64B7" w:rsidP="38DE5EDF" w14:paraId="5F0D429F" w14:textId="7AE8F083">
      <w:pPr>
        <w:pStyle w:val="Heading1"/>
        <w:spacing w:line="240" w:lineRule="auto"/>
        <w:ind w:left="0" w:firstLine="0"/>
        <w:contextualSpacing/>
        <w:jc w:val="left"/>
        <w:rPr>
          <w:rFonts w:ascii="Arial" w:eastAsia="Arial" w:hAnsi="Arial" w:cs="Arial"/>
          <w:szCs w:val="22"/>
        </w:rPr>
      </w:pPr>
      <w:r w:rsidRPr="38DE5EDF">
        <w:rPr>
          <w:rFonts w:ascii="Arial" w:eastAsia="Arial" w:hAnsi="Arial" w:cs="Arial"/>
          <w:szCs w:val="22"/>
        </w:rPr>
        <w:t>SECTION A.</w:t>
      </w:r>
      <w:r>
        <w:tab/>
      </w:r>
    </w:p>
    <w:p w:rsidR="00263A5D" w:rsidRPr="003F64B7" w:rsidP="003276D6" w14:paraId="56AB1C27" w14:textId="342F6CFB">
      <w:pPr>
        <w:pStyle w:val="Heading1"/>
        <w:numPr>
          <w:ilvl w:val="0"/>
          <w:numId w:val="18"/>
        </w:numPr>
        <w:spacing w:line="240" w:lineRule="auto"/>
        <w:contextualSpacing/>
        <w:jc w:val="left"/>
        <w:rPr>
          <w:rFonts w:ascii="Arial" w:eastAsia="Arial" w:hAnsi="Arial" w:cs="Arial"/>
          <w:bCs/>
          <w:szCs w:val="22"/>
          <w:shd w:val="clear" w:color="auto" w:fill="FFFFFF"/>
        </w:rPr>
      </w:pPr>
      <w:r w:rsidRPr="38DE5EDF">
        <w:rPr>
          <w:rFonts w:ascii="Arial" w:eastAsia="Arial" w:hAnsi="Arial" w:cs="Arial"/>
          <w:bCs/>
          <w:szCs w:val="22"/>
        </w:rPr>
        <w:t>Legal Justification</w:t>
      </w:r>
    </w:p>
    <w:p w:rsidR="004E16CF" w:rsidRPr="003F64B7" w:rsidP="38DE5EDF" w14:paraId="7D63DB02" w14:textId="77777777">
      <w:pPr>
        <w:ind w:left="360"/>
        <w:contextualSpacing/>
        <w:rPr>
          <w:rFonts w:ascii="Arial" w:eastAsia="Arial" w:hAnsi="Arial" w:cs="Arial"/>
          <w:sz w:val="22"/>
          <w:szCs w:val="22"/>
        </w:rPr>
      </w:pPr>
      <w:r w:rsidRPr="38DE5EDF">
        <w:rPr>
          <w:rFonts w:ascii="Arial" w:eastAsia="Arial" w:hAnsi="Arial" w:cs="Arial"/>
          <w:sz w:val="22"/>
          <w:szCs w:val="22"/>
        </w:rPr>
        <w:t xml:space="preserve">The authority for this </w:t>
      </w:r>
      <w:r w:rsidRPr="38DE5EDF" w:rsidR="05806640">
        <w:rPr>
          <w:rFonts w:ascii="Arial" w:eastAsia="Arial" w:hAnsi="Arial" w:cs="Arial"/>
          <w:sz w:val="22"/>
          <w:szCs w:val="22"/>
        </w:rPr>
        <w:t xml:space="preserve">mandatory </w:t>
      </w:r>
      <w:r w:rsidRPr="38DE5EDF">
        <w:rPr>
          <w:rFonts w:ascii="Arial" w:eastAsia="Arial" w:hAnsi="Arial" w:cs="Arial"/>
          <w:sz w:val="22"/>
          <w:szCs w:val="22"/>
        </w:rPr>
        <w:t>information collection is provided by the following general provisions:</w:t>
      </w:r>
    </w:p>
    <w:p w:rsidR="004E16CF" w:rsidRPr="003F64B7" w:rsidP="38DE5EDF" w14:paraId="7AD5C991" w14:textId="77777777">
      <w:pPr>
        <w:contextualSpacing/>
        <w:rPr>
          <w:rFonts w:ascii="Arial" w:eastAsia="Arial" w:hAnsi="Arial" w:cs="Arial"/>
          <w:sz w:val="22"/>
          <w:szCs w:val="22"/>
        </w:rPr>
      </w:pPr>
    </w:p>
    <w:p w:rsidR="004E16CF" w:rsidRPr="003F64B7" w:rsidP="003276D6" w14:paraId="76A2CAF7" w14:textId="77777777">
      <w:pPr>
        <w:numPr>
          <w:ilvl w:val="0"/>
          <w:numId w:val="21"/>
        </w:numPr>
        <w:ind w:left="1170"/>
        <w:contextualSpacing/>
        <w:rPr>
          <w:rFonts w:ascii="Arial" w:eastAsia="Arial" w:hAnsi="Arial" w:cs="Arial"/>
          <w:sz w:val="22"/>
          <w:szCs w:val="22"/>
        </w:rPr>
      </w:pPr>
      <w:r w:rsidRPr="38DE5EDF">
        <w:rPr>
          <w:rFonts w:ascii="Arial" w:eastAsia="Arial" w:hAnsi="Arial" w:cs="Arial"/>
          <w:sz w:val="22"/>
          <w:szCs w:val="22"/>
        </w:rPr>
        <w:t>Title 15 U.S. Code §772, which established the mandatory requirement of owners and operators of businesses in the U.S. to report energy supply and consumption data to the EIA Administrator.</w:t>
      </w:r>
    </w:p>
    <w:p w:rsidR="004E16CF" w:rsidRPr="003F64B7" w:rsidP="38DE5EDF" w14:paraId="5E515958" w14:textId="77777777">
      <w:pPr>
        <w:ind w:left="720"/>
        <w:contextualSpacing/>
        <w:rPr>
          <w:rFonts w:ascii="Arial" w:eastAsia="Arial" w:hAnsi="Arial" w:cs="Arial"/>
          <w:sz w:val="22"/>
          <w:szCs w:val="22"/>
        </w:rPr>
      </w:pPr>
    </w:p>
    <w:p w:rsidR="004E16CF" w:rsidRPr="003F64B7" w:rsidP="003276D6" w14:paraId="71DD694C" w14:textId="77777777">
      <w:pPr>
        <w:numPr>
          <w:ilvl w:val="0"/>
          <w:numId w:val="21"/>
        </w:numPr>
        <w:ind w:left="1170"/>
        <w:contextualSpacing/>
        <w:rPr>
          <w:rFonts w:ascii="Arial" w:eastAsia="Arial" w:hAnsi="Arial" w:cs="Arial"/>
          <w:sz w:val="22"/>
          <w:szCs w:val="22"/>
        </w:rPr>
      </w:pPr>
      <w:r w:rsidRPr="38DE5EDF">
        <w:rPr>
          <w:rFonts w:ascii="Arial" w:eastAsia="Arial" w:hAnsi="Arial" w:cs="Arial"/>
          <w:sz w:val="22"/>
          <w:szCs w:val="22"/>
        </w:rPr>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4E16CF" w:rsidRPr="003F64B7" w:rsidP="38DE5EDF" w14:paraId="561D6AC4" w14:textId="77777777">
      <w:pPr>
        <w:pStyle w:val="ListParagraph"/>
        <w:numPr>
          <w:ilvl w:val="0"/>
          <w:numId w:val="0"/>
        </w:numPr>
        <w:ind w:left="1080"/>
        <w:rPr>
          <w:rFonts w:ascii="Arial" w:eastAsia="Arial" w:hAnsi="Arial" w:cs="Arial"/>
          <w:color w:val="auto"/>
          <w:szCs w:val="22"/>
        </w:rPr>
      </w:pPr>
    </w:p>
    <w:p w:rsidR="004E16CF" w:rsidRPr="003F64B7" w:rsidP="003276D6" w14:paraId="4195B93E" w14:textId="77777777">
      <w:pPr>
        <w:numPr>
          <w:ilvl w:val="0"/>
          <w:numId w:val="21"/>
        </w:numPr>
        <w:ind w:left="1170"/>
        <w:contextualSpacing/>
        <w:rPr>
          <w:rFonts w:ascii="Arial" w:eastAsia="Arial" w:hAnsi="Arial" w:cs="Arial"/>
          <w:sz w:val="22"/>
          <w:szCs w:val="22"/>
        </w:rPr>
      </w:pPr>
      <w:r w:rsidRPr="38DE5EDF">
        <w:rPr>
          <w:rFonts w:ascii="Arial" w:eastAsia="Arial" w:hAnsi="Arial" w:cs="Arial"/>
          <w:sz w:val="22"/>
          <w:szCs w:val="22"/>
        </w:rPr>
        <w:t>Title 15 U.S. Code §790a, which established the National Energy Information System (NEIS) that is the enclave containing the energy data collected by EIA, which allows EIA to describe and analyze energy supply and consumption in the U.S.  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2A6F3A" w:rsidRPr="003F64B7" w:rsidP="38DE5EDF" w14:paraId="4D169A22" w14:textId="2120C49F">
      <w:pPr>
        <w:pStyle w:val="P1-StandPara"/>
        <w:spacing w:line="240" w:lineRule="auto"/>
        <w:ind w:firstLine="0"/>
        <w:jc w:val="left"/>
        <w:rPr>
          <w:rFonts w:ascii="Arial" w:eastAsia="Arial" w:hAnsi="Arial" w:cs="Arial"/>
          <w:szCs w:val="22"/>
        </w:rPr>
      </w:pPr>
    </w:p>
    <w:p w:rsidR="00A864C3" w:rsidP="003276D6" w14:paraId="7E6DA334" w14:textId="320FD17B">
      <w:pPr>
        <w:pStyle w:val="ListParagraph"/>
        <w:numPr>
          <w:ilvl w:val="0"/>
          <w:numId w:val="17"/>
        </w:numPr>
        <w:tabs>
          <w:tab w:val="num" w:pos="720"/>
          <w:tab w:val="left" w:pos="1152"/>
          <w:tab w:val="left" w:pos="1728"/>
          <w:tab w:val="left" w:pos="2304"/>
        </w:tabs>
        <w:spacing w:line="259" w:lineRule="auto"/>
        <w:rPr>
          <w:rFonts w:ascii="Arial" w:eastAsia="Arial" w:hAnsi="Arial" w:cs="Arial"/>
          <w:b/>
          <w:bCs/>
          <w:color w:val="auto"/>
          <w:szCs w:val="22"/>
        </w:rPr>
      </w:pPr>
      <w:r w:rsidRPr="38DE5EDF">
        <w:rPr>
          <w:rFonts w:ascii="Arial" w:eastAsia="Arial" w:hAnsi="Arial" w:cs="Arial"/>
          <w:b/>
          <w:bCs/>
          <w:color w:val="auto"/>
          <w:szCs w:val="22"/>
        </w:rPr>
        <w:t>Indicate how, by whom, and for what purpose the information is to be used.  Except for a new collection, indicate the actual use the agency has made of the information received from the current collection.</w:t>
      </w:r>
    </w:p>
    <w:p w:rsidR="00002F42" w:rsidP="001B2260" w14:paraId="33DF83A1" w14:textId="56B8E797">
      <w:pPr>
        <w:contextualSpacing/>
        <w:outlineLvl w:val="0"/>
        <w:rPr>
          <w:rFonts w:ascii="Arial" w:hAnsi="Arial" w:cs="Arial"/>
          <w:sz w:val="22"/>
          <w:szCs w:val="22"/>
        </w:rPr>
      </w:pPr>
    </w:p>
    <w:p w:rsidR="38DE5EDF" w:rsidP="004C64F6" w14:paraId="591D9967" w14:textId="4B651B91">
      <w:pPr>
        <w:ind w:left="720"/>
        <w:rPr>
          <w:rFonts w:ascii="Arial" w:eastAsia="Arial" w:hAnsi="Arial" w:cs="Arial"/>
          <w:sz w:val="22"/>
          <w:szCs w:val="22"/>
        </w:rPr>
      </w:pPr>
      <w:r w:rsidRPr="0018286C">
        <w:rPr>
          <w:rFonts w:ascii="Arial" w:eastAsia="Arial" w:hAnsi="Arial" w:cs="Arial"/>
          <w:sz w:val="22"/>
          <w:szCs w:val="22"/>
        </w:rPr>
        <w:t>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ascii="Arial" w:eastAsia="Arial" w:hAnsi="Arial" w:cs="Arial"/>
          <w:sz w:val="22"/>
          <w:szCs w:val="22"/>
        </w:rPr>
        <w:footnoteReference w:id="12"/>
      </w:r>
      <w:r w:rsidRPr="0018286C">
        <w:rPr>
          <w:rFonts w:ascii="Arial" w:eastAsia="Arial" w:hAnsi="Arial" w:cs="Arial"/>
          <w:sz w:val="22"/>
          <w:szCs w:val="22"/>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ascii="Arial" w:eastAsia="Arial" w:hAnsi="Arial" w:cs="Arial"/>
          <w:sz w:val="22"/>
          <w:szCs w:val="22"/>
        </w:rPr>
        <w:footnoteReference w:id="13"/>
      </w:r>
      <w:r w:rsidRPr="0018286C">
        <w:rPr>
          <w:rFonts w:ascii="Arial" w:eastAsia="Arial" w:hAnsi="Arial" w:cs="Arial"/>
          <w:sz w:val="22"/>
          <w:szCs w:val="22"/>
          <w:vertAlign w:val="superscript"/>
        </w:rPr>
        <w:t xml:space="preserve"> </w:t>
      </w:r>
      <w:r w:rsidRPr="0018286C">
        <w:rPr>
          <w:rFonts w:ascii="Arial" w:eastAsia="Arial" w:hAnsi="Arial" w:cs="Arial"/>
          <w:sz w:val="22"/>
          <w:szCs w:val="22"/>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ascii="Arial" w:eastAsia="Arial" w:hAnsi="Arial" w:cs="Arial"/>
          <w:sz w:val="22"/>
          <w:szCs w:val="22"/>
        </w:rPr>
        <w:footnoteReference w:id="14"/>
      </w:r>
      <w:r>
        <w:rPr>
          <w:rStyle w:val="FootnoteReference"/>
          <w:rFonts w:ascii="Arial" w:eastAsia="Arial" w:hAnsi="Arial" w:cs="Arial"/>
          <w:sz w:val="22"/>
          <w:szCs w:val="22"/>
        </w:rPr>
        <w:t xml:space="preserve"> </w:t>
      </w:r>
      <w:r>
        <w:rPr>
          <w:rFonts w:ascii="Arial" w:eastAsia="Arial" w:hAnsi="Arial" w:cs="Arial"/>
          <w:sz w:val="22"/>
          <w:szCs w:val="22"/>
        </w:rPr>
        <w:t xml:space="preserve"> </w:t>
      </w:r>
      <w:r w:rsidRPr="0018286C">
        <w:rPr>
          <w:rFonts w:ascii="Arial" w:eastAsia="Arial" w:hAnsi="Arial" w:cs="Arial"/>
          <w:sz w:val="22"/>
          <w:szCs w:val="22"/>
        </w:rPr>
        <w:t xml:space="preserve">With respect to the expansion of artificial intelligence, </w:t>
      </w:r>
      <w:r w:rsidRPr="0018286C">
        <w:rPr>
          <w:rFonts w:ascii="Arial" w:eastAsia="Arial" w:hAnsi="Arial" w:cs="Arial"/>
          <w:sz w:val="22"/>
          <w:szCs w:val="22"/>
        </w:rPr>
        <w:t>Executive Order 14365, “Ensuring a National Policy Framework for Artificial Intelligence,” issued on December 11, 2025, asserts that “we remain in the earliest days of this technological revolution and are in a race with adversaries for supremacy within it.”</w:t>
      </w:r>
      <w:r>
        <w:rPr>
          <w:rStyle w:val="FootnoteReference"/>
          <w:rFonts w:ascii="Arial" w:eastAsia="Arial" w:hAnsi="Arial" w:cs="Arial"/>
          <w:sz w:val="22"/>
          <w:szCs w:val="22"/>
        </w:rPr>
        <w:footnoteReference w:id="15"/>
      </w:r>
    </w:p>
    <w:p w:rsidR="00D0308A" w:rsidP="004C64F6" w14:paraId="4E97AA1B" w14:textId="77777777">
      <w:pPr>
        <w:ind w:left="720"/>
        <w:rPr>
          <w:rFonts w:ascii="Arial" w:eastAsia="Arial" w:hAnsi="Arial" w:cs="Arial"/>
          <w:sz w:val="22"/>
          <w:szCs w:val="22"/>
        </w:rPr>
      </w:pPr>
    </w:p>
    <w:p w:rsidR="00D0308A" w:rsidRPr="00A07895" w:rsidP="00D0308A" w14:paraId="3AFB5EF5" w14:textId="77777777">
      <w:pPr>
        <w:ind w:left="720"/>
        <w:contextualSpacing/>
        <w:rPr>
          <w:rFonts w:ascii="Arial" w:hAnsi="Arial" w:cs="Arial"/>
          <w:sz w:val="22"/>
          <w:szCs w:val="22"/>
        </w:rPr>
      </w:pPr>
      <w:r w:rsidRPr="3DDD0EB2">
        <w:rPr>
          <w:rFonts w:ascii="Arial" w:hAnsi="Arial" w:cs="Arial"/>
          <w:sz w:val="22"/>
          <w:szCs w:val="22"/>
        </w:rPr>
        <w:t>The current lack of comprehensive data on backup generators, particularly smaller emergency units, represents a significant gap in our understanding of total U.S. grid capacity and resilience. This gap could hinder effective emergency response and grid management during periods of stress, potentially leading to widespread power outages and economic disruption.</w:t>
      </w:r>
    </w:p>
    <w:p w:rsidR="00D0308A" w:rsidRPr="00A07895" w:rsidP="00D0308A" w14:paraId="5876B292" w14:textId="77777777">
      <w:pPr>
        <w:contextualSpacing/>
        <w:outlineLvl w:val="0"/>
        <w:rPr>
          <w:rFonts w:ascii="Arial" w:hAnsi="Arial" w:cs="Arial"/>
          <w:bCs/>
          <w:sz w:val="22"/>
          <w:szCs w:val="22"/>
        </w:rPr>
      </w:pPr>
    </w:p>
    <w:p w:rsidR="00D0308A" w:rsidRPr="004C64F6" w:rsidP="004C64F6" w14:paraId="56133C41" w14:textId="45F2C68B">
      <w:pPr>
        <w:ind w:left="720"/>
        <w:rPr>
          <w:rFonts w:ascii="Arial" w:eastAsia="Arial" w:hAnsi="Arial" w:cs="Arial"/>
          <w:sz w:val="22"/>
          <w:szCs w:val="22"/>
          <w:vertAlign w:val="superscript"/>
        </w:rPr>
      </w:pPr>
      <w:r w:rsidRPr="3DDD0EB2">
        <w:rPr>
          <w:rFonts w:ascii="Arial" w:hAnsi="Arial" w:cs="Arial"/>
          <w:sz w:val="22"/>
          <w:szCs w:val="22"/>
        </w:rPr>
        <w:t>EIA has a critical need to enhance the completeness and accuracy of the frame for the EIA-860, Annual Electric Power Industry Report, which comprehensively surveys U.S. electricity generating units with a 1 MW threshold. While the survey generally excludes smaller distributed generation, backup generators are included if they meet the 1 MW threshold within a surveyed facility. However, many backup generators are often excluded or inconsistently captured due to capacity limitations or intermittent operation, revealing data gaps. This proposed information collection request addresses these gaps by acquiring existing backup generator data from all 50 states, the District of Columbia, and five U.S. territories via air permitting offices, which regulate generators under the Clean Air Act, rather than imposing new direct reporting burdens on operators. This administrative data acquisition will enhance the EIA-860 frame's completeness and accuracy through reconciliation and validation, without altering the survey's fundamental purpose or structure, only its data acquisition method for this specific generator subset.</w:t>
      </w:r>
    </w:p>
    <w:p w:rsidR="004C64F6" w:rsidP="00177E52" w14:paraId="27CAD3C1" w14:textId="77777777">
      <w:pPr>
        <w:contextualSpacing/>
        <w:rPr>
          <w:rFonts w:ascii="Arial" w:eastAsia="Arial" w:hAnsi="Arial" w:cs="Arial"/>
          <w:sz w:val="22"/>
          <w:szCs w:val="22"/>
        </w:rPr>
      </w:pPr>
    </w:p>
    <w:p w:rsidR="00675215" w:rsidRPr="003F64B7" w:rsidP="00EB0780" w14:paraId="2D39EC83" w14:textId="41C85DFC">
      <w:pPr>
        <w:ind w:left="720"/>
        <w:contextualSpacing/>
        <w:rPr>
          <w:rFonts w:ascii="Arial" w:eastAsia="Arial" w:hAnsi="Arial" w:cs="Arial"/>
          <w:sz w:val="22"/>
          <w:szCs w:val="22"/>
        </w:rPr>
      </w:pPr>
      <w:r w:rsidRPr="38DE5EDF">
        <w:rPr>
          <w:rFonts w:ascii="Arial" w:eastAsia="Arial" w:hAnsi="Arial" w:cs="Arial"/>
          <w:sz w:val="22"/>
          <w:szCs w:val="22"/>
        </w:rPr>
        <w:t xml:space="preserve">There is precedent for EIA conducting approved emergency fuel surveys </w:t>
      </w:r>
      <w:r w:rsidRPr="38DE5EDF" w:rsidR="653E04F9">
        <w:rPr>
          <w:rFonts w:ascii="Arial" w:eastAsia="Arial" w:hAnsi="Arial" w:cs="Arial"/>
          <w:sz w:val="22"/>
          <w:szCs w:val="22"/>
        </w:rPr>
        <w:t>caused by</w:t>
      </w:r>
      <w:r w:rsidRPr="38DE5EDF" w:rsidR="05806640">
        <w:rPr>
          <w:rFonts w:ascii="Arial" w:eastAsia="Arial" w:hAnsi="Arial" w:cs="Arial"/>
          <w:sz w:val="22"/>
          <w:szCs w:val="22"/>
        </w:rPr>
        <w:t xml:space="preserve"> emergencies</w:t>
      </w:r>
      <w:r w:rsidRPr="38DE5EDF" w:rsidR="6B48FFD5">
        <w:rPr>
          <w:rFonts w:ascii="Arial" w:eastAsia="Arial" w:hAnsi="Arial" w:cs="Arial"/>
          <w:sz w:val="22"/>
          <w:szCs w:val="22"/>
        </w:rPr>
        <w:t xml:space="preserve"> or the lingering effects of emergencies</w:t>
      </w:r>
      <w:r w:rsidRPr="38DE5EDF">
        <w:rPr>
          <w:rFonts w:ascii="Arial" w:eastAsia="Arial" w:hAnsi="Arial" w:cs="Arial"/>
          <w:sz w:val="22"/>
          <w:szCs w:val="22"/>
        </w:rPr>
        <w:t xml:space="preserve">. </w:t>
      </w:r>
      <w:r w:rsidRPr="38DE5EDF" w:rsidR="6B48FFD5">
        <w:rPr>
          <w:rFonts w:ascii="Arial" w:eastAsia="Arial" w:hAnsi="Arial" w:cs="Arial"/>
          <w:sz w:val="22"/>
          <w:szCs w:val="22"/>
        </w:rPr>
        <w:t xml:space="preserve">For example, the </w:t>
      </w:r>
      <w:r w:rsidRPr="38DE5EDF">
        <w:rPr>
          <w:rFonts w:ascii="Arial" w:eastAsia="Arial" w:hAnsi="Arial" w:cs="Arial"/>
          <w:sz w:val="22"/>
          <w:szCs w:val="22"/>
        </w:rPr>
        <w:t xml:space="preserve">EIA-878 survey provided daily estimates from April 29, 1996, through August 2, 1996, to Congress, Federal officials, and the transportation industry in order to monitor rapid price increases at both regional and national levels. During the 1991 Iraq war, the data were used by Congress and Federal officials to monitor the retail price of gasoline </w:t>
      </w:r>
      <w:r w:rsidRPr="38DE5EDF" w:rsidR="149AAF41">
        <w:rPr>
          <w:rFonts w:ascii="Arial" w:eastAsia="Arial" w:hAnsi="Arial" w:cs="Arial"/>
          <w:sz w:val="22"/>
          <w:szCs w:val="22"/>
        </w:rPr>
        <w:t>daily</w:t>
      </w:r>
      <w:r w:rsidRPr="38DE5EDF">
        <w:rPr>
          <w:rFonts w:ascii="Arial" w:eastAsia="Arial" w:hAnsi="Arial" w:cs="Arial"/>
          <w:sz w:val="22"/>
          <w:szCs w:val="22"/>
        </w:rPr>
        <w:t xml:space="preserve">. After Hurricane Sandy in 2012, </w:t>
      </w:r>
      <w:r w:rsidRPr="38DE5EDF" w:rsidR="7220D0BA">
        <w:rPr>
          <w:rFonts w:ascii="Arial" w:eastAsia="Arial" w:hAnsi="Arial" w:cs="Arial"/>
          <w:sz w:val="22"/>
          <w:szCs w:val="22"/>
        </w:rPr>
        <w:t>t</w:t>
      </w:r>
      <w:r w:rsidRPr="38DE5EDF" w:rsidR="6B48FFD5">
        <w:rPr>
          <w:rFonts w:ascii="Arial" w:eastAsia="Arial" w:hAnsi="Arial" w:cs="Arial"/>
          <w:sz w:val="22"/>
          <w:szCs w:val="22"/>
        </w:rPr>
        <w:t>he EIA-878 and EIA-888</w:t>
      </w:r>
      <w:r w:rsidRPr="38DE5EDF">
        <w:rPr>
          <w:rFonts w:ascii="Arial" w:eastAsia="Arial" w:hAnsi="Arial" w:cs="Arial"/>
          <w:sz w:val="22"/>
          <w:szCs w:val="22"/>
        </w:rPr>
        <w:t xml:space="preserve"> were used to evaluate the availability of gasoline and diesel in the New York City metropolitan area. </w:t>
      </w:r>
      <w:r w:rsidRPr="38DE5EDF" w:rsidR="6B48FFD5">
        <w:rPr>
          <w:rFonts w:ascii="Arial" w:eastAsia="Arial" w:hAnsi="Arial" w:cs="Arial"/>
          <w:sz w:val="22"/>
          <w:szCs w:val="22"/>
        </w:rPr>
        <w:t xml:space="preserve">In addition, the </w:t>
      </w:r>
      <w:r w:rsidRPr="38DE5EDF">
        <w:rPr>
          <w:rFonts w:ascii="Arial" w:eastAsia="Arial" w:hAnsi="Arial" w:cs="Arial"/>
          <w:sz w:val="22"/>
          <w:szCs w:val="22"/>
        </w:rPr>
        <w:t>New York State Energy Research Development Authority used the EIA-878 retail gasoline price estimates for New York State to monitor supply conditions and price levels in the State.</w:t>
      </w:r>
    </w:p>
    <w:p w:rsidR="00756DF3" w:rsidRPr="00D55165" w:rsidP="38DE5EDF" w14:paraId="70B2C7FF" w14:textId="7678A141">
      <w:pPr>
        <w:contextualSpacing/>
        <w:rPr>
          <w:rFonts w:ascii="Arial" w:eastAsia="Arial" w:hAnsi="Arial" w:cs="Arial"/>
          <w:sz w:val="22"/>
          <w:szCs w:val="22"/>
        </w:rPr>
      </w:pPr>
    </w:p>
    <w:p w:rsidR="002A6F3A" w:rsidRPr="003F64B7" w:rsidP="38DE5EDF" w14:paraId="32F4B230" w14:textId="77777777">
      <w:pPr>
        <w:pStyle w:val="BodyText"/>
        <w:tabs>
          <w:tab w:val="left" w:pos="1170"/>
        </w:tabs>
        <w:spacing w:after="0"/>
        <w:rPr>
          <w:rFonts w:ascii="Arial" w:eastAsia="Arial" w:hAnsi="Arial" w:cs="Arial"/>
          <w:szCs w:val="22"/>
        </w:rPr>
      </w:pPr>
    </w:p>
    <w:p w:rsidR="00A864C3" w:rsidRPr="003F64B7" w:rsidP="003276D6" w14:paraId="7064B619" w14:textId="25F2EF45">
      <w:pPr>
        <w:pStyle w:val="ListParagraph"/>
        <w:keepNext/>
        <w:keepLines/>
        <w:numPr>
          <w:ilvl w:val="0"/>
          <w:numId w:val="16"/>
        </w:numPr>
        <w:tabs>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38DE5EDF" w:rsidR="34D1F62D">
        <w:rPr>
          <w:rFonts w:ascii="Arial" w:eastAsia="Arial" w:hAnsi="Arial" w:cs="Arial"/>
          <w:b/>
          <w:bCs/>
          <w:color w:val="auto"/>
          <w:szCs w:val="22"/>
        </w:rPr>
        <w:t xml:space="preserve"> </w:t>
      </w:r>
    </w:p>
    <w:p w:rsidR="68E60113" w:rsidRPr="00D1353C" w:rsidP="38DE5EDF" w14:paraId="765ACD7D" w14:textId="015C4A3C">
      <w:pPr>
        <w:keepNext/>
        <w:keepLines/>
        <w:tabs>
          <w:tab w:val="left" w:pos="720"/>
          <w:tab w:val="left" w:pos="1728"/>
          <w:tab w:val="left" w:pos="2304"/>
        </w:tabs>
        <w:ind w:left="720" w:hanging="720"/>
        <w:rPr>
          <w:rFonts w:ascii="Arial" w:eastAsia="Arial" w:hAnsi="Arial" w:cs="Arial"/>
          <w:b/>
          <w:bCs/>
          <w:sz w:val="22"/>
          <w:szCs w:val="22"/>
        </w:rPr>
      </w:pPr>
    </w:p>
    <w:p w:rsidR="00D1353C" w:rsidRPr="00D30A0F" w:rsidP="00D1353C" w14:paraId="5B78A9C0" w14:textId="244A372A">
      <w:pPr>
        <w:ind w:left="720"/>
        <w:contextualSpacing/>
        <w:rPr>
          <w:rFonts w:ascii="Arial" w:hAnsi="Arial" w:cs="Arial"/>
          <w:sz w:val="22"/>
          <w:szCs w:val="22"/>
        </w:rPr>
      </w:pPr>
      <w:r w:rsidRPr="00D30A0F">
        <w:rPr>
          <w:rFonts w:ascii="Arial" w:hAnsi="Arial" w:cs="Arial"/>
          <w:sz w:val="22"/>
          <w:szCs w:val="22"/>
        </w:rPr>
        <w:t xml:space="preserve">The primary data collection method will be </w:t>
      </w:r>
      <w:r w:rsidRPr="00D30A0F">
        <w:rPr>
          <w:rFonts w:ascii="Arial" w:hAnsi="Arial" w:cs="Arial"/>
          <w:sz w:val="22"/>
          <w:szCs w:val="22"/>
        </w:rPr>
        <w:t>secure</w:t>
      </w:r>
      <w:r w:rsidRPr="00D30A0F">
        <w:rPr>
          <w:rFonts w:ascii="Arial" w:hAnsi="Arial" w:cs="Arial"/>
          <w:sz w:val="22"/>
          <w:szCs w:val="22"/>
        </w:rPr>
        <w:t xml:space="preserve"> file transfers facilitated by the EIA's e-filing system. </w:t>
      </w:r>
    </w:p>
    <w:p w:rsidR="002A6F3A" w:rsidRPr="003F64B7" w:rsidP="38DE5EDF" w14:paraId="3C164E02" w14:textId="3DAF84F0">
      <w:pPr>
        <w:pStyle w:val="P1-StandPara"/>
        <w:spacing w:line="240" w:lineRule="auto"/>
        <w:ind w:firstLine="0"/>
        <w:jc w:val="left"/>
        <w:rPr>
          <w:rFonts w:ascii="Arial" w:eastAsia="Arial" w:hAnsi="Arial" w:cs="Arial"/>
          <w:szCs w:val="22"/>
        </w:rPr>
      </w:pPr>
    </w:p>
    <w:p w:rsidR="00A864C3" w:rsidRPr="003F64B7" w:rsidP="003276D6" w14:paraId="3EBB767F" w14:textId="4D5DDF9A">
      <w:pPr>
        <w:pStyle w:val="ListParagraph"/>
        <w:numPr>
          <w:ilvl w:val="0"/>
          <w:numId w:val="15"/>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efforts to identify duplication.</w:t>
      </w:r>
    </w:p>
    <w:p w:rsidR="00180675" w:rsidRPr="00D30A0F" w:rsidP="38DE5EDF" w14:paraId="38BDC2D3" w14:textId="77777777">
      <w:pPr>
        <w:pStyle w:val="P1-StandPara"/>
        <w:spacing w:line="240" w:lineRule="auto"/>
        <w:ind w:firstLine="0"/>
        <w:jc w:val="left"/>
        <w:rPr>
          <w:rFonts w:ascii="Arial" w:eastAsia="Arial" w:hAnsi="Arial" w:cs="Arial"/>
          <w:szCs w:val="22"/>
        </w:rPr>
      </w:pPr>
    </w:p>
    <w:p w:rsidR="00D30A0F" w:rsidRPr="00D30A0F" w:rsidP="00D30A0F" w14:paraId="541A1B4C" w14:textId="77777777">
      <w:pPr>
        <w:ind w:left="720"/>
        <w:contextualSpacing/>
        <w:outlineLvl w:val="0"/>
        <w:rPr>
          <w:rFonts w:ascii="Arial" w:hAnsi="Arial" w:cs="Arial"/>
          <w:bCs/>
          <w:sz w:val="22"/>
          <w:szCs w:val="22"/>
        </w:rPr>
      </w:pPr>
      <w:r w:rsidRPr="00D30A0F">
        <w:rPr>
          <w:rFonts w:ascii="Arial" w:eastAsia="Arial" w:hAnsi="Arial" w:cs="Arial"/>
          <w:sz w:val="22"/>
          <w:szCs w:val="22"/>
        </w:rPr>
        <w:t xml:space="preserve">There is no other known source available to provide a comprehensive and time-sensitive source of data.  </w:t>
      </w:r>
      <w:r w:rsidRPr="00D30A0F">
        <w:rPr>
          <w:rFonts w:ascii="Arial" w:hAnsi="Arial" w:cs="Arial"/>
          <w:bCs/>
          <w:sz w:val="22"/>
          <w:szCs w:val="22"/>
        </w:rPr>
        <w:t>We have consulted with other federal agencies, including other Department of Energy departmental elements and the U.S. Environmental Protection Agency, and have not identified an authoritative, comprehensive data source for backup generator capacity at the scale and granularity required for accurate grid assessment and emergency planning. Due to the speed with which emergency declarations are being made and the critical need to improve grid resilience, the time required to request data collection under normal clearance will exceed the need to urgently collect this information. This proposed change is necessary for EIA to fulfill its mission to provide timely data collection to promote sound policymaking, efficient markets, and public understanding of energy and its interaction with the economy and the environment.</w:t>
      </w:r>
    </w:p>
    <w:p w:rsidR="38DE5EDF" w:rsidP="00D30A0F" w14:paraId="681926BD" w14:textId="08961033">
      <w:pPr>
        <w:pStyle w:val="P1-StandPara"/>
        <w:spacing w:line="240" w:lineRule="auto"/>
        <w:ind w:left="720" w:firstLine="0"/>
        <w:jc w:val="left"/>
        <w:rPr>
          <w:rFonts w:ascii="Arial" w:eastAsia="Arial" w:hAnsi="Arial" w:cs="Arial"/>
          <w:szCs w:val="22"/>
        </w:rPr>
      </w:pPr>
    </w:p>
    <w:p w:rsidR="00756DF3" w:rsidRPr="003F64B7" w:rsidP="003276D6" w14:paraId="203F3331" w14:textId="063FD6F2">
      <w:pPr>
        <w:pStyle w:val="Heading1"/>
        <w:numPr>
          <w:ilvl w:val="0"/>
          <w:numId w:val="14"/>
        </w:numPr>
        <w:tabs>
          <w:tab w:val="left" w:pos="720"/>
          <w:tab w:val="clear" w:pos="1152"/>
        </w:tabs>
        <w:spacing w:line="240" w:lineRule="auto"/>
        <w:jc w:val="left"/>
        <w:rPr>
          <w:rFonts w:ascii="Arial" w:eastAsia="Arial" w:hAnsi="Arial" w:cs="Arial"/>
          <w:szCs w:val="22"/>
        </w:rPr>
      </w:pPr>
      <w:r w:rsidRPr="38DE5EDF">
        <w:rPr>
          <w:rFonts w:ascii="Arial" w:hAnsi="Arial" w:cs="Arial"/>
          <w:lang w:val="en-CA"/>
        </w:rPr>
        <w:fldChar w:fldCharType="begin"/>
      </w:r>
      <w:r w:rsidRPr="38DE5EDF">
        <w:rPr>
          <w:rFonts w:ascii="Arial" w:hAnsi="Arial" w:cs="Arial"/>
          <w:lang w:val="en-CA"/>
        </w:rPr>
        <w:instrText xml:space="preserve"> SEQ CHAPTER \h \r 1</w:instrText>
      </w:r>
      <w:r w:rsidRPr="38DE5EDF">
        <w:rPr>
          <w:rFonts w:ascii="Arial" w:hAnsi="Arial" w:cs="Arial"/>
          <w:lang w:val="en-CA"/>
        </w:rPr>
        <w:fldChar w:fldCharType="separate"/>
      </w:r>
      <w:r w:rsidRPr="38DE5EDF">
        <w:rPr>
          <w:rFonts w:ascii="Arial" w:hAnsi="Arial" w:cs="Arial"/>
          <w:lang w:val="en-CA"/>
        </w:rPr>
        <w:fldChar w:fldCharType="end"/>
      </w:r>
      <w:r w:rsidRPr="38DE5EDF" w:rsidR="379E8C7F">
        <w:rPr>
          <w:rFonts w:ascii="Arial" w:eastAsia="Arial" w:hAnsi="Arial" w:cs="Arial"/>
          <w:szCs w:val="22"/>
        </w:rPr>
        <w:t>If the collection of information impacts small bus</w:t>
      </w:r>
      <w:r w:rsidRPr="38DE5EDF" w:rsidR="38C88130">
        <w:rPr>
          <w:rFonts w:ascii="Arial" w:eastAsia="Arial" w:hAnsi="Arial" w:cs="Arial"/>
          <w:szCs w:val="22"/>
        </w:rPr>
        <w:t xml:space="preserve">inesses or other small entities, </w:t>
      </w:r>
      <w:r w:rsidRPr="38DE5EDF" w:rsidR="379E8C7F">
        <w:rPr>
          <w:rFonts w:ascii="Arial" w:eastAsia="Arial" w:hAnsi="Arial" w:cs="Arial"/>
          <w:szCs w:val="22"/>
        </w:rPr>
        <w:t>describe any methods used to minimize burden.</w:t>
      </w:r>
      <w:r w:rsidRPr="38DE5EDF" w:rsidR="33766951">
        <w:rPr>
          <w:rFonts w:ascii="Arial" w:eastAsia="Arial" w:hAnsi="Arial" w:cs="Arial"/>
          <w:szCs w:val="22"/>
        </w:rPr>
        <w:t xml:space="preserve"> </w:t>
      </w:r>
    </w:p>
    <w:p w:rsidR="002A6F3A" w:rsidRPr="003F64B7" w:rsidP="38DE5EDF" w14:paraId="7321F5A2" w14:textId="1CE7246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Pr>
          <w:rFonts w:ascii="Arial" w:eastAsia="Arial" w:hAnsi="Arial" w:cs="Arial"/>
          <w:sz w:val="22"/>
          <w:szCs w:val="22"/>
        </w:rPr>
      </w:pPr>
      <w:r>
        <w:rPr>
          <w:rFonts w:ascii="Arial" w:eastAsia="Arial" w:hAnsi="Arial" w:cs="Arial"/>
          <w:sz w:val="22"/>
          <w:szCs w:val="22"/>
        </w:rPr>
        <w:t xml:space="preserve">Not applicable. </w:t>
      </w:r>
      <w:r w:rsidRPr="00A07895">
        <w:rPr>
          <w:rFonts w:ascii="Arial" w:hAnsi="Arial" w:cs="Arial"/>
          <w:bCs/>
          <w:sz w:val="22"/>
          <w:szCs w:val="22"/>
        </w:rPr>
        <w:t>This proposed information collection request addresses these gaps by acquiring existing backup generator data from all 50 states, the District of Columbia, and five U.S. territories via air permitting offices, which regulate generators under the Clean Air Act, rather than imposing new direct reporting burdens on operators.</w:t>
      </w:r>
    </w:p>
    <w:p w:rsidR="00A864C3" w:rsidRPr="003F64B7" w:rsidP="003276D6" w14:paraId="78D9414F" w14:textId="163EEEEF">
      <w:pPr>
        <w:pStyle w:val="ListParagraph"/>
        <w:keepNext/>
        <w:keepLines/>
        <w:numPr>
          <w:ilvl w:val="0"/>
          <w:numId w:val="13"/>
        </w:numPr>
        <w:tabs>
          <w:tab w:val="left" w:pos="180"/>
          <w:tab w:val="left" w:pos="810"/>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the consequence to Federal program or policy activities if the collection is not conducted or is conducted less frequently, as well as any technical or legal obstacles to reducing burden.</w:t>
      </w:r>
    </w:p>
    <w:p w:rsidR="00180675" w:rsidRPr="003F64B7" w:rsidP="38DE5EDF" w14:paraId="41AB5E79" w14:textId="77777777">
      <w:pPr>
        <w:pStyle w:val="P1-StandPara"/>
        <w:spacing w:line="240" w:lineRule="auto"/>
        <w:ind w:firstLine="0"/>
        <w:jc w:val="left"/>
        <w:rPr>
          <w:rFonts w:ascii="Arial" w:eastAsia="Arial" w:hAnsi="Arial" w:cs="Arial"/>
          <w:szCs w:val="22"/>
        </w:rPr>
      </w:pPr>
    </w:p>
    <w:p w:rsidR="009B2744" w:rsidP="009B2744" w14:paraId="2C6153E6" w14:textId="77777777">
      <w:pPr>
        <w:ind w:left="720"/>
        <w:rPr>
          <w:rFonts w:ascii="Arial" w:eastAsia="Arial" w:hAnsi="Arial" w:cs="Arial"/>
          <w:sz w:val="22"/>
          <w:szCs w:val="22"/>
        </w:rPr>
      </w:pPr>
      <w:r w:rsidRPr="0018286C">
        <w:rPr>
          <w:rFonts w:ascii="Arial" w:eastAsia="Arial" w:hAnsi="Arial" w:cs="Arial"/>
          <w:sz w:val="22"/>
          <w:szCs w:val="22"/>
        </w:rPr>
        <w:t>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ascii="Arial" w:eastAsia="Arial" w:hAnsi="Arial" w:cs="Arial"/>
          <w:sz w:val="22"/>
          <w:szCs w:val="22"/>
        </w:rPr>
        <w:footnoteReference w:id="16"/>
      </w:r>
      <w:r w:rsidRPr="0018286C">
        <w:rPr>
          <w:rFonts w:ascii="Arial" w:eastAsia="Arial" w:hAnsi="Arial" w:cs="Arial"/>
          <w:sz w:val="22"/>
          <w:szCs w:val="22"/>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ascii="Arial" w:eastAsia="Arial" w:hAnsi="Arial" w:cs="Arial"/>
          <w:sz w:val="22"/>
          <w:szCs w:val="22"/>
        </w:rPr>
        <w:footnoteReference w:id="17"/>
      </w:r>
      <w:r w:rsidRPr="0018286C">
        <w:rPr>
          <w:rFonts w:ascii="Arial" w:eastAsia="Arial" w:hAnsi="Arial" w:cs="Arial"/>
          <w:sz w:val="22"/>
          <w:szCs w:val="22"/>
          <w:vertAlign w:val="superscript"/>
        </w:rPr>
        <w:t xml:space="preserve"> </w:t>
      </w:r>
      <w:r w:rsidRPr="0018286C">
        <w:rPr>
          <w:rFonts w:ascii="Arial" w:eastAsia="Arial" w:hAnsi="Arial" w:cs="Arial"/>
          <w:sz w:val="22"/>
          <w:szCs w:val="22"/>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ascii="Arial" w:eastAsia="Arial" w:hAnsi="Arial" w:cs="Arial"/>
          <w:sz w:val="22"/>
          <w:szCs w:val="22"/>
        </w:rPr>
        <w:footnoteReference w:id="18"/>
      </w:r>
      <w:r>
        <w:rPr>
          <w:rStyle w:val="FootnoteReference"/>
          <w:rFonts w:ascii="Arial" w:eastAsia="Arial" w:hAnsi="Arial" w:cs="Arial"/>
          <w:sz w:val="22"/>
          <w:szCs w:val="22"/>
        </w:rPr>
        <w:t xml:space="preserve"> </w:t>
      </w:r>
      <w:r>
        <w:rPr>
          <w:rFonts w:ascii="Arial" w:eastAsia="Arial" w:hAnsi="Arial" w:cs="Arial"/>
          <w:sz w:val="22"/>
          <w:szCs w:val="22"/>
        </w:rPr>
        <w:t xml:space="preserve"> </w:t>
      </w:r>
      <w:r w:rsidRPr="0018286C">
        <w:rPr>
          <w:rFonts w:ascii="Arial" w:eastAsia="Arial" w:hAnsi="Arial" w:cs="Arial"/>
          <w:sz w:val="22"/>
          <w:szCs w:val="22"/>
        </w:rPr>
        <w:t>With respect to the expansion of artificial intelligence, Executive Order 14365, “Ensuring a National Policy Framework for Artificial Intelligence,” issued on December 11, 2025, asserts that “we remain in the earliest days of this technological revolution and are in a race with adversaries for supremacy within it.”</w:t>
      </w:r>
      <w:r>
        <w:rPr>
          <w:rStyle w:val="FootnoteReference"/>
          <w:rFonts w:ascii="Arial" w:eastAsia="Arial" w:hAnsi="Arial" w:cs="Arial"/>
          <w:sz w:val="22"/>
          <w:szCs w:val="22"/>
        </w:rPr>
        <w:footnoteReference w:id="19"/>
      </w:r>
    </w:p>
    <w:p w:rsidR="009B2744" w:rsidP="009B2744" w14:paraId="2CDC63B7" w14:textId="77777777">
      <w:pPr>
        <w:ind w:left="720"/>
        <w:rPr>
          <w:rFonts w:ascii="Arial" w:eastAsia="Arial" w:hAnsi="Arial" w:cs="Arial"/>
          <w:sz w:val="22"/>
          <w:szCs w:val="22"/>
        </w:rPr>
      </w:pPr>
    </w:p>
    <w:p w:rsidR="009B2744" w:rsidRPr="00A07895" w:rsidP="009B2744" w14:paraId="1DEA300F" w14:textId="77777777">
      <w:pPr>
        <w:ind w:left="720"/>
        <w:contextualSpacing/>
        <w:rPr>
          <w:rFonts w:ascii="Arial" w:hAnsi="Arial" w:cs="Arial"/>
          <w:sz w:val="22"/>
          <w:szCs w:val="22"/>
        </w:rPr>
      </w:pPr>
      <w:r w:rsidRPr="3DDD0EB2">
        <w:rPr>
          <w:rFonts w:ascii="Arial" w:hAnsi="Arial" w:cs="Arial"/>
          <w:sz w:val="22"/>
          <w:szCs w:val="22"/>
        </w:rPr>
        <w:t>The current lack of comprehensive data on backup generators, particularly smaller emergency units, represents a significant gap in our understanding of total U.S. grid capacity and resilience. This gap could hinder effective emergency response and grid management during periods of stress, potentially leading to widespread power outages and economic disruption.</w:t>
      </w:r>
    </w:p>
    <w:p w:rsidR="006B56FE" w:rsidRPr="003F64B7" w:rsidP="006B56FE" w14:paraId="165E3C78" w14:textId="77777777">
      <w:pPr>
        <w:pStyle w:val="P1-StandPara"/>
        <w:spacing w:beforeAutospacing="1" w:afterAutospacing="1" w:line="276" w:lineRule="auto"/>
        <w:ind w:left="720" w:firstLine="0"/>
        <w:rPr>
          <w:rFonts w:ascii="Arial" w:eastAsia="Arial" w:hAnsi="Arial" w:cs="Arial"/>
          <w:szCs w:val="22"/>
        </w:rPr>
      </w:pPr>
    </w:p>
    <w:p w:rsidR="00A864C3" w:rsidRPr="003F64B7" w:rsidP="003276D6" w14:paraId="75F7A09C" w14:textId="3A2A490E">
      <w:pPr>
        <w:pStyle w:val="ListParagraph"/>
        <w:numPr>
          <w:ilvl w:val="0"/>
          <w:numId w:val="12"/>
        </w:numPr>
        <w:rPr>
          <w:rFonts w:ascii="Arial" w:eastAsia="Arial" w:hAnsi="Arial" w:cs="Arial"/>
          <w:b/>
          <w:bCs/>
          <w:color w:val="auto"/>
          <w:szCs w:val="22"/>
        </w:rPr>
      </w:pPr>
      <w:r w:rsidRPr="38DE5EDF">
        <w:rPr>
          <w:rFonts w:ascii="Arial" w:hAnsi="Arial" w:cs="Arial"/>
          <w:szCs w:val="22"/>
          <w:lang w:val="en-CA"/>
        </w:rPr>
        <w:fldChar w:fldCharType="begin"/>
      </w:r>
      <w:r w:rsidRPr="38DE5EDF">
        <w:rPr>
          <w:rFonts w:ascii="Arial" w:hAnsi="Arial" w:cs="Arial"/>
          <w:szCs w:val="22"/>
          <w:lang w:val="en-CA"/>
        </w:rPr>
        <w:instrText xml:space="preserve"> SEQ CHAPTER \h \r 1</w:instrText>
      </w:r>
      <w:r w:rsidRPr="38DE5EDF">
        <w:rPr>
          <w:rFonts w:ascii="Arial" w:hAnsi="Arial" w:cs="Arial"/>
          <w:szCs w:val="22"/>
          <w:lang w:val="en-CA"/>
        </w:rPr>
        <w:fldChar w:fldCharType="separate"/>
      </w:r>
      <w:r w:rsidRPr="38DE5EDF">
        <w:rPr>
          <w:rFonts w:ascii="Arial" w:hAnsi="Arial" w:cs="Arial"/>
          <w:szCs w:val="22"/>
          <w:lang w:val="en-CA"/>
        </w:rPr>
        <w:fldChar w:fldCharType="end"/>
      </w:r>
      <w:r w:rsidRPr="38DE5EDF" w:rsidR="379E8C7F">
        <w:rPr>
          <w:rFonts w:ascii="Arial" w:eastAsia="Arial" w:hAnsi="Arial" w:cs="Arial"/>
          <w:b/>
          <w:bCs/>
          <w:color w:val="auto"/>
          <w:szCs w:val="22"/>
        </w:rPr>
        <w:t xml:space="preserve">Explain any special circumstances that would cause an information collection to be conducted in a manner requiring respondents to report information to the agency more often than </w:t>
      </w:r>
      <w:r w:rsidRPr="38DE5EDF" w:rsidR="379E8C7F">
        <w:rPr>
          <w:rFonts w:ascii="Arial" w:eastAsia="Arial" w:hAnsi="Arial" w:cs="Arial"/>
          <w:b/>
          <w:bCs/>
          <w:color w:val="auto"/>
          <w:szCs w:val="22"/>
        </w:rPr>
        <w:t>quarterly;</w:t>
      </w:r>
    </w:p>
    <w:p w:rsidR="00831E98" w:rsidRPr="003F64B7" w:rsidP="38DE5EDF" w14:paraId="37D96860" w14:textId="77777777">
      <w:pPr>
        <w:tabs>
          <w:tab w:val="left" w:pos="360"/>
        </w:tabs>
        <w:ind w:left="90"/>
        <w:rPr>
          <w:rFonts w:ascii="Arial" w:eastAsia="Arial" w:hAnsi="Arial" w:cs="Arial"/>
          <w:sz w:val="22"/>
          <w:szCs w:val="22"/>
        </w:rPr>
      </w:pPr>
    </w:p>
    <w:p w:rsidR="002A6F3A" w:rsidRPr="003F64B7" w:rsidP="38DE5EDF" w14:paraId="49D49E86" w14:textId="73741BF7">
      <w:pPr>
        <w:spacing w:line="259" w:lineRule="auto"/>
        <w:ind w:left="720"/>
        <w:rPr>
          <w:rFonts w:ascii="Arial" w:eastAsia="Arial" w:hAnsi="Arial" w:cs="Arial"/>
          <w:sz w:val="22"/>
          <w:szCs w:val="22"/>
        </w:rPr>
      </w:pPr>
      <w:r>
        <w:rPr>
          <w:rFonts w:ascii="Arial" w:eastAsia="Arial" w:hAnsi="Arial" w:cs="Arial"/>
          <w:sz w:val="22"/>
          <w:szCs w:val="22"/>
        </w:rPr>
        <w:t>Not applicable. T</w:t>
      </w:r>
      <w:r w:rsidR="00014D9E">
        <w:rPr>
          <w:rFonts w:ascii="Arial" w:eastAsia="Arial" w:hAnsi="Arial" w:cs="Arial"/>
          <w:sz w:val="22"/>
          <w:szCs w:val="22"/>
        </w:rPr>
        <w:t>he EIA-860 Supplement is an annual survey.</w:t>
      </w:r>
    </w:p>
    <w:p w:rsidR="002A6F3A" w:rsidRPr="003F64B7" w:rsidP="38DE5EDF" w14:paraId="4A002DD8" w14:textId="6CC9352C">
      <w:pPr>
        <w:pStyle w:val="P1-StandPara"/>
        <w:spacing w:line="240" w:lineRule="auto"/>
        <w:ind w:left="720"/>
        <w:contextualSpacing/>
        <w:rPr>
          <w:rFonts w:ascii="Arial" w:eastAsia="Arial" w:hAnsi="Arial" w:cs="Arial"/>
          <w:color w:val="FF0000"/>
          <w:szCs w:val="22"/>
        </w:rPr>
      </w:pPr>
    </w:p>
    <w:p w:rsidR="00A864C3" w:rsidRPr="003F64B7" w:rsidP="003276D6" w14:paraId="03EB9582" w14:textId="77777777">
      <w:pPr>
        <w:pStyle w:val="P1-StandPara"/>
        <w:numPr>
          <w:ilvl w:val="0"/>
          <w:numId w:val="11"/>
        </w:numPr>
        <w:tabs>
          <w:tab w:val="left" w:pos="90"/>
        </w:tabs>
        <w:spacing w:line="240" w:lineRule="auto"/>
        <w:jc w:val="left"/>
        <w:rPr>
          <w:rFonts w:ascii="Arial" w:eastAsia="Arial" w:hAnsi="Arial" w:cs="Arial"/>
          <w:b/>
          <w:bCs/>
          <w:szCs w:val="22"/>
        </w:rPr>
      </w:pPr>
      <w:r w:rsidRPr="38DE5EDF">
        <w:rPr>
          <w:rFonts w:ascii="Arial" w:eastAsia="Arial" w:hAnsi="Arial" w:cs="Arial"/>
          <w:b/>
          <w:bCs/>
          <w:szCs w:val="22"/>
        </w:rPr>
        <w:t xml:space="preserve">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p>
    <w:p w:rsidR="00A864C3" w:rsidRPr="003F64B7" w:rsidP="38DE5EDF" w14:paraId="7FD34E20" w14:textId="77777777">
      <w:pPr>
        <w:pStyle w:val="P1-StandPara"/>
        <w:spacing w:line="240" w:lineRule="auto"/>
        <w:ind w:left="360" w:firstLine="0"/>
        <w:jc w:val="left"/>
        <w:rPr>
          <w:rFonts w:ascii="Arial" w:eastAsia="Arial" w:hAnsi="Arial" w:cs="Arial"/>
          <w:szCs w:val="22"/>
        </w:rPr>
      </w:pPr>
    </w:p>
    <w:p w:rsidR="00756DF3" w:rsidRPr="003F64B7" w:rsidP="38DE5EDF" w14:paraId="241B5593" w14:textId="076D00FB">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T</w:t>
      </w:r>
      <w:r w:rsidRPr="38DE5EDF" w:rsidR="60B43F51">
        <w:rPr>
          <w:rFonts w:ascii="Arial" w:eastAsia="Arial" w:hAnsi="Arial" w:cs="Arial"/>
          <w:szCs w:val="22"/>
        </w:rPr>
        <w:t xml:space="preserve">his is an emergency survey request and there is currently no Federal Register Notice. </w:t>
      </w:r>
      <w:r w:rsidRPr="38DE5EDF" w:rsidR="05F669F0">
        <w:rPr>
          <w:rFonts w:ascii="Arial" w:eastAsia="Arial" w:hAnsi="Arial" w:cs="Arial"/>
          <w:szCs w:val="22"/>
        </w:rPr>
        <w:t xml:space="preserve"> A </w:t>
      </w:r>
      <w:r w:rsidR="009B2744">
        <w:rPr>
          <w:rFonts w:ascii="Arial" w:eastAsia="Arial" w:hAnsi="Arial" w:cs="Arial"/>
          <w:szCs w:val="22"/>
        </w:rPr>
        <w:t xml:space="preserve">60-day </w:t>
      </w:r>
      <w:r w:rsidRPr="38DE5EDF" w:rsidR="05F669F0">
        <w:rPr>
          <w:rFonts w:ascii="Arial" w:eastAsia="Arial" w:hAnsi="Arial" w:cs="Arial"/>
          <w:szCs w:val="22"/>
        </w:rPr>
        <w:t>Federal Register Notice will be published subsequent to the ICR approval, if approved.</w:t>
      </w:r>
    </w:p>
    <w:p w:rsidR="002A6F3A" w:rsidRPr="003F64B7" w:rsidP="38DE5EDF" w14:paraId="47AEB5BA" w14:textId="77777777">
      <w:pPr>
        <w:pStyle w:val="P1-StandPara"/>
        <w:spacing w:line="240" w:lineRule="auto"/>
        <w:jc w:val="left"/>
        <w:rPr>
          <w:rFonts w:ascii="Arial" w:eastAsia="Arial" w:hAnsi="Arial" w:cs="Arial"/>
          <w:szCs w:val="22"/>
        </w:rPr>
      </w:pPr>
    </w:p>
    <w:p w:rsidR="00A864C3" w:rsidRPr="003F64B7" w:rsidP="003276D6" w14:paraId="147E8BCC" w14:textId="45AAD25B">
      <w:pPr>
        <w:pStyle w:val="P1-StandPara"/>
        <w:numPr>
          <w:ilvl w:val="0"/>
          <w:numId w:val="10"/>
        </w:numPr>
        <w:spacing w:line="240" w:lineRule="auto"/>
        <w:jc w:val="left"/>
        <w:rPr>
          <w:rFonts w:ascii="Arial" w:eastAsia="Arial" w:hAnsi="Arial" w:cs="Arial"/>
          <w:b/>
          <w:bCs/>
          <w:szCs w:val="22"/>
        </w:rPr>
      </w:pPr>
      <w:r w:rsidRPr="38DE5EDF">
        <w:rPr>
          <w:rFonts w:ascii="Arial" w:eastAsia="Arial" w:hAnsi="Arial" w:cs="Arial"/>
          <w:b/>
          <w:bCs/>
          <w:szCs w:val="22"/>
        </w:rPr>
        <w:t>Explain any decision to provide any payment or gift to respondents.</w:t>
      </w:r>
    </w:p>
    <w:p w:rsidR="00A864C3" w:rsidRPr="003F64B7" w:rsidP="38DE5EDF" w14:paraId="55C5C1D0" w14:textId="77777777">
      <w:pPr>
        <w:pStyle w:val="P1-StandPara"/>
        <w:spacing w:line="240" w:lineRule="auto"/>
        <w:ind w:firstLine="0"/>
        <w:jc w:val="left"/>
        <w:rPr>
          <w:rFonts w:ascii="Arial" w:eastAsia="Arial" w:hAnsi="Arial" w:cs="Arial"/>
          <w:b/>
          <w:bCs/>
          <w:szCs w:val="22"/>
        </w:rPr>
      </w:pPr>
    </w:p>
    <w:p w:rsidR="60B43F51" w:rsidP="38DE5EDF" w14:paraId="5F6F9C94" w14:textId="7B58C9BE">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EIA will not provide any payments or gifts to respondents. </w:t>
      </w:r>
    </w:p>
    <w:p w:rsidR="38DE5EDF" w:rsidP="38DE5EDF" w14:paraId="49136A07" w14:textId="56EB6ADE">
      <w:pPr>
        <w:pStyle w:val="P1-StandPara"/>
        <w:spacing w:line="240" w:lineRule="auto"/>
        <w:ind w:left="720" w:firstLine="0"/>
        <w:jc w:val="left"/>
        <w:rPr>
          <w:rFonts w:ascii="Arial" w:eastAsia="Arial" w:hAnsi="Arial" w:cs="Arial"/>
          <w:szCs w:val="22"/>
        </w:rPr>
      </w:pPr>
    </w:p>
    <w:p w:rsidR="00A864C3" w:rsidRPr="003F64B7" w:rsidP="003276D6" w14:paraId="31630682" w14:textId="6C75C33C">
      <w:pPr>
        <w:pStyle w:val="BodyText"/>
        <w:numPr>
          <w:ilvl w:val="0"/>
          <w:numId w:val="9"/>
        </w:numPr>
        <w:rPr>
          <w:rFonts w:ascii="Arial" w:eastAsia="Arial" w:hAnsi="Arial" w:cs="Arial"/>
          <w:b/>
          <w:bCs/>
          <w:szCs w:val="22"/>
        </w:rPr>
      </w:pPr>
      <w:r w:rsidRPr="38DE5EDF">
        <w:rPr>
          <w:rFonts w:ascii="Arial" w:eastAsia="Arial" w:hAnsi="Arial" w:cs="Arial"/>
          <w:b/>
          <w:bCs/>
          <w:szCs w:val="22"/>
        </w:rPr>
        <w:t>Describe any assurance of confidentiality provided to respondents and the basis for the assurance in statute, regulation, or agency policy.</w:t>
      </w:r>
    </w:p>
    <w:p w:rsidR="004E6AF0" w:rsidRPr="004E6AF0" w:rsidP="004E6AF0" w14:paraId="26C7B37F" w14:textId="77777777">
      <w:pPr>
        <w:pStyle w:val="ListParagraph"/>
        <w:numPr>
          <w:ilvl w:val="0"/>
          <w:numId w:val="0"/>
        </w:numPr>
        <w:ind w:left="720"/>
        <w:rPr>
          <w:rFonts w:ascii="Arial" w:hAnsi="Arial" w:cs="Arial"/>
          <w:color w:val="000000"/>
        </w:rPr>
      </w:pPr>
      <w:r w:rsidRPr="004E6AF0">
        <w:rPr>
          <w:rFonts w:ascii="Arial" w:hAnsi="Arial" w:cs="Arial"/>
          <w:color w:val="000000"/>
        </w:rPr>
        <w:t xml:space="preserve">Consistent with the current EIA-860 form, all information reported will be treated as non-sensitive and may be publicly released in identifiable form. </w:t>
      </w:r>
    </w:p>
    <w:p w:rsidR="004E6AF0" w:rsidRPr="004E6AF0" w:rsidP="004E6AF0" w14:paraId="563DD3C5" w14:textId="77777777">
      <w:pPr>
        <w:pStyle w:val="ListParagraph"/>
        <w:numPr>
          <w:ilvl w:val="0"/>
          <w:numId w:val="0"/>
        </w:numPr>
        <w:ind w:left="720"/>
        <w:rPr>
          <w:rFonts w:ascii="Arial" w:hAnsi="Arial" w:cs="Arial"/>
          <w:color w:val="000000"/>
        </w:rPr>
      </w:pPr>
    </w:p>
    <w:p w:rsidR="00E6180D" w:rsidRPr="004E6AF0" w:rsidP="004E6AF0" w14:paraId="288EBD20" w14:textId="2E90A7EB">
      <w:pPr>
        <w:pStyle w:val="ListParagraph"/>
        <w:numPr>
          <w:ilvl w:val="0"/>
          <w:numId w:val="0"/>
        </w:numPr>
        <w:ind w:left="720"/>
        <w:rPr>
          <w:rFonts w:ascii="Arial" w:hAnsi="Arial" w:cs="Arial"/>
          <w:color w:val="000000"/>
        </w:rPr>
      </w:pPr>
      <w:r w:rsidRPr="004E6AF0">
        <w:rPr>
          <w:rFonts w:ascii="Arial" w:hAnsi="Arial" w:cs="Arial"/>
          <w:color w:val="000000"/>
        </w:rPr>
        <w:t>The Federal Energy Administration Act requires EIA to provide company-specific data to other Federal agencies when requested for official use. The information reported on this form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2A6F3A" w:rsidRPr="003F64B7" w:rsidP="38DE5EDF" w14:paraId="06FA4447" w14:textId="77777777">
      <w:pPr>
        <w:ind w:left="720"/>
        <w:jc w:val="both"/>
        <w:rPr>
          <w:rFonts w:ascii="Arial" w:eastAsia="Arial" w:hAnsi="Arial" w:cs="Arial"/>
          <w:sz w:val="22"/>
          <w:szCs w:val="22"/>
        </w:rPr>
      </w:pPr>
    </w:p>
    <w:p w:rsidR="00A864C3" w:rsidRPr="003F64B7" w:rsidP="003276D6" w14:paraId="4A1A0E7E" w14:textId="42AD3553">
      <w:pPr>
        <w:pStyle w:val="P1-StandPara"/>
        <w:numPr>
          <w:ilvl w:val="0"/>
          <w:numId w:val="8"/>
        </w:numPr>
        <w:spacing w:line="240" w:lineRule="auto"/>
        <w:jc w:val="left"/>
        <w:rPr>
          <w:rFonts w:ascii="Arial" w:eastAsia="Arial" w:hAnsi="Arial" w:cs="Arial"/>
          <w:b/>
          <w:bCs/>
          <w:szCs w:val="22"/>
        </w:rPr>
      </w:pPr>
      <w:r w:rsidRPr="38DE5EDF">
        <w:rPr>
          <w:rFonts w:ascii="Arial" w:eastAsia="Arial" w:hAnsi="Arial" w:cs="Arial"/>
          <w:b/>
          <w:bCs/>
          <w:szCs w:val="22"/>
        </w:rPr>
        <w:t>Provide additional justification for any questions of a sensitive nature.</w:t>
      </w:r>
    </w:p>
    <w:p w:rsidR="00A864C3" w:rsidRPr="003F64B7" w:rsidP="38DE5EDF" w14:paraId="64AAC22D" w14:textId="77777777">
      <w:pPr>
        <w:pStyle w:val="P1-StandPara"/>
        <w:spacing w:line="240" w:lineRule="auto"/>
        <w:ind w:firstLine="0"/>
        <w:jc w:val="left"/>
        <w:rPr>
          <w:rFonts w:ascii="Arial" w:eastAsia="Arial" w:hAnsi="Arial" w:cs="Arial"/>
          <w:szCs w:val="22"/>
        </w:rPr>
      </w:pPr>
    </w:p>
    <w:p w:rsidR="00756DF3" w:rsidRPr="003F64B7" w:rsidP="38DE5EDF" w14:paraId="05E8205A"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No questions of a sensitive nature are anticipated in </w:t>
      </w:r>
      <w:r w:rsidRPr="38DE5EDF" w:rsidR="38C88130">
        <w:rPr>
          <w:rFonts w:ascii="Arial" w:eastAsia="Arial" w:hAnsi="Arial" w:cs="Arial"/>
          <w:szCs w:val="22"/>
        </w:rPr>
        <w:t xml:space="preserve">this proposed emergency data collection. </w:t>
      </w:r>
    </w:p>
    <w:p w:rsidR="002A6F3A" w:rsidRPr="003F64B7" w:rsidP="38DE5EDF" w14:paraId="3A4471E6" w14:textId="1D07758E">
      <w:pPr>
        <w:keepNext/>
        <w:keepLines/>
        <w:tabs>
          <w:tab w:val="left" w:pos="1152"/>
          <w:tab w:val="left" w:pos="1728"/>
          <w:tab w:val="left" w:pos="2304"/>
        </w:tabs>
        <w:ind w:hanging="720"/>
        <w:rPr>
          <w:rFonts w:ascii="Arial" w:eastAsia="Arial" w:hAnsi="Arial" w:cs="Arial"/>
          <w:b/>
          <w:bCs/>
          <w:sz w:val="22"/>
          <w:szCs w:val="22"/>
        </w:rPr>
      </w:pPr>
    </w:p>
    <w:p w:rsidR="00A864C3" w:rsidRPr="003F64B7" w:rsidP="003276D6" w14:paraId="6ED24CDC" w14:textId="4C70AAA9">
      <w:pPr>
        <w:pStyle w:val="ListParagraph"/>
        <w:keepNext/>
        <w:keepLines/>
        <w:numPr>
          <w:ilvl w:val="0"/>
          <w:numId w:val="7"/>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Provide estimates of the burden of the collection of information. The statement should indicate the number of respondents, frequency of response, annual hour burden, and an explanation of how the burden was estimated.</w:t>
      </w:r>
    </w:p>
    <w:p w:rsidR="00A864C3" w:rsidRPr="001E242B" w:rsidP="38DE5EDF" w14:paraId="14DB78A1" w14:textId="77777777">
      <w:pPr>
        <w:pStyle w:val="P1-StandPara"/>
        <w:spacing w:line="240" w:lineRule="auto"/>
        <w:ind w:firstLine="0"/>
        <w:jc w:val="left"/>
        <w:rPr>
          <w:rFonts w:ascii="Arial" w:eastAsia="Arial" w:hAnsi="Arial" w:cs="Arial"/>
          <w:szCs w:val="22"/>
        </w:rPr>
      </w:pPr>
    </w:p>
    <w:p w:rsidR="001E242B" w:rsidRPr="001E242B" w:rsidP="3DDD0EB2" w14:paraId="26EE1491" w14:textId="6DDF17AF">
      <w:pPr>
        <w:ind w:left="720"/>
        <w:contextualSpacing/>
        <w:rPr>
          <w:rFonts w:ascii="Arial" w:hAnsi="Arial" w:cs="Arial"/>
          <w:sz w:val="22"/>
          <w:szCs w:val="22"/>
        </w:rPr>
      </w:pPr>
      <w:r w:rsidRPr="3DDD0EB2">
        <w:rPr>
          <w:rFonts w:ascii="Arial" w:hAnsi="Arial" w:cs="Arial"/>
          <w:sz w:val="22"/>
          <w:szCs w:val="22"/>
        </w:rPr>
        <w:t xml:space="preserve">The total burden is estimated at </w:t>
      </w:r>
      <w:r w:rsidRPr="3DDD0EB2" w:rsidR="016165B9">
        <w:rPr>
          <w:rFonts w:ascii="Arial" w:hAnsi="Arial" w:cs="Arial"/>
          <w:sz w:val="22"/>
          <w:szCs w:val="22"/>
        </w:rPr>
        <w:t>280</w:t>
      </w:r>
      <w:r w:rsidRPr="3DDD0EB2">
        <w:rPr>
          <w:rFonts w:ascii="Arial" w:hAnsi="Arial" w:cs="Arial"/>
          <w:sz w:val="22"/>
          <w:szCs w:val="22"/>
        </w:rPr>
        <w:t xml:space="preserve"> hours, calculated as </w:t>
      </w:r>
      <w:r w:rsidRPr="3DDD0EB2" w:rsidR="5C851CAD">
        <w:rPr>
          <w:rFonts w:ascii="Arial" w:hAnsi="Arial" w:cs="Arial"/>
          <w:sz w:val="22"/>
          <w:szCs w:val="22"/>
        </w:rPr>
        <w:t>5</w:t>
      </w:r>
      <w:r w:rsidRPr="3DDD0EB2">
        <w:rPr>
          <w:rFonts w:ascii="Arial" w:hAnsi="Arial" w:cs="Arial"/>
          <w:sz w:val="22"/>
          <w:szCs w:val="22"/>
        </w:rPr>
        <w:t xml:space="preserve"> hour</w:t>
      </w:r>
      <w:r w:rsidRPr="3DDD0EB2" w:rsidR="00EB214D">
        <w:rPr>
          <w:rFonts w:ascii="Arial" w:hAnsi="Arial" w:cs="Arial"/>
          <w:sz w:val="22"/>
          <w:szCs w:val="22"/>
        </w:rPr>
        <w:t>s</w:t>
      </w:r>
      <w:r w:rsidRPr="3DDD0EB2">
        <w:rPr>
          <w:rFonts w:ascii="Arial" w:hAnsi="Arial" w:cs="Arial"/>
          <w:sz w:val="22"/>
          <w:szCs w:val="22"/>
        </w:rPr>
        <w:t xml:space="preserve"> per respondent for a one-time collection across the 56 air permitting offices, which include all 50 states, the District of Columbia, and the five major U.S. territories. This translates to an estimated additional cost of $</w:t>
      </w:r>
      <w:r w:rsidRPr="3DDD0EB2" w:rsidR="00A3B973">
        <w:rPr>
          <w:rFonts w:ascii="Arial" w:hAnsi="Arial" w:cs="Arial"/>
          <w:sz w:val="22"/>
          <w:szCs w:val="22"/>
        </w:rPr>
        <w:t xml:space="preserve">26,597 </w:t>
      </w:r>
      <w:r w:rsidRPr="3DDD0EB2">
        <w:rPr>
          <w:rFonts w:ascii="Arial" w:hAnsi="Arial" w:cs="Arial"/>
          <w:sz w:val="22"/>
          <w:szCs w:val="22"/>
        </w:rPr>
        <w:t xml:space="preserve">for respondents, derived from 56 hours multiplied by an hourly rate of $94.99 (representing the average loaded salary and benefits for an EIA employee). It is anticipated that the actual burden on respondents may be lower, given that the required administrative data is publicly available on the websites of these 56 air permitting offices, although not </w:t>
      </w:r>
      <w:r w:rsidRPr="3DDD0EB2" w:rsidR="00673BAF">
        <w:rPr>
          <w:rFonts w:ascii="Arial" w:hAnsi="Arial" w:cs="Arial"/>
          <w:sz w:val="22"/>
          <w:szCs w:val="22"/>
        </w:rPr>
        <w:t xml:space="preserve">in an </w:t>
      </w:r>
      <w:r w:rsidRPr="3DDD0EB2">
        <w:rPr>
          <w:rFonts w:ascii="Arial" w:hAnsi="Arial" w:cs="Arial"/>
          <w:sz w:val="22"/>
          <w:szCs w:val="22"/>
        </w:rPr>
        <w:t>easily retrievable, consolidated format.</w:t>
      </w:r>
    </w:p>
    <w:p w:rsidR="001E242B" w:rsidRPr="001E242B" w:rsidP="001E242B" w14:paraId="1697D5D2" w14:textId="77777777">
      <w:pPr>
        <w:contextualSpacing/>
        <w:rPr>
          <w:rFonts w:ascii="Arial" w:hAnsi="Arial" w:cs="Arial"/>
          <w:sz w:val="22"/>
          <w:szCs w:val="22"/>
        </w:rPr>
      </w:pPr>
    </w:p>
    <w:p w:rsidR="001E242B" w:rsidRPr="001E242B" w:rsidP="001E242B" w14:paraId="59F29648" w14:textId="77777777">
      <w:pPr>
        <w:ind w:firstLine="720"/>
        <w:contextualSpacing/>
        <w:rPr>
          <w:rFonts w:ascii="Arial" w:hAnsi="Arial" w:cs="Arial"/>
          <w:sz w:val="22"/>
          <w:szCs w:val="22"/>
        </w:rPr>
      </w:pPr>
      <w:r w:rsidRPr="001E242B">
        <w:rPr>
          <w:rFonts w:ascii="Arial" w:hAnsi="Arial" w:cs="Arial"/>
          <w:sz w:val="22"/>
          <w:szCs w:val="22"/>
        </w:rPr>
        <w:t>Table 1.</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1566"/>
        <w:gridCol w:w="1566"/>
        <w:gridCol w:w="1566"/>
        <w:gridCol w:w="1566"/>
      </w:tblGrid>
      <w:tr w14:paraId="68071ABE" w14:textId="77777777" w:rsidTr="3DDD0EB2">
        <w:tblPrEx>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6" w:type="dxa"/>
          </w:tcPr>
          <w:p w:rsidR="001E242B" w:rsidRPr="001E242B" w:rsidP="00293A05" w14:paraId="4A7C1C73" w14:textId="77777777">
            <w:pPr>
              <w:contextualSpacing/>
              <w:rPr>
                <w:rFonts w:ascii="Arial" w:hAnsi="Arial" w:cs="Arial"/>
                <w:sz w:val="22"/>
                <w:szCs w:val="22"/>
              </w:rPr>
            </w:pPr>
            <w:r w:rsidRPr="001E242B">
              <w:rPr>
                <w:rFonts w:ascii="Arial" w:hAnsi="Arial" w:cs="Arial"/>
                <w:sz w:val="22"/>
                <w:szCs w:val="22"/>
              </w:rPr>
              <w:t>Number of Respondents</w:t>
            </w:r>
          </w:p>
        </w:tc>
        <w:tc>
          <w:tcPr>
            <w:tcW w:w="1566" w:type="dxa"/>
          </w:tcPr>
          <w:p w:rsidR="001E242B" w:rsidRPr="001E242B" w:rsidP="00293A05" w14:paraId="165C4EE2" w14:textId="77777777">
            <w:pPr>
              <w:contextualSpacing/>
              <w:rPr>
                <w:rFonts w:ascii="Arial" w:hAnsi="Arial" w:cs="Arial"/>
                <w:sz w:val="22"/>
                <w:szCs w:val="22"/>
              </w:rPr>
            </w:pPr>
            <w:r w:rsidRPr="001E242B">
              <w:rPr>
                <w:rFonts w:ascii="Arial" w:hAnsi="Arial" w:cs="Arial"/>
                <w:sz w:val="22"/>
                <w:szCs w:val="22"/>
              </w:rPr>
              <w:t>Burden Hours</w:t>
            </w:r>
          </w:p>
        </w:tc>
        <w:tc>
          <w:tcPr>
            <w:tcW w:w="1566" w:type="dxa"/>
          </w:tcPr>
          <w:p w:rsidR="001E242B" w:rsidRPr="001E242B" w:rsidP="00293A05" w14:paraId="6E4AE52D" w14:textId="77777777">
            <w:pPr>
              <w:contextualSpacing/>
              <w:rPr>
                <w:rFonts w:ascii="Arial" w:hAnsi="Arial" w:cs="Arial"/>
                <w:sz w:val="22"/>
                <w:szCs w:val="22"/>
              </w:rPr>
            </w:pPr>
            <w:r w:rsidRPr="001E242B">
              <w:rPr>
                <w:rFonts w:ascii="Arial" w:hAnsi="Arial" w:cs="Arial"/>
                <w:sz w:val="22"/>
                <w:szCs w:val="22"/>
              </w:rPr>
              <w:t>Frequency</w:t>
            </w:r>
          </w:p>
        </w:tc>
        <w:tc>
          <w:tcPr>
            <w:tcW w:w="1566" w:type="dxa"/>
          </w:tcPr>
          <w:p w:rsidR="001E242B" w:rsidRPr="001E242B" w:rsidP="00293A05" w14:paraId="4A46EE93" w14:textId="77777777">
            <w:pPr>
              <w:contextualSpacing/>
              <w:rPr>
                <w:rFonts w:ascii="Arial" w:hAnsi="Arial" w:cs="Arial"/>
                <w:sz w:val="22"/>
                <w:szCs w:val="22"/>
              </w:rPr>
            </w:pPr>
            <w:r w:rsidRPr="001E242B">
              <w:rPr>
                <w:rFonts w:ascii="Arial" w:hAnsi="Arial" w:cs="Arial"/>
                <w:sz w:val="22"/>
                <w:szCs w:val="22"/>
              </w:rPr>
              <w:t>Duration</w:t>
            </w:r>
          </w:p>
        </w:tc>
        <w:tc>
          <w:tcPr>
            <w:tcW w:w="1566" w:type="dxa"/>
          </w:tcPr>
          <w:p w:rsidR="001E242B" w:rsidRPr="001E242B" w:rsidP="00293A05" w14:paraId="1E3B67BA" w14:textId="77777777">
            <w:pPr>
              <w:contextualSpacing/>
              <w:rPr>
                <w:rFonts w:ascii="Arial" w:hAnsi="Arial" w:cs="Arial"/>
                <w:sz w:val="22"/>
                <w:szCs w:val="22"/>
              </w:rPr>
            </w:pPr>
            <w:r w:rsidRPr="001E242B">
              <w:rPr>
                <w:rFonts w:ascii="Arial" w:hAnsi="Arial" w:cs="Arial"/>
                <w:sz w:val="22"/>
                <w:szCs w:val="22"/>
              </w:rPr>
              <w:t>Total Burden Hours</w:t>
            </w:r>
          </w:p>
        </w:tc>
      </w:tr>
      <w:tr w14:paraId="21797C78" w14:textId="77777777" w:rsidTr="3DDD0EB2">
        <w:tblPrEx>
          <w:tblW w:w="0" w:type="auto"/>
          <w:tblInd w:w="760" w:type="dxa"/>
          <w:tblLook w:val="04A0"/>
        </w:tblPrEx>
        <w:tc>
          <w:tcPr>
            <w:tcW w:w="1566" w:type="dxa"/>
          </w:tcPr>
          <w:p w:rsidR="001E242B" w:rsidRPr="001E242B" w:rsidP="00293A05" w14:paraId="7399D27F" w14:textId="77777777">
            <w:pPr>
              <w:contextualSpacing/>
              <w:rPr>
                <w:rFonts w:ascii="Arial" w:hAnsi="Arial" w:cs="Arial"/>
                <w:sz w:val="22"/>
                <w:szCs w:val="22"/>
              </w:rPr>
            </w:pPr>
            <w:r w:rsidRPr="001E242B">
              <w:rPr>
                <w:rFonts w:ascii="Arial" w:hAnsi="Arial" w:cs="Arial"/>
                <w:sz w:val="22"/>
                <w:szCs w:val="22"/>
              </w:rPr>
              <w:t xml:space="preserve">       56</w:t>
            </w:r>
          </w:p>
        </w:tc>
        <w:tc>
          <w:tcPr>
            <w:tcW w:w="1566" w:type="dxa"/>
          </w:tcPr>
          <w:p w:rsidR="001E242B" w:rsidRPr="001E242B" w:rsidP="3DDD0EB2" w14:paraId="6F2D4C6B" w14:textId="28C45552">
            <w:pPr>
              <w:contextualSpacing/>
              <w:rPr>
                <w:rFonts w:ascii="Arial" w:hAnsi="Arial" w:cs="Arial"/>
                <w:sz w:val="22"/>
                <w:szCs w:val="22"/>
              </w:rPr>
            </w:pPr>
            <w:r w:rsidRPr="3DDD0EB2">
              <w:rPr>
                <w:rFonts w:ascii="Arial" w:hAnsi="Arial" w:cs="Arial"/>
                <w:sz w:val="22"/>
                <w:szCs w:val="22"/>
              </w:rPr>
              <w:t xml:space="preserve">     </w:t>
            </w:r>
            <w:r w:rsidRPr="3DDD0EB2" w:rsidR="4BC5E3C3">
              <w:rPr>
                <w:rFonts w:ascii="Arial" w:hAnsi="Arial" w:cs="Arial"/>
                <w:sz w:val="22"/>
                <w:szCs w:val="22"/>
              </w:rPr>
              <w:t>5</w:t>
            </w:r>
          </w:p>
        </w:tc>
        <w:tc>
          <w:tcPr>
            <w:tcW w:w="1566" w:type="dxa"/>
          </w:tcPr>
          <w:p w:rsidR="001E242B" w:rsidRPr="001E242B" w:rsidP="00293A05" w14:paraId="37D98F7F" w14:textId="77777777">
            <w:pPr>
              <w:contextualSpacing/>
              <w:rPr>
                <w:rFonts w:ascii="Arial" w:hAnsi="Arial" w:cs="Arial"/>
                <w:sz w:val="22"/>
                <w:szCs w:val="22"/>
              </w:rPr>
            </w:pPr>
            <w:r w:rsidRPr="001E242B">
              <w:rPr>
                <w:rFonts w:ascii="Arial" w:hAnsi="Arial" w:cs="Arial"/>
                <w:sz w:val="22"/>
                <w:szCs w:val="22"/>
              </w:rPr>
              <w:t>Annual</w:t>
            </w:r>
          </w:p>
        </w:tc>
        <w:tc>
          <w:tcPr>
            <w:tcW w:w="1566" w:type="dxa"/>
          </w:tcPr>
          <w:p w:rsidR="001E242B" w:rsidRPr="001E242B" w:rsidP="00293A05" w14:paraId="3062C0E5" w14:textId="77777777">
            <w:pPr>
              <w:contextualSpacing/>
              <w:rPr>
                <w:rFonts w:ascii="Arial" w:hAnsi="Arial" w:cs="Arial"/>
                <w:sz w:val="22"/>
                <w:szCs w:val="22"/>
              </w:rPr>
            </w:pPr>
            <w:r w:rsidRPr="001E242B">
              <w:rPr>
                <w:rFonts w:ascii="Arial" w:hAnsi="Arial" w:cs="Arial"/>
                <w:sz w:val="22"/>
                <w:szCs w:val="22"/>
              </w:rPr>
              <w:t>1 time</w:t>
            </w:r>
          </w:p>
        </w:tc>
        <w:tc>
          <w:tcPr>
            <w:tcW w:w="1566" w:type="dxa"/>
          </w:tcPr>
          <w:p w:rsidR="001E242B" w:rsidRPr="001E242B" w:rsidP="3DDD0EB2" w14:paraId="578EEF26" w14:textId="601F5382">
            <w:pPr>
              <w:contextualSpacing/>
              <w:rPr>
                <w:rFonts w:ascii="Arial" w:hAnsi="Arial" w:cs="Arial"/>
                <w:sz w:val="22"/>
                <w:szCs w:val="22"/>
              </w:rPr>
            </w:pPr>
            <w:r w:rsidRPr="3DDD0EB2">
              <w:rPr>
                <w:rFonts w:ascii="Arial" w:hAnsi="Arial" w:cs="Arial"/>
                <w:sz w:val="22"/>
                <w:szCs w:val="22"/>
              </w:rPr>
              <w:t xml:space="preserve">     </w:t>
            </w:r>
            <w:r w:rsidRPr="3DDD0EB2" w:rsidR="6D0A3219">
              <w:rPr>
                <w:rFonts w:ascii="Arial" w:hAnsi="Arial" w:cs="Arial"/>
                <w:sz w:val="22"/>
                <w:szCs w:val="22"/>
              </w:rPr>
              <w:t>280</w:t>
            </w:r>
          </w:p>
        </w:tc>
      </w:tr>
    </w:tbl>
    <w:p w:rsidR="00E6180D" w:rsidRPr="003F64B7" w:rsidP="38DE5EDF" w14:paraId="698C419B" w14:textId="37DF8D3F">
      <w:pPr>
        <w:contextualSpacing/>
        <w:rPr>
          <w:rFonts w:ascii="Arial" w:eastAsia="Arial" w:hAnsi="Arial" w:cs="Arial"/>
          <w:sz w:val="22"/>
          <w:szCs w:val="22"/>
        </w:rPr>
      </w:pPr>
    </w:p>
    <w:p w:rsidR="00924091" w:rsidRPr="003F64B7" w:rsidP="38DE5EDF" w14:paraId="44BDC754" w14:textId="77777777">
      <w:pPr>
        <w:pStyle w:val="P1-StandPara"/>
        <w:spacing w:line="240" w:lineRule="auto"/>
        <w:ind w:left="720" w:firstLine="0"/>
        <w:jc w:val="left"/>
        <w:rPr>
          <w:rFonts w:ascii="Arial" w:eastAsia="Arial" w:hAnsi="Arial" w:cs="Arial"/>
          <w:b/>
          <w:bCs/>
          <w:szCs w:val="22"/>
        </w:rPr>
      </w:pPr>
    </w:p>
    <w:p w:rsidR="00A864C3" w:rsidRPr="003F64B7" w:rsidP="003276D6" w14:paraId="3F94AA32" w14:textId="6D867A7F">
      <w:pPr>
        <w:pStyle w:val="ListParagraph"/>
        <w:keepNext/>
        <w:keepLines/>
        <w:numPr>
          <w:ilvl w:val="0"/>
          <w:numId w:val="6"/>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Provide an estimate of the total annual cost burden to respondents or recordkeepers resulting from the collection of information.</w:t>
      </w:r>
      <w:r w:rsidRPr="38DE5EDF" w:rsidR="5D402AA5">
        <w:rPr>
          <w:rFonts w:ascii="Arial" w:eastAsia="Arial" w:hAnsi="Arial" w:cs="Arial"/>
          <w:b/>
          <w:bCs/>
          <w:color w:val="auto"/>
          <w:szCs w:val="22"/>
        </w:rPr>
        <w:t xml:space="preserve"> </w:t>
      </w:r>
    </w:p>
    <w:p w:rsidR="00180675" w:rsidRPr="003F64B7" w:rsidP="38DE5EDF" w14:paraId="45522159" w14:textId="77777777">
      <w:pPr>
        <w:pStyle w:val="P1-StandPara"/>
        <w:rPr>
          <w:rFonts w:ascii="Arial" w:eastAsia="Arial" w:hAnsi="Arial" w:cs="Arial"/>
          <w:szCs w:val="22"/>
        </w:rPr>
      </w:pPr>
    </w:p>
    <w:p w:rsidR="6F6BAD93" w:rsidP="3DDD0EB2" w14:paraId="003D5664" w14:textId="203F8B6F">
      <w:pPr>
        <w:pStyle w:val="P1-StandPara"/>
        <w:spacing w:line="259" w:lineRule="auto"/>
        <w:ind w:left="720" w:firstLine="0"/>
        <w:jc w:val="left"/>
        <w:rPr>
          <w:rFonts w:ascii="Arial" w:eastAsia="Arial" w:hAnsi="Arial" w:cs="Arial"/>
          <w:color w:val="000000" w:themeColor="text1"/>
        </w:rPr>
      </w:pPr>
      <w:r w:rsidRPr="3DDD0EB2">
        <w:rPr>
          <w:rFonts w:ascii="Arial" w:eastAsia="Arial" w:hAnsi="Arial" w:cs="Arial"/>
          <w:color w:val="000000" w:themeColor="text1"/>
        </w:rPr>
        <w:t>The estimated total additional cost to respondents for the burden hours is estimated to be $</w:t>
      </w:r>
      <w:r w:rsidRPr="3DDD0EB2" w:rsidR="6279CBC0">
        <w:rPr>
          <w:rFonts w:ascii="Arial" w:hAnsi="Arial" w:cs="Arial"/>
        </w:rPr>
        <w:t>1</w:t>
      </w:r>
      <w:r w:rsidRPr="3DDD0EB2" w:rsidR="31D31C72">
        <w:rPr>
          <w:rFonts w:ascii="Arial" w:hAnsi="Arial" w:cs="Arial"/>
          <w:szCs w:val="22"/>
        </w:rPr>
        <w:t>26,597</w:t>
      </w:r>
      <w:r w:rsidRPr="3DDD0EB2" w:rsidR="00C870C2">
        <w:rPr>
          <w:rFonts w:ascii="Arial" w:eastAsia="Arial" w:hAnsi="Arial" w:cs="Arial"/>
          <w:color w:val="000000" w:themeColor="text1"/>
        </w:rPr>
        <w:t xml:space="preserve"> </w:t>
      </w:r>
      <w:r w:rsidRPr="3DDD0EB2">
        <w:rPr>
          <w:rFonts w:ascii="Arial" w:eastAsia="Arial" w:hAnsi="Arial" w:cs="Arial"/>
          <w:color w:val="000000" w:themeColor="text1"/>
        </w:rPr>
        <w:t xml:space="preserve">dollars, i.e., </w:t>
      </w:r>
      <w:r w:rsidRPr="3DDD0EB2" w:rsidR="08F78FE7">
        <w:rPr>
          <w:rFonts w:ascii="Arial" w:eastAsia="Arial" w:hAnsi="Arial" w:cs="Arial"/>
          <w:color w:val="000000" w:themeColor="text1"/>
        </w:rPr>
        <w:t>280</w:t>
      </w:r>
      <w:r w:rsidRPr="3DDD0EB2">
        <w:rPr>
          <w:rFonts w:ascii="Arial" w:eastAsia="Arial" w:hAnsi="Arial" w:cs="Arial"/>
          <w:color w:val="000000" w:themeColor="text1"/>
        </w:rPr>
        <w:t xml:space="preserve"> hours times $</w:t>
      </w:r>
      <w:r w:rsidRPr="3DDD0EB2" w:rsidR="00C870C2">
        <w:rPr>
          <w:rFonts w:ascii="Arial" w:eastAsia="Arial" w:hAnsi="Arial" w:cs="Arial"/>
          <w:color w:val="000000" w:themeColor="text1"/>
        </w:rPr>
        <w:t>94.99</w:t>
      </w:r>
      <w:r w:rsidRPr="3DDD0EB2">
        <w:rPr>
          <w:rFonts w:ascii="Arial" w:eastAsia="Arial" w:hAnsi="Arial" w:cs="Arial"/>
          <w:color w:val="000000" w:themeColor="text1"/>
        </w:rPr>
        <w:t xml:space="preserve"> per hour. (The average loaded salary plus benefits for an EIA employee is $</w:t>
      </w:r>
      <w:r w:rsidRPr="3DDD0EB2" w:rsidR="00C870C2">
        <w:rPr>
          <w:rFonts w:ascii="Arial" w:eastAsia="Arial" w:hAnsi="Arial" w:cs="Arial"/>
          <w:color w:val="000000" w:themeColor="text1"/>
        </w:rPr>
        <w:t>94.99</w:t>
      </w:r>
      <w:r w:rsidRPr="3DDD0EB2">
        <w:rPr>
          <w:rFonts w:ascii="Arial" w:eastAsia="Arial" w:hAnsi="Arial" w:cs="Arial"/>
          <w:color w:val="000000" w:themeColor="text1"/>
        </w:rPr>
        <w:t xml:space="preserve"> per hour).</w:t>
      </w:r>
    </w:p>
    <w:p w:rsidR="002A6F3A" w:rsidRPr="003F64B7" w:rsidP="38DE5EDF" w14:paraId="13223992" w14:textId="15D216A3">
      <w:pPr>
        <w:pStyle w:val="P1-StandPara"/>
        <w:rPr>
          <w:rFonts w:ascii="Arial" w:eastAsia="Arial" w:hAnsi="Arial" w:cs="Arial"/>
          <w:szCs w:val="22"/>
        </w:rPr>
      </w:pPr>
    </w:p>
    <w:p w:rsidR="00A864C3" w:rsidRPr="003F64B7" w:rsidP="003276D6" w14:paraId="2307428D" w14:textId="080E91F3">
      <w:pPr>
        <w:pStyle w:val="ListParagraph"/>
        <w:keepLines/>
        <w:numPr>
          <w:ilvl w:val="0"/>
          <w:numId w:val="5"/>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180675" w:rsidRPr="003F64B7" w:rsidP="38DE5EDF" w14:paraId="6890E1A7" w14:textId="77777777">
      <w:pPr>
        <w:keepLines/>
        <w:tabs>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eastAsia="Arial" w:hAnsi="Arial" w:cs="Arial"/>
          <w:sz w:val="22"/>
          <w:szCs w:val="22"/>
        </w:rPr>
      </w:pPr>
    </w:p>
    <w:p w:rsidR="002A6F3A" w:rsidRPr="003F64B7" w:rsidP="38DE5EDF" w14:paraId="06716066" w14:textId="1AB2278C">
      <w:pPr>
        <w:ind w:left="720"/>
        <w:rPr>
          <w:rFonts w:ascii="Arial" w:eastAsia="Arial" w:hAnsi="Arial" w:cs="Arial"/>
          <w:sz w:val="22"/>
          <w:szCs w:val="22"/>
        </w:rPr>
      </w:pPr>
      <w:r w:rsidRPr="38DE5EDF">
        <w:rPr>
          <w:rFonts w:ascii="Arial" w:eastAsia="Arial" w:hAnsi="Arial" w:cs="Arial"/>
          <w:sz w:val="22"/>
          <w:szCs w:val="22"/>
        </w:rPr>
        <w:t xml:space="preserve">The </w:t>
      </w:r>
      <w:r w:rsidRPr="38DE5EDF" w:rsidR="14658789">
        <w:rPr>
          <w:rFonts w:ascii="Arial" w:eastAsia="Arial" w:hAnsi="Arial" w:cs="Arial"/>
          <w:sz w:val="22"/>
          <w:szCs w:val="22"/>
        </w:rPr>
        <w:t>expected</w:t>
      </w:r>
      <w:r w:rsidRPr="38DE5EDF">
        <w:rPr>
          <w:rFonts w:ascii="Arial" w:eastAsia="Arial" w:hAnsi="Arial" w:cs="Arial"/>
          <w:sz w:val="22"/>
          <w:szCs w:val="22"/>
        </w:rPr>
        <w:t xml:space="preserve"> cost of operating this emergency survey is estimated at </w:t>
      </w:r>
      <w:r w:rsidRPr="00EA7F9E">
        <w:rPr>
          <w:rFonts w:ascii="Arial" w:eastAsia="Arial" w:hAnsi="Arial" w:cs="Arial"/>
          <w:sz w:val="22"/>
          <w:szCs w:val="22"/>
        </w:rPr>
        <w:t>$1</w:t>
      </w:r>
      <w:r w:rsidRPr="00EA7F9E" w:rsidR="212A63D1">
        <w:rPr>
          <w:rFonts w:ascii="Arial" w:eastAsia="Arial" w:hAnsi="Arial" w:cs="Arial"/>
          <w:sz w:val="22"/>
          <w:szCs w:val="22"/>
        </w:rPr>
        <w:t>93,152</w:t>
      </w:r>
      <w:r w:rsidRPr="38DE5EDF">
        <w:rPr>
          <w:rFonts w:ascii="Arial" w:eastAsia="Arial" w:hAnsi="Arial" w:cs="Arial"/>
          <w:sz w:val="22"/>
          <w:szCs w:val="22"/>
        </w:rPr>
        <w:t xml:space="preserve"> and includes federal staff time for survey</w:t>
      </w:r>
      <w:r w:rsidRPr="38DE5EDF" w:rsidR="4F758B19">
        <w:rPr>
          <w:rFonts w:ascii="Arial" w:eastAsia="Arial" w:hAnsi="Arial" w:cs="Arial"/>
          <w:sz w:val="22"/>
          <w:szCs w:val="22"/>
        </w:rPr>
        <w:t>-</w:t>
      </w:r>
      <w:r w:rsidRPr="38DE5EDF">
        <w:rPr>
          <w:rFonts w:ascii="Arial" w:eastAsia="Arial" w:hAnsi="Arial" w:cs="Arial"/>
          <w:sz w:val="22"/>
          <w:szCs w:val="22"/>
        </w:rPr>
        <w:t>related activities</w:t>
      </w:r>
      <w:r w:rsidRPr="38DE5EDF" w:rsidR="31AD8551">
        <w:rPr>
          <w:rFonts w:ascii="Arial" w:eastAsia="Arial" w:hAnsi="Arial" w:cs="Arial"/>
          <w:sz w:val="22"/>
          <w:szCs w:val="22"/>
        </w:rPr>
        <w:t xml:space="preserve">, such as </w:t>
      </w:r>
      <w:r w:rsidRPr="38DE5EDF">
        <w:rPr>
          <w:rFonts w:ascii="Arial" w:eastAsia="Arial" w:hAnsi="Arial" w:cs="Arial"/>
          <w:sz w:val="22"/>
          <w:szCs w:val="22"/>
        </w:rPr>
        <w:t xml:space="preserve">frame maintenance, collection, processing, dissemination, and data systems maintenance.  </w:t>
      </w:r>
    </w:p>
    <w:p w:rsidR="38DE5EDF" w:rsidP="38DE5EDF" w14:paraId="1D605756" w14:textId="46B5A61C">
      <w:pPr>
        <w:ind w:left="720"/>
        <w:rPr>
          <w:rFonts w:ascii="Arial" w:eastAsia="Arial" w:hAnsi="Arial" w:cs="Arial"/>
          <w:sz w:val="22"/>
          <w:szCs w:val="22"/>
        </w:rPr>
      </w:pPr>
    </w:p>
    <w:p w:rsidR="00A864C3" w:rsidRPr="003F64B7" w:rsidP="003276D6" w14:paraId="468BEC31" w14:textId="253BB281">
      <w:pPr>
        <w:pStyle w:val="ListParagraph"/>
        <w:numPr>
          <w:ilvl w:val="0"/>
          <w:numId w:val="4"/>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Explain the reasons for any program changes or adjustments reported in Items 13 or 14 of the OMB Form 83-I (reasons for changes in burden).</w:t>
      </w:r>
    </w:p>
    <w:p w:rsidR="00A864C3" w:rsidRPr="003F64B7" w:rsidP="38DE5EDF" w14:paraId="00F0E40E" w14:textId="77777777">
      <w:pPr>
        <w:tabs>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eastAsia="Arial" w:hAnsi="Arial" w:cs="Arial"/>
          <w:sz w:val="22"/>
          <w:szCs w:val="22"/>
        </w:rPr>
      </w:pPr>
    </w:p>
    <w:p w:rsidR="00756DF3" w:rsidRPr="003F64B7" w:rsidP="38DE5EDF" w14:paraId="34698ECE" w14:textId="77777777">
      <w:pPr>
        <w:ind w:left="720"/>
        <w:rPr>
          <w:rFonts w:ascii="Arial" w:eastAsia="Arial" w:hAnsi="Arial" w:cs="Arial"/>
          <w:sz w:val="22"/>
          <w:szCs w:val="22"/>
        </w:rPr>
      </w:pPr>
      <w:r w:rsidRPr="38DE5EDF">
        <w:rPr>
          <w:rFonts w:ascii="Arial" w:eastAsia="Arial" w:hAnsi="Arial" w:cs="Arial"/>
          <w:sz w:val="22"/>
          <w:szCs w:val="22"/>
        </w:rPr>
        <w:t>This is a new collection</w:t>
      </w:r>
      <w:r w:rsidRPr="38DE5EDF" w:rsidR="60B43F51">
        <w:rPr>
          <w:rFonts w:ascii="Arial" w:eastAsia="Arial" w:hAnsi="Arial" w:cs="Arial"/>
          <w:sz w:val="22"/>
          <w:szCs w:val="22"/>
        </w:rPr>
        <w:t xml:space="preserve"> request</w:t>
      </w:r>
      <w:r w:rsidRPr="38DE5EDF" w:rsidR="0EDD8BFE">
        <w:rPr>
          <w:rFonts w:ascii="Arial" w:eastAsia="Arial" w:hAnsi="Arial" w:cs="Arial"/>
          <w:sz w:val="22"/>
          <w:szCs w:val="22"/>
        </w:rPr>
        <w:t xml:space="preserve">.  </w:t>
      </w:r>
    </w:p>
    <w:p w:rsidR="002A6F3A" w:rsidRPr="003F64B7" w:rsidP="38DE5EDF" w14:paraId="7C8DF159" w14:textId="3287C1FC">
      <w:pPr>
        <w:pStyle w:val="P1-StandPara"/>
        <w:spacing w:line="240" w:lineRule="auto"/>
        <w:rPr>
          <w:rFonts w:ascii="Arial" w:eastAsia="Arial" w:hAnsi="Arial" w:cs="Arial"/>
          <w:szCs w:val="22"/>
        </w:rPr>
      </w:pPr>
    </w:p>
    <w:p w:rsidR="379E8C7F" w:rsidP="003276D6" w14:paraId="2D4C3B07" w14:textId="3C01AC1C">
      <w:pPr>
        <w:pStyle w:val="ListParagraph"/>
        <w:numPr>
          <w:ilvl w:val="0"/>
          <w:numId w:val="1"/>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38DE5EDF" w:rsidP="38DE5EDF" w14:paraId="3800A21B" w14:textId="4F663EE0">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70C0"/>
          <w:sz w:val="22"/>
          <w:szCs w:val="22"/>
        </w:rPr>
      </w:pPr>
    </w:p>
    <w:p w:rsidR="78B42149" w:rsidRPr="00D7073D" w:rsidP="00D7073D" w14:paraId="503FA3F1" w14:textId="378DE5C7">
      <w:pPr>
        <w:pStyle w:val="ListParagraph"/>
        <w:numPr>
          <w:ilvl w:val="0"/>
          <w:numId w:val="0"/>
        </w:numPr>
        <w:ind w:left="720"/>
        <w:rPr>
          <w:rFonts w:ascii="Arial" w:hAnsi="Arial" w:cs="Arial"/>
          <w:color w:val="000000"/>
        </w:rPr>
      </w:pPr>
      <w:r w:rsidRPr="00306C8A">
        <w:rPr>
          <w:rFonts w:ascii="Arial" w:hAnsi="Arial" w:cs="Arial"/>
          <w:color w:val="auto"/>
          <w:szCs w:val="22"/>
        </w:rPr>
        <w:t>By identifying and incorporating backup generator data from air permitting offices into the EIA-860 frame, EIA and DOE will obtain a more complete and accurate representation of the total U.S. grid capacity.</w:t>
      </w:r>
      <w:r w:rsidR="003276D6">
        <w:rPr>
          <w:rFonts w:ascii="Arial" w:hAnsi="Arial" w:cs="Arial"/>
          <w:color w:val="auto"/>
          <w:szCs w:val="22"/>
        </w:rPr>
        <w:t xml:space="preserve"> </w:t>
      </w:r>
      <w:r w:rsidR="003276D6">
        <w:rPr>
          <w:rFonts w:ascii="Arial" w:hAnsi="Arial" w:cs="Arial"/>
          <w:color w:val="000000"/>
        </w:rPr>
        <w:t>Furthermore, c</w:t>
      </w:r>
      <w:r w:rsidRPr="00306C8A" w:rsidR="003276D6">
        <w:rPr>
          <w:rFonts w:ascii="Arial" w:hAnsi="Arial" w:cs="Arial"/>
          <w:color w:val="auto"/>
          <w:szCs w:val="22"/>
        </w:rPr>
        <w:t>onsistent with the current EIA-860 form, all information reported will be treated as non-sensitive and may be publicly released in identifiable form.</w:t>
      </w:r>
    </w:p>
    <w:p w:rsidR="00A864C3" w:rsidRPr="003F64B7" w:rsidP="38DE5EDF" w14:paraId="407A003D" w14:textId="77777777">
      <w:pPr>
        <w:pStyle w:val="BodyText"/>
        <w:tabs>
          <w:tab w:val="left" w:pos="1170"/>
        </w:tabs>
        <w:spacing w:after="0"/>
        <w:rPr>
          <w:rFonts w:ascii="Arial" w:eastAsia="Arial" w:hAnsi="Arial" w:cs="Arial"/>
          <w:szCs w:val="22"/>
        </w:rPr>
      </w:pPr>
    </w:p>
    <w:p w:rsidR="00A864C3" w:rsidRPr="003F64B7" w:rsidP="003276D6" w14:paraId="714D9618" w14:textId="2A972B30">
      <w:pPr>
        <w:pStyle w:val="ListParagraph"/>
        <w:keepNext/>
        <w:keepLines/>
        <w:numPr>
          <w:ilvl w:val="0"/>
          <w:numId w:val="3"/>
        </w:numPr>
        <w:rPr>
          <w:rFonts w:ascii="Arial" w:eastAsia="Arial" w:hAnsi="Arial" w:cs="Arial"/>
          <w:b/>
          <w:bCs/>
          <w:color w:val="auto"/>
          <w:szCs w:val="22"/>
        </w:rPr>
      </w:pPr>
      <w:r w:rsidRPr="38DE5EDF">
        <w:rPr>
          <w:rFonts w:ascii="Arial" w:eastAsia="Arial" w:hAnsi="Arial" w:cs="Arial"/>
          <w:color w:val="FF0000"/>
          <w:szCs w:val="22"/>
        </w:rPr>
        <w:t xml:space="preserve"> </w:t>
      </w:r>
      <w:r w:rsidRPr="38DE5EDF" w:rsidR="379E8C7F">
        <w:rPr>
          <w:rFonts w:ascii="Arial" w:eastAsia="Arial" w:hAnsi="Arial" w:cs="Arial"/>
          <w:b/>
          <w:bCs/>
          <w:color w:val="auto"/>
          <w:szCs w:val="22"/>
        </w:rPr>
        <w:t>If seeking approval to not display the expiration date for OMB approval of the information collection, explain the reasons that display would be inappropriate.</w:t>
      </w:r>
    </w:p>
    <w:p w:rsidR="00756DF3" w:rsidRPr="003F64B7" w:rsidP="38DE5EDF" w14:paraId="48841B1E" w14:textId="77777777">
      <w:pPr>
        <w:pStyle w:val="P1-StandPara"/>
        <w:spacing w:line="240" w:lineRule="auto"/>
        <w:ind w:firstLine="0"/>
        <w:rPr>
          <w:rFonts w:ascii="Arial" w:eastAsia="Arial" w:hAnsi="Arial" w:cs="Arial"/>
          <w:b/>
          <w:bCs/>
          <w:szCs w:val="22"/>
        </w:rPr>
      </w:pPr>
    </w:p>
    <w:p w:rsidR="00756DF3" w:rsidRPr="003F64B7" w:rsidP="38DE5EDF" w14:paraId="0F11263E"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EIA </w:t>
      </w:r>
      <w:r w:rsidRPr="38DE5EDF" w:rsidR="0EDD8BFE">
        <w:rPr>
          <w:rFonts w:ascii="Arial" w:eastAsia="Arial" w:hAnsi="Arial" w:cs="Arial"/>
          <w:szCs w:val="22"/>
        </w:rPr>
        <w:t>will display the expiration date for OMB approval o</w:t>
      </w:r>
      <w:r w:rsidRPr="38DE5EDF" w:rsidR="0734FC63">
        <w:rPr>
          <w:rFonts w:ascii="Arial" w:eastAsia="Arial" w:hAnsi="Arial" w:cs="Arial"/>
          <w:szCs w:val="22"/>
        </w:rPr>
        <w:t>n</w:t>
      </w:r>
      <w:r w:rsidRPr="38DE5EDF" w:rsidR="0EDD8BFE">
        <w:rPr>
          <w:rFonts w:ascii="Arial" w:eastAsia="Arial" w:hAnsi="Arial" w:cs="Arial"/>
          <w:szCs w:val="22"/>
        </w:rPr>
        <w:t xml:space="preserve"> the information collection</w:t>
      </w:r>
      <w:r w:rsidRPr="38DE5EDF" w:rsidR="0734FC63">
        <w:rPr>
          <w:rFonts w:ascii="Arial" w:eastAsia="Arial" w:hAnsi="Arial" w:cs="Arial"/>
          <w:szCs w:val="22"/>
        </w:rPr>
        <w:t xml:space="preserve"> instrument(s)</w:t>
      </w:r>
      <w:r w:rsidRPr="38DE5EDF" w:rsidR="0EDD8BFE">
        <w:rPr>
          <w:rFonts w:ascii="Arial" w:eastAsia="Arial" w:hAnsi="Arial" w:cs="Arial"/>
          <w:szCs w:val="22"/>
        </w:rPr>
        <w:t>.</w:t>
      </w:r>
    </w:p>
    <w:p w:rsidR="002A6F3A" w:rsidRPr="003F64B7" w:rsidP="38DE5EDF" w14:paraId="0E260375" w14:textId="77777777">
      <w:pPr>
        <w:pStyle w:val="P1-StandPara"/>
        <w:spacing w:line="240" w:lineRule="auto"/>
        <w:ind w:firstLine="0"/>
        <w:rPr>
          <w:rFonts w:ascii="Arial" w:eastAsia="Arial" w:hAnsi="Arial" w:cs="Arial"/>
          <w:szCs w:val="22"/>
        </w:rPr>
      </w:pPr>
    </w:p>
    <w:p w:rsidR="00A864C3" w:rsidRPr="003F64B7" w:rsidP="003276D6" w14:paraId="635F663C" w14:textId="533711A8">
      <w:pPr>
        <w:pStyle w:val="ListParagraph"/>
        <w:keepNext/>
        <w:keepLines/>
        <w:numPr>
          <w:ilvl w:val="0"/>
          <w:numId w:val="2"/>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Explain each exception to the certification statement identified in Item 19, “Certification for Paperwork Reduction Act Submissions” of OMB Form 83-I.</w:t>
      </w:r>
    </w:p>
    <w:p w:rsidR="00756DF3" w:rsidRPr="003F64B7" w:rsidP="38DE5EDF" w14:paraId="5DE1F79E" w14:textId="77777777">
      <w:pPr>
        <w:pStyle w:val="P1-StandPara"/>
        <w:spacing w:line="240" w:lineRule="auto"/>
        <w:ind w:firstLine="0"/>
        <w:rPr>
          <w:rFonts w:ascii="Arial" w:eastAsia="Arial" w:hAnsi="Arial" w:cs="Arial"/>
          <w:b/>
          <w:bCs/>
          <w:szCs w:val="22"/>
        </w:rPr>
      </w:pPr>
    </w:p>
    <w:p w:rsidR="00756DF3" w:rsidRPr="003F64B7" w:rsidP="38DE5EDF" w14:paraId="40E550D9"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No exceptions to the Certification Statement should be required.  If so, OMB approval will be requested in advance of conducting the survey.  </w:t>
      </w:r>
    </w:p>
    <w:sectPr w:rsidSect="006E3700">
      <w:headerReference w:type="even" r:id="rId9"/>
      <w:headerReference w:type="default" r:id="rId10"/>
      <w:footerReference w:type="even" r:id="rId11"/>
      <w:footerReference w:type="default" r:id="rId12"/>
      <w:headerReference w:type="first" r:id="rId13"/>
      <w:footerReference w:type="first" r:id="rId14"/>
      <w:pgSz w:w="12240" w:h="15840"/>
      <w:pgMar w:top="1440" w:right="1267" w:bottom="1440" w:left="144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2CECA2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2C5A" w14:paraId="0D1924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454265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4B7">
      <w:rPr>
        <w:rStyle w:val="PageNumber"/>
        <w:noProof/>
      </w:rPr>
      <w:t>9</w:t>
    </w:r>
    <w:r>
      <w:rPr>
        <w:rStyle w:val="PageNumber"/>
      </w:rPr>
      <w:fldChar w:fldCharType="end"/>
    </w:r>
  </w:p>
  <w:p w:rsidR="00FF2C5A" w14:paraId="1F47C1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7C8" w14:paraId="5AB9E4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51AF" w14:paraId="7CCAEC3C" w14:textId="77777777">
      <w:r>
        <w:separator/>
      </w:r>
    </w:p>
  </w:footnote>
  <w:footnote w:type="continuationSeparator" w:id="1">
    <w:p w:rsidR="008651AF" w14:paraId="150E2698" w14:textId="77777777">
      <w:r>
        <w:continuationSeparator/>
      </w:r>
    </w:p>
  </w:footnote>
  <w:footnote w:id="2">
    <w:p w:rsidR="00A96AAD" w14:paraId="4B32F9D7" w14:textId="78C6C306">
      <w:pPr>
        <w:pStyle w:val="FootnoteText"/>
      </w:pPr>
      <w:r>
        <w:rPr>
          <w:rStyle w:val="FootnoteReference"/>
        </w:rPr>
        <w:footnoteRef/>
      </w:r>
      <w:r>
        <w:t xml:space="preserve"> </w:t>
      </w:r>
      <w:r w:rsidR="00AA4404">
        <w:t xml:space="preserve">Executive Order No. 14156, 90 Fed. Reg. 8433 (Jan. 20, 2025) (Declaring a National Energy Emergency), </w:t>
      </w:r>
      <w:hyperlink r:id="rId1" w:history="1">
        <w:r w:rsidRPr="00EE3DAA" w:rsidR="00AA4404">
          <w:rPr>
            <w:rStyle w:val="Hyperlink"/>
          </w:rPr>
          <w:t>https://www.whitehouse.gov/presidential-actions/2025/01/declaring-a-national-energy-emergency/</w:t>
        </w:r>
      </w:hyperlink>
      <w:r w:rsidR="008D7C1D">
        <w:t>.</w:t>
      </w:r>
    </w:p>
  </w:footnote>
  <w:footnote w:id="3">
    <w:p w:rsidR="00B906A1" w14:paraId="3F1C3E44" w14:textId="51F94D0C">
      <w:pPr>
        <w:pStyle w:val="FootnoteText"/>
      </w:pPr>
      <w:r>
        <w:rPr>
          <w:rStyle w:val="FootnoteReference"/>
        </w:rPr>
        <w:footnoteRef/>
      </w:r>
      <w:r>
        <w:t xml:space="preserve"> </w:t>
      </w:r>
      <w:r w:rsidRPr="7259910E" w:rsidR="00C8174F">
        <w:t xml:space="preserve">Executive Order No. 14262, 90 Fed. Reg. 15521 (Apr. 8, 2025) (Strengthening the Reliability and Security of the United States Electric Grid), </w:t>
      </w:r>
      <w:hyperlink r:id="rId2" w:history="1">
        <w:r w:rsidRPr="00456B7E" w:rsidR="008D7C1D">
          <w:rPr>
            <w:rStyle w:val="Hyperlink"/>
          </w:rPr>
          <w:t>https://www.federalregister.gov/documents/2025/04/14/2025-06381/strengthening-thereliability-and-security-of-the-united-states-electric-grid</w:t>
        </w:r>
      </w:hyperlink>
      <w:r w:rsidR="008D7C1D">
        <w:t xml:space="preserve">. </w:t>
      </w:r>
    </w:p>
  </w:footnote>
  <w:footnote w:id="4">
    <w:p w:rsidR="00C8174F" w14:paraId="726C9C18" w14:textId="79DA8044">
      <w:pPr>
        <w:pStyle w:val="FootnoteText"/>
      </w:pPr>
      <w:r>
        <w:rPr>
          <w:rStyle w:val="FootnoteReference"/>
        </w:rPr>
        <w:footnoteRef/>
      </w:r>
      <w:r>
        <w:t xml:space="preserve"> </w:t>
      </w:r>
      <w:r w:rsidRPr="7259910E" w:rsidR="00626355">
        <w:t xml:space="preserve">Executive Order No. 14262, 90 Fed. Reg. 15521 (Apr. 8, 2025) (Strengthening the Reliability and Security of the United States Electric Grid), </w:t>
      </w:r>
      <w:hyperlink r:id="rId2" w:history="1">
        <w:r w:rsidRPr="00456B7E" w:rsidR="008D7C1D">
          <w:rPr>
            <w:rStyle w:val="Hyperlink"/>
          </w:rPr>
          <w:t>https://www.federalregister.gov/documents/2025/04/14/2025-06381/strengthening-thereliability-and-security-of-the-united-states-electric-grid</w:t>
        </w:r>
      </w:hyperlink>
      <w:r w:rsidR="008D7C1D">
        <w:t xml:space="preserve">. </w:t>
      </w:r>
    </w:p>
  </w:footnote>
  <w:footnote w:id="5">
    <w:p w:rsidR="00626355" w14:paraId="050CD784" w14:textId="6BEA5306">
      <w:pPr>
        <w:pStyle w:val="FootnoteText"/>
      </w:pPr>
      <w:r>
        <w:rPr>
          <w:rStyle w:val="FootnoteReference"/>
        </w:rPr>
        <w:footnoteRef/>
      </w:r>
      <w:r>
        <w:t xml:space="preserve"> </w:t>
      </w:r>
      <w:hyperlink r:id="rId3" w:history="1">
        <w:r w:rsidRPr="00456B7E" w:rsidR="008D7C1D">
          <w:rPr>
            <w:rStyle w:val="Hyperlink"/>
          </w:rPr>
          <w:t>https://www.federalregister.gov/documents/2025/12/16/2025-23092/ensuring-a-national-policy-framework-for-artificial-intelligence</w:t>
        </w:r>
      </w:hyperlink>
      <w:r w:rsidR="008D7C1D">
        <w:t xml:space="preserve"> </w:t>
      </w:r>
    </w:p>
  </w:footnote>
  <w:footnote w:id="6">
    <w:p w:rsidR="00272E4A" w14:paraId="36C40C3B" w14:textId="2B86C77B">
      <w:pPr>
        <w:pStyle w:val="FootnoteText"/>
      </w:pPr>
      <w:r>
        <w:rPr>
          <w:rStyle w:val="FootnoteReference"/>
        </w:rPr>
        <w:footnoteRef/>
      </w:r>
      <w:r>
        <w:t xml:space="preserve"> </w:t>
      </w:r>
      <w:hyperlink r:id="rId4" w:history="1">
        <w:r w:rsidRPr="009F113F" w:rsidR="008D7C1D">
          <w:rPr>
            <w:rStyle w:val="Hyperlink"/>
          </w:rPr>
          <w:t>https://www.whitehouse.gov/presidential-actions/2025/04/strengthening-the-reliability-and-security-of-the-united-states-electric-grid/</w:t>
        </w:r>
      </w:hyperlink>
      <w:r w:rsidR="00D25884">
        <w:t>.</w:t>
      </w:r>
    </w:p>
  </w:footnote>
  <w:footnote w:id="7">
    <w:p w:rsidR="00740155" w14:paraId="615E8831" w14:textId="4282B5D7">
      <w:pPr>
        <w:pStyle w:val="FootnoteText"/>
      </w:pPr>
      <w:r>
        <w:rPr>
          <w:rStyle w:val="FootnoteReference"/>
        </w:rPr>
        <w:footnoteRef/>
      </w:r>
      <w:r>
        <w:t xml:space="preserve"> </w:t>
      </w:r>
      <w:hyperlink r:id="rId5" w:history="1">
        <w:r w:rsidRPr="009F113F" w:rsidR="00D25884">
          <w:rPr>
            <w:rStyle w:val="Hyperlink"/>
          </w:rPr>
          <w:t>https://www.energy.gov/ceser/2026-doe-202c-orders</w:t>
        </w:r>
      </w:hyperlink>
      <w:r w:rsidR="00D25884">
        <w:t xml:space="preserve">. </w:t>
      </w:r>
    </w:p>
  </w:footnote>
  <w:footnote w:id="8">
    <w:p w:rsidR="00D40B20" w14:paraId="45B30DAC" w14:textId="55579D08">
      <w:pPr>
        <w:pStyle w:val="FootnoteText"/>
      </w:pPr>
      <w:r>
        <w:rPr>
          <w:rStyle w:val="FootnoteReference"/>
        </w:rPr>
        <w:footnoteRef/>
      </w:r>
      <w:r>
        <w:t xml:space="preserve"> </w:t>
      </w:r>
      <w:r w:rsidRPr="7259910E" w:rsidR="003551D9">
        <w:t>Although the text of FPA section 202(c) grants this authority to “the Commission,” section 301(b) of the Department of Energy Organization Act transferred this authority to the Secretary of the Department of Energy. See 42 U.S.C. § 7151(b).</w:t>
      </w:r>
    </w:p>
  </w:footnote>
  <w:footnote w:id="9">
    <w:p w:rsidR="001026EB" w14:paraId="1E8B593C" w14:textId="1AA59B8B">
      <w:pPr>
        <w:pStyle w:val="FootnoteText"/>
      </w:pPr>
      <w:r>
        <w:rPr>
          <w:rStyle w:val="FootnoteReference"/>
        </w:rPr>
        <w:footnoteRef/>
      </w:r>
      <w:r>
        <w:t xml:space="preserve"> </w:t>
      </w:r>
      <w:hyperlink r:id="rId6" w:history="1">
        <w:r w:rsidRPr="00456B7E" w:rsidR="00AD1A89">
          <w:rPr>
            <w:rStyle w:val="Hyperlink"/>
          </w:rPr>
          <w:t>https://www.energy.gov/documents/leveraging-backup-generation-facilities-during-energy-emergencies</w:t>
        </w:r>
      </w:hyperlink>
      <w:r w:rsidR="00AD1A89">
        <w:t xml:space="preserve">. </w:t>
      </w:r>
    </w:p>
  </w:footnote>
  <w:footnote w:id="10">
    <w:p w:rsidR="009F7A31" w14:paraId="76E64918" w14:textId="7F2A37B2">
      <w:pPr>
        <w:pStyle w:val="FootnoteText"/>
      </w:pPr>
      <w:r>
        <w:rPr>
          <w:rStyle w:val="FootnoteReference"/>
        </w:rPr>
        <w:footnoteRef/>
      </w:r>
      <w:r>
        <w:t xml:space="preserve"> </w:t>
      </w:r>
      <w:hyperlink r:id="rId7" w:history="1">
        <w:r w:rsidRPr="008D34D1" w:rsidR="00C44860">
          <w:rPr>
            <w:rStyle w:val="Hyperlink"/>
          </w:rPr>
          <w:t>https://www.energy.gov/sites/default/files/2025-07/DOE%20Final%20EO%20Report%20%28FINAL%20JULY%207%29.pdf</w:t>
        </w:r>
      </w:hyperlink>
      <w:r w:rsidR="00C44860">
        <w:t xml:space="preserve">. </w:t>
      </w:r>
    </w:p>
  </w:footnote>
  <w:footnote w:id="11">
    <w:p w:rsidR="00C44860" w14:paraId="2A00CE3B" w14:textId="20E03C7D">
      <w:pPr>
        <w:pStyle w:val="FootnoteText"/>
      </w:pPr>
      <w:r>
        <w:rPr>
          <w:rStyle w:val="FootnoteReference"/>
        </w:rPr>
        <w:footnoteRef/>
      </w:r>
      <w:r>
        <w:t xml:space="preserve"> </w:t>
      </w:r>
      <w:r w:rsidR="00C16CF4">
        <w:t>42 U.S.C. 7135(a)(2).</w:t>
      </w:r>
    </w:p>
  </w:footnote>
  <w:footnote w:id="12">
    <w:p w:rsidR="004C64F6" w:rsidP="004C64F6" w14:paraId="13892200" w14:textId="77777777">
      <w:pPr>
        <w:pStyle w:val="FootnoteText"/>
      </w:pPr>
      <w:r>
        <w:rPr>
          <w:rStyle w:val="FootnoteReference"/>
        </w:rPr>
        <w:footnoteRef/>
      </w:r>
      <w:r>
        <w:t xml:space="preserve"> Executive Order No. 14156, 90 Fed. Reg. 8433 (Jan. 20, 2025) (Declaring a National Energy Emergency), </w:t>
      </w:r>
      <w:hyperlink r:id="rId1" w:history="1">
        <w:r w:rsidRPr="00EE3DAA">
          <w:rPr>
            <w:rStyle w:val="Hyperlink"/>
          </w:rPr>
          <w:t>https://www.whitehouse.gov/presidential-actions/2025/01/declaring-a-national-energy-emergency/</w:t>
        </w:r>
      </w:hyperlink>
      <w:r>
        <w:t>.</w:t>
      </w:r>
    </w:p>
  </w:footnote>
  <w:footnote w:id="13">
    <w:p w:rsidR="004C64F6" w:rsidP="004C64F6" w14:paraId="0EEA1F0D"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4">
    <w:p w:rsidR="004C64F6" w:rsidP="004C64F6" w14:paraId="46B5E4AA"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5">
    <w:p w:rsidR="004C64F6" w:rsidP="004C64F6" w14:paraId="4B123306" w14:textId="77777777">
      <w:pPr>
        <w:pStyle w:val="FootnoteText"/>
      </w:pPr>
      <w:r>
        <w:rPr>
          <w:rStyle w:val="FootnoteReference"/>
        </w:rPr>
        <w:footnoteRef/>
      </w:r>
      <w:r>
        <w:t xml:space="preserve"> </w:t>
      </w:r>
      <w:hyperlink r:id="rId3" w:history="1">
        <w:r w:rsidRPr="00456B7E">
          <w:rPr>
            <w:rStyle w:val="Hyperlink"/>
          </w:rPr>
          <w:t>https://www.federalregister.gov/documents/2025/12/16/2025-23092/ensuring-a-national-policy-framework-for-artificial-intelligence</w:t>
        </w:r>
      </w:hyperlink>
      <w:r>
        <w:t xml:space="preserve"> </w:t>
      </w:r>
    </w:p>
  </w:footnote>
  <w:footnote w:id="16">
    <w:p w:rsidR="009B2744" w:rsidP="009B2744" w14:paraId="3C427B5A" w14:textId="77777777">
      <w:pPr>
        <w:pStyle w:val="FootnoteText"/>
      </w:pPr>
      <w:r>
        <w:rPr>
          <w:rStyle w:val="FootnoteReference"/>
        </w:rPr>
        <w:footnoteRef/>
      </w:r>
      <w:r>
        <w:t xml:space="preserve"> Executive Order No. 14156, 90 Fed. Reg. 8433 (Jan. 20, 2025) (Declaring a National Energy Emergency), </w:t>
      </w:r>
      <w:hyperlink r:id="rId1" w:history="1">
        <w:r w:rsidRPr="00EE3DAA">
          <w:rPr>
            <w:rStyle w:val="Hyperlink"/>
          </w:rPr>
          <w:t>https://www.whitehouse.gov/presidential-actions/2025/01/declaring-a-national-energy-emergency/</w:t>
        </w:r>
      </w:hyperlink>
      <w:r>
        <w:t>.</w:t>
      </w:r>
    </w:p>
  </w:footnote>
  <w:footnote w:id="17">
    <w:p w:rsidR="009B2744" w:rsidP="009B2744" w14:paraId="5D83059C"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8">
    <w:p w:rsidR="009B2744" w:rsidP="009B2744" w14:paraId="067B0A51"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9">
    <w:p w:rsidR="009B2744" w:rsidP="009B2744" w14:paraId="39477455" w14:textId="77777777">
      <w:pPr>
        <w:pStyle w:val="FootnoteText"/>
      </w:pPr>
      <w:r>
        <w:rPr>
          <w:rStyle w:val="FootnoteReference"/>
        </w:rPr>
        <w:footnoteRef/>
      </w:r>
      <w:r>
        <w:t xml:space="preserve"> </w:t>
      </w:r>
      <w:hyperlink r:id="rId3" w:history="1">
        <w:r w:rsidRPr="00456B7E">
          <w:rPr>
            <w:rStyle w:val="Hyperlink"/>
          </w:rPr>
          <w:t>https://www.federalregister.gov/documents/2025/12/16/2025-23092/ensuring-a-national-policy-framework-for-artificial-intelligence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7C8" w14:paraId="69B3CB45" w14:textId="7EFBE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75"/>
      <w:gridCol w:w="3175"/>
      <w:gridCol w:w="3175"/>
    </w:tblGrid>
    <w:tr w14:paraId="0E549480" w14:textId="77777777" w:rsidTr="3DDD0EB2">
      <w:tblPrEx>
        <w:tblW w:w="0" w:type="auto"/>
        <w:tblLook w:val="06A0"/>
      </w:tblPrEx>
      <w:trPr>
        <w:trHeight w:val="300"/>
      </w:trPr>
      <w:tc>
        <w:tcPr>
          <w:tcW w:w="3175" w:type="dxa"/>
        </w:tcPr>
        <w:p w:rsidR="3DDD0EB2" w:rsidP="3DDD0EB2" w14:paraId="1628403F" w14:textId="0EC0A30B">
          <w:pPr>
            <w:pStyle w:val="Header"/>
            <w:ind w:left="-115"/>
          </w:pPr>
        </w:p>
      </w:tc>
      <w:tc>
        <w:tcPr>
          <w:tcW w:w="3175" w:type="dxa"/>
        </w:tcPr>
        <w:p w:rsidR="3DDD0EB2" w:rsidP="3DDD0EB2" w14:paraId="3FBDA224" w14:textId="1307F51A">
          <w:pPr>
            <w:pStyle w:val="Header"/>
            <w:jc w:val="center"/>
          </w:pPr>
        </w:p>
      </w:tc>
      <w:tc>
        <w:tcPr>
          <w:tcW w:w="3175" w:type="dxa"/>
        </w:tcPr>
        <w:p w:rsidR="3DDD0EB2" w:rsidP="3DDD0EB2" w14:paraId="578C0119" w14:textId="3C3BA8AA">
          <w:pPr>
            <w:pStyle w:val="Header"/>
            <w:ind w:right="-115"/>
            <w:jc w:val="right"/>
          </w:pPr>
        </w:p>
      </w:tc>
    </w:tr>
  </w:tbl>
  <w:p w:rsidR="3DDD0EB2" w:rsidP="3DDD0EB2" w14:paraId="5BD1A1BB" w14:textId="21431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7C8" w14:paraId="17D8DA03" w14:textId="46E29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35FFD"/>
    <w:multiLevelType w:val="hybridMultilevel"/>
    <w:tmpl w:val="E2AA550E"/>
    <w:lvl w:ilvl="0">
      <w:start w:val="1"/>
      <w:numFmt w:val="bullet"/>
      <w:pStyle w:val="ListParagraph"/>
      <w:lvlText w:val=""/>
      <w:lvlJc w:val="left"/>
      <w:pPr>
        <w:ind w:left="1080" w:hanging="360"/>
      </w:pPr>
      <w:rPr>
        <w:rFonts w:ascii="Symbol" w:hAnsi="Symbol" w:hint="default"/>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DD43A7"/>
    <w:multiLevelType w:val="hybridMultilevel"/>
    <w:tmpl w:val="9A44A78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3B02C9"/>
    <w:multiLevelType w:val="hybridMultilevel"/>
    <w:tmpl w:val="0830722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755A9"/>
    <w:multiLevelType w:val="hybridMultilevel"/>
    <w:tmpl w:val="4994421E"/>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C7CE92"/>
    <w:multiLevelType w:val="hybridMultilevel"/>
    <w:tmpl w:val="1756813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38643"/>
    <w:multiLevelType w:val="hybridMultilevel"/>
    <w:tmpl w:val="680AA0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C9D6C4"/>
    <w:multiLevelType w:val="hybridMultilevel"/>
    <w:tmpl w:val="BCE64336"/>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CA53DA"/>
    <w:multiLevelType w:val="hybridMultilevel"/>
    <w:tmpl w:val="496870F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D0919B"/>
    <w:multiLevelType w:val="hybridMultilevel"/>
    <w:tmpl w:val="E85A413C"/>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EFD12B"/>
    <w:multiLevelType w:val="hybridMultilevel"/>
    <w:tmpl w:val="F3CC5DB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61CD8D"/>
    <w:multiLevelType w:val="hybridMultilevel"/>
    <w:tmpl w:val="1BA27D7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6F7EB2"/>
    <w:multiLevelType w:val="hybridMultilevel"/>
    <w:tmpl w:val="8D58E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FCA01B"/>
    <w:multiLevelType w:val="hybridMultilevel"/>
    <w:tmpl w:val="F22C41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A32C0FD"/>
    <w:multiLevelType w:val="hybridMultilevel"/>
    <w:tmpl w:val="C6F8B16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EB5888"/>
    <w:multiLevelType w:val="hybridMultilevel"/>
    <w:tmpl w:val="847CEDFA"/>
    <w:lvl w:ilvl="0">
      <w:start w:val="1"/>
      <w:numFmt w:val="bullet"/>
      <w:pStyle w:val="TEX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B9038D"/>
    <w:multiLevelType w:val="hybridMultilevel"/>
    <w:tmpl w:val="FFCE1D4C"/>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2E2F72"/>
    <w:multiLevelType w:val="hybridMultilevel"/>
    <w:tmpl w:val="9118DCA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2A354C"/>
    <w:multiLevelType w:val="hybridMultilevel"/>
    <w:tmpl w:val="C7A001F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819753"/>
    <w:multiLevelType w:val="hybridMultilevel"/>
    <w:tmpl w:val="FCB8A72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A7ECF8"/>
    <w:multiLevelType w:val="hybridMultilevel"/>
    <w:tmpl w:val="31BA389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3B67EE"/>
    <w:multiLevelType w:val="hybridMultilevel"/>
    <w:tmpl w:val="4B184C24"/>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8495219">
    <w:abstractNumId w:val="9"/>
  </w:num>
  <w:num w:numId="2" w16cid:durableId="1784768065">
    <w:abstractNumId w:val="20"/>
  </w:num>
  <w:num w:numId="3" w16cid:durableId="1822428336">
    <w:abstractNumId w:val="8"/>
  </w:num>
  <w:num w:numId="4" w16cid:durableId="179197214">
    <w:abstractNumId w:val="6"/>
  </w:num>
  <w:num w:numId="5" w16cid:durableId="1890649688">
    <w:abstractNumId w:val="3"/>
  </w:num>
  <w:num w:numId="6" w16cid:durableId="1378318827">
    <w:abstractNumId w:val="4"/>
  </w:num>
  <w:num w:numId="7" w16cid:durableId="456947756">
    <w:abstractNumId w:val="10"/>
  </w:num>
  <w:num w:numId="8" w16cid:durableId="1157572857">
    <w:abstractNumId w:val="15"/>
  </w:num>
  <w:num w:numId="9" w16cid:durableId="1618557465">
    <w:abstractNumId w:val="19"/>
  </w:num>
  <w:num w:numId="10" w16cid:durableId="698699666">
    <w:abstractNumId w:val="5"/>
  </w:num>
  <w:num w:numId="11" w16cid:durableId="1070612289">
    <w:abstractNumId w:val="7"/>
  </w:num>
  <w:num w:numId="12" w16cid:durableId="492726225">
    <w:abstractNumId w:val="2"/>
  </w:num>
  <w:num w:numId="13" w16cid:durableId="2073851282">
    <w:abstractNumId w:val="16"/>
  </w:num>
  <w:num w:numId="14" w16cid:durableId="1893226561">
    <w:abstractNumId w:val="18"/>
  </w:num>
  <w:num w:numId="15" w16cid:durableId="390613754">
    <w:abstractNumId w:val="13"/>
  </w:num>
  <w:num w:numId="16" w16cid:durableId="1686902114">
    <w:abstractNumId w:val="1"/>
  </w:num>
  <w:num w:numId="17" w16cid:durableId="1023364329">
    <w:abstractNumId w:val="17"/>
  </w:num>
  <w:num w:numId="18" w16cid:durableId="856313625">
    <w:abstractNumId w:val="12"/>
  </w:num>
  <w:num w:numId="19" w16cid:durableId="502479175">
    <w:abstractNumId w:val="0"/>
  </w:num>
  <w:num w:numId="20" w16cid:durableId="997463846">
    <w:abstractNumId w:val="14"/>
  </w:num>
  <w:num w:numId="21" w16cid:durableId="120490011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02F42"/>
    <w:rsid w:val="0000537A"/>
    <w:rsid w:val="00014D9E"/>
    <w:rsid w:val="000150FC"/>
    <w:rsid w:val="0001690A"/>
    <w:rsid w:val="00021A13"/>
    <w:rsid w:val="00024BC3"/>
    <w:rsid w:val="00033981"/>
    <w:rsid w:val="0004333B"/>
    <w:rsid w:val="000477B1"/>
    <w:rsid w:val="00051211"/>
    <w:rsid w:val="000646D1"/>
    <w:rsid w:val="000A295E"/>
    <w:rsid w:val="000B1012"/>
    <w:rsid w:val="000C4CBD"/>
    <w:rsid w:val="000D235C"/>
    <w:rsid w:val="000D61EE"/>
    <w:rsid w:val="000E7379"/>
    <w:rsid w:val="001026EB"/>
    <w:rsid w:val="001115D0"/>
    <w:rsid w:val="00116C69"/>
    <w:rsid w:val="0011757D"/>
    <w:rsid w:val="001217A4"/>
    <w:rsid w:val="0013619E"/>
    <w:rsid w:val="00145B7A"/>
    <w:rsid w:val="00150F37"/>
    <w:rsid w:val="001555E8"/>
    <w:rsid w:val="00171020"/>
    <w:rsid w:val="00177E52"/>
    <w:rsid w:val="00180675"/>
    <w:rsid w:val="0018286C"/>
    <w:rsid w:val="00185404"/>
    <w:rsid w:val="0019532B"/>
    <w:rsid w:val="001B1340"/>
    <w:rsid w:val="001B2260"/>
    <w:rsid w:val="001B5EAA"/>
    <w:rsid w:val="001C09A2"/>
    <w:rsid w:val="001C3BFD"/>
    <w:rsid w:val="001D3203"/>
    <w:rsid w:val="001E242B"/>
    <w:rsid w:val="001F2B1B"/>
    <w:rsid w:val="0020108F"/>
    <w:rsid w:val="00213978"/>
    <w:rsid w:val="00231D77"/>
    <w:rsid w:val="00234190"/>
    <w:rsid w:val="002352C2"/>
    <w:rsid w:val="0024518D"/>
    <w:rsid w:val="00245229"/>
    <w:rsid w:val="00251B30"/>
    <w:rsid w:val="00254D8D"/>
    <w:rsid w:val="00263A5D"/>
    <w:rsid w:val="00270244"/>
    <w:rsid w:val="00272E4A"/>
    <w:rsid w:val="00275B57"/>
    <w:rsid w:val="002808A8"/>
    <w:rsid w:val="002843C6"/>
    <w:rsid w:val="00293A05"/>
    <w:rsid w:val="002A4A92"/>
    <w:rsid w:val="002A6F3A"/>
    <w:rsid w:val="002B4995"/>
    <w:rsid w:val="002B6595"/>
    <w:rsid w:val="002B6BEE"/>
    <w:rsid w:val="002C33CD"/>
    <w:rsid w:val="002D0C25"/>
    <w:rsid w:val="002D312B"/>
    <w:rsid w:val="002E0668"/>
    <w:rsid w:val="002E0C44"/>
    <w:rsid w:val="002E2D4F"/>
    <w:rsid w:val="002F0735"/>
    <w:rsid w:val="002F7F63"/>
    <w:rsid w:val="00300CF2"/>
    <w:rsid w:val="00302B01"/>
    <w:rsid w:val="00306C8A"/>
    <w:rsid w:val="00314E5F"/>
    <w:rsid w:val="00316403"/>
    <w:rsid w:val="00316F2E"/>
    <w:rsid w:val="00324A73"/>
    <w:rsid w:val="003276D6"/>
    <w:rsid w:val="003319EE"/>
    <w:rsid w:val="00341A55"/>
    <w:rsid w:val="003446C4"/>
    <w:rsid w:val="00346EC9"/>
    <w:rsid w:val="003523ED"/>
    <w:rsid w:val="00353733"/>
    <w:rsid w:val="003551D9"/>
    <w:rsid w:val="0035564B"/>
    <w:rsid w:val="003566C4"/>
    <w:rsid w:val="003649D7"/>
    <w:rsid w:val="00372C4B"/>
    <w:rsid w:val="00380EAF"/>
    <w:rsid w:val="00394474"/>
    <w:rsid w:val="003A3B47"/>
    <w:rsid w:val="003B0910"/>
    <w:rsid w:val="003B4570"/>
    <w:rsid w:val="003B882E"/>
    <w:rsid w:val="003C1C2F"/>
    <w:rsid w:val="003D3BCB"/>
    <w:rsid w:val="003D4CA7"/>
    <w:rsid w:val="003E1F5D"/>
    <w:rsid w:val="003E5B2C"/>
    <w:rsid w:val="003EBFC0"/>
    <w:rsid w:val="003F5865"/>
    <w:rsid w:val="003F64B7"/>
    <w:rsid w:val="003F6BDB"/>
    <w:rsid w:val="00401921"/>
    <w:rsid w:val="00411F26"/>
    <w:rsid w:val="004247EF"/>
    <w:rsid w:val="00432BAD"/>
    <w:rsid w:val="00456B7E"/>
    <w:rsid w:val="004612E0"/>
    <w:rsid w:val="00475F36"/>
    <w:rsid w:val="0047795E"/>
    <w:rsid w:val="004A5929"/>
    <w:rsid w:val="004A59A5"/>
    <w:rsid w:val="004B4F34"/>
    <w:rsid w:val="004C1385"/>
    <w:rsid w:val="004C64F6"/>
    <w:rsid w:val="004C7ECF"/>
    <w:rsid w:val="004D69DC"/>
    <w:rsid w:val="004D72AE"/>
    <w:rsid w:val="004E16CF"/>
    <w:rsid w:val="004E6AF0"/>
    <w:rsid w:val="004E7DA0"/>
    <w:rsid w:val="004F33B8"/>
    <w:rsid w:val="00505B94"/>
    <w:rsid w:val="00510B0A"/>
    <w:rsid w:val="00532E0F"/>
    <w:rsid w:val="00567080"/>
    <w:rsid w:val="00571FFB"/>
    <w:rsid w:val="00581D01"/>
    <w:rsid w:val="005842BF"/>
    <w:rsid w:val="00594F13"/>
    <w:rsid w:val="005B150E"/>
    <w:rsid w:val="005B2E50"/>
    <w:rsid w:val="005B30B7"/>
    <w:rsid w:val="005B7BC7"/>
    <w:rsid w:val="005C4625"/>
    <w:rsid w:val="005C6289"/>
    <w:rsid w:val="005D2D5A"/>
    <w:rsid w:val="005F4088"/>
    <w:rsid w:val="006145D9"/>
    <w:rsid w:val="00615670"/>
    <w:rsid w:val="00623A87"/>
    <w:rsid w:val="00625469"/>
    <w:rsid w:val="00626355"/>
    <w:rsid w:val="006268C3"/>
    <w:rsid w:val="0062720C"/>
    <w:rsid w:val="00636C72"/>
    <w:rsid w:val="00641564"/>
    <w:rsid w:val="006429C8"/>
    <w:rsid w:val="00650134"/>
    <w:rsid w:val="006503FA"/>
    <w:rsid w:val="00652B59"/>
    <w:rsid w:val="00656EE6"/>
    <w:rsid w:val="00671E5A"/>
    <w:rsid w:val="00673BAF"/>
    <w:rsid w:val="00675215"/>
    <w:rsid w:val="006875EC"/>
    <w:rsid w:val="00687880"/>
    <w:rsid w:val="00692E0C"/>
    <w:rsid w:val="006A56B9"/>
    <w:rsid w:val="006B2C8B"/>
    <w:rsid w:val="006B56FE"/>
    <w:rsid w:val="006C0763"/>
    <w:rsid w:val="006C1161"/>
    <w:rsid w:val="006C5B04"/>
    <w:rsid w:val="006C66AC"/>
    <w:rsid w:val="006D31FB"/>
    <w:rsid w:val="006D4EAF"/>
    <w:rsid w:val="006E3700"/>
    <w:rsid w:val="006E4A87"/>
    <w:rsid w:val="00705F74"/>
    <w:rsid w:val="00707ACA"/>
    <w:rsid w:val="007255A0"/>
    <w:rsid w:val="00725DC6"/>
    <w:rsid w:val="00727A48"/>
    <w:rsid w:val="00740155"/>
    <w:rsid w:val="007421B4"/>
    <w:rsid w:val="00753F5B"/>
    <w:rsid w:val="00754588"/>
    <w:rsid w:val="00756DF3"/>
    <w:rsid w:val="007618C7"/>
    <w:rsid w:val="00765794"/>
    <w:rsid w:val="007707D6"/>
    <w:rsid w:val="00771FC9"/>
    <w:rsid w:val="0079196B"/>
    <w:rsid w:val="00792FF3"/>
    <w:rsid w:val="007940F7"/>
    <w:rsid w:val="007B11B1"/>
    <w:rsid w:val="007B35C7"/>
    <w:rsid w:val="007CFB40"/>
    <w:rsid w:val="007D1342"/>
    <w:rsid w:val="007E3551"/>
    <w:rsid w:val="007F2E7E"/>
    <w:rsid w:val="007F38D2"/>
    <w:rsid w:val="00807F02"/>
    <w:rsid w:val="00831E98"/>
    <w:rsid w:val="008651AF"/>
    <w:rsid w:val="00866283"/>
    <w:rsid w:val="00874BD4"/>
    <w:rsid w:val="00877BCB"/>
    <w:rsid w:val="0088128F"/>
    <w:rsid w:val="0089473B"/>
    <w:rsid w:val="008A1357"/>
    <w:rsid w:val="008C441C"/>
    <w:rsid w:val="008C50C8"/>
    <w:rsid w:val="008D34D1"/>
    <w:rsid w:val="008D7C1D"/>
    <w:rsid w:val="008E0688"/>
    <w:rsid w:val="008E54D4"/>
    <w:rsid w:val="008E7051"/>
    <w:rsid w:val="00901FA1"/>
    <w:rsid w:val="00905D09"/>
    <w:rsid w:val="0090723A"/>
    <w:rsid w:val="00912569"/>
    <w:rsid w:val="00924091"/>
    <w:rsid w:val="0092693A"/>
    <w:rsid w:val="009322B2"/>
    <w:rsid w:val="009365F4"/>
    <w:rsid w:val="00941ECA"/>
    <w:rsid w:val="00947A90"/>
    <w:rsid w:val="0096133D"/>
    <w:rsid w:val="009618E7"/>
    <w:rsid w:val="00995ED5"/>
    <w:rsid w:val="009A74B5"/>
    <w:rsid w:val="009B2744"/>
    <w:rsid w:val="009B3EB6"/>
    <w:rsid w:val="009C41E5"/>
    <w:rsid w:val="009C5991"/>
    <w:rsid w:val="009C6944"/>
    <w:rsid w:val="009D13E3"/>
    <w:rsid w:val="009D38A4"/>
    <w:rsid w:val="009D5F40"/>
    <w:rsid w:val="009F113F"/>
    <w:rsid w:val="009F7A31"/>
    <w:rsid w:val="009F7DF0"/>
    <w:rsid w:val="00A04DF4"/>
    <w:rsid w:val="00A060B5"/>
    <w:rsid w:val="00A07895"/>
    <w:rsid w:val="00A33634"/>
    <w:rsid w:val="00A34C70"/>
    <w:rsid w:val="00A356C2"/>
    <w:rsid w:val="00A37BD5"/>
    <w:rsid w:val="00A3B973"/>
    <w:rsid w:val="00A41F39"/>
    <w:rsid w:val="00A44C5D"/>
    <w:rsid w:val="00A61ED8"/>
    <w:rsid w:val="00A637E0"/>
    <w:rsid w:val="00A65BB1"/>
    <w:rsid w:val="00A8511F"/>
    <w:rsid w:val="00A864C3"/>
    <w:rsid w:val="00A96AAD"/>
    <w:rsid w:val="00AA4404"/>
    <w:rsid w:val="00AA76D6"/>
    <w:rsid w:val="00AA76FC"/>
    <w:rsid w:val="00AB4B14"/>
    <w:rsid w:val="00AB6623"/>
    <w:rsid w:val="00AC508C"/>
    <w:rsid w:val="00AC68DF"/>
    <w:rsid w:val="00AD1A89"/>
    <w:rsid w:val="00AD524F"/>
    <w:rsid w:val="00AE57EF"/>
    <w:rsid w:val="00AF001C"/>
    <w:rsid w:val="00AF3BF7"/>
    <w:rsid w:val="00B10C07"/>
    <w:rsid w:val="00B13D79"/>
    <w:rsid w:val="00B15D21"/>
    <w:rsid w:val="00B26821"/>
    <w:rsid w:val="00B5103D"/>
    <w:rsid w:val="00B55605"/>
    <w:rsid w:val="00B5580B"/>
    <w:rsid w:val="00B60C04"/>
    <w:rsid w:val="00B62209"/>
    <w:rsid w:val="00B62868"/>
    <w:rsid w:val="00B71AAA"/>
    <w:rsid w:val="00B906A1"/>
    <w:rsid w:val="00B90D85"/>
    <w:rsid w:val="00B94139"/>
    <w:rsid w:val="00BA5633"/>
    <w:rsid w:val="00BC1F4A"/>
    <w:rsid w:val="00BC582E"/>
    <w:rsid w:val="00BC5AE2"/>
    <w:rsid w:val="00BD0ED2"/>
    <w:rsid w:val="00BD159A"/>
    <w:rsid w:val="00BD1AAF"/>
    <w:rsid w:val="00BD7F0F"/>
    <w:rsid w:val="00BF2892"/>
    <w:rsid w:val="00C0565E"/>
    <w:rsid w:val="00C16CF4"/>
    <w:rsid w:val="00C17C14"/>
    <w:rsid w:val="00C1DA19"/>
    <w:rsid w:val="00C44860"/>
    <w:rsid w:val="00C5393F"/>
    <w:rsid w:val="00C729FD"/>
    <w:rsid w:val="00C72A6C"/>
    <w:rsid w:val="00C8174F"/>
    <w:rsid w:val="00C870C2"/>
    <w:rsid w:val="00CA442A"/>
    <w:rsid w:val="00CB0D3C"/>
    <w:rsid w:val="00CB3157"/>
    <w:rsid w:val="00CC53C2"/>
    <w:rsid w:val="00CE2456"/>
    <w:rsid w:val="00CE4D38"/>
    <w:rsid w:val="00CF462D"/>
    <w:rsid w:val="00CF4A4D"/>
    <w:rsid w:val="00CF55D4"/>
    <w:rsid w:val="00CF7144"/>
    <w:rsid w:val="00D0308A"/>
    <w:rsid w:val="00D04B79"/>
    <w:rsid w:val="00D1197E"/>
    <w:rsid w:val="00D125FF"/>
    <w:rsid w:val="00D1353C"/>
    <w:rsid w:val="00D25884"/>
    <w:rsid w:val="00D279B1"/>
    <w:rsid w:val="00D30A0F"/>
    <w:rsid w:val="00D40B20"/>
    <w:rsid w:val="00D41C4C"/>
    <w:rsid w:val="00D507DC"/>
    <w:rsid w:val="00D5400B"/>
    <w:rsid w:val="00D55165"/>
    <w:rsid w:val="00D64C46"/>
    <w:rsid w:val="00D7073D"/>
    <w:rsid w:val="00D73B3A"/>
    <w:rsid w:val="00D81AC8"/>
    <w:rsid w:val="00D957C8"/>
    <w:rsid w:val="00DA17BD"/>
    <w:rsid w:val="00DB4F8F"/>
    <w:rsid w:val="00DB74BC"/>
    <w:rsid w:val="00DC5AD7"/>
    <w:rsid w:val="00DC6112"/>
    <w:rsid w:val="00DF4397"/>
    <w:rsid w:val="00DF56D1"/>
    <w:rsid w:val="00DF75A2"/>
    <w:rsid w:val="00E03147"/>
    <w:rsid w:val="00E04019"/>
    <w:rsid w:val="00E0500B"/>
    <w:rsid w:val="00E42713"/>
    <w:rsid w:val="00E51DF7"/>
    <w:rsid w:val="00E60FA8"/>
    <w:rsid w:val="00E6180D"/>
    <w:rsid w:val="00E74EDF"/>
    <w:rsid w:val="00E80560"/>
    <w:rsid w:val="00E860AC"/>
    <w:rsid w:val="00E963E8"/>
    <w:rsid w:val="00EA1DE7"/>
    <w:rsid w:val="00EA5A1E"/>
    <w:rsid w:val="00EA7F9E"/>
    <w:rsid w:val="00EB074A"/>
    <w:rsid w:val="00EB0780"/>
    <w:rsid w:val="00EB214D"/>
    <w:rsid w:val="00EC3546"/>
    <w:rsid w:val="00EC5489"/>
    <w:rsid w:val="00EE3DAA"/>
    <w:rsid w:val="00EF0E98"/>
    <w:rsid w:val="00EF1A02"/>
    <w:rsid w:val="00F03B62"/>
    <w:rsid w:val="00F04FC2"/>
    <w:rsid w:val="00F07826"/>
    <w:rsid w:val="00F2219F"/>
    <w:rsid w:val="00F24058"/>
    <w:rsid w:val="00F258B3"/>
    <w:rsid w:val="00F42F46"/>
    <w:rsid w:val="00F46DB8"/>
    <w:rsid w:val="00F561D5"/>
    <w:rsid w:val="00F62D9E"/>
    <w:rsid w:val="00F63758"/>
    <w:rsid w:val="00F81A65"/>
    <w:rsid w:val="00F84FAE"/>
    <w:rsid w:val="00F9463C"/>
    <w:rsid w:val="00F948A1"/>
    <w:rsid w:val="00F9649A"/>
    <w:rsid w:val="00FA7F0E"/>
    <w:rsid w:val="00FE0E88"/>
    <w:rsid w:val="00FF2C5A"/>
    <w:rsid w:val="01401F3D"/>
    <w:rsid w:val="016165B9"/>
    <w:rsid w:val="016789F1"/>
    <w:rsid w:val="01806704"/>
    <w:rsid w:val="01A4C200"/>
    <w:rsid w:val="01E10689"/>
    <w:rsid w:val="0268D070"/>
    <w:rsid w:val="02831F40"/>
    <w:rsid w:val="028565E9"/>
    <w:rsid w:val="029D8C9A"/>
    <w:rsid w:val="02B3D7B0"/>
    <w:rsid w:val="02B5BBB8"/>
    <w:rsid w:val="02CB5C6A"/>
    <w:rsid w:val="02D349F0"/>
    <w:rsid w:val="03212FE2"/>
    <w:rsid w:val="03612956"/>
    <w:rsid w:val="0373E857"/>
    <w:rsid w:val="03C6B0F3"/>
    <w:rsid w:val="03C7BEA6"/>
    <w:rsid w:val="03D6D439"/>
    <w:rsid w:val="03FA0A7A"/>
    <w:rsid w:val="043CE6F0"/>
    <w:rsid w:val="044051E2"/>
    <w:rsid w:val="045BF2A5"/>
    <w:rsid w:val="0495A754"/>
    <w:rsid w:val="04A71E18"/>
    <w:rsid w:val="04C4F954"/>
    <w:rsid w:val="04D932F9"/>
    <w:rsid w:val="05048CB4"/>
    <w:rsid w:val="05806640"/>
    <w:rsid w:val="05AF6998"/>
    <w:rsid w:val="05D4A958"/>
    <w:rsid w:val="05E00E0D"/>
    <w:rsid w:val="05E98F73"/>
    <w:rsid w:val="05F669F0"/>
    <w:rsid w:val="065A5381"/>
    <w:rsid w:val="066AC6E2"/>
    <w:rsid w:val="06A2D60E"/>
    <w:rsid w:val="06D4BAE0"/>
    <w:rsid w:val="06DF15C4"/>
    <w:rsid w:val="06E1EDF3"/>
    <w:rsid w:val="07118976"/>
    <w:rsid w:val="0734FC63"/>
    <w:rsid w:val="07569063"/>
    <w:rsid w:val="0761B1BD"/>
    <w:rsid w:val="07691595"/>
    <w:rsid w:val="0793F219"/>
    <w:rsid w:val="07A444F4"/>
    <w:rsid w:val="07A6BB13"/>
    <w:rsid w:val="07C0F455"/>
    <w:rsid w:val="07FB9E0B"/>
    <w:rsid w:val="08394CF1"/>
    <w:rsid w:val="0843B2F6"/>
    <w:rsid w:val="0876A437"/>
    <w:rsid w:val="087A516B"/>
    <w:rsid w:val="08F78FE7"/>
    <w:rsid w:val="090DF24C"/>
    <w:rsid w:val="094F8799"/>
    <w:rsid w:val="095231F6"/>
    <w:rsid w:val="095CC4B6"/>
    <w:rsid w:val="0977B441"/>
    <w:rsid w:val="09D9B2E0"/>
    <w:rsid w:val="09DF7AC6"/>
    <w:rsid w:val="0A247483"/>
    <w:rsid w:val="0A5CEB3E"/>
    <w:rsid w:val="0A605252"/>
    <w:rsid w:val="0A73F909"/>
    <w:rsid w:val="0A74FD24"/>
    <w:rsid w:val="0A7508C8"/>
    <w:rsid w:val="0A95443A"/>
    <w:rsid w:val="0AA37D54"/>
    <w:rsid w:val="0AC3957E"/>
    <w:rsid w:val="0ADE5BD5"/>
    <w:rsid w:val="0AFDF223"/>
    <w:rsid w:val="0B1384A2"/>
    <w:rsid w:val="0B19765C"/>
    <w:rsid w:val="0B32DF43"/>
    <w:rsid w:val="0B6B6425"/>
    <w:rsid w:val="0BA82C03"/>
    <w:rsid w:val="0BBD72C0"/>
    <w:rsid w:val="0BC427E9"/>
    <w:rsid w:val="0C080BEF"/>
    <w:rsid w:val="0C0BA1E7"/>
    <w:rsid w:val="0C15E3A2"/>
    <w:rsid w:val="0C17A03C"/>
    <w:rsid w:val="0C349B2B"/>
    <w:rsid w:val="0C8EB13A"/>
    <w:rsid w:val="0C91E300"/>
    <w:rsid w:val="0CA61B76"/>
    <w:rsid w:val="0CC2C8D4"/>
    <w:rsid w:val="0D459100"/>
    <w:rsid w:val="0D463E62"/>
    <w:rsid w:val="0D594321"/>
    <w:rsid w:val="0D5C143D"/>
    <w:rsid w:val="0D632C3E"/>
    <w:rsid w:val="0D95EEE5"/>
    <w:rsid w:val="0DA05A71"/>
    <w:rsid w:val="0DA18A2D"/>
    <w:rsid w:val="0DC1A769"/>
    <w:rsid w:val="0DC6ECB9"/>
    <w:rsid w:val="0DC7F85D"/>
    <w:rsid w:val="0DCFABF9"/>
    <w:rsid w:val="0DD750C9"/>
    <w:rsid w:val="0DEE0E3F"/>
    <w:rsid w:val="0DF53D34"/>
    <w:rsid w:val="0DFB3640"/>
    <w:rsid w:val="0E819BC9"/>
    <w:rsid w:val="0E8AC7E8"/>
    <w:rsid w:val="0E934D53"/>
    <w:rsid w:val="0EC46E22"/>
    <w:rsid w:val="0EC9D1BA"/>
    <w:rsid w:val="0EDCA66C"/>
    <w:rsid w:val="0EDD8BFE"/>
    <w:rsid w:val="0EE0E7CF"/>
    <w:rsid w:val="0F0D25C6"/>
    <w:rsid w:val="0F433625"/>
    <w:rsid w:val="0F78CD51"/>
    <w:rsid w:val="101B25DB"/>
    <w:rsid w:val="1065A21B"/>
    <w:rsid w:val="10797EB6"/>
    <w:rsid w:val="107E59CB"/>
    <w:rsid w:val="108F5AE3"/>
    <w:rsid w:val="10972061"/>
    <w:rsid w:val="10A9E4EF"/>
    <w:rsid w:val="10F476C6"/>
    <w:rsid w:val="10F79AB1"/>
    <w:rsid w:val="110EB8FB"/>
    <w:rsid w:val="1156D35B"/>
    <w:rsid w:val="115A997E"/>
    <w:rsid w:val="117586D8"/>
    <w:rsid w:val="1176E3EA"/>
    <w:rsid w:val="119A08A8"/>
    <w:rsid w:val="119B7B97"/>
    <w:rsid w:val="119EB974"/>
    <w:rsid w:val="11C69714"/>
    <w:rsid w:val="11D1644E"/>
    <w:rsid w:val="11D2DC5F"/>
    <w:rsid w:val="120C37DE"/>
    <w:rsid w:val="12112F02"/>
    <w:rsid w:val="121E4E0E"/>
    <w:rsid w:val="12305BC6"/>
    <w:rsid w:val="1232F0C2"/>
    <w:rsid w:val="125FBE9C"/>
    <w:rsid w:val="1261C14B"/>
    <w:rsid w:val="12AA5975"/>
    <w:rsid w:val="12AAA394"/>
    <w:rsid w:val="12BB8368"/>
    <w:rsid w:val="12BD868D"/>
    <w:rsid w:val="12E56C87"/>
    <w:rsid w:val="12E6BC24"/>
    <w:rsid w:val="12F6D260"/>
    <w:rsid w:val="1305C7DD"/>
    <w:rsid w:val="132747E7"/>
    <w:rsid w:val="134E5BA8"/>
    <w:rsid w:val="13AA6B90"/>
    <w:rsid w:val="13BCB2F2"/>
    <w:rsid w:val="13CF2750"/>
    <w:rsid w:val="13D09FCE"/>
    <w:rsid w:val="13E61A87"/>
    <w:rsid w:val="13F54377"/>
    <w:rsid w:val="141AE55D"/>
    <w:rsid w:val="142AA8A3"/>
    <w:rsid w:val="142B169F"/>
    <w:rsid w:val="14442766"/>
    <w:rsid w:val="144633B0"/>
    <w:rsid w:val="144C30F6"/>
    <w:rsid w:val="14658789"/>
    <w:rsid w:val="146663E8"/>
    <w:rsid w:val="149AAF41"/>
    <w:rsid w:val="14A18033"/>
    <w:rsid w:val="14BCAAAA"/>
    <w:rsid w:val="14BD3C03"/>
    <w:rsid w:val="14D65A36"/>
    <w:rsid w:val="14DB1CF7"/>
    <w:rsid w:val="14E0E10F"/>
    <w:rsid w:val="1548CFC4"/>
    <w:rsid w:val="155B3A9D"/>
    <w:rsid w:val="15608F12"/>
    <w:rsid w:val="156C702F"/>
    <w:rsid w:val="1585BEBE"/>
    <w:rsid w:val="15880CD8"/>
    <w:rsid w:val="15889526"/>
    <w:rsid w:val="159D8A31"/>
    <w:rsid w:val="15A3832D"/>
    <w:rsid w:val="15BE8282"/>
    <w:rsid w:val="15D201D9"/>
    <w:rsid w:val="15EFDC70"/>
    <w:rsid w:val="161E5CE6"/>
    <w:rsid w:val="167CB170"/>
    <w:rsid w:val="169A258B"/>
    <w:rsid w:val="16B57AFC"/>
    <w:rsid w:val="16C292B8"/>
    <w:rsid w:val="16D6F149"/>
    <w:rsid w:val="16E8C03A"/>
    <w:rsid w:val="16F82489"/>
    <w:rsid w:val="1708FA0F"/>
    <w:rsid w:val="171F4C82"/>
    <w:rsid w:val="174D89A4"/>
    <w:rsid w:val="175852A3"/>
    <w:rsid w:val="17849FE4"/>
    <w:rsid w:val="17AABF53"/>
    <w:rsid w:val="17B83509"/>
    <w:rsid w:val="17E5E726"/>
    <w:rsid w:val="1806B807"/>
    <w:rsid w:val="1816BF77"/>
    <w:rsid w:val="18538136"/>
    <w:rsid w:val="187CAC57"/>
    <w:rsid w:val="1884909B"/>
    <w:rsid w:val="18B1719E"/>
    <w:rsid w:val="18FA350C"/>
    <w:rsid w:val="1900DA8D"/>
    <w:rsid w:val="1910EFD9"/>
    <w:rsid w:val="19277D32"/>
    <w:rsid w:val="192FBEF6"/>
    <w:rsid w:val="1937D1B5"/>
    <w:rsid w:val="1950DA1F"/>
    <w:rsid w:val="19734E22"/>
    <w:rsid w:val="19855F15"/>
    <w:rsid w:val="19B073FC"/>
    <w:rsid w:val="19CFF19D"/>
    <w:rsid w:val="19D3D7CE"/>
    <w:rsid w:val="19E113B3"/>
    <w:rsid w:val="1A201251"/>
    <w:rsid w:val="1A3818F2"/>
    <w:rsid w:val="1A47B671"/>
    <w:rsid w:val="1A56E179"/>
    <w:rsid w:val="1A8226BC"/>
    <w:rsid w:val="1A91DF84"/>
    <w:rsid w:val="1AA44A77"/>
    <w:rsid w:val="1AB368EA"/>
    <w:rsid w:val="1AB7A38E"/>
    <w:rsid w:val="1AC34D93"/>
    <w:rsid w:val="1AF9BCFA"/>
    <w:rsid w:val="1B19316F"/>
    <w:rsid w:val="1B4AE9AA"/>
    <w:rsid w:val="1B512C6E"/>
    <w:rsid w:val="1B5DFF1E"/>
    <w:rsid w:val="1B781621"/>
    <w:rsid w:val="1BA9B3A8"/>
    <w:rsid w:val="1BC31D5B"/>
    <w:rsid w:val="1BE386D2"/>
    <w:rsid w:val="1C325EDD"/>
    <w:rsid w:val="1C4D3330"/>
    <w:rsid w:val="1C6EBA9C"/>
    <w:rsid w:val="1C6F8E62"/>
    <w:rsid w:val="1C80C19A"/>
    <w:rsid w:val="1CAB9DEA"/>
    <w:rsid w:val="1CB3B7BE"/>
    <w:rsid w:val="1D1D068F"/>
    <w:rsid w:val="1DB8DBEC"/>
    <w:rsid w:val="1DB9C77E"/>
    <w:rsid w:val="1DCCBF95"/>
    <w:rsid w:val="1DD44379"/>
    <w:rsid w:val="1DFB734A"/>
    <w:rsid w:val="1E139BDD"/>
    <w:rsid w:val="1E16B186"/>
    <w:rsid w:val="1E378ADD"/>
    <w:rsid w:val="1E4C7D8A"/>
    <w:rsid w:val="1E5FAF3E"/>
    <w:rsid w:val="1E669E96"/>
    <w:rsid w:val="1E81FF3D"/>
    <w:rsid w:val="1F1324D2"/>
    <w:rsid w:val="1F3FF66A"/>
    <w:rsid w:val="1F7013DA"/>
    <w:rsid w:val="1F995FDE"/>
    <w:rsid w:val="1FBA0BFB"/>
    <w:rsid w:val="1FC2842E"/>
    <w:rsid w:val="201AD4ED"/>
    <w:rsid w:val="204243EE"/>
    <w:rsid w:val="2045AEE1"/>
    <w:rsid w:val="20504CA1"/>
    <w:rsid w:val="2055CE45"/>
    <w:rsid w:val="20AFEFFE"/>
    <w:rsid w:val="20D2FF0C"/>
    <w:rsid w:val="210BE43B"/>
    <w:rsid w:val="212A63D1"/>
    <w:rsid w:val="212C443B"/>
    <w:rsid w:val="2150E852"/>
    <w:rsid w:val="21647041"/>
    <w:rsid w:val="216537AA"/>
    <w:rsid w:val="219C6FB8"/>
    <w:rsid w:val="21A0D776"/>
    <w:rsid w:val="21B535E9"/>
    <w:rsid w:val="21CC8AA6"/>
    <w:rsid w:val="21E65F4C"/>
    <w:rsid w:val="223E5BB9"/>
    <w:rsid w:val="224BC05F"/>
    <w:rsid w:val="228D38A1"/>
    <w:rsid w:val="22D90602"/>
    <w:rsid w:val="22DB3B04"/>
    <w:rsid w:val="22E2BB13"/>
    <w:rsid w:val="22EB35DF"/>
    <w:rsid w:val="22FCDFEE"/>
    <w:rsid w:val="234CE6F7"/>
    <w:rsid w:val="2417CF8E"/>
    <w:rsid w:val="2420D401"/>
    <w:rsid w:val="243808E3"/>
    <w:rsid w:val="245862B9"/>
    <w:rsid w:val="24756AFE"/>
    <w:rsid w:val="24808D3C"/>
    <w:rsid w:val="24EF8F70"/>
    <w:rsid w:val="250B99AF"/>
    <w:rsid w:val="25497262"/>
    <w:rsid w:val="2549B875"/>
    <w:rsid w:val="2552DF31"/>
    <w:rsid w:val="25B7735D"/>
    <w:rsid w:val="25EDB590"/>
    <w:rsid w:val="25F9B369"/>
    <w:rsid w:val="2608A162"/>
    <w:rsid w:val="26246E06"/>
    <w:rsid w:val="26297465"/>
    <w:rsid w:val="263480B0"/>
    <w:rsid w:val="265568A6"/>
    <w:rsid w:val="26A76A10"/>
    <w:rsid w:val="26AF40E2"/>
    <w:rsid w:val="26B66F09"/>
    <w:rsid w:val="26E51769"/>
    <w:rsid w:val="26FF4E2F"/>
    <w:rsid w:val="271D175E"/>
    <w:rsid w:val="271F3182"/>
    <w:rsid w:val="277B25BF"/>
    <w:rsid w:val="2780ADF1"/>
    <w:rsid w:val="278DB4A9"/>
    <w:rsid w:val="27BEF010"/>
    <w:rsid w:val="27BFABD2"/>
    <w:rsid w:val="27D2CAB2"/>
    <w:rsid w:val="27DB9D0A"/>
    <w:rsid w:val="282661A4"/>
    <w:rsid w:val="28458EC5"/>
    <w:rsid w:val="28656013"/>
    <w:rsid w:val="28AD9D3D"/>
    <w:rsid w:val="28CC72C8"/>
    <w:rsid w:val="28CFCF40"/>
    <w:rsid w:val="290D6D81"/>
    <w:rsid w:val="290FDAB2"/>
    <w:rsid w:val="2938CBC8"/>
    <w:rsid w:val="29458E82"/>
    <w:rsid w:val="294A9529"/>
    <w:rsid w:val="295C269E"/>
    <w:rsid w:val="29776D6B"/>
    <w:rsid w:val="297E4DF2"/>
    <w:rsid w:val="29A62F4E"/>
    <w:rsid w:val="2A07E3AD"/>
    <w:rsid w:val="2A0A79F9"/>
    <w:rsid w:val="2A0BC17D"/>
    <w:rsid w:val="2A304541"/>
    <w:rsid w:val="2A56D244"/>
    <w:rsid w:val="2A65FDFD"/>
    <w:rsid w:val="2AACDC96"/>
    <w:rsid w:val="2AAE5B8C"/>
    <w:rsid w:val="2AB2C681"/>
    <w:rsid w:val="2AF7F6FF"/>
    <w:rsid w:val="2AFEDCD3"/>
    <w:rsid w:val="2B036FE9"/>
    <w:rsid w:val="2B4C100D"/>
    <w:rsid w:val="2B4D7458"/>
    <w:rsid w:val="2B73F7F3"/>
    <w:rsid w:val="2BAC30DA"/>
    <w:rsid w:val="2C0A91CF"/>
    <w:rsid w:val="2C128FE6"/>
    <w:rsid w:val="2C131192"/>
    <w:rsid w:val="2C16F757"/>
    <w:rsid w:val="2C450E43"/>
    <w:rsid w:val="2C4619B3"/>
    <w:rsid w:val="2C57442D"/>
    <w:rsid w:val="2C7B5770"/>
    <w:rsid w:val="2C7D2F44"/>
    <w:rsid w:val="2C86C23B"/>
    <w:rsid w:val="2C88CDA7"/>
    <w:rsid w:val="2CACD4A2"/>
    <w:rsid w:val="2CC637F8"/>
    <w:rsid w:val="2CCA9168"/>
    <w:rsid w:val="2CD1DB5A"/>
    <w:rsid w:val="2CDED96A"/>
    <w:rsid w:val="2CE37C05"/>
    <w:rsid w:val="2D08FC92"/>
    <w:rsid w:val="2DA58977"/>
    <w:rsid w:val="2DE30281"/>
    <w:rsid w:val="2E1721D7"/>
    <w:rsid w:val="2E437C4C"/>
    <w:rsid w:val="2E7F4C66"/>
    <w:rsid w:val="2EECD7B6"/>
    <w:rsid w:val="2F055A07"/>
    <w:rsid w:val="2F13559F"/>
    <w:rsid w:val="2F1CDEC1"/>
    <w:rsid w:val="2F2FF809"/>
    <w:rsid w:val="2F3665A4"/>
    <w:rsid w:val="2F417431"/>
    <w:rsid w:val="2F4A30A8"/>
    <w:rsid w:val="2F72B239"/>
    <w:rsid w:val="2F81ECB7"/>
    <w:rsid w:val="2F86F88B"/>
    <w:rsid w:val="2F8EE4EF"/>
    <w:rsid w:val="2F90E0E2"/>
    <w:rsid w:val="2FA78615"/>
    <w:rsid w:val="2FBCD565"/>
    <w:rsid w:val="300A7D29"/>
    <w:rsid w:val="30504538"/>
    <w:rsid w:val="306679A0"/>
    <w:rsid w:val="307967FD"/>
    <w:rsid w:val="3097768C"/>
    <w:rsid w:val="30A67F1E"/>
    <w:rsid w:val="30BD3900"/>
    <w:rsid w:val="30E6C12A"/>
    <w:rsid w:val="310D1136"/>
    <w:rsid w:val="3136CFEF"/>
    <w:rsid w:val="31673883"/>
    <w:rsid w:val="31736992"/>
    <w:rsid w:val="317F8586"/>
    <w:rsid w:val="317FA9FD"/>
    <w:rsid w:val="31A2042D"/>
    <w:rsid w:val="31A3C3C5"/>
    <w:rsid w:val="31AD8551"/>
    <w:rsid w:val="31B41B8D"/>
    <w:rsid w:val="31B6ED28"/>
    <w:rsid w:val="31B733C5"/>
    <w:rsid w:val="31CF343D"/>
    <w:rsid w:val="31D31C72"/>
    <w:rsid w:val="31EBFF2D"/>
    <w:rsid w:val="31F0A112"/>
    <w:rsid w:val="324007BC"/>
    <w:rsid w:val="32509A70"/>
    <w:rsid w:val="3266E81C"/>
    <w:rsid w:val="3273550E"/>
    <w:rsid w:val="32A1467D"/>
    <w:rsid w:val="32A9DFED"/>
    <w:rsid w:val="32C2E863"/>
    <w:rsid w:val="32C6A243"/>
    <w:rsid w:val="32E3259F"/>
    <w:rsid w:val="32EEF0CE"/>
    <w:rsid w:val="32F9E03A"/>
    <w:rsid w:val="33126887"/>
    <w:rsid w:val="331AF13E"/>
    <w:rsid w:val="331C3141"/>
    <w:rsid w:val="335705E4"/>
    <w:rsid w:val="33766951"/>
    <w:rsid w:val="3405A210"/>
    <w:rsid w:val="340F256F"/>
    <w:rsid w:val="341CE99C"/>
    <w:rsid w:val="342B0FF0"/>
    <w:rsid w:val="342CFAFF"/>
    <w:rsid w:val="3478ABC3"/>
    <w:rsid w:val="347CF16A"/>
    <w:rsid w:val="34A2D0DE"/>
    <w:rsid w:val="34A6D6AF"/>
    <w:rsid w:val="34B02D83"/>
    <w:rsid w:val="34B6C19F"/>
    <w:rsid w:val="34D1F62D"/>
    <w:rsid w:val="34D3BAA8"/>
    <w:rsid w:val="353609EF"/>
    <w:rsid w:val="35469837"/>
    <w:rsid w:val="355B4CE3"/>
    <w:rsid w:val="358BBD36"/>
    <w:rsid w:val="358CBCEB"/>
    <w:rsid w:val="35F23967"/>
    <w:rsid w:val="360D8EC1"/>
    <w:rsid w:val="361EA3E3"/>
    <w:rsid w:val="363599A2"/>
    <w:rsid w:val="367324B6"/>
    <w:rsid w:val="3710126F"/>
    <w:rsid w:val="371E2D93"/>
    <w:rsid w:val="3746C631"/>
    <w:rsid w:val="378540D8"/>
    <w:rsid w:val="379E8C7F"/>
    <w:rsid w:val="37B1A3CE"/>
    <w:rsid w:val="37BA7444"/>
    <w:rsid w:val="37D67047"/>
    <w:rsid w:val="37E0B39B"/>
    <w:rsid w:val="37E35616"/>
    <w:rsid w:val="37FE71DA"/>
    <w:rsid w:val="38480CB0"/>
    <w:rsid w:val="385CE376"/>
    <w:rsid w:val="38C88130"/>
    <w:rsid w:val="38DE5EDF"/>
    <w:rsid w:val="38EAB7AC"/>
    <w:rsid w:val="39006C22"/>
    <w:rsid w:val="3912F382"/>
    <w:rsid w:val="398A32C2"/>
    <w:rsid w:val="39ED3885"/>
    <w:rsid w:val="3A3BE48F"/>
    <w:rsid w:val="3A6BC808"/>
    <w:rsid w:val="3A74E394"/>
    <w:rsid w:val="3A978F50"/>
    <w:rsid w:val="3ADAAC7D"/>
    <w:rsid w:val="3ADC4A3F"/>
    <w:rsid w:val="3AFC35D8"/>
    <w:rsid w:val="3B19F60F"/>
    <w:rsid w:val="3B287CC4"/>
    <w:rsid w:val="3B6294D8"/>
    <w:rsid w:val="3B8F7C49"/>
    <w:rsid w:val="3B95FF09"/>
    <w:rsid w:val="3BA384E1"/>
    <w:rsid w:val="3C0A2DE8"/>
    <w:rsid w:val="3C1E8BA0"/>
    <w:rsid w:val="3C2B38CE"/>
    <w:rsid w:val="3C6779DB"/>
    <w:rsid w:val="3C695B23"/>
    <w:rsid w:val="3C6DA78F"/>
    <w:rsid w:val="3C90DD5B"/>
    <w:rsid w:val="3C95EDE2"/>
    <w:rsid w:val="3CB1D8B0"/>
    <w:rsid w:val="3D01C6C8"/>
    <w:rsid w:val="3D025213"/>
    <w:rsid w:val="3D35CCA3"/>
    <w:rsid w:val="3D3F5542"/>
    <w:rsid w:val="3D470857"/>
    <w:rsid w:val="3D6F9F48"/>
    <w:rsid w:val="3D87080B"/>
    <w:rsid w:val="3DAC1BD5"/>
    <w:rsid w:val="3DBA91BE"/>
    <w:rsid w:val="3DD3DD45"/>
    <w:rsid w:val="3DDD0EB2"/>
    <w:rsid w:val="3E1BABEB"/>
    <w:rsid w:val="3E3EF456"/>
    <w:rsid w:val="3E4FD11C"/>
    <w:rsid w:val="3E617491"/>
    <w:rsid w:val="3E648C50"/>
    <w:rsid w:val="3E9D8078"/>
    <w:rsid w:val="3EA9CAA8"/>
    <w:rsid w:val="3EDB25A3"/>
    <w:rsid w:val="3F51D816"/>
    <w:rsid w:val="3F59C59C"/>
    <w:rsid w:val="3F99D634"/>
    <w:rsid w:val="3FA40320"/>
    <w:rsid w:val="3FA58EA9"/>
    <w:rsid w:val="3FB20719"/>
    <w:rsid w:val="3FCEF6DE"/>
    <w:rsid w:val="3FF97446"/>
    <w:rsid w:val="3FFBEDE7"/>
    <w:rsid w:val="3FFC149F"/>
    <w:rsid w:val="40051DF5"/>
    <w:rsid w:val="40158AA7"/>
    <w:rsid w:val="407DE321"/>
    <w:rsid w:val="40A62664"/>
    <w:rsid w:val="40CC2156"/>
    <w:rsid w:val="4127E0A9"/>
    <w:rsid w:val="41808C73"/>
    <w:rsid w:val="418531FD"/>
    <w:rsid w:val="4196B3CC"/>
    <w:rsid w:val="419A521B"/>
    <w:rsid w:val="422BADA0"/>
    <w:rsid w:val="424CE2F2"/>
    <w:rsid w:val="42638EC3"/>
    <w:rsid w:val="4263A9E1"/>
    <w:rsid w:val="42852204"/>
    <w:rsid w:val="429B3A0B"/>
    <w:rsid w:val="42A6A892"/>
    <w:rsid w:val="42CB33F5"/>
    <w:rsid w:val="42E6F572"/>
    <w:rsid w:val="43211A34"/>
    <w:rsid w:val="434B26C1"/>
    <w:rsid w:val="434D2B69"/>
    <w:rsid w:val="436DFD3E"/>
    <w:rsid w:val="43A652BC"/>
    <w:rsid w:val="43A6EBC2"/>
    <w:rsid w:val="43A971E5"/>
    <w:rsid w:val="43C8F4D1"/>
    <w:rsid w:val="441BF3B6"/>
    <w:rsid w:val="442D36BF"/>
    <w:rsid w:val="4443C981"/>
    <w:rsid w:val="444EDAB0"/>
    <w:rsid w:val="44686666"/>
    <w:rsid w:val="4482C986"/>
    <w:rsid w:val="448C6043"/>
    <w:rsid w:val="4493FE83"/>
    <w:rsid w:val="449BC239"/>
    <w:rsid w:val="44D899D9"/>
    <w:rsid w:val="44DC6F33"/>
    <w:rsid w:val="44E46A43"/>
    <w:rsid w:val="44E8FBCA"/>
    <w:rsid w:val="44F2D601"/>
    <w:rsid w:val="44F3D399"/>
    <w:rsid w:val="4509CD9F"/>
    <w:rsid w:val="450B1BE2"/>
    <w:rsid w:val="455A691C"/>
    <w:rsid w:val="456B3D53"/>
    <w:rsid w:val="4580708F"/>
    <w:rsid w:val="45967D79"/>
    <w:rsid w:val="4596FBE6"/>
    <w:rsid w:val="45B8F2B7"/>
    <w:rsid w:val="45CEACAC"/>
    <w:rsid w:val="45D2948F"/>
    <w:rsid w:val="45FCDE19"/>
    <w:rsid w:val="464B9AD2"/>
    <w:rsid w:val="465868EA"/>
    <w:rsid w:val="467CDEA5"/>
    <w:rsid w:val="46A70866"/>
    <w:rsid w:val="46C7270A"/>
    <w:rsid w:val="476A7D0D"/>
    <w:rsid w:val="476AB3C6"/>
    <w:rsid w:val="4792A4D0"/>
    <w:rsid w:val="479E909B"/>
    <w:rsid w:val="47B01BC0"/>
    <w:rsid w:val="47FA3740"/>
    <w:rsid w:val="48209C8C"/>
    <w:rsid w:val="483EA460"/>
    <w:rsid w:val="48661E00"/>
    <w:rsid w:val="48750607"/>
    <w:rsid w:val="48817C5D"/>
    <w:rsid w:val="48AEC27D"/>
    <w:rsid w:val="48C5F864"/>
    <w:rsid w:val="48DA6F8B"/>
    <w:rsid w:val="48F09379"/>
    <w:rsid w:val="4915CD58"/>
    <w:rsid w:val="492AC27C"/>
    <w:rsid w:val="494C70EF"/>
    <w:rsid w:val="49547E27"/>
    <w:rsid w:val="49A147E4"/>
    <w:rsid w:val="49D75164"/>
    <w:rsid w:val="49DD3EC2"/>
    <w:rsid w:val="49FB9865"/>
    <w:rsid w:val="4A33ADF1"/>
    <w:rsid w:val="4A4C70AC"/>
    <w:rsid w:val="4A89386E"/>
    <w:rsid w:val="4B05FE97"/>
    <w:rsid w:val="4B065B01"/>
    <w:rsid w:val="4B583D4E"/>
    <w:rsid w:val="4B69AEF3"/>
    <w:rsid w:val="4B72AFF5"/>
    <w:rsid w:val="4B8F25F2"/>
    <w:rsid w:val="4B9768C6"/>
    <w:rsid w:val="4BC5E3C3"/>
    <w:rsid w:val="4BE4C02F"/>
    <w:rsid w:val="4BF6ADA3"/>
    <w:rsid w:val="4C375439"/>
    <w:rsid w:val="4C499B4F"/>
    <w:rsid w:val="4C66F17E"/>
    <w:rsid w:val="4CA22B62"/>
    <w:rsid w:val="4CA629A8"/>
    <w:rsid w:val="4CC16F4A"/>
    <w:rsid w:val="4CCBD78B"/>
    <w:rsid w:val="4CFC39F3"/>
    <w:rsid w:val="4D00CB5F"/>
    <w:rsid w:val="4D245135"/>
    <w:rsid w:val="4D89FB93"/>
    <w:rsid w:val="4DB0479C"/>
    <w:rsid w:val="4DB0C5B4"/>
    <w:rsid w:val="4E268B03"/>
    <w:rsid w:val="4E3013A2"/>
    <w:rsid w:val="4E387F1B"/>
    <w:rsid w:val="4E73312A"/>
    <w:rsid w:val="4E7B5A7B"/>
    <w:rsid w:val="4EDAC92D"/>
    <w:rsid w:val="4EF9F6B8"/>
    <w:rsid w:val="4F13D573"/>
    <w:rsid w:val="4F43F15A"/>
    <w:rsid w:val="4F758B19"/>
    <w:rsid w:val="4F9D6C5A"/>
    <w:rsid w:val="4FC14BA5"/>
    <w:rsid w:val="4FC84BA1"/>
    <w:rsid w:val="4FDC22BB"/>
    <w:rsid w:val="5005A21C"/>
    <w:rsid w:val="504C0035"/>
    <w:rsid w:val="5063AC59"/>
    <w:rsid w:val="507DDC12"/>
    <w:rsid w:val="50D10A49"/>
    <w:rsid w:val="50ECAC47"/>
    <w:rsid w:val="5109A981"/>
    <w:rsid w:val="510BB9C7"/>
    <w:rsid w:val="516A488E"/>
    <w:rsid w:val="5175A237"/>
    <w:rsid w:val="518E71AD"/>
    <w:rsid w:val="5195F173"/>
    <w:rsid w:val="51AE5675"/>
    <w:rsid w:val="51C6171C"/>
    <w:rsid w:val="52035762"/>
    <w:rsid w:val="52432464"/>
    <w:rsid w:val="524B35C0"/>
    <w:rsid w:val="52578BCF"/>
    <w:rsid w:val="526CDAAA"/>
    <w:rsid w:val="52887CA8"/>
    <w:rsid w:val="529A28A8"/>
    <w:rsid w:val="5304D0B4"/>
    <w:rsid w:val="530B4919"/>
    <w:rsid w:val="53393D57"/>
    <w:rsid w:val="53634F33"/>
    <w:rsid w:val="53FE68F5"/>
    <w:rsid w:val="5408AB0B"/>
    <w:rsid w:val="540A9D81"/>
    <w:rsid w:val="5411D894"/>
    <w:rsid w:val="542D1F61"/>
    <w:rsid w:val="54FE0E2A"/>
    <w:rsid w:val="551C53D2"/>
    <w:rsid w:val="5560ED12"/>
    <w:rsid w:val="557685E2"/>
    <w:rsid w:val="5582D682"/>
    <w:rsid w:val="5583D70F"/>
    <w:rsid w:val="558CE219"/>
    <w:rsid w:val="55A47B6C"/>
    <w:rsid w:val="55B2977E"/>
    <w:rsid w:val="55C5BB39"/>
    <w:rsid w:val="55E510F8"/>
    <w:rsid w:val="55EB7842"/>
    <w:rsid w:val="55F5F2D2"/>
    <w:rsid w:val="5610AC81"/>
    <w:rsid w:val="561CE672"/>
    <w:rsid w:val="563C3EB9"/>
    <w:rsid w:val="564641F4"/>
    <w:rsid w:val="5661E2D0"/>
    <w:rsid w:val="56A6F72C"/>
    <w:rsid w:val="56AEC671"/>
    <w:rsid w:val="56C67B74"/>
    <w:rsid w:val="56C80CA6"/>
    <w:rsid w:val="56D6D42F"/>
    <w:rsid w:val="56EB2E69"/>
    <w:rsid w:val="5700C0EE"/>
    <w:rsid w:val="575BEDCB"/>
    <w:rsid w:val="57CD6D49"/>
    <w:rsid w:val="581FEAA2"/>
    <w:rsid w:val="585F3135"/>
    <w:rsid w:val="58624BD5"/>
    <w:rsid w:val="587E38C7"/>
    <w:rsid w:val="589B54D1"/>
    <w:rsid w:val="58ABFF41"/>
    <w:rsid w:val="58AE20AD"/>
    <w:rsid w:val="58E531E1"/>
    <w:rsid w:val="58EA3840"/>
    <w:rsid w:val="58F27AD4"/>
    <w:rsid w:val="58F8897C"/>
    <w:rsid w:val="59009084"/>
    <w:rsid w:val="59203E52"/>
    <w:rsid w:val="593A9C5F"/>
    <w:rsid w:val="596A823F"/>
    <w:rsid w:val="596C88D2"/>
    <w:rsid w:val="599A1903"/>
    <w:rsid w:val="59A06D5C"/>
    <w:rsid w:val="59CCA2E5"/>
    <w:rsid w:val="59CD61CA"/>
    <w:rsid w:val="59E7D885"/>
    <w:rsid w:val="59F16642"/>
    <w:rsid w:val="5A074E4C"/>
    <w:rsid w:val="5A30CB5D"/>
    <w:rsid w:val="5A4994C2"/>
    <w:rsid w:val="5A811A18"/>
    <w:rsid w:val="5AB02D93"/>
    <w:rsid w:val="5ADFC501"/>
    <w:rsid w:val="5AE0C651"/>
    <w:rsid w:val="5BE06746"/>
    <w:rsid w:val="5BE2C96A"/>
    <w:rsid w:val="5BEE73B4"/>
    <w:rsid w:val="5C0D3CEB"/>
    <w:rsid w:val="5C2CE54D"/>
    <w:rsid w:val="5C7C96B2"/>
    <w:rsid w:val="5C851CAD"/>
    <w:rsid w:val="5C921FAB"/>
    <w:rsid w:val="5CA0DE6C"/>
    <w:rsid w:val="5CA9D9BE"/>
    <w:rsid w:val="5CE2310E"/>
    <w:rsid w:val="5D2321E1"/>
    <w:rsid w:val="5D3EEF0E"/>
    <w:rsid w:val="5D402AA5"/>
    <w:rsid w:val="5D5BE961"/>
    <w:rsid w:val="5E173757"/>
    <w:rsid w:val="5E186713"/>
    <w:rsid w:val="5E1C78FF"/>
    <w:rsid w:val="5E1EAD65"/>
    <w:rsid w:val="5E531D8C"/>
    <w:rsid w:val="5EE2ACF5"/>
    <w:rsid w:val="5EE3DC07"/>
    <w:rsid w:val="5EE7291F"/>
    <w:rsid w:val="5EE99155"/>
    <w:rsid w:val="5F174681"/>
    <w:rsid w:val="5F2EF919"/>
    <w:rsid w:val="5F3D8B1B"/>
    <w:rsid w:val="5F407325"/>
    <w:rsid w:val="5F856B8E"/>
    <w:rsid w:val="5FBFABB0"/>
    <w:rsid w:val="5FEF9CB9"/>
    <w:rsid w:val="600152FE"/>
    <w:rsid w:val="600AAF4D"/>
    <w:rsid w:val="603D2EE2"/>
    <w:rsid w:val="60531090"/>
    <w:rsid w:val="60641A92"/>
    <w:rsid w:val="606F2422"/>
    <w:rsid w:val="609291D5"/>
    <w:rsid w:val="60B43F51"/>
    <w:rsid w:val="60C77D99"/>
    <w:rsid w:val="60F05B9C"/>
    <w:rsid w:val="61401041"/>
    <w:rsid w:val="616DD816"/>
    <w:rsid w:val="618F9F77"/>
    <w:rsid w:val="619D235F"/>
    <w:rsid w:val="61A0C9AF"/>
    <w:rsid w:val="61C0790C"/>
    <w:rsid w:val="61F8ED83"/>
    <w:rsid w:val="621A0A8F"/>
    <w:rsid w:val="621A591B"/>
    <w:rsid w:val="6248D215"/>
    <w:rsid w:val="62725935"/>
    <w:rsid w:val="6279CBC0"/>
    <w:rsid w:val="62C4A70D"/>
    <w:rsid w:val="62D882AD"/>
    <w:rsid w:val="62E12C78"/>
    <w:rsid w:val="62FDBEA6"/>
    <w:rsid w:val="63066B35"/>
    <w:rsid w:val="63071A1A"/>
    <w:rsid w:val="63365ACE"/>
    <w:rsid w:val="6393BA70"/>
    <w:rsid w:val="63984888"/>
    <w:rsid w:val="63B61E18"/>
    <w:rsid w:val="63B643D8"/>
    <w:rsid w:val="63CCF994"/>
    <w:rsid w:val="63D33AC3"/>
    <w:rsid w:val="6427FC5E"/>
    <w:rsid w:val="6459E60B"/>
    <w:rsid w:val="64BE7ED4"/>
    <w:rsid w:val="64C60903"/>
    <w:rsid w:val="64FC1B01"/>
    <w:rsid w:val="6519D4FC"/>
    <w:rsid w:val="653280A5"/>
    <w:rsid w:val="653E04F9"/>
    <w:rsid w:val="6551EE79"/>
    <w:rsid w:val="6551F9DD"/>
    <w:rsid w:val="65926284"/>
    <w:rsid w:val="65B1F535"/>
    <w:rsid w:val="65BEBCBB"/>
    <w:rsid w:val="6608578C"/>
    <w:rsid w:val="66259322"/>
    <w:rsid w:val="667CDEB2"/>
    <w:rsid w:val="669EA1CB"/>
    <w:rsid w:val="669FC0E5"/>
    <w:rsid w:val="66B44585"/>
    <w:rsid w:val="66D5C58F"/>
    <w:rsid w:val="673186D9"/>
    <w:rsid w:val="674B9FD8"/>
    <w:rsid w:val="67599EA4"/>
    <w:rsid w:val="675F9D20"/>
    <w:rsid w:val="678A2873"/>
    <w:rsid w:val="67C9DA66"/>
    <w:rsid w:val="67F2A50E"/>
    <w:rsid w:val="67FAAE9E"/>
    <w:rsid w:val="68219C39"/>
    <w:rsid w:val="68289DA7"/>
    <w:rsid w:val="682FBA90"/>
    <w:rsid w:val="684A328A"/>
    <w:rsid w:val="684E03AE"/>
    <w:rsid w:val="6861CDCB"/>
    <w:rsid w:val="687195F0"/>
    <w:rsid w:val="6888A7CD"/>
    <w:rsid w:val="689477F4"/>
    <w:rsid w:val="68D5D987"/>
    <w:rsid w:val="68E60113"/>
    <w:rsid w:val="68E77039"/>
    <w:rsid w:val="692D863D"/>
    <w:rsid w:val="693C5C7E"/>
    <w:rsid w:val="6950FA91"/>
    <w:rsid w:val="69642F9C"/>
    <w:rsid w:val="6980E693"/>
    <w:rsid w:val="69922388"/>
    <w:rsid w:val="69B051F8"/>
    <w:rsid w:val="69BDF8CA"/>
    <w:rsid w:val="69C80DAE"/>
    <w:rsid w:val="69DA28A4"/>
    <w:rsid w:val="69EA2B08"/>
    <w:rsid w:val="6A255DBC"/>
    <w:rsid w:val="6A256B00"/>
    <w:rsid w:val="6A2C8641"/>
    <w:rsid w:val="6A3A9D11"/>
    <w:rsid w:val="6A405E10"/>
    <w:rsid w:val="6AA0E316"/>
    <w:rsid w:val="6AD0B3BD"/>
    <w:rsid w:val="6B122BFF"/>
    <w:rsid w:val="6B203CA1"/>
    <w:rsid w:val="6B48FFD5"/>
    <w:rsid w:val="6B53D7CB"/>
    <w:rsid w:val="6BA35A6D"/>
    <w:rsid w:val="6BB1F890"/>
    <w:rsid w:val="6BD6F56C"/>
    <w:rsid w:val="6BF81314"/>
    <w:rsid w:val="6CF59343"/>
    <w:rsid w:val="6D0A3219"/>
    <w:rsid w:val="6D2DED5F"/>
    <w:rsid w:val="6D39F46D"/>
    <w:rsid w:val="6D3A2D7B"/>
    <w:rsid w:val="6D450713"/>
    <w:rsid w:val="6D5D0BC2"/>
    <w:rsid w:val="6D701826"/>
    <w:rsid w:val="6D876E2F"/>
    <w:rsid w:val="6DA4CF04"/>
    <w:rsid w:val="6DC3DA69"/>
    <w:rsid w:val="6DCE8FF9"/>
    <w:rsid w:val="6DD14E41"/>
    <w:rsid w:val="6DEACD5D"/>
    <w:rsid w:val="6DF64C80"/>
    <w:rsid w:val="6E149594"/>
    <w:rsid w:val="6E19FD09"/>
    <w:rsid w:val="6E26A391"/>
    <w:rsid w:val="6E37B892"/>
    <w:rsid w:val="6E5F985E"/>
    <w:rsid w:val="6E7A762B"/>
    <w:rsid w:val="6EBF03D6"/>
    <w:rsid w:val="6ED09D68"/>
    <w:rsid w:val="6EE60C82"/>
    <w:rsid w:val="6EF8DC23"/>
    <w:rsid w:val="6EFABEAA"/>
    <w:rsid w:val="6F1FB61E"/>
    <w:rsid w:val="6F39C197"/>
    <w:rsid w:val="6F542AA9"/>
    <w:rsid w:val="6F6BAD93"/>
    <w:rsid w:val="6F6E0AA7"/>
    <w:rsid w:val="6F7FAAD4"/>
    <w:rsid w:val="700D7661"/>
    <w:rsid w:val="701A7728"/>
    <w:rsid w:val="703CC0A7"/>
    <w:rsid w:val="7055446F"/>
    <w:rsid w:val="7076CB90"/>
    <w:rsid w:val="70889A99"/>
    <w:rsid w:val="7094A120"/>
    <w:rsid w:val="70A6F474"/>
    <w:rsid w:val="7106DE04"/>
    <w:rsid w:val="710D966B"/>
    <w:rsid w:val="7132909B"/>
    <w:rsid w:val="713F1526"/>
    <w:rsid w:val="716133C1"/>
    <w:rsid w:val="71E478DB"/>
    <w:rsid w:val="7220D0BA"/>
    <w:rsid w:val="72372F1C"/>
    <w:rsid w:val="723FB65C"/>
    <w:rsid w:val="7259910E"/>
    <w:rsid w:val="72A4A25D"/>
    <w:rsid w:val="72AE9DBB"/>
    <w:rsid w:val="72F9EC7B"/>
    <w:rsid w:val="72FDF764"/>
    <w:rsid w:val="731C353A"/>
    <w:rsid w:val="738A1B7A"/>
    <w:rsid w:val="738CE531"/>
    <w:rsid w:val="739DEABC"/>
    <w:rsid w:val="73B6DA19"/>
    <w:rsid w:val="73C4F3EF"/>
    <w:rsid w:val="73D2FF7D"/>
    <w:rsid w:val="73FE385E"/>
    <w:rsid w:val="740222E5"/>
    <w:rsid w:val="74044BED"/>
    <w:rsid w:val="74143C6F"/>
    <w:rsid w:val="741D2FAB"/>
    <w:rsid w:val="742C8739"/>
    <w:rsid w:val="74658E04"/>
    <w:rsid w:val="7466302A"/>
    <w:rsid w:val="746A2332"/>
    <w:rsid w:val="7495BCDC"/>
    <w:rsid w:val="74978344"/>
    <w:rsid w:val="74BF6470"/>
    <w:rsid w:val="75055DB0"/>
    <w:rsid w:val="7510C61D"/>
    <w:rsid w:val="75124F5B"/>
    <w:rsid w:val="75177ABB"/>
    <w:rsid w:val="75234A0A"/>
    <w:rsid w:val="7525EBDB"/>
    <w:rsid w:val="752FF40D"/>
    <w:rsid w:val="753CD2F8"/>
    <w:rsid w:val="754A3CB3"/>
    <w:rsid w:val="75579B01"/>
    <w:rsid w:val="75BBE64B"/>
    <w:rsid w:val="75C8B495"/>
    <w:rsid w:val="75C9192C"/>
    <w:rsid w:val="76015E65"/>
    <w:rsid w:val="7601F17D"/>
    <w:rsid w:val="76405A8C"/>
    <w:rsid w:val="7662FBDB"/>
    <w:rsid w:val="766F0C1D"/>
    <w:rsid w:val="7673E4B4"/>
    <w:rsid w:val="7684557E"/>
    <w:rsid w:val="7691C6CD"/>
    <w:rsid w:val="76B48B1F"/>
    <w:rsid w:val="76F33E3F"/>
    <w:rsid w:val="7712E868"/>
    <w:rsid w:val="7725B8DE"/>
    <w:rsid w:val="774886BA"/>
    <w:rsid w:val="77646E3D"/>
    <w:rsid w:val="77759A0D"/>
    <w:rsid w:val="77B18628"/>
    <w:rsid w:val="77B70517"/>
    <w:rsid w:val="77CF2406"/>
    <w:rsid w:val="77E13EDC"/>
    <w:rsid w:val="7813D84D"/>
    <w:rsid w:val="783C7EE5"/>
    <w:rsid w:val="784A715B"/>
    <w:rsid w:val="784DCBE0"/>
    <w:rsid w:val="784F1B7D"/>
    <w:rsid w:val="785047CA"/>
    <w:rsid w:val="78548DB7"/>
    <w:rsid w:val="7878E82C"/>
    <w:rsid w:val="78B42149"/>
    <w:rsid w:val="78BBE0E8"/>
    <w:rsid w:val="78F20BB9"/>
    <w:rsid w:val="79247A23"/>
    <w:rsid w:val="7953883C"/>
    <w:rsid w:val="79598CA8"/>
    <w:rsid w:val="799D912A"/>
    <w:rsid w:val="79DB7DEA"/>
    <w:rsid w:val="79EE8F5B"/>
    <w:rsid w:val="7A31FC2F"/>
    <w:rsid w:val="7A8A1954"/>
    <w:rsid w:val="7AC8380A"/>
    <w:rsid w:val="7AC94A6E"/>
    <w:rsid w:val="7AD71B70"/>
    <w:rsid w:val="7B588721"/>
    <w:rsid w:val="7B86BC3F"/>
    <w:rsid w:val="7B907E47"/>
    <w:rsid w:val="7B94D851"/>
    <w:rsid w:val="7BA217E7"/>
    <w:rsid w:val="7BBD9B78"/>
    <w:rsid w:val="7BBD9FC8"/>
    <w:rsid w:val="7BE7C0B2"/>
    <w:rsid w:val="7BEBED88"/>
    <w:rsid w:val="7C230DC0"/>
    <w:rsid w:val="7C44962B"/>
    <w:rsid w:val="7C610F0F"/>
    <w:rsid w:val="7C787508"/>
    <w:rsid w:val="7C99F512"/>
    <w:rsid w:val="7CACF2AC"/>
    <w:rsid w:val="7CAD412A"/>
    <w:rsid w:val="7CB1F9C1"/>
    <w:rsid w:val="7CBCC706"/>
    <w:rsid w:val="7CBE5347"/>
    <w:rsid w:val="7D30A8B2"/>
    <w:rsid w:val="7D3124CE"/>
    <w:rsid w:val="7D57F1FD"/>
    <w:rsid w:val="7D955F4C"/>
    <w:rsid w:val="7DAFAE1C"/>
    <w:rsid w:val="7DB085C0"/>
    <w:rsid w:val="7DE57954"/>
    <w:rsid w:val="7DF6C8BA"/>
    <w:rsid w:val="7E0F93F7"/>
    <w:rsid w:val="7E490761"/>
    <w:rsid w:val="7E614E74"/>
    <w:rsid w:val="7E7FF7E2"/>
    <w:rsid w:val="7E89E99F"/>
    <w:rsid w:val="7E9CC81E"/>
    <w:rsid w:val="7EBD0D64"/>
    <w:rsid w:val="7EE2D157"/>
    <w:rsid w:val="7EE4880A"/>
    <w:rsid w:val="7F05F908"/>
    <w:rsid w:val="7F2B2861"/>
    <w:rsid w:val="7F56530B"/>
    <w:rsid w:val="7F67A51F"/>
    <w:rsid w:val="7F76A949"/>
    <w:rsid w:val="7F94B686"/>
    <w:rsid w:val="7F982179"/>
    <w:rsid w:val="7FC1CDAF"/>
    <w:rsid w:val="7FC5AD18"/>
    <w:rsid w:val="7FF53B8A"/>
    <w:rsid w:val="7FF8A9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D82F46"/>
  <w15:chartTrackingRefBased/>
  <w15:docId w15:val="{FB3F316A-FC7F-4D2A-ABCF-62536501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FC2"/>
    <w:rPr>
      <w:lang w:eastAsia="en-US"/>
    </w:rPr>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lang w:eastAsia="en-US"/>
    </w:rPr>
  </w:style>
  <w:style w:type="paragraph" w:customStyle="1" w:styleId="SL-FlLftSgl">
    <w:name w:val="SL-Fl Lft Sgl"/>
    <w:pPr>
      <w:spacing w:line="240" w:lineRule="atLeast"/>
      <w:jc w:val="both"/>
    </w:pPr>
    <w:rPr>
      <w:sz w:val="22"/>
      <w:lang w:eastAsia="en-US"/>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autoRedefine/>
    <w:uiPriority w:val="34"/>
    <w:qFormat/>
    <w:rsid w:val="00263A5D"/>
    <w:pPr>
      <w:numPr>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pPr>
    <w:rPr>
      <w:rFonts w:ascii="Calibri" w:hAnsi="Calibri"/>
      <w:color w:val="0070C0"/>
      <w:sz w:val="22"/>
      <w:szCs w:val="24"/>
    </w:rPr>
  </w:style>
  <w:style w:type="paragraph" w:customStyle="1" w:styleId="TEXT">
    <w:name w:val="TEXT"/>
    <w:basedOn w:val="Normal"/>
    <w:next w:val="Normal"/>
    <w:link w:val="TEXTChar"/>
    <w:autoRedefine/>
    <w:rsid w:val="00231D77"/>
    <w:pPr>
      <w:numPr>
        <w:numId w:val="20"/>
      </w:numPr>
      <w:spacing w:line="360" w:lineRule="auto"/>
    </w:pPr>
    <w:rPr>
      <w:rFonts w:ascii="Calibri" w:hAnsi="Calibri"/>
      <w:bCs/>
      <w:sz w:val="22"/>
      <w:szCs w:val="22"/>
    </w:rPr>
  </w:style>
  <w:style w:type="character" w:customStyle="1" w:styleId="TEXTChar">
    <w:name w:val="TEXT Char"/>
    <w:link w:val="TEXT"/>
    <w:rsid w:val="00231D77"/>
    <w:rPr>
      <w:rFonts w:ascii="Calibri" w:hAnsi="Calibri"/>
      <w:bCs/>
      <w:sz w:val="22"/>
      <w:szCs w:val="22"/>
      <w:lang w:eastAsia="en-US"/>
    </w:rPr>
  </w:style>
  <w:style w:type="paragraph" w:styleId="Revision">
    <w:name w:val="Revision"/>
    <w:hidden/>
    <w:uiPriority w:val="99"/>
    <w:semiHidden/>
    <w:rsid w:val="0001690A"/>
    <w:rPr>
      <w:lang w:eastAsia="en-US"/>
    </w:rPr>
  </w:style>
  <w:style w:type="paragraph" w:styleId="CommentSubject">
    <w:name w:val="annotation subject"/>
    <w:basedOn w:val="CommentText"/>
    <w:next w:val="CommentText"/>
    <w:link w:val="CommentSubjectChar"/>
    <w:rsid w:val="00AA76FC"/>
    <w:rPr>
      <w:b/>
      <w:bCs/>
    </w:rPr>
  </w:style>
  <w:style w:type="character" w:customStyle="1" w:styleId="CommentTextChar">
    <w:name w:val="Comment Text Char"/>
    <w:basedOn w:val="DefaultParagraphFont"/>
    <w:link w:val="CommentText"/>
    <w:semiHidden/>
    <w:rsid w:val="00AA76FC"/>
  </w:style>
  <w:style w:type="character" w:customStyle="1" w:styleId="CommentSubjectChar">
    <w:name w:val="Comment Subject Char"/>
    <w:link w:val="CommentSubject"/>
    <w:rsid w:val="00AA76FC"/>
    <w:rPr>
      <w:b/>
      <w:bCs/>
    </w:rPr>
  </w:style>
  <w:style w:type="character" w:customStyle="1" w:styleId="FootnoteTextChar">
    <w:name w:val="Footnote Text Char"/>
    <w:basedOn w:val="DefaultParagraphFont"/>
    <w:link w:val="FootnoteText"/>
    <w:uiPriority w:val="99"/>
    <w:semiHidden/>
    <w:rsid w:val="00A07895"/>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D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1/declaring-a-national-energy-emergency/" TargetMode="External" /><Relationship Id="rId2" Type="http://schemas.openxmlformats.org/officeDocument/2006/relationships/hyperlink" Target="https://www.federalregister.gov/documents/2025/04/14/2025-06381/strengthening-thereliability-and-security-of-the-united-states-electric-grid" TargetMode="External" /><Relationship Id="rId3" Type="http://schemas.openxmlformats.org/officeDocument/2006/relationships/hyperlink" Target="https://www.federalregister.gov/documents/2025/12/16/2025-23092/ensuring-a-national-policy-framework-for-artificial-intelligence" TargetMode="External" /><Relationship Id="rId4" Type="http://schemas.openxmlformats.org/officeDocument/2006/relationships/hyperlink" Target="https://www.whitehouse.gov/presidential-actions/2025/04/strengthening-the-reliability-and-security-of-the-united-states-electric-grid/" TargetMode="External" /><Relationship Id="rId5" Type="http://schemas.openxmlformats.org/officeDocument/2006/relationships/hyperlink" Target="https://www.energy.gov/ceser/2026-doe-202c-orders" TargetMode="External" /><Relationship Id="rId6" Type="http://schemas.openxmlformats.org/officeDocument/2006/relationships/hyperlink" Target="https://www.energy.gov/documents/leveraging-backup-generation-facilities-during-energy-emergencies" TargetMode="External" /><Relationship Id="rId7" Type="http://schemas.openxmlformats.org/officeDocument/2006/relationships/hyperlink" Target="https://www.energy.gov/sites/default/files/2025-07/DOE%20Final%20EO%20Report%20%28FINAL%20JULY%207%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77D3E-F489-472C-8B94-DDDCCB7247E0}">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2.xml><?xml version="1.0" encoding="utf-8"?>
<ds:datastoreItem xmlns:ds="http://schemas.openxmlformats.org/officeDocument/2006/customXml" ds:itemID="{C03BC059-F431-4AC7-B287-BC7B45DCBCF5}">
  <ds:schemaRefs>
    <ds:schemaRef ds:uri="http://schemas.openxmlformats.org/officeDocument/2006/bibliography"/>
  </ds:schemaRefs>
</ds:datastoreItem>
</file>

<file path=customXml/itemProps3.xml><?xml version="1.0" encoding="utf-8"?>
<ds:datastoreItem xmlns:ds="http://schemas.openxmlformats.org/officeDocument/2006/customXml" ds:itemID="{858B1240-83BB-4D01-BB5F-4E5C487923E4}">
  <ds:schemaRefs>
    <ds:schemaRef ds:uri="http://schemas.microsoft.com/sharepoint/v3/contenttype/forms"/>
  </ds:schemaRefs>
</ds:datastoreItem>
</file>

<file path=customXml/itemProps4.xml><?xml version="1.0" encoding="utf-8"?>
<ds:datastoreItem xmlns:ds="http://schemas.openxmlformats.org/officeDocument/2006/customXml" ds:itemID="{61986D4D-1D69-48EB-AEAA-E8F4F2AE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3377</Words>
  <Characters>19323</Characters>
  <Application>Microsoft Office Word</Application>
  <DocSecurity>0</DocSecurity>
  <Lines>351</Lines>
  <Paragraphs>79</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Pick, Kenneth M.</cp:lastModifiedBy>
  <cp:revision>5</cp:revision>
  <cp:lastPrinted>2008-04-21T20:49:00Z</cp:lastPrinted>
  <dcterms:created xsi:type="dcterms:W3CDTF">2026-02-10T22:11:00Z</dcterms:created>
  <dcterms:modified xsi:type="dcterms:W3CDTF">2026-02-11T19:55:00Z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