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RPr="008645A9" w:rsidP="00FE2197" w14:paraId="14F08D81" w14:textId="77777777">
          <w:pPr>
            <w:rPr>
              <w:rFonts w:cstheme="minorHAnsi"/>
            </w:rPr>
          </w:pPr>
          <w:r w:rsidRPr="008645A9">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8645A9" w:rsidR="001F3A8F">
            <w:rPr>
              <w:rFonts w:cstheme="minorHAnsi"/>
              <w:noProof/>
            </w:rPr>
            <w:softHyphen/>
          </w:r>
          <w:r w:rsidRPr="008645A9" w:rsidR="001F3A8F">
            <w:rPr>
              <w:rFonts w:cstheme="minorHAnsi"/>
              <w:noProof/>
            </w:rPr>
            <w:softHyphen/>
          </w:r>
        </w:p>
      </w:sdtContent>
    </w:sdt>
    <w:p w:rsidR="00D928FD" w:rsidRPr="008645A9" w:rsidP="00D928FD" w14:paraId="6B71598A"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8645A9" w:rsidP="00711414" w14:paraId="7684EE81" w14:textId="77777777">
          <w:pPr>
            <w:spacing w:line="240" w:lineRule="auto"/>
            <w:ind w:left="90"/>
            <w:rPr>
              <w:rFonts w:cstheme="minorHAnsi"/>
              <w:color w:val="139CD8"/>
              <w:sz w:val="56"/>
              <w:szCs w:val="52"/>
            </w:rPr>
          </w:pPr>
          <w:r w:rsidRPr="008645A9">
            <w:rPr>
              <w:rFonts w:cstheme="minorHAnsi"/>
              <w:color w:val="139CD8"/>
              <w:sz w:val="56"/>
              <w:szCs w:val="52"/>
            </w:rPr>
            <w:t>Supporting Statement for Generic Clearance for the Collection of Qualitative Feedback on Agency Service Delivery</w:t>
          </w:r>
        </w:p>
      </w:sdtContent>
    </w:sdt>
    <w:p w:rsidR="0059212D" w:rsidRPr="008645A9" w:rsidP="00EE2CAF" w14:paraId="64BEAFF1" w14:textId="77777777">
      <w:pPr>
        <w:pStyle w:val="Heading1"/>
        <w:rPr>
          <w:rFonts w:asciiTheme="minorHAnsi" w:hAnsiTheme="minorHAnsi" w:cstheme="minorHAnsi"/>
        </w:rPr>
      </w:pPr>
      <w:bookmarkStart w:id="0" w:name="_Toc80211572"/>
      <w:r w:rsidRPr="008645A9">
        <w:rPr>
          <w:rFonts w:asciiTheme="minorHAnsi" w:hAnsiTheme="minorHAnsi" w:cstheme="minorHAnsi"/>
        </w:rPr>
        <w:t>Part A: Justification</w:t>
      </w:r>
      <w:bookmarkEnd w:id="0"/>
    </w:p>
    <w:p w:rsidR="00711414" w:rsidRPr="008645A9" w:rsidP="1B44F115" w14:paraId="02708BBE" w14:textId="77777777">
      <w:pPr>
        <w:rPr>
          <w:b/>
          <w:bCs/>
          <w:sz w:val="36"/>
          <w:szCs w:val="36"/>
        </w:rPr>
      </w:pPr>
      <w:r w:rsidRPr="008645A9">
        <w:rPr>
          <w:rFonts w:cstheme="minorHAnsi"/>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2943225</wp:posOffset>
                </wp:positionV>
                <wp:extent cx="6019800" cy="2124075"/>
                <wp:effectExtent l="0" t="0" r="0" b="952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2124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0859" w:rsidRPr="0059212D" w:rsidP="00FB6BF3" w14:paraId="2A595984"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167.25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740859" w:rsidRPr="0059212D" w:rsidP="00FB6BF3" w14:paraId="672A6659" w14:textId="77777777">
                      <w:pPr>
                        <w:rPr>
                          <w:i/>
                          <w:sz w:val="28"/>
                          <w:szCs w:val="28"/>
                        </w:rPr>
                      </w:pPr>
                    </w:p>
                  </w:txbxContent>
                </v:textbox>
                <w10:wrap type="square"/>
              </v:shape>
            </w:pict>
          </mc:Fallback>
        </mc:AlternateContent>
      </w:r>
      <w:r w:rsidRPr="1B44F115" w:rsidR="00711414">
        <w:rPr>
          <w:b/>
          <w:bCs/>
          <w:sz w:val="36"/>
          <w:szCs w:val="36"/>
        </w:rPr>
        <w:t>OMB No. 19</w:t>
      </w:r>
      <w:r w:rsidRPr="1B44F115" w:rsidR="00FE2197">
        <w:rPr>
          <w:b/>
          <w:bCs/>
          <w:sz w:val="36"/>
          <w:szCs w:val="36"/>
        </w:rPr>
        <w:t>10</w:t>
      </w:r>
      <w:r w:rsidRPr="1B44F115" w:rsidR="00711414">
        <w:rPr>
          <w:b/>
          <w:bCs/>
          <w:sz w:val="36"/>
          <w:szCs w:val="36"/>
        </w:rPr>
        <w:t>-</w:t>
      </w:r>
      <w:r w:rsidRPr="1B44F115" w:rsidR="00D47759">
        <w:rPr>
          <w:b/>
          <w:bCs/>
          <w:sz w:val="36"/>
          <w:szCs w:val="36"/>
        </w:rPr>
        <w:t>5160</w:t>
      </w:r>
    </w:p>
    <w:p w:rsidR="001F3A8F" w:rsidRPr="008645A9" w:rsidP="1B44F115" w14:paraId="32ADADAC" w14:textId="77777777">
      <w:pPr>
        <w:rPr>
          <w:i/>
          <w:iCs/>
          <w:sz w:val="28"/>
          <w:szCs w:val="28"/>
        </w:rPr>
      </w:pPr>
      <w:r w:rsidRPr="008645A9">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67388FEC" w14:textId="77777777">
                            <w:pPr>
                              <w:rPr>
                                <w:color w:val="A6A6A6" w:themeColor="background1" w:themeShade="A6"/>
                                <w:sz w:val="36"/>
                              </w:rPr>
                            </w:pPr>
                            <w:r>
                              <w:rPr>
                                <w:color w:val="A6A6A6" w:themeColor="background1" w:themeShade="A6"/>
                                <w:sz w:val="36"/>
                              </w:rPr>
                              <w:t xml:space="preserve">February 2026 </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23F7D0F" w14:textId="77777777">
                      <w:pPr>
                        <w:rPr>
                          <w:color w:val="A6A6A6" w:themeColor="background1" w:themeShade="A6"/>
                          <w:sz w:val="36"/>
                        </w:rPr>
                      </w:pPr>
                      <w:r>
                        <w:rPr>
                          <w:color w:val="A6A6A6" w:themeColor="background1" w:themeShade="A6"/>
                          <w:sz w:val="36"/>
                        </w:rPr>
                        <w:t xml:space="preserve">February 2026 </w:t>
                      </w:r>
                    </w:p>
                  </w:txbxContent>
                </v:textbox>
                <w10:wrap type="square"/>
              </v:shape>
            </w:pict>
          </mc:Fallback>
        </mc:AlternateContent>
      </w:r>
      <w:r w:rsidRPr="008645A9">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1B44F115" w:rsidR="00FB6BF3">
        <w:rPr>
          <w:noProof/>
        </w:rPr>
        <w:t xml:space="preserve"> </w:t>
      </w:r>
      <w:r w:rsidRPr="008645A9" w:rsidR="00711414">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2541733E"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0A37501D" w14:textId="77777777">
                      <w:pPr>
                        <w:spacing w:line="240" w:lineRule="auto"/>
                        <w:ind w:left="90"/>
                        <w:rPr>
                          <w:sz w:val="52"/>
                          <w:szCs w:val="52"/>
                        </w:rPr>
                      </w:pPr>
                    </w:p>
                  </w:txbxContent>
                </v:textbox>
                <w10:wrap anchorx="margin"/>
              </v:shape>
            </w:pict>
          </mc:Fallback>
        </mc:AlternateContent>
      </w:r>
      <w:r w:rsidRPr="008645A9" w:rsidR="00711414">
        <w:rPr>
          <w:rFonts w:cstheme="min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1A3E26A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D5E272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1B44F115" w:rsidR="001F3A8F">
        <w:br w:type="page"/>
      </w:r>
    </w:p>
    <w:p w:rsidR="00755C3D" w:rsidRPr="008645A9" w:rsidP="00D928FD" w14:paraId="4BEC7B6C" w14:textId="77777777">
      <w:pPr>
        <w:rPr>
          <w:rFonts w:cstheme="minorHAnsi"/>
        </w:rPr>
        <w:sectPr w:rsidSect="001F3A8F">
          <w:headerReference w:type="default" r:id="rId11"/>
          <w:footerReference w:type="default" r:id="rId12"/>
          <w:footnotePr>
            <w:pos w:val="beneathText"/>
          </w:footnotePr>
          <w:type w:val="continuous"/>
          <w:pgSz w:w="12240" w:h="15840" w:orient="portrait"/>
          <w:pgMar w:top="1440" w:right="1440" w:bottom="1440" w:left="1440" w:header="720" w:footer="720" w:gutter="0"/>
          <w:pgNumType w:fmt="lowerRoman" w:start="1"/>
          <w:cols w:space="720"/>
          <w:titlePg/>
          <w:docGrid w:linePitch="360"/>
        </w:sectPr>
      </w:pPr>
    </w:p>
    <w:sdt>
      <w:sdtPr>
        <w:rPr>
          <w:rFonts w:asciiTheme="minorAscii" w:eastAsiaTheme="minorEastAsia" w:hAnsiTheme="minorAscii" w:cstheme="minorBidi"/>
          <w:b w:val="0"/>
          <w:bCs w:val="0"/>
          <w:color w:val="auto"/>
          <w:sz w:val="22"/>
          <w:szCs w:val="22"/>
        </w:rPr>
        <w:id w:val="819469860"/>
        <w:docPartObj>
          <w:docPartGallery w:val="Table of Contents"/>
          <w:docPartUnique/>
        </w:docPartObj>
      </w:sdtPr>
      <w:sdtEndPr>
        <w:rPr>
          <w:rFonts w:asciiTheme="minorAscii" w:eastAsiaTheme="minorEastAsia" w:hAnsiTheme="minorAscii" w:cstheme="minorBidi"/>
          <w:b w:val="0"/>
          <w:bCs w:val="0"/>
          <w:noProof/>
          <w:color w:val="auto"/>
          <w:sz w:val="22"/>
          <w:szCs w:val="22"/>
        </w:rPr>
      </w:sdtEndPr>
      <w:sdtContent>
        <w:p w:rsidR="0059212D" w:rsidRPr="008645A9" w:rsidP="00EE2CAF" w14:paraId="4A47CA35" w14:textId="77777777">
          <w:pPr>
            <w:pStyle w:val="TOCHeading"/>
            <w:rPr>
              <w:rFonts w:asciiTheme="minorHAnsi" w:hAnsiTheme="minorHAnsi" w:cstheme="minorHAnsi"/>
            </w:rPr>
          </w:pPr>
          <w:r w:rsidRPr="008645A9">
            <w:rPr>
              <w:rFonts w:asciiTheme="minorHAnsi" w:hAnsiTheme="minorHAnsi" w:cstheme="minorHAnsi"/>
            </w:rPr>
            <w:t>Table of Contents</w:t>
          </w:r>
        </w:p>
        <w:p w:rsidR="00D47759" w14:paraId="3F252347" w14:textId="77777777">
          <w:pPr>
            <w:pStyle w:val="TOC1"/>
            <w:rPr>
              <w:rFonts w:eastAsiaTheme="minorEastAsia"/>
              <w:noProof/>
              <w:color w:val="auto"/>
            </w:rPr>
          </w:pPr>
          <w:r w:rsidRPr="008645A9">
            <w:rPr>
              <w:rFonts w:cstheme="minorHAnsi"/>
            </w:rPr>
            <w:fldChar w:fldCharType="begin"/>
          </w:r>
          <w:r w:rsidRPr="008645A9">
            <w:rPr>
              <w:rFonts w:cstheme="minorHAnsi"/>
            </w:rPr>
            <w:instrText xml:space="preserve"> TOC \o "1-3" \h \z \u </w:instrText>
          </w:r>
          <w:r w:rsidRPr="008645A9">
            <w:rPr>
              <w:rFonts w:cstheme="minorHAnsi"/>
            </w:rPr>
            <w:fldChar w:fldCharType="separate"/>
          </w:r>
          <w:hyperlink w:anchor="_Toc80211572" w:history="1">
            <w:r w:rsidRPr="00E65F6A">
              <w:rPr>
                <w:rStyle w:val="Hyperlink"/>
                <w:rFonts w:cstheme="minorHAnsi"/>
                <w:noProof/>
              </w:rPr>
              <w:t>Part A: Justification</w:t>
            </w:r>
            <w:r>
              <w:rPr>
                <w:noProof/>
                <w:webHidden/>
              </w:rPr>
              <w:tab/>
            </w:r>
            <w:r>
              <w:rPr>
                <w:noProof/>
                <w:webHidden/>
              </w:rPr>
              <w:fldChar w:fldCharType="begin"/>
            </w:r>
            <w:r>
              <w:rPr>
                <w:noProof/>
                <w:webHidden/>
              </w:rPr>
              <w:instrText xml:space="preserve"> PAGEREF _Toc80211572 \h </w:instrText>
            </w:r>
            <w:r>
              <w:rPr>
                <w:noProof/>
                <w:webHidden/>
              </w:rPr>
              <w:fldChar w:fldCharType="separate"/>
            </w:r>
            <w:r>
              <w:rPr>
                <w:noProof/>
                <w:webHidden/>
              </w:rPr>
              <w:t>i</w:t>
            </w:r>
            <w:r>
              <w:rPr>
                <w:noProof/>
                <w:webHidden/>
              </w:rPr>
              <w:fldChar w:fldCharType="end"/>
            </w:r>
          </w:hyperlink>
        </w:p>
        <w:p w:rsidR="00D47759" w14:paraId="0EC73456" w14:textId="77777777">
          <w:pPr>
            <w:pStyle w:val="TOC2"/>
            <w:rPr>
              <w:rFonts w:eastAsiaTheme="minorEastAsia"/>
              <w:noProof/>
              <w:color w:val="auto"/>
            </w:rPr>
          </w:pPr>
          <w:hyperlink w:anchor="_Toc80211573" w:history="1">
            <w:r w:rsidRPr="00E65F6A">
              <w:rPr>
                <w:rStyle w:val="Hyperlink"/>
                <w:rFonts w:cstheme="minorHAnsi"/>
                <w:noProof/>
              </w:rPr>
              <w:t>A.1. Legal Justification</w:t>
            </w:r>
            <w:r>
              <w:rPr>
                <w:noProof/>
                <w:webHidden/>
              </w:rPr>
              <w:tab/>
            </w:r>
            <w:r>
              <w:rPr>
                <w:noProof/>
                <w:webHidden/>
              </w:rPr>
              <w:fldChar w:fldCharType="begin"/>
            </w:r>
            <w:r>
              <w:rPr>
                <w:noProof/>
                <w:webHidden/>
              </w:rPr>
              <w:instrText xml:space="preserve"> PAGEREF _Toc80211573 \h </w:instrText>
            </w:r>
            <w:r>
              <w:rPr>
                <w:noProof/>
                <w:webHidden/>
              </w:rPr>
              <w:fldChar w:fldCharType="separate"/>
            </w:r>
            <w:r>
              <w:rPr>
                <w:noProof/>
                <w:webHidden/>
              </w:rPr>
              <w:t>2</w:t>
            </w:r>
            <w:r>
              <w:rPr>
                <w:noProof/>
                <w:webHidden/>
              </w:rPr>
              <w:fldChar w:fldCharType="end"/>
            </w:r>
          </w:hyperlink>
        </w:p>
        <w:p w:rsidR="00D47759" w14:paraId="0B2F7D0B" w14:textId="77777777">
          <w:pPr>
            <w:pStyle w:val="TOC2"/>
            <w:rPr>
              <w:rFonts w:eastAsiaTheme="minorEastAsia"/>
              <w:noProof/>
              <w:color w:val="auto"/>
            </w:rPr>
          </w:pPr>
          <w:hyperlink w:anchor="_Toc80211574" w:history="1">
            <w:r w:rsidRPr="00E65F6A">
              <w:rPr>
                <w:rStyle w:val="Hyperlink"/>
                <w:rFonts w:cstheme="minorHAnsi"/>
                <w:noProof/>
              </w:rPr>
              <w:t>A.2. Needs and Uses of Data</w:t>
            </w:r>
            <w:r>
              <w:rPr>
                <w:noProof/>
                <w:webHidden/>
              </w:rPr>
              <w:tab/>
            </w:r>
            <w:r>
              <w:rPr>
                <w:noProof/>
                <w:webHidden/>
              </w:rPr>
              <w:fldChar w:fldCharType="begin"/>
            </w:r>
            <w:r>
              <w:rPr>
                <w:noProof/>
                <w:webHidden/>
              </w:rPr>
              <w:instrText xml:space="preserve"> PAGEREF _Toc80211574 \h </w:instrText>
            </w:r>
            <w:r>
              <w:rPr>
                <w:noProof/>
                <w:webHidden/>
              </w:rPr>
              <w:fldChar w:fldCharType="separate"/>
            </w:r>
            <w:r>
              <w:rPr>
                <w:noProof/>
                <w:webHidden/>
              </w:rPr>
              <w:t>2</w:t>
            </w:r>
            <w:r>
              <w:rPr>
                <w:noProof/>
                <w:webHidden/>
              </w:rPr>
              <w:fldChar w:fldCharType="end"/>
            </w:r>
          </w:hyperlink>
        </w:p>
        <w:p w:rsidR="00D47759" w14:paraId="37DCD282" w14:textId="77777777">
          <w:pPr>
            <w:pStyle w:val="TOC2"/>
            <w:rPr>
              <w:rFonts w:eastAsiaTheme="minorEastAsia"/>
              <w:noProof/>
              <w:color w:val="auto"/>
            </w:rPr>
          </w:pPr>
          <w:hyperlink w:anchor="_Toc80211575" w:history="1">
            <w:r w:rsidRPr="00E65F6A">
              <w:rPr>
                <w:rStyle w:val="Hyperlink"/>
                <w:rFonts w:cstheme="minorHAnsi"/>
                <w:noProof/>
              </w:rPr>
              <w:t>A.3. Use of Technology</w:t>
            </w:r>
            <w:r>
              <w:rPr>
                <w:noProof/>
                <w:webHidden/>
              </w:rPr>
              <w:tab/>
            </w:r>
            <w:r>
              <w:rPr>
                <w:noProof/>
                <w:webHidden/>
              </w:rPr>
              <w:fldChar w:fldCharType="begin"/>
            </w:r>
            <w:r>
              <w:rPr>
                <w:noProof/>
                <w:webHidden/>
              </w:rPr>
              <w:instrText xml:space="preserve"> PAGEREF _Toc80211575 \h </w:instrText>
            </w:r>
            <w:r>
              <w:rPr>
                <w:noProof/>
                <w:webHidden/>
              </w:rPr>
              <w:fldChar w:fldCharType="separate"/>
            </w:r>
            <w:r>
              <w:rPr>
                <w:noProof/>
                <w:webHidden/>
              </w:rPr>
              <w:t>6</w:t>
            </w:r>
            <w:r>
              <w:rPr>
                <w:noProof/>
                <w:webHidden/>
              </w:rPr>
              <w:fldChar w:fldCharType="end"/>
            </w:r>
          </w:hyperlink>
        </w:p>
        <w:p w:rsidR="00D47759" w14:paraId="2D8491F4" w14:textId="77777777">
          <w:pPr>
            <w:pStyle w:val="TOC2"/>
            <w:rPr>
              <w:rFonts w:eastAsiaTheme="minorEastAsia"/>
              <w:noProof/>
              <w:color w:val="auto"/>
            </w:rPr>
          </w:pPr>
          <w:hyperlink w:anchor="_Toc80211576" w:history="1">
            <w:r w:rsidRPr="00E65F6A">
              <w:rPr>
                <w:rStyle w:val="Hyperlink"/>
                <w:rFonts w:cstheme="minorHAnsi"/>
                <w:noProof/>
              </w:rPr>
              <w:t>A.4. Efforts to Identify Duplication</w:t>
            </w:r>
            <w:r>
              <w:rPr>
                <w:noProof/>
                <w:webHidden/>
              </w:rPr>
              <w:tab/>
            </w:r>
            <w:r>
              <w:rPr>
                <w:noProof/>
                <w:webHidden/>
              </w:rPr>
              <w:fldChar w:fldCharType="begin"/>
            </w:r>
            <w:r>
              <w:rPr>
                <w:noProof/>
                <w:webHidden/>
              </w:rPr>
              <w:instrText xml:space="preserve"> PAGEREF _Toc80211576 \h </w:instrText>
            </w:r>
            <w:r>
              <w:rPr>
                <w:noProof/>
                <w:webHidden/>
              </w:rPr>
              <w:fldChar w:fldCharType="separate"/>
            </w:r>
            <w:r>
              <w:rPr>
                <w:noProof/>
                <w:webHidden/>
              </w:rPr>
              <w:t>6</w:t>
            </w:r>
            <w:r>
              <w:rPr>
                <w:noProof/>
                <w:webHidden/>
              </w:rPr>
              <w:fldChar w:fldCharType="end"/>
            </w:r>
          </w:hyperlink>
        </w:p>
        <w:p w:rsidR="00D47759" w14:paraId="51E0177B" w14:textId="77777777">
          <w:pPr>
            <w:pStyle w:val="TOC2"/>
            <w:rPr>
              <w:rFonts w:eastAsiaTheme="minorEastAsia"/>
              <w:noProof/>
              <w:color w:val="auto"/>
            </w:rPr>
          </w:pPr>
          <w:hyperlink w:anchor="_Toc80211577" w:history="1">
            <w:r w:rsidRPr="00E65F6A">
              <w:rPr>
                <w:rStyle w:val="Hyperlink"/>
                <w:rFonts w:cstheme="minorHAnsi"/>
                <w:noProof/>
              </w:rPr>
              <w:t>A.5. Provisions for Reducing Burden on Small Businesses</w:t>
            </w:r>
            <w:r>
              <w:rPr>
                <w:noProof/>
                <w:webHidden/>
              </w:rPr>
              <w:tab/>
            </w:r>
            <w:r>
              <w:rPr>
                <w:noProof/>
                <w:webHidden/>
              </w:rPr>
              <w:fldChar w:fldCharType="begin"/>
            </w:r>
            <w:r>
              <w:rPr>
                <w:noProof/>
                <w:webHidden/>
              </w:rPr>
              <w:instrText xml:space="preserve"> PAGEREF _Toc80211577 \h </w:instrText>
            </w:r>
            <w:r>
              <w:rPr>
                <w:noProof/>
                <w:webHidden/>
              </w:rPr>
              <w:fldChar w:fldCharType="separate"/>
            </w:r>
            <w:r>
              <w:rPr>
                <w:noProof/>
                <w:webHidden/>
              </w:rPr>
              <w:t>6</w:t>
            </w:r>
            <w:r>
              <w:rPr>
                <w:noProof/>
                <w:webHidden/>
              </w:rPr>
              <w:fldChar w:fldCharType="end"/>
            </w:r>
          </w:hyperlink>
        </w:p>
        <w:p w:rsidR="00D47759" w14:paraId="1CF19B5C" w14:textId="77777777">
          <w:pPr>
            <w:pStyle w:val="TOC2"/>
            <w:rPr>
              <w:rFonts w:eastAsiaTheme="minorEastAsia"/>
              <w:noProof/>
              <w:color w:val="auto"/>
            </w:rPr>
          </w:pPr>
          <w:hyperlink w:anchor="_Toc80211578" w:history="1">
            <w:r w:rsidRPr="00E65F6A">
              <w:rPr>
                <w:rStyle w:val="Hyperlink"/>
                <w:rFonts w:cstheme="minorHAnsi"/>
                <w:noProof/>
              </w:rPr>
              <w:t>A.6. Consequences of Less-Frequent Reporting</w:t>
            </w:r>
            <w:r>
              <w:rPr>
                <w:noProof/>
                <w:webHidden/>
              </w:rPr>
              <w:tab/>
            </w:r>
            <w:r>
              <w:rPr>
                <w:noProof/>
                <w:webHidden/>
              </w:rPr>
              <w:fldChar w:fldCharType="begin"/>
            </w:r>
            <w:r>
              <w:rPr>
                <w:noProof/>
                <w:webHidden/>
              </w:rPr>
              <w:instrText xml:space="preserve"> PAGEREF _Toc80211578 \h </w:instrText>
            </w:r>
            <w:r>
              <w:rPr>
                <w:noProof/>
                <w:webHidden/>
              </w:rPr>
              <w:fldChar w:fldCharType="separate"/>
            </w:r>
            <w:r>
              <w:rPr>
                <w:noProof/>
                <w:webHidden/>
              </w:rPr>
              <w:t>6</w:t>
            </w:r>
            <w:r>
              <w:rPr>
                <w:noProof/>
                <w:webHidden/>
              </w:rPr>
              <w:fldChar w:fldCharType="end"/>
            </w:r>
          </w:hyperlink>
        </w:p>
        <w:p w:rsidR="00D47759" w14:paraId="7BE1CB72" w14:textId="77777777">
          <w:pPr>
            <w:pStyle w:val="TOC2"/>
            <w:rPr>
              <w:rFonts w:eastAsiaTheme="minorEastAsia"/>
              <w:noProof/>
              <w:color w:val="auto"/>
            </w:rPr>
          </w:pPr>
          <w:hyperlink w:anchor="_Toc80211579" w:history="1">
            <w:r w:rsidRPr="00E65F6A">
              <w:rPr>
                <w:rStyle w:val="Hyperlink"/>
                <w:rFonts w:cstheme="minorHAnsi"/>
                <w:noProof/>
              </w:rPr>
              <w:t>A.7. Compliance with 5 CFR 1320.5</w:t>
            </w:r>
            <w:r>
              <w:rPr>
                <w:noProof/>
                <w:webHidden/>
              </w:rPr>
              <w:tab/>
            </w:r>
            <w:r>
              <w:rPr>
                <w:noProof/>
                <w:webHidden/>
              </w:rPr>
              <w:fldChar w:fldCharType="begin"/>
            </w:r>
            <w:r>
              <w:rPr>
                <w:noProof/>
                <w:webHidden/>
              </w:rPr>
              <w:instrText xml:space="preserve"> PAGEREF _Toc80211579 \h </w:instrText>
            </w:r>
            <w:r>
              <w:rPr>
                <w:noProof/>
                <w:webHidden/>
              </w:rPr>
              <w:fldChar w:fldCharType="separate"/>
            </w:r>
            <w:r>
              <w:rPr>
                <w:noProof/>
                <w:webHidden/>
              </w:rPr>
              <w:t>6</w:t>
            </w:r>
            <w:r>
              <w:rPr>
                <w:noProof/>
                <w:webHidden/>
              </w:rPr>
              <w:fldChar w:fldCharType="end"/>
            </w:r>
          </w:hyperlink>
        </w:p>
        <w:p w:rsidR="00D47759" w14:paraId="2046C901" w14:textId="77777777">
          <w:pPr>
            <w:pStyle w:val="TOC2"/>
            <w:rPr>
              <w:rFonts w:eastAsiaTheme="minorEastAsia"/>
              <w:noProof/>
              <w:color w:val="auto"/>
            </w:rPr>
          </w:pPr>
          <w:hyperlink w:anchor="_Toc80211580" w:history="1">
            <w:r w:rsidRPr="00E65F6A">
              <w:rPr>
                <w:rStyle w:val="Hyperlink"/>
                <w:rFonts w:cstheme="minorHAnsi"/>
                <w:noProof/>
              </w:rPr>
              <w:t>A.8. Summary of Consultations Outside of the Agency</w:t>
            </w:r>
            <w:r>
              <w:rPr>
                <w:noProof/>
                <w:webHidden/>
              </w:rPr>
              <w:tab/>
            </w:r>
            <w:r>
              <w:rPr>
                <w:noProof/>
                <w:webHidden/>
              </w:rPr>
              <w:fldChar w:fldCharType="begin"/>
            </w:r>
            <w:r>
              <w:rPr>
                <w:noProof/>
                <w:webHidden/>
              </w:rPr>
              <w:instrText xml:space="preserve"> PAGEREF _Toc80211580 \h </w:instrText>
            </w:r>
            <w:r>
              <w:rPr>
                <w:noProof/>
                <w:webHidden/>
              </w:rPr>
              <w:fldChar w:fldCharType="separate"/>
            </w:r>
            <w:r>
              <w:rPr>
                <w:noProof/>
                <w:webHidden/>
              </w:rPr>
              <w:t>7</w:t>
            </w:r>
            <w:r>
              <w:rPr>
                <w:noProof/>
                <w:webHidden/>
              </w:rPr>
              <w:fldChar w:fldCharType="end"/>
            </w:r>
          </w:hyperlink>
        </w:p>
        <w:p w:rsidR="00D47759" w14:paraId="5699F71D" w14:textId="77777777">
          <w:pPr>
            <w:pStyle w:val="TOC2"/>
            <w:rPr>
              <w:rFonts w:eastAsiaTheme="minorEastAsia"/>
              <w:noProof/>
              <w:color w:val="auto"/>
            </w:rPr>
          </w:pPr>
          <w:hyperlink w:anchor="_Toc80211581" w:history="1">
            <w:r w:rsidRPr="00E65F6A">
              <w:rPr>
                <w:rStyle w:val="Hyperlink"/>
                <w:rFonts w:cstheme="minorHAnsi"/>
                <w:noProof/>
              </w:rPr>
              <w:t>A.9. Payments or Gifts to Respondents</w:t>
            </w:r>
            <w:r>
              <w:rPr>
                <w:noProof/>
                <w:webHidden/>
              </w:rPr>
              <w:tab/>
            </w:r>
            <w:r>
              <w:rPr>
                <w:noProof/>
                <w:webHidden/>
              </w:rPr>
              <w:fldChar w:fldCharType="begin"/>
            </w:r>
            <w:r>
              <w:rPr>
                <w:noProof/>
                <w:webHidden/>
              </w:rPr>
              <w:instrText xml:space="preserve"> PAGEREF _Toc80211581 \h </w:instrText>
            </w:r>
            <w:r>
              <w:rPr>
                <w:noProof/>
                <w:webHidden/>
              </w:rPr>
              <w:fldChar w:fldCharType="separate"/>
            </w:r>
            <w:r>
              <w:rPr>
                <w:noProof/>
                <w:webHidden/>
              </w:rPr>
              <w:t>8</w:t>
            </w:r>
            <w:r>
              <w:rPr>
                <w:noProof/>
                <w:webHidden/>
              </w:rPr>
              <w:fldChar w:fldCharType="end"/>
            </w:r>
          </w:hyperlink>
        </w:p>
        <w:p w:rsidR="00D47759" w14:paraId="6BAA05E0" w14:textId="77777777">
          <w:pPr>
            <w:pStyle w:val="TOC2"/>
            <w:rPr>
              <w:rFonts w:eastAsiaTheme="minorEastAsia"/>
              <w:noProof/>
              <w:color w:val="auto"/>
            </w:rPr>
          </w:pPr>
          <w:hyperlink w:anchor="_Toc80211582" w:history="1">
            <w:r w:rsidRPr="00E65F6A">
              <w:rPr>
                <w:rStyle w:val="Hyperlink"/>
                <w:rFonts w:cstheme="minorHAnsi"/>
                <w:noProof/>
              </w:rPr>
              <w:t>A.10. Provisions for Protection of Information</w:t>
            </w:r>
            <w:r>
              <w:rPr>
                <w:noProof/>
                <w:webHidden/>
              </w:rPr>
              <w:tab/>
            </w:r>
            <w:r>
              <w:rPr>
                <w:noProof/>
                <w:webHidden/>
              </w:rPr>
              <w:fldChar w:fldCharType="begin"/>
            </w:r>
            <w:r>
              <w:rPr>
                <w:noProof/>
                <w:webHidden/>
              </w:rPr>
              <w:instrText xml:space="preserve"> PAGEREF _Toc80211582 \h </w:instrText>
            </w:r>
            <w:r>
              <w:rPr>
                <w:noProof/>
                <w:webHidden/>
              </w:rPr>
              <w:fldChar w:fldCharType="separate"/>
            </w:r>
            <w:r>
              <w:rPr>
                <w:noProof/>
                <w:webHidden/>
              </w:rPr>
              <w:t>8</w:t>
            </w:r>
            <w:r>
              <w:rPr>
                <w:noProof/>
                <w:webHidden/>
              </w:rPr>
              <w:fldChar w:fldCharType="end"/>
            </w:r>
          </w:hyperlink>
        </w:p>
        <w:p w:rsidR="00D47759" w14:paraId="74B04341" w14:textId="77777777">
          <w:pPr>
            <w:pStyle w:val="TOC2"/>
            <w:rPr>
              <w:rFonts w:eastAsiaTheme="minorEastAsia"/>
              <w:noProof/>
              <w:color w:val="auto"/>
            </w:rPr>
          </w:pPr>
          <w:hyperlink w:anchor="_Toc80211583" w:history="1">
            <w:r w:rsidRPr="00E65F6A">
              <w:rPr>
                <w:rStyle w:val="Hyperlink"/>
                <w:rFonts w:cstheme="minorHAnsi"/>
                <w:noProof/>
              </w:rPr>
              <w:t>A.11. Justification for Sensitive Questions</w:t>
            </w:r>
            <w:r>
              <w:rPr>
                <w:noProof/>
                <w:webHidden/>
              </w:rPr>
              <w:tab/>
            </w:r>
            <w:r>
              <w:rPr>
                <w:noProof/>
                <w:webHidden/>
              </w:rPr>
              <w:fldChar w:fldCharType="begin"/>
            </w:r>
            <w:r>
              <w:rPr>
                <w:noProof/>
                <w:webHidden/>
              </w:rPr>
              <w:instrText xml:space="preserve"> PAGEREF _Toc80211583 \h </w:instrText>
            </w:r>
            <w:r>
              <w:rPr>
                <w:noProof/>
                <w:webHidden/>
              </w:rPr>
              <w:fldChar w:fldCharType="separate"/>
            </w:r>
            <w:r>
              <w:rPr>
                <w:noProof/>
                <w:webHidden/>
              </w:rPr>
              <w:t>8</w:t>
            </w:r>
            <w:r>
              <w:rPr>
                <w:noProof/>
                <w:webHidden/>
              </w:rPr>
              <w:fldChar w:fldCharType="end"/>
            </w:r>
          </w:hyperlink>
        </w:p>
        <w:p w:rsidR="00D47759" w14:paraId="29110F93" w14:textId="77777777">
          <w:pPr>
            <w:pStyle w:val="TOC2"/>
            <w:rPr>
              <w:rFonts w:eastAsiaTheme="minorEastAsia"/>
              <w:noProof/>
              <w:color w:val="auto"/>
            </w:rPr>
          </w:pPr>
          <w:hyperlink w:anchor="_Toc80211584" w:history="1">
            <w:r w:rsidRPr="00E65F6A">
              <w:rPr>
                <w:rStyle w:val="Hyperlink"/>
                <w:rFonts w:cstheme="minorHAnsi"/>
                <w:noProof/>
              </w:rPr>
              <w:t>A.12A. Estimate of Respondent Burden Hours</w:t>
            </w:r>
            <w:r>
              <w:rPr>
                <w:noProof/>
                <w:webHidden/>
              </w:rPr>
              <w:tab/>
            </w:r>
            <w:r>
              <w:rPr>
                <w:noProof/>
                <w:webHidden/>
              </w:rPr>
              <w:fldChar w:fldCharType="begin"/>
            </w:r>
            <w:r>
              <w:rPr>
                <w:noProof/>
                <w:webHidden/>
              </w:rPr>
              <w:instrText xml:space="preserve"> PAGEREF _Toc80211584 \h </w:instrText>
            </w:r>
            <w:r>
              <w:rPr>
                <w:noProof/>
                <w:webHidden/>
              </w:rPr>
              <w:fldChar w:fldCharType="separate"/>
            </w:r>
            <w:r>
              <w:rPr>
                <w:noProof/>
                <w:webHidden/>
              </w:rPr>
              <w:t>8</w:t>
            </w:r>
            <w:r>
              <w:rPr>
                <w:noProof/>
                <w:webHidden/>
              </w:rPr>
              <w:fldChar w:fldCharType="end"/>
            </w:r>
          </w:hyperlink>
        </w:p>
        <w:p w:rsidR="00D47759" w14:paraId="0E8F30BB" w14:textId="77777777">
          <w:pPr>
            <w:pStyle w:val="TOC2"/>
            <w:rPr>
              <w:rFonts w:eastAsiaTheme="minorEastAsia"/>
              <w:noProof/>
              <w:color w:val="auto"/>
            </w:rPr>
          </w:pPr>
          <w:hyperlink w:anchor="_Toc80211585" w:history="1">
            <w:r w:rsidRPr="00E65F6A">
              <w:rPr>
                <w:rStyle w:val="Hyperlink"/>
                <w:rFonts w:cstheme="minorHAnsi"/>
                <w:noProof/>
              </w:rPr>
              <w:t>A.12B. Estimate of Annual Cost to Respondent for Burden Hours</w:t>
            </w:r>
            <w:r>
              <w:rPr>
                <w:noProof/>
                <w:webHidden/>
              </w:rPr>
              <w:tab/>
            </w:r>
            <w:r>
              <w:rPr>
                <w:noProof/>
                <w:webHidden/>
              </w:rPr>
              <w:fldChar w:fldCharType="begin"/>
            </w:r>
            <w:r>
              <w:rPr>
                <w:noProof/>
                <w:webHidden/>
              </w:rPr>
              <w:instrText xml:space="preserve"> PAGEREF _Toc80211585 \h </w:instrText>
            </w:r>
            <w:r>
              <w:rPr>
                <w:noProof/>
                <w:webHidden/>
              </w:rPr>
              <w:fldChar w:fldCharType="separate"/>
            </w:r>
            <w:r>
              <w:rPr>
                <w:noProof/>
                <w:webHidden/>
              </w:rPr>
              <w:t>9</w:t>
            </w:r>
            <w:r>
              <w:rPr>
                <w:noProof/>
                <w:webHidden/>
              </w:rPr>
              <w:fldChar w:fldCharType="end"/>
            </w:r>
          </w:hyperlink>
        </w:p>
        <w:p w:rsidR="00D47759" w14:paraId="264D1D7F" w14:textId="77777777">
          <w:pPr>
            <w:pStyle w:val="TOC2"/>
            <w:rPr>
              <w:rFonts w:eastAsiaTheme="minorEastAsia"/>
              <w:noProof/>
              <w:color w:val="auto"/>
            </w:rPr>
          </w:pPr>
          <w:hyperlink w:anchor="_Toc80211586" w:history="1">
            <w:r w:rsidRPr="00E65F6A">
              <w:rPr>
                <w:rStyle w:val="Hyperlink"/>
                <w:rFonts w:cstheme="minorHAnsi"/>
                <w:noProof/>
              </w:rPr>
              <w:t>A.13. Other Estimated Annual Cost to Respondents</w:t>
            </w:r>
            <w:r>
              <w:rPr>
                <w:noProof/>
                <w:webHidden/>
              </w:rPr>
              <w:tab/>
            </w:r>
            <w:r>
              <w:rPr>
                <w:noProof/>
                <w:webHidden/>
              </w:rPr>
              <w:fldChar w:fldCharType="begin"/>
            </w:r>
            <w:r>
              <w:rPr>
                <w:noProof/>
                <w:webHidden/>
              </w:rPr>
              <w:instrText xml:space="preserve"> PAGEREF _Toc80211586 \h </w:instrText>
            </w:r>
            <w:r>
              <w:rPr>
                <w:noProof/>
                <w:webHidden/>
              </w:rPr>
              <w:fldChar w:fldCharType="separate"/>
            </w:r>
            <w:r>
              <w:rPr>
                <w:noProof/>
                <w:webHidden/>
              </w:rPr>
              <w:t>9</w:t>
            </w:r>
            <w:r>
              <w:rPr>
                <w:noProof/>
                <w:webHidden/>
              </w:rPr>
              <w:fldChar w:fldCharType="end"/>
            </w:r>
          </w:hyperlink>
        </w:p>
        <w:p w:rsidR="00D47759" w14:paraId="77716760" w14:textId="77777777">
          <w:pPr>
            <w:pStyle w:val="TOC2"/>
            <w:rPr>
              <w:rFonts w:eastAsiaTheme="minorEastAsia"/>
              <w:noProof/>
              <w:color w:val="auto"/>
            </w:rPr>
          </w:pPr>
          <w:hyperlink w:anchor="_Toc80211587" w:history="1">
            <w:r w:rsidRPr="00E65F6A">
              <w:rPr>
                <w:rStyle w:val="Hyperlink"/>
                <w:rFonts w:cstheme="minorHAnsi"/>
                <w:noProof/>
              </w:rPr>
              <w:t>A.14. Annual Cost to the Federal Government</w:t>
            </w:r>
            <w:r>
              <w:rPr>
                <w:noProof/>
                <w:webHidden/>
              </w:rPr>
              <w:tab/>
            </w:r>
            <w:r>
              <w:rPr>
                <w:noProof/>
                <w:webHidden/>
              </w:rPr>
              <w:fldChar w:fldCharType="begin"/>
            </w:r>
            <w:r>
              <w:rPr>
                <w:noProof/>
                <w:webHidden/>
              </w:rPr>
              <w:instrText xml:space="preserve"> PAGEREF _Toc80211587 \h </w:instrText>
            </w:r>
            <w:r>
              <w:rPr>
                <w:noProof/>
                <w:webHidden/>
              </w:rPr>
              <w:fldChar w:fldCharType="separate"/>
            </w:r>
            <w:r>
              <w:rPr>
                <w:noProof/>
                <w:webHidden/>
              </w:rPr>
              <w:t>9</w:t>
            </w:r>
            <w:r>
              <w:rPr>
                <w:noProof/>
                <w:webHidden/>
              </w:rPr>
              <w:fldChar w:fldCharType="end"/>
            </w:r>
          </w:hyperlink>
        </w:p>
        <w:p w:rsidR="00D47759" w14:paraId="5497D0B3" w14:textId="77777777">
          <w:pPr>
            <w:pStyle w:val="TOC2"/>
            <w:rPr>
              <w:rFonts w:eastAsiaTheme="minorEastAsia"/>
              <w:noProof/>
              <w:color w:val="auto"/>
            </w:rPr>
          </w:pPr>
          <w:hyperlink w:anchor="_Toc80211588" w:history="1">
            <w:r w:rsidRPr="00E65F6A">
              <w:rPr>
                <w:rStyle w:val="Hyperlink"/>
                <w:rFonts w:cstheme="minorHAnsi"/>
                <w:noProof/>
              </w:rPr>
              <w:t>A.15. Reasons for Changes in Burden</w:t>
            </w:r>
            <w:r>
              <w:rPr>
                <w:noProof/>
                <w:webHidden/>
              </w:rPr>
              <w:tab/>
            </w:r>
            <w:r>
              <w:rPr>
                <w:noProof/>
                <w:webHidden/>
              </w:rPr>
              <w:fldChar w:fldCharType="begin"/>
            </w:r>
            <w:r>
              <w:rPr>
                <w:noProof/>
                <w:webHidden/>
              </w:rPr>
              <w:instrText xml:space="preserve"> PAGEREF _Toc80211588 \h </w:instrText>
            </w:r>
            <w:r>
              <w:rPr>
                <w:noProof/>
                <w:webHidden/>
              </w:rPr>
              <w:fldChar w:fldCharType="separate"/>
            </w:r>
            <w:r>
              <w:rPr>
                <w:noProof/>
                <w:webHidden/>
              </w:rPr>
              <w:t>10</w:t>
            </w:r>
            <w:r>
              <w:rPr>
                <w:noProof/>
                <w:webHidden/>
              </w:rPr>
              <w:fldChar w:fldCharType="end"/>
            </w:r>
          </w:hyperlink>
        </w:p>
        <w:p w:rsidR="00D47759" w14:paraId="5F2E428F" w14:textId="77777777">
          <w:pPr>
            <w:pStyle w:val="TOC2"/>
            <w:rPr>
              <w:rFonts w:eastAsiaTheme="minorEastAsia"/>
              <w:noProof/>
              <w:color w:val="auto"/>
            </w:rPr>
          </w:pPr>
          <w:hyperlink w:anchor="_Toc80211589" w:history="1">
            <w:r w:rsidRPr="00E65F6A">
              <w:rPr>
                <w:rStyle w:val="Hyperlink"/>
                <w:rFonts w:cstheme="minorHAnsi"/>
                <w:noProof/>
              </w:rPr>
              <w:t>A.16. Collection, Tabulation, and Publication Plans</w:t>
            </w:r>
            <w:r>
              <w:rPr>
                <w:noProof/>
                <w:webHidden/>
              </w:rPr>
              <w:tab/>
            </w:r>
            <w:r>
              <w:rPr>
                <w:noProof/>
                <w:webHidden/>
              </w:rPr>
              <w:fldChar w:fldCharType="begin"/>
            </w:r>
            <w:r>
              <w:rPr>
                <w:noProof/>
                <w:webHidden/>
              </w:rPr>
              <w:instrText xml:space="preserve"> PAGEREF _Toc80211589 \h </w:instrText>
            </w:r>
            <w:r>
              <w:rPr>
                <w:noProof/>
                <w:webHidden/>
              </w:rPr>
              <w:fldChar w:fldCharType="separate"/>
            </w:r>
            <w:r>
              <w:rPr>
                <w:noProof/>
                <w:webHidden/>
              </w:rPr>
              <w:t>10</w:t>
            </w:r>
            <w:r>
              <w:rPr>
                <w:noProof/>
                <w:webHidden/>
              </w:rPr>
              <w:fldChar w:fldCharType="end"/>
            </w:r>
          </w:hyperlink>
        </w:p>
        <w:p w:rsidR="00D47759" w14:paraId="0CBC587F" w14:textId="77777777">
          <w:pPr>
            <w:pStyle w:val="TOC2"/>
            <w:rPr>
              <w:rFonts w:eastAsiaTheme="minorEastAsia"/>
              <w:noProof/>
              <w:color w:val="auto"/>
            </w:rPr>
          </w:pPr>
          <w:hyperlink w:anchor="_Toc80211590" w:history="1">
            <w:r w:rsidRPr="00E65F6A">
              <w:rPr>
                <w:rStyle w:val="Hyperlink"/>
                <w:rFonts w:cstheme="minorHAnsi"/>
                <w:noProof/>
              </w:rPr>
              <w:t>A.17. OMB Number and Expiration Date</w:t>
            </w:r>
            <w:r>
              <w:rPr>
                <w:noProof/>
                <w:webHidden/>
              </w:rPr>
              <w:tab/>
            </w:r>
            <w:r>
              <w:rPr>
                <w:noProof/>
                <w:webHidden/>
              </w:rPr>
              <w:fldChar w:fldCharType="begin"/>
            </w:r>
            <w:r>
              <w:rPr>
                <w:noProof/>
                <w:webHidden/>
              </w:rPr>
              <w:instrText xml:space="preserve"> PAGEREF _Toc80211590 \h </w:instrText>
            </w:r>
            <w:r>
              <w:rPr>
                <w:noProof/>
                <w:webHidden/>
              </w:rPr>
              <w:fldChar w:fldCharType="separate"/>
            </w:r>
            <w:r>
              <w:rPr>
                <w:noProof/>
                <w:webHidden/>
              </w:rPr>
              <w:t>10</w:t>
            </w:r>
            <w:r>
              <w:rPr>
                <w:noProof/>
                <w:webHidden/>
              </w:rPr>
              <w:fldChar w:fldCharType="end"/>
            </w:r>
          </w:hyperlink>
        </w:p>
        <w:p w:rsidR="00D47759" w14:paraId="309BACDF" w14:textId="77777777">
          <w:pPr>
            <w:pStyle w:val="TOC2"/>
            <w:rPr>
              <w:rFonts w:eastAsiaTheme="minorEastAsia"/>
              <w:noProof/>
              <w:color w:val="auto"/>
            </w:rPr>
          </w:pPr>
          <w:hyperlink w:anchor="_Toc80211591" w:history="1">
            <w:r w:rsidRPr="00E65F6A">
              <w:rPr>
                <w:rStyle w:val="Hyperlink"/>
                <w:rFonts w:cstheme="minorHAnsi"/>
                <w:noProof/>
              </w:rPr>
              <w:t>A.18. Certification Statement</w:t>
            </w:r>
            <w:r>
              <w:rPr>
                <w:noProof/>
                <w:webHidden/>
              </w:rPr>
              <w:tab/>
            </w:r>
            <w:r>
              <w:rPr>
                <w:noProof/>
                <w:webHidden/>
              </w:rPr>
              <w:fldChar w:fldCharType="begin"/>
            </w:r>
            <w:r>
              <w:rPr>
                <w:noProof/>
                <w:webHidden/>
              </w:rPr>
              <w:instrText xml:space="preserve"> PAGEREF _Toc80211591 \h </w:instrText>
            </w:r>
            <w:r>
              <w:rPr>
                <w:noProof/>
                <w:webHidden/>
              </w:rPr>
              <w:fldChar w:fldCharType="separate"/>
            </w:r>
            <w:r>
              <w:rPr>
                <w:noProof/>
                <w:webHidden/>
              </w:rPr>
              <w:t>10</w:t>
            </w:r>
            <w:r>
              <w:rPr>
                <w:noProof/>
                <w:webHidden/>
              </w:rPr>
              <w:fldChar w:fldCharType="end"/>
            </w:r>
          </w:hyperlink>
        </w:p>
        <w:p w:rsidR="0059212D" w:rsidRPr="008645A9" w14:paraId="5F43AB58" w14:textId="77777777">
          <w:pPr>
            <w:rPr>
              <w:rFonts w:cstheme="minorHAnsi"/>
            </w:rPr>
          </w:pPr>
          <w:r w:rsidRPr="008645A9">
            <w:rPr>
              <w:rFonts w:cstheme="minorHAnsi"/>
              <w:b/>
              <w:bCs/>
              <w:noProof/>
            </w:rPr>
            <w:fldChar w:fldCharType="end"/>
          </w:r>
        </w:p>
      </w:sdtContent>
    </w:sdt>
    <w:p w:rsidR="001F3A8F" w:rsidRPr="008645A9" w:rsidP="00D928FD" w14:paraId="421141FC" w14:textId="77777777">
      <w:pPr>
        <w:rPr>
          <w:rFonts w:cstheme="minorHAnsi"/>
        </w:rPr>
      </w:pPr>
    </w:p>
    <w:p w:rsidR="00D928FD" w:rsidRPr="008645A9" w:rsidP="00D928FD" w14:paraId="2B1D336B" w14:textId="77777777">
      <w:pPr>
        <w:rPr>
          <w:rFonts w:cstheme="minorHAnsi"/>
        </w:rPr>
        <w:sectPr w:rsidSect="00725453">
          <w:footerReference w:type="first" r:id="rId13"/>
          <w:footnotePr>
            <w:pos w:val="beneathText"/>
          </w:footnotePr>
          <w:type w:val="continuous"/>
          <w:pgSz w:w="12240" w:h="15840" w:orient="portrait"/>
          <w:pgMar w:top="1440" w:right="1440" w:bottom="1440" w:left="1440" w:header="720" w:footer="720" w:gutter="0"/>
          <w:pgNumType w:fmt="lowerRoman" w:start="1"/>
          <w:cols w:space="720"/>
          <w:docGrid w:linePitch="360"/>
        </w:sectPr>
      </w:pPr>
    </w:p>
    <w:p w:rsidR="00933D5D" w:rsidRPr="008645A9" w:rsidP="00836D62" w14:paraId="1A4A65AB" w14:textId="77777777">
      <w:pPr>
        <w:spacing w:line="240" w:lineRule="auto"/>
        <w:rPr>
          <w:rFonts w:cstheme="minorHAnsi"/>
        </w:rPr>
      </w:pPr>
    </w:p>
    <w:p w:rsidR="00933D5D" w:rsidRPr="008645A9" w:rsidP="00933D5D" w14:paraId="332B03C6" w14:textId="77777777">
      <w:pPr>
        <w:tabs>
          <w:tab w:val="left" w:pos="7365"/>
        </w:tabs>
        <w:rPr>
          <w:rFonts w:cstheme="minorHAnsi"/>
        </w:rPr>
      </w:pPr>
      <w:r w:rsidRPr="008645A9">
        <w:rPr>
          <w:rFonts w:cstheme="minorHAnsi"/>
        </w:rPr>
        <w:tab/>
      </w:r>
    </w:p>
    <w:p w:rsidR="00041909" w:rsidRPr="008645A9" w:rsidP="00933D5D" w14:paraId="143C94AE" w14:textId="77777777">
      <w:pPr>
        <w:tabs>
          <w:tab w:val="left" w:pos="7365"/>
        </w:tabs>
        <w:rPr>
          <w:rFonts w:cstheme="minorHAnsi"/>
        </w:rPr>
        <w:sectPr w:rsidSect="00725453">
          <w:footerReference w:type="first" r:id="rId14"/>
          <w:footnotePr>
            <w:pos w:val="beneathText"/>
          </w:footnotePr>
          <w:type w:val="continuous"/>
          <w:pgSz w:w="12240" w:h="15840" w:orient="portrait"/>
          <w:pgMar w:top="1440" w:right="1440" w:bottom="1440" w:left="1440" w:header="720" w:footer="720" w:gutter="0"/>
          <w:pgNumType w:fmt="lowerRoman"/>
          <w:cols w:space="720"/>
          <w:docGrid w:linePitch="360"/>
        </w:sectPr>
      </w:pPr>
      <w:r w:rsidRPr="008645A9">
        <w:rPr>
          <w:rFonts w:cstheme="minorHAnsi"/>
        </w:rPr>
        <w:tab/>
      </w:r>
    </w:p>
    <w:p w:rsidR="008C734C" w:rsidRPr="008645A9" w:rsidP="008C734C" w14:paraId="73209134" w14:textId="77777777">
      <w:pPr>
        <w:pStyle w:val="Heading2"/>
        <w:rPr>
          <w:rFonts w:cstheme="minorHAnsi"/>
        </w:rPr>
      </w:pPr>
      <w:bookmarkStart w:id="1" w:name="_Toc80211573"/>
      <w:r w:rsidRPr="008645A9">
        <w:rPr>
          <w:rFonts w:cstheme="minorHAnsi"/>
        </w:rPr>
        <w:t>A.1. Legal Justification</w:t>
      </w:r>
      <w:bookmarkEnd w:id="1"/>
    </w:p>
    <w:p w:rsidR="00A41763" w:rsidRPr="008645A9" w:rsidP="00A41763" w14:paraId="436F685C" w14:textId="77777777">
      <w:pPr>
        <w:rPr>
          <w:rFonts w:cstheme="minorHAnsi"/>
        </w:rPr>
      </w:pPr>
      <w:r w:rsidRPr="008645A9">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008D6" w:rsidRPr="008645A9" w:rsidP="004008D6" w14:paraId="24035DA0" w14:textId="77777777">
      <w:pPr>
        <w:rPr>
          <w:rFonts w:cstheme="minorHAnsi"/>
        </w:rPr>
      </w:pPr>
      <w:r w:rsidRPr="008645A9">
        <w:rPr>
          <w:rFonts w:cstheme="minorHAnsi"/>
        </w:rPr>
        <w:t xml:space="preserve">Executive Order 12862 directs Federal agencies to provide service to the public that matches or exceeds the best service available in the private sector.  </w:t>
      </w:r>
      <w:r w:rsidRPr="008645A9" w:rsidR="006D0475">
        <w:rPr>
          <w:rFonts w:cstheme="minorHAnsi"/>
        </w:rPr>
        <w:t>To</w:t>
      </w:r>
      <w:r w:rsidRPr="008645A9">
        <w:rPr>
          <w:rFonts w:cstheme="minorHAnsi"/>
        </w:rPr>
        <w:t xml:space="preserve"> work continuously to ensure that our programs are effective and meet our customers’ needs, DOE seeks to obtain OMB approval of a generic clearance to collect qualitative feedback on our service delivery.  By qualitative feedback, we mean information that provides useful insights on perceptions and </w:t>
      </w:r>
      <w:r w:rsidRPr="008645A9" w:rsidR="006D0475">
        <w:rPr>
          <w:rFonts w:cstheme="minorHAnsi"/>
        </w:rPr>
        <w:t>opinions but</w:t>
      </w:r>
      <w:r w:rsidRPr="008645A9">
        <w:rPr>
          <w:rFonts w:cstheme="minorHAnsi"/>
        </w:rPr>
        <w:t xml:space="preserve"> are not statistical surveys which yield quantitative results that can be generalized to the population of study.</w:t>
      </w:r>
    </w:p>
    <w:p w:rsidR="004008D6" w:rsidRPr="008645A9" w:rsidP="004008D6" w14:paraId="302B928D" w14:textId="77777777">
      <w:pPr>
        <w:rPr>
          <w:rFonts w:cstheme="minorHAnsi"/>
        </w:rPr>
      </w:pPr>
      <w:r w:rsidRPr="008645A9">
        <w:rPr>
          <w:rFonts w:cstheme="minorHAnsi"/>
        </w:rPr>
        <w:t xml:space="preserve">This collection of information is necessary to enable DOE to garner customer and stakeholder feedback in an efficient, timely manner, in accordance with our commitment to improving service delivery.  The information collected from our customers and stakeholders helps ensure that users have an effective, efficient, and satisfying experience with the Department’s programs.  This feedback provides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 between DOE and its customers and stakeholders.  It also allows feedback to contribute directly to the improvement of program management. </w:t>
      </w:r>
    </w:p>
    <w:p w:rsidR="008C734C" w:rsidRPr="008645A9" w:rsidP="008C734C" w14:paraId="12A1F362" w14:textId="77777777">
      <w:pPr>
        <w:pStyle w:val="Heading2"/>
        <w:rPr>
          <w:rFonts w:cstheme="minorHAnsi"/>
        </w:rPr>
      </w:pPr>
      <w:bookmarkStart w:id="2" w:name="_Toc80211574"/>
      <w:r w:rsidRPr="008645A9">
        <w:rPr>
          <w:rFonts w:cstheme="minorHAnsi"/>
        </w:rPr>
        <w:t>A.2. Needs and Uses of Data</w:t>
      </w:r>
      <w:bookmarkEnd w:id="2"/>
    </w:p>
    <w:p w:rsidR="00A41763" w:rsidRPr="008645A9" w:rsidP="00A41763" w14:paraId="6A02A701" w14:textId="77777777">
      <w:pPr>
        <w:rPr>
          <w:rFonts w:cstheme="minorHAnsi"/>
        </w:rPr>
      </w:pPr>
      <w:r w:rsidRPr="008645A9">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4008D6" w:rsidRPr="008645A9" w:rsidP="004008D6" w14:paraId="02CDB83E" w14:textId="77777777">
      <w:pPr>
        <w:rPr>
          <w:rFonts w:cstheme="minorHAnsi"/>
        </w:rPr>
      </w:pPr>
      <w:r w:rsidRPr="008645A9">
        <w:rPr>
          <w:rFonts w:cstheme="minorHAnsi"/>
        </w:rPr>
        <w:t xml:space="preserve">Improving programs require the ongoing assessment of service delivery, by which we mean </w:t>
      </w:r>
      <w:r w:rsidR="006D0475">
        <w:rPr>
          <w:rFonts w:cstheme="minorHAnsi"/>
        </w:rPr>
        <w:t xml:space="preserve">the </w:t>
      </w:r>
      <w:r w:rsidRPr="008645A9">
        <w:rPr>
          <w:rFonts w:cstheme="minorHAnsi"/>
        </w:rPr>
        <w:t>systematic review of the operation of a program compared to a set of explicit or implicit standards, as a means of contributing to the continuous improvement of the program.  DOE will collect, analyze, and interpret information gathered through this generic clearance to identify strengths and weaknesses of current services and make improvements in service delivery based on feedback.  The solicitation of feedback targets areas such as timeliness, appropriateness, accuracy of information, courtesy, efficiency of service delivery, and resolution of issues with service delivery.  Responses are assessed to plan and inform efforts to improve or maintain the quality of service offered to the public.  If this information is not collected, vital feedback from customers and stakeholders on the Agency’s services will be unavailable.</w:t>
      </w:r>
    </w:p>
    <w:p w:rsidR="004008D6" w:rsidRPr="008645A9" w:rsidP="004008D6" w14:paraId="2921E510" w14:textId="77777777">
      <w:pPr>
        <w:rPr>
          <w:rFonts w:cstheme="minorHAnsi"/>
        </w:rPr>
      </w:pPr>
      <w:r w:rsidRPr="008645A9">
        <w:rPr>
          <w:rFonts w:cstheme="minorHAnsi"/>
        </w:rPr>
        <w:t xml:space="preserve">The Agency will only submit a collection for approval under this generic clearance if it meets the following conditions:   </w:t>
      </w:r>
    </w:p>
    <w:p w:rsidR="004008D6" w:rsidRPr="008645A9" w:rsidP="004008D6" w14:paraId="145D55AF" w14:textId="77777777">
      <w:pPr>
        <w:rPr>
          <w:rFonts w:cstheme="minorHAnsi"/>
        </w:rPr>
      </w:pPr>
    </w:p>
    <w:p w:rsidR="004008D6" w:rsidRPr="008645A9" w:rsidP="00BF7A0F" w14:paraId="5BACCDE6" w14:textId="77777777">
      <w:pPr>
        <w:pStyle w:val="ListParagraph"/>
        <w:numPr>
          <w:ilvl w:val="0"/>
          <w:numId w:val="9"/>
        </w:numPr>
        <w:rPr>
          <w:rFonts w:cstheme="minorHAnsi"/>
        </w:rPr>
      </w:pPr>
      <w:r w:rsidRPr="008645A9">
        <w:rPr>
          <w:rFonts w:cstheme="minorHAnsi"/>
        </w:rPr>
        <w:t>Information gathered will be used only internally for general service improvement and program management purposes and is not intended for release outside of the agency (if released, procedures outlined in Question 16 will be followed);</w:t>
      </w:r>
    </w:p>
    <w:p w:rsidR="004008D6" w:rsidRPr="008645A9" w:rsidP="00BF7A0F" w14:paraId="0F63DAA8" w14:textId="77777777">
      <w:pPr>
        <w:pStyle w:val="ListParagraph"/>
        <w:numPr>
          <w:ilvl w:val="0"/>
          <w:numId w:val="10"/>
        </w:numPr>
        <w:rPr>
          <w:rFonts w:cstheme="minorHAnsi"/>
        </w:rPr>
      </w:pPr>
      <w:r w:rsidRPr="008645A9">
        <w:rPr>
          <w:rFonts w:cstheme="minorHAnsi"/>
        </w:rPr>
        <w:t xml:space="preserve">Information gathered will not be used for the purpose of substantially informing influential policy decisions </w:t>
      </w:r>
      <w:r>
        <w:rPr>
          <w:rStyle w:val="FootnoteReference"/>
          <w:rFonts w:cstheme="minorHAnsi"/>
        </w:rPr>
        <w:footnoteReference w:id="2"/>
      </w:r>
      <w:r w:rsidRPr="008645A9">
        <w:rPr>
          <w:rFonts w:cstheme="minorHAnsi"/>
        </w:rPr>
        <w:t>;</w:t>
      </w:r>
    </w:p>
    <w:p w:rsidR="004008D6" w:rsidRPr="008645A9" w:rsidP="00BF7A0F" w14:paraId="04C81A4E" w14:textId="77777777">
      <w:pPr>
        <w:pStyle w:val="ListParagraph"/>
        <w:numPr>
          <w:ilvl w:val="0"/>
          <w:numId w:val="11"/>
        </w:numPr>
        <w:rPr>
          <w:rFonts w:cstheme="minorHAnsi"/>
        </w:rPr>
      </w:pPr>
      <w:r w:rsidRPr="008645A9">
        <w:rPr>
          <w:rFonts w:cstheme="minorHAnsi"/>
        </w:rPr>
        <w:t xml:space="preserve">Information gathered will yield qualitative information - the collections will not be designed or expected to yield statistically reliable results, or used as though the results are generalizable to the population of study;  </w:t>
      </w:r>
    </w:p>
    <w:p w:rsidR="004008D6" w:rsidRPr="008645A9" w:rsidP="00BF7A0F" w14:paraId="0BA5C974" w14:textId="77777777">
      <w:pPr>
        <w:pStyle w:val="ListParagraph"/>
        <w:numPr>
          <w:ilvl w:val="0"/>
          <w:numId w:val="11"/>
        </w:numPr>
        <w:rPr>
          <w:rFonts w:cstheme="minorHAnsi"/>
        </w:rPr>
      </w:pPr>
      <w:r w:rsidRPr="008645A9">
        <w:rPr>
          <w:rFonts w:cstheme="minorHAnsi"/>
        </w:rPr>
        <w:t>The collections are voluntary;</w:t>
      </w:r>
    </w:p>
    <w:p w:rsidR="004008D6" w:rsidRPr="008645A9" w:rsidP="00BF7A0F" w14:paraId="722E1392" w14:textId="77777777">
      <w:pPr>
        <w:pStyle w:val="ListParagraph"/>
        <w:numPr>
          <w:ilvl w:val="0"/>
          <w:numId w:val="11"/>
        </w:numPr>
        <w:rPr>
          <w:rFonts w:cstheme="minorHAnsi"/>
        </w:rPr>
      </w:pPr>
      <w:r w:rsidRPr="008645A9">
        <w:rPr>
          <w:rFonts w:cstheme="minorHAnsi"/>
        </w:rPr>
        <w:t>The collections are low-burden for respondents (based on considerations of total burden hours, total number of respondents, or burden-hours per respondent) and are low-cost for both the respondents and the Federal Government;</w:t>
      </w:r>
    </w:p>
    <w:p w:rsidR="004008D6" w:rsidRPr="008645A9" w:rsidP="00BF7A0F" w14:paraId="6CB1BD39" w14:textId="77777777">
      <w:pPr>
        <w:pStyle w:val="ListParagraph"/>
        <w:numPr>
          <w:ilvl w:val="0"/>
          <w:numId w:val="11"/>
        </w:numPr>
        <w:rPr>
          <w:rFonts w:cstheme="minorHAnsi"/>
        </w:rPr>
      </w:pPr>
      <w:r w:rsidRPr="008645A9">
        <w:rPr>
          <w:rFonts w:cstheme="minorHAnsi"/>
        </w:rPr>
        <w:t xml:space="preserve">The collections are non-controversial and do not raise issues of concern to other Federal agencies; </w:t>
      </w:r>
    </w:p>
    <w:p w:rsidR="004008D6" w:rsidRPr="008645A9" w:rsidP="00BF7A0F" w14:paraId="79B53734" w14:textId="77777777">
      <w:pPr>
        <w:pStyle w:val="ListParagraph"/>
        <w:numPr>
          <w:ilvl w:val="0"/>
          <w:numId w:val="11"/>
        </w:numPr>
        <w:rPr>
          <w:rFonts w:cstheme="minorHAnsi"/>
        </w:rPr>
      </w:pPr>
      <w:r w:rsidRPr="008645A9">
        <w:rPr>
          <w:rFonts w:cstheme="minorHAnsi"/>
        </w:rPr>
        <w:t>Any collection is targeted to the solicitation of opinions from respondents who have experience with the program or may have experience with the program in the near future; and</w:t>
      </w:r>
    </w:p>
    <w:p w:rsidR="004008D6" w:rsidRPr="008645A9" w:rsidP="00BF7A0F" w14:paraId="3813BDB4" w14:textId="77777777">
      <w:pPr>
        <w:pStyle w:val="ListParagraph"/>
        <w:numPr>
          <w:ilvl w:val="0"/>
          <w:numId w:val="11"/>
        </w:numPr>
        <w:rPr>
          <w:rFonts w:cstheme="minorHAnsi"/>
        </w:rPr>
      </w:pPr>
      <w:r w:rsidRPr="008645A9">
        <w:rPr>
          <w:rFonts w:cstheme="minorHAnsi"/>
        </w:rPr>
        <w:t xml:space="preserve">With the exception of information needed to provide remuneration for participants of focus groups and cognitive laboratory studies, personally identifiable information (PII) is collected only to the extent necessary and is not retained. </w:t>
      </w:r>
    </w:p>
    <w:p w:rsidR="004008D6" w:rsidRPr="008645A9" w:rsidP="004008D6" w14:paraId="686166F3" w14:textId="77777777">
      <w:pPr>
        <w:rPr>
          <w:rFonts w:cstheme="minorHAnsi"/>
          <w:sz w:val="24"/>
          <w:szCs w:val="24"/>
        </w:rPr>
      </w:pPr>
      <w:r w:rsidRPr="008645A9">
        <w:rPr>
          <w:rFonts w:cstheme="minorHAnsi"/>
        </w:rPr>
        <w:t xml:space="preserve">If these conditions are not met, DOE will submit an information collection request to OMB for approval through the normal PRA process.  </w:t>
      </w:r>
    </w:p>
    <w:p w:rsidR="004008D6" w:rsidRPr="008645A9" w:rsidP="004008D6" w14:paraId="7BB759D5" w14:textId="77777777">
      <w:pPr>
        <w:rPr>
          <w:rFonts w:cstheme="minorHAnsi"/>
        </w:rPr>
      </w:pPr>
      <w:r w:rsidRPr="008645A9">
        <w:rPr>
          <w:rFonts w:cstheme="minorHAnsi"/>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4008D6" w:rsidRPr="008645A9" w:rsidP="004008D6" w14:paraId="43FE2D40" w14:textId="77777777">
      <w:pPr>
        <w:rPr>
          <w:rFonts w:cstheme="minorHAnsi"/>
        </w:rPr>
      </w:pPr>
      <w:r w:rsidRPr="008645A9">
        <w:rPr>
          <w:rFonts w:cstheme="minorHAnsi"/>
        </w:rPr>
        <w:t>The types of collections that this generic clearance covers include, but are not limited to:</w:t>
      </w:r>
    </w:p>
    <w:p w:rsidR="004008D6" w:rsidRPr="00D47759" w:rsidP="00CA63C2" w14:paraId="091AC73F" w14:textId="77777777">
      <w:pPr>
        <w:pStyle w:val="ListParagraph"/>
        <w:numPr>
          <w:ilvl w:val="0"/>
          <w:numId w:val="12"/>
        </w:numPr>
        <w:rPr>
          <w:rFonts w:cstheme="minorHAnsi"/>
        </w:rPr>
      </w:pPr>
      <w:r w:rsidRPr="00D47759">
        <w:rPr>
          <w:rFonts w:cstheme="minorHAnsi"/>
        </w:rPr>
        <w:t>Customer comment cards/complaint forms;</w:t>
      </w:r>
    </w:p>
    <w:p w:rsidR="004008D6" w:rsidRPr="00D47759" w:rsidP="00CA63C2" w14:paraId="635A6AF1" w14:textId="77777777">
      <w:pPr>
        <w:pStyle w:val="ListParagraph"/>
        <w:numPr>
          <w:ilvl w:val="0"/>
          <w:numId w:val="12"/>
        </w:numPr>
        <w:rPr>
          <w:rFonts w:cstheme="minorHAnsi"/>
        </w:rPr>
      </w:pPr>
      <w:r w:rsidRPr="00D47759">
        <w:rPr>
          <w:rFonts w:cstheme="minorHAnsi"/>
        </w:rPr>
        <w:t>Small discussion groups;</w:t>
      </w:r>
    </w:p>
    <w:p w:rsidR="004008D6" w:rsidRPr="00D47759" w:rsidP="00BF7A0F" w14:paraId="1EC57C17" w14:textId="77777777">
      <w:pPr>
        <w:pStyle w:val="ListParagraph"/>
        <w:numPr>
          <w:ilvl w:val="0"/>
          <w:numId w:val="12"/>
        </w:numPr>
        <w:rPr>
          <w:rFonts w:cstheme="minorHAnsi"/>
        </w:rPr>
      </w:pPr>
      <w:r w:rsidRPr="00D47759">
        <w:rPr>
          <w:rFonts w:cstheme="minorHAnsi"/>
        </w:rPr>
        <w:t xml:space="preserve"> Focus Groups of customers, potential customers, delivery partners, or other stakeholders;</w:t>
      </w:r>
    </w:p>
    <w:p w:rsidR="004008D6" w:rsidRPr="00D47759" w:rsidP="00BF7A0F" w14:paraId="19363E59" w14:textId="77777777">
      <w:pPr>
        <w:pStyle w:val="ListParagraph"/>
        <w:numPr>
          <w:ilvl w:val="0"/>
          <w:numId w:val="12"/>
        </w:numPr>
        <w:rPr>
          <w:rFonts w:cstheme="minorHAnsi"/>
        </w:rPr>
      </w:pPr>
      <w:r w:rsidRPr="00D47759">
        <w:rPr>
          <w:rFonts w:cstheme="minorHAnsi"/>
        </w:rPr>
        <w:t>Cognitive laboratory studies, such as those used to refine questions or assess usability of a website;</w:t>
      </w:r>
    </w:p>
    <w:p w:rsidR="004008D6" w:rsidRPr="00D47759" w:rsidP="00CA63C2" w14:paraId="51029474" w14:textId="77777777">
      <w:pPr>
        <w:pStyle w:val="ListParagraph"/>
        <w:numPr>
          <w:ilvl w:val="0"/>
          <w:numId w:val="12"/>
        </w:numPr>
        <w:rPr>
          <w:rFonts w:cstheme="minorHAnsi"/>
        </w:rPr>
      </w:pPr>
      <w:r w:rsidRPr="00D47759">
        <w:rPr>
          <w:rFonts w:cstheme="minorHAnsi"/>
        </w:rPr>
        <w:t>Qualitative customer satisfaction surveys (e.g., post-transaction surveys; opt-out web surveys); and</w:t>
      </w:r>
    </w:p>
    <w:p w:rsidR="004008D6" w:rsidP="00CA63C2" w14:paraId="6B0601DA" w14:textId="77777777">
      <w:pPr>
        <w:pStyle w:val="ListParagraph"/>
        <w:numPr>
          <w:ilvl w:val="0"/>
          <w:numId w:val="12"/>
        </w:numPr>
        <w:rPr>
          <w:rFonts w:cstheme="minorHAnsi"/>
        </w:rPr>
      </w:pPr>
      <w:r w:rsidRPr="00D47759">
        <w:rPr>
          <w:rFonts w:cstheme="minorHAnsi"/>
        </w:rPr>
        <w:t>In-person observation testing (e.g., website or software usability tests).</w:t>
      </w:r>
    </w:p>
    <w:p w:rsidR="00817D98" w:rsidP="74A212AA" w14:paraId="6081EE9F" w14:textId="2C38B53A">
      <w:pPr>
        <w:spacing w:line="276" w:lineRule="auto"/>
      </w:pPr>
      <w:r>
        <w:t xml:space="preserve">Under </w:t>
      </w:r>
      <w:r>
        <w:t xml:space="preserve">the </w:t>
      </w:r>
      <w:r w:rsidR="5ACD55AF">
        <w:t>2023</w:t>
      </w:r>
      <w:r w:rsidR="5ACD55AF">
        <w:t xml:space="preserve">- 2026 </w:t>
      </w:r>
      <w:r>
        <w:t xml:space="preserve">approval, DOE obtained approval for </w:t>
      </w:r>
      <w:r w:rsidR="328A649F">
        <w:t>8</w:t>
      </w:r>
      <w:r w:rsidR="006C1F7A">
        <w:t>5</w:t>
      </w:r>
      <w:r>
        <w:t xml:space="preserve"> fast track collections under this generic clearance, with a total burden of</w:t>
      </w:r>
      <w:r w:rsidR="005E1369">
        <w:t xml:space="preserve"> </w:t>
      </w:r>
      <w:r w:rsidR="005E1369">
        <w:t>30</w:t>
      </w:r>
      <w:r w:rsidR="006E6889">
        <w:t>,</w:t>
      </w:r>
      <w:r w:rsidR="005E1369">
        <w:t>846</w:t>
      </w:r>
      <w:r>
        <w:t xml:space="preserve"> </w:t>
      </w:r>
      <w:r>
        <w:t>respondents</w:t>
      </w:r>
      <w:r>
        <w:t xml:space="preserve"> and </w:t>
      </w:r>
      <w:r w:rsidR="55B8CA07">
        <w:t>3,</w:t>
      </w:r>
      <w:r w:rsidR="00E7311C">
        <w:t>720</w:t>
      </w:r>
      <w:r w:rsidR="55B8CA07">
        <w:t xml:space="preserve"> </w:t>
      </w:r>
      <w:r>
        <w:t xml:space="preserve">hours. </w:t>
      </w:r>
    </w:p>
    <w:p w:rsidR="00817D98" w:rsidRPr="00817D98" w:rsidP="00817D98" w14:paraId="73AC2F49" w14:textId="77777777">
      <w:pPr>
        <w:spacing w:line="276" w:lineRule="auto"/>
        <w:rPr>
          <w:rFonts w:cstheme="minorHAnsi"/>
        </w:rPr>
      </w:pPr>
    </w:p>
    <w:tbl>
      <w:tblPr>
        <w:tblW w:w="9400" w:type="dxa"/>
        <w:tblLook w:val="04A0"/>
      </w:tblPr>
      <w:tblGrid>
        <w:gridCol w:w="9400"/>
      </w:tblGrid>
      <w:tr w14:paraId="0313B9E3" w14:textId="77777777" w:rsidTr="63064DA0">
        <w:tblPrEx>
          <w:tblW w:w="9400" w:type="dxa"/>
          <w:tblLook w:val="04A0"/>
        </w:tblPrEx>
        <w:trPr>
          <w:trHeight w:val="300"/>
        </w:trPr>
        <w:tc>
          <w:tcPr>
            <w:tcW w:w="9400" w:type="dxa"/>
            <w:tcBorders>
              <w:top w:val="nil"/>
              <w:left w:val="nil"/>
              <w:bottom w:val="nil"/>
              <w:right w:val="nil"/>
            </w:tcBorders>
            <w:shd w:val="clear" w:color="auto" w:fill="FFFFFF" w:themeFill="background1"/>
            <w:noWrap/>
            <w:vAlign w:val="bottom"/>
            <w:hideMark/>
          </w:tcPr>
          <w:p w:rsidR="00817D98" w:rsidRPr="00817D98" w:rsidP="00817D98" w14:paraId="2F9F0872" w14:textId="77777777">
            <w:pPr>
              <w:spacing w:after="0" w:line="240" w:lineRule="auto"/>
              <w:rPr>
                <w:rFonts w:ascii="Calibri" w:eastAsia="Times New Roman" w:hAnsi="Calibri" w:cs="Calibri"/>
                <w:b/>
                <w:bCs/>
                <w:color w:val="000000"/>
              </w:rPr>
            </w:pPr>
            <w:r w:rsidRPr="00817D98">
              <w:rPr>
                <w:rFonts w:ascii="Calibri" w:eastAsia="Times New Roman" w:hAnsi="Calibri" w:cs="Calibri"/>
                <w:b/>
                <w:bCs/>
                <w:color w:val="000000"/>
              </w:rPr>
              <w:t>IC Title</w:t>
            </w:r>
          </w:p>
        </w:tc>
      </w:tr>
      <w:tr w14:paraId="690066C5" w14:textId="77777777" w:rsidTr="63064DA0">
        <w:tblPrEx>
          <w:tblW w:w="9400" w:type="dxa"/>
          <w:tblLook w:val="04A0"/>
        </w:tblPrEx>
        <w:trPr>
          <w:trHeight w:val="300"/>
        </w:trPr>
        <w:tc>
          <w:tcPr>
            <w:tcW w:w="9400" w:type="dxa"/>
            <w:tcBorders>
              <w:top w:val="nil"/>
              <w:left w:val="nil"/>
              <w:bottom w:val="nil"/>
              <w:right w:val="nil"/>
            </w:tcBorders>
            <w:shd w:val="clear" w:color="auto" w:fill="FFFFFF" w:themeFill="background1"/>
            <w:noWrap/>
            <w:vAlign w:val="bottom"/>
            <w:hideMark/>
          </w:tcPr>
          <w:p w:rsidR="00817D98" w:rsidRPr="00817D98" w:rsidP="00817D98" w14:paraId="26CEDCFC" w14:textId="77777777">
            <w:pPr>
              <w:spacing w:after="0" w:line="240" w:lineRule="auto"/>
              <w:rPr>
                <w:rFonts w:ascii="Calibri" w:eastAsia="Times New Roman" w:hAnsi="Calibri" w:cs="Calibri"/>
                <w:color w:val="000000"/>
              </w:rPr>
            </w:pPr>
          </w:p>
        </w:tc>
      </w:tr>
    </w:tbl>
    <w:p w:rsidR="004008D6" w:rsidRPr="00142ACC" w:rsidP="00CA63C2" w14:paraId="4F737F63" w14:textId="77777777">
      <w:pPr>
        <w:pStyle w:val="ListParagraph"/>
        <w:rPr>
          <w:sz w:val="24"/>
          <w:szCs w:val="24"/>
        </w:rPr>
      </w:pPr>
      <w:r>
        <w:t xml:space="preserve">CISO Roundtable Survey </w:t>
      </w:r>
    </w:p>
    <w:p w:rsidR="004008D6" w:rsidRPr="008645A9" w:rsidP="00CA63C2" w14:paraId="1CEAE16B" w14:textId="77777777">
      <w:pPr>
        <w:pStyle w:val="ListParagraph"/>
      </w:pPr>
      <w:r>
        <w:t>Office of the Chief Financial Officer, Customer Service Survey</w:t>
      </w:r>
    </w:p>
    <w:p w:rsidR="004008D6" w:rsidRPr="008645A9" w:rsidP="00CA63C2" w14:paraId="79D68149" w14:textId="77777777">
      <w:pPr>
        <w:pStyle w:val="ListParagraph"/>
      </w:pPr>
      <w:r>
        <w:t xml:space="preserve">SETO 2020 Peer Review Reviewer Checkout Questionnaire </w:t>
      </w:r>
    </w:p>
    <w:p w:rsidR="004008D6" w:rsidRPr="008645A9" w:rsidP="00CA63C2" w14:paraId="352ACF4C" w14:textId="77777777">
      <w:pPr>
        <w:pStyle w:val="ListParagraph"/>
      </w:pPr>
      <w:r>
        <w:t xml:space="preserve">LPS User Survey </w:t>
      </w:r>
    </w:p>
    <w:p w:rsidR="004008D6" w:rsidRPr="008645A9" w:rsidP="00CA63C2" w14:paraId="465F612A" w14:textId="77777777">
      <w:pPr>
        <w:pStyle w:val="ListParagraph"/>
      </w:pPr>
      <w:r>
        <w:t xml:space="preserve">NA-IM Student Feedback Survey </w:t>
      </w:r>
    </w:p>
    <w:p w:rsidR="004008D6" w:rsidRPr="008645A9" w:rsidP="00CA63C2" w14:paraId="541F57D5" w14:textId="77777777">
      <w:pPr>
        <w:pStyle w:val="ListParagraph"/>
      </w:pPr>
      <w:r>
        <w:t xml:space="preserve">DOE Office of Legacy Management (LM) Public Communications Survey </w:t>
      </w:r>
    </w:p>
    <w:p w:rsidR="004008D6" w:rsidRPr="008645A9" w:rsidP="00CA63C2" w14:paraId="51795C79" w14:textId="77777777">
      <w:pPr>
        <w:pStyle w:val="ListParagraph"/>
      </w:pPr>
      <w:r>
        <w:t xml:space="preserve">DOE Office of Legacy Management Stakeholder Satisfaction Survey </w:t>
      </w:r>
    </w:p>
    <w:p w:rsidR="004008D6" w:rsidRPr="008645A9" w:rsidP="00CA63C2" w14:paraId="37DD5C7C" w14:textId="77777777">
      <w:pPr>
        <w:pStyle w:val="ListParagraph"/>
      </w:pPr>
      <w:r>
        <w:t xml:space="preserve">DOE Insider Threat Stakeholder Satisfaction Survey </w:t>
      </w:r>
    </w:p>
    <w:p w:rsidR="004008D6" w:rsidRPr="008645A9" w:rsidP="00CA63C2" w14:paraId="4231C24F" w14:textId="77777777">
      <w:pPr>
        <w:pStyle w:val="ListParagraph"/>
      </w:pPr>
      <w:r>
        <w:t xml:space="preserve">U.S. Department of Energy Office of Small and Disadvantaged Business Utilization Customer Service Feedback Survey </w:t>
      </w:r>
    </w:p>
    <w:p w:rsidR="004008D6" w:rsidRPr="008645A9" w:rsidP="00CA63C2" w14:paraId="09F8328F" w14:textId="77777777">
      <w:pPr>
        <w:pStyle w:val="ListParagraph"/>
      </w:pPr>
      <w:r>
        <w:t>EHSS-43 Customer Feedback Surve</w:t>
      </w:r>
      <w:r w:rsidR="00BF7A0F">
        <w:t>y</w:t>
      </w:r>
      <w:r>
        <w:t xml:space="preserve">, </w:t>
      </w:r>
    </w:p>
    <w:p w:rsidR="004008D6" w:rsidRPr="008645A9" w:rsidP="00CA63C2" w14:paraId="11B853F8" w14:textId="77777777">
      <w:pPr>
        <w:pStyle w:val="ListParagraph"/>
      </w:pPr>
      <w:r>
        <w:t xml:space="preserve">Alternative Dispute Resolution Office Needs Assessment </w:t>
      </w:r>
    </w:p>
    <w:p w:rsidR="004008D6" w:rsidRPr="008645A9" w:rsidP="00CA63C2" w14:paraId="677A1786" w14:textId="77777777">
      <w:pPr>
        <w:pStyle w:val="ListParagraph"/>
      </w:pPr>
      <w:r>
        <w:t xml:space="preserve">Clean Cities Formative Brand Research </w:t>
      </w:r>
    </w:p>
    <w:p w:rsidR="004008D6" w:rsidRPr="008645A9" w:rsidP="00CA63C2" w14:paraId="51E565FE" w14:textId="77777777">
      <w:pPr>
        <w:pStyle w:val="ListParagraph"/>
      </w:pPr>
      <w:r>
        <w:t xml:space="preserve">Center for Security Technology, Analysis, Response, and Testing (CSTART) Survey </w:t>
      </w:r>
    </w:p>
    <w:p w:rsidR="004008D6" w:rsidRPr="008645A9" w:rsidP="00CA63C2" w14:paraId="688693D8" w14:textId="77777777">
      <w:pPr>
        <w:pStyle w:val="ListParagraph"/>
      </w:pPr>
      <w:r>
        <w:t xml:space="preserve">FedRamp Survey </w:t>
      </w:r>
    </w:p>
    <w:p w:rsidR="004008D6" w:rsidRPr="008645A9" w:rsidP="00CA63C2" w14:paraId="0DE2A5C1" w14:textId="77777777">
      <w:pPr>
        <w:pStyle w:val="ListParagraph"/>
      </w:pPr>
      <w:r>
        <w:t xml:space="preserve">BB Water Savings Network Survey </w:t>
      </w:r>
    </w:p>
    <w:p w:rsidR="004008D6" w:rsidRPr="008645A9" w:rsidP="00CA63C2" w14:paraId="4AFDA040" w14:textId="77777777">
      <w:pPr>
        <w:pStyle w:val="ListParagraph"/>
      </w:pPr>
      <w:r>
        <w:t xml:space="preserve">AODR Training Session 1 Survey </w:t>
      </w:r>
    </w:p>
    <w:p w:rsidR="004008D6" w:rsidRPr="008645A9" w:rsidP="00CA63C2" w14:paraId="7EF9877F" w14:textId="77777777">
      <w:pPr>
        <w:pStyle w:val="ListParagraph"/>
      </w:pPr>
      <w:r>
        <w:t xml:space="preserve">National Community Solar Partnership Annual Summit Feedback Survey </w:t>
      </w:r>
    </w:p>
    <w:p w:rsidR="004008D6" w:rsidRPr="008645A9" w:rsidP="00CA63C2" w14:paraId="45D00195" w14:textId="77777777">
      <w:pPr>
        <w:pStyle w:val="ListParagraph"/>
      </w:pPr>
      <w:r>
        <w:t xml:space="preserve">Phishing Tools Survey </w:t>
      </w:r>
    </w:p>
    <w:p w:rsidR="004008D6" w:rsidRPr="008645A9" w:rsidP="00CA63C2" w14:paraId="57D98114" w14:textId="77777777">
      <w:pPr>
        <w:pStyle w:val="ListParagraph"/>
      </w:pPr>
      <w:r>
        <w:t xml:space="preserve">Stakeholder Tool for Assessing Radioactive Transportation (START) </w:t>
      </w:r>
    </w:p>
    <w:p w:rsidR="004008D6" w:rsidRPr="008645A9" w:rsidP="00CA63C2" w14:paraId="4E39AED6" w14:textId="77777777">
      <w:pPr>
        <w:pStyle w:val="ListParagraph"/>
      </w:pPr>
      <w:r>
        <w:t xml:space="preserve">CESER Listening Sessions </w:t>
      </w:r>
    </w:p>
    <w:p w:rsidR="004008D6" w:rsidRPr="008645A9" w:rsidP="00CA63C2" w14:paraId="15F52807" w14:textId="77777777">
      <w:pPr>
        <w:pStyle w:val="ListParagraph"/>
      </w:pPr>
      <w:r>
        <w:t xml:space="preserve">CESER RMUC Survey - #2 </w:t>
      </w:r>
    </w:p>
    <w:p w:rsidR="004008D6" w:rsidRPr="008645A9" w:rsidP="00CA63C2" w14:paraId="790D57AD" w14:textId="77777777">
      <w:pPr>
        <w:pStyle w:val="ListParagraph"/>
      </w:pPr>
      <w:r>
        <w:t xml:space="preserve">CORE-CM Environmental Justice Working Group - Survey 1 </w:t>
      </w:r>
    </w:p>
    <w:p w:rsidR="004008D6" w:rsidRPr="008645A9" w:rsidP="00CA63C2" w14:paraId="0FE97E76" w14:textId="77777777">
      <w:pPr>
        <w:pStyle w:val="ListParagraph"/>
      </w:pPr>
      <w:r>
        <w:t xml:space="preserve">Request for Information on Domestic Manufacturing Conversion Grants for Electrified Vehicles Workshops </w:t>
      </w:r>
    </w:p>
    <w:p w:rsidR="004008D6" w:rsidRPr="008645A9" w:rsidP="00CA63C2" w14:paraId="0BA53D07" w14:textId="77777777">
      <w:pPr>
        <w:pStyle w:val="ListParagraph"/>
      </w:pPr>
      <w:r>
        <w:t xml:space="preserve">FITARA Feedback Survey </w:t>
      </w:r>
    </w:p>
    <w:p w:rsidR="004008D6" w:rsidRPr="008645A9" w:rsidP="00CA63C2" w14:paraId="5D22E5F2" w14:textId="77777777">
      <w:pPr>
        <w:pStyle w:val="ListParagraph"/>
      </w:pPr>
      <w:r>
        <w:t xml:space="preserve">IM-22 Enterprise Governance Quality Satisfaction Survey </w:t>
      </w:r>
    </w:p>
    <w:p w:rsidR="004008D6" w:rsidRPr="008645A9" w:rsidP="00CA63C2" w14:paraId="1EDC5BCB" w14:textId="77777777">
      <w:pPr>
        <w:pStyle w:val="ListParagraph"/>
      </w:pPr>
      <w:r>
        <w:t xml:space="preserve">Authorizing Official Community of Practice (AO CoP) Survey </w:t>
      </w:r>
    </w:p>
    <w:p w:rsidR="004008D6" w:rsidRPr="008645A9" w:rsidP="00CA63C2" w14:paraId="06BA3D49" w14:textId="77777777">
      <w:pPr>
        <w:pStyle w:val="ListParagraph"/>
      </w:pPr>
      <w:r>
        <w:t xml:space="preserve">Better Climate Challenge Survey </w:t>
      </w:r>
    </w:p>
    <w:p w:rsidR="004008D6" w:rsidRPr="008645A9" w:rsidP="00CA63C2" w14:paraId="31CDD863" w14:textId="77777777">
      <w:pPr>
        <w:pStyle w:val="ListParagraph"/>
      </w:pPr>
      <w:r>
        <w:t xml:space="preserve">CyberForce® Conquer the Hill: Adventurer Edition Competition Post Survey </w:t>
      </w:r>
    </w:p>
    <w:p w:rsidR="004008D6" w:rsidRPr="008645A9" w:rsidP="00CA63C2" w14:paraId="40F310A7" w14:textId="77777777">
      <w:pPr>
        <w:pStyle w:val="ListParagraph"/>
      </w:pPr>
      <w:r>
        <w:t xml:space="preserve">CyberForce® Conquer the Hill Reign Edition Competition Post Survey </w:t>
      </w:r>
    </w:p>
    <w:p w:rsidR="004008D6" w:rsidRPr="008645A9" w:rsidP="00CA63C2" w14:paraId="47D2A378" w14:textId="77777777">
      <w:pPr>
        <w:pStyle w:val="ListParagraph"/>
      </w:pPr>
      <w:r>
        <w:t xml:space="preserve">EHSS-21 Stakeholder Survey </w:t>
      </w:r>
    </w:p>
    <w:p w:rsidR="004008D6" w:rsidRPr="008645A9" w:rsidP="00CA63C2" w14:paraId="76D61366" w14:textId="77777777">
      <w:pPr>
        <w:pStyle w:val="ListParagraph"/>
      </w:pPr>
      <w:r>
        <w:t xml:space="preserve">Executive Lunch and Learn Series: CUI </w:t>
      </w:r>
    </w:p>
    <w:p w:rsidR="004008D6" w:rsidRPr="008645A9" w:rsidP="00CA63C2" w14:paraId="0DB323F9" w14:textId="77777777">
      <w:pPr>
        <w:pStyle w:val="ListParagraph"/>
      </w:pPr>
      <w:r>
        <w:t xml:space="preserve">CyberForce® Program – Collegiate Virtual Career Fair Participant Feedback </w:t>
      </w:r>
    </w:p>
    <w:p w:rsidR="004008D6" w:rsidRPr="008645A9" w:rsidP="00CA63C2" w14:paraId="2C77BAEF" w14:textId="77777777">
      <w:pPr>
        <w:pStyle w:val="ListParagraph"/>
      </w:pPr>
      <w:r>
        <w:t xml:space="preserve">CyberForce® Program – Professional Virtual Career Fair Participant Feedback </w:t>
      </w:r>
    </w:p>
    <w:p w:rsidR="004008D6" w:rsidRPr="008645A9" w:rsidP="00CA63C2" w14:paraId="084B3480" w14:textId="77777777">
      <w:pPr>
        <w:pStyle w:val="ListParagraph"/>
      </w:pPr>
      <w:r>
        <w:t xml:space="preserve">Executive Lunch &amp; Learn – Artificial Intelligence (AI) Overview </w:t>
      </w:r>
    </w:p>
    <w:p w:rsidR="004008D6" w:rsidRPr="008645A9" w:rsidP="00CA63C2" w14:paraId="4829C587" w14:textId="77777777">
      <w:pPr>
        <w:pStyle w:val="ListParagraph"/>
      </w:pPr>
      <w:r>
        <w:t xml:space="preserve">NCV &amp; WVP Workforce Study </w:t>
      </w:r>
    </w:p>
    <w:p w:rsidR="004008D6" w:rsidRPr="008645A9" w:rsidP="00CA63C2" w14:paraId="058B9A46" w14:textId="77777777">
      <w:pPr>
        <w:pStyle w:val="ListParagraph"/>
      </w:pPr>
      <w:r>
        <w:t xml:space="preserve">Executive Lunch &amp; Learn – Cyber Workforce Program (CWP) Overview </w:t>
      </w:r>
    </w:p>
    <w:p w:rsidR="004008D6" w:rsidRPr="008645A9" w:rsidP="00CA63C2" w14:paraId="57AA14D1" w14:textId="77777777">
      <w:pPr>
        <w:pStyle w:val="ListParagraph"/>
      </w:pPr>
      <w:r>
        <w:t xml:space="preserve">Executive Lunch &amp; Learn – Cyber PMO Team Overview and Digital Handbook </w:t>
      </w:r>
    </w:p>
    <w:p w:rsidR="004008D6" w:rsidRPr="008645A9" w:rsidP="00CA63C2" w14:paraId="32ED8844" w14:textId="77777777">
      <w:pPr>
        <w:pStyle w:val="ListParagraph"/>
      </w:pPr>
      <w:r>
        <w:t xml:space="preserve">CyberForce Competition® Post Survey </w:t>
      </w:r>
    </w:p>
    <w:p w:rsidR="004008D6" w:rsidRPr="008645A9" w:rsidP="00CA63C2" w14:paraId="5D917995" w14:textId="77777777">
      <w:pPr>
        <w:pStyle w:val="ListParagraph"/>
      </w:pPr>
      <w:r>
        <w:t xml:space="preserve">MEI Customer Satisfaction Survey </w:t>
      </w:r>
    </w:p>
    <w:p w:rsidR="004008D6" w:rsidRPr="008645A9" w:rsidP="00CA63C2" w14:paraId="30F24403" w14:textId="77777777">
      <w:pPr>
        <w:pStyle w:val="ListParagraph"/>
      </w:pPr>
      <w:r>
        <w:t xml:space="preserve">ISSO Executive Lunch &amp; Learn: Best Practices with the DOE OCIO ISSM </w:t>
      </w:r>
    </w:p>
    <w:p w:rsidR="004008D6" w:rsidRPr="008645A9" w:rsidP="00CA63C2" w14:paraId="5927FCBB" w14:textId="77777777">
      <w:pPr>
        <w:pStyle w:val="ListParagraph"/>
      </w:pPr>
      <w:r>
        <w:t xml:space="preserve">OCIO CAM Gameshow Questions </w:t>
      </w:r>
    </w:p>
    <w:p w:rsidR="004008D6" w:rsidRPr="008645A9" w:rsidP="00CA63C2" w14:paraId="6E17835F" w14:textId="77777777">
      <w:pPr>
        <w:pStyle w:val="ListParagraph"/>
      </w:pPr>
      <w:r>
        <w:t xml:space="preserve">National Cybersecurity Alliance (NCA) DOE Cyber Month Webcast </w:t>
      </w:r>
    </w:p>
    <w:p w:rsidR="004008D6" w:rsidRPr="008645A9" w:rsidP="00CA63C2" w14:paraId="1717D3DE" w14:textId="77777777">
      <w:pPr>
        <w:pStyle w:val="ListParagraph"/>
      </w:pPr>
      <w:r>
        <w:t>DOE Cyber Workforce Program and SANS Institu</w:t>
      </w:r>
      <w:r w:rsidR="00395D37">
        <w:t>t</w:t>
      </w:r>
      <w:r>
        <w:t xml:space="preserve">e </w:t>
      </w:r>
    </w:p>
    <w:p w:rsidR="004008D6" w:rsidRPr="008645A9" w:rsidP="00CA63C2" w14:paraId="0827A4F9" w14:textId="77777777">
      <w:pPr>
        <w:pStyle w:val="ListParagraph"/>
      </w:pPr>
      <w:r>
        <w:t xml:space="preserve">Cybersecurity Awareness Month Webinar - DOE iJC3 </w:t>
      </w:r>
    </w:p>
    <w:p w:rsidR="004008D6" w:rsidRPr="008645A9" w:rsidP="00CA63C2" w14:paraId="73F09635" w14:textId="77777777">
      <w:pPr>
        <w:pStyle w:val="ListParagraph"/>
      </w:pPr>
      <w:r>
        <w:t xml:space="preserve">Control System Working Group </w:t>
      </w:r>
    </w:p>
    <w:p w:rsidR="004008D6" w:rsidRPr="008645A9" w:rsidP="00CA63C2" w14:paraId="6FBF6078" w14:textId="77777777">
      <w:pPr>
        <w:pStyle w:val="ListParagraph"/>
      </w:pPr>
      <w:r>
        <w:t xml:space="preserve">iJC3 Executive Lunch and Learn </w:t>
      </w:r>
    </w:p>
    <w:p w:rsidR="004008D6" w:rsidRPr="008645A9" w:rsidP="00CA63C2" w14:paraId="1BE4C71E" w14:textId="77777777">
      <w:pPr>
        <w:pStyle w:val="ListParagraph"/>
      </w:pPr>
      <w:r>
        <w:t xml:space="preserve">NIST RMF </w:t>
      </w:r>
    </w:p>
    <w:p w:rsidR="004008D6" w:rsidRPr="008645A9" w:rsidP="00CA63C2" w14:paraId="32B7968D" w14:textId="77777777">
      <w:pPr>
        <w:pStyle w:val="ListParagraph"/>
      </w:pPr>
      <w:r>
        <w:t xml:space="preserve">Master List of Questions by CSAT Team </w:t>
      </w:r>
    </w:p>
    <w:p w:rsidR="004008D6" w:rsidRPr="008645A9" w:rsidP="00CA63C2" w14:paraId="48177218" w14:textId="77777777">
      <w:pPr>
        <w:pStyle w:val="ListParagraph"/>
      </w:pPr>
      <w:r>
        <w:t xml:space="preserve">CyberForce® Conquer the Hill: Command Edition Competition Post Survey </w:t>
      </w:r>
    </w:p>
    <w:p w:rsidR="004008D6" w:rsidRPr="008645A9" w:rsidP="00CA63C2" w14:paraId="4680D883" w14:textId="77777777">
      <w:pPr>
        <w:pStyle w:val="ListParagraph"/>
      </w:pPr>
      <w:r>
        <w:t xml:space="preserve">SANS - Supply Chain Attacks Executive Lunch and Learn </w:t>
      </w:r>
    </w:p>
    <w:p w:rsidR="004008D6" w:rsidRPr="008645A9" w:rsidP="00CA63C2" w14:paraId="57FEF29B" w14:textId="77777777">
      <w:pPr>
        <w:pStyle w:val="ListParagraph"/>
      </w:pPr>
      <w:r>
        <w:t xml:space="preserve">National Initiative for Cybersecurity Careers and Studies (NICCS) Executive Lunch and Learn </w:t>
      </w:r>
    </w:p>
    <w:p w:rsidR="004008D6" w:rsidRPr="008645A9" w:rsidP="00CA63C2" w14:paraId="6AADF60E" w14:textId="77777777">
      <w:pPr>
        <w:pStyle w:val="ListParagraph"/>
      </w:pPr>
      <w:r>
        <w:t xml:space="preserve">Industrial Assessment Cetner (IAC) Implementation Grants Experience Survey </w:t>
      </w:r>
    </w:p>
    <w:p w:rsidR="004008D6" w:rsidRPr="008645A9" w:rsidP="00CA63C2" w14:paraId="2EC55772" w14:textId="77777777">
      <w:pPr>
        <w:pStyle w:val="ListParagraph"/>
      </w:pPr>
      <w:r>
        <w:t xml:space="preserve">FITARA Program Feedback Survey </w:t>
      </w:r>
    </w:p>
    <w:p w:rsidR="004008D6" w:rsidRPr="008645A9" w:rsidP="00CA63C2" w14:paraId="63B87A84" w14:textId="77777777">
      <w:pPr>
        <w:pStyle w:val="ListParagraph"/>
      </w:pPr>
      <w:r>
        <w:t xml:space="preserve">WINDExchange User Experience (UX) Audit </w:t>
      </w:r>
    </w:p>
    <w:p w:rsidR="004008D6" w:rsidRPr="008645A9" w:rsidP="00CA63C2" w14:paraId="37410C72" w14:textId="77777777">
      <w:pPr>
        <w:pStyle w:val="ListParagraph"/>
      </w:pPr>
      <w:r>
        <w:t xml:space="preserve">Executive Lunch &amp; Learn: National Cybersecurity Alliance - Cybersecurity Behavioral Science Polling </w:t>
      </w:r>
    </w:p>
    <w:p w:rsidR="004008D6" w:rsidRPr="008645A9" w:rsidP="00CA63C2" w14:paraId="558739DE" w14:textId="77777777">
      <w:pPr>
        <w:pStyle w:val="ListParagraph"/>
      </w:pPr>
      <w:r>
        <w:t xml:space="preserve">Federal Columbia River Power System (FCRPS) Cultural Resources Program Client Survey </w:t>
      </w:r>
    </w:p>
    <w:p w:rsidR="004008D6" w:rsidRPr="008645A9" w:rsidP="00CA63C2" w14:paraId="3FC3EC4A" w14:textId="77777777">
      <w:pPr>
        <w:pStyle w:val="ListParagraph"/>
      </w:pPr>
      <w:r>
        <w:t xml:space="preserve">AO CoP Questionnaire: C-SCRM </w:t>
      </w:r>
    </w:p>
    <w:p w:rsidR="004008D6" w:rsidRPr="008645A9" w:rsidP="00CA63C2" w14:paraId="5A4CA946" w14:textId="77777777">
      <w:pPr>
        <w:pStyle w:val="ListParagraph"/>
      </w:pPr>
      <w:r>
        <w:t xml:space="preserve">West Coast Offshore Wind Transmission Convening Series – Regional Coordination Workshops </w:t>
      </w:r>
    </w:p>
    <w:p w:rsidR="004008D6" w:rsidRPr="008645A9" w:rsidP="00CA63C2" w14:paraId="4A06CCD4" w14:textId="77777777">
      <w:pPr>
        <w:pStyle w:val="ListParagraph"/>
      </w:pPr>
      <w:r>
        <w:t xml:space="preserve">May Executive Lunch &amp; Learn: Overview of Privacy Concepts and Compliance Processes </w:t>
      </w:r>
    </w:p>
    <w:p w:rsidR="004008D6" w:rsidRPr="008645A9" w:rsidP="00CA63C2" w14:paraId="01ECB829" w14:textId="77777777">
      <w:pPr>
        <w:pStyle w:val="ListParagraph"/>
      </w:pPr>
      <w:r>
        <w:t xml:space="preserve">Better Climate Challenge Survey </w:t>
      </w:r>
    </w:p>
    <w:p w:rsidR="004008D6" w:rsidRPr="008645A9" w:rsidP="00CA63C2" w14:paraId="7161B9E2" w14:textId="77777777">
      <w:pPr>
        <w:pStyle w:val="ListParagraph"/>
      </w:pPr>
      <w:r>
        <w:t xml:space="preserve">Post Quantum Cryptography </w:t>
      </w:r>
    </w:p>
    <w:p w:rsidR="004008D6" w:rsidRPr="008645A9" w:rsidP="00CA63C2" w14:paraId="4D250DC3" w14:textId="77777777">
      <w:pPr>
        <w:pStyle w:val="ListParagraph"/>
      </w:pPr>
      <w:r>
        <w:t xml:space="preserve">West Coast Offshore Wind Transmission Convening Series – June Workshop </w:t>
      </w:r>
    </w:p>
    <w:p w:rsidR="004008D6" w:rsidRPr="008645A9" w:rsidP="00CA63C2" w14:paraId="218DC995" w14:textId="77777777">
      <w:pPr>
        <w:pStyle w:val="ListParagraph"/>
      </w:pPr>
      <w:r>
        <w:t xml:space="preserve">June Executive Lunch and Learn: High Value Assets (HVA) </w:t>
      </w:r>
    </w:p>
    <w:p w:rsidR="004008D6" w:rsidRPr="008645A9" w:rsidP="00CA63C2" w14:paraId="577B2781" w14:textId="77777777">
      <w:pPr>
        <w:pStyle w:val="ListParagraph"/>
      </w:pPr>
      <w:r>
        <w:t xml:space="preserve">Cyber Workforce Program </w:t>
      </w:r>
    </w:p>
    <w:p w:rsidR="004008D6" w:rsidRPr="008645A9" w:rsidP="00CA63C2" w14:paraId="2AA7598E" w14:textId="77777777">
      <w:pPr>
        <w:pStyle w:val="ListParagraph"/>
      </w:pPr>
      <w:r>
        <w:t xml:space="preserve">AI Impact on Cybersecurity </w:t>
      </w:r>
    </w:p>
    <w:p w:rsidR="004008D6" w:rsidRPr="008645A9" w:rsidP="00CA63C2" w14:paraId="71236052" w14:textId="77777777">
      <w:pPr>
        <w:pStyle w:val="ListParagraph"/>
      </w:pPr>
      <w:r>
        <w:t xml:space="preserve">One Energy Customer Satisfaction Survey </w:t>
      </w:r>
    </w:p>
    <w:p w:rsidR="004008D6" w:rsidRPr="008645A9" w:rsidP="00CA63C2" w14:paraId="75330B6B" w14:textId="77777777">
      <w:pPr>
        <w:pStyle w:val="ListParagraph"/>
      </w:pPr>
      <w:r>
        <w:t xml:space="preserve">West Coast Offshore Wind Transmission Convening Series – August Regional Coordination Workshop </w:t>
      </w:r>
    </w:p>
    <w:p w:rsidR="004008D6" w:rsidRPr="008645A9" w:rsidP="00CA63C2" w14:paraId="4249FBC9" w14:textId="77777777">
      <w:pPr>
        <w:pStyle w:val="ListParagraph"/>
      </w:pPr>
      <w:r>
        <w:t xml:space="preserve">Cybersecurity Awareness Month 2024 - Webinar: CWP - Cyber Career Week </w:t>
      </w:r>
    </w:p>
    <w:p w:rsidR="004008D6" w:rsidRPr="008645A9" w:rsidP="00CA63C2" w14:paraId="2B4D27DC" w14:textId="77777777">
      <w:pPr>
        <w:pStyle w:val="ListParagraph"/>
      </w:pPr>
      <w:r>
        <w:t xml:space="preserve">PAGE User Satisfaction Survey </w:t>
      </w:r>
    </w:p>
    <w:p w:rsidR="004008D6" w:rsidRPr="008645A9" w:rsidP="00CA63C2" w14:paraId="49FEF498" w14:textId="77777777">
      <w:pPr>
        <w:pStyle w:val="ListParagraph"/>
      </w:pPr>
      <w:r>
        <w:t xml:space="preserve">NA-IM Training Course Feedback Form </w:t>
      </w:r>
    </w:p>
    <w:p w:rsidR="004008D6" w:rsidRPr="008645A9" w:rsidP="00CA63C2" w14:paraId="54FA449B" w14:textId="77777777">
      <w:pPr>
        <w:pStyle w:val="ListParagraph"/>
      </w:pPr>
      <w:r>
        <w:t xml:space="preserve">NA-IM Tabletop Exercise </w:t>
      </w:r>
    </w:p>
    <w:p w:rsidR="004008D6" w:rsidRPr="008645A9" w:rsidP="00CA63C2" w14:paraId="2026E2E6" w14:textId="77777777">
      <w:pPr>
        <w:pStyle w:val="ListParagraph"/>
      </w:pPr>
      <w:r>
        <w:t xml:space="preserve">NNSA OCIO Customer Feedback Form </w:t>
      </w:r>
    </w:p>
    <w:p w:rsidR="004008D6" w:rsidRPr="008645A9" w:rsidP="00CA63C2" w14:paraId="0EDB5D4F" w14:textId="77777777">
      <w:pPr>
        <w:pStyle w:val="ListParagraph"/>
      </w:pPr>
      <w:r>
        <w:t xml:space="preserve">AMIS Survey </w:t>
      </w:r>
    </w:p>
    <w:p w:rsidR="004008D6" w:rsidRPr="008645A9" w:rsidP="00CA63C2" w14:paraId="10976BAE" w14:textId="77777777">
      <w:pPr>
        <w:pStyle w:val="ListParagraph"/>
      </w:pPr>
      <w:r>
        <w:t xml:space="preserve">DOE Section 508 Training Interest Survey </w:t>
      </w:r>
    </w:p>
    <w:p w:rsidR="004008D6" w:rsidRPr="008645A9" w:rsidP="00CA63C2" w14:paraId="1C0AACBC" w14:textId="77777777">
      <w:pPr>
        <w:pStyle w:val="ListParagraph"/>
      </w:pPr>
      <w:r>
        <w:t xml:space="preserve">SEPA Customer Experience Survey </w:t>
      </w:r>
    </w:p>
    <w:p w:rsidR="004008D6" w:rsidRPr="008645A9" w:rsidP="00CA63C2" w14:paraId="60915673" w14:textId="77777777">
      <w:pPr>
        <w:pStyle w:val="ListParagraph"/>
      </w:pPr>
      <w:r>
        <w:t xml:space="preserve">July Executive Lunch &amp; Learn: Cyber Workforce Program (CWP) </w:t>
      </w:r>
    </w:p>
    <w:p w:rsidR="004008D6" w:rsidRPr="008645A9" w:rsidP="00CA63C2" w14:paraId="42AE75C9" w14:textId="77777777">
      <w:pPr>
        <w:pStyle w:val="ListParagraph"/>
      </w:pPr>
      <w:r>
        <w:t xml:space="preserve">Executive Lunch and Learn: Artificial Intelligence (AI): The Impact of AI in Security and Ethics </w:t>
      </w:r>
    </w:p>
    <w:p w:rsidR="004008D6" w:rsidRPr="008645A9" w:rsidP="00CA63C2" w14:paraId="39E96B19" w14:textId="77777777">
      <w:pPr>
        <w:pStyle w:val="ListParagraph"/>
      </w:pPr>
      <w:r>
        <w:t xml:space="preserve">NNSA OCIO Customer Feedback Form (#2) </w:t>
      </w:r>
    </w:p>
    <w:p w:rsidR="004008D6" w:rsidRPr="008645A9" w:rsidP="00CA63C2" w14:paraId="4ABE7812" w14:textId="77777777">
      <w:pPr>
        <w:pStyle w:val="ListParagraph"/>
      </w:pPr>
      <w:r>
        <w:t xml:space="preserve">Cybersecurity Awareness Month (CAM) 2025 </w:t>
      </w:r>
    </w:p>
    <w:p w:rsidR="004008D6" w:rsidRPr="008645A9" w:rsidP="00CA63C2" w14:paraId="08112A27" w14:textId="77777777">
      <w:pPr>
        <w:pStyle w:val="ListParagraph"/>
      </w:pPr>
      <w:r>
        <w:t xml:space="preserve">Speed to Power Initiative </w:t>
      </w:r>
    </w:p>
    <w:p w:rsidR="004008D6" w:rsidRPr="008645A9" w:rsidP="00CA63C2" w14:paraId="158AC4F4" w14:textId="77777777">
      <w:pPr>
        <w:pStyle w:val="ListParagraph"/>
      </w:pPr>
      <w:r>
        <w:t xml:space="preserve">2025 Executive Lunch &amp; Learn: Recent Cyber Threats </w:t>
      </w:r>
    </w:p>
    <w:p w:rsidR="004008D6" w:rsidRPr="008645A9" w:rsidP="00CA63C2" w14:paraId="07B2939E" w14:textId="77777777">
      <w:pPr>
        <w:pStyle w:val="ListParagraph"/>
      </w:pPr>
      <w:r>
        <w:t xml:space="preserve">Executive Lunch &amp; Learn: NIST: Risk Management Framework (RMF) </w:t>
      </w:r>
    </w:p>
    <w:p w:rsidR="004008D6" w14:paraId="68D5D91B" w14:textId="77777777">
      <w:pPr>
        <w:pStyle w:val="ListParagraph"/>
      </w:pPr>
      <w:r>
        <w:t>Executive Lunch &amp; Learn: KnowBe4</w:t>
      </w:r>
    </w:p>
    <w:p w:rsidR="00E7311C" w14:paraId="6EF6D04D" w14:textId="77777777">
      <w:pPr>
        <w:pStyle w:val="ListParagraph"/>
      </w:pPr>
      <w:hyperlink r:id="rId15" w:history="1">
        <w:r w:rsidRPr="003E5F92">
          <w:rPr>
            <w:rStyle w:val="Hyperlink"/>
          </w:rPr>
          <w:t>BPA Science Bowl Surveys</w:t>
        </w:r>
      </w:hyperlink>
    </w:p>
    <w:p w:rsidR="003E5F92" w:rsidRPr="008645A9" w:rsidP="00CA63C2" w14:paraId="0DA1FE9B" w14:textId="77777777">
      <w:pPr>
        <w:pStyle w:val="ListParagraph"/>
      </w:pPr>
      <w:hyperlink r:id="rId16" w:history="1">
        <w:r w:rsidRPr="006C1F7A">
          <w:rPr>
            <w:rStyle w:val="Hyperlink"/>
          </w:rPr>
          <w:t>NNSA Classified Computing Support Survey</w:t>
        </w:r>
      </w:hyperlink>
    </w:p>
    <w:p w:rsidR="004008D6" w:rsidRPr="008645A9" w:rsidP="3AAABF88" w14:paraId="1AB131B0" w14:textId="77777777">
      <w:pPr>
        <w:rPr>
          <w:sz w:val="24"/>
          <w:szCs w:val="24"/>
        </w:rPr>
      </w:pPr>
      <w:r w:rsidRPr="63064DA0">
        <w:t xml:space="preserve">DOE will conduct a review of each information collection to ensure compliance with the terms of the clearance prior to submitting each collection to OMB. </w:t>
      </w:r>
    </w:p>
    <w:p w:rsidR="008C734C" w:rsidRPr="008645A9" w:rsidP="008C734C" w14:paraId="1ACBFB51" w14:textId="77777777">
      <w:pPr>
        <w:pStyle w:val="Heading2"/>
        <w:rPr>
          <w:rFonts w:cstheme="minorHAnsi"/>
        </w:rPr>
      </w:pPr>
      <w:bookmarkStart w:id="3" w:name="_Toc80211575"/>
      <w:r w:rsidRPr="008645A9">
        <w:rPr>
          <w:rFonts w:cstheme="minorHAnsi"/>
        </w:rPr>
        <w:t>A.</w:t>
      </w:r>
      <w:r w:rsidRPr="008645A9" w:rsidR="00A41763">
        <w:rPr>
          <w:rFonts w:cstheme="minorHAnsi"/>
        </w:rPr>
        <w:t xml:space="preserve">3. </w:t>
      </w:r>
      <w:r w:rsidRPr="008645A9">
        <w:rPr>
          <w:rFonts w:cstheme="minorHAnsi"/>
        </w:rPr>
        <w:t>Use of Technology</w:t>
      </w:r>
      <w:bookmarkEnd w:id="3"/>
    </w:p>
    <w:p w:rsidR="00A41763" w:rsidRPr="008645A9" w:rsidP="00A41763" w14:paraId="1E7505C1" w14:textId="77777777">
      <w:pPr>
        <w:rPr>
          <w:rFonts w:cstheme="minorHAnsi"/>
        </w:rPr>
      </w:pPr>
      <w:r w:rsidRPr="008645A9">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4008D6" w:rsidRPr="008645A9" w:rsidP="004008D6" w14:paraId="0A6A80DA" w14:textId="77777777">
      <w:pPr>
        <w:rPr>
          <w:rFonts w:cstheme="minorHAnsi"/>
        </w:rPr>
      </w:pPr>
      <w:r w:rsidRPr="008645A9">
        <w:rPr>
          <w:rFonts w:cstheme="minorHAnsi"/>
        </w:rPr>
        <w:t>If appropriate, DOE will collect information electronically and/or use online collaboration tools to reduce burden.</w:t>
      </w:r>
      <w:r w:rsidR="00EB1F1F">
        <w:rPr>
          <w:rFonts w:cstheme="minorHAnsi"/>
        </w:rPr>
        <w:t xml:space="preserve"> </w:t>
      </w:r>
    </w:p>
    <w:p w:rsidR="008C734C" w:rsidRPr="008645A9" w:rsidP="008C734C" w14:paraId="32DDE677" w14:textId="77777777">
      <w:pPr>
        <w:pStyle w:val="Heading2"/>
        <w:rPr>
          <w:rFonts w:cstheme="minorHAnsi"/>
        </w:rPr>
      </w:pPr>
      <w:bookmarkStart w:id="4" w:name="_Toc80211576"/>
      <w:r w:rsidRPr="008645A9">
        <w:rPr>
          <w:rFonts w:cstheme="minorHAnsi"/>
        </w:rPr>
        <w:t>A.</w:t>
      </w:r>
      <w:r w:rsidRPr="008645A9" w:rsidR="00A41763">
        <w:rPr>
          <w:rFonts w:cstheme="minorHAnsi"/>
        </w:rPr>
        <w:t xml:space="preserve">4. </w:t>
      </w:r>
      <w:r w:rsidRPr="008645A9">
        <w:rPr>
          <w:rFonts w:cstheme="minorHAnsi"/>
        </w:rPr>
        <w:t>Efforts to Identify Duplication</w:t>
      </w:r>
      <w:bookmarkEnd w:id="4"/>
    </w:p>
    <w:p w:rsidR="00A41763" w:rsidRPr="008645A9" w:rsidP="00A41763" w14:paraId="05DF30B6" w14:textId="77777777">
      <w:pPr>
        <w:rPr>
          <w:rFonts w:cstheme="minorHAnsi"/>
        </w:rPr>
      </w:pPr>
      <w:r w:rsidRPr="008645A9">
        <w:rPr>
          <w:rFonts w:cstheme="minorHAnsi"/>
          <w:b/>
          <w:bCs/>
        </w:rPr>
        <w:t xml:space="preserve">Describe efforts to identify duplication. </w:t>
      </w:r>
    </w:p>
    <w:p w:rsidR="004008D6" w:rsidRPr="008645A9" w:rsidP="004008D6" w14:paraId="5E5C628C" w14:textId="77777777">
      <w:pPr>
        <w:rPr>
          <w:rFonts w:cstheme="minorHAnsi"/>
        </w:rPr>
      </w:pPr>
      <w:r w:rsidRPr="008645A9">
        <w:rPr>
          <w:rFonts w:cstheme="minorHAnsi"/>
        </w:rPr>
        <w:t>No similar data are gathered or maintained by the Agency or are available from other sources known to DOE.</w:t>
      </w:r>
    </w:p>
    <w:p w:rsidR="008C734C" w:rsidRPr="008645A9" w:rsidP="008C734C" w14:paraId="193D8A0D" w14:textId="77777777">
      <w:pPr>
        <w:pStyle w:val="Heading2"/>
        <w:rPr>
          <w:rFonts w:cstheme="minorHAnsi"/>
        </w:rPr>
      </w:pPr>
      <w:bookmarkStart w:id="5" w:name="_Toc80211577"/>
      <w:r w:rsidRPr="008645A9">
        <w:rPr>
          <w:rFonts w:cstheme="minorHAnsi"/>
        </w:rPr>
        <w:t>A.</w:t>
      </w:r>
      <w:r w:rsidRPr="008645A9" w:rsidR="00A41763">
        <w:rPr>
          <w:rFonts w:cstheme="minorHAnsi"/>
        </w:rPr>
        <w:t xml:space="preserve">5. </w:t>
      </w:r>
      <w:r w:rsidRPr="008645A9">
        <w:rPr>
          <w:rFonts w:cstheme="minorHAnsi"/>
        </w:rPr>
        <w:t>Provisions for Reducing Burden on Small Businesses</w:t>
      </w:r>
      <w:bookmarkEnd w:id="5"/>
      <w:r w:rsidRPr="008645A9">
        <w:rPr>
          <w:rFonts w:cstheme="minorHAnsi"/>
        </w:rPr>
        <w:t xml:space="preserve"> </w:t>
      </w:r>
    </w:p>
    <w:p w:rsidR="00A41763" w:rsidRPr="008645A9" w:rsidP="00A41763" w14:paraId="68E5CB7E" w14:textId="77777777">
      <w:pPr>
        <w:rPr>
          <w:rFonts w:cstheme="minorHAnsi"/>
        </w:rPr>
      </w:pPr>
      <w:r w:rsidRPr="008645A9">
        <w:rPr>
          <w:rFonts w:cstheme="minorHAnsi"/>
          <w:b/>
          <w:bCs/>
        </w:rPr>
        <w:t xml:space="preserve">If the collection of information impacts small businesses or other small entities, describe any methods used to minimize burden. </w:t>
      </w:r>
    </w:p>
    <w:p w:rsidR="004008D6" w:rsidRPr="008645A9" w:rsidP="004008D6" w14:paraId="52BC9882" w14:textId="77777777">
      <w:pPr>
        <w:rPr>
          <w:rFonts w:cstheme="minorHAnsi"/>
        </w:rPr>
      </w:pPr>
      <w:r w:rsidRPr="008645A9">
        <w:rPr>
          <w:rFonts w:cstheme="minorHAnsi"/>
        </w:rPr>
        <w:t xml:space="preserve">Small business or other small entities may be involved in these efforts but DOE will minimize the burden on them by sampling, asking for readily available information, and using short, easy-to-complete information collection instruments.  </w:t>
      </w:r>
    </w:p>
    <w:p w:rsidR="008C734C" w:rsidRPr="008645A9" w:rsidP="008C734C" w14:paraId="2833971C" w14:textId="77777777">
      <w:pPr>
        <w:pStyle w:val="Heading2"/>
        <w:rPr>
          <w:rFonts w:cstheme="minorHAnsi"/>
        </w:rPr>
      </w:pPr>
      <w:bookmarkStart w:id="6" w:name="_Toc80211578"/>
      <w:r w:rsidRPr="008645A9">
        <w:rPr>
          <w:rFonts w:cstheme="minorHAnsi"/>
        </w:rPr>
        <w:t>A.</w:t>
      </w:r>
      <w:r w:rsidRPr="008645A9" w:rsidR="00A41763">
        <w:rPr>
          <w:rFonts w:cstheme="minorHAnsi"/>
        </w:rPr>
        <w:t xml:space="preserve">6. </w:t>
      </w:r>
      <w:r w:rsidRPr="008645A9">
        <w:rPr>
          <w:rFonts w:cstheme="minorHAnsi"/>
        </w:rPr>
        <w:t>Consequences of Less-Frequent Reporting</w:t>
      </w:r>
      <w:bookmarkEnd w:id="6"/>
    </w:p>
    <w:p w:rsidR="00A41763" w:rsidRPr="008645A9" w:rsidP="00A41763" w14:paraId="5E38C584" w14:textId="77777777">
      <w:pPr>
        <w:rPr>
          <w:rFonts w:cstheme="minorHAnsi"/>
        </w:rPr>
      </w:pPr>
      <w:r w:rsidRPr="008645A9">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4008D6" w:rsidRPr="008645A9" w:rsidP="004008D6" w14:paraId="42FE4992" w14:textId="77777777">
      <w:pPr>
        <w:rPr>
          <w:rFonts w:cstheme="minorHAnsi"/>
        </w:rPr>
      </w:pPr>
      <w:r w:rsidRPr="008645A9">
        <w:rPr>
          <w:rFonts w:cstheme="minorHAnsi"/>
        </w:rPr>
        <w:t>Without these types of feedback, DOE will not have timely information to adjust its services to meet customer needs.</w:t>
      </w:r>
    </w:p>
    <w:p w:rsidR="008C734C" w:rsidRPr="008645A9" w:rsidP="008C734C" w14:paraId="3059401B" w14:textId="77777777">
      <w:pPr>
        <w:pStyle w:val="Heading2"/>
        <w:rPr>
          <w:rFonts w:cstheme="minorHAnsi"/>
        </w:rPr>
      </w:pPr>
      <w:bookmarkStart w:id="7" w:name="_Toc80211579"/>
      <w:r w:rsidRPr="008645A9">
        <w:rPr>
          <w:rFonts w:cstheme="minorHAnsi"/>
        </w:rPr>
        <w:t>A.</w:t>
      </w:r>
      <w:r w:rsidRPr="008645A9" w:rsidR="00A41763">
        <w:rPr>
          <w:rFonts w:cstheme="minorHAnsi"/>
        </w:rPr>
        <w:t xml:space="preserve">7. </w:t>
      </w:r>
      <w:r w:rsidRPr="008645A9">
        <w:rPr>
          <w:rFonts w:cstheme="minorHAnsi"/>
        </w:rPr>
        <w:t>Compliance with 5 CFR 1320.5</w:t>
      </w:r>
      <w:bookmarkEnd w:id="7"/>
    </w:p>
    <w:p w:rsidR="00DB6FBD" w:rsidRPr="008645A9" w:rsidP="00A41763" w14:paraId="6AFD0C05" w14:textId="77777777">
      <w:pPr>
        <w:rPr>
          <w:rFonts w:cstheme="minorHAnsi"/>
          <w:b/>
          <w:bCs/>
        </w:rPr>
      </w:pPr>
      <w:r w:rsidRPr="008645A9">
        <w:rPr>
          <w:rFonts w:cstheme="minorHAnsi"/>
          <w:b/>
          <w:bCs/>
        </w:rPr>
        <w:t xml:space="preserve">Explain any special circumstances that require the collection to be conducted in a manner inconsistent with OMB guidelines: </w:t>
      </w:r>
    </w:p>
    <w:p w:rsidR="00DB6FBD" w:rsidRPr="008645A9" w:rsidP="00A41763" w14:paraId="08C30F36" w14:textId="77777777">
      <w:pPr>
        <w:rPr>
          <w:rFonts w:cstheme="minorHAnsi"/>
          <w:b/>
          <w:bCs/>
        </w:rPr>
      </w:pPr>
      <w:r w:rsidRPr="008645A9">
        <w:rPr>
          <w:rFonts w:cstheme="minorHAnsi"/>
          <w:b/>
          <w:bCs/>
        </w:rPr>
        <w:t xml:space="preserve">(a) requiring respondents to report information to the agency more often than quarterly; </w:t>
      </w:r>
    </w:p>
    <w:p w:rsidR="00DB6FBD" w:rsidRPr="008645A9" w:rsidP="00A41763" w14:paraId="3E2B339A" w14:textId="77777777">
      <w:pPr>
        <w:rPr>
          <w:rFonts w:cstheme="minorHAnsi"/>
          <w:b/>
          <w:bCs/>
        </w:rPr>
      </w:pPr>
      <w:r w:rsidRPr="008645A9">
        <w:rPr>
          <w:rFonts w:cstheme="minorHAnsi"/>
          <w:b/>
          <w:bCs/>
        </w:rPr>
        <w:t xml:space="preserve">(b) requiring respondents to prepare a written response to a collection of information in fewer than 30 days after receipt of it; </w:t>
      </w:r>
    </w:p>
    <w:p w:rsidR="00DB6FBD" w:rsidRPr="008645A9" w:rsidP="00A41763" w14:paraId="1A678280" w14:textId="77777777">
      <w:pPr>
        <w:rPr>
          <w:rFonts w:cstheme="minorHAnsi"/>
          <w:b/>
          <w:bCs/>
        </w:rPr>
      </w:pPr>
      <w:r w:rsidRPr="008645A9">
        <w:rPr>
          <w:rFonts w:cstheme="minorHAnsi"/>
          <w:b/>
          <w:bCs/>
        </w:rPr>
        <w:t xml:space="preserve">(c) requiring respondents to submit more than an original and two copies of any document; </w:t>
      </w:r>
    </w:p>
    <w:p w:rsidR="00DB6FBD" w:rsidRPr="008645A9" w:rsidP="00A41763" w14:paraId="10061D07" w14:textId="77777777">
      <w:pPr>
        <w:rPr>
          <w:rFonts w:cstheme="minorHAnsi"/>
          <w:b/>
          <w:bCs/>
        </w:rPr>
      </w:pPr>
      <w:r w:rsidRPr="008645A9">
        <w:rPr>
          <w:rFonts w:cstheme="minorHAnsi"/>
          <w:b/>
          <w:bCs/>
        </w:rPr>
        <w:t xml:space="preserve">(d) requiring respondents to retain records, other than health, medical government contract, grant-in-aid, or tax records, for more than three years; </w:t>
      </w:r>
    </w:p>
    <w:p w:rsidR="00DB6FBD" w:rsidRPr="008645A9" w:rsidP="00A41763" w14:paraId="559455AE" w14:textId="77777777">
      <w:pPr>
        <w:rPr>
          <w:rFonts w:cstheme="minorHAnsi"/>
          <w:b/>
          <w:bCs/>
        </w:rPr>
      </w:pPr>
      <w:r w:rsidRPr="008645A9">
        <w:rPr>
          <w:rFonts w:cstheme="minorHAnsi"/>
          <w:b/>
          <w:bCs/>
        </w:rPr>
        <w:t xml:space="preserve">(e) in connection with a statistical survey, that is not designed to product valid and reliable results that can be generalized to the universe of study; </w:t>
      </w:r>
    </w:p>
    <w:p w:rsidR="00DB6FBD" w:rsidRPr="008645A9" w:rsidP="00A41763" w14:paraId="36A7E0A2" w14:textId="77777777">
      <w:pPr>
        <w:rPr>
          <w:rFonts w:cstheme="minorHAnsi"/>
          <w:b/>
          <w:bCs/>
        </w:rPr>
      </w:pPr>
      <w:r w:rsidRPr="008645A9">
        <w:rPr>
          <w:rFonts w:cstheme="minorHAnsi"/>
          <w:b/>
          <w:bCs/>
        </w:rPr>
        <w:t xml:space="preserve">(f) requiring the use of statistical data classification that has not been reviewed and approved by OMB; </w:t>
      </w:r>
    </w:p>
    <w:p w:rsidR="00DB6FBD" w:rsidRPr="008645A9" w:rsidP="00A41763" w14:paraId="61617A52" w14:textId="77777777">
      <w:pPr>
        <w:rPr>
          <w:rFonts w:cstheme="minorHAnsi"/>
          <w:b/>
          <w:bCs/>
        </w:rPr>
      </w:pPr>
      <w:r w:rsidRPr="008645A9">
        <w:rPr>
          <w:rFonts w:cstheme="minorHAnsi"/>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8645A9" w:rsidP="00A41763" w14:paraId="739E82F6" w14:textId="77777777">
      <w:pPr>
        <w:rPr>
          <w:rFonts w:cstheme="minorHAnsi"/>
        </w:rPr>
      </w:pPr>
      <w:r w:rsidRPr="008645A9">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4008D6" w:rsidRPr="008645A9" w:rsidP="004008D6" w14:paraId="23131C24" w14:textId="77777777">
      <w:pPr>
        <w:rPr>
          <w:rFonts w:cstheme="minorHAnsi"/>
        </w:rPr>
      </w:pPr>
      <w:r w:rsidRPr="008645A9">
        <w:rPr>
          <w:rFonts w:cstheme="minorHAnsi"/>
        </w:rPr>
        <w:t>There are no special circumstances.  The information collected will be voluntary and will not be used for statistical purposes.</w:t>
      </w:r>
    </w:p>
    <w:p w:rsidR="008C734C" w:rsidRPr="008645A9" w:rsidP="008C734C" w14:paraId="2F2B65D3" w14:textId="77777777">
      <w:pPr>
        <w:pStyle w:val="Heading2"/>
        <w:rPr>
          <w:rFonts w:cstheme="minorHAnsi"/>
        </w:rPr>
      </w:pPr>
      <w:bookmarkStart w:id="8" w:name="_Toc80211580"/>
      <w:r w:rsidRPr="008645A9">
        <w:rPr>
          <w:rFonts w:cstheme="minorHAnsi"/>
        </w:rPr>
        <w:t>A.</w:t>
      </w:r>
      <w:r w:rsidRPr="008645A9" w:rsidR="00A41763">
        <w:rPr>
          <w:rFonts w:cstheme="minorHAnsi"/>
        </w:rPr>
        <w:t xml:space="preserve">8. </w:t>
      </w:r>
      <w:r w:rsidRPr="008645A9">
        <w:rPr>
          <w:rFonts w:cstheme="minorHAnsi"/>
        </w:rPr>
        <w:t>Summary of Consultations Outside of the Agency</w:t>
      </w:r>
      <w:bookmarkEnd w:id="8"/>
    </w:p>
    <w:p w:rsidR="00A41763" w:rsidRPr="008645A9" w:rsidP="00A41763" w14:paraId="2EEE13D7" w14:textId="77777777">
      <w:pPr>
        <w:rPr>
          <w:rFonts w:cstheme="minorHAnsi"/>
        </w:rPr>
      </w:pPr>
      <w:r w:rsidRPr="008645A9">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4008D6" w:rsidP="17567D52" w14:paraId="7E7BDDD1" w14:textId="2AFAEE4D">
      <w:r w:rsidRPr="375C9069">
        <w:t xml:space="preserve">The Department published a 60-day Federal Register Notice and Request for Comments concerning this collection in the Federal Register on </w:t>
      </w:r>
      <w:r w:rsidRPr="375C9069" w:rsidR="13256D68">
        <w:t>Decem</w:t>
      </w:r>
      <w:r w:rsidRPr="00CA63C2" w:rsidR="13256D68">
        <w:rPr>
          <w:rFonts w:eastAsiaTheme="minorEastAsia"/>
        </w:rPr>
        <w:t xml:space="preserve">ber 3, </w:t>
      </w:r>
      <w:r w:rsidRPr="00CA63C2" w:rsidR="00830E63">
        <w:rPr>
          <w:rFonts w:eastAsiaTheme="minorEastAsia"/>
        </w:rPr>
        <w:t>2025 (</w:t>
      </w:r>
      <w:r w:rsidRPr="00CA63C2">
        <w:rPr>
          <w:rFonts w:eastAsiaTheme="minorEastAsia"/>
        </w:rPr>
        <w:t xml:space="preserve">Volume </w:t>
      </w:r>
      <w:r w:rsidRPr="00CA63C2" w:rsidR="3E25B556">
        <w:rPr>
          <w:rFonts w:eastAsiaTheme="minorEastAsia"/>
        </w:rPr>
        <w:t>90</w:t>
      </w:r>
      <w:r w:rsidRPr="00CA63C2">
        <w:rPr>
          <w:rFonts w:eastAsiaTheme="minorEastAsia"/>
        </w:rPr>
        <w:t xml:space="preserve">, Number </w:t>
      </w:r>
      <w:r w:rsidRPr="00CA63C2" w:rsidR="181ED2C6">
        <w:rPr>
          <w:rFonts w:eastAsiaTheme="minorEastAsia"/>
        </w:rPr>
        <w:t>230</w:t>
      </w:r>
      <w:r w:rsidRPr="00CA63C2">
        <w:rPr>
          <w:rFonts w:eastAsiaTheme="minorEastAsia"/>
        </w:rPr>
        <w:t>, Page</w:t>
      </w:r>
      <w:r w:rsidRPr="00CA63C2" w:rsidR="476FEA47">
        <w:rPr>
          <w:rFonts w:eastAsiaTheme="minorEastAsia"/>
        </w:rPr>
        <w:t xml:space="preserve"> </w:t>
      </w:r>
      <w:r w:rsidRPr="00CA63C2" w:rsidR="476FEA47">
        <w:rPr>
          <w:rFonts w:eastAsiaTheme="minorEastAsia"/>
        </w:rPr>
        <w:t>55723</w:t>
      </w:r>
      <w:r w:rsidRPr="00CA63C2">
        <w:rPr>
          <w:rFonts w:eastAsiaTheme="minorEastAsia"/>
        </w:rPr>
        <w:t xml:space="preserve"> .</w:t>
      </w:r>
      <w:r w:rsidRPr="00CA63C2">
        <w:rPr>
          <w:rFonts w:eastAsiaTheme="minorEastAsia"/>
        </w:rPr>
        <w:t xml:space="preserve"> </w:t>
      </w:r>
      <w:r w:rsidR="00830E63">
        <w:rPr>
          <w:rFonts w:eastAsiaTheme="minorEastAsia"/>
        </w:rPr>
        <w:t xml:space="preserve">No comments were received. </w:t>
      </w:r>
    </w:p>
    <w:p w:rsidR="00CB25B3" w:rsidP="375C9069" w14:paraId="70F99C66" w14:textId="58314FE5">
      <w:r>
        <w:t xml:space="preserve">The </w:t>
      </w:r>
      <w:r w:rsidR="00830E63">
        <w:t>Department published</w:t>
      </w:r>
      <w:r>
        <w:t xml:space="preserve"> a 30-day Federal Register Notice and Request for Comments concerning this collection in the Federal Register on </w:t>
      </w:r>
      <w:r w:rsidR="6CBFA2A2">
        <w:t>February 24, 2026 (</w:t>
      </w:r>
      <w:r w:rsidR="00BA5599">
        <w:t>Volume 91</w:t>
      </w:r>
      <w:r w:rsidR="6CBFA2A2">
        <w:t>, Number</w:t>
      </w:r>
      <w:r w:rsidR="08911868">
        <w:t xml:space="preserve"> 36</w:t>
      </w:r>
      <w:r w:rsidR="6CBFA2A2">
        <w:t>, Page</w:t>
      </w:r>
      <w:r w:rsidR="2EBC4F4B">
        <w:t xml:space="preserve"> 8854</w:t>
      </w:r>
      <w:r w:rsidR="6CBFA2A2">
        <w:t>)</w:t>
      </w:r>
      <w:r>
        <w:t>.</w:t>
      </w:r>
    </w:p>
    <w:p w:rsidR="00CB25B3" w:rsidRPr="008645A9" w:rsidP="004008D6" w14:paraId="32F1F076" w14:textId="77777777">
      <w:pPr>
        <w:rPr>
          <w:rFonts w:cstheme="minorHAnsi"/>
          <w:b/>
          <w:u w:val="single"/>
        </w:rPr>
      </w:pPr>
      <w:r>
        <w:rPr>
          <w:rFonts w:cstheme="minorHAnsi"/>
        </w:rPr>
        <w:t xml:space="preserve">Various programs collecting information under this umbrella approval have consulted with the public informally on their views regarding this collection. </w:t>
      </w:r>
      <w:r w:rsidR="00F714E2">
        <w:rPr>
          <w:rFonts w:cstheme="minorHAnsi"/>
        </w:rPr>
        <w:t xml:space="preserve"> </w:t>
      </w:r>
      <w:r>
        <w:rPr>
          <w:rFonts w:cstheme="minorHAnsi"/>
        </w:rPr>
        <w:t xml:space="preserve">As these collections are low burden, no issues were raised regarding them. </w:t>
      </w:r>
    </w:p>
    <w:p w:rsidR="008C734C" w:rsidRPr="008645A9" w:rsidP="008C734C" w14:paraId="06A2BF01" w14:textId="77777777">
      <w:pPr>
        <w:pStyle w:val="Heading2"/>
        <w:rPr>
          <w:rFonts w:cstheme="minorHAnsi"/>
        </w:rPr>
      </w:pPr>
      <w:bookmarkStart w:id="9" w:name="_Toc80211581"/>
      <w:r w:rsidRPr="008645A9">
        <w:rPr>
          <w:rFonts w:cstheme="minorHAnsi"/>
        </w:rPr>
        <w:t>A.</w:t>
      </w:r>
      <w:r w:rsidRPr="008645A9" w:rsidR="00A41763">
        <w:rPr>
          <w:rFonts w:cstheme="minorHAnsi"/>
        </w:rPr>
        <w:t xml:space="preserve">9. </w:t>
      </w:r>
      <w:r w:rsidRPr="008645A9">
        <w:rPr>
          <w:rFonts w:cstheme="minorHAnsi"/>
        </w:rPr>
        <w:t>Payments or Gifts to Respondents</w:t>
      </w:r>
      <w:bookmarkEnd w:id="9"/>
      <w:r w:rsidRPr="008645A9">
        <w:rPr>
          <w:rFonts w:cstheme="minorHAnsi"/>
        </w:rPr>
        <w:t xml:space="preserve"> </w:t>
      </w:r>
    </w:p>
    <w:p w:rsidR="00A41763" w:rsidRPr="008645A9" w:rsidP="00A41763" w14:paraId="2C863E90" w14:textId="77777777">
      <w:pPr>
        <w:rPr>
          <w:rFonts w:cstheme="minorHAnsi"/>
        </w:rPr>
      </w:pPr>
      <w:r w:rsidRPr="008645A9">
        <w:rPr>
          <w:rFonts w:cstheme="minorHAnsi"/>
          <w:b/>
          <w:bCs/>
        </w:rPr>
        <w:t xml:space="preserve">Explain any decision to provide any payment or gift to respondents, other than </w:t>
      </w:r>
      <w:r w:rsidRPr="008645A9" w:rsidR="001A6E9A">
        <w:rPr>
          <w:rFonts w:cstheme="minorHAnsi"/>
          <w:b/>
          <w:bCs/>
        </w:rPr>
        <w:t>remuneration</w:t>
      </w:r>
      <w:r w:rsidRPr="008645A9">
        <w:rPr>
          <w:rFonts w:cstheme="minorHAnsi"/>
          <w:b/>
          <w:bCs/>
        </w:rPr>
        <w:t xml:space="preserve"> of contractors or grantees. </w:t>
      </w:r>
    </w:p>
    <w:p w:rsidR="004008D6" w:rsidRPr="008645A9" w:rsidP="004008D6" w14:paraId="351AF2CE" w14:textId="77777777">
      <w:pPr>
        <w:rPr>
          <w:rFonts w:cstheme="minorHAnsi"/>
        </w:rPr>
      </w:pPr>
      <w:r w:rsidRPr="008645A9">
        <w:rPr>
          <w:rFonts w:cstheme="minorHAnsi"/>
        </w:rPr>
        <w:t xml:space="preserve">DOE will not provide payment or other forms of remuneration to respondents.  </w:t>
      </w:r>
    </w:p>
    <w:p w:rsidR="008C734C" w:rsidRPr="008645A9" w:rsidP="008C734C" w14:paraId="65E1902A" w14:textId="77777777">
      <w:pPr>
        <w:pStyle w:val="Heading2"/>
        <w:rPr>
          <w:rFonts w:cstheme="minorHAnsi"/>
        </w:rPr>
      </w:pPr>
      <w:bookmarkStart w:id="10" w:name="_Toc80211582"/>
      <w:r w:rsidRPr="008645A9">
        <w:rPr>
          <w:rFonts w:cstheme="minorHAnsi"/>
        </w:rPr>
        <w:t>A.</w:t>
      </w:r>
      <w:r w:rsidRPr="008645A9" w:rsidR="00A41763">
        <w:rPr>
          <w:rFonts w:cstheme="minorHAnsi"/>
        </w:rPr>
        <w:t xml:space="preserve">10. </w:t>
      </w:r>
      <w:r w:rsidRPr="008645A9">
        <w:rPr>
          <w:rFonts w:cstheme="minorHAnsi"/>
        </w:rPr>
        <w:t>Provisions for Protection of Information</w:t>
      </w:r>
      <w:bookmarkEnd w:id="10"/>
      <w:r w:rsidRPr="008645A9">
        <w:rPr>
          <w:rFonts w:cstheme="minorHAnsi"/>
        </w:rPr>
        <w:t xml:space="preserve"> </w:t>
      </w:r>
    </w:p>
    <w:p w:rsidR="00A41763" w:rsidRPr="008645A9" w:rsidP="00A41763" w14:paraId="19649877" w14:textId="77777777">
      <w:pPr>
        <w:rPr>
          <w:rFonts w:cstheme="minorHAnsi"/>
        </w:rPr>
      </w:pPr>
      <w:r w:rsidRPr="008645A9">
        <w:rPr>
          <w:rFonts w:cstheme="minorHAnsi"/>
          <w:b/>
          <w:bCs/>
        </w:rPr>
        <w:t xml:space="preserve">Describe any assurance of confidentiality provided to respondents and the basis for the assurance in statute, regulation, or agency policy. </w:t>
      </w:r>
    </w:p>
    <w:p w:rsidR="004008D6" w:rsidRPr="008645A9" w:rsidP="004008D6" w14:paraId="4339D4B6" w14:textId="77777777">
      <w:pPr>
        <w:rPr>
          <w:rFonts w:cstheme="minorHAnsi"/>
        </w:rPr>
      </w:pPr>
      <w:r w:rsidRPr="008645A9">
        <w:rPr>
          <w:rFonts w:cstheme="minorHAnsi"/>
        </w:rPr>
        <w:t>If a confidentiality pledge is deemed useful and feasible, DOE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F056C3" w:rsidRPr="008645A9" w:rsidP="00F056C3" w14:paraId="1CA22EE6" w14:textId="77777777">
      <w:pPr>
        <w:pStyle w:val="Heading2"/>
        <w:rPr>
          <w:rFonts w:cstheme="minorHAnsi"/>
        </w:rPr>
      </w:pPr>
      <w:bookmarkStart w:id="11" w:name="_Toc80211583"/>
      <w:r w:rsidRPr="008645A9">
        <w:rPr>
          <w:rFonts w:cstheme="minorHAnsi"/>
        </w:rPr>
        <w:t>A.</w:t>
      </w:r>
      <w:r w:rsidRPr="008645A9" w:rsidR="00A41763">
        <w:rPr>
          <w:rFonts w:cstheme="minorHAnsi"/>
        </w:rPr>
        <w:t xml:space="preserve">11. </w:t>
      </w:r>
      <w:r w:rsidRPr="008645A9">
        <w:rPr>
          <w:rFonts w:cstheme="minorHAnsi"/>
        </w:rPr>
        <w:t>Justification for Sensitive Questions</w:t>
      </w:r>
      <w:bookmarkEnd w:id="11"/>
      <w:r w:rsidRPr="008645A9">
        <w:rPr>
          <w:rFonts w:cstheme="minorHAnsi"/>
        </w:rPr>
        <w:t xml:space="preserve"> </w:t>
      </w:r>
    </w:p>
    <w:p w:rsidR="00A41763" w:rsidRPr="008645A9" w:rsidP="00A41763" w14:paraId="14EDECCC" w14:textId="77777777">
      <w:pPr>
        <w:rPr>
          <w:rFonts w:cstheme="minorHAnsi"/>
        </w:rPr>
      </w:pPr>
      <w:r w:rsidRPr="008645A9">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8645A9" w:rsidR="00F056C3">
        <w:rPr>
          <w:rFonts w:cstheme="minorHAnsi"/>
          <w:b/>
          <w:bCs/>
        </w:rPr>
        <w:t>s to be made of the information</w:t>
      </w:r>
      <w:r w:rsidRPr="008645A9">
        <w:rPr>
          <w:rFonts w:cstheme="minorHAnsi"/>
          <w:b/>
          <w:bCs/>
        </w:rPr>
        <w:t xml:space="preserve">, the explanation to be given to persons from whom the information is requested, and any steps to be taken to obtain their consent. </w:t>
      </w:r>
    </w:p>
    <w:p w:rsidR="004008D6" w:rsidRPr="008645A9" w:rsidP="004008D6" w14:paraId="06A20D47" w14:textId="77777777">
      <w:pPr>
        <w:rPr>
          <w:rFonts w:cstheme="minorHAnsi"/>
        </w:rPr>
      </w:pPr>
      <w:r w:rsidRPr="008645A9">
        <w:rPr>
          <w:rFonts w:cstheme="minorHAnsi"/>
        </w:rPr>
        <w:t>No questions will be asked that are of a personal or sensitive nature.</w:t>
      </w:r>
    </w:p>
    <w:p w:rsidR="00F056C3" w:rsidRPr="008645A9" w:rsidP="00F056C3" w14:paraId="11E414FE" w14:textId="77777777">
      <w:pPr>
        <w:pStyle w:val="Heading2"/>
        <w:rPr>
          <w:rFonts w:cstheme="minorHAnsi"/>
        </w:rPr>
      </w:pPr>
      <w:bookmarkStart w:id="12" w:name="_Toc80211584"/>
      <w:r w:rsidRPr="008645A9">
        <w:rPr>
          <w:rFonts w:cstheme="minorHAnsi"/>
        </w:rPr>
        <w:t>A.</w:t>
      </w:r>
      <w:r w:rsidRPr="008645A9" w:rsidR="00A41763">
        <w:rPr>
          <w:rFonts w:cstheme="minorHAnsi"/>
        </w:rPr>
        <w:t>12</w:t>
      </w:r>
      <w:r w:rsidRPr="008645A9" w:rsidR="006F3C12">
        <w:rPr>
          <w:rFonts w:cstheme="minorHAnsi"/>
        </w:rPr>
        <w:t>A</w:t>
      </w:r>
      <w:r w:rsidRPr="008645A9" w:rsidR="00A41763">
        <w:rPr>
          <w:rFonts w:cstheme="minorHAnsi"/>
        </w:rPr>
        <w:t xml:space="preserve">. </w:t>
      </w:r>
      <w:r w:rsidRPr="008645A9">
        <w:rPr>
          <w:rFonts w:cstheme="minorHAnsi"/>
        </w:rPr>
        <w:t>Estimate of Respondent Burden Hours</w:t>
      </w:r>
      <w:bookmarkEnd w:id="12"/>
      <w:r w:rsidRPr="008645A9">
        <w:rPr>
          <w:rFonts w:cstheme="minorHAnsi"/>
        </w:rPr>
        <w:t xml:space="preserve"> </w:t>
      </w:r>
    </w:p>
    <w:p w:rsidR="00AC69E8" w:rsidRPr="008645A9" w:rsidP="00AC69E8" w14:paraId="76061096" w14:textId="77777777">
      <w:pPr>
        <w:pStyle w:val="Default"/>
        <w:rPr>
          <w:rFonts w:asciiTheme="minorHAnsi" w:hAnsiTheme="minorHAnsi" w:cstheme="minorHAnsi"/>
        </w:rPr>
      </w:pPr>
      <w:r w:rsidRPr="008645A9">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8645A9">
        <w:rPr>
          <w:rFonts w:asciiTheme="minorHAnsi" w:hAnsiTheme="minorHAnsi" w:cstheme="minorHAnsi"/>
          <w:b/>
          <w:bCs/>
          <w:u w:val="single"/>
        </w:rPr>
        <w:t>an explanation of how the burden was estimated</w:t>
      </w:r>
      <w:r w:rsidRPr="008645A9">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4008D6" w:rsidRPr="008645A9" w:rsidP="004008D6" w14:paraId="61B75329" w14:textId="77777777">
      <w:pPr>
        <w:rPr>
          <w:rFonts w:cstheme="minorHAnsi"/>
        </w:rPr>
      </w:pPr>
      <w:r>
        <w:rPr>
          <w:rFonts w:cstheme="minorHAnsi"/>
        </w:rPr>
        <w:br/>
      </w:r>
      <w:r w:rsidRPr="008645A9">
        <w:rPr>
          <w:rFonts w:cstheme="minorHAnsi"/>
        </w:rPr>
        <w:t xml:space="preserve">A variety of instruments and platforms will be used to collect information from respondents.  The total burden hours </w:t>
      </w:r>
      <w:r w:rsidRPr="008645A9" w:rsidR="008A2B5F">
        <w:rPr>
          <w:rFonts w:cstheme="minorHAnsi"/>
        </w:rPr>
        <w:t xml:space="preserve">(74,000) </w:t>
      </w:r>
      <w:r w:rsidRPr="008645A9">
        <w:rPr>
          <w:rFonts w:cstheme="minorHAnsi"/>
        </w:rPr>
        <w:t xml:space="preserve">and responses </w:t>
      </w:r>
      <w:r w:rsidRPr="008645A9" w:rsidR="008A2B5F">
        <w:rPr>
          <w:rFonts w:cstheme="minorHAnsi"/>
        </w:rPr>
        <w:t xml:space="preserve">(200,000) </w:t>
      </w:r>
      <w:r w:rsidRPr="008645A9">
        <w:rPr>
          <w:rFonts w:cstheme="minorHAnsi"/>
        </w:rPr>
        <w:t xml:space="preserve">are based on </w:t>
      </w:r>
      <w:r w:rsidRPr="008645A9" w:rsidR="008A2B5F">
        <w:rPr>
          <w:rFonts w:cstheme="minorHAnsi"/>
        </w:rPr>
        <w:t>an average of the collections from the last three approval</w:t>
      </w:r>
      <w:r w:rsidR="00AD4BFE">
        <w:rPr>
          <w:rFonts w:cstheme="minorHAnsi"/>
        </w:rPr>
        <w:t xml:space="preserve"> cycles</w:t>
      </w:r>
      <w:r w:rsidRPr="008645A9" w:rsidR="008A2B5F">
        <w:rPr>
          <w:rFonts w:cstheme="minorHAnsi"/>
        </w:rPr>
        <w:t xml:space="preserve">, and </w:t>
      </w:r>
      <w:r w:rsidRPr="008645A9">
        <w:rPr>
          <w:rFonts w:cstheme="minorHAnsi"/>
        </w:rPr>
        <w:t xml:space="preserve">the number of collections we expect to conduct over the requested three year approval period for this clearance.  </w:t>
      </w:r>
    </w:p>
    <w:tbl>
      <w:tblPr>
        <w:tblW w:w="10020" w:type="dxa"/>
        <w:tblLook w:val="04A0"/>
      </w:tblPr>
      <w:tblGrid>
        <w:gridCol w:w="2848"/>
        <w:gridCol w:w="1296"/>
        <w:gridCol w:w="1296"/>
        <w:gridCol w:w="1158"/>
        <w:gridCol w:w="1157"/>
        <w:gridCol w:w="1155"/>
        <w:gridCol w:w="1110"/>
      </w:tblGrid>
      <w:tr w14:paraId="4E8227FD" w14:textId="77777777" w:rsidTr="006F3C12">
        <w:tblPrEx>
          <w:tblW w:w="10020" w:type="dxa"/>
          <w:tblLook w:val="04A0"/>
        </w:tblPrEx>
        <w:trPr>
          <w:trHeight w:val="360"/>
        </w:trPr>
        <w:tc>
          <w:tcPr>
            <w:tcW w:w="8910" w:type="dxa"/>
            <w:gridSpan w:val="6"/>
            <w:tcBorders>
              <w:top w:val="nil"/>
              <w:left w:val="nil"/>
              <w:bottom w:val="single" w:sz="4" w:space="0" w:color="auto"/>
              <w:right w:val="nil"/>
            </w:tcBorders>
            <w:hideMark/>
          </w:tcPr>
          <w:p w:rsidR="006F3C12" w:rsidRPr="008645A9" w:rsidP="006F3C12" w14:paraId="50FE31B9" w14:textId="77777777">
            <w:pPr>
              <w:spacing w:after="0" w:line="240" w:lineRule="auto"/>
              <w:jc w:val="center"/>
              <w:rPr>
                <w:rFonts w:eastAsia="Times New Roman" w:cstheme="minorHAnsi"/>
                <w:b/>
                <w:bCs/>
                <w:color w:val="0070C0"/>
                <w:sz w:val="28"/>
                <w:szCs w:val="28"/>
              </w:rPr>
            </w:pPr>
            <w:r w:rsidRPr="008645A9">
              <w:rPr>
                <w:rFonts w:eastAsia="Times New Roman" w:cstheme="minorHAnsi"/>
                <w:b/>
                <w:bCs/>
                <w:color w:val="0070C0"/>
                <w:sz w:val="28"/>
                <w:szCs w:val="28"/>
              </w:rPr>
              <w:t xml:space="preserve">Table A1. Estimated Respondent </w:t>
            </w:r>
            <w:r w:rsidRPr="008645A9" w:rsidR="00537A91">
              <w:rPr>
                <w:rFonts w:eastAsia="Times New Roman" w:cstheme="minorHAnsi"/>
                <w:b/>
                <w:bCs/>
                <w:color w:val="0070C0"/>
                <w:sz w:val="28"/>
                <w:szCs w:val="28"/>
              </w:rPr>
              <w:t xml:space="preserve">Hour </w:t>
            </w:r>
            <w:r w:rsidRPr="008645A9">
              <w:rPr>
                <w:rFonts w:eastAsia="Times New Roman" w:cstheme="minorHAnsi"/>
                <w:b/>
                <w:bCs/>
                <w:color w:val="0070C0"/>
                <w:sz w:val="28"/>
                <w:szCs w:val="28"/>
              </w:rPr>
              <w:t>Burden</w:t>
            </w:r>
          </w:p>
        </w:tc>
        <w:tc>
          <w:tcPr>
            <w:tcW w:w="1110" w:type="dxa"/>
            <w:tcBorders>
              <w:top w:val="nil"/>
              <w:left w:val="nil"/>
              <w:bottom w:val="nil"/>
              <w:right w:val="nil"/>
            </w:tcBorders>
            <w:noWrap/>
            <w:vAlign w:val="bottom"/>
            <w:hideMark/>
          </w:tcPr>
          <w:p w:rsidR="006F3C12" w:rsidRPr="008645A9" w:rsidP="006F3C12" w14:paraId="42C65A47" w14:textId="77777777">
            <w:pPr>
              <w:spacing w:after="0" w:line="240" w:lineRule="auto"/>
              <w:jc w:val="center"/>
              <w:rPr>
                <w:rFonts w:eastAsia="Times New Roman" w:cstheme="minorHAnsi"/>
                <w:b/>
                <w:bCs/>
                <w:color w:val="0070C0"/>
                <w:sz w:val="28"/>
                <w:szCs w:val="28"/>
              </w:rPr>
            </w:pPr>
          </w:p>
        </w:tc>
      </w:tr>
      <w:tr w14:paraId="551686BA"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8645A9" w:rsidP="006F3C12" w14:paraId="7244F8B6"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8645A9" w:rsidP="006F3C12" w14:paraId="5B065C38"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8645A9" w:rsidP="006F3C12" w14:paraId="1E0CC529"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8645A9" w:rsidP="006F3C12" w14:paraId="6AF47030"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8645A9" w:rsidP="006F3C12" w14:paraId="3E80C76A"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8645A9" w:rsidP="006F3C12" w14:paraId="6D6F0F96"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8645A9" w:rsidP="006F3C12" w14:paraId="58B5E4C7"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Reporting Frequency</w:t>
            </w:r>
          </w:p>
        </w:tc>
      </w:tr>
      <w:tr w14:paraId="770F0803"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8645A9" w:rsidP="006F3C12" w14:paraId="5C3B5EA4"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r w:rsidR="00BA5599">
              <w:rPr>
                <w:rFonts w:eastAsia="Times New Roman" w:cstheme="minorHAnsi"/>
                <w:color w:val="000000"/>
                <w:sz w:val="20"/>
                <w:szCs w:val="20"/>
              </w:rPr>
              <w:t>Various Instruments</w:t>
            </w:r>
          </w:p>
        </w:tc>
        <w:tc>
          <w:tcPr>
            <w:tcW w:w="1296" w:type="dxa"/>
            <w:tcBorders>
              <w:top w:val="nil"/>
              <w:left w:val="nil"/>
              <w:bottom w:val="single" w:sz="4" w:space="0" w:color="auto"/>
              <w:right w:val="single" w:sz="4" w:space="0" w:color="auto"/>
            </w:tcBorders>
            <w:noWrap/>
            <w:vAlign w:val="bottom"/>
            <w:hideMark/>
          </w:tcPr>
          <w:p w:rsidR="006F3C12" w:rsidRPr="008645A9" w:rsidP="006F3C12" w14:paraId="6CAAA7F2"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noWrap/>
            <w:vAlign w:val="bottom"/>
            <w:hideMark/>
          </w:tcPr>
          <w:p w:rsidR="006F3C12" w:rsidRPr="008645A9" w:rsidP="008645A9" w14:paraId="69F9DE1B"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r w:rsidRPr="008645A9" w:rsidR="00A15AFB">
              <w:rPr>
                <w:rFonts w:eastAsia="Times New Roman" w:cstheme="minorHAnsi"/>
                <w:color w:val="000000"/>
                <w:sz w:val="20"/>
                <w:szCs w:val="20"/>
              </w:rPr>
              <w:t>200</w:t>
            </w:r>
            <w:r w:rsidR="00BA5599">
              <w:rPr>
                <w:rFonts w:eastAsia="Times New Roman" w:cstheme="minorHAnsi"/>
                <w:color w:val="000000"/>
                <w:sz w:val="20"/>
                <w:szCs w:val="20"/>
              </w:rPr>
              <w:t>,</w:t>
            </w:r>
            <w:r w:rsidRPr="008645A9" w:rsidR="00A15AFB">
              <w:rPr>
                <w:rFonts w:eastAsia="Times New Roman" w:cstheme="minorHAnsi"/>
                <w:color w:val="000000"/>
                <w:sz w:val="20"/>
                <w:szCs w:val="20"/>
              </w:rPr>
              <w:t>000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31CAA0EE"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200</w:t>
            </w:r>
            <w:r w:rsidR="00BA5599">
              <w:rPr>
                <w:rFonts w:eastAsia="Times New Roman" w:cstheme="minorHAnsi"/>
                <w:color w:val="000000"/>
                <w:sz w:val="20"/>
                <w:szCs w:val="20"/>
              </w:rPr>
              <w:t>,</w:t>
            </w:r>
            <w:r w:rsidRPr="008645A9">
              <w:rPr>
                <w:rFonts w:eastAsia="Times New Roman" w:cstheme="minorHAnsi"/>
                <w:color w:val="000000"/>
                <w:sz w:val="20"/>
                <w:szCs w:val="20"/>
              </w:rPr>
              <w:t>000</w:t>
            </w:r>
          </w:p>
        </w:tc>
        <w:tc>
          <w:tcPr>
            <w:tcW w:w="1157" w:type="dxa"/>
            <w:tcBorders>
              <w:top w:val="nil"/>
              <w:left w:val="nil"/>
              <w:bottom w:val="single" w:sz="4" w:space="0" w:color="auto"/>
              <w:right w:val="single" w:sz="4" w:space="0" w:color="auto"/>
            </w:tcBorders>
            <w:noWrap/>
            <w:vAlign w:val="bottom"/>
            <w:hideMark/>
          </w:tcPr>
          <w:p w:rsidR="006F3C12" w:rsidRPr="008645A9" w:rsidP="008645A9" w14:paraId="458C8C3F"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0.37</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3BED3929"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74</w:t>
            </w:r>
            <w:r w:rsidR="00BA5599">
              <w:rPr>
                <w:rFonts w:eastAsia="Times New Roman" w:cstheme="minorHAnsi"/>
                <w:color w:val="000000"/>
                <w:sz w:val="20"/>
                <w:szCs w:val="20"/>
              </w:rPr>
              <w:t>,</w:t>
            </w:r>
            <w:r w:rsidRPr="008645A9">
              <w:rPr>
                <w:rFonts w:eastAsia="Times New Roman" w:cstheme="minorHAnsi"/>
                <w:color w:val="000000"/>
                <w:sz w:val="20"/>
                <w:szCs w:val="20"/>
              </w:rPr>
              <w:t>000</w:t>
            </w:r>
          </w:p>
        </w:tc>
        <w:tc>
          <w:tcPr>
            <w:tcW w:w="1110" w:type="dxa"/>
            <w:tcBorders>
              <w:top w:val="nil"/>
              <w:left w:val="nil"/>
              <w:bottom w:val="single" w:sz="4" w:space="0" w:color="auto"/>
              <w:right w:val="single" w:sz="4" w:space="0" w:color="auto"/>
            </w:tcBorders>
            <w:noWrap/>
            <w:vAlign w:val="bottom"/>
            <w:hideMark/>
          </w:tcPr>
          <w:p w:rsidR="006F3C12" w:rsidRPr="008645A9" w:rsidP="006F3C12" w14:paraId="16B69F6E"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1</w:t>
            </w:r>
          </w:p>
        </w:tc>
      </w:tr>
      <w:tr w14:paraId="2FDD71AF"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8645A9" w:rsidP="006F3C12" w14:paraId="16B35F1E"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noWrap/>
            <w:vAlign w:val="bottom"/>
            <w:hideMark/>
          </w:tcPr>
          <w:p w:rsidR="006F3C12" w:rsidRPr="008645A9" w:rsidP="006F3C12" w14:paraId="7A54B778"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sz="4" w:space="0" w:color="auto"/>
              <w:right w:val="single" w:sz="4" w:space="0" w:color="auto"/>
            </w:tcBorders>
            <w:noWrap/>
            <w:vAlign w:val="bottom"/>
            <w:hideMark/>
          </w:tcPr>
          <w:p w:rsidR="006F3C12" w:rsidRPr="008645A9" w:rsidP="008645A9" w14:paraId="1F0F71EE"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2E926A57" w14:textId="77777777">
            <w:pPr>
              <w:spacing w:after="0" w:line="240" w:lineRule="auto"/>
              <w:jc w:val="right"/>
              <w:rPr>
                <w:rFonts w:eastAsia="Times New Roman" w:cstheme="minorHAnsi"/>
                <w:color w:val="000000"/>
                <w:sz w:val="20"/>
                <w:szCs w:val="20"/>
              </w:rPr>
            </w:pPr>
          </w:p>
        </w:tc>
        <w:tc>
          <w:tcPr>
            <w:tcW w:w="1157" w:type="dxa"/>
            <w:tcBorders>
              <w:top w:val="nil"/>
              <w:left w:val="nil"/>
              <w:bottom w:val="single" w:sz="4" w:space="0" w:color="auto"/>
              <w:right w:val="single" w:sz="4" w:space="0" w:color="auto"/>
            </w:tcBorders>
            <w:noWrap/>
            <w:vAlign w:val="bottom"/>
            <w:hideMark/>
          </w:tcPr>
          <w:p w:rsidR="006F3C12" w:rsidRPr="008645A9" w:rsidP="008645A9" w14:paraId="42064BE5"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069A6431" w14:textId="77777777">
            <w:pPr>
              <w:spacing w:after="0" w:line="240" w:lineRule="auto"/>
              <w:jc w:val="right"/>
              <w:rPr>
                <w:rFonts w:eastAsia="Times New Roman" w:cstheme="minorHAnsi"/>
                <w:color w:val="000000"/>
                <w:sz w:val="20"/>
                <w:szCs w:val="20"/>
              </w:rPr>
            </w:pPr>
          </w:p>
        </w:tc>
        <w:tc>
          <w:tcPr>
            <w:tcW w:w="1110" w:type="dxa"/>
            <w:tcBorders>
              <w:top w:val="nil"/>
              <w:left w:val="nil"/>
              <w:bottom w:val="single" w:sz="4" w:space="0" w:color="auto"/>
              <w:right w:val="single" w:sz="4" w:space="0" w:color="auto"/>
            </w:tcBorders>
            <w:noWrap/>
            <w:vAlign w:val="bottom"/>
            <w:hideMark/>
          </w:tcPr>
          <w:p w:rsidR="006F3C12" w:rsidRPr="008645A9" w:rsidP="006F3C12" w14:paraId="6C0250AA"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r>
      <w:tr w14:paraId="2ACEAE4E"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vAlign w:val="bottom"/>
            <w:hideMark/>
          </w:tcPr>
          <w:p w:rsidR="006F3C12" w:rsidRPr="008645A9" w:rsidP="006F3C12" w14:paraId="5D5F1E04"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8645A9" w:rsidP="006F3C12" w14:paraId="250F5852"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58BC0599"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200,000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402FA72F"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200,000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8645A9" w:rsidP="008645A9" w14:paraId="7F2D7F6D"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8645A9" w:rsidP="008645A9" w14:paraId="0F7E7222"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74,000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8645A9" w:rsidP="006F3C12" w14:paraId="00ED4DCF"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r>
    </w:tbl>
    <w:p w:rsidR="00AE6862" w:rsidRPr="008645A9" w:rsidP="00A41763" w14:paraId="5601B157" w14:textId="77777777">
      <w:pPr>
        <w:rPr>
          <w:rFonts w:cstheme="minorHAnsi"/>
        </w:rPr>
      </w:pPr>
    </w:p>
    <w:p w:rsidR="006F3C12" w:rsidRPr="008645A9" w:rsidP="0AC7271D" w14:paraId="19FD3521" w14:textId="77777777">
      <w:pPr>
        <w:pStyle w:val="Heading2"/>
        <w:rPr>
          <w:rFonts w:cstheme="minorBidi"/>
        </w:rPr>
      </w:pPr>
      <w:bookmarkStart w:id="13" w:name="_Toc80211585"/>
      <w:r w:rsidRPr="0AC7271D">
        <w:rPr>
          <w:rFonts w:cstheme="minorBidi"/>
        </w:rPr>
        <w:t>A.12B. Estimate of Annual Cost to Respondent for Burden Hours</w:t>
      </w:r>
      <w:bookmarkEnd w:id="13"/>
      <w:r w:rsidRPr="0AC7271D">
        <w:rPr>
          <w:rFonts w:cstheme="minorBidi"/>
        </w:rPr>
        <w:t xml:space="preserve"> </w:t>
      </w:r>
    </w:p>
    <w:p w:rsidR="000B43BF" w:rsidRPr="008645A9" w:rsidP="000B43BF" w14:paraId="21EBFEF8" w14:textId="77777777">
      <w:pPr>
        <w:pStyle w:val="Default"/>
        <w:rPr>
          <w:rFonts w:asciiTheme="minorHAnsi" w:hAnsiTheme="minorHAnsi" w:cstheme="minorHAnsi"/>
          <w:b/>
          <w:bCs/>
        </w:rPr>
      </w:pPr>
      <w:r w:rsidRPr="008645A9">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8645A9" w:rsidP="000B43BF" w14:paraId="75A12A9C" w14:textId="77777777">
      <w:pPr>
        <w:pStyle w:val="Default"/>
        <w:rPr>
          <w:rFonts w:asciiTheme="minorHAnsi" w:hAnsiTheme="minorHAnsi" w:cstheme="minorHAnsi"/>
          <w:b/>
          <w:bCs/>
        </w:rPr>
      </w:pPr>
    </w:p>
    <w:p w:rsidR="00242E9E" w:rsidP="481CE96A" w14:paraId="42EC9D8E" w14:textId="77777777">
      <w:r>
        <w:t xml:space="preserve">DOE estimates a cost to respondents of $3,796,200. </w:t>
      </w:r>
      <w:r w:rsidR="00F714E2">
        <w:t xml:space="preserve"> </w:t>
      </w:r>
      <w:r>
        <w:t>The hourly wage rate used is based on a BLS rate for private industry workers ($</w:t>
      </w:r>
      <w:r w:rsidRPr="49234B87" w:rsidR="55C23C95">
        <w:rPr>
          <w:rFonts w:ascii="Tahoma" w:eastAsia="Tahoma" w:hAnsi="Tahoma" w:cs="Tahoma"/>
          <w:color w:val="000000" w:themeColor="text1"/>
          <w:sz w:val="20"/>
          <w:szCs w:val="20"/>
        </w:rPr>
        <w:t>45.65</w:t>
      </w:r>
      <w:r w:rsidRPr="49234B87" w:rsidR="55C23C95">
        <w:rPr>
          <w:rFonts w:ascii="Calibri" w:eastAsia="Calibri" w:hAnsi="Calibri" w:cs="Calibri"/>
        </w:rPr>
        <w:t xml:space="preserve"> </w:t>
      </w:r>
      <w:r>
        <w:t>)</w:t>
      </w:r>
      <w:r>
        <w:rPr>
          <w:rStyle w:val="FootnoteReference"/>
        </w:rPr>
        <w:footnoteReference w:id="3"/>
      </w:r>
      <w:r>
        <w:t>, plus a 1.4 multiplier for benefits ($</w:t>
      </w:r>
      <w:r w:rsidR="46979E1E">
        <w:t>63.91</w:t>
      </w:r>
      <w:r>
        <w:t>).</w:t>
      </w:r>
    </w:p>
    <w:tbl>
      <w:tblPr>
        <w:tblW w:w="11316" w:type="dxa"/>
        <w:tblLook w:val="04A0"/>
      </w:tblPr>
      <w:tblGrid>
        <w:gridCol w:w="2226"/>
        <w:gridCol w:w="2184"/>
        <w:gridCol w:w="1890"/>
        <w:gridCol w:w="2424"/>
        <w:gridCol w:w="1296"/>
        <w:gridCol w:w="1296"/>
      </w:tblGrid>
      <w:tr w14:paraId="6E71AC5F" w14:textId="77777777" w:rsidTr="325B7422">
        <w:tblPrEx>
          <w:tblW w:w="11316" w:type="dxa"/>
          <w:tblLook w:val="04A0"/>
        </w:tblPrEx>
        <w:trPr>
          <w:trHeight w:val="360"/>
        </w:trPr>
        <w:tc>
          <w:tcPr>
            <w:tcW w:w="8724" w:type="dxa"/>
            <w:gridSpan w:val="4"/>
            <w:tcBorders>
              <w:top w:val="nil"/>
              <w:left w:val="nil"/>
              <w:bottom w:val="single" w:sz="4" w:space="0" w:color="auto"/>
              <w:right w:val="nil"/>
            </w:tcBorders>
            <w:hideMark/>
          </w:tcPr>
          <w:p w:rsidR="00D47759" w:rsidRPr="008645A9" w:rsidP="008F16EC" w14:paraId="0A65263C" w14:textId="77777777">
            <w:pPr>
              <w:spacing w:after="0" w:line="240" w:lineRule="auto"/>
              <w:jc w:val="center"/>
              <w:rPr>
                <w:rFonts w:eastAsia="Times New Roman" w:cstheme="minorHAnsi"/>
                <w:b/>
                <w:bCs/>
                <w:color w:val="0070C0"/>
                <w:sz w:val="28"/>
                <w:szCs w:val="28"/>
              </w:rPr>
            </w:pPr>
            <w:r w:rsidRPr="008645A9">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tcPr>
          <w:p w:rsidR="00D47759" w:rsidRPr="008645A9" w:rsidP="008F16EC" w14:paraId="65787083" w14:textId="77777777">
            <w:pPr>
              <w:spacing w:after="0" w:line="240" w:lineRule="auto"/>
              <w:jc w:val="center"/>
              <w:rPr>
                <w:rFonts w:eastAsia="Times New Roman" w:cstheme="minorHAnsi"/>
                <w:b/>
                <w:bCs/>
                <w:color w:val="0070C0"/>
                <w:sz w:val="28"/>
                <w:szCs w:val="28"/>
              </w:rPr>
            </w:pPr>
          </w:p>
        </w:tc>
        <w:tc>
          <w:tcPr>
            <w:tcW w:w="1296" w:type="dxa"/>
            <w:tcBorders>
              <w:top w:val="nil"/>
              <w:left w:val="nil"/>
              <w:bottom w:val="nil"/>
              <w:right w:val="nil"/>
            </w:tcBorders>
            <w:noWrap/>
            <w:vAlign w:val="bottom"/>
            <w:hideMark/>
          </w:tcPr>
          <w:p w:rsidR="00D47759" w:rsidRPr="008645A9" w:rsidP="008F16EC" w14:paraId="58812B94" w14:textId="77777777">
            <w:pPr>
              <w:spacing w:after="0" w:line="240" w:lineRule="auto"/>
              <w:jc w:val="center"/>
              <w:rPr>
                <w:rFonts w:eastAsia="Times New Roman" w:cstheme="minorHAnsi"/>
                <w:b/>
                <w:bCs/>
                <w:color w:val="0070C0"/>
                <w:sz w:val="28"/>
                <w:szCs w:val="28"/>
              </w:rPr>
            </w:pPr>
          </w:p>
        </w:tc>
      </w:tr>
      <w:tr w14:paraId="473CB46D" w14:textId="77777777" w:rsidTr="325B7422">
        <w:tblPrEx>
          <w:tblW w:w="11316"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47759" w:rsidRPr="008645A9" w:rsidP="008F16EC" w14:paraId="19EEB006"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47759" w:rsidRPr="008645A9" w:rsidP="008F16EC" w14:paraId="74E3A53A"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47759" w:rsidRPr="008645A9" w:rsidP="008F16EC" w14:paraId="5C46941C"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47759" w:rsidRPr="008645A9" w:rsidP="008F16EC" w14:paraId="1AACE1B2"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Total Respondent Costs</w:t>
            </w:r>
          </w:p>
        </w:tc>
        <w:tc>
          <w:tcPr>
            <w:tcW w:w="1296" w:type="dxa"/>
            <w:tcBorders>
              <w:top w:val="nil"/>
              <w:left w:val="nil"/>
              <w:bottom w:val="single" w:sz="4" w:space="0" w:color="auto"/>
              <w:right w:val="single" w:sz="4" w:space="0" w:color="auto"/>
            </w:tcBorders>
            <w:shd w:val="clear" w:color="auto" w:fill="00B0F0"/>
          </w:tcPr>
          <w:p w:rsidR="00D47759" w:rsidRPr="008645A9" w:rsidP="008F16EC" w14:paraId="755B363D" w14:textId="77777777">
            <w:pPr>
              <w:spacing w:after="0" w:line="240" w:lineRule="auto"/>
              <w:jc w:val="center"/>
              <w:rPr>
                <w:rFonts w:eastAsia="Times New Roman" w:cstheme="minorHAnsi"/>
                <w:b/>
                <w:bCs/>
                <w:sz w:val="20"/>
                <w:szCs w:val="20"/>
              </w:rPr>
            </w:pPr>
          </w:p>
        </w:tc>
      </w:tr>
      <w:tr w14:paraId="70513981" w14:textId="77777777" w:rsidTr="325B7422">
        <w:tblPrEx>
          <w:tblW w:w="11316"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47759" w:rsidRPr="008645A9" w:rsidP="008F16EC" w14:paraId="7EE29395"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xml:space="preserve"> Private </w:t>
            </w:r>
          </w:p>
        </w:tc>
        <w:tc>
          <w:tcPr>
            <w:tcW w:w="2184" w:type="dxa"/>
            <w:tcBorders>
              <w:top w:val="nil"/>
              <w:left w:val="nil"/>
              <w:bottom w:val="single" w:sz="4" w:space="0" w:color="auto"/>
              <w:right w:val="single" w:sz="4" w:space="0" w:color="auto"/>
            </w:tcBorders>
            <w:noWrap/>
            <w:vAlign w:val="bottom"/>
            <w:hideMark/>
          </w:tcPr>
          <w:p w:rsidR="00D47759" w:rsidRPr="008645A9" w:rsidP="008F16EC" w14:paraId="5544C11A"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74</w:t>
            </w:r>
            <w:r w:rsidR="002964F4">
              <w:rPr>
                <w:rFonts w:eastAsia="Times New Roman" w:cstheme="minorHAnsi"/>
                <w:color w:val="000000"/>
                <w:sz w:val="20"/>
                <w:szCs w:val="20"/>
              </w:rPr>
              <w:t>,</w:t>
            </w:r>
            <w:r w:rsidRPr="008645A9">
              <w:rPr>
                <w:rFonts w:eastAsia="Times New Roman" w:cstheme="minorHAnsi"/>
                <w:color w:val="000000"/>
                <w:sz w:val="20"/>
                <w:szCs w:val="20"/>
              </w:rPr>
              <w:t>000</w:t>
            </w:r>
          </w:p>
        </w:tc>
        <w:tc>
          <w:tcPr>
            <w:tcW w:w="1890" w:type="dxa"/>
            <w:tcBorders>
              <w:top w:val="nil"/>
              <w:left w:val="nil"/>
              <w:bottom w:val="single" w:sz="4" w:space="0" w:color="auto"/>
              <w:right w:val="single" w:sz="4" w:space="0" w:color="auto"/>
            </w:tcBorders>
            <w:noWrap/>
            <w:vAlign w:val="bottom"/>
            <w:hideMark/>
          </w:tcPr>
          <w:p w:rsidR="00D47759" w:rsidRPr="008645A9" w:rsidP="49234B87" w14:paraId="49B0D398" w14:textId="77777777">
            <w:pPr>
              <w:spacing w:after="0" w:line="240" w:lineRule="auto"/>
              <w:rPr>
                <w:rFonts w:eastAsia="Times New Roman"/>
                <w:color w:val="000000"/>
                <w:sz w:val="20"/>
                <w:szCs w:val="20"/>
              </w:rPr>
            </w:pPr>
            <w:r w:rsidRPr="49234B87">
              <w:rPr>
                <w:rFonts w:eastAsia="Times New Roman"/>
                <w:color w:val="000000" w:themeColor="text1"/>
                <w:sz w:val="20"/>
                <w:szCs w:val="20"/>
              </w:rPr>
              <w:t> </w:t>
            </w:r>
            <w:r w:rsidRPr="49234B87" w:rsidR="13EDADA8">
              <w:rPr>
                <w:rFonts w:eastAsia="Times New Roman"/>
                <w:color w:val="000000" w:themeColor="text1"/>
                <w:sz w:val="20"/>
                <w:szCs w:val="20"/>
              </w:rPr>
              <w:t>63.91</w:t>
            </w:r>
          </w:p>
        </w:tc>
        <w:tc>
          <w:tcPr>
            <w:tcW w:w="2424" w:type="dxa"/>
            <w:tcBorders>
              <w:top w:val="nil"/>
              <w:left w:val="nil"/>
              <w:bottom w:val="single" w:sz="4" w:space="0" w:color="auto"/>
              <w:right w:val="single" w:sz="4" w:space="0" w:color="auto"/>
            </w:tcBorders>
            <w:shd w:val="clear" w:color="auto" w:fill="E2A5AC"/>
            <w:noWrap/>
            <w:vAlign w:val="bottom"/>
            <w:hideMark/>
          </w:tcPr>
          <w:p w:rsidR="00D47759" w:rsidRPr="008645A9" w:rsidP="325B7422" w14:paraId="1FB23D32" w14:textId="77777777">
            <w:pPr>
              <w:spacing w:after="0" w:line="240" w:lineRule="auto"/>
              <w:jc w:val="right"/>
              <w:rPr>
                <w:rFonts w:eastAsia="Times New Roman"/>
                <w:color w:val="000000"/>
                <w:sz w:val="20"/>
                <w:szCs w:val="20"/>
              </w:rPr>
            </w:pPr>
            <w:r w:rsidRPr="325B7422">
              <w:rPr>
                <w:rFonts w:eastAsia="Times New Roman"/>
                <w:color w:val="000000" w:themeColor="text1"/>
                <w:sz w:val="20"/>
                <w:szCs w:val="20"/>
              </w:rPr>
              <w:t>$</w:t>
            </w:r>
            <w:r w:rsidRPr="325B7422" w:rsidR="46507866">
              <w:rPr>
                <w:rFonts w:eastAsia="Times New Roman"/>
                <w:color w:val="000000" w:themeColor="text1"/>
                <w:sz w:val="20"/>
                <w:szCs w:val="20"/>
              </w:rPr>
              <w:t>4,729,340</w:t>
            </w:r>
          </w:p>
        </w:tc>
        <w:tc>
          <w:tcPr>
            <w:tcW w:w="1296" w:type="dxa"/>
            <w:tcBorders>
              <w:top w:val="nil"/>
              <w:left w:val="nil"/>
              <w:bottom w:val="single" w:sz="4" w:space="0" w:color="auto"/>
              <w:right w:val="single" w:sz="4" w:space="0" w:color="auto"/>
            </w:tcBorders>
            <w:shd w:val="clear" w:color="auto" w:fill="E2A5AC"/>
          </w:tcPr>
          <w:p w:rsidR="00D47759" w:rsidRPr="008645A9" w:rsidP="008F16EC" w14:paraId="13E26BE0" w14:textId="77777777">
            <w:pPr>
              <w:spacing w:after="0" w:line="240" w:lineRule="auto"/>
              <w:jc w:val="right"/>
              <w:rPr>
                <w:rFonts w:eastAsia="Times New Roman" w:cstheme="minorHAnsi"/>
                <w:color w:val="000000"/>
                <w:sz w:val="20"/>
                <w:szCs w:val="20"/>
              </w:rPr>
            </w:pPr>
          </w:p>
        </w:tc>
      </w:tr>
      <w:tr w14:paraId="53C326A2" w14:textId="77777777" w:rsidTr="325B7422">
        <w:tblPrEx>
          <w:tblW w:w="11316"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47759" w:rsidRPr="008645A9" w:rsidP="008F16EC" w14:paraId="7717EE7D"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47759" w:rsidRPr="008645A9" w:rsidP="008F16EC" w14:paraId="6C252F83"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74,000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47759" w:rsidRPr="008645A9" w:rsidP="008F16EC" w14:paraId="699CA967"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47759" w:rsidRPr="008645A9" w:rsidP="325B7422" w14:paraId="3A1BB527" w14:textId="77777777">
            <w:pPr>
              <w:spacing w:after="0" w:line="240" w:lineRule="auto"/>
              <w:jc w:val="right"/>
              <w:rPr>
                <w:rFonts w:eastAsia="Times New Roman"/>
                <w:b/>
                <w:bCs/>
                <w:color w:val="000000"/>
                <w:sz w:val="20"/>
                <w:szCs w:val="20"/>
              </w:rPr>
            </w:pPr>
            <w:r w:rsidRPr="325B7422">
              <w:rPr>
                <w:rFonts w:eastAsia="Times New Roman"/>
                <w:b/>
                <w:bCs/>
                <w:color w:val="000000" w:themeColor="text1"/>
                <w:sz w:val="20"/>
                <w:szCs w:val="20"/>
              </w:rPr>
              <w:t>$</w:t>
            </w:r>
            <w:r w:rsidRPr="325B7422" w:rsidR="0344D7D2">
              <w:rPr>
                <w:rFonts w:eastAsia="Times New Roman"/>
                <w:b/>
                <w:bCs/>
                <w:color w:val="000000" w:themeColor="text1"/>
                <w:sz w:val="20"/>
                <w:szCs w:val="20"/>
              </w:rPr>
              <w:t>4,729,</w:t>
            </w:r>
            <w:r w:rsidRPr="03567281" w:rsidR="0344D7D2">
              <w:rPr>
                <w:rFonts w:eastAsia="Times New Roman"/>
                <w:b/>
                <w:bCs/>
                <w:color w:val="000000" w:themeColor="text1"/>
                <w:sz w:val="20"/>
                <w:szCs w:val="20"/>
              </w:rPr>
              <w:t>340</w:t>
            </w:r>
          </w:p>
        </w:tc>
        <w:tc>
          <w:tcPr>
            <w:tcW w:w="1296" w:type="dxa"/>
            <w:tcBorders>
              <w:top w:val="nil"/>
              <w:left w:val="nil"/>
              <w:bottom w:val="single" w:sz="4" w:space="0" w:color="auto"/>
              <w:right w:val="single" w:sz="4" w:space="0" w:color="auto"/>
            </w:tcBorders>
            <w:shd w:val="clear" w:color="auto" w:fill="E2A5AC"/>
          </w:tcPr>
          <w:p w:rsidR="00D47759" w:rsidRPr="008645A9" w:rsidP="008F16EC" w14:paraId="54015FC0" w14:textId="77777777">
            <w:pPr>
              <w:spacing w:after="0" w:line="240" w:lineRule="auto"/>
              <w:jc w:val="right"/>
              <w:rPr>
                <w:rFonts w:eastAsia="Times New Roman" w:cstheme="minorHAnsi"/>
                <w:b/>
                <w:bCs/>
                <w:color w:val="000000"/>
                <w:sz w:val="20"/>
                <w:szCs w:val="20"/>
              </w:rPr>
            </w:pPr>
          </w:p>
        </w:tc>
      </w:tr>
    </w:tbl>
    <w:p w:rsidR="00F056C3" w:rsidRPr="008645A9" w:rsidP="00A41763" w14:paraId="00AE058C" w14:textId="77777777">
      <w:pPr>
        <w:rPr>
          <w:rFonts w:cstheme="minorHAnsi"/>
          <w:b/>
          <w:bCs/>
        </w:rPr>
      </w:pPr>
    </w:p>
    <w:p w:rsidR="00F056C3" w:rsidRPr="008645A9" w:rsidP="00F056C3" w14:paraId="2F178688" w14:textId="77777777">
      <w:pPr>
        <w:pStyle w:val="Heading2"/>
        <w:rPr>
          <w:rFonts w:cstheme="minorHAnsi"/>
        </w:rPr>
      </w:pPr>
      <w:bookmarkStart w:id="14" w:name="_Toc80211586"/>
      <w:r w:rsidRPr="008645A9">
        <w:rPr>
          <w:rFonts w:cstheme="minorHAnsi"/>
        </w:rPr>
        <w:t>A.</w:t>
      </w:r>
      <w:r w:rsidRPr="008645A9" w:rsidR="00A41763">
        <w:rPr>
          <w:rFonts w:cstheme="minorHAnsi"/>
        </w:rPr>
        <w:t xml:space="preserve">13. </w:t>
      </w:r>
      <w:r w:rsidRPr="008645A9" w:rsidR="006F3C12">
        <w:rPr>
          <w:rFonts w:cstheme="minorHAnsi"/>
        </w:rPr>
        <w:t xml:space="preserve">Other Estimated </w:t>
      </w:r>
      <w:r w:rsidRPr="008645A9">
        <w:rPr>
          <w:rFonts w:cstheme="minorHAnsi"/>
        </w:rPr>
        <w:t xml:space="preserve">Annual Cost to </w:t>
      </w:r>
      <w:r w:rsidRPr="008645A9" w:rsidR="00FE2197">
        <w:rPr>
          <w:rFonts w:cstheme="minorHAnsi"/>
        </w:rPr>
        <w:t>Respondents</w:t>
      </w:r>
      <w:bookmarkEnd w:id="14"/>
    </w:p>
    <w:p w:rsidR="00A41763" w:rsidRPr="008645A9" w:rsidP="00A41763" w14:paraId="3490CB80" w14:textId="77777777">
      <w:pPr>
        <w:rPr>
          <w:rFonts w:cstheme="minorHAnsi"/>
        </w:rPr>
      </w:pPr>
      <w:r w:rsidRPr="008645A9">
        <w:rPr>
          <w:rFonts w:cstheme="minorHAnsi"/>
          <w:b/>
          <w:bCs/>
        </w:rPr>
        <w:t xml:space="preserve">Provide an estimate for the total annual cost burden to respondents or recordkeepers resulting from the collection of information. </w:t>
      </w:r>
    </w:p>
    <w:p w:rsidR="004008D6" w:rsidRPr="008645A9" w:rsidP="004008D6" w14:paraId="31DBC667" w14:textId="77777777">
      <w:pPr>
        <w:rPr>
          <w:rFonts w:cstheme="minorHAnsi"/>
        </w:rPr>
      </w:pPr>
      <w:r w:rsidRPr="008645A9">
        <w:rPr>
          <w:rFonts w:cstheme="minorHAnsi"/>
        </w:rPr>
        <w:t xml:space="preserve">No costs are anticipated.  </w:t>
      </w:r>
    </w:p>
    <w:p w:rsidR="00F056C3" w:rsidRPr="008645A9" w:rsidP="6B44C6CD" w14:paraId="575737E5" w14:textId="77777777">
      <w:pPr>
        <w:pStyle w:val="Heading2"/>
        <w:rPr>
          <w:rFonts w:cstheme="minorBidi"/>
        </w:rPr>
      </w:pPr>
      <w:bookmarkStart w:id="15" w:name="_Toc80211587"/>
      <w:r w:rsidRPr="6B44C6CD">
        <w:rPr>
          <w:rFonts w:cstheme="minorBidi"/>
        </w:rPr>
        <w:t>A.</w:t>
      </w:r>
      <w:r w:rsidRPr="6B44C6CD" w:rsidR="00A41763">
        <w:rPr>
          <w:rFonts w:cstheme="minorBidi"/>
        </w:rPr>
        <w:t xml:space="preserve">14. </w:t>
      </w:r>
      <w:r w:rsidRPr="6B44C6CD" w:rsidR="00FE2197">
        <w:rPr>
          <w:rFonts w:cstheme="minorBidi"/>
        </w:rPr>
        <w:t>Annual Cost to the Federal Government</w:t>
      </w:r>
      <w:bookmarkEnd w:id="15"/>
      <w:r w:rsidRPr="6B44C6CD">
        <w:rPr>
          <w:rFonts w:cstheme="minorBidi"/>
        </w:rPr>
        <w:t xml:space="preserve"> </w:t>
      </w:r>
    </w:p>
    <w:p w:rsidR="00A41763" w:rsidRPr="008645A9" w:rsidP="00A41763" w14:paraId="48081F8D" w14:textId="77777777">
      <w:pPr>
        <w:rPr>
          <w:rFonts w:cstheme="minorHAnsi"/>
        </w:rPr>
      </w:pPr>
      <w:bookmarkStart w:id="16" w:name="_Hlk57385461"/>
      <w:r w:rsidRPr="008645A9">
        <w:rPr>
          <w:rFonts w:cstheme="minorHAnsi"/>
          <w:b/>
          <w:bCs/>
        </w:rPr>
        <w:t xml:space="preserve">Provide estimates of annualized cost to the Federal government. </w:t>
      </w:r>
    </w:p>
    <w:bookmarkEnd w:id="16"/>
    <w:p w:rsidR="00031C86" w:rsidRPr="008645A9" w:rsidP="00971C7D" w14:paraId="7AAF2DCD" w14:textId="77777777">
      <w:r w:rsidRPr="00971C7D">
        <w:t xml:space="preserve">The Agency will use existing FTE time to conduct these activities. If the Agency intends to compensate participants for a given Gen IC, it will only do so after review and approval by the agency’s legal office and will identify the exact amount of compensation in its clearance request for that Gen </w:t>
      </w:r>
      <w:r w:rsidRPr="00971C7D" w:rsidR="00C96EBC">
        <w:t>IC.</w:t>
      </w:r>
    </w:p>
    <w:p w:rsidR="006D42EC" w:rsidRPr="008645A9" w:rsidP="006D42EC" w14:paraId="2D7CF98D" w14:textId="77777777">
      <w:pPr>
        <w:pStyle w:val="Heading2"/>
        <w:rPr>
          <w:rFonts w:cstheme="minorHAnsi"/>
        </w:rPr>
      </w:pPr>
      <w:bookmarkStart w:id="17" w:name="_Toc80211588"/>
      <w:r w:rsidRPr="008645A9">
        <w:rPr>
          <w:rFonts w:cstheme="minorHAnsi"/>
        </w:rPr>
        <w:t>A.</w:t>
      </w:r>
      <w:r w:rsidRPr="008645A9" w:rsidR="00A41763">
        <w:rPr>
          <w:rFonts w:cstheme="minorHAnsi"/>
        </w:rPr>
        <w:t xml:space="preserve">15. </w:t>
      </w:r>
      <w:r w:rsidRPr="008645A9">
        <w:rPr>
          <w:rFonts w:cstheme="minorHAnsi"/>
        </w:rPr>
        <w:t>Reasons for Changes in Burden</w:t>
      </w:r>
      <w:bookmarkEnd w:id="17"/>
    </w:p>
    <w:p w:rsidR="00A41763" w:rsidRPr="008645A9" w:rsidP="00A41763" w14:paraId="2E7E553D" w14:textId="77777777">
      <w:pPr>
        <w:rPr>
          <w:rFonts w:cstheme="minorHAnsi"/>
        </w:rPr>
      </w:pPr>
      <w:bookmarkStart w:id="18" w:name="_Hlk57385469"/>
      <w:r w:rsidRPr="008645A9">
        <w:rPr>
          <w:rFonts w:cstheme="minorHAnsi"/>
          <w:b/>
          <w:bCs/>
        </w:rPr>
        <w:t xml:space="preserve">Explain the reasons for any program changes or adjustments reported in Items 13 (or 14) of OMB Form 83-I. </w:t>
      </w:r>
    </w:p>
    <w:bookmarkEnd w:id="18"/>
    <w:p w:rsidR="004008D6" w:rsidRPr="008645A9" w:rsidP="004008D6" w14:paraId="3F98D5C9" w14:textId="77777777">
      <w:pPr>
        <w:rPr>
          <w:rFonts w:cstheme="minorHAnsi"/>
          <w:b/>
          <w:u w:val="single"/>
        </w:rPr>
      </w:pPr>
      <w:r w:rsidRPr="008645A9">
        <w:rPr>
          <w:rFonts w:cstheme="minorHAnsi"/>
        </w:rPr>
        <w:t>The</w:t>
      </w:r>
      <w:r w:rsidR="001352BB">
        <w:rPr>
          <w:rFonts w:cstheme="minorHAnsi"/>
        </w:rPr>
        <w:t xml:space="preserve">re are no changes being requested </w:t>
      </w:r>
      <w:r w:rsidR="002E65DE">
        <w:rPr>
          <w:rFonts w:cstheme="minorHAnsi"/>
        </w:rPr>
        <w:t>to the tot</w:t>
      </w:r>
      <w:r w:rsidR="00C45E8C">
        <w:rPr>
          <w:rFonts w:cstheme="minorHAnsi"/>
        </w:rPr>
        <w:t>al</w:t>
      </w:r>
      <w:r w:rsidR="001352BB">
        <w:rPr>
          <w:rFonts w:cstheme="minorHAnsi"/>
        </w:rPr>
        <w:t xml:space="preserve"> number of responses or total time burden. There was an increase of cost burden due to the</w:t>
      </w:r>
      <w:r w:rsidR="004B3097">
        <w:rPr>
          <w:rFonts w:cstheme="minorHAnsi"/>
        </w:rPr>
        <w:t xml:space="preserve"> updated</w:t>
      </w:r>
      <w:r w:rsidR="001352BB">
        <w:rPr>
          <w:rFonts w:cstheme="minorHAnsi"/>
        </w:rPr>
        <w:t xml:space="preserve"> 2025 </w:t>
      </w:r>
      <w:r w:rsidR="00C45E8C">
        <w:rPr>
          <w:rFonts w:cstheme="minorHAnsi"/>
        </w:rPr>
        <w:t xml:space="preserve">Bureau of Labor Statistics (BLS) hourly wage rates.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6A9C353" w14:textId="77777777" w:rsidTr="04BC1509">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8645A9" w:rsidP="00D01BEA" w14:paraId="654E4494" w14:textId="77777777">
            <w:pPr>
              <w:spacing w:after="0" w:line="240" w:lineRule="auto"/>
              <w:jc w:val="center"/>
              <w:rPr>
                <w:rFonts w:eastAsia="Times New Roman" w:cstheme="minorHAnsi"/>
                <w:b/>
                <w:color w:val="0070C0"/>
                <w:sz w:val="28"/>
                <w:szCs w:val="28"/>
              </w:rPr>
            </w:pPr>
            <w:bookmarkStart w:id="19" w:name="_Hlk57385531"/>
            <w:r w:rsidRPr="008645A9">
              <w:rPr>
                <w:rFonts w:cstheme="minorHAnsi"/>
              </w:rPr>
              <w:br w:type="page"/>
            </w:r>
            <w:r w:rsidRPr="008645A9">
              <w:rPr>
                <w:rFonts w:eastAsia="Times New Roman" w:cstheme="minorHAnsi"/>
                <w:b/>
                <w:color w:val="0070C0"/>
                <w:sz w:val="28"/>
                <w:szCs w:val="28"/>
              </w:rPr>
              <w:t>Table A</w:t>
            </w:r>
            <w:r w:rsidRPr="008645A9" w:rsidR="00526AA2">
              <w:rPr>
                <w:rFonts w:eastAsia="Times New Roman" w:cstheme="minorHAnsi"/>
                <w:b/>
                <w:color w:val="0070C0"/>
                <w:sz w:val="28"/>
                <w:szCs w:val="28"/>
              </w:rPr>
              <w:t>3</w:t>
            </w:r>
            <w:r w:rsidRPr="008645A9">
              <w:rPr>
                <w:rFonts w:eastAsia="Times New Roman" w:cstheme="minorHAnsi"/>
                <w:b/>
                <w:color w:val="0070C0"/>
                <w:sz w:val="28"/>
                <w:szCs w:val="28"/>
              </w:rPr>
              <w:t>. ICR Summary of Burden</w:t>
            </w:r>
          </w:p>
        </w:tc>
      </w:tr>
      <w:tr w14:paraId="3BB49A4B" w14:textId="77777777" w:rsidTr="04BC1509">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645A9" w:rsidP="008F16EC" w14:paraId="39B70DA9" w14:textId="77777777">
            <w:pPr>
              <w:spacing w:after="0" w:line="240" w:lineRule="auto"/>
              <w:jc w:val="center"/>
              <w:rPr>
                <w:rFonts w:eastAsia="Times New Roman" w:cstheme="minorHAnsi"/>
                <w:b/>
                <w:bCs/>
                <w:color w:val="FFFFFF"/>
                <w:sz w:val="20"/>
                <w:szCs w:val="20"/>
              </w:rPr>
            </w:pPr>
            <w:r w:rsidRPr="008645A9">
              <w:rPr>
                <w:rFonts w:eastAsia="Times New Roman" w:cstheme="minorHAnsi"/>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645A9" w:rsidP="008F16EC" w14:paraId="3E93E350"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645A9" w:rsidP="008F16EC" w14:paraId="4A844283"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645A9" w:rsidP="008F16EC" w14:paraId="4EF87C3F"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645A9" w:rsidP="008F16EC" w14:paraId="2DC362DE"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Previously Approved</w:t>
            </w:r>
          </w:p>
        </w:tc>
      </w:tr>
      <w:tr w14:paraId="09A51E36" w14:textId="77777777" w:rsidTr="04BC1509">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8A7E5F" w:rsidRPr="008645A9" w:rsidP="008F16EC" w14:paraId="1A8FF934"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Total Number of Responses</w:t>
            </w:r>
          </w:p>
        </w:tc>
        <w:tc>
          <w:tcPr>
            <w:tcW w:w="1872" w:type="dxa"/>
            <w:tcBorders>
              <w:top w:val="nil"/>
              <w:left w:val="nil"/>
              <w:bottom w:val="single" w:sz="4" w:space="0" w:color="auto"/>
              <w:right w:val="single" w:sz="4" w:space="0" w:color="auto"/>
            </w:tcBorders>
            <w:vAlign w:val="center"/>
            <w:hideMark/>
          </w:tcPr>
          <w:p w:rsidR="008A7E5F" w:rsidRPr="008645A9" w:rsidP="008F16EC" w14:paraId="2057FE15"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200,000</w:t>
            </w:r>
          </w:p>
        </w:tc>
        <w:tc>
          <w:tcPr>
            <w:tcW w:w="1872" w:type="dxa"/>
            <w:tcBorders>
              <w:top w:val="nil"/>
              <w:left w:val="nil"/>
              <w:bottom w:val="single" w:sz="4" w:space="0" w:color="auto"/>
              <w:right w:val="single" w:sz="4" w:space="0" w:color="auto"/>
            </w:tcBorders>
            <w:vAlign w:val="center"/>
            <w:hideMark/>
          </w:tcPr>
          <w:p w:rsidR="008A7E5F" w:rsidRPr="008645A9" w:rsidP="008F16EC" w14:paraId="6ABB3C53" w14:textId="77777777">
            <w:pPr>
              <w:spacing w:after="0" w:line="240" w:lineRule="auto"/>
              <w:rPr>
                <w:rFonts w:eastAsia="Times New Roman"/>
                <w:color w:val="576170"/>
                <w:sz w:val="20"/>
                <w:szCs w:val="20"/>
              </w:rPr>
            </w:pPr>
            <w:r w:rsidRPr="0ACE4F23">
              <w:rPr>
                <w:rFonts w:eastAsia="Times New Roman"/>
                <w:color w:val="576170"/>
                <w:sz w:val="20"/>
                <w:szCs w:val="20"/>
              </w:rPr>
              <w:t> </w:t>
            </w:r>
            <w:r w:rsidRPr="0ACE4F23" w:rsidR="6A2EEB7E">
              <w:rPr>
                <w:rFonts w:eastAsia="Times New Roman"/>
                <w:color w:val="576170"/>
                <w:sz w:val="20"/>
                <w:szCs w:val="20"/>
              </w:rPr>
              <w:t>0</w:t>
            </w:r>
          </w:p>
        </w:tc>
        <w:tc>
          <w:tcPr>
            <w:tcW w:w="1872" w:type="dxa"/>
            <w:tcBorders>
              <w:top w:val="nil"/>
              <w:left w:val="nil"/>
              <w:bottom w:val="single" w:sz="4" w:space="0" w:color="auto"/>
              <w:right w:val="single" w:sz="4" w:space="0" w:color="auto"/>
            </w:tcBorders>
            <w:vAlign w:val="center"/>
            <w:hideMark/>
          </w:tcPr>
          <w:p w:rsidR="008A7E5F" w:rsidRPr="008645A9" w:rsidP="008F16EC" w14:paraId="2C062E0B" w14:textId="77777777">
            <w:pPr>
              <w:spacing w:after="0" w:line="240" w:lineRule="auto"/>
              <w:rPr>
                <w:rFonts w:eastAsia="Times New Roman"/>
                <w:color w:val="576170"/>
                <w:sz w:val="20"/>
                <w:szCs w:val="20"/>
              </w:rPr>
            </w:pPr>
            <w:r w:rsidRPr="44E89899">
              <w:rPr>
                <w:rFonts w:eastAsia="Times New Roman"/>
                <w:color w:val="576170"/>
                <w:sz w:val="20"/>
                <w:szCs w:val="20"/>
              </w:rPr>
              <w:t> </w:t>
            </w:r>
            <w:r w:rsidRPr="7AA35CC3" w:rsidR="064B4D9B">
              <w:rPr>
                <w:rFonts w:eastAsia="Times New Roman"/>
                <w:color w:val="576170"/>
                <w:sz w:val="20"/>
                <w:szCs w:val="20"/>
              </w:rPr>
              <w:t>0</w:t>
            </w:r>
          </w:p>
        </w:tc>
        <w:tc>
          <w:tcPr>
            <w:tcW w:w="1872" w:type="dxa"/>
            <w:tcBorders>
              <w:top w:val="nil"/>
              <w:left w:val="nil"/>
              <w:bottom w:val="single" w:sz="4" w:space="0" w:color="auto"/>
              <w:right w:val="single" w:sz="4" w:space="0" w:color="auto"/>
            </w:tcBorders>
            <w:vAlign w:val="center"/>
            <w:hideMark/>
          </w:tcPr>
          <w:p w:rsidR="008A7E5F" w:rsidRPr="008645A9" w:rsidP="0CA0CCA0" w14:paraId="04213970" w14:textId="77777777">
            <w:pPr>
              <w:spacing w:after="0" w:line="240" w:lineRule="auto"/>
              <w:rPr>
                <w:rFonts w:eastAsia="Times New Roman"/>
                <w:color w:val="576170"/>
                <w:sz w:val="20"/>
                <w:szCs w:val="20"/>
              </w:rPr>
            </w:pPr>
            <w:r w:rsidRPr="0CA0CCA0">
              <w:rPr>
                <w:rFonts w:eastAsia="Times New Roman"/>
                <w:color w:val="576170"/>
                <w:sz w:val="20"/>
                <w:szCs w:val="20"/>
              </w:rPr>
              <w:t>200,000</w:t>
            </w:r>
          </w:p>
        </w:tc>
      </w:tr>
      <w:tr w14:paraId="34370E45" w14:textId="77777777" w:rsidTr="04BC1509">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8A7E5F" w:rsidRPr="008645A9" w:rsidP="008F16EC" w14:paraId="1E84AAA7"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Total Time Burden (Hr)</w:t>
            </w:r>
          </w:p>
        </w:tc>
        <w:tc>
          <w:tcPr>
            <w:tcW w:w="1872" w:type="dxa"/>
            <w:tcBorders>
              <w:top w:val="single" w:sz="4" w:space="0" w:color="auto"/>
              <w:left w:val="nil"/>
              <w:bottom w:val="single" w:sz="4" w:space="0" w:color="auto"/>
              <w:right w:val="single" w:sz="4" w:space="0" w:color="auto"/>
            </w:tcBorders>
            <w:vAlign w:val="center"/>
            <w:hideMark/>
          </w:tcPr>
          <w:p w:rsidR="008A7E5F" w:rsidRPr="008645A9" w:rsidP="008F16EC" w14:paraId="62938283"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74,000</w:t>
            </w:r>
          </w:p>
        </w:tc>
        <w:tc>
          <w:tcPr>
            <w:tcW w:w="1872" w:type="dxa"/>
            <w:tcBorders>
              <w:top w:val="single" w:sz="4" w:space="0" w:color="auto"/>
              <w:left w:val="nil"/>
              <w:bottom w:val="single" w:sz="4" w:space="0" w:color="auto"/>
              <w:right w:val="single" w:sz="4" w:space="0" w:color="auto"/>
            </w:tcBorders>
            <w:vAlign w:val="center"/>
            <w:hideMark/>
          </w:tcPr>
          <w:p w:rsidR="008A7E5F" w:rsidRPr="008645A9" w:rsidP="008F16EC" w14:paraId="5002BE1F" w14:textId="77777777">
            <w:pPr>
              <w:spacing w:after="0" w:line="240" w:lineRule="auto"/>
              <w:rPr>
                <w:rFonts w:eastAsia="Times New Roman"/>
                <w:color w:val="576170"/>
                <w:sz w:val="20"/>
                <w:szCs w:val="20"/>
              </w:rPr>
            </w:pPr>
            <w:r w:rsidRPr="0ACE4F23">
              <w:rPr>
                <w:rFonts w:eastAsia="Times New Roman"/>
                <w:color w:val="576170"/>
                <w:sz w:val="20"/>
                <w:szCs w:val="20"/>
              </w:rPr>
              <w:t> </w:t>
            </w:r>
            <w:r w:rsidRPr="0ACE4F23" w:rsidR="484A0B8A">
              <w:rPr>
                <w:rFonts w:eastAsia="Times New Roman"/>
                <w:color w:val="576170"/>
                <w:sz w:val="20"/>
                <w:szCs w:val="20"/>
              </w:rPr>
              <w:t>0</w:t>
            </w:r>
          </w:p>
        </w:tc>
        <w:tc>
          <w:tcPr>
            <w:tcW w:w="1872" w:type="dxa"/>
            <w:tcBorders>
              <w:top w:val="single" w:sz="4" w:space="0" w:color="auto"/>
              <w:left w:val="nil"/>
              <w:bottom w:val="single" w:sz="4" w:space="0" w:color="auto"/>
              <w:right w:val="single" w:sz="4" w:space="0" w:color="auto"/>
            </w:tcBorders>
            <w:vAlign w:val="center"/>
            <w:hideMark/>
          </w:tcPr>
          <w:p w:rsidR="008A7E5F" w:rsidRPr="008645A9" w:rsidP="008F16EC" w14:paraId="14447FA2" w14:textId="77777777">
            <w:pPr>
              <w:spacing w:after="0" w:line="240" w:lineRule="auto"/>
              <w:rPr>
                <w:rFonts w:eastAsia="Times New Roman"/>
                <w:color w:val="576170"/>
                <w:sz w:val="20"/>
                <w:szCs w:val="20"/>
              </w:rPr>
            </w:pPr>
            <w:r w:rsidRPr="781EE41A">
              <w:rPr>
                <w:rFonts w:eastAsia="Times New Roman"/>
                <w:color w:val="576170"/>
                <w:sz w:val="20"/>
                <w:szCs w:val="20"/>
              </w:rPr>
              <w:t> </w:t>
            </w:r>
            <w:r w:rsidRPr="781EE41A" w:rsidR="30B5E3CB">
              <w:rPr>
                <w:rFonts w:eastAsia="Times New Roman"/>
                <w:color w:val="576170"/>
                <w:sz w:val="20"/>
                <w:szCs w:val="20"/>
              </w:rPr>
              <w:t>0</w:t>
            </w:r>
          </w:p>
        </w:tc>
        <w:tc>
          <w:tcPr>
            <w:tcW w:w="1872" w:type="dxa"/>
            <w:tcBorders>
              <w:top w:val="single" w:sz="4" w:space="0" w:color="auto"/>
              <w:left w:val="nil"/>
              <w:bottom w:val="single" w:sz="4" w:space="0" w:color="auto"/>
              <w:right w:val="single" w:sz="4" w:space="0" w:color="auto"/>
            </w:tcBorders>
            <w:vAlign w:val="center"/>
            <w:hideMark/>
          </w:tcPr>
          <w:p w:rsidR="008A7E5F" w:rsidRPr="008645A9" w:rsidP="008F16EC" w14:paraId="22E1318F" w14:textId="77777777">
            <w:pPr>
              <w:spacing w:after="0" w:line="240" w:lineRule="auto"/>
              <w:rPr>
                <w:rFonts w:eastAsia="Times New Roman"/>
                <w:color w:val="576170"/>
                <w:sz w:val="20"/>
                <w:szCs w:val="20"/>
              </w:rPr>
            </w:pPr>
            <w:r w:rsidRPr="14A78D9B">
              <w:rPr>
                <w:rFonts w:eastAsia="Times New Roman"/>
                <w:color w:val="576170"/>
                <w:sz w:val="20"/>
                <w:szCs w:val="20"/>
              </w:rPr>
              <w:t>74,000</w:t>
            </w:r>
          </w:p>
        </w:tc>
      </w:tr>
      <w:tr w14:paraId="65434C6C" w14:textId="77777777" w:rsidTr="04BC1509">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tcPr>
          <w:p w:rsidR="00144760" w:rsidRPr="008645A9" w:rsidP="008F16EC" w14:paraId="3F2B464E"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Total Cost Burden</w:t>
            </w:r>
          </w:p>
        </w:tc>
        <w:tc>
          <w:tcPr>
            <w:tcW w:w="1872" w:type="dxa"/>
            <w:tcBorders>
              <w:top w:val="single" w:sz="4" w:space="0" w:color="auto"/>
              <w:left w:val="nil"/>
              <w:bottom w:val="single" w:sz="4" w:space="0" w:color="auto"/>
              <w:right w:val="single" w:sz="4" w:space="0" w:color="auto"/>
            </w:tcBorders>
            <w:vAlign w:val="center"/>
          </w:tcPr>
          <w:p w:rsidR="00144760" w:rsidRPr="008645A9" w:rsidP="008F16EC" w14:paraId="7A3504FC" w14:textId="77777777">
            <w:pPr>
              <w:spacing w:after="0" w:line="240" w:lineRule="auto"/>
              <w:rPr>
                <w:rFonts w:eastAsia="Times New Roman"/>
                <w:color w:val="576170"/>
                <w:sz w:val="20"/>
                <w:szCs w:val="20"/>
              </w:rPr>
            </w:pPr>
            <w:r w:rsidRPr="04BC1509">
              <w:rPr>
                <w:rFonts w:eastAsia="Times New Roman"/>
                <w:color w:val="576170"/>
                <w:sz w:val="20"/>
                <w:szCs w:val="20"/>
              </w:rPr>
              <w:t>$4,729,340</w:t>
            </w:r>
          </w:p>
        </w:tc>
        <w:tc>
          <w:tcPr>
            <w:tcW w:w="1872" w:type="dxa"/>
            <w:tcBorders>
              <w:top w:val="single" w:sz="4" w:space="0" w:color="auto"/>
              <w:left w:val="nil"/>
              <w:bottom w:val="single" w:sz="4" w:space="0" w:color="auto"/>
              <w:right w:val="single" w:sz="4" w:space="0" w:color="auto"/>
            </w:tcBorders>
            <w:vAlign w:val="center"/>
          </w:tcPr>
          <w:p w:rsidR="00144760" w:rsidRPr="008645A9" w:rsidP="008F16EC" w14:paraId="5F0D31E7" w14:textId="77777777">
            <w:pPr>
              <w:spacing w:after="0" w:line="240" w:lineRule="auto"/>
              <w:rPr>
                <w:rFonts w:eastAsia="Times New Roman" w:cstheme="minorHAnsi"/>
                <w:color w:val="576170"/>
                <w:sz w:val="20"/>
                <w:szCs w:val="20"/>
              </w:rPr>
            </w:pPr>
            <w:r>
              <w:rPr>
                <w:rFonts w:eastAsia="Times New Roman" w:cstheme="minorHAnsi"/>
                <w:color w:val="576170"/>
                <w:sz w:val="20"/>
                <w:szCs w:val="20"/>
              </w:rPr>
              <w:t>0</w:t>
            </w:r>
          </w:p>
        </w:tc>
        <w:tc>
          <w:tcPr>
            <w:tcW w:w="1872" w:type="dxa"/>
            <w:tcBorders>
              <w:top w:val="single" w:sz="4" w:space="0" w:color="auto"/>
              <w:left w:val="nil"/>
              <w:bottom w:val="single" w:sz="4" w:space="0" w:color="auto"/>
              <w:right w:val="single" w:sz="4" w:space="0" w:color="auto"/>
            </w:tcBorders>
            <w:vAlign w:val="center"/>
          </w:tcPr>
          <w:p w:rsidR="00144760" w:rsidRPr="008645A9" w:rsidP="008F16EC" w14:paraId="18405C96" w14:textId="77777777">
            <w:pPr>
              <w:spacing w:after="0" w:line="240" w:lineRule="auto"/>
              <w:rPr>
                <w:rFonts w:eastAsia="Times New Roman"/>
                <w:color w:val="576170"/>
                <w:sz w:val="20"/>
                <w:szCs w:val="20"/>
              </w:rPr>
            </w:pPr>
            <w:r>
              <w:rPr>
                <w:rFonts w:eastAsia="Times New Roman"/>
                <w:color w:val="576170"/>
                <w:sz w:val="20"/>
                <w:szCs w:val="20"/>
              </w:rPr>
              <w:t>$</w:t>
            </w:r>
            <w:r w:rsidRPr="0C91999E" w:rsidR="5E1B108F">
              <w:rPr>
                <w:rFonts w:eastAsia="Times New Roman"/>
                <w:color w:val="576170"/>
                <w:sz w:val="20"/>
                <w:szCs w:val="20"/>
              </w:rPr>
              <w:t>933,</w:t>
            </w:r>
            <w:r w:rsidRPr="6050D7A6" w:rsidR="5E1B108F">
              <w:rPr>
                <w:rFonts w:eastAsia="Times New Roman"/>
                <w:color w:val="576170"/>
                <w:sz w:val="20"/>
                <w:szCs w:val="20"/>
              </w:rPr>
              <w:t>140</w:t>
            </w:r>
          </w:p>
        </w:tc>
        <w:tc>
          <w:tcPr>
            <w:tcW w:w="1872" w:type="dxa"/>
            <w:tcBorders>
              <w:top w:val="single" w:sz="4" w:space="0" w:color="auto"/>
              <w:left w:val="nil"/>
              <w:bottom w:val="single" w:sz="4" w:space="0" w:color="auto"/>
              <w:right w:val="single" w:sz="4" w:space="0" w:color="auto"/>
            </w:tcBorders>
            <w:vAlign w:val="center"/>
          </w:tcPr>
          <w:p w:rsidR="00144760" w:rsidRPr="008645A9" w:rsidP="008F16EC" w14:paraId="782CAF05" w14:textId="77777777">
            <w:pPr>
              <w:spacing w:after="0" w:line="240" w:lineRule="auto"/>
              <w:rPr>
                <w:rFonts w:eastAsia="Times New Roman"/>
                <w:color w:val="576170"/>
                <w:sz w:val="20"/>
                <w:szCs w:val="20"/>
              </w:rPr>
            </w:pPr>
            <w:r w:rsidRPr="0C87FC2E">
              <w:rPr>
                <w:rFonts w:eastAsia="Times New Roman"/>
                <w:color w:val="576170"/>
                <w:sz w:val="20"/>
                <w:szCs w:val="20"/>
              </w:rPr>
              <w:t xml:space="preserve"> $3,</w:t>
            </w:r>
            <w:r w:rsidRPr="70003C4E">
              <w:rPr>
                <w:rFonts w:eastAsia="Times New Roman"/>
                <w:color w:val="576170"/>
                <w:sz w:val="20"/>
                <w:szCs w:val="20"/>
              </w:rPr>
              <w:t>796,20</w:t>
            </w:r>
            <w:r w:rsidR="006A6B54">
              <w:rPr>
                <w:rFonts w:eastAsia="Times New Roman"/>
                <w:color w:val="576170"/>
                <w:sz w:val="20"/>
                <w:szCs w:val="20"/>
              </w:rPr>
              <w:t>0</w:t>
            </w:r>
          </w:p>
        </w:tc>
      </w:tr>
      <w:bookmarkEnd w:id="19"/>
    </w:tbl>
    <w:p w:rsidR="00D854D8" w:rsidRPr="008645A9" w:rsidP="00A41763" w14:paraId="61D7C3F1" w14:textId="77777777">
      <w:pPr>
        <w:rPr>
          <w:rFonts w:cstheme="minorHAnsi"/>
        </w:rPr>
      </w:pPr>
    </w:p>
    <w:p w:rsidR="00F056C3" w:rsidRPr="008645A9" w:rsidP="00F056C3" w14:paraId="2D84E64B" w14:textId="77777777">
      <w:pPr>
        <w:pStyle w:val="Heading2"/>
        <w:rPr>
          <w:rFonts w:cstheme="minorHAnsi"/>
        </w:rPr>
      </w:pPr>
      <w:bookmarkStart w:id="20" w:name="_Toc80211589"/>
      <w:r w:rsidRPr="008645A9">
        <w:rPr>
          <w:rFonts w:cstheme="minorHAnsi"/>
        </w:rPr>
        <w:t>A.</w:t>
      </w:r>
      <w:r w:rsidRPr="008645A9" w:rsidR="00A41763">
        <w:rPr>
          <w:rFonts w:cstheme="minorHAnsi"/>
        </w:rPr>
        <w:t xml:space="preserve">16. </w:t>
      </w:r>
      <w:r w:rsidRPr="008645A9">
        <w:rPr>
          <w:rFonts w:cstheme="minorHAnsi"/>
        </w:rPr>
        <w:t>Collection, Tabulation, and Publication Plans</w:t>
      </w:r>
      <w:bookmarkEnd w:id="20"/>
      <w:r w:rsidRPr="008645A9">
        <w:rPr>
          <w:rFonts w:cstheme="minorHAnsi"/>
        </w:rPr>
        <w:t xml:space="preserve"> </w:t>
      </w:r>
    </w:p>
    <w:p w:rsidR="00A41763" w:rsidRPr="008645A9" w:rsidP="00A41763" w14:paraId="5E839ABE" w14:textId="77777777">
      <w:pPr>
        <w:rPr>
          <w:rFonts w:cstheme="minorHAnsi"/>
        </w:rPr>
      </w:pPr>
      <w:bookmarkStart w:id="21" w:name="_Hlk57385487"/>
      <w:r w:rsidRPr="008645A9">
        <w:rPr>
          <w:rFonts w:cstheme="minorHAnsi"/>
          <w:b/>
          <w:bCs/>
        </w:rPr>
        <w:t xml:space="preserve">For collections whose results will be published, outline the plans for tabulation and publication. </w:t>
      </w:r>
    </w:p>
    <w:bookmarkEnd w:id="21"/>
    <w:p w:rsidR="004008D6" w:rsidRPr="008645A9" w:rsidP="004008D6" w14:paraId="79D46082" w14:textId="77777777">
      <w:pPr>
        <w:rPr>
          <w:rFonts w:cstheme="minorHAnsi"/>
        </w:rPr>
      </w:pPr>
      <w:r w:rsidRPr="008645A9">
        <w:rPr>
          <w:rFonts w:cstheme="minorHAnsi"/>
        </w:rPr>
        <w:t xml:space="preserve">Feedback collected under this generic clearance provides useful information, but it does not yield data that can be generalized to the overall population.  Findings will be used for general service </w:t>
      </w:r>
      <w:r w:rsidRPr="008645A9" w:rsidR="00D47759">
        <w:rPr>
          <w:rFonts w:cstheme="minorHAnsi"/>
        </w:rPr>
        <w:t>improvement but</w:t>
      </w:r>
      <w:r w:rsidRPr="008645A9">
        <w:rPr>
          <w:rFonts w:cstheme="minorHAnsi"/>
        </w:rPr>
        <w:t xml:space="preserve"> are not for publication or other public release.  </w:t>
      </w:r>
    </w:p>
    <w:p w:rsidR="004008D6" w:rsidRPr="008645A9" w:rsidP="004008D6" w14:paraId="6387543C" w14:textId="77777777">
      <w:pPr>
        <w:rPr>
          <w:rFonts w:cstheme="minorHAnsi"/>
        </w:rPr>
      </w:pPr>
      <w:r w:rsidRPr="008645A9">
        <w:rPr>
          <w:rFonts w:cstheme="minorHAnsi"/>
        </w:rPr>
        <w:t xml:space="preserve">Although DOE does not intend to publish its findings, we may receive requests to release the information (e.g., congressional inquiry, Freedom of Information Act requests).  DOE will disseminate the findings when appropriate, strictly following the Agency's "Guidelines for Ensuring the Quality of Information Disseminated to the Public," and will include specific discussion of the limitation of the qualitative results discussed above. </w:t>
      </w:r>
    </w:p>
    <w:p w:rsidR="00F056C3" w:rsidRPr="008645A9" w:rsidP="00F056C3" w14:paraId="59B7691F" w14:textId="77777777">
      <w:pPr>
        <w:pStyle w:val="Heading2"/>
        <w:rPr>
          <w:rFonts w:cstheme="minorHAnsi"/>
        </w:rPr>
      </w:pPr>
      <w:bookmarkStart w:id="22" w:name="_Toc80211590"/>
      <w:r w:rsidRPr="008645A9">
        <w:rPr>
          <w:rFonts w:cstheme="minorHAnsi"/>
        </w:rPr>
        <w:t>A.</w:t>
      </w:r>
      <w:r w:rsidRPr="008645A9" w:rsidR="00A41763">
        <w:rPr>
          <w:rFonts w:cstheme="minorHAnsi"/>
        </w:rPr>
        <w:t xml:space="preserve">17. </w:t>
      </w:r>
      <w:r w:rsidRPr="008645A9">
        <w:rPr>
          <w:rFonts w:cstheme="minorHAnsi"/>
        </w:rPr>
        <w:t>OMB Number and Expiration Date</w:t>
      </w:r>
      <w:bookmarkEnd w:id="22"/>
      <w:r w:rsidRPr="008645A9">
        <w:rPr>
          <w:rFonts w:cstheme="minorHAnsi"/>
        </w:rPr>
        <w:t xml:space="preserve"> </w:t>
      </w:r>
    </w:p>
    <w:p w:rsidR="00A41763" w:rsidRPr="008645A9" w:rsidP="00A41763" w14:paraId="6C48B69B" w14:textId="77777777">
      <w:pPr>
        <w:rPr>
          <w:rFonts w:cstheme="minorHAnsi"/>
        </w:rPr>
      </w:pPr>
      <w:bookmarkStart w:id="23" w:name="_Hlk57385506"/>
      <w:r w:rsidRPr="008645A9">
        <w:rPr>
          <w:rFonts w:cstheme="minorHAnsi"/>
          <w:b/>
          <w:bCs/>
        </w:rPr>
        <w:t xml:space="preserve">If seeking approval to not display the expiration date for OMB approval of the information collection, explain the reasons why display would be inappropriate. </w:t>
      </w:r>
    </w:p>
    <w:bookmarkEnd w:id="23"/>
    <w:p w:rsidR="004008D6" w:rsidRPr="008645A9" w:rsidP="004008D6" w14:paraId="3C924B2D" w14:textId="77777777">
      <w:pPr>
        <w:rPr>
          <w:rFonts w:cstheme="minorHAnsi"/>
        </w:rPr>
      </w:pPr>
      <w:r w:rsidRPr="008645A9">
        <w:rPr>
          <w:rFonts w:cstheme="minorHAnsi"/>
        </w:rPr>
        <w:t>We are requesting no exemption.</w:t>
      </w:r>
    </w:p>
    <w:p w:rsidR="00F056C3" w:rsidRPr="008645A9" w:rsidP="00F056C3" w14:paraId="535AC25B" w14:textId="77777777">
      <w:pPr>
        <w:pStyle w:val="Heading2"/>
        <w:rPr>
          <w:rFonts w:cstheme="minorHAnsi"/>
        </w:rPr>
      </w:pPr>
      <w:bookmarkStart w:id="24" w:name="_Toc80211591"/>
      <w:r w:rsidRPr="008645A9">
        <w:rPr>
          <w:rFonts w:cstheme="minorHAnsi"/>
        </w:rPr>
        <w:t>A.</w:t>
      </w:r>
      <w:r w:rsidRPr="008645A9" w:rsidR="00A41763">
        <w:rPr>
          <w:rFonts w:cstheme="minorHAnsi"/>
        </w:rPr>
        <w:t xml:space="preserve">18. </w:t>
      </w:r>
      <w:r w:rsidRPr="008645A9">
        <w:rPr>
          <w:rFonts w:cstheme="minorHAnsi"/>
        </w:rPr>
        <w:t>Certification Statement</w:t>
      </w:r>
      <w:bookmarkEnd w:id="24"/>
      <w:r w:rsidRPr="008645A9">
        <w:rPr>
          <w:rFonts w:cstheme="minorHAnsi"/>
        </w:rPr>
        <w:t xml:space="preserve"> </w:t>
      </w:r>
    </w:p>
    <w:p w:rsidR="00A41763" w:rsidRPr="008645A9" w:rsidP="00A41763" w14:paraId="5BDF0210" w14:textId="77777777">
      <w:pPr>
        <w:rPr>
          <w:rFonts w:cstheme="minorHAnsi"/>
        </w:rPr>
      </w:pPr>
      <w:bookmarkStart w:id="25" w:name="_Hlk57385515"/>
      <w:r w:rsidRPr="008645A9">
        <w:rPr>
          <w:rFonts w:cstheme="minorHAnsi"/>
          <w:b/>
          <w:bCs/>
        </w:rPr>
        <w:t xml:space="preserve">Explain each exception to the certification statement identified in Item 19 of OMB Form 83-I. </w:t>
      </w:r>
    </w:p>
    <w:bookmarkEnd w:id="25"/>
    <w:p w:rsidR="004008D6" w:rsidRPr="008645A9" w:rsidP="004008D6" w14:paraId="155EF3F6" w14:textId="77777777">
      <w:pPr>
        <w:rPr>
          <w:rFonts w:cstheme="minorHAnsi"/>
        </w:rPr>
      </w:pPr>
      <w:r w:rsidRPr="008645A9">
        <w:rPr>
          <w:rFonts w:cstheme="minorHAnsi"/>
        </w:rPr>
        <w:t>These activities comply with the requirements in 5 CFR § 1320.9.</w:t>
      </w:r>
    </w:p>
    <w:p w:rsidR="004008D6" w:rsidRPr="008645A9" w:rsidP="00A41763" w14:paraId="76C1D72A" w14:textId="77777777">
      <w:pPr>
        <w:rPr>
          <w:rFonts w:cstheme="minorHAnsi"/>
        </w:rPr>
      </w:pPr>
    </w:p>
    <w:sectPr w:rsidSect="00933D5D">
      <w:footerReference w:type="default" r:id="rI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E5477E6"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4008D6">
          <w:t>Supporting Statement for Generic Clearance for the Collection of Qualitative Feedback on Agency Service Delivery</w:t>
        </w:r>
      </w:sdtContent>
    </w:sdt>
    <w:r>
      <w:t xml:space="preserve"> </w:t>
    </w:r>
    <w:r>
      <w:tab/>
    </w:r>
    <w:r>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15036170"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3DBDBF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57C8372"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74CB9AD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0E1B2EB"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4008D6">
          <w:t>Supporting Statement for Generic Clearance for the Collection of Qualitative Feedback on Agency Service Delivery</w:t>
        </w:r>
      </w:sdtContent>
    </w:sdt>
    <w:r>
      <w:t xml:space="preserve"> </w:t>
    </w:r>
    <w:r>
      <w:tab/>
    </w:r>
    <w:r>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3CC0" w:rsidP="00536CE1" w14:paraId="5CF7AEFD" w14:textId="77777777">
      <w:pPr>
        <w:spacing w:after="0" w:line="240" w:lineRule="auto"/>
      </w:pPr>
      <w:r>
        <w:separator/>
      </w:r>
    </w:p>
  </w:footnote>
  <w:footnote w:type="continuationSeparator" w:id="1">
    <w:p w:rsidR="00623CC0" w:rsidP="00536CE1" w14:paraId="33CA31C8" w14:textId="77777777">
      <w:pPr>
        <w:spacing w:after="0" w:line="240" w:lineRule="auto"/>
      </w:pPr>
      <w:r>
        <w:continuationSeparator/>
      </w:r>
    </w:p>
  </w:footnote>
  <w:footnote w:id="2">
    <w:p w:rsidR="004008D6" w:rsidP="004008D6" w14:paraId="7EB32AA7"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C51AF6" w14:paraId="3A783697" w14:textId="77777777">
      <w:pPr>
        <w:pStyle w:val="FootnoteText"/>
      </w:pPr>
      <w:r>
        <w:rPr>
          <w:rStyle w:val="FootnoteReference"/>
        </w:rPr>
        <w:footnoteRef/>
      </w:r>
      <w:hyperlink r:id="rId1" w:history="1">
        <w:r w:rsidRPr="00975FDA">
          <w:rPr>
            <w:rStyle w:val="Hyperlink"/>
          </w:rPr>
          <w:t xml:space="preserve"> Table 4. Private industry workers by occupational and industry group - 2025 Q02 Results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9E63888"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A87196A"/>
    <w:multiLevelType w:val="hybridMultilevel"/>
    <w:tmpl w:val="5774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2">
    <w:nsid w:val="7B250FAA"/>
    <w:multiLevelType w:val="hybridMultilevel"/>
    <w:tmpl w:val="0C241D72"/>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5957384">
    <w:abstractNumId w:val="3"/>
  </w:num>
  <w:num w:numId="2" w16cid:durableId="1633900790">
    <w:abstractNumId w:val="6"/>
  </w:num>
  <w:num w:numId="3" w16cid:durableId="781649140">
    <w:abstractNumId w:val="5"/>
  </w:num>
  <w:num w:numId="4" w16cid:durableId="1723094526">
    <w:abstractNumId w:val="4"/>
  </w:num>
  <w:num w:numId="5" w16cid:durableId="1788693843">
    <w:abstractNumId w:val="2"/>
  </w:num>
  <w:num w:numId="6" w16cid:durableId="1429736789">
    <w:abstractNumId w:val="1"/>
  </w:num>
  <w:num w:numId="7" w16cid:durableId="1867672260">
    <w:abstractNumId w:val="0"/>
  </w:num>
  <w:num w:numId="8" w16cid:durableId="1159544328">
    <w:abstractNumId w:val="11"/>
  </w:num>
  <w:num w:numId="9" w16cid:durableId="234901916">
    <w:abstractNumId w:val="7"/>
  </w:num>
  <w:num w:numId="10" w16cid:durableId="1255751278">
    <w:abstractNumId w:val="9"/>
  </w:num>
  <w:num w:numId="11" w16cid:durableId="2143617614">
    <w:abstractNumId w:val="10"/>
  </w:num>
  <w:num w:numId="12" w16cid:durableId="1876772663">
    <w:abstractNumId w:val="8"/>
  </w:num>
  <w:num w:numId="13" w16cid:durableId="106961379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834"/>
    <w:rsid w:val="000030E6"/>
    <w:rsid w:val="0000364C"/>
    <w:rsid w:val="00004135"/>
    <w:rsid w:val="000041A1"/>
    <w:rsid w:val="000053BB"/>
    <w:rsid w:val="00010702"/>
    <w:rsid w:val="0001135B"/>
    <w:rsid w:val="00011B3F"/>
    <w:rsid w:val="00013373"/>
    <w:rsid w:val="00013C1E"/>
    <w:rsid w:val="000142B3"/>
    <w:rsid w:val="000142E5"/>
    <w:rsid w:val="00015ACC"/>
    <w:rsid w:val="00015DA7"/>
    <w:rsid w:val="00021A7D"/>
    <w:rsid w:val="000248CE"/>
    <w:rsid w:val="00024E1E"/>
    <w:rsid w:val="00031C86"/>
    <w:rsid w:val="00031F13"/>
    <w:rsid w:val="00034A4B"/>
    <w:rsid w:val="000364DC"/>
    <w:rsid w:val="00040351"/>
    <w:rsid w:val="00041909"/>
    <w:rsid w:val="000435CB"/>
    <w:rsid w:val="000457E4"/>
    <w:rsid w:val="00046593"/>
    <w:rsid w:val="00047967"/>
    <w:rsid w:val="00047C08"/>
    <w:rsid w:val="0005401F"/>
    <w:rsid w:val="00055769"/>
    <w:rsid w:val="00056EC3"/>
    <w:rsid w:val="00062CFE"/>
    <w:rsid w:val="0007129A"/>
    <w:rsid w:val="000743F4"/>
    <w:rsid w:val="00081CDD"/>
    <w:rsid w:val="000831C4"/>
    <w:rsid w:val="000844CA"/>
    <w:rsid w:val="000A6F86"/>
    <w:rsid w:val="000B148A"/>
    <w:rsid w:val="000B3FBE"/>
    <w:rsid w:val="000B43BF"/>
    <w:rsid w:val="000C28E1"/>
    <w:rsid w:val="000C5311"/>
    <w:rsid w:val="000D3504"/>
    <w:rsid w:val="000E2A58"/>
    <w:rsid w:val="000E4339"/>
    <w:rsid w:val="000F040A"/>
    <w:rsid w:val="000F071E"/>
    <w:rsid w:val="000F1508"/>
    <w:rsid w:val="000F580D"/>
    <w:rsid w:val="000F5B04"/>
    <w:rsid w:val="000F7623"/>
    <w:rsid w:val="001034E8"/>
    <w:rsid w:val="00103B02"/>
    <w:rsid w:val="0010795E"/>
    <w:rsid w:val="00112A69"/>
    <w:rsid w:val="0011541D"/>
    <w:rsid w:val="00127F90"/>
    <w:rsid w:val="00132F4A"/>
    <w:rsid w:val="00133079"/>
    <w:rsid w:val="001352BB"/>
    <w:rsid w:val="00142ACC"/>
    <w:rsid w:val="001433A3"/>
    <w:rsid w:val="00144760"/>
    <w:rsid w:val="00151324"/>
    <w:rsid w:val="00154192"/>
    <w:rsid w:val="00154597"/>
    <w:rsid w:val="00160BC8"/>
    <w:rsid w:val="001616BF"/>
    <w:rsid w:val="001643E2"/>
    <w:rsid w:val="0016562B"/>
    <w:rsid w:val="00167425"/>
    <w:rsid w:val="00172069"/>
    <w:rsid w:val="001807A3"/>
    <w:rsid w:val="00181957"/>
    <w:rsid w:val="0019399B"/>
    <w:rsid w:val="001944D1"/>
    <w:rsid w:val="001947D5"/>
    <w:rsid w:val="00196E36"/>
    <w:rsid w:val="00196F36"/>
    <w:rsid w:val="001A196E"/>
    <w:rsid w:val="001A6E1E"/>
    <w:rsid w:val="001A6E9A"/>
    <w:rsid w:val="001B0E69"/>
    <w:rsid w:val="001B6585"/>
    <w:rsid w:val="001C22AA"/>
    <w:rsid w:val="001C75A0"/>
    <w:rsid w:val="001D03A8"/>
    <w:rsid w:val="001F09C6"/>
    <w:rsid w:val="001F3A8F"/>
    <w:rsid w:val="002008B4"/>
    <w:rsid w:val="00201F24"/>
    <w:rsid w:val="00203455"/>
    <w:rsid w:val="002127CE"/>
    <w:rsid w:val="00215842"/>
    <w:rsid w:val="002207DF"/>
    <w:rsid w:val="00221AC2"/>
    <w:rsid w:val="00227E4B"/>
    <w:rsid w:val="0023015A"/>
    <w:rsid w:val="0023708A"/>
    <w:rsid w:val="002425DB"/>
    <w:rsid w:val="00242E9E"/>
    <w:rsid w:val="002447B0"/>
    <w:rsid w:val="00246A71"/>
    <w:rsid w:val="0025022D"/>
    <w:rsid w:val="002530BB"/>
    <w:rsid w:val="002556F3"/>
    <w:rsid w:val="00260EDF"/>
    <w:rsid w:val="00262A25"/>
    <w:rsid w:val="00264148"/>
    <w:rsid w:val="00264D85"/>
    <w:rsid w:val="0026593B"/>
    <w:rsid w:val="00265ABB"/>
    <w:rsid w:val="002722D9"/>
    <w:rsid w:val="00274179"/>
    <w:rsid w:val="00277535"/>
    <w:rsid w:val="00292E1C"/>
    <w:rsid w:val="0029390C"/>
    <w:rsid w:val="002964F4"/>
    <w:rsid w:val="00296534"/>
    <w:rsid w:val="002B0FD2"/>
    <w:rsid w:val="002B7EA8"/>
    <w:rsid w:val="002C0B6E"/>
    <w:rsid w:val="002C378C"/>
    <w:rsid w:val="002C54C7"/>
    <w:rsid w:val="002C7896"/>
    <w:rsid w:val="002D2877"/>
    <w:rsid w:val="002D53EB"/>
    <w:rsid w:val="002E3FD5"/>
    <w:rsid w:val="002E4FAD"/>
    <w:rsid w:val="002E65DE"/>
    <w:rsid w:val="002E7A38"/>
    <w:rsid w:val="002E7FEA"/>
    <w:rsid w:val="002F099F"/>
    <w:rsid w:val="002F1091"/>
    <w:rsid w:val="002F3D71"/>
    <w:rsid w:val="00306516"/>
    <w:rsid w:val="00313005"/>
    <w:rsid w:val="00317D2F"/>
    <w:rsid w:val="0032274B"/>
    <w:rsid w:val="00335D9D"/>
    <w:rsid w:val="003469CB"/>
    <w:rsid w:val="00350C8B"/>
    <w:rsid w:val="00350EA7"/>
    <w:rsid w:val="00351313"/>
    <w:rsid w:val="00351A73"/>
    <w:rsid w:val="00354A44"/>
    <w:rsid w:val="00356451"/>
    <w:rsid w:val="00363331"/>
    <w:rsid w:val="00363DB1"/>
    <w:rsid w:val="00371E14"/>
    <w:rsid w:val="0037211E"/>
    <w:rsid w:val="00373208"/>
    <w:rsid w:val="00376755"/>
    <w:rsid w:val="00381A39"/>
    <w:rsid w:val="003824EA"/>
    <w:rsid w:val="00383DB3"/>
    <w:rsid w:val="003854B2"/>
    <w:rsid w:val="00385AE6"/>
    <w:rsid w:val="00386938"/>
    <w:rsid w:val="00387C8D"/>
    <w:rsid w:val="00392DD0"/>
    <w:rsid w:val="00393585"/>
    <w:rsid w:val="00393EA7"/>
    <w:rsid w:val="00395D37"/>
    <w:rsid w:val="00396BCB"/>
    <w:rsid w:val="00397825"/>
    <w:rsid w:val="003A075A"/>
    <w:rsid w:val="003A1073"/>
    <w:rsid w:val="003A10F3"/>
    <w:rsid w:val="003A3906"/>
    <w:rsid w:val="003A7152"/>
    <w:rsid w:val="003A7181"/>
    <w:rsid w:val="003B03A4"/>
    <w:rsid w:val="003B123E"/>
    <w:rsid w:val="003C03EA"/>
    <w:rsid w:val="003C19F0"/>
    <w:rsid w:val="003C3005"/>
    <w:rsid w:val="003C37E5"/>
    <w:rsid w:val="003C690C"/>
    <w:rsid w:val="003E376A"/>
    <w:rsid w:val="003E38EF"/>
    <w:rsid w:val="003E40FA"/>
    <w:rsid w:val="003E5F92"/>
    <w:rsid w:val="003F24ED"/>
    <w:rsid w:val="003F529E"/>
    <w:rsid w:val="004008D6"/>
    <w:rsid w:val="0040522B"/>
    <w:rsid w:val="00407CCE"/>
    <w:rsid w:val="0041207A"/>
    <w:rsid w:val="00426481"/>
    <w:rsid w:val="00432966"/>
    <w:rsid w:val="00456019"/>
    <w:rsid w:val="0045608E"/>
    <w:rsid w:val="0045662F"/>
    <w:rsid w:val="00466959"/>
    <w:rsid w:val="00473DD4"/>
    <w:rsid w:val="0047784B"/>
    <w:rsid w:val="00491819"/>
    <w:rsid w:val="004946F0"/>
    <w:rsid w:val="00497C2A"/>
    <w:rsid w:val="004A1F75"/>
    <w:rsid w:val="004A2392"/>
    <w:rsid w:val="004A23D5"/>
    <w:rsid w:val="004B1075"/>
    <w:rsid w:val="004B163E"/>
    <w:rsid w:val="004B3097"/>
    <w:rsid w:val="004C277B"/>
    <w:rsid w:val="004D05FB"/>
    <w:rsid w:val="004D29C7"/>
    <w:rsid w:val="004E2921"/>
    <w:rsid w:val="004E4CC7"/>
    <w:rsid w:val="004F17B4"/>
    <w:rsid w:val="004F1CFE"/>
    <w:rsid w:val="00504119"/>
    <w:rsid w:val="00505D0A"/>
    <w:rsid w:val="005065CF"/>
    <w:rsid w:val="00506BB4"/>
    <w:rsid w:val="0050705F"/>
    <w:rsid w:val="00510197"/>
    <w:rsid w:val="0051501A"/>
    <w:rsid w:val="005170D3"/>
    <w:rsid w:val="005235FB"/>
    <w:rsid w:val="0052493A"/>
    <w:rsid w:val="00525E2A"/>
    <w:rsid w:val="00526AA2"/>
    <w:rsid w:val="0052783E"/>
    <w:rsid w:val="00532643"/>
    <w:rsid w:val="005345C2"/>
    <w:rsid w:val="00535CAF"/>
    <w:rsid w:val="00536054"/>
    <w:rsid w:val="0053654B"/>
    <w:rsid w:val="00536CE1"/>
    <w:rsid w:val="00537A91"/>
    <w:rsid w:val="0054180D"/>
    <w:rsid w:val="00545C0F"/>
    <w:rsid w:val="00547B53"/>
    <w:rsid w:val="005515CD"/>
    <w:rsid w:val="00552557"/>
    <w:rsid w:val="00560CDD"/>
    <w:rsid w:val="00571D8F"/>
    <w:rsid w:val="0057367D"/>
    <w:rsid w:val="00575630"/>
    <w:rsid w:val="00585BE3"/>
    <w:rsid w:val="0059212D"/>
    <w:rsid w:val="005A66D1"/>
    <w:rsid w:val="005B2B58"/>
    <w:rsid w:val="005B53AA"/>
    <w:rsid w:val="005B6785"/>
    <w:rsid w:val="005C00FA"/>
    <w:rsid w:val="005C085E"/>
    <w:rsid w:val="005C2D89"/>
    <w:rsid w:val="005C485B"/>
    <w:rsid w:val="005C5524"/>
    <w:rsid w:val="005C7A02"/>
    <w:rsid w:val="005C7ECB"/>
    <w:rsid w:val="005D39D7"/>
    <w:rsid w:val="005D5956"/>
    <w:rsid w:val="005D67A1"/>
    <w:rsid w:val="005D6F63"/>
    <w:rsid w:val="005E1369"/>
    <w:rsid w:val="005E2AD6"/>
    <w:rsid w:val="005E2D2B"/>
    <w:rsid w:val="005E6B0E"/>
    <w:rsid w:val="005F0300"/>
    <w:rsid w:val="005F0A3D"/>
    <w:rsid w:val="005F4848"/>
    <w:rsid w:val="00607D8E"/>
    <w:rsid w:val="00616E46"/>
    <w:rsid w:val="0062008C"/>
    <w:rsid w:val="00620797"/>
    <w:rsid w:val="00623CC0"/>
    <w:rsid w:val="00626494"/>
    <w:rsid w:val="006358D9"/>
    <w:rsid w:val="00641DE2"/>
    <w:rsid w:val="006427B1"/>
    <w:rsid w:val="00643384"/>
    <w:rsid w:val="006502C5"/>
    <w:rsid w:val="00652B92"/>
    <w:rsid w:val="0065406F"/>
    <w:rsid w:val="00654461"/>
    <w:rsid w:val="00662F02"/>
    <w:rsid w:val="00663EC4"/>
    <w:rsid w:val="0066477B"/>
    <w:rsid w:val="00664E15"/>
    <w:rsid w:val="006662E2"/>
    <w:rsid w:val="00677C5F"/>
    <w:rsid w:val="0068276F"/>
    <w:rsid w:val="006A0BC7"/>
    <w:rsid w:val="006A350A"/>
    <w:rsid w:val="006A6B54"/>
    <w:rsid w:val="006B640A"/>
    <w:rsid w:val="006B6C29"/>
    <w:rsid w:val="006C0062"/>
    <w:rsid w:val="006C097E"/>
    <w:rsid w:val="006C1F7A"/>
    <w:rsid w:val="006C2DC3"/>
    <w:rsid w:val="006D0439"/>
    <w:rsid w:val="006D0475"/>
    <w:rsid w:val="006D36AD"/>
    <w:rsid w:val="006D42EC"/>
    <w:rsid w:val="006D728C"/>
    <w:rsid w:val="006E6889"/>
    <w:rsid w:val="006E7A02"/>
    <w:rsid w:val="006F3C12"/>
    <w:rsid w:val="00703642"/>
    <w:rsid w:val="00704B7D"/>
    <w:rsid w:val="00705D96"/>
    <w:rsid w:val="0070644E"/>
    <w:rsid w:val="00711414"/>
    <w:rsid w:val="00714478"/>
    <w:rsid w:val="00715BDC"/>
    <w:rsid w:val="00716270"/>
    <w:rsid w:val="00725453"/>
    <w:rsid w:val="00730DA0"/>
    <w:rsid w:val="00735319"/>
    <w:rsid w:val="00737591"/>
    <w:rsid w:val="00737B91"/>
    <w:rsid w:val="00740859"/>
    <w:rsid w:val="00740A88"/>
    <w:rsid w:val="007438F2"/>
    <w:rsid w:val="00750D53"/>
    <w:rsid w:val="00755C3D"/>
    <w:rsid w:val="007576EF"/>
    <w:rsid w:val="00760677"/>
    <w:rsid w:val="007615EB"/>
    <w:rsid w:val="0076199A"/>
    <w:rsid w:val="00761C12"/>
    <w:rsid w:val="00763010"/>
    <w:rsid w:val="007658BA"/>
    <w:rsid w:val="00776CF4"/>
    <w:rsid w:val="00777E63"/>
    <w:rsid w:val="0078223D"/>
    <w:rsid w:val="00782675"/>
    <w:rsid w:val="00784F89"/>
    <w:rsid w:val="00786336"/>
    <w:rsid w:val="007951D6"/>
    <w:rsid w:val="007A0E7F"/>
    <w:rsid w:val="007A4378"/>
    <w:rsid w:val="007A636D"/>
    <w:rsid w:val="007A71C7"/>
    <w:rsid w:val="007B1565"/>
    <w:rsid w:val="007C5CE9"/>
    <w:rsid w:val="007D0CC6"/>
    <w:rsid w:val="007D3330"/>
    <w:rsid w:val="007D39CC"/>
    <w:rsid w:val="007D55CA"/>
    <w:rsid w:val="007D6AAF"/>
    <w:rsid w:val="007E1EA6"/>
    <w:rsid w:val="007E25A7"/>
    <w:rsid w:val="007E29F8"/>
    <w:rsid w:val="007E5A11"/>
    <w:rsid w:val="007E7377"/>
    <w:rsid w:val="007E73E6"/>
    <w:rsid w:val="007E796C"/>
    <w:rsid w:val="007E7FBE"/>
    <w:rsid w:val="007F1954"/>
    <w:rsid w:val="007F21D7"/>
    <w:rsid w:val="007F3C82"/>
    <w:rsid w:val="008057F8"/>
    <w:rsid w:val="00811910"/>
    <w:rsid w:val="00811FC2"/>
    <w:rsid w:val="00812C91"/>
    <w:rsid w:val="0081311C"/>
    <w:rsid w:val="00815EE5"/>
    <w:rsid w:val="008164EB"/>
    <w:rsid w:val="00817D98"/>
    <w:rsid w:val="008213F9"/>
    <w:rsid w:val="00823311"/>
    <w:rsid w:val="008259BF"/>
    <w:rsid w:val="00825C60"/>
    <w:rsid w:val="00826FFB"/>
    <w:rsid w:val="008302C0"/>
    <w:rsid w:val="008307E1"/>
    <w:rsid w:val="00830E63"/>
    <w:rsid w:val="00834C57"/>
    <w:rsid w:val="00836D62"/>
    <w:rsid w:val="00844524"/>
    <w:rsid w:val="008466AF"/>
    <w:rsid w:val="008473D9"/>
    <w:rsid w:val="008538F6"/>
    <w:rsid w:val="00854430"/>
    <w:rsid w:val="008645A9"/>
    <w:rsid w:val="00867160"/>
    <w:rsid w:val="0087141D"/>
    <w:rsid w:val="00871740"/>
    <w:rsid w:val="0087205B"/>
    <w:rsid w:val="00874B5A"/>
    <w:rsid w:val="00874FB8"/>
    <w:rsid w:val="00886BF0"/>
    <w:rsid w:val="00891B6C"/>
    <w:rsid w:val="00895669"/>
    <w:rsid w:val="00897946"/>
    <w:rsid w:val="008A0227"/>
    <w:rsid w:val="008A2B5F"/>
    <w:rsid w:val="008A3276"/>
    <w:rsid w:val="008A3447"/>
    <w:rsid w:val="008A5339"/>
    <w:rsid w:val="008A5C29"/>
    <w:rsid w:val="008A7E5F"/>
    <w:rsid w:val="008B5873"/>
    <w:rsid w:val="008B6F55"/>
    <w:rsid w:val="008C142E"/>
    <w:rsid w:val="008C17FF"/>
    <w:rsid w:val="008C6C28"/>
    <w:rsid w:val="008C734C"/>
    <w:rsid w:val="008D52CD"/>
    <w:rsid w:val="008E0354"/>
    <w:rsid w:val="008E4BF2"/>
    <w:rsid w:val="008F16EC"/>
    <w:rsid w:val="008F4CBD"/>
    <w:rsid w:val="009017AD"/>
    <w:rsid w:val="00901BED"/>
    <w:rsid w:val="00905735"/>
    <w:rsid w:val="009131B9"/>
    <w:rsid w:val="0091409C"/>
    <w:rsid w:val="00926B1A"/>
    <w:rsid w:val="009303A4"/>
    <w:rsid w:val="00933D5D"/>
    <w:rsid w:val="00935805"/>
    <w:rsid w:val="009368F3"/>
    <w:rsid w:val="009471F9"/>
    <w:rsid w:val="00947C42"/>
    <w:rsid w:val="00950489"/>
    <w:rsid w:val="00952FB9"/>
    <w:rsid w:val="00957DE9"/>
    <w:rsid w:val="009611E1"/>
    <w:rsid w:val="009616F7"/>
    <w:rsid w:val="00965A44"/>
    <w:rsid w:val="00967D7C"/>
    <w:rsid w:val="00971C7D"/>
    <w:rsid w:val="0097299A"/>
    <w:rsid w:val="0097548D"/>
    <w:rsid w:val="009757AD"/>
    <w:rsid w:val="00975FDA"/>
    <w:rsid w:val="00980B6A"/>
    <w:rsid w:val="009818F9"/>
    <w:rsid w:val="0098618F"/>
    <w:rsid w:val="00987779"/>
    <w:rsid w:val="00987C32"/>
    <w:rsid w:val="00991646"/>
    <w:rsid w:val="0099448B"/>
    <w:rsid w:val="00997347"/>
    <w:rsid w:val="009A31C1"/>
    <w:rsid w:val="009A3DB3"/>
    <w:rsid w:val="009A5CA3"/>
    <w:rsid w:val="009A61EB"/>
    <w:rsid w:val="009B19CE"/>
    <w:rsid w:val="009B6991"/>
    <w:rsid w:val="009C202F"/>
    <w:rsid w:val="009C6BFB"/>
    <w:rsid w:val="009C77F7"/>
    <w:rsid w:val="009D6D88"/>
    <w:rsid w:val="009E1039"/>
    <w:rsid w:val="009E48F1"/>
    <w:rsid w:val="009E5ABC"/>
    <w:rsid w:val="009E5B9C"/>
    <w:rsid w:val="009E6656"/>
    <w:rsid w:val="009E75B6"/>
    <w:rsid w:val="009F2320"/>
    <w:rsid w:val="009F4ED1"/>
    <w:rsid w:val="00A00D71"/>
    <w:rsid w:val="00A00EDF"/>
    <w:rsid w:val="00A06574"/>
    <w:rsid w:val="00A109CF"/>
    <w:rsid w:val="00A132DA"/>
    <w:rsid w:val="00A15AFB"/>
    <w:rsid w:val="00A16E4A"/>
    <w:rsid w:val="00A26A17"/>
    <w:rsid w:val="00A30169"/>
    <w:rsid w:val="00A312A3"/>
    <w:rsid w:val="00A31E36"/>
    <w:rsid w:val="00A33D9F"/>
    <w:rsid w:val="00A37229"/>
    <w:rsid w:val="00A4167E"/>
    <w:rsid w:val="00A41763"/>
    <w:rsid w:val="00A418C9"/>
    <w:rsid w:val="00A4297E"/>
    <w:rsid w:val="00A432C7"/>
    <w:rsid w:val="00A51BA0"/>
    <w:rsid w:val="00A62726"/>
    <w:rsid w:val="00A72AA8"/>
    <w:rsid w:val="00A73C2B"/>
    <w:rsid w:val="00A74C9B"/>
    <w:rsid w:val="00A8359E"/>
    <w:rsid w:val="00A874E4"/>
    <w:rsid w:val="00A93478"/>
    <w:rsid w:val="00A97FE7"/>
    <w:rsid w:val="00AA3D91"/>
    <w:rsid w:val="00AA3FD0"/>
    <w:rsid w:val="00AA46CA"/>
    <w:rsid w:val="00AA7EFA"/>
    <w:rsid w:val="00AB61B3"/>
    <w:rsid w:val="00AC1468"/>
    <w:rsid w:val="00AC323A"/>
    <w:rsid w:val="00AC5547"/>
    <w:rsid w:val="00AC69E8"/>
    <w:rsid w:val="00AC7E7E"/>
    <w:rsid w:val="00AC7F4A"/>
    <w:rsid w:val="00AD4BFE"/>
    <w:rsid w:val="00AD6357"/>
    <w:rsid w:val="00AD7F81"/>
    <w:rsid w:val="00AE0552"/>
    <w:rsid w:val="00AE4CA9"/>
    <w:rsid w:val="00AE6862"/>
    <w:rsid w:val="00AF2684"/>
    <w:rsid w:val="00AF359B"/>
    <w:rsid w:val="00AF367D"/>
    <w:rsid w:val="00AF45FD"/>
    <w:rsid w:val="00AF5712"/>
    <w:rsid w:val="00AF5CCD"/>
    <w:rsid w:val="00AF6568"/>
    <w:rsid w:val="00B11E40"/>
    <w:rsid w:val="00B1560A"/>
    <w:rsid w:val="00B20CD6"/>
    <w:rsid w:val="00B2386E"/>
    <w:rsid w:val="00B27271"/>
    <w:rsid w:val="00B27D87"/>
    <w:rsid w:val="00B35B46"/>
    <w:rsid w:val="00B35E2A"/>
    <w:rsid w:val="00B4263D"/>
    <w:rsid w:val="00B50AFB"/>
    <w:rsid w:val="00B56687"/>
    <w:rsid w:val="00B56F49"/>
    <w:rsid w:val="00B7288F"/>
    <w:rsid w:val="00B7442A"/>
    <w:rsid w:val="00B74E57"/>
    <w:rsid w:val="00B7765A"/>
    <w:rsid w:val="00B94E0C"/>
    <w:rsid w:val="00B961F1"/>
    <w:rsid w:val="00B97002"/>
    <w:rsid w:val="00B978E1"/>
    <w:rsid w:val="00BA2ED2"/>
    <w:rsid w:val="00BA5599"/>
    <w:rsid w:val="00BB1B64"/>
    <w:rsid w:val="00BB2F70"/>
    <w:rsid w:val="00BB6CF4"/>
    <w:rsid w:val="00BC14C3"/>
    <w:rsid w:val="00BC1ABE"/>
    <w:rsid w:val="00BD2F20"/>
    <w:rsid w:val="00BD4F62"/>
    <w:rsid w:val="00BE1BB3"/>
    <w:rsid w:val="00BE4AFD"/>
    <w:rsid w:val="00BE64D9"/>
    <w:rsid w:val="00BF348B"/>
    <w:rsid w:val="00BF4427"/>
    <w:rsid w:val="00BF7A0F"/>
    <w:rsid w:val="00C00590"/>
    <w:rsid w:val="00C04647"/>
    <w:rsid w:val="00C058CF"/>
    <w:rsid w:val="00C121E5"/>
    <w:rsid w:val="00C12551"/>
    <w:rsid w:val="00C16681"/>
    <w:rsid w:val="00C211CD"/>
    <w:rsid w:val="00C24FF3"/>
    <w:rsid w:val="00C25328"/>
    <w:rsid w:val="00C371F6"/>
    <w:rsid w:val="00C3744D"/>
    <w:rsid w:val="00C40B73"/>
    <w:rsid w:val="00C43A84"/>
    <w:rsid w:val="00C45E8C"/>
    <w:rsid w:val="00C47156"/>
    <w:rsid w:val="00C47F3A"/>
    <w:rsid w:val="00C51AF6"/>
    <w:rsid w:val="00C51C0A"/>
    <w:rsid w:val="00C54E5F"/>
    <w:rsid w:val="00C561BB"/>
    <w:rsid w:val="00C64137"/>
    <w:rsid w:val="00C658E4"/>
    <w:rsid w:val="00C711A2"/>
    <w:rsid w:val="00C72147"/>
    <w:rsid w:val="00C7266E"/>
    <w:rsid w:val="00C76C66"/>
    <w:rsid w:val="00C82815"/>
    <w:rsid w:val="00C82DF9"/>
    <w:rsid w:val="00C87190"/>
    <w:rsid w:val="00C93D69"/>
    <w:rsid w:val="00C94396"/>
    <w:rsid w:val="00C96EBC"/>
    <w:rsid w:val="00CA1564"/>
    <w:rsid w:val="00CA63C2"/>
    <w:rsid w:val="00CA7C8A"/>
    <w:rsid w:val="00CB180D"/>
    <w:rsid w:val="00CB25B3"/>
    <w:rsid w:val="00CB44E8"/>
    <w:rsid w:val="00CB5C5B"/>
    <w:rsid w:val="00CB7978"/>
    <w:rsid w:val="00CC12CA"/>
    <w:rsid w:val="00CC1D12"/>
    <w:rsid w:val="00CD482A"/>
    <w:rsid w:val="00CE0393"/>
    <w:rsid w:val="00CE37F6"/>
    <w:rsid w:val="00CE42E9"/>
    <w:rsid w:val="00CF6756"/>
    <w:rsid w:val="00D001E4"/>
    <w:rsid w:val="00D00AA8"/>
    <w:rsid w:val="00D01BEA"/>
    <w:rsid w:val="00D02778"/>
    <w:rsid w:val="00D03006"/>
    <w:rsid w:val="00D038FE"/>
    <w:rsid w:val="00D12D2C"/>
    <w:rsid w:val="00D13E84"/>
    <w:rsid w:val="00D17815"/>
    <w:rsid w:val="00D17918"/>
    <w:rsid w:val="00D2045B"/>
    <w:rsid w:val="00D26382"/>
    <w:rsid w:val="00D300F4"/>
    <w:rsid w:val="00D3344B"/>
    <w:rsid w:val="00D40175"/>
    <w:rsid w:val="00D4218D"/>
    <w:rsid w:val="00D463DC"/>
    <w:rsid w:val="00D46808"/>
    <w:rsid w:val="00D47759"/>
    <w:rsid w:val="00D52B6D"/>
    <w:rsid w:val="00D55243"/>
    <w:rsid w:val="00D5784C"/>
    <w:rsid w:val="00D62F90"/>
    <w:rsid w:val="00D63E74"/>
    <w:rsid w:val="00D701F6"/>
    <w:rsid w:val="00D715C4"/>
    <w:rsid w:val="00D728B6"/>
    <w:rsid w:val="00D755AF"/>
    <w:rsid w:val="00D81596"/>
    <w:rsid w:val="00D81F7B"/>
    <w:rsid w:val="00D854D8"/>
    <w:rsid w:val="00D928FD"/>
    <w:rsid w:val="00DA49B4"/>
    <w:rsid w:val="00DB47E0"/>
    <w:rsid w:val="00DB6FBD"/>
    <w:rsid w:val="00DC0411"/>
    <w:rsid w:val="00DC2B09"/>
    <w:rsid w:val="00DC79E3"/>
    <w:rsid w:val="00DD51E1"/>
    <w:rsid w:val="00DE0A9E"/>
    <w:rsid w:val="00DE2D54"/>
    <w:rsid w:val="00DE4172"/>
    <w:rsid w:val="00DE46DD"/>
    <w:rsid w:val="00DE759A"/>
    <w:rsid w:val="00DF24FA"/>
    <w:rsid w:val="00DF2D9E"/>
    <w:rsid w:val="00E0161E"/>
    <w:rsid w:val="00E01928"/>
    <w:rsid w:val="00E02BB0"/>
    <w:rsid w:val="00E03CE6"/>
    <w:rsid w:val="00E13716"/>
    <w:rsid w:val="00E26387"/>
    <w:rsid w:val="00E266FF"/>
    <w:rsid w:val="00E27661"/>
    <w:rsid w:val="00E47DB3"/>
    <w:rsid w:val="00E509A9"/>
    <w:rsid w:val="00E51F8B"/>
    <w:rsid w:val="00E5242A"/>
    <w:rsid w:val="00E53398"/>
    <w:rsid w:val="00E61806"/>
    <w:rsid w:val="00E63F30"/>
    <w:rsid w:val="00E6580A"/>
    <w:rsid w:val="00E65F6A"/>
    <w:rsid w:val="00E66AE2"/>
    <w:rsid w:val="00E70964"/>
    <w:rsid w:val="00E71885"/>
    <w:rsid w:val="00E72960"/>
    <w:rsid w:val="00E7311C"/>
    <w:rsid w:val="00E73D99"/>
    <w:rsid w:val="00E74DA4"/>
    <w:rsid w:val="00E81B89"/>
    <w:rsid w:val="00E91432"/>
    <w:rsid w:val="00E91B5A"/>
    <w:rsid w:val="00EA7CA7"/>
    <w:rsid w:val="00EB1F1F"/>
    <w:rsid w:val="00EB2CDF"/>
    <w:rsid w:val="00EB5A19"/>
    <w:rsid w:val="00ED5549"/>
    <w:rsid w:val="00ED6E45"/>
    <w:rsid w:val="00EE2CAF"/>
    <w:rsid w:val="00EE43E4"/>
    <w:rsid w:val="00EF0621"/>
    <w:rsid w:val="00EF36B5"/>
    <w:rsid w:val="00EF3E50"/>
    <w:rsid w:val="00F001EA"/>
    <w:rsid w:val="00F00E58"/>
    <w:rsid w:val="00F056C3"/>
    <w:rsid w:val="00F07507"/>
    <w:rsid w:val="00F14B1E"/>
    <w:rsid w:val="00F153A2"/>
    <w:rsid w:val="00F16B90"/>
    <w:rsid w:val="00F2093D"/>
    <w:rsid w:val="00F20A91"/>
    <w:rsid w:val="00F22733"/>
    <w:rsid w:val="00F25234"/>
    <w:rsid w:val="00F34140"/>
    <w:rsid w:val="00F34F19"/>
    <w:rsid w:val="00F422EC"/>
    <w:rsid w:val="00F44A21"/>
    <w:rsid w:val="00F46147"/>
    <w:rsid w:val="00F4714B"/>
    <w:rsid w:val="00F52254"/>
    <w:rsid w:val="00F54AC6"/>
    <w:rsid w:val="00F56F77"/>
    <w:rsid w:val="00F575F0"/>
    <w:rsid w:val="00F60830"/>
    <w:rsid w:val="00F60C74"/>
    <w:rsid w:val="00F645AB"/>
    <w:rsid w:val="00F6664C"/>
    <w:rsid w:val="00F714E2"/>
    <w:rsid w:val="00F72201"/>
    <w:rsid w:val="00F750E7"/>
    <w:rsid w:val="00F7542E"/>
    <w:rsid w:val="00F80AF1"/>
    <w:rsid w:val="00F8298C"/>
    <w:rsid w:val="00F83C3B"/>
    <w:rsid w:val="00F875E5"/>
    <w:rsid w:val="00F90245"/>
    <w:rsid w:val="00F91760"/>
    <w:rsid w:val="00F920D9"/>
    <w:rsid w:val="00F94781"/>
    <w:rsid w:val="00F97E55"/>
    <w:rsid w:val="00FA03B7"/>
    <w:rsid w:val="00FA4228"/>
    <w:rsid w:val="00FA5388"/>
    <w:rsid w:val="00FB08E3"/>
    <w:rsid w:val="00FB6BF3"/>
    <w:rsid w:val="00FD397B"/>
    <w:rsid w:val="00FD4B01"/>
    <w:rsid w:val="00FD52F2"/>
    <w:rsid w:val="00FD586F"/>
    <w:rsid w:val="00FD7CDC"/>
    <w:rsid w:val="00FD7E5F"/>
    <w:rsid w:val="00FE2197"/>
    <w:rsid w:val="00FE4D48"/>
    <w:rsid w:val="00FE58E0"/>
    <w:rsid w:val="00FE74D0"/>
    <w:rsid w:val="00FF1791"/>
    <w:rsid w:val="022A47FC"/>
    <w:rsid w:val="029832E3"/>
    <w:rsid w:val="0344D7D2"/>
    <w:rsid w:val="03567281"/>
    <w:rsid w:val="04BC1509"/>
    <w:rsid w:val="064B4D9B"/>
    <w:rsid w:val="0818063B"/>
    <w:rsid w:val="08911868"/>
    <w:rsid w:val="0AC7271D"/>
    <w:rsid w:val="0ACE4F23"/>
    <w:rsid w:val="0C87FC2E"/>
    <w:rsid w:val="0C91999E"/>
    <w:rsid w:val="0CA0CCA0"/>
    <w:rsid w:val="0DA8C7BC"/>
    <w:rsid w:val="0E158A7D"/>
    <w:rsid w:val="0E4BED62"/>
    <w:rsid w:val="13256D68"/>
    <w:rsid w:val="13EDADA8"/>
    <w:rsid w:val="143D22E8"/>
    <w:rsid w:val="14A78D9B"/>
    <w:rsid w:val="17567D52"/>
    <w:rsid w:val="181ED2C6"/>
    <w:rsid w:val="1A9515D5"/>
    <w:rsid w:val="1B44F115"/>
    <w:rsid w:val="1DC113DD"/>
    <w:rsid w:val="21DA7A8C"/>
    <w:rsid w:val="21F45DFE"/>
    <w:rsid w:val="22CF668A"/>
    <w:rsid w:val="25A16DFC"/>
    <w:rsid w:val="2C3DB770"/>
    <w:rsid w:val="2D8C7C81"/>
    <w:rsid w:val="2EBC4F4B"/>
    <w:rsid w:val="2EE16D72"/>
    <w:rsid w:val="2F11AD5D"/>
    <w:rsid w:val="30B5E3CB"/>
    <w:rsid w:val="325B7422"/>
    <w:rsid w:val="327D57FF"/>
    <w:rsid w:val="328A649F"/>
    <w:rsid w:val="36B49487"/>
    <w:rsid w:val="375C9069"/>
    <w:rsid w:val="3878C5D0"/>
    <w:rsid w:val="3AAABF88"/>
    <w:rsid w:val="3AB3B480"/>
    <w:rsid w:val="3D9D10D7"/>
    <w:rsid w:val="3DE3060B"/>
    <w:rsid w:val="3E25B556"/>
    <w:rsid w:val="3E64F1FE"/>
    <w:rsid w:val="4078C1F8"/>
    <w:rsid w:val="42D9BC55"/>
    <w:rsid w:val="44DE9DC3"/>
    <w:rsid w:val="44E89899"/>
    <w:rsid w:val="459C44DB"/>
    <w:rsid w:val="463FE59A"/>
    <w:rsid w:val="46507866"/>
    <w:rsid w:val="46979E1E"/>
    <w:rsid w:val="476FEA47"/>
    <w:rsid w:val="47D78989"/>
    <w:rsid w:val="481CE96A"/>
    <w:rsid w:val="484A0B8A"/>
    <w:rsid w:val="49234B87"/>
    <w:rsid w:val="4B747CA9"/>
    <w:rsid w:val="50F1035A"/>
    <w:rsid w:val="55B8CA07"/>
    <w:rsid w:val="55BACB47"/>
    <w:rsid w:val="55C23C95"/>
    <w:rsid w:val="55D48490"/>
    <w:rsid w:val="56109796"/>
    <w:rsid w:val="574A278D"/>
    <w:rsid w:val="590EFF6B"/>
    <w:rsid w:val="5ACD55AF"/>
    <w:rsid w:val="5D28C99F"/>
    <w:rsid w:val="5E1B108F"/>
    <w:rsid w:val="6050D7A6"/>
    <w:rsid w:val="618793FB"/>
    <w:rsid w:val="61E36CD0"/>
    <w:rsid w:val="629363FC"/>
    <w:rsid w:val="63064DA0"/>
    <w:rsid w:val="633543BD"/>
    <w:rsid w:val="67D64365"/>
    <w:rsid w:val="68A81A04"/>
    <w:rsid w:val="6A2EEB7E"/>
    <w:rsid w:val="6B44C6CD"/>
    <w:rsid w:val="6C3B69BC"/>
    <w:rsid w:val="6CBFA2A2"/>
    <w:rsid w:val="6D31EA79"/>
    <w:rsid w:val="6E43B583"/>
    <w:rsid w:val="70003C4E"/>
    <w:rsid w:val="74A03C69"/>
    <w:rsid w:val="74A212AA"/>
    <w:rsid w:val="7558D71B"/>
    <w:rsid w:val="75B65B31"/>
    <w:rsid w:val="765E669C"/>
    <w:rsid w:val="77AE99E9"/>
    <w:rsid w:val="781EE41A"/>
    <w:rsid w:val="787B6ADF"/>
    <w:rsid w:val="79283174"/>
    <w:rsid w:val="79B04DB2"/>
    <w:rsid w:val="7A536E9A"/>
    <w:rsid w:val="7AA35CC3"/>
    <w:rsid w:val="7E89AA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D09A91"/>
  <w15:docId w15:val="{80417B49-B04A-4458-9474-0C67F09C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F7A0F"/>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8A2B5F"/>
    <w:rPr>
      <w:color w:val="5D9732" w:themeColor="followedHyperlink"/>
      <w:u w:val="single"/>
    </w:rPr>
  </w:style>
  <w:style w:type="paragraph" w:styleId="Revision">
    <w:name w:val="Revision"/>
    <w:hidden/>
    <w:uiPriority w:val="99"/>
    <w:semiHidden/>
    <w:rsid w:val="007E1EA6"/>
    <w:pPr>
      <w:spacing w:after="0"/>
    </w:pPr>
  </w:style>
  <w:style w:type="character" w:styleId="CommentReference">
    <w:name w:val="annotation reference"/>
    <w:basedOn w:val="DefaultParagraphFont"/>
    <w:uiPriority w:val="99"/>
    <w:semiHidden/>
    <w:unhideWhenUsed/>
    <w:locked/>
    <w:rsid w:val="007E1EA6"/>
    <w:rPr>
      <w:sz w:val="16"/>
      <w:szCs w:val="16"/>
    </w:rPr>
  </w:style>
  <w:style w:type="paragraph" w:styleId="CommentText">
    <w:name w:val="annotation text"/>
    <w:basedOn w:val="Normal"/>
    <w:link w:val="CommentTextChar"/>
    <w:uiPriority w:val="99"/>
    <w:unhideWhenUsed/>
    <w:locked/>
    <w:rsid w:val="007E1EA6"/>
    <w:pPr>
      <w:spacing w:line="240" w:lineRule="auto"/>
    </w:pPr>
    <w:rPr>
      <w:sz w:val="20"/>
      <w:szCs w:val="20"/>
    </w:rPr>
  </w:style>
  <w:style w:type="character" w:customStyle="1" w:styleId="CommentTextChar">
    <w:name w:val="Comment Text Char"/>
    <w:basedOn w:val="DefaultParagraphFont"/>
    <w:link w:val="CommentText"/>
    <w:uiPriority w:val="99"/>
    <w:rsid w:val="007E1EA6"/>
    <w:rPr>
      <w:sz w:val="20"/>
      <w:szCs w:val="20"/>
    </w:rPr>
  </w:style>
  <w:style w:type="paragraph" w:styleId="CommentSubject">
    <w:name w:val="annotation subject"/>
    <w:basedOn w:val="CommentText"/>
    <w:next w:val="CommentText"/>
    <w:link w:val="CommentSubjectChar"/>
    <w:uiPriority w:val="99"/>
    <w:semiHidden/>
    <w:unhideWhenUsed/>
    <w:locked/>
    <w:rsid w:val="007E1EA6"/>
    <w:rPr>
      <w:b/>
      <w:bCs/>
    </w:rPr>
  </w:style>
  <w:style w:type="character" w:customStyle="1" w:styleId="CommentSubjectChar">
    <w:name w:val="Comment Subject Char"/>
    <w:basedOn w:val="CommentTextChar"/>
    <w:link w:val="CommentSubject"/>
    <w:uiPriority w:val="99"/>
    <w:semiHidden/>
    <w:rsid w:val="007E1EA6"/>
    <w:rPr>
      <w:b/>
      <w:bCs/>
      <w:sz w:val="20"/>
      <w:szCs w:val="20"/>
    </w:rPr>
  </w:style>
  <w:style w:type="character" w:styleId="UnresolvedMention">
    <w:name w:val="Unresolved Mention"/>
    <w:basedOn w:val="DefaultParagraphFont"/>
    <w:uiPriority w:val="99"/>
    <w:semiHidden/>
    <w:unhideWhenUsed/>
    <w:rsid w:val="00FF1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rocis.gov/rocis/LoadIC.do?TYPE=EDIT&amp;requestId=1641016&amp;ICR_REF_NBR=202602-1910-005&amp;ICID=279128&amp;record_owner_flag=A&amp;menu=currentICRPackage" TargetMode="External" /><Relationship Id="rId16" Type="http://schemas.openxmlformats.org/officeDocument/2006/relationships/hyperlink" Target="https://www.rocis.gov/rocis/LoadIC.do?TYPE=EDIT&amp;requestId=1641016&amp;ICR_REF_NBR=202602-1910-005&amp;ICID=278992&amp;record_owner_flag=A&amp;menu=currentICRPackage" TargetMode="Externa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14:paraId="72EE8D63" w14:textId="77777777">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14:paraId="18F23BBA" w14:textId="77777777">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27F">
      <w:pPr>
        <w:spacing w:after="0" w:line="240" w:lineRule="auto"/>
      </w:pPr>
      <w:r>
        <w:separator/>
      </w:r>
    </w:p>
  </w:footnote>
  <w:footnote w:type="continuationSeparator" w:id="1">
    <w:p w:rsidR="0075027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01834"/>
    <w:rsid w:val="000030E6"/>
    <w:rsid w:val="00015ACC"/>
    <w:rsid w:val="000435CB"/>
    <w:rsid w:val="000457E4"/>
    <w:rsid w:val="000A3B77"/>
    <w:rsid w:val="000D3504"/>
    <w:rsid w:val="000F580D"/>
    <w:rsid w:val="00164E54"/>
    <w:rsid w:val="001944D1"/>
    <w:rsid w:val="001A196E"/>
    <w:rsid w:val="001C14DD"/>
    <w:rsid w:val="001C1583"/>
    <w:rsid w:val="001D389D"/>
    <w:rsid w:val="002376B4"/>
    <w:rsid w:val="00262A25"/>
    <w:rsid w:val="00264081"/>
    <w:rsid w:val="00264D85"/>
    <w:rsid w:val="00265ABB"/>
    <w:rsid w:val="002A7A2A"/>
    <w:rsid w:val="002A7DBB"/>
    <w:rsid w:val="002B7EA8"/>
    <w:rsid w:val="002C0346"/>
    <w:rsid w:val="002C0B6E"/>
    <w:rsid w:val="002C54C7"/>
    <w:rsid w:val="002D4132"/>
    <w:rsid w:val="00332C5F"/>
    <w:rsid w:val="00363DB1"/>
    <w:rsid w:val="0037211E"/>
    <w:rsid w:val="00376755"/>
    <w:rsid w:val="003824EA"/>
    <w:rsid w:val="00393585"/>
    <w:rsid w:val="00396F42"/>
    <w:rsid w:val="003A7181"/>
    <w:rsid w:val="003C37E5"/>
    <w:rsid w:val="003D2E6F"/>
    <w:rsid w:val="00473DD4"/>
    <w:rsid w:val="0047798E"/>
    <w:rsid w:val="00477A1C"/>
    <w:rsid w:val="0051501A"/>
    <w:rsid w:val="005345C2"/>
    <w:rsid w:val="005F0A3D"/>
    <w:rsid w:val="00607D8E"/>
    <w:rsid w:val="0061038F"/>
    <w:rsid w:val="006475C1"/>
    <w:rsid w:val="00651FB6"/>
    <w:rsid w:val="00654BA7"/>
    <w:rsid w:val="0065501B"/>
    <w:rsid w:val="0066477B"/>
    <w:rsid w:val="00675698"/>
    <w:rsid w:val="0068276F"/>
    <w:rsid w:val="006A3EA4"/>
    <w:rsid w:val="006B5A35"/>
    <w:rsid w:val="006C0D4E"/>
    <w:rsid w:val="006F4D04"/>
    <w:rsid w:val="00725346"/>
    <w:rsid w:val="0075027F"/>
    <w:rsid w:val="007B5ACE"/>
    <w:rsid w:val="007F0C08"/>
    <w:rsid w:val="0081131E"/>
    <w:rsid w:val="00811FC2"/>
    <w:rsid w:val="0081311C"/>
    <w:rsid w:val="00823311"/>
    <w:rsid w:val="008259BF"/>
    <w:rsid w:val="00826FFB"/>
    <w:rsid w:val="00891B6C"/>
    <w:rsid w:val="008D0D7D"/>
    <w:rsid w:val="00926B1A"/>
    <w:rsid w:val="0097548D"/>
    <w:rsid w:val="009E1039"/>
    <w:rsid w:val="009E75B6"/>
    <w:rsid w:val="00A06574"/>
    <w:rsid w:val="00A141D3"/>
    <w:rsid w:val="00A276D0"/>
    <w:rsid w:val="00A31281"/>
    <w:rsid w:val="00A31E36"/>
    <w:rsid w:val="00A35E2B"/>
    <w:rsid w:val="00A9457A"/>
    <w:rsid w:val="00AA198F"/>
    <w:rsid w:val="00AB6C7E"/>
    <w:rsid w:val="00AC7E7E"/>
    <w:rsid w:val="00AE39EF"/>
    <w:rsid w:val="00AF4101"/>
    <w:rsid w:val="00AF5712"/>
    <w:rsid w:val="00B21BEC"/>
    <w:rsid w:val="00B27271"/>
    <w:rsid w:val="00B84821"/>
    <w:rsid w:val="00B94E0C"/>
    <w:rsid w:val="00BB1B64"/>
    <w:rsid w:val="00BB74A4"/>
    <w:rsid w:val="00BF4427"/>
    <w:rsid w:val="00C0358E"/>
    <w:rsid w:val="00C40B73"/>
    <w:rsid w:val="00C51826"/>
    <w:rsid w:val="00D17918"/>
    <w:rsid w:val="00D2045B"/>
    <w:rsid w:val="00D47693"/>
    <w:rsid w:val="00D5784C"/>
    <w:rsid w:val="00D620CC"/>
    <w:rsid w:val="00D67EBB"/>
    <w:rsid w:val="00DA55BC"/>
    <w:rsid w:val="00DB4DAD"/>
    <w:rsid w:val="00DD1811"/>
    <w:rsid w:val="00DE359B"/>
    <w:rsid w:val="00DF2197"/>
    <w:rsid w:val="00E474FD"/>
    <w:rsid w:val="00E70E13"/>
    <w:rsid w:val="00E73D99"/>
    <w:rsid w:val="00EA7CA7"/>
    <w:rsid w:val="00EB5A19"/>
    <w:rsid w:val="00EF36B5"/>
    <w:rsid w:val="00F154FF"/>
    <w:rsid w:val="00F34140"/>
    <w:rsid w:val="00F46147"/>
    <w:rsid w:val="00F4714B"/>
    <w:rsid w:val="00F83C3B"/>
    <w:rsid w:val="00F91760"/>
    <w:rsid w:val="00FD52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8343827ff8516709a1dad874ba727907">
  <xsd:schema xmlns:xsd="http://www.w3.org/2001/XMLSchema" xmlns:xs="http://www.w3.org/2001/XMLSchema" xmlns:p="http://schemas.microsoft.com/office/2006/metadata/properties" xmlns:ns2="0a20205c-0631-4ff0-81c6-46eee12fe7e9" targetNamespace="http://schemas.microsoft.com/office/2006/metadata/properties" ma:root="true" ma:fieldsID="e74cbafcffd80aef7f84beeac677e7f8"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D64730-B9D8-457C-B895-5A73A4D7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0CA7C-8034-4602-B8C0-DE051673FEC0}">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A0C389F3-DBBC-4E4C-9077-900D37BD6757}">
  <ds:schemaRefs>
    <ds:schemaRef ds:uri="Microsoft.SharePoint.Taxonomy.ContentTypeSync"/>
  </ds:schemaRefs>
</ds:datastoreItem>
</file>

<file path=customXml/itemProps5.xml><?xml version="1.0" encoding="utf-8"?>
<ds:datastoreItem xmlns:ds="http://schemas.openxmlformats.org/officeDocument/2006/customXml" ds:itemID="{2D3017C9-8B67-4C11-88E8-D9E3F35719D4}">
  <ds:schemaRefs>
    <ds:schemaRef ds:uri="http://schemas.microsoft.com/sharepoint/v3/contenttype/forms"/>
  </ds:schemaRefs>
</ds:datastoreItem>
</file>

<file path=customXml/itemProps6.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lastModifiedBy>Oparah, Alexus (CONTR)</cp:lastModifiedBy>
  <cp:revision>3</cp:revision>
  <cp:lastPrinted>2011-12-12T20:42:00Z</cp:lastPrinted>
  <dcterms:created xsi:type="dcterms:W3CDTF">2026-02-27T00:21:00Z</dcterms:created>
  <dcterms:modified xsi:type="dcterms:W3CDTF">2026-02-27T00:26:55Z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cLang">
    <vt:lpwstr>en</vt:lpwstr>
  </property>
  <property fmtid="{D5CDD505-2E9C-101B-9397-08002B2CF9AE}" pid="4" name="DocumentSetDescription">
    <vt:lpwstr/>
  </property>
  <property fmtid="{D5CDD505-2E9C-101B-9397-08002B2CF9AE}" pid="5" name="DOE_LifecycleState">
    <vt:lpwstr>1;#Active|44aca65a-a2b8-4064-ac99-6d3b27b9c145</vt:lpwstr>
  </property>
  <property fmtid="{D5CDD505-2E9C-101B-9397-08002B2CF9AE}" pid="6" name="DOE_OwningOrg">
    <vt:lpwstr>3;#Deputy CIO for Enterprise Policy, Portfolio Management, and Governance|51403432-c5a0-4592-a980-fb9060c28c16</vt:lpwstr>
  </property>
  <property fmtid="{D5CDD505-2E9C-101B-9397-08002B2CF9AE}" pid="7" name="DOE_ProjectStatus">
    <vt:lpwstr>2;#Open|f87294c0-5917-49a1-8b9f-b6ecaae62a21</vt:lpwstr>
  </property>
  <property fmtid="{D5CDD505-2E9C-101B-9397-08002B2CF9AE}" pid="8" name="DOE_RecordsDispositionSchedule">
    <vt:lpwstr>5;#Technology management administrative records MODIFIED (GRS 3_1_001)|26f2434b-601c-4546-9d3c-939d49d8f687</vt:lpwstr>
  </property>
  <property fmtid="{D5CDD505-2E9C-101B-9397-08002B2CF9AE}" pid="9" name="lcf76f155ced4ddcb4097134ff3c332f">
    <vt:lpwstr/>
  </property>
  <property fmtid="{D5CDD505-2E9C-101B-9397-08002B2CF9AE}" pid="10" name="MediaServiceImageTags">
    <vt:lpwstr/>
  </property>
  <property fmtid="{D5CDD505-2E9C-101B-9397-08002B2CF9AE}" pid="11" name="_ExtendedDescription">
    <vt:lpwstr/>
  </property>
</Properties>
</file>