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8748E6" w14:paraId="0CA0107B" w14:textId="40DE9784">
      <w:pPr>
        <w:pStyle w:val="Heading1"/>
        <w:widowControl w:val="0"/>
        <w:pBdr>
          <w:top w:val="single" w:sz="6" w:space="0" w:color="FFFFFF"/>
          <w:left w:val="single" w:sz="6" w:space="0" w:color="FFFFFF"/>
          <w:bottom w:val="single" w:sz="6" w:space="0" w:color="FFFFFF"/>
          <w:right w:val="single" w:sz="6" w:space="0" w:color="FFFFFF"/>
        </w:pBdr>
        <w:autoSpaceDE w:val="0"/>
        <w:autoSpaceDN w:val="0"/>
        <w:adjustRightInd w:val="0"/>
        <w:ind w:left="630" w:hanging="63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8748E6" w:rsidR="008748E6">
        <w:rPr>
          <w:rFonts w:asciiTheme="minorHAnsi" w:hAnsiTheme="minorHAnsi" w:cstheme="minorHAnsi"/>
          <w:b/>
          <w:bCs/>
          <w:color w:val="000000" w:themeColor="text1"/>
          <w:sz w:val="22"/>
          <w:szCs w:val="22"/>
        </w:rPr>
        <w:t>NESHAP for Coke Oven Pushing, Quenching, and Battery Stacks (40 CFR Part 63, Subpart CCCCC (Final Amendments)</w:t>
      </w:r>
    </w:p>
    <w:p w:rsidR="00EE2403" w:rsidRPr="008B3B3E" w:rsidP="00940939" w14:paraId="71D5121E" w14:textId="39AAD14B">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Pr="0090648A" w:rsidR="0090648A">
        <w:rPr>
          <w:rFonts w:asciiTheme="minorHAnsi" w:hAnsiTheme="minorHAnsi" w:cstheme="minorHAnsi"/>
          <w:b/>
          <w:bCs/>
          <w:color w:val="000000" w:themeColor="text1"/>
          <w:sz w:val="22"/>
          <w:szCs w:val="22"/>
        </w:rPr>
        <w:t>2060-0521</w:t>
      </w:r>
    </w:p>
    <w:p w:rsidR="00EE2403" w:rsidRPr="008B3B3E" w:rsidP="00940939" w14:paraId="4FB77BCA" w14:textId="7A7AD0AE">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Pr="0090648A" w:rsidR="0090648A">
        <w:rPr>
          <w:rFonts w:asciiTheme="minorHAnsi" w:hAnsiTheme="minorHAnsi" w:cstheme="minorHAnsi"/>
          <w:b/>
          <w:bCs/>
          <w:color w:val="000000" w:themeColor="text1"/>
          <w:sz w:val="22"/>
          <w:szCs w:val="22"/>
        </w:rPr>
        <w:t>1995.10</w:t>
      </w:r>
    </w:p>
    <w:p w:rsidR="0011244C" w:rsidRPr="005877C1" w:rsidP="007D0912" w14:paraId="671E1787" w14:textId="39BB6BB1">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90648A" w:rsidP="0090648A" w14:paraId="1D1B8931" w14:textId="77777777">
      <w:pPr>
        <w:spacing w:line="259" w:lineRule="auto"/>
        <w:ind w:left="0" w:firstLine="720"/>
      </w:pPr>
      <w:r>
        <w:t>The National Emission Standards for Hazardous Air Pollutants (NESHAP) for Coke Oven Pushing, Quenching, and Battery Stacks (40 CFR Part 63, Subpart CCCCC) were proposed on July 3, 2001 (66 FR 35325), promulgated on April 14, 2003 (68 FR 18007), and most-recently amended on August 2, 2005 (70 FR 44285). These regulations apply to pushing, soaking, quenching, and battery stacks on both existing and new coke oven batteries (coke plants) that are major sources of hazardous air pollutant (HAP) emissions. New facilities include those that commenced construction or reconstruction after the date of proposal. This information is being collected to assure compliance with 40 CFR Part 63, Subpart CCCCC.</w:t>
      </w:r>
    </w:p>
    <w:p w:rsidR="0090648A" w:rsidP="0090648A" w14:paraId="516BBDF7" w14:textId="77777777">
      <w:pPr>
        <w:spacing w:line="259" w:lineRule="auto"/>
        <w:ind w:left="0" w:firstLine="72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90648A" w:rsidP="0090648A" w14:paraId="5CC9F0BF" w14:textId="639A216A">
      <w:pPr>
        <w:spacing w:line="259" w:lineRule="auto"/>
        <w:ind w:left="0" w:firstLine="720"/>
      </w:pPr>
      <w:r>
        <w:t>Any owner/operator subject to the provisions of this part shall maintain a file containing these documents and retain the file for at least five years following the generation date of such maintenance reports and records. All reports are sent to the delegated state or local authority. If there is no such delegated authority, the reports are sent directly to the U.S. Environmental Protection Agency (EPA) regional office.</w:t>
      </w:r>
    </w:p>
    <w:p w:rsidR="0090648A" w:rsidP="0090648A" w14:paraId="23A01350" w14:textId="77777777">
      <w:pPr>
        <w:spacing w:line="259" w:lineRule="auto"/>
        <w:ind w:left="0" w:firstLine="720"/>
      </w:pPr>
      <w:r>
        <w:t>The final RTR amendments to the rule eliminate the startup, shutdown, and malfunction (SSM) exemption; remove the SSM plan requirement; add electronic submittal of notifications, semiannual reports, and performance test reports; add requirements for the control of mercury (Hg), total acid gases (hydrogen fluoride plus hydrogen chloride) (AG), hydrogen cyanide (HCN), and total polycyclic aromatic hydrocarbons (PAH) from pushing sources; Hg, particulate matter (PM), total AG, and HCN from battery stacks; Hg, PM, AG, total PAH from HRSG main stacks; and Hg PM, total AG, total PAH, and formaldehyde from HRSG bypass/waste heat stacks; and make technical and editorial changes. The remaining portions of the NESHAP remain unchanged.</w:t>
      </w:r>
    </w:p>
    <w:p w:rsidR="0090648A" w:rsidP="0090648A" w14:paraId="710659C4" w14:textId="77777777">
      <w:pPr>
        <w:spacing w:line="259" w:lineRule="auto"/>
        <w:ind w:left="0" w:firstLine="720"/>
      </w:pPr>
      <w:r>
        <w:t xml:space="preserve">The term “Affected Public” applies to owners or operators of coke manufacturing facilities. There are approximately 12 coke plants. None of the 12 facilities are owned by either state, or local, or tribal entities, or by the Federal government. All these facilities are owned and operated by privately-owned, for-profit businesses. The ‘burden’ to the Affected Public may be found below in Table 1: Annual </w:t>
      </w:r>
      <w:r>
        <w:t xml:space="preserve">Respondent Burden and Cost – NESHAP for Coke Oven Pushing, Quenching, and Battery Stacks (40 CFR Part 63, Subpart CCCCC) (Final Amendments). The ‘burden’ to the Federal Government is attributed entirely to work performed by either Federal employees or government contractors and may be found below in Table 2: Average Annual EPA Burden and Cost – NESHAP for Coke Oven Pushing, Quenching, and Battery Stacks (40 CFR Part 63, Subpart CCCCC) (Final Amendments). </w:t>
      </w:r>
    </w:p>
    <w:p w:rsidR="0090648A" w:rsidP="0090648A" w14:paraId="190982FF" w14:textId="77777777">
      <w:pPr>
        <w:spacing w:line="259" w:lineRule="auto"/>
        <w:ind w:left="0" w:firstLine="720"/>
      </w:pPr>
      <w:r>
        <w:t xml:space="preserve"> There are an average of 3.1 batteries at each coke plant site and each coke plant site has only one respondent (i.e., the owner/operator of the plant site).</w:t>
      </w:r>
    </w:p>
    <w:p w:rsidR="001A1EA6" w:rsidRPr="001A1EA6" w:rsidP="0090648A" w14:paraId="5F0F82EE" w14:textId="373318E8">
      <w:pPr>
        <w:spacing w:line="259" w:lineRule="auto"/>
        <w:ind w:left="0" w:firstLine="720"/>
      </w:pPr>
      <w:r>
        <w:t>Over the next three years, approximately 12 respondents per year (operating 17 by-product batteries at 7 plants and 20 non-recovery batteries at 5 plants) will be subject to these standards. We estimate no additional respondents per year will become subject to these same standards.</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BB432F" w:rsidP="00042EF8" w14:paraId="61662F16" w14:textId="31FE583D">
      <w:pPr>
        <w:spacing w:line="259" w:lineRule="auto"/>
        <w:ind w:left="0" w:firstLine="720"/>
        <w:rPr>
          <w:rFonts w:cstheme="minorHAnsi"/>
        </w:rPr>
      </w:pPr>
      <w:r w:rsidRPr="00DD6A91">
        <w:rPr>
          <w:rFonts w:cstheme="minorHAnsi"/>
        </w:rPr>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w:t>
      </w:r>
    </w:p>
    <w:p w:rsidR="00DD6A91" w:rsidRPr="00DD6A91" w:rsidP="00042EF8" w14:paraId="0E36B01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right="1440" w:firstLine="0"/>
        <w:rPr>
          <w:rFonts w:eastAsia="Times New Roman" w:cstheme="minorHAnsi"/>
        </w:rPr>
      </w:pPr>
      <w:r w:rsidRPr="00DD6A91">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D6A91" w:rsidRPr="00DD6A91" w:rsidP="00042EF8" w14:paraId="7DDCC037" w14:textId="77777777">
      <w:pPr>
        <w:spacing w:line="259" w:lineRule="auto"/>
        <w:ind w:left="0" w:firstLine="720"/>
        <w:rPr>
          <w:rFonts w:cstheme="minorHAnsi"/>
        </w:rPr>
      </w:pPr>
      <w:r w:rsidRPr="00DD6A91">
        <w:rPr>
          <w:rFonts w:cstheme="minorHAnsi"/>
        </w:rPr>
        <w:t>In the Administrator's judgment, HAP emissions from coke plants either cause or contribute to air pollution that may reasonably be anticipated to endanger public health and/or welfare. Therefore, the NESHAP were promulgated for this source category at 40 CFR Part 63, Subpart CCCCC.</w:t>
      </w:r>
    </w:p>
    <w:p w:rsidR="00DD6A91" w:rsidRPr="008B3B3E" w:rsidP="00DD6A91" w14:paraId="56477E98" w14:textId="24D005B9">
      <w:pPr>
        <w:spacing w:line="259" w:lineRule="auto"/>
        <w:ind w:left="0" w:firstLine="720"/>
        <w:rPr>
          <w:rFonts w:cstheme="minorHAnsi"/>
        </w:rPr>
      </w:pPr>
      <w:r w:rsidRPr="00DD6A91">
        <w:rPr>
          <w:rFonts w:cstheme="minorHAnsi"/>
        </w:rPr>
        <w:t xml:space="preserve">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w:t>
      </w:r>
      <w:r w:rsidRPr="00DD6A91">
        <w:rPr>
          <w:rFonts w:cstheme="minorHAnsi"/>
        </w:rPr>
        <w:t>of safety to protect public health. In doing so,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E142E" w:rsidRPr="001E142E" w:rsidP="001E142E" w14:paraId="204072AB" w14:textId="77777777">
      <w:pPr>
        <w:spacing w:line="259" w:lineRule="auto"/>
        <w:ind w:left="0" w:firstLine="720"/>
        <w:rPr>
          <w:rFonts w:cstheme="minorHAnsi"/>
        </w:rPr>
      </w:pPr>
      <w:r w:rsidRPr="001E142E">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1E142E" w:rsidRPr="001E142E" w:rsidP="001E142E" w14:paraId="1EBD95E4" w14:textId="77777777">
      <w:pPr>
        <w:spacing w:line="259" w:lineRule="auto"/>
        <w:ind w:left="0" w:firstLine="720"/>
        <w:rPr>
          <w:rFonts w:cstheme="minorHAnsi"/>
        </w:rPr>
      </w:pPr>
      <w:r w:rsidRPr="001E142E">
        <w:rPr>
          <w:rFonts w:cstheme="minorHAnsi"/>
        </w:rPr>
        <w:t>Performance tests are required to determine an affected facility’s initial capability to comply with the emission standards. Continuous emission monitors are used to ensure compliance with these standard at all times. During the performance test a record of the operating parameters under which compliance was achieved may be recorded and used to determine compliance in place of a continuous emission monitor.</w:t>
      </w:r>
    </w:p>
    <w:p w:rsidR="001E142E" w:rsidRPr="001E142E" w:rsidP="001E142E" w14:paraId="3926F462" w14:textId="0818992C">
      <w:pPr>
        <w:spacing w:line="259" w:lineRule="auto"/>
        <w:ind w:left="0" w:firstLine="0"/>
        <w:rPr>
          <w:rFonts w:cstheme="minorHAnsi"/>
        </w:rPr>
      </w:pPr>
      <w:r>
        <w:rPr>
          <w:rFonts w:cstheme="minorHAnsi"/>
        </w:rPr>
        <w:tab/>
      </w:r>
      <w:r w:rsidRPr="001E142E">
        <w:rPr>
          <w:rFonts w:cstheme="minorHAnsi"/>
        </w:rPr>
        <w:t>The notifications required in these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these standards are being met. The performance test may also be observed.</w:t>
      </w:r>
    </w:p>
    <w:p w:rsidR="00BB432F" w:rsidRPr="002943D2" w:rsidP="001E142E" w14:paraId="1E879A61" w14:textId="61F2C853">
      <w:pPr>
        <w:spacing w:line="259" w:lineRule="auto"/>
        <w:ind w:left="0" w:firstLine="0"/>
        <w:rPr>
          <w:rFonts w:cstheme="minorHAnsi"/>
        </w:rPr>
      </w:pPr>
      <w:r>
        <w:rPr>
          <w:rFonts w:cstheme="minorHAnsi"/>
        </w:rPr>
        <w:tab/>
      </w:r>
      <w:r w:rsidRPr="001E142E">
        <w:rPr>
          <w:rFonts w:cstheme="minorHAnsi"/>
        </w:rPr>
        <w:t>The required quarterly and semiannual reports are used to determine periods of excess emissions, identify problems at the facility, verify operation/maintenance procedures and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F18D5" w:rsidP="001F18D5" w14:paraId="110C6C3C" w14:textId="77777777">
      <w:pPr>
        <w:spacing w:line="259" w:lineRule="auto"/>
        <w:ind w:left="0" w:firstLine="720"/>
        <w:rPr>
          <w:rFonts w:cstheme="minorHAnsi"/>
        </w:rPr>
      </w:pPr>
      <w:r w:rsidRPr="001F18D5">
        <w:rPr>
          <w:rFonts w:cstheme="minorHAnsi"/>
        </w:rPr>
        <w:t xml:space="preserve">Currently, 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In addition, some regulatory agencies are setting up electronic reporting systems to allow sources to report electronically, which is reducing the reporting burden. </w:t>
      </w:r>
    </w:p>
    <w:p w:rsidR="009F1E00" w:rsidP="001F18D5" w14:paraId="7B30150C" w14:textId="39A52F18">
      <w:pPr>
        <w:spacing w:line="259" w:lineRule="auto"/>
        <w:ind w:left="0" w:firstLine="720"/>
        <w:rPr>
          <w:rFonts w:cstheme="minorHAnsi"/>
        </w:rPr>
      </w:pPr>
      <w:r w:rsidRPr="001F18D5">
        <w:rPr>
          <w:rFonts w:cstheme="minorHAnsi"/>
        </w:rPr>
        <w:t xml:space="preserve">As part of the RTR amendments, respondents are required to use the EPA’s Electronic Reporting Tool (ERT) to develop performance test reports and submit them through the EPA’s Compliance and Emissions Data Reporting Interface (CEDRI). The ERT is an application rather than a form, and the requirement to use the ERT is applicable to numerous subparts. The splash screen of the ERT contains a link to the Paperwork Reduction Act (PRA) requirements, such as the OMB Control Number, expiration </w:t>
      </w:r>
      <w:r w:rsidRPr="001F18D5">
        <w:rPr>
          <w:rFonts w:cstheme="minorHAnsi"/>
        </w:rPr>
        <w:t xml:space="preserve">date, and burden estimate for this and other subparts. In the final amendments, respondents are required to submit notifications and semiannual reports through the EPA’s CEDRI. The notification is an upload of their currently required notification in a portable document format (PDF) file. The semiannual reports are to be created using </w:t>
      </w:r>
      <w:r w:rsidRPr="005C4406">
        <w:rPr>
          <w:rFonts w:cstheme="minorHAnsi"/>
        </w:rPr>
        <w:t>Form 5900-621</w:t>
      </w:r>
      <w:r w:rsidRPr="001F18D5">
        <w:rPr>
          <w:rFonts w:cstheme="minorHAnsi"/>
        </w:rPr>
        <w:t>, 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requirement for respondents to submit the notifications and reports electronically.</w:t>
      </w:r>
    </w:p>
    <w:p w:rsidR="00187E5C" w:rsidRPr="00187E5C" w:rsidP="00187E5C" w14:paraId="5924B95B" w14:textId="77777777">
      <w:pPr>
        <w:spacing w:line="259" w:lineRule="auto"/>
        <w:ind w:left="0" w:firstLine="720"/>
        <w:rPr>
          <w:rFonts w:cstheme="minorHAnsi"/>
        </w:rPr>
      </w:pPr>
      <w:r w:rsidRPr="00187E5C">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187E5C" w:rsidRPr="00187E5C" w:rsidP="00187E5C" w14:paraId="02AC4139" w14:textId="4AE74B0A">
      <w:pPr>
        <w:spacing w:line="259" w:lineRule="auto"/>
        <w:ind w:left="0" w:firstLine="0"/>
        <w:rPr>
          <w:rFonts w:cstheme="minorHAnsi"/>
        </w:rPr>
      </w:pPr>
      <w:r w:rsidRPr="00187E5C">
        <w:rPr>
          <w:rFonts w:cstheme="minorHAnsi"/>
        </w:rPr>
        <w:t xml:space="preserve"> </w:t>
      </w:r>
      <w:r>
        <w:rPr>
          <w:rFonts w:cstheme="minorHAnsi"/>
        </w:rPr>
        <w:tab/>
      </w:r>
      <w:r w:rsidRPr="00187E5C">
        <w:rPr>
          <w:rFonts w:cstheme="minorHAnsi"/>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187E5C" w:rsidRPr="008B3B3E" w:rsidP="00187E5C" w14:paraId="2D898BD7" w14:textId="490D16F3">
      <w:pPr>
        <w:spacing w:line="259" w:lineRule="auto"/>
        <w:ind w:left="0" w:firstLine="0"/>
        <w:rPr>
          <w:rFonts w:cstheme="minorHAnsi"/>
        </w:rPr>
      </w:pPr>
      <w:r w:rsidRPr="00187E5C">
        <w:rPr>
          <w:rFonts w:cstheme="minorHAnsi"/>
        </w:rPr>
        <w:t xml:space="preserve"> </w:t>
      </w:r>
      <w:r w:rsidR="00454DA0">
        <w:rPr>
          <w:rFonts w:cstheme="minorHAnsi"/>
        </w:rPr>
        <w:tab/>
      </w:r>
      <w:r w:rsidRPr="00187E5C">
        <w:rPr>
          <w:rFonts w:cstheme="minorHAnsi"/>
        </w:rPr>
        <w:t>The records required by this regulation must be retained by the owner/operator for five years.</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2943D2" w:rsidP="00F6434F" w14:paraId="0E470EF3" w14:textId="0562E5E2">
      <w:pPr>
        <w:spacing w:line="259" w:lineRule="auto"/>
        <w:ind w:left="0" w:firstLine="720"/>
        <w:rPr>
          <w:rFonts w:cstheme="minorHAnsi"/>
        </w:rPr>
      </w:pPr>
      <w:r w:rsidRPr="00F6434F">
        <w:rPr>
          <w:rFonts w:cstheme="minorHAnsi"/>
        </w:rPr>
        <w:t>If the subject standards have not been delegated, the information is sent directly to the appropriate EPA regional office. Otherwise, the information is sent directly to either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F25F36" w14:paraId="518B46AB" w14:textId="3B4867FF">
      <w:pPr>
        <w:spacing w:line="259" w:lineRule="auto"/>
        <w:ind w:left="0" w:firstLine="720"/>
        <w:rPr>
          <w:rFonts w:cstheme="minorHAnsi"/>
        </w:rPr>
      </w:pPr>
      <w:r w:rsidRPr="00F25F36">
        <w:rPr>
          <w:rFonts w:cstheme="minorHAnsi"/>
        </w:rPr>
        <w:t xml:space="preserve">The majority of the respondents are large entities (i.e., large businesses). However, the impact on small entities (i.e., small businesses) was taken into consideration during the development of the </w:t>
      </w:r>
      <w:r w:rsidRPr="00F25F36">
        <w:rPr>
          <w:rFonts w:cstheme="minorHAnsi"/>
        </w:rPr>
        <w:t>regulation and amendments.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365915" w14:paraId="5934FB28" w14:textId="03FE8B8F">
      <w:pPr>
        <w:spacing w:line="259" w:lineRule="auto"/>
        <w:ind w:left="0" w:firstLine="720"/>
        <w:rPr>
          <w:rFonts w:cstheme="minorHAnsi"/>
        </w:rPr>
      </w:pPr>
      <w:r w:rsidRPr="00365915">
        <w:rPr>
          <w:rFonts w:cstheme="minorHAnsi"/>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P="00C96201" w14:paraId="775EDF16" w14:textId="133756F9">
      <w:pPr>
        <w:spacing w:line="259" w:lineRule="auto"/>
        <w:ind w:left="0" w:firstLine="720"/>
        <w:rPr>
          <w:rFonts w:cstheme="minorHAnsi"/>
        </w:rPr>
      </w:pPr>
      <w:r w:rsidRPr="00C96201">
        <w:rPr>
          <w:rFonts w:cstheme="minorHAnsi"/>
        </w:rPr>
        <w:t>These standards require the respondents to maintain all records, including reports and notifications for at least five years. This is consistent with the General Provisions as applied to these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96201" w:rsidRPr="002943D2" w:rsidP="00C96201" w14:paraId="04849694" w14:textId="65BADDE7">
      <w:pPr>
        <w:spacing w:line="259" w:lineRule="auto"/>
        <w:ind w:left="0" w:firstLine="720"/>
        <w:rPr>
          <w:rFonts w:cstheme="minorHAnsi"/>
        </w:rPr>
      </w:pPr>
      <w:r w:rsidRPr="00A52EE6">
        <w:rPr>
          <w:rFonts w:cstheme="minorHAnsi"/>
        </w:rPr>
        <w:t>Otherwise, the proposed collection does not create special circumstances requiring justification under 5 CFR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71683B" w14:paraId="102C4D0F" w14:textId="386492B4">
      <w:pPr>
        <w:spacing w:line="259" w:lineRule="auto"/>
        <w:ind w:left="0" w:firstLine="720"/>
        <w:rPr>
          <w:rFonts w:cstheme="minorHAnsi"/>
        </w:rPr>
      </w:pPr>
      <w:r w:rsidRPr="0071683B">
        <w:rPr>
          <w:rFonts w:cstheme="minorHAnsi"/>
        </w:rPr>
        <w:t>This section is not applicable because this is a rule-related ICR. Nevertheless, the preamble to the proposed Subpart CCCCC RTR amendments (88 FR 55858) provided public notice of this ICR.</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E0AA1" w:rsidRPr="006E0AA1" w:rsidP="006E0AA1" w14:paraId="5C313442" w14:textId="77777777">
      <w:pPr>
        <w:spacing w:line="259" w:lineRule="auto"/>
        <w:ind w:left="0" w:firstLine="720"/>
        <w:rPr>
          <w:rFonts w:cstheme="minorHAnsi"/>
        </w:rPr>
      </w:pPr>
      <w:r w:rsidRPr="006E0AA1">
        <w:rPr>
          <w:rFonts w:cstheme="minorHAnsi"/>
        </w:rPr>
        <w:t>Stakeholder outreach occurred with industry groups including American Coke and Coal Chemicals Institute (ACCCI) and member companies of this organization. Further stakeholder and public input was received through public comment following publication of the proposed RTR amendments to Subpart CCCCC in the Federal Register and follow-up meetings with interested stakeholders.</w:t>
      </w:r>
    </w:p>
    <w:p w:rsidR="00940939" w:rsidRPr="00940939" w:rsidP="006E0AA1" w14:paraId="09E7F150" w14:textId="3472F66D">
      <w:pPr>
        <w:spacing w:line="259" w:lineRule="auto"/>
        <w:ind w:left="0" w:firstLine="0"/>
        <w:rPr>
          <w:rFonts w:cstheme="minorHAnsi"/>
        </w:rPr>
      </w:pPr>
      <w:r>
        <w:rPr>
          <w:rFonts w:cstheme="minorHAnsi"/>
        </w:rPr>
        <w:tab/>
      </w:r>
      <w:r w:rsidRPr="006E0AA1">
        <w:rPr>
          <w:rFonts w:cstheme="minorHAnsi"/>
        </w:rPr>
        <w:t>In addition, the EPA/OAQPS conducted a two-part ICR (questionnaire and stack testing) in 2016 to gather data from the coke manufacturing industry. The results from the questionnaire part of this ICR were used in updating the burden estimates contained in this supporting statement.</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301193EC">
      <w:pPr>
        <w:spacing w:line="259" w:lineRule="auto"/>
        <w:ind w:left="0" w:firstLine="0"/>
        <w:rPr>
          <w:rFonts w:cstheme="minorHAnsi"/>
        </w:rPr>
      </w:pPr>
      <w:r w:rsidRPr="004A682A">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943D2" w:rsidP="0037290B" w14:paraId="3676EBC5" w14:textId="26615C4A">
      <w:pPr>
        <w:spacing w:line="259" w:lineRule="auto"/>
        <w:ind w:left="0" w:firstLine="720"/>
        <w:rPr>
          <w:rFonts w:cstheme="minorHAnsi"/>
        </w:rPr>
      </w:pPr>
      <w:r w:rsidRPr="0037290B">
        <w:rPr>
          <w:rFonts w:cstheme="minorHAnsi"/>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B74D86" w14:paraId="77467D05" w14:textId="2FB6347A">
      <w:pPr>
        <w:spacing w:line="259" w:lineRule="auto"/>
        <w:ind w:left="0" w:firstLine="720"/>
        <w:rPr>
          <w:rFonts w:cstheme="minorHAnsi"/>
        </w:rPr>
      </w:pPr>
      <w:r w:rsidRPr="00B74D86">
        <w:rPr>
          <w:rFonts w:cstheme="minorHAnsi"/>
        </w:rPr>
        <w:t>The reporting or recordkeeping requirements in these standards or the amendments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890ABA8">
      <w:pPr>
        <w:pStyle w:val="ListParagraph"/>
        <w:numPr>
          <w:ilvl w:val="0"/>
          <w:numId w:val="14"/>
        </w:numPr>
        <w:spacing w:line="240" w:lineRule="auto"/>
        <w:ind w:left="450"/>
        <w:jc w:val="both"/>
        <w:rPr>
          <w:rFonts w:cstheme="minorHAnsi"/>
          <w:i/>
          <w:iCs/>
        </w:rPr>
      </w:pPr>
      <w:r w:rsidRPr="008F2B76">
        <w:rPr>
          <w:rFonts w:cstheme="minorHAnsi"/>
          <w:i/>
          <w:iCs/>
        </w:rPr>
        <w:t>Indicate the number of respondents, frequency of response, annual hour burden, and an explanation of how the burden was estimated.</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BB3410" w:rsidP="004C639B" w14:paraId="0DA69975" w14:textId="2251B04F">
      <w:pPr>
        <w:spacing w:line="259" w:lineRule="auto"/>
        <w:ind w:left="0" w:firstLine="720"/>
        <w:rPr>
          <w:rFonts w:cstheme="minorHAnsi"/>
        </w:rPr>
      </w:pPr>
      <w:r w:rsidRPr="004C639B">
        <w:rPr>
          <w:rFonts w:cstheme="minorHAnsi"/>
        </w:rPr>
        <w:t>The respondents to the recordkeeping and reporting requirements are owners and operators of coke plants. The United States Standard Industrial Classification (SIC) code for the respondents affected by the standards and the corresponding North American Industry Classification System (NAICS) codes are listed below:</w:t>
      </w: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5999"/>
        <w:gridCol w:w="1350"/>
        <w:gridCol w:w="2011"/>
      </w:tblGrid>
      <w:tr w14:paraId="3326CFC5" w14:textId="77777777" w:rsidTr="009555B2">
        <w:tblPrEx>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rPr>
          <w:trHeight w:val="433"/>
        </w:trPr>
        <w:tc>
          <w:tcPr>
            <w:tcW w:w="5999" w:type="dxa"/>
            <w:vAlign w:val="center"/>
          </w:tcPr>
          <w:p w:rsidR="002501D8" w:rsidRPr="002501D8" w:rsidP="002501D8" w14:paraId="530456F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b/>
                <w:bCs/>
                <w:color w:val="000000"/>
                <w:sz w:val="20"/>
                <w:szCs w:val="20"/>
              </w:rPr>
            </w:pPr>
            <w:r w:rsidRPr="002501D8">
              <w:rPr>
                <w:rFonts w:eastAsia="Times New Roman" w:cstheme="minorHAnsi"/>
                <w:b/>
                <w:bCs/>
                <w:sz w:val="20"/>
                <w:szCs w:val="20"/>
              </w:rPr>
              <w:t>Standard (40 CFR Part 63, Subpart CCCCC)</w:t>
            </w:r>
          </w:p>
        </w:tc>
        <w:tc>
          <w:tcPr>
            <w:tcW w:w="1350" w:type="dxa"/>
            <w:vAlign w:val="center"/>
          </w:tcPr>
          <w:p w:rsidR="002501D8" w:rsidRPr="002501D8" w:rsidP="002501D8" w14:paraId="6888581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b/>
                <w:bCs/>
                <w:color w:val="000000"/>
                <w:sz w:val="20"/>
                <w:szCs w:val="20"/>
              </w:rPr>
            </w:pPr>
            <w:r w:rsidRPr="002501D8">
              <w:rPr>
                <w:rFonts w:eastAsia="Times New Roman" w:cstheme="minorHAnsi"/>
                <w:b/>
                <w:bCs/>
                <w:color w:val="000000"/>
                <w:sz w:val="20"/>
                <w:szCs w:val="20"/>
              </w:rPr>
              <w:t>SIC Codes</w:t>
            </w:r>
          </w:p>
        </w:tc>
        <w:tc>
          <w:tcPr>
            <w:tcW w:w="2011" w:type="dxa"/>
            <w:vAlign w:val="center"/>
          </w:tcPr>
          <w:p w:rsidR="002501D8" w:rsidRPr="002501D8" w:rsidP="002501D8" w14:paraId="51A7F31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b/>
                <w:bCs/>
                <w:color w:val="000000"/>
                <w:sz w:val="20"/>
                <w:szCs w:val="20"/>
              </w:rPr>
            </w:pPr>
            <w:r w:rsidRPr="002501D8">
              <w:rPr>
                <w:rFonts w:eastAsia="Times New Roman" w:cstheme="minorHAnsi"/>
                <w:b/>
                <w:bCs/>
                <w:color w:val="000000"/>
                <w:sz w:val="20"/>
                <w:szCs w:val="20"/>
              </w:rPr>
              <w:t>NAICS Codes</w:t>
            </w:r>
          </w:p>
        </w:tc>
      </w:tr>
      <w:tr w14:paraId="1402C645" w14:textId="77777777" w:rsidTr="009555B2">
        <w:tblPrEx>
          <w:tblW w:w="9360" w:type="dxa"/>
          <w:tblInd w:w="112" w:type="dxa"/>
          <w:tblLayout w:type="fixed"/>
          <w:tblCellMar>
            <w:left w:w="112" w:type="dxa"/>
            <w:right w:w="112" w:type="dxa"/>
          </w:tblCellMar>
          <w:tblLook w:val="0000"/>
        </w:tblPrEx>
        <w:tc>
          <w:tcPr>
            <w:tcW w:w="5999" w:type="dxa"/>
            <w:vAlign w:val="center"/>
          </w:tcPr>
          <w:p w:rsidR="002501D8" w:rsidRPr="002501D8" w:rsidP="002501D8" w14:paraId="72FD746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eastAsia="Times New Roman" w:cstheme="minorHAnsi"/>
                <w:color w:val="000000"/>
                <w:sz w:val="20"/>
                <w:szCs w:val="20"/>
              </w:rPr>
            </w:pPr>
            <w:r w:rsidRPr="002501D8">
              <w:rPr>
                <w:rFonts w:eastAsia="Times New Roman" w:cstheme="minorHAnsi"/>
                <w:sz w:val="20"/>
                <w:szCs w:val="20"/>
              </w:rPr>
              <w:t>Iron and Steel Mills and Ferroalloy Manufacturing</w:t>
            </w:r>
          </w:p>
        </w:tc>
        <w:tc>
          <w:tcPr>
            <w:tcW w:w="1350" w:type="dxa"/>
            <w:vAlign w:val="center"/>
          </w:tcPr>
          <w:p w:rsidR="002501D8" w:rsidRPr="002501D8" w:rsidP="002501D8" w14:paraId="0068A53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0"/>
                <w:szCs w:val="20"/>
              </w:rPr>
            </w:pPr>
            <w:r w:rsidRPr="002501D8">
              <w:rPr>
                <w:rFonts w:eastAsia="Times New Roman" w:cstheme="minorHAnsi"/>
                <w:color w:val="000000"/>
                <w:sz w:val="20"/>
                <w:szCs w:val="20"/>
              </w:rPr>
              <w:t>3312</w:t>
            </w:r>
          </w:p>
        </w:tc>
        <w:tc>
          <w:tcPr>
            <w:tcW w:w="2011" w:type="dxa"/>
            <w:vAlign w:val="center"/>
          </w:tcPr>
          <w:p w:rsidR="002501D8" w:rsidRPr="002501D8" w:rsidP="002501D8" w14:paraId="4995D46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0"/>
                <w:szCs w:val="20"/>
              </w:rPr>
            </w:pPr>
            <w:r w:rsidRPr="002501D8">
              <w:rPr>
                <w:rFonts w:eastAsia="Times New Roman" w:cstheme="minorHAnsi"/>
                <w:color w:val="000000"/>
                <w:sz w:val="20"/>
                <w:szCs w:val="20"/>
              </w:rPr>
              <w:t>331110</w:t>
            </w:r>
          </w:p>
        </w:tc>
      </w:tr>
      <w:tr w14:paraId="2675C371" w14:textId="77777777" w:rsidTr="009555B2">
        <w:tblPrEx>
          <w:tblW w:w="9360" w:type="dxa"/>
          <w:tblInd w:w="112" w:type="dxa"/>
          <w:tblLayout w:type="fixed"/>
          <w:tblCellMar>
            <w:left w:w="112" w:type="dxa"/>
            <w:right w:w="112" w:type="dxa"/>
          </w:tblCellMar>
          <w:tblLook w:val="0000"/>
        </w:tblPrEx>
        <w:tc>
          <w:tcPr>
            <w:tcW w:w="5999" w:type="dxa"/>
            <w:vAlign w:val="center"/>
          </w:tcPr>
          <w:p w:rsidR="002501D8" w:rsidRPr="002501D8" w:rsidP="002501D8" w14:paraId="497D0C2C" w14:textId="77777777">
            <w:pPr>
              <w:widowControl w:val="0"/>
              <w:tabs>
                <w:tab w:val="left" w:pos="3045"/>
              </w:tabs>
              <w:autoSpaceDE w:val="0"/>
              <w:autoSpaceDN w:val="0"/>
              <w:adjustRightInd w:val="0"/>
              <w:spacing w:after="0" w:line="240" w:lineRule="auto"/>
              <w:ind w:left="0" w:firstLine="0"/>
              <w:rPr>
                <w:rFonts w:eastAsia="Times New Roman" w:cstheme="minorHAnsi"/>
                <w:color w:val="000000"/>
                <w:sz w:val="20"/>
                <w:szCs w:val="20"/>
              </w:rPr>
            </w:pPr>
            <w:r w:rsidRPr="002501D8">
              <w:rPr>
                <w:rFonts w:eastAsia="Times New Roman" w:cstheme="minorHAnsi"/>
                <w:color w:val="000000"/>
                <w:sz w:val="20"/>
                <w:szCs w:val="20"/>
              </w:rPr>
              <w:t>All Other Petroleum and Coal Products Manufacturing</w:t>
            </w:r>
          </w:p>
        </w:tc>
        <w:tc>
          <w:tcPr>
            <w:tcW w:w="1350" w:type="dxa"/>
            <w:vAlign w:val="center"/>
          </w:tcPr>
          <w:p w:rsidR="002501D8" w:rsidRPr="002501D8" w:rsidP="002501D8" w14:paraId="5D48DC4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0"/>
                <w:szCs w:val="20"/>
              </w:rPr>
            </w:pPr>
            <w:r w:rsidRPr="002501D8">
              <w:rPr>
                <w:rFonts w:eastAsia="Times New Roman" w:cstheme="minorHAnsi"/>
                <w:color w:val="000000"/>
                <w:sz w:val="20"/>
                <w:szCs w:val="20"/>
              </w:rPr>
              <w:t>3312</w:t>
            </w:r>
          </w:p>
        </w:tc>
        <w:tc>
          <w:tcPr>
            <w:tcW w:w="2011" w:type="dxa"/>
            <w:vAlign w:val="center"/>
          </w:tcPr>
          <w:p w:rsidR="002501D8" w:rsidRPr="002501D8" w:rsidP="002501D8" w14:paraId="4F37B05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0"/>
                <w:szCs w:val="20"/>
              </w:rPr>
            </w:pPr>
            <w:r w:rsidRPr="002501D8">
              <w:rPr>
                <w:rFonts w:eastAsia="Times New Roman" w:cstheme="minorHAnsi"/>
                <w:color w:val="000000"/>
                <w:sz w:val="20"/>
                <w:szCs w:val="20"/>
              </w:rPr>
              <w:t>324199</w:t>
            </w:r>
          </w:p>
        </w:tc>
      </w:tr>
    </w:tbl>
    <w:p w:rsidR="004C639B" w:rsidRPr="002943D2" w:rsidP="002943D2" w14:paraId="2C023A30" w14:textId="77777777">
      <w:pPr>
        <w:spacing w:line="259" w:lineRule="auto"/>
        <w:ind w:left="0" w:firstLine="0"/>
        <w:rPr>
          <w:rFonts w:cstheme="minorHAnsi"/>
        </w:rPr>
      </w:pP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BB3410" w:rsidP="00BC13CB" w14:paraId="42074A5E" w14:textId="22CFEF42">
      <w:pPr>
        <w:spacing w:line="259" w:lineRule="auto"/>
        <w:ind w:left="0" w:firstLine="720"/>
        <w:rPr>
          <w:rFonts w:cstheme="minorHAnsi"/>
        </w:rPr>
      </w:pPr>
      <w:r w:rsidRPr="00BC13CB">
        <w:rPr>
          <w:rFonts w:cstheme="minorHAnsi"/>
        </w:rPr>
        <w:t>In this ICR, all the data that are recorded or reported is required by the NESHAP for Coke Oven Pushing, Quenching, and Battery Stacks (40 CFR Part 63, Subpart CCCCC). Subpart CCCCC references 40 CFR Part 63, Subpart A for several general reporting and recordkeeping requirements that apply for all NESHAP.</w:t>
      </w:r>
    </w:p>
    <w:p w:rsidR="00BC13CB" w:rsidP="00BC13CB" w14:paraId="79C86F66" w14:textId="5835280F">
      <w:pPr>
        <w:spacing w:line="259" w:lineRule="auto"/>
        <w:ind w:left="0" w:firstLine="720"/>
        <w:rPr>
          <w:rFonts w:cstheme="minorHAnsi"/>
        </w:rPr>
      </w:pPr>
      <w:r w:rsidRPr="00BC13CB">
        <w:rPr>
          <w:rFonts w:cstheme="minorHAnsi"/>
        </w:rPr>
        <w:t>A source must make the following reports:</w:t>
      </w:r>
    </w:p>
    <w:tbl>
      <w:tblPr>
        <w:tblW w:w="9351" w:type="dxa"/>
        <w:jc w:val="center"/>
        <w:tblLayout w:type="fixed"/>
        <w:tblCellMar>
          <w:left w:w="120" w:type="dxa"/>
          <w:right w:w="120" w:type="dxa"/>
        </w:tblCellMar>
        <w:tblLook w:val="0000"/>
      </w:tblPr>
      <w:tblGrid>
        <w:gridCol w:w="6291"/>
        <w:gridCol w:w="3060"/>
      </w:tblGrid>
      <w:tr w14:paraId="34AB090B" w14:textId="77777777" w:rsidTr="009555B2">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BC13CB" w:rsidRPr="00BC13CB" w:rsidP="00BC13CB" w14:paraId="00FE3E5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sz w:val="20"/>
                <w:szCs w:val="20"/>
              </w:rPr>
            </w:pPr>
            <w:r w:rsidRPr="00BC13CB">
              <w:rPr>
                <w:rFonts w:eastAsia="Times New Roman" w:cstheme="minorHAnsi"/>
                <w:b/>
                <w:sz w:val="20"/>
                <w:szCs w:val="20"/>
              </w:rPr>
              <w:t>Notifications</w:t>
            </w:r>
          </w:p>
        </w:tc>
      </w:tr>
      <w:tr w14:paraId="3384E6DE"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rsidR="00BC13CB" w:rsidRPr="00BC13CB" w:rsidP="00BC13CB" w14:paraId="2086B8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Initial notification requirements</w:t>
            </w:r>
          </w:p>
        </w:tc>
        <w:tc>
          <w:tcPr>
            <w:tcW w:w="3060" w:type="dxa"/>
            <w:tcBorders>
              <w:top w:val="single" w:sz="7" w:space="0" w:color="000000"/>
              <w:left w:val="single" w:sz="7" w:space="0" w:color="000000"/>
              <w:bottom w:val="single" w:sz="7" w:space="0" w:color="000000"/>
              <w:right w:val="single" w:sz="7" w:space="0" w:color="000000"/>
            </w:tcBorders>
            <w:vAlign w:val="center"/>
          </w:tcPr>
          <w:p w:rsidR="00BC13CB" w:rsidRPr="00BC13CB" w:rsidP="00BC13CB" w14:paraId="6B6597F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§63.9(b), §63.7340(a)</w:t>
            </w:r>
          </w:p>
        </w:tc>
      </w:tr>
      <w:tr w14:paraId="29991576"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rsidR="00BC13CB" w:rsidRPr="00BC13CB" w:rsidP="00BC13CB" w14:paraId="0C99B0F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Notification of opacity or visible emission observations (submitted concurrently with performance test)</w:t>
            </w:r>
          </w:p>
        </w:tc>
        <w:tc>
          <w:tcPr>
            <w:tcW w:w="3060" w:type="dxa"/>
            <w:tcBorders>
              <w:top w:val="single" w:sz="7" w:space="0" w:color="000000"/>
              <w:left w:val="single" w:sz="7" w:space="0" w:color="000000"/>
              <w:bottom w:val="single" w:sz="7" w:space="0" w:color="000000"/>
              <w:right w:val="single" w:sz="7" w:space="0" w:color="000000"/>
            </w:tcBorders>
            <w:vAlign w:val="center"/>
          </w:tcPr>
          <w:p w:rsidR="00BC13CB" w:rsidRPr="00BC13CB" w:rsidP="00BC13CB" w14:paraId="7F27815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 xml:space="preserve">§§63.6(h)(4-5), §63.9(f), §63.7340(a) </w:t>
            </w:r>
          </w:p>
        </w:tc>
      </w:tr>
      <w:tr w14:paraId="42808901"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BC13CB" w:rsidRPr="00BC13CB" w:rsidP="00BC13CB" w14:paraId="70D90E4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Notification of compliance status when a source becomes subject to the standard</w:t>
            </w:r>
          </w:p>
        </w:tc>
        <w:tc>
          <w:tcPr>
            <w:tcW w:w="3060" w:type="dxa"/>
            <w:tcBorders>
              <w:top w:val="single" w:sz="7" w:space="0" w:color="000000"/>
              <w:left w:val="single" w:sz="7" w:space="0" w:color="000000"/>
              <w:bottom w:val="single" w:sz="7" w:space="0" w:color="000000"/>
              <w:right w:val="single" w:sz="7" w:space="0" w:color="000000"/>
            </w:tcBorders>
          </w:tcPr>
          <w:p w:rsidR="00BC13CB" w:rsidRPr="00BC13CB" w:rsidP="00BC13CB" w14:paraId="5205C5C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§63.9(h), §63.7340(e)</w:t>
            </w:r>
          </w:p>
        </w:tc>
      </w:tr>
      <w:tr w14:paraId="1CDAD5D1"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BC13CB" w:rsidRPr="00BC13CB" w:rsidP="00BC13CB" w14:paraId="5814C9E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Notification that source is subject to special compliance requirements, if applicable</w:t>
            </w:r>
          </w:p>
        </w:tc>
        <w:tc>
          <w:tcPr>
            <w:tcW w:w="3060" w:type="dxa"/>
            <w:tcBorders>
              <w:top w:val="single" w:sz="7" w:space="0" w:color="000000"/>
              <w:left w:val="single" w:sz="7" w:space="0" w:color="000000"/>
              <w:bottom w:val="single" w:sz="7" w:space="0" w:color="000000"/>
              <w:right w:val="single" w:sz="7" w:space="0" w:color="000000"/>
            </w:tcBorders>
          </w:tcPr>
          <w:p w:rsidR="00BC13CB" w:rsidRPr="00BC13CB" w:rsidP="00BC13CB" w14:paraId="3093456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§63.9(d)</w:t>
            </w:r>
          </w:p>
        </w:tc>
      </w:tr>
      <w:tr w14:paraId="37EB2D40"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BC13CB" w:rsidRPr="00BC13CB" w:rsidP="00BC13CB" w14:paraId="1249726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Notification of performance test</w:t>
            </w:r>
            <w:r w:rsidRPr="00BC13CB">
              <w:rPr>
                <w:rFonts w:eastAsia="Times New Roman" w:cstheme="minorHAnsi"/>
                <w:sz w:val="20"/>
                <w:szCs w:val="20"/>
                <w:lang w:val="en-CA"/>
              </w:rPr>
              <w:fldChar w:fldCharType="begin"/>
            </w:r>
            <w:r w:rsidRPr="00BC13CB">
              <w:rPr>
                <w:rFonts w:eastAsia="Times New Roman" w:cstheme="minorHAnsi"/>
                <w:sz w:val="20"/>
                <w:szCs w:val="20"/>
                <w:lang w:val="en-CA"/>
              </w:rPr>
              <w:instrText xml:space="preserve"> SEQ CHAPTER \h \r 1</w:instrText>
            </w:r>
            <w:r w:rsidRPr="00BC13CB">
              <w:rPr>
                <w:rFonts w:eastAsia="Times New Roman" w:cstheme="minorHAnsi"/>
                <w:sz w:val="20"/>
                <w:szCs w:val="20"/>
                <w:lang w:val="en-CA"/>
              </w:rPr>
              <w:fldChar w:fldCharType="separate"/>
            </w:r>
            <w:r w:rsidRPr="00BC13CB">
              <w:rPr>
                <w:rFonts w:eastAsia="Times New Roman" w:cstheme="minorHAnsi"/>
                <w:sz w:val="20"/>
                <w:szCs w:val="20"/>
                <w:lang w:val="en-CA"/>
              </w:rPr>
              <w:fldChar w:fldCharType="end"/>
            </w:r>
          </w:p>
        </w:tc>
        <w:tc>
          <w:tcPr>
            <w:tcW w:w="3060" w:type="dxa"/>
            <w:tcBorders>
              <w:top w:val="single" w:sz="7" w:space="0" w:color="000000"/>
              <w:left w:val="single" w:sz="7" w:space="0" w:color="000000"/>
              <w:bottom w:val="single" w:sz="7" w:space="0" w:color="000000"/>
              <w:right w:val="single" w:sz="7" w:space="0" w:color="000000"/>
            </w:tcBorders>
          </w:tcPr>
          <w:p w:rsidR="00BC13CB" w:rsidRPr="00BC13CB" w:rsidP="00BC13CB" w14:paraId="26B63A6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§§63.7(b-c), §63.9(e), §63.7340(d)</w:t>
            </w:r>
          </w:p>
        </w:tc>
      </w:tr>
      <w:tr w14:paraId="336F3764"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BC13CB" w:rsidRPr="00BC13CB" w:rsidP="00BC13CB" w14:paraId="5433D40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Rescheduled of performance test</w:t>
            </w:r>
          </w:p>
        </w:tc>
        <w:tc>
          <w:tcPr>
            <w:tcW w:w="3060" w:type="dxa"/>
            <w:tcBorders>
              <w:top w:val="single" w:sz="7" w:space="0" w:color="000000"/>
              <w:left w:val="single" w:sz="7" w:space="0" w:color="000000"/>
              <w:bottom w:val="single" w:sz="7" w:space="0" w:color="000000"/>
              <w:right w:val="single" w:sz="7" w:space="0" w:color="000000"/>
            </w:tcBorders>
          </w:tcPr>
          <w:p w:rsidR="00BC13CB" w:rsidRPr="00BC13CB" w:rsidP="00BC13CB" w14:paraId="635AF4D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§63.7(b)(2)</w:t>
            </w:r>
          </w:p>
        </w:tc>
      </w:tr>
      <w:tr w14:paraId="2979B2DB"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BC13CB" w:rsidRPr="00BC13CB" w:rsidP="00BC13CB" w14:paraId="4CACD10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Demonstration of continuous monitoring system</w:t>
            </w:r>
          </w:p>
        </w:tc>
        <w:tc>
          <w:tcPr>
            <w:tcW w:w="3060" w:type="dxa"/>
            <w:tcBorders>
              <w:top w:val="single" w:sz="7" w:space="0" w:color="000000"/>
              <w:left w:val="single" w:sz="7" w:space="0" w:color="000000"/>
              <w:bottom w:val="single" w:sz="7" w:space="0" w:color="000000"/>
              <w:right w:val="single" w:sz="7" w:space="0" w:color="000000"/>
            </w:tcBorders>
          </w:tcPr>
          <w:p w:rsidR="00BC13CB" w:rsidRPr="00BC13CB" w:rsidP="00BC13CB" w14:paraId="1CDB708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§63.8(e), §63.9(g), §63.7340(f)</w:t>
            </w:r>
          </w:p>
        </w:tc>
      </w:tr>
      <w:tr w14:paraId="4862A800"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BC13CB" w:rsidRPr="00BC13CB" w:rsidP="00BC13CB" w14:paraId="3CCF490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Change in information already provided</w:t>
            </w:r>
          </w:p>
        </w:tc>
        <w:tc>
          <w:tcPr>
            <w:tcW w:w="3060" w:type="dxa"/>
            <w:tcBorders>
              <w:top w:val="single" w:sz="7" w:space="0" w:color="000000"/>
              <w:left w:val="single" w:sz="7" w:space="0" w:color="000000"/>
              <w:bottom w:val="single" w:sz="7" w:space="0" w:color="000000"/>
              <w:right w:val="single" w:sz="7" w:space="0" w:color="000000"/>
            </w:tcBorders>
          </w:tcPr>
          <w:p w:rsidR="00BC13CB" w:rsidRPr="00BC13CB" w:rsidP="00BC13CB" w14:paraId="7731B11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§63.9(j)</w:t>
            </w:r>
          </w:p>
        </w:tc>
      </w:tr>
      <w:tr w14:paraId="336FCCDF"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BC13CB" w:rsidRPr="00BC13CB" w:rsidP="00BC13CB" w14:paraId="0BD3E52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Request for an extension of compliance with relevant standard</w:t>
            </w:r>
          </w:p>
        </w:tc>
        <w:tc>
          <w:tcPr>
            <w:tcW w:w="3060" w:type="dxa"/>
            <w:tcBorders>
              <w:top w:val="single" w:sz="7" w:space="0" w:color="000000"/>
              <w:left w:val="single" w:sz="7" w:space="0" w:color="000000"/>
              <w:bottom w:val="single" w:sz="7" w:space="0" w:color="000000"/>
              <w:right w:val="single" w:sz="7" w:space="0" w:color="000000"/>
            </w:tcBorders>
          </w:tcPr>
          <w:p w:rsidR="00BC13CB" w:rsidRPr="00BC13CB" w:rsidP="00BC13CB" w14:paraId="5B0A411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§63.9(c)</w:t>
            </w:r>
          </w:p>
        </w:tc>
      </w:tr>
      <w:tr w14:paraId="73136CEE"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BC13CB" w:rsidRPr="00BC13CB" w:rsidP="00BC13CB" w14:paraId="631365B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Request to use an alternative monitoring procedure</w:t>
            </w:r>
          </w:p>
        </w:tc>
        <w:tc>
          <w:tcPr>
            <w:tcW w:w="3060" w:type="dxa"/>
            <w:tcBorders>
              <w:top w:val="single" w:sz="7" w:space="0" w:color="000000"/>
              <w:left w:val="single" w:sz="7" w:space="0" w:color="000000"/>
              <w:bottom w:val="single" w:sz="7" w:space="0" w:color="000000"/>
              <w:right w:val="single" w:sz="7" w:space="0" w:color="000000"/>
            </w:tcBorders>
          </w:tcPr>
          <w:p w:rsidR="00BC13CB" w:rsidRPr="00BC13CB" w:rsidP="00BC13CB" w14:paraId="7A32347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BC13CB">
              <w:rPr>
                <w:rFonts w:eastAsia="Times New Roman" w:cstheme="minorHAnsi"/>
                <w:sz w:val="20"/>
                <w:szCs w:val="20"/>
              </w:rPr>
              <w:t>§63.8(f)(4)</w:t>
            </w:r>
          </w:p>
        </w:tc>
      </w:tr>
    </w:tbl>
    <w:p w:rsidR="00BC13CB" w:rsidP="00BC13CB" w14:paraId="05B813A5" w14:textId="77777777">
      <w:pPr>
        <w:spacing w:line="259" w:lineRule="auto"/>
        <w:ind w:left="0" w:firstLine="720"/>
        <w:rPr>
          <w:rFonts w:cstheme="minorHAnsi"/>
        </w:rPr>
      </w:pPr>
    </w:p>
    <w:tbl>
      <w:tblPr>
        <w:tblW w:w="9351" w:type="dxa"/>
        <w:jc w:val="center"/>
        <w:tblLayout w:type="fixed"/>
        <w:tblCellMar>
          <w:left w:w="120" w:type="dxa"/>
          <w:right w:w="120" w:type="dxa"/>
        </w:tblCellMar>
        <w:tblLook w:val="0000"/>
      </w:tblPr>
      <w:tblGrid>
        <w:gridCol w:w="6291"/>
        <w:gridCol w:w="3060"/>
      </w:tblGrid>
      <w:tr w14:paraId="07FFBAA5" w14:textId="77777777" w:rsidTr="009555B2">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3E7B7F" w:rsidRPr="003E7B7F" w:rsidP="003E7B7F" w14:paraId="41A592D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sz w:val="20"/>
                <w:szCs w:val="20"/>
              </w:rPr>
            </w:pPr>
            <w:r w:rsidRPr="003E7B7F">
              <w:rPr>
                <w:rFonts w:eastAsia="Times New Roman" w:cstheme="minorHAnsi"/>
                <w:b/>
                <w:sz w:val="20"/>
                <w:szCs w:val="20"/>
              </w:rPr>
              <w:t>Reports</w:t>
            </w:r>
          </w:p>
        </w:tc>
      </w:tr>
      <w:tr w14:paraId="75D364DC"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3E7B7F" w:rsidRPr="003E7B7F" w:rsidP="003E7B7F" w14:paraId="78A812A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Application for approval of the construction or reconstruction of a new major affected source, or reconstruction of a major affected source</w:t>
            </w:r>
          </w:p>
        </w:tc>
        <w:tc>
          <w:tcPr>
            <w:tcW w:w="3060" w:type="dxa"/>
            <w:tcBorders>
              <w:top w:val="single" w:sz="7" w:space="0" w:color="000000"/>
              <w:left w:val="single" w:sz="7" w:space="0" w:color="000000"/>
              <w:bottom w:val="single" w:sz="7" w:space="0" w:color="000000"/>
              <w:right w:val="single" w:sz="7" w:space="0" w:color="000000"/>
            </w:tcBorders>
          </w:tcPr>
          <w:p w:rsidR="003E7B7F" w:rsidRPr="003E7B7F" w:rsidP="003E7B7F" w14:paraId="62E13C4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§63.5(d)</w:t>
            </w:r>
          </w:p>
        </w:tc>
      </w:tr>
      <w:tr w14:paraId="682B39F6"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3E7B7F" w:rsidRPr="003E7B7F" w:rsidP="003E7B7F" w14:paraId="49D134A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Performance test results</w:t>
            </w:r>
          </w:p>
        </w:tc>
        <w:tc>
          <w:tcPr>
            <w:tcW w:w="3060" w:type="dxa"/>
            <w:tcBorders>
              <w:top w:val="single" w:sz="7" w:space="0" w:color="000000"/>
              <w:left w:val="single" w:sz="7" w:space="0" w:color="000000"/>
              <w:bottom w:val="single" w:sz="7" w:space="0" w:color="000000"/>
              <w:right w:val="single" w:sz="7" w:space="0" w:color="000000"/>
            </w:tcBorders>
          </w:tcPr>
          <w:p w:rsidR="003E7B7F" w:rsidRPr="003E7B7F" w:rsidP="003E7B7F" w14:paraId="79DE81E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§§63.10(d)(2-3)</w:t>
            </w:r>
          </w:p>
        </w:tc>
      </w:tr>
      <w:tr w14:paraId="2A8DA36F"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3E7B7F" w:rsidRPr="003E7B7F" w:rsidP="003E7B7F" w14:paraId="5D5B7CB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color w:val="000000"/>
                <w:sz w:val="20"/>
                <w:szCs w:val="20"/>
              </w:rPr>
              <w:t>Operation and maintenance plan for capture systems, control devices applied to pushing emissions, and by-product coke oven batteries</w:t>
            </w:r>
          </w:p>
        </w:tc>
        <w:tc>
          <w:tcPr>
            <w:tcW w:w="3060" w:type="dxa"/>
            <w:tcBorders>
              <w:top w:val="single" w:sz="7" w:space="0" w:color="000000"/>
              <w:left w:val="single" w:sz="7" w:space="0" w:color="000000"/>
              <w:bottom w:val="single" w:sz="7" w:space="0" w:color="000000"/>
              <w:right w:val="single" w:sz="7" w:space="0" w:color="000000"/>
            </w:tcBorders>
          </w:tcPr>
          <w:p w:rsidR="003E7B7F" w:rsidRPr="003E7B7F" w:rsidP="003E7B7F" w14:paraId="19CB627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§§63.7300(b-c)</w:t>
            </w:r>
          </w:p>
        </w:tc>
      </w:tr>
      <w:tr w14:paraId="275D8D7D"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3E7B7F" w:rsidRPr="003E7B7F" w:rsidP="003E7B7F" w14:paraId="16C3AD3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Plan for soaking emissions</w:t>
            </w:r>
          </w:p>
        </w:tc>
        <w:tc>
          <w:tcPr>
            <w:tcW w:w="3060" w:type="dxa"/>
            <w:tcBorders>
              <w:top w:val="single" w:sz="7" w:space="0" w:color="000000"/>
              <w:left w:val="single" w:sz="7" w:space="0" w:color="000000"/>
              <w:bottom w:val="single" w:sz="7" w:space="0" w:color="000000"/>
              <w:right w:val="single" w:sz="7" w:space="0" w:color="000000"/>
            </w:tcBorders>
          </w:tcPr>
          <w:p w:rsidR="003E7B7F" w:rsidRPr="003E7B7F" w:rsidP="003E7B7F" w14:paraId="6BDA0E2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§63.7294</w:t>
            </w:r>
          </w:p>
        </w:tc>
      </w:tr>
      <w:tr w14:paraId="7E84FB8C"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3E7B7F" w:rsidRPr="003E7B7F" w:rsidP="003E7B7F" w14:paraId="4B09CB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color w:val="000000"/>
                <w:sz w:val="20"/>
                <w:szCs w:val="20"/>
              </w:rPr>
              <w:t>Plan to prevent green pushes from by-product coke oven batteries with horizontal flues</w:t>
            </w:r>
          </w:p>
        </w:tc>
        <w:tc>
          <w:tcPr>
            <w:tcW w:w="3060" w:type="dxa"/>
            <w:tcBorders>
              <w:top w:val="single" w:sz="7" w:space="0" w:color="000000"/>
              <w:left w:val="single" w:sz="7" w:space="0" w:color="000000"/>
              <w:bottom w:val="single" w:sz="7" w:space="0" w:color="000000"/>
              <w:right w:val="single" w:sz="7" w:space="0" w:color="000000"/>
            </w:tcBorders>
          </w:tcPr>
          <w:p w:rsidR="003E7B7F" w:rsidRPr="003E7B7F" w:rsidP="003E7B7F" w14:paraId="1DA5D91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§63.7292</w:t>
            </w:r>
          </w:p>
        </w:tc>
      </w:tr>
      <w:tr w14:paraId="4FB406CE"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3E7B7F" w:rsidRPr="003E7B7F" w:rsidP="003E7B7F" w14:paraId="4EB327A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Progress reports for compliance extension (if applicable)</w:t>
            </w:r>
          </w:p>
        </w:tc>
        <w:tc>
          <w:tcPr>
            <w:tcW w:w="3060" w:type="dxa"/>
            <w:tcBorders>
              <w:top w:val="single" w:sz="7" w:space="0" w:color="000000"/>
              <w:left w:val="single" w:sz="7" w:space="0" w:color="000000"/>
              <w:bottom w:val="single" w:sz="7" w:space="0" w:color="000000"/>
              <w:right w:val="single" w:sz="7" w:space="0" w:color="000000"/>
            </w:tcBorders>
          </w:tcPr>
          <w:p w:rsidR="003E7B7F" w:rsidRPr="003E7B7F" w:rsidP="003E7B7F" w14:paraId="4A057DB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§63.6(</w:t>
            </w:r>
            <w:r w:rsidRPr="003E7B7F">
              <w:rPr>
                <w:rFonts w:eastAsia="Times New Roman" w:cstheme="minorHAnsi"/>
                <w:sz w:val="20"/>
                <w:szCs w:val="20"/>
              </w:rPr>
              <w:t>i</w:t>
            </w:r>
            <w:r w:rsidRPr="003E7B7F">
              <w:rPr>
                <w:rFonts w:eastAsia="Times New Roman" w:cstheme="minorHAnsi"/>
                <w:sz w:val="20"/>
                <w:szCs w:val="20"/>
              </w:rPr>
              <w:t>)</w:t>
            </w:r>
            <w:r w:rsidRPr="003E7B7F">
              <w:rPr>
                <w:rFonts w:eastAsia="Times New Roman" w:cstheme="minorHAnsi"/>
                <w:sz w:val="20"/>
                <w:szCs w:val="20"/>
              </w:rPr>
              <w:fldChar w:fldCharType="begin"/>
            </w:r>
            <w:r w:rsidRPr="003E7B7F">
              <w:rPr>
                <w:rFonts w:eastAsia="Times New Roman" w:cstheme="minorHAnsi"/>
                <w:sz w:val="20"/>
                <w:szCs w:val="20"/>
              </w:rPr>
              <w:instrText xml:space="preserve"> SEQ CHAPTER \h \r 1</w:instrText>
            </w:r>
            <w:r w:rsidRPr="003E7B7F">
              <w:rPr>
                <w:rFonts w:eastAsia="Times New Roman" w:cstheme="minorHAnsi"/>
                <w:sz w:val="20"/>
                <w:szCs w:val="20"/>
              </w:rPr>
              <w:fldChar w:fldCharType="separate"/>
            </w:r>
            <w:r w:rsidRPr="003E7B7F">
              <w:rPr>
                <w:rFonts w:eastAsia="Times New Roman" w:cstheme="minorHAnsi"/>
                <w:sz w:val="20"/>
                <w:szCs w:val="20"/>
              </w:rPr>
              <w:fldChar w:fldCharType="end"/>
            </w:r>
          </w:p>
        </w:tc>
      </w:tr>
      <w:tr w14:paraId="6CD6202D"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3E7B7F" w:rsidRPr="003E7B7F" w:rsidP="003E7B7F" w14:paraId="4875F15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 xml:space="preserve">Quarterly and semiannual compliance reports </w:t>
            </w:r>
          </w:p>
        </w:tc>
        <w:tc>
          <w:tcPr>
            <w:tcW w:w="3060" w:type="dxa"/>
            <w:tcBorders>
              <w:top w:val="single" w:sz="7" w:space="0" w:color="000000"/>
              <w:left w:val="single" w:sz="7" w:space="0" w:color="000000"/>
              <w:bottom w:val="single" w:sz="7" w:space="0" w:color="000000"/>
              <w:right w:val="single" w:sz="7" w:space="0" w:color="000000"/>
            </w:tcBorders>
          </w:tcPr>
          <w:p w:rsidR="003E7B7F" w:rsidRPr="003E7B7F" w:rsidP="003E7B7F" w14:paraId="6FB77A2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3E7B7F">
              <w:rPr>
                <w:rFonts w:eastAsia="Times New Roman" w:cstheme="minorHAnsi"/>
                <w:sz w:val="20"/>
                <w:szCs w:val="20"/>
              </w:rPr>
              <w:t>§§63.7341(b-c)</w:t>
            </w:r>
          </w:p>
        </w:tc>
      </w:tr>
    </w:tbl>
    <w:p w:rsidR="00BC13CB" w:rsidP="008611EA" w14:paraId="1865880B" w14:textId="77777777">
      <w:pPr>
        <w:spacing w:line="259" w:lineRule="auto"/>
        <w:contextualSpacing/>
        <w:rPr>
          <w:rFonts w:cstheme="minorHAnsi"/>
        </w:rPr>
      </w:pPr>
    </w:p>
    <w:p w:rsidR="003E7B7F" w:rsidP="008611EA" w14:paraId="626256C3" w14:textId="61FD6D2C">
      <w:pPr>
        <w:spacing w:line="259" w:lineRule="auto"/>
        <w:contextualSpacing/>
        <w:rPr>
          <w:rFonts w:cstheme="minorHAnsi"/>
        </w:rPr>
      </w:pPr>
      <w:r w:rsidRPr="005D2029">
        <w:rPr>
          <w:rFonts w:cstheme="minorHAnsi"/>
        </w:rPr>
        <w:t>A source must keep the following records:</w:t>
      </w:r>
    </w:p>
    <w:tbl>
      <w:tblPr>
        <w:tblW w:w="9351" w:type="dxa"/>
        <w:jc w:val="center"/>
        <w:tblLayout w:type="fixed"/>
        <w:tblCellMar>
          <w:left w:w="120" w:type="dxa"/>
          <w:right w:w="120" w:type="dxa"/>
        </w:tblCellMar>
        <w:tblLook w:val="0000"/>
      </w:tblPr>
      <w:tblGrid>
        <w:gridCol w:w="6291"/>
        <w:gridCol w:w="3060"/>
      </w:tblGrid>
      <w:tr w14:paraId="601A67B3" w14:textId="77777777" w:rsidTr="009555B2">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5D2029" w:rsidRPr="005D2029" w:rsidP="005D2029" w14:paraId="3AB580C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sz w:val="20"/>
                <w:szCs w:val="20"/>
              </w:rPr>
            </w:pPr>
            <w:r w:rsidRPr="005D2029">
              <w:rPr>
                <w:rFonts w:eastAsia="Times New Roman" w:cstheme="minorHAnsi"/>
                <w:b/>
                <w:sz w:val="20"/>
                <w:szCs w:val="20"/>
              </w:rPr>
              <w:t>Recordkeeping</w:t>
            </w:r>
          </w:p>
        </w:tc>
      </w:tr>
      <w:tr w14:paraId="5F2DB976"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5D2029" w:rsidRPr="005D2029" w:rsidP="005D2029" w14:paraId="70091F3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All reports and notifications</w:t>
            </w:r>
          </w:p>
        </w:tc>
        <w:tc>
          <w:tcPr>
            <w:tcW w:w="3060" w:type="dxa"/>
            <w:tcBorders>
              <w:top w:val="single" w:sz="7" w:space="0" w:color="000000"/>
              <w:left w:val="single" w:sz="7" w:space="0" w:color="000000"/>
              <w:bottom w:val="single" w:sz="7" w:space="0" w:color="000000"/>
              <w:right w:val="single" w:sz="7" w:space="0" w:color="000000"/>
            </w:tcBorders>
          </w:tcPr>
          <w:p w:rsidR="005D2029" w:rsidRPr="005D2029" w:rsidP="005D2029" w14:paraId="28FF24A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§63.10(b)(1), §63.7342(a)(1)</w:t>
            </w:r>
          </w:p>
        </w:tc>
      </w:tr>
      <w:tr w14:paraId="1157B270"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rsidR="005D2029" w:rsidRPr="005D2029" w:rsidP="005D2029" w14:paraId="7830D6C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Records of visual observations</w:t>
            </w:r>
          </w:p>
        </w:tc>
        <w:tc>
          <w:tcPr>
            <w:tcW w:w="3060" w:type="dxa"/>
            <w:tcBorders>
              <w:top w:val="single" w:sz="7" w:space="0" w:color="000000"/>
              <w:left w:val="single" w:sz="7" w:space="0" w:color="000000"/>
              <w:bottom w:val="single" w:sz="7" w:space="0" w:color="000000"/>
              <w:right w:val="single" w:sz="7" w:space="0" w:color="000000"/>
            </w:tcBorders>
            <w:vAlign w:val="center"/>
          </w:tcPr>
          <w:p w:rsidR="005D2029" w:rsidRPr="005D2029" w:rsidP="005D2029" w14:paraId="04AD8F1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§63.7342(c)</w:t>
            </w:r>
          </w:p>
        </w:tc>
      </w:tr>
      <w:tr w14:paraId="14F05F82"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rsidR="005D2029" w:rsidRPr="005D2029" w:rsidP="005D2029" w14:paraId="6C652BE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Records demonstrating continuous compliance with applicable emission limitations, work practice standards, and operation and maintenance requirements</w:t>
            </w:r>
          </w:p>
        </w:tc>
        <w:tc>
          <w:tcPr>
            <w:tcW w:w="3060" w:type="dxa"/>
            <w:tcBorders>
              <w:top w:val="single" w:sz="7" w:space="0" w:color="000000"/>
              <w:left w:val="single" w:sz="7" w:space="0" w:color="000000"/>
              <w:bottom w:val="single" w:sz="7" w:space="0" w:color="000000"/>
              <w:right w:val="single" w:sz="7" w:space="0" w:color="000000"/>
            </w:tcBorders>
            <w:vAlign w:val="center"/>
          </w:tcPr>
          <w:p w:rsidR="005D2029" w:rsidRPr="005D2029" w:rsidP="005D2029" w14:paraId="005340F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§63.7342(d)</w:t>
            </w:r>
          </w:p>
        </w:tc>
      </w:tr>
      <w:tr w14:paraId="65C8C11B"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5D2029" w:rsidRPr="005D2029" w:rsidP="005D2029" w14:paraId="648CC9E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Any applicability determination that demonstrates why owner or operator believes source is unaffected</w:t>
            </w:r>
          </w:p>
        </w:tc>
        <w:tc>
          <w:tcPr>
            <w:tcW w:w="3060" w:type="dxa"/>
            <w:tcBorders>
              <w:top w:val="single" w:sz="7" w:space="0" w:color="000000"/>
              <w:left w:val="single" w:sz="7" w:space="0" w:color="000000"/>
              <w:bottom w:val="single" w:sz="7" w:space="0" w:color="000000"/>
              <w:right w:val="single" w:sz="7" w:space="0" w:color="000000"/>
            </w:tcBorders>
          </w:tcPr>
          <w:p w:rsidR="005D2029" w:rsidRPr="005D2029" w:rsidP="005D2029" w14:paraId="082A9CA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§63.10(b)(3)</w:t>
            </w:r>
          </w:p>
        </w:tc>
      </w:tr>
      <w:tr w14:paraId="7347787A"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5D2029" w:rsidRPr="005D2029" w:rsidP="005D2029" w14:paraId="61A50E1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Records of maintenance of air pollution control equipment</w:t>
            </w:r>
          </w:p>
        </w:tc>
        <w:tc>
          <w:tcPr>
            <w:tcW w:w="3060" w:type="dxa"/>
            <w:tcBorders>
              <w:top w:val="single" w:sz="7" w:space="0" w:color="000000"/>
              <w:left w:val="single" w:sz="7" w:space="0" w:color="000000"/>
              <w:bottom w:val="single" w:sz="7" w:space="0" w:color="000000"/>
              <w:right w:val="single" w:sz="7" w:space="0" w:color="000000"/>
            </w:tcBorders>
          </w:tcPr>
          <w:p w:rsidR="005D2029" w:rsidRPr="005D2029" w:rsidP="005D2029" w14:paraId="141B383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§63.10(b)(2)(iii)</w:t>
            </w:r>
          </w:p>
        </w:tc>
      </w:tr>
      <w:tr w14:paraId="29062D3E"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5D2029" w:rsidRPr="005D2029" w:rsidP="005D2029" w14:paraId="17E5E7D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Records of performance tests, performance evaluations, and opacity and visible emissions observations</w:t>
            </w:r>
          </w:p>
        </w:tc>
        <w:tc>
          <w:tcPr>
            <w:tcW w:w="3060" w:type="dxa"/>
            <w:tcBorders>
              <w:top w:val="single" w:sz="7" w:space="0" w:color="000000"/>
              <w:left w:val="single" w:sz="7" w:space="0" w:color="000000"/>
              <w:bottom w:val="single" w:sz="7" w:space="0" w:color="000000"/>
              <w:right w:val="single" w:sz="7" w:space="0" w:color="000000"/>
            </w:tcBorders>
          </w:tcPr>
          <w:p w:rsidR="005D2029" w:rsidRPr="005D2029" w:rsidP="005D2029" w14:paraId="69FCF9C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§63.10(b)(2)(viii), §63.7342(a)(3)</w:t>
            </w:r>
          </w:p>
        </w:tc>
      </w:tr>
      <w:tr w14:paraId="2CE9AD69" w14:textId="77777777" w:rsidTr="009555B2">
        <w:tblPrEx>
          <w:tblW w:w="9351" w:type="dxa"/>
          <w:jc w:val="center"/>
          <w:tblLayout w:type="fixed"/>
          <w:tblCellMar>
            <w:left w:w="120" w:type="dxa"/>
            <w:right w:w="120" w:type="dxa"/>
          </w:tblCellMar>
          <w:tblLook w:val="0000"/>
        </w:tblPrEx>
        <w:trPr>
          <w:jc w:val="center"/>
        </w:trPr>
        <w:tc>
          <w:tcPr>
            <w:tcW w:w="6291" w:type="dxa"/>
            <w:tcBorders>
              <w:top w:val="single" w:sz="7" w:space="0" w:color="000000"/>
              <w:left w:val="single" w:sz="7" w:space="0" w:color="000000"/>
              <w:bottom w:val="single" w:sz="7" w:space="0" w:color="000000"/>
              <w:right w:val="single" w:sz="7" w:space="0" w:color="000000"/>
            </w:tcBorders>
          </w:tcPr>
          <w:p w:rsidR="005D2029" w:rsidRPr="005D2029" w:rsidP="005D2029" w14:paraId="6D026BF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Five-year retention of records</w:t>
            </w:r>
          </w:p>
        </w:tc>
        <w:tc>
          <w:tcPr>
            <w:tcW w:w="3060" w:type="dxa"/>
            <w:tcBorders>
              <w:top w:val="single" w:sz="7" w:space="0" w:color="000000"/>
              <w:left w:val="single" w:sz="7" w:space="0" w:color="000000"/>
              <w:bottom w:val="single" w:sz="7" w:space="0" w:color="000000"/>
              <w:right w:val="single" w:sz="7" w:space="0" w:color="000000"/>
            </w:tcBorders>
          </w:tcPr>
          <w:p w:rsidR="005D2029" w:rsidRPr="005D2029" w:rsidP="005D2029" w14:paraId="10F5487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5D2029">
              <w:rPr>
                <w:rFonts w:eastAsia="Times New Roman" w:cstheme="minorHAnsi"/>
                <w:sz w:val="20"/>
                <w:szCs w:val="20"/>
              </w:rPr>
              <w:t>§63.10(b)(1), §63.7343(b)</w:t>
            </w:r>
            <w:r w:rsidRPr="005D2029">
              <w:rPr>
                <w:rFonts w:eastAsia="Times New Roman" w:cstheme="minorHAnsi"/>
                <w:sz w:val="20"/>
                <w:szCs w:val="20"/>
                <w:lang w:val="en-CA"/>
              </w:rPr>
              <w:fldChar w:fldCharType="begin"/>
            </w:r>
            <w:r w:rsidRPr="005D2029">
              <w:rPr>
                <w:rFonts w:eastAsia="Times New Roman" w:cstheme="minorHAnsi"/>
                <w:sz w:val="20"/>
                <w:szCs w:val="20"/>
                <w:lang w:val="en-CA"/>
              </w:rPr>
              <w:instrText xml:space="preserve"> SEQ CHAPTER \h \r 1</w:instrText>
            </w:r>
            <w:r w:rsidRPr="005D2029">
              <w:rPr>
                <w:rFonts w:eastAsia="Times New Roman" w:cstheme="minorHAnsi"/>
                <w:sz w:val="20"/>
                <w:szCs w:val="20"/>
                <w:lang w:val="en-CA"/>
              </w:rPr>
              <w:fldChar w:fldCharType="separate"/>
            </w:r>
            <w:r w:rsidRPr="005D2029">
              <w:rPr>
                <w:rFonts w:eastAsia="Times New Roman" w:cstheme="minorHAnsi"/>
                <w:sz w:val="20"/>
                <w:szCs w:val="20"/>
                <w:lang w:val="en-CA"/>
              </w:rPr>
              <w:fldChar w:fldCharType="end"/>
            </w:r>
          </w:p>
        </w:tc>
      </w:tr>
    </w:tbl>
    <w:p w:rsidR="005D2029" w:rsidP="000A736E" w14:paraId="35D6F461" w14:textId="77777777">
      <w:pPr>
        <w:spacing w:line="259" w:lineRule="auto"/>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9F1E00" w:rsidRPr="00C1308C" w:rsidP="002943D2" w14:paraId="3C4B52CA" w14:textId="31D963E7">
      <w:pPr>
        <w:spacing w:line="259" w:lineRule="auto"/>
        <w:ind w:left="0" w:firstLine="0"/>
        <w:rPr>
          <w:rFonts w:cstheme="minorHAnsi"/>
        </w:rPr>
      </w:pPr>
      <w:r w:rsidRPr="00C1308C">
        <w:rPr>
          <w:rFonts w:cstheme="minorHAnsi"/>
        </w:rPr>
        <w:t>Respondent Activities are listed here:</w:t>
      </w:r>
    </w:p>
    <w:p w:rsidR="00D65583" w:rsidRPr="00C1308C" w:rsidP="00D65583" w14:paraId="12D2DE60" w14:textId="77777777">
      <w:pPr>
        <w:pStyle w:val="ListParagraph"/>
        <w:numPr>
          <w:ilvl w:val="0"/>
          <w:numId w:val="30"/>
        </w:numPr>
        <w:spacing w:line="259" w:lineRule="auto"/>
        <w:rPr>
          <w:rFonts w:cstheme="minorHAnsi"/>
        </w:rPr>
      </w:pPr>
      <w:r w:rsidRPr="00C1308C">
        <w:rPr>
          <w:rFonts w:cstheme="minorHAnsi"/>
        </w:rPr>
        <w:t>Familiarization with the regulatory requirements.</w:t>
      </w:r>
    </w:p>
    <w:p w:rsidR="00D65583" w:rsidRPr="00C1308C" w:rsidP="00D65583" w14:paraId="3EA9BAEE" w14:textId="77777777">
      <w:pPr>
        <w:pStyle w:val="ListParagraph"/>
        <w:numPr>
          <w:ilvl w:val="0"/>
          <w:numId w:val="30"/>
        </w:numPr>
        <w:spacing w:line="259" w:lineRule="auto"/>
        <w:rPr>
          <w:rFonts w:cstheme="minorHAnsi"/>
        </w:rPr>
      </w:pPr>
      <w:r w:rsidRPr="00C1308C">
        <w:rPr>
          <w:rFonts w:cstheme="minorHAnsi"/>
        </w:rPr>
        <w:t>Install, calibrate, maintain, and operate CMS for opacity, or for pressure drop and liquid supply pressure for the control device.</w:t>
      </w:r>
    </w:p>
    <w:p w:rsidR="00D65583" w:rsidRPr="00C1308C" w:rsidP="00D65583" w14:paraId="107513D5" w14:textId="77777777">
      <w:pPr>
        <w:pStyle w:val="ListParagraph"/>
        <w:numPr>
          <w:ilvl w:val="0"/>
          <w:numId w:val="30"/>
        </w:numPr>
        <w:spacing w:line="259" w:lineRule="auto"/>
        <w:rPr>
          <w:rFonts w:cstheme="minorHAnsi"/>
        </w:rPr>
      </w:pPr>
      <w:r w:rsidRPr="00C1308C">
        <w:rPr>
          <w:rFonts w:cstheme="minorHAnsi"/>
        </w:rPr>
        <w:t>Perform initial performance test, Reference Method 1; 2, 2F, or 2G; 3, 3A, or 3B; 4; 5 or 5D; 23; 26 or 26A; 29; 316; 320; CARB 429 test and repeat performance tests if necessary.</w:t>
      </w:r>
    </w:p>
    <w:p w:rsidR="00D65583" w:rsidRPr="00C1308C" w:rsidP="00D65583" w14:paraId="76867DE9" w14:textId="77777777">
      <w:pPr>
        <w:pStyle w:val="ListParagraph"/>
        <w:numPr>
          <w:ilvl w:val="0"/>
          <w:numId w:val="30"/>
        </w:numPr>
        <w:spacing w:line="259" w:lineRule="auto"/>
        <w:rPr>
          <w:rFonts w:cstheme="minorHAnsi"/>
        </w:rPr>
      </w:pPr>
      <w:r w:rsidRPr="00C1308C">
        <w:rPr>
          <w:rFonts w:cstheme="minorHAnsi"/>
        </w:rPr>
        <w:t>Write the notifications and reports listed above.</w:t>
      </w:r>
    </w:p>
    <w:p w:rsidR="00D65583" w:rsidRPr="00C1308C" w:rsidP="00D65583" w14:paraId="209941F1" w14:textId="77777777">
      <w:pPr>
        <w:pStyle w:val="ListParagraph"/>
        <w:numPr>
          <w:ilvl w:val="0"/>
          <w:numId w:val="30"/>
        </w:numPr>
        <w:spacing w:line="259" w:lineRule="auto"/>
        <w:rPr>
          <w:rFonts w:cstheme="minorHAnsi"/>
        </w:rPr>
      </w:pPr>
      <w:r w:rsidRPr="00C1308C">
        <w:rPr>
          <w:rFonts w:cstheme="minorHAnsi"/>
        </w:rPr>
        <w:t>Enter information required to be recorded above.</w:t>
      </w:r>
    </w:p>
    <w:p w:rsidR="00D65583" w:rsidRPr="00C1308C" w:rsidP="00D65583" w14:paraId="32837C6A" w14:textId="77777777">
      <w:pPr>
        <w:pStyle w:val="ListParagraph"/>
        <w:numPr>
          <w:ilvl w:val="0"/>
          <w:numId w:val="30"/>
        </w:numPr>
        <w:spacing w:line="259" w:lineRule="auto"/>
        <w:rPr>
          <w:rFonts w:cstheme="minorHAnsi"/>
        </w:rPr>
      </w:pPr>
      <w:r w:rsidRPr="00C1308C">
        <w:rPr>
          <w:rFonts w:cstheme="minorHAnsi"/>
        </w:rPr>
        <w:t>Submit the required reports developing, acquiring, installing, and utilizing technology and systems for collecting, validating, and verifying information.</w:t>
      </w:r>
    </w:p>
    <w:p w:rsidR="00D65583" w:rsidRPr="00C1308C" w:rsidP="00D65583" w14:paraId="7948BB62" w14:textId="77777777">
      <w:pPr>
        <w:pStyle w:val="ListParagraph"/>
        <w:numPr>
          <w:ilvl w:val="0"/>
          <w:numId w:val="30"/>
        </w:numPr>
        <w:spacing w:line="259" w:lineRule="auto"/>
        <w:rPr>
          <w:rFonts w:cstheme="minorHAnsi"/>
        </w:rPr>
      </w:pPr>
      <w:r w:rsidRPr="00C1308C">
        <w:rPr>
          <w:rFonts w:cstheme="minorHAnsi"/>
        </w:rPr>
        <w:t>Develop, acquire, install, and utilize technology and systems for processing and maintaining information.</w:t>
      </w:r>
    </w:p>
    <w:p w:rsidR="00D65583" w:rsidRPr="00C1308C" w:rsidP="00D65583" w14:paraId="76498660" w14:textId="77777777">
      <w:pPr>
        <w:pStyle w:val="ListParagraph"/>
        <w:numPr>
          <w:ilvl w:val="0"/>
          <w:numId w:val="30"/>
        </w:numPr>
        <w:spacing w:line="259" w:lineRule="auto"/>
        <w:rPr>
          <w:rFonts w:cstheme="minorHAnsi"/>
        </w:rPr>
      </w:pPr>
      <w:r w:rsidRPr="00C1308C">
        <w:rPr>
          <w:rFonts w:cstheme="minorHAnsi"/>
        </w:rPr>
        <w:t>Develop, acquire, install, and utilize technology and systems for disclosing and providing information.</w:t>
      </w:r>
    </w:p>
    <w:p w:rsidR="00D65583" w:rsidRPr="00C1308C" w:rsidP="00D65583" w14:paraId="7DB500BD" w14:textId="77777777">
      <w:pPr>
        <w:pStyle w:val="ListParagraph"/>
        <w:numPr>
          <w:ilvl w:val="0"/>
          <w:numId w:val="30"/>
        </w:numPr>
        <w:spacing w:line="259" w:lineRule="auto"/>
        <w:rPr>
          <w:rFonts w:cstheme="minorHAnsi"/>
        </w:rPr>
      </w:pPr>
      <w:r w:rsidRPr="00C1308C">
        <w:rPr>
          <w:rFonts w:cstheme="minorHAnsi"/>
        </w:rPr>
        <w:t>Train personnel to be able to respond to a collection of information.</w:t>
      </w:r>
    </w:p>
    <w:p w:rsidR="00D65583" w:rsidRPr="00C1308C" w:rsidP="005A01C2" w14:paraId="62D72E8C" w14:textId="48091FD2">
      <w:pPr>
        <w:pStyle w:val="ListParagraph"/>
        <w:numPr>
          <w:ilvl w:val="0"/>
          <w:numId w:val="30"/>
        </w:numPr>
        <w:spacing w:line="259" w:lineRule="auto"/>
        <w:rPr>
          <w:rFonts w:cstheme="minorHAnsi"/>
        </w:rPr>
      </w:pPr>
      <w:r w:rsidRPr="00C1308C">
        <w:rPr>
          <w:rFonts w:cstheme="minorHAnsi"/>
        </w:rPr>
        <w:t>Transmit, or otherwise disclose the information.</w:t>
      </w:r>
    </w:p>
    <w:p w:rsidR="00D92ED6" w:rsidRPr="00C1308C" w:rsidP="00940939" w14:paraId="0B6BE1C2" w14:textId="30D424E1">
      <w:pPr>
        <w:pStyle w:val="Heading2"/>
        <w:keepNext w:val="0"/>
        <w:spacing w:before="0" w:after="160"/>
        <w:ind w:left="0" w:firstLine="0"/>
        <w:rPr>
          <w:rFonts w:asciiTheme="minorHAnsi" w:hAnsiTheme="minorHAnsi" w:cstheme="minorHAnsi"/>
          <w:b/>
          <w:bCs/>
          <w:sz w:val="22"/>
          <w:szCs w:val="22"/>
        </w:rPr>
      </w:pPr>
      <w:r w:rsidRPr="00C1308C">
        <w:rPr>
          <w:rFonts w:asciiTheme="minorHAnsi" w:hAnsiTheme="minorHAnsi" w:cstheme="minorHAnsi"/>
          <w:b/>
          <w:bCs/>
          <w:color w:val="000000" w:themeColor="text1"/>
          <w:sz w:val="22"/>
          <w:szCs w:val="22"/>
        </w:rPr>
        <w:t>12d.</w:t>
      </w:r>
      <w:r w:rsidRPr="00C1308C" w:rsidR="00BB104E">
        <w:rPr>
          <w:rFonts w:asciiTheme="minorHAnsi" w:hAnsiTheme="minorHAnsi" w:cstheme="minorHAnsi"/>
          <w:b/>
          <w:bCs/>
          <w:sz w:val="22"/>
          <w:szCs w:val="22"/>
        </w:rPr>
        <w:t xml:space="preserve"> </w:t>
      </w:r>
      <w:r w:rsidRPr="00C1308C" w:rsidR="0042474D">
        <w:rPr>
          <w:rFonts w:asciiTheme="minorHAnsi" w:hAnsiTheme="minorHAnsi" w:cstheme="minorHAnsi"/>
          <w:b/>
          <w:bCs/>
          <w:color w:val="000000" w:themeColor="text1"/>
          <w:sz w:val="22"/>
          <w:szCs w:val="22"/>
        </w:rPr>
        <w:t xml:space="preserve">RESPONDENT BURDEN HOURS AND LABOR </w:t>
      </w:r>
      <w:bookmarkEnd w:id="18"/>
      <w:r w:rsidRPr="00C1308C" w:rsidR="0042474D">
        <w:rPr>
          <w:rFonts w:asciiTheme="minorHAnsi" w:hAnsiTheme="minorHAnsi" w:cstheme="minorHAnsi"/>
          <w:b/>
          <w:bCs/>
          <w:color w:val="000000" w:themeColor="text1"/>
          <w:sz w:val="22"/>
          <w:szCs w:val="22"/>
        </w:rPr>
        <w:t>COSTS</w:t>
      </w:r>
    </w:p>
    <w:p w:rsidR="007D31DB" w:rsidRPr="00C1308C" w:rsidP="007D31DB" w14:paraId="61F0191C" w14:textId="77777777">
      <w:pPr>
        <w:spacing w:line="259" w:lineRule="auto"/>
        <w:ind w:left="0" w:firstLine="720"/>
        <w:rPr>
          <w:rFonts w:cstheme="minorHAnsi"/>
        </w:rPr>
      </w:pPr>
      <w:r w:rsidRPr="00C1308C">
        <w:rPr>
          <w:rFonts w:cstheme="minorHAnsi"/>
        </w:rPr>
        <w:t>Based on our research for this ICR, on average over the next three years, approximately 12 existing respondents will be subject to these standards. It is estimated that no additional respondents per year will become subject to these same standards. The overall average number of respondents, as shown in the table below, is 12 per year.</w:t>
      </w:r>
    </w:p>
    <w:p w:rsidR="00ED57A4" w:rsidRPr="00C1308C" w:rsidP="007D31DB" w14:paraId="68F435BE" w14:textId="4BCD8A69">
      <w:pPr>
        <w:spacing w:line="259" w:lineRule="auto"/>
        <w:ind w:left="0" w:firstLine="720"/>
        <w:rPr>
          <w:rFonts w:cstheme="minorHAnsi"/>
        </w:rPr>
      </w:pPr>
      <w:r w:rsidRPr="00C1308C">
        <w:rPr>
          <w:rFonts w:cstheme="minorHAnsi"/>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1051"/>
        <w:gridCol w:w="1446"/>
        <w:gridCol w:w="1344"/>
        <w:gridCol w:w="2250"/>
        <w:gridCol w:w="1890"/>
        <w:gridCol w:w="1378"/>
      </w:tblGrid>
      <w:tr w14:paraId="25248167" w14:textId="77777777" w:rsidTr="009555B2">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055D41" w:rsidRPr="00055D41" w:rsidP="00055D41" w14:paraId="505D44C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rPr>
              <w:t>Number of Respondents</w:t>
            </w:r>
          </w:p>
        </w:tc>
      </w:tr>
      <w:tr w14:paraId="69D9E492" w14:textId="77777777" w:rsidTr="00BB4D03">
        <w:tblPrEx>
          <w:tblW w:w="9359" w:type="dxa"/>
          <w:tblInd w:w="110" w:type="dxa"/>
          <w:tblLayout w:type="fixed"/>
          <w:tblCellMar>
            <w:left w:w="110" w:type="dxa"/>
            <w:right w:w="110" w:type="dxa"/>
          </w:tblCellMar>
          <w:tblLook w:val="0000"/>
        </w:tblPrEx>
        <w:tc>
          <w:tcPr>
            <w:tcW w:w="1051" w:type="dxa"/>
            <w:tcBorders>
              <w:top w:val="single" w:sz="7" w:space="0" w:color="000000"/>
              <w:left w:val="single" w:sz="7" w:space="0" w:color="000000"/>
              <w:bottom w:val="single" w:sz="6" w:space="0" w:color="FFFFFF"/>
              <w:right w:val="single" w:sz="6" w:space="0" w:color="FFFFFF"/>
            </w:tcBorders>
          </w:tcPr>
          <w:p w:rsidR="00055D41" w:rsidRPr="00055D41" w:rsidP="00055D41" w14:paraId="0485109B" w14:textId="77777777">
            <w:pPr>
              <w:widowControl w:val="0"/>
              <w:autoSpaceDE w:val="0"/>
              <w:autoSpaceDN w:val="0"/>
              <w:adjustRightInd w:val="0"/>
              <w:spacing w:after="0" w:line="240" w:lineRule="auto"/>
              <w:ind w:left="0" w:firstLine="0"/>
              <w:contextualSpacing/>
              <w:rPr>
                <w:rFonts w:eastAsia="Times New Roman" w:cstheme="minorHAnsi"/>
                <w:b/>
                <w:bCs/>
                <w:color w:val="000000"/>
                <w:sz w:val="20"/>
                <w:szCs w:val="20"/>
              </w:rPr>
            </w:pPr>
          </w:p>
          <w:p w:rsidR="00055D41" w:rsidRPr="00055D41" w:rsidP="00055D41" w14:paraId="7FDAC90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p>
        </w:tc>
        <w:tc>
          <w:tcPr>
            <w:tcW w:w="2790" w:type="dxa"/>
            <w:gridSpan w:val="2"/>
            <w:tcBorders>
              <w:top w:val="single" w:sz="7" w:space="0" w:color="000000"/>
              <w:left w:val="single" w:sz="7" w:space="0" w:color="000000"/>
              <w:bottom w:val="single" w:sz="6" w:space="0" w:color="FFFFFF"/>
              <w:right w:val="single" w:sz="6" w:space="0" w:color="FFFFFF"/>
            </w:tcBorders>
          </w:tcPr>
          <w:p w:rsidR="00055D41" w:rsidRPr="00055D41" w:rsidP="00055D41" w14:paraId="59EA004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055D41">
              <w:rPr>
                <w:rFonts w:eastAsia="Times New Roman" w:cstheme="minorHAnsi"/>
                <w:color w:val="000000"/>
                <w:sz w:val="20"/>
                <w:szCs w:val="20"/>
              </w:rPr>
              <w:t>Respondents That Submit Reports</w:t>
            </w:r>
          </w:p>
        </w:tc>
        <w:tc>
          <w:tcPr>
            <w:tcW w:w="2250" w:type="dxa"/>
            <w:tcBorders>
              <w:top w:val="single" w:sz="7" w:space="0" w:color="000000"/>
              <w:left w:val="single" w:sz="7" w:space="0" w:color="000000"/>
              <w:bottom w:val="single" w:sz="6" w:space="0" w:color="FFFFFF"/>
              <w:right w:val="single" w:sz="6" w:space="0" w:color="FFFFFF"/>
            </w:tcBorders>
          </w:tcPr>
          <w:p w:rsidR="00055D41" w:rsidRPr="00055D41" w:rsidP="00055D41" w14:paraId="5C23502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055D41">
              <w:rPr>
                <w:rFonts w:eastAsia="Times New Roman" w:cstheme="minorHAnsi"/>
                <w:color w:val="000000"/>
                <w:sz w:val="20"/>
                <w:szCs w:val="20"/>
              </w:rPr>
              <w:t>Respondents That Do Not Submit Any Reports</w:t>
            </w:r>
          </w:p>
        </w:tc>
        <w:tc>
          <w:tcPr>
            <w:tcW w:w="3268" w:type="dxa"/>
            <w:gridSpan w:val="2"/>
            <w:tcBorders>
              <w:top w:val="single" w:sz="7" w:space="0" w:color="000000"/>
              <w:left w:val="single" w:sz="7" w:space="0" w:color="000000"/>
              <w:bottom w:val="single" w:sz="6" w:space="0" w:color="FFFFFF"/>
              <w:right w:val="single" w:sz="7" w:space="0" w:color="000000"/>
            </w:tcBorders>
          </w:tcPr>
          <w:p w:rsidR="00055D41" w:rsidRPr="00055D41" w:rsidP="00055D41" w14:paraId="51C6780E" w14:textId="77777777">
            <w:pPr>
              <w:widowControl w:val="0"/>
              <w:autoSpaceDE w:val="0"/>
              <w:autoSpaceDN w:val="0"/>
              <w:adjustRightInd w:val="0"/>
              <w:spacing w:after="0" w:line="240" w:lineRule="auto"/>
              <w:ind w:left="0" w:firstLine="0"/>
              <w:contextualSpacing/>
              <w:rPr>
                <w:rFonts w:eastAsia="Times New Roman" w:cstheme="minorHAnsi"/>
                <w:color w:val="000000"/>
                <w:sz w:val="20"/>
                <w:szCs w:val="20"/>
              </w:rPr>
            </w:pPr>
          </w:p>
          <w:p w:rsidR="00055D41" w:rsidRPr="00055D41" w:rsidP="00055D41" w14:paraId="45F8838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p>
        </w:tc>
      </w:tr>
      <w:tr w14:paraId="6B8CD0ED" w14:textId="77777777" w:rsidTr="00BB4D03">
        <w:tblPrEx>
          <w:tblW w:w="9359" w:type="dxa"/>
          <w:tblInd w:w="110" w:type="dxa"/>
          <w:tblLayout w:type="fixed"/>
          <w:tblCellMar>
            <w:left w:w="110" w:type="dxa"/>
            <w:right w:w="110" w:type="dxa"/>
          </w:tblCellMar>
          <w:tblLook w:val="0000"/>
        </w:tblPrEx>
        <w:tc>
          <w:tcPr>
            <w:tcW w:w="1051" w:type="dxa"/>
            <w:tcBorders>
              <w:top w:val="single" w:sz="7" w:space="0" w:color="000000"/>
              <w:left w:val="single" w:sz="7" w:space="0" w:color="000000"/>
              <w:bottom w:val="single" w:sz="8" w:space="0" w:color="000000"/>
              <w:right w:val="single" w:sz="6" w:space="0" w:color="FFFFFF"/>
            </w:tcBorders>
          </w:tcPr>
          <w:p w:rsidR="00055D41" w:rsidRPr="00055D41" w:rsidP="00055D41" w14:paraId="3765162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p>
          <w:p w:rsidR="00055D41" w:rsidRPr="00055D41" w:rsidP="00055D41" w14:paraId="3C0FCBA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rPr>
              <w:t>Year</w:t>
            </w:r>
          </w:p>
        </w:tc>
        <w:tc>
          <w:tcPr>
            <w:tcW w:w="1446" w:type="dxa"/>
            <w:tcBorders>
              <w:top w:val="single" w:sz="7" w:space="0" w:color="000000"/>
              <w:left w:val="single" w:sz="7" w:space="0" w:color="000000"/>
              <w:bottom w:val="single" w:sz="8" w:space="0" w:color="000000"/>
              <w:right w:val="single" w:sz="6" w:space="0" w:color="FFFFFF"/>
            </w:tcBorders>
          </w:tcPr>
          <w:p w:rsidR="00055D41" w:rsidRPr="00055D41" w:rsidP="00055D41" w14:paraId="6213DA1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rPr>
              <w:t>(A)</w:t>
            </w:r>
          </w:p>
          <w:p w:rsidR="00055D41" w:rsidRPr="00055D41" w:rsidP="00055D41" w14:paraId="2EA2D67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055D41">
              <w:rPr>
                <w:rFonts w:eastAsia="Times New Roman" w:cstheme="minorHAnsi"/>
                <w:b/>
                <w:bCs/>
                <w:color w:val="000000"/>
                <w:sz w:val="20"/>
                <w:szCs w:val="20"/>
              </w:rPr>
              <w:t xml:space="preserve">Number of New Respondents </w:t>
            </w:r>
            <w:r w:rsidRPr="00055D41">
              <w:rPr>
                <w:rFonts w:eastAsia="Times New Roman" w:cstheme="minorHAnsi"/>
                <w:b/>
                <w:bCs/>
                <w:color w:val="000000"/>
                <w:sz w:val="20"/>
                <w:szCs w:val="20"/>
                <w:vertAlign w:val="superscript"/>
              </w:rPr>
              <w:t>1</w:t>
            </w:r>
          </w:p>
        </w:tc>
        <w:tc>
          <w:tcPr>
            <w:tcW w:w="1344" w:type="dxa"/>
            <w:tcBorders>
              <w:top w:val="single" w:sz="7" w:space="0" w:color="000000"/>
              <w:left w:val="single" w:sz="7" w:space="0" w:color="000000"/>
              <w:bottom w:val="single" w:sz="8" w:space="0" w:color="000000"/>
              <w:right w:val="single" w:sz="6" w:space="0" w:color="FFFFFF"/>
            </w:tcBorders>
          </w:tcPr>
          <w:p w:rsidR="00055D41" w:rsidRPr="00055D41" w:rsidP="00055D41" w14:paraId="7BE5CF5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rPr>
              <w:t>(B)</w:t>
            </w:r>
          </w:p>
          <w:p w:rsidR="00055D41" w:rsidRPr="00055D41" w:rsidP="00055D41" w14:paraId="3A4FD17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055D41">
              <w:rPr>
                <w:rFonts w:eastAsia="Times New Roman" w:cstheme="minorHAnsi"/>
                <w:b/>
                <w:bCs/>
                <w:color w:val="000000"/>
                <w:sz w:val="20"/>
                <w:szCs w:val="20"/>
              </w:rPr>
              <w:t>Number of Existing Respondents</w:t>
            </w:r>
          </w:p>
        </w:tc>
        <w:tc>
          <w:tcPr>
            <w:tcW w:w="2250" w:type="dxa"/>
            <w:tcBorders>
              <w:top w:val="single" w:sz="7" w:space="0" w:color="000000"/>
              <w:left w:val="single" w:sz="7" w:space="0" w:color="000000"/>
              <w:bottom w:val="single" w:sz="8" w:space="0" w:color="000000"/>
              <w:right w:val="single" w:sz="8" w:space="0" w:color="000000"/>
            </w:tcBorders>
          </w:tcPr>
          <w:p w:rsidR="00055D41" w:rsidRPr="00055D41" w:rsidP="00055D41" w14:paraId="7D0920D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rPr>
              <w:t>(C)</w:t>
            </w:r>
          </w:p>
          <w:p w:rsidR="00055D41" w:rsidRPr="00055D41" w:rsidP="00055D41" w14:paraId="623D04D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055D41">
              <w:rPr>
                <w:rFonts w:eastAsia="Times New Roman" w:cstheme="minorHAnsi"/>
                <w:b/>
                <w:bCs/>
                <w:color w:val="000000"/>
                <w:sz w:val="20"/>
                <w:szCs w:val="20"/>
              </w:rPr>
              <w:t>Number of Existing Respondents that keep records but do not submit reports</w:t>
            </w:r>
          </w:p>
        </w:tc>
        <w:tc>
          <w:tcPr>
            <w:tcW w:w="1890" w:type="dxa"/>
            <w:tcBorders>
              <w:top w:val="single" w:sz="8" w:space="0" w:color="000000"/>
              <w:left w:val="single" w:sz="8" w:space="0" w:color="000000"/>
              <w:bottom w:val="single" w:sz="8" w:space="0" w:color="000000"/>
              <w:right w:val="single" w:sz="4" w:space="0" w:color="auto"/>
            </w:tcBorders>
          </w:tcPr>
          <w:p w:rsidR="00055D41" w:rsidRPr="00055D41" w:rsidP="00055D41" w14:paraId="72D64E5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rPr>
              <w:t>(D)</w:t>
            </w:r>
          </w:p>
          <w:p w:rsidR="00055D41" w:rsidRPr="00055D41" w:rsidP="00055D41" w14:paraId="22877AD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055D41">
              <w:rPr>
                <w:rFonts w:eastAsia="Times New Roman" w:cstheme="minorHAnsi"/>
                <w:b/>
                <w:bCs/>
                <w:color w:val="000000"/>
                <w:sz w:val="20"/>
                <w:szCs w:val="20"/>
              </w:rPr>
              <w:t>Number of Existing Respondents That Are Also New Respondents</w:t>
            </w:r>
          </w:p>
        </w:tc>
        <w:tc>
          <w:tcPr>
            <w:tcW w:w="1378" w:type="dxa"/>
            <w:tcBorders>
              <w:top w:val="single" w:sz="7" w:space="0" w:color="000000"/>
              <w:left w:val="single" w:sz="4" w:space="0" w:color="auto"/>
              <w:bottom w:val="single" w:sz="8" w:space="0" w:color="000000"/>
              <w:right w:val="single" w:sz="7" w:space="0" w:color="000000"/>
            </w:tcBorders>
          </w:tcPr>
          <w:p w:rsidR="00055D41" w:rsidRPr="00055D41" w:rsidP="00055D41" w14:paraId="3F87676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rPr>
              <w:t>(E)</w:t>
            </w:r>
          </w:p>
          <w:p w:rsidR="00055D41" w:rsidRPr="00055D41" w:rsidP="00055D41" w14:paraId="4896D0E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055D41">
              <w:rPr>
                <w:rFonts w:eastAsia="Times New Roman" w:cstheme="minorHAnsi"/>
                <w:b/>
                <w:bCs/>
                <w:color w:val="000000"/>
                <w:sz w:val="20"/>
                <w:szCs w:val="20"/>
              </w:rPr>
              <w:t>Number of Respondents</w:t>
            </w:r>
          </w:p>
          <w:p w:rsidR="00055D41" w:rsidRPr="00055D41" w:rsidP="00055D41" w14:paraId="5CD8283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055D41">
              <w:rPr>
                <w:rFonts w:eastAsia="Times New Roman" w:cstheme="minorHAnsi"/>
                <w:b/>
                <w:bCs/>
                <w:color w:val="000000"/>
                <w:sz w:val="20"/>
                <w:szCs w:val="20"/>
              </w:rPr>
              <w:t>(E=A+B+C-D)</w:t>
            </w:r>
          </w:p>
        </w:tc>
      </w:tr>
      <w:tr w14:paraId="4FD92C52" w14:textId="77777777" w:rsidTr="00BB4D03">
        <w:tblPrEx>
          <w:tblW w:w="9359" w:type="dxa"/>
          <w:tblInd w:w="110" w:type="dxa"/>
          <w:tblLayout w:type="fixed"/>
          <w:tblCellMar>
            <w:left w:w="110" w:type="dxa"/>
            <w:right w:w="110" w:type="dxa"/>
          </w:tblCellMar>
          <w:tblLook w:val="0000"/>
        </w:tblPrEx>
        <w:tc>
          <w:tcPr>
            <w:tcW w:w="1051" w:type="dxa"/>
            <w:tcBorders>
              <w:top w:val="single" w:sz="8" w:space="0" w:color="000000"/>
              <w:left w:val="single" w:sz="8" w:space="0" w:color="000000"/>
              <w:bottom w:val="single" w:sz="6" w:space="0" w:color="000000"/>
              <w:right w:val="single" w:sz="6" w:space="0" w:color="000000"/>
            </w:tcBorders>
            <w:vAlign w:val="center"/>
          </w:tcPr>
          <w:p w:rsidR="00055D41" w:rsidRPr="00055D41" w:rsidP="00055D41" w14:paraId="1437FE5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rPr>
              <w:t>1</w:t>
            </w:r>
          </w:p>
        </w:tc>
        <w:tc>
          <w:tcPr>
            <w:tcW w:w="1446" w:type="dxa"/>
            <w:tcBorders>
              <w:top w:val="single" w:sz="8" w:space="0" w:color="000000"/>
              <w:left w:val="single" w:sz="6" w:space="0" w:color="000000"/>
              <w:bottom w:val="single" w:sz="6" w:space="0" w:color="000000"/>
              <w:right w:val="single" w:sz="6" w:space="0" w:color="000000"/>
            </w:tcBorders>
            <w:vAlign w:val="center"/>
          </w:tcPr>
          <w:p w:rsidR="00055D41" w:rsidRPr="00055D41" w:rsidP="00055D41" w14:paraId="432565B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0</w:t>
            </w:r>
          </w:p>
        </w:tc>
        <w:tc>
          <w:tcPr>
            <w:tcW w:w="1344" w:type="dxa"/>
            <w:tcBorders>
              <w:top w:val="single" w:sz="8" w:space="0" w:color="000000"/>
              <w:left w:val="single" w:sz="6" w:space="0" w:color="000000"/>
              <w:bottom w:val="single" w:sz="6" w:space="0" w:color="000000"/>
              <w:right w:val="single" w:sz="6" w:space="0" w:color="000000"/>
            </w:tcBorders>
            <w:vAlign w:val="center"/>
          </w:tcPr>
          <w:p w:rsidR="00055D41" w:rsidRPr="00055D41" w:rsidP="00055D41" w14:paraId="0CBAE41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12</w:t>
            </w:r>
          </w:p>
        </w:tc>
        <w:tc>
          <w:tcPr>
            <w:tcW w:w="2250" w:type="dxa"/>
            <w:tcBorders>
              <w:top w:val="single" w:sz="8" w:space="0" w:color="000000"/>
              <w:left w:val="single" w:sz="6" w:space="0" w:color="000000"/>
              <w:bottom w:val="single" w:sz="6" w:space="0" w:color="000000"/>
              <w:right w:val="single" w:sz="6" w:space="0" w:color="000000"/>
            </w:tcBorders>
            <w:vAlign w:val="center"/>
          </w:tcPr>
          <w:p w:rsidR="00055D41" w:rsidRPr="00055D41" w:rsidP="00055D41" w14:paraId="78CDD17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0</w:t>
            </w:r>
          </w:p>
        </w:tc>
        <w:tc>
          <w:tcPr>
            <w:tcW w:w="1890" w:type="dxa"/>
            <w:tcBorders>
              <w:top w:val="single" w:sz="8" w:space="0" w:color="000000"/>
              <w:left w:val="single" w:sz="6" w:space="0" w:color="000000"/>
              <w:bottom w:val="single" w:sz="6" w:space="0" w:color="000000"/>
              <w:right w:val="single" w:sz="6" w:space="0" w:color="000000"/>
            </w:tcBorders>
            <w:vAlign w:val="center"/>
          </w:tcPr>
          <w:p w:rsidR="00055D41" w:rsidRPr="00055D41" w:rsidP="00055D41" w14:paraId="0AE9FDD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0</w:t>
            </w:r>
          </w:p>
        </w:tc>
        <w:tc>
          <w:tcPr>
            <w:tcW w:w="1378" w:type="dxa"/>
            <w:tcBorders>
              <w:top w:val="single" w:sz="8" w:space="0" w:color="000000"/>
              <w:left w:val="single" w:sz="6" w:space="0" w:color="000000"/>
              <w:bottom w:val="single" w:sz="6" w:space="0" w:color="000000"/>
              <w:right w:val="single" w:sz="8" w:space="0" w:color="000000"/>
            </w:tcBorders>
            <w:vAlign w:val="center"/>
          </w:tcPr>
          <w:p w:rsidR="00055D41" w:rsidRPr="00055D41" w:rsidP="00055D41" w14:paraId="4DBC677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12</w:t>
            </w:r>
          </w:p>
        </w:tc>
      </w:tr>
      <w:tr w14:paraId="469591E0" w14:textId="77777777" w:rsidTr="00BB4D03">
        <w:tblPrEx>
          <w:tblW w:w="9359" w:type="dxa"/>
          <w:tblInd w:w="110" w:type="dxa"/>
          <w:tblLayout w:type="fixed"/>
          <w:tblCellMar>
            <w:left w:w="110" w:type="dxa"/>
            <w:right w:w="110" w:type="dxa"/>
          </w:tblCellMar>
          <w:tblLook w:val="0000"/>
        </w:tblPrEx>
        <w:tc>
          <w:tcPr>
            <w:tcW w:w="1051" w:type="dxa"/>
            <w:tcBorders>
              <w:top w:val="single" w:sz="6" w:space="0" w:color="000000"/>
              <w:left w:val="single" w:sz="8" w:space="0" w:color="000000"/>
              <w:bottom w:val="single" w:sz="6" w:space="0" w:color="000000"/>
              <w:right w:val="single" w:sz="6" w:space="0" w:color="000000"/>
            </w:tcBorders>
            <w:vAlign w:val="center"/>
          </w:tcPr>
          <w:p w:rsidR="00055D41" w:rsidRPr="00055D41" w:rsidP="00055D41" w14:paraId="5986309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rPr>
              <w:t>2</w:t>
            </w:r>
          </w:p>
        </w:tc>
        <w:tc>
          <w:tcPr>
            <w:tcW w:w="1446" w:type="dxa"/>
            <w:tcBorders>
              <w:top w:val="single" w:sz="6" w:space="0" w:color="000000"/>
              <w:left w:val="single" w:sz="6" w:space="0" w:color="000000"/>
              <w:bottom w:val="single" w:sz="6" w:space="0" w:color="000000"/>
              <w:right w:val="single" w:sz="6" w:space="0" w:color="000000"/>
            </w:tcBorders>
            <w:vAlign w:val="center"/>
          </w:tcPr>
          <w:p w:rsidR="00055D41" w:rsidRPr="00055D41" w:rsidP="00055D41" w14:paraId="0C01D7F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0</w:t>
            </w:r>
          </w:p>
        </w:tc>
        <w:tc>
          <w:tcPr>
            <w:tcW w:w="1344" w:type="dxa"/>
            <w:tcBorders>
              <w:top w:val="single" w:sz="6" w:space="0" w:color="000000"/>
              <w:left w:val="single" w:sz="6" w:space="0" w:color="000000"/>
              <w:bottom w:val="single" w:sz="6" w:space="0" w:color="000000"/>
              <w:right w:val="single" w:sz="6" w:space="0" w:color="000000"/>
            </w:tcBorders>
            <w:vAlign w:val="center"/>
          </w:tcPr>
          <w:p w:rsidR="00055D41" w:rsidRPr="00055D41" w:rsidP="00055D41" w14:paraId="3DC5BA9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12</w:t>
            </w:r>
          </w:p>
        </w:tc>
        <w:tc>
          <w:tcPr>
            <w:tcW w:w="2250" w:type="dxa"/>
            <w:tcBorders>
              <w:top w:val="single" w:sz="6" w:space="0" w:color="000000"/>
              <w:left w:val="single" w:sz="6" w:space="0" w:color="000000"/>
              <w:bottom w:val="single" w:sz="6" w:space="0" w:color="000000"/>
              <w:right w:val="single" w:sz="6" w:space="0" w:color="000000"/>
            </w:tcBorders>
            <w:vAlign w:val="center"/>
          </w:tcPr>
          <w:p w:rsidR="00055D41" w:rsidRPr="00055D41" w:rsidP="00055D41" w14:paraId="65936F9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0</w:t>
            </w:r>
          </w:p>
        </w:tc>
        <w:tc>
          <w:tcPr>
            <w:tcW w:w="1890" w:type="dxa"/>
            <w:tcBorders>
              <w:top w:val="single" w:sz="6" w:space="0" w:color="000000"/>
              <w:left w:val="single" w:sz="6" w:space="0" w:color="000000"/>
              <w:bottom w:val="single" w:sz="6" w:space="0" w:color="000000"/>
              <w:right w:val="single" w:sz="6" w:space="0" w:color="000000"/>
            </w:tcBorders>
            <w:vAlign w:val="center"/>
          </w:tcPr>
          <w:p w:rsidR="00055D41" w:rsidRPr="00055D41" w:rsidP="00055D41" w14:paraId="642C098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0</w:t>
            </w:r>
          </w:p>
        </w:tc>
        <w:tc>
          <w:tcPr>
            <w:tcW w:w="1378" w:type="dxa"/>
            <w:tcBorders>
              <w:top w:val="single" w:sz="6" w:space="0" w:color="000000"/>
              <w:left w:val="single" w:sz="6" w:space="0" w:color="000000"/>
              <w:bottom w:val="single" w:sz="6" w:space="0" w:color="000000"/>
              <w:right w:val="single" w:sz="8" w:space="0" w:color="000000"/>
            </w:tcBorders>
            <w:vAlign w:val="center"/>
          </w:tcPr>
          <w:p w:rsidR="00055D41" w:rsidRPr="00055D41" w:rsidP="00055D41" w14:paraId="087689E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12</w:t>
            </w:r>
          </w:p>
        </w:tc>
      </w:tr>
      <w:tr w14:paraId="411E3756" w14:textId="77777777" w:rsidTr="00BB4D03">
        <w:tblPrEx>
          <w:tblW w:w="9359" w:type="dxa"/>
          <w:tblInd w:w="110" w:type="dxa"/>
          <w:tblLayout w:type="fixed"/>
          <w:tblCellMar>
            <w:left w:w="110" w:type="dxa"/>
            <w:right w:w="110" w:type="dxa"/>
          </w:tblCellMar>
          <w:tblLook w:val="0000"/>
        </w:tblPrEx>
        <w:tc>
          <w:tcPr>
            <w:tcW w:w="1051" w:type="dxa"/>
            <w:tcBorders>
              <w:top w:val="single" w:sz="6" w:space="0" w:color="000000"/>
              <w:left w:val="single" w:sz="8" w:space="0" w:color="000000"/>
              <w:bottom w:val="single" w:sz="6" w:space="0" w:color="000000"/>
              <w:right w:val="single" w:sz="6" w:space="0" w:color="000000"/>
            </w:tcBorders>
            <w:vAlign w:val="center"/>
          </w:tcPr>
          <w:p w:rsidR="00055D41" w:rsidRPr="00055D41" w:rsidP="00055D41" w14:paraId="730A1D3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rPr>
              <w:t>3</w:t>
            </w:r>
          </w:p>
        </w:tc>
        <w:tc>
          <w:tcPr>
            <w:tcW w:w="1446" w:type="dxa"/>
            <w:tcBorders>
              <w:top w:val="single" w:sz="6" w:space="0" w:color="000000"/>
              <w:left w:val="single" w:sz="6" w:space="0" w:color="000000"/>
              <w:bottom w:val="single" w:sz="6" w:space="0" w:color="000000"/>
              <w:right w:val="single" w:sz="6" w:space="0" w:color="000000"/>
            </w:tcBorders>
            <w:vAlign w:val="center"/>
          </w:tcPr>
          <w:p w:rsidR="00055D41" w:rsidRPr="00055D41" w:rsidP="00055D41" w14:paraId="66105EF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0</w:t>
            </w:r>
          </w:p>
        </w:tc>
        <w:tc>
          <w:tcPr>
            <w:tcW w:w="1344" w:type="dxa"/>
            <w:tcBorders>
              <w:top w:val="single" w:sz="6" w:space="0" w:color="000000"/>
              <w:left w:val="single" w:sz="6" w:space="0" w:color="000000"/>
              <w:bottom w:val="single" w:sz="6" w:space="0" w:color="000000"/>
              <w:right w:val="single" w:sz="6" w:space="0" w:color="000000"/>
            </w:tcBorders>
            <w:vAlign w:val="center"/>
          </w:tcPr>
          <w:p w:rsidR="00055D41" w:rsidRPr="00055D41" w:rsidP="00055D41" w14:paraId="1D18E1C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12</w:t>
            </w:r>
          </w:p>
        </w:tc>
        <w:tc>
          <w:tcPr>
            <w:tcW w:w="2250" w:type="dxa"/>
            <w:tcBorders>
              <w:top w:val="single" w:sz="6" w:space="0" w:color="000000"/>
              <w:left w:val="single" w:sz="6" w:space="0" w:color="000000"/>
              <w:bottom w:val="single" w:sz="6" w:space="0" w:color="000000"/>
              <w:right w:val="single" w:sz="6" w:space="0" w:color="000000"/>
            </w:tcBorders>
            <w:vAlign w:val="center"/>
          </w:tcPr>
          <w:p w:rsidR="00055D41" w:rsidRPr="00055D41" w:rsidP="00055D41" w14:paraId="5E9B8A2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0</w:t>
            </w:r>
          </w:p>
        </w:tc>
        <w:tc>
          <w:tcPr>
            <w:tcW w:w="1890" w:type="dxa"/>
            <w:tcBorders>
              <w:top w:val="single" w:sz="6" w:space="0" w:color="000000"/>
              <w:left w:val="single" w:sz="6" w:space="0" w:color="000000"/>
              <w:bottom w:val="single" w:sz="6" w:space="0" w:color="000000"/>
              <w:right w:val="single" w:sz="6" w:space="0" w:color="000000"/>
            </w:tcBorders>
            <w:vAlign w:val="center"/>
          </w:tcPr>
          <w:p w:rsidR="00055D41" w:rsidRPr="00055D41" w:rsidP="00055D41" w14:paraId="100EFC3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0</w:t>
            </w:r>
          </w:p>
        </w:tc>
        <w:tc>
          <w:tcPr>
            <w:tcW w:w="1378" w:type="dxa"/>
            <w:tcBorders>
              <w:top w:val="single" w:sz="6" w:space="0" w:color="000000"/>
              <w:left w:val="single" w:sz="6" w:space="0" w:color="000000"/>
              <w:bottom w:val="single" w:sz="6" w:space="0" w:color="000000"/>
              <w:right w:val="single" w:sz="8" w:space="0" w:color="000000"/>
            </w:tcBorders>
            <w:vAlign w:val="center"/>
          </w:tcPr>
          <w:p w:rsidR="00055D41" w:rsidRPr="00055D41" w:rsidP="00055D41" w14:paraId="29EE96D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055D41">
              <w:rPr>
                <w:rFonts w:eastAsia="Times New Roman" w:cstheme="minorHAnsi"/>
                <w:color w:val="000000"/>
                <w:sz w:val="20"/>
                <w:szCs w:val="20"/>
                <w:u w:color="000000"/>
              </w:rPr>
              <w:t>12</w:t>
            </w:r>
          </w:p>
        </w:tc>
      </w:tr>
      <w:tr w14:paraId="00DA1A5D" w14:textId="77777777" w:rsidTr="00BB4D03">
        <w:tblPrEx>
          <w:tblW w:w="9359" w:type="dxa"/>
          <w:tblInd w:w="110" w:type="dxa"/>
          <w:tblLayout w:type="fixed"/>
          <w:tblCellMar>
            <w:left w:w="110" w:type="dxa"/>
            <w:right w:w="110" w:type="dxa"/>
          </w:tblCellMar>
          <w:tblLook w:val="0000"/>
        </w:tblPrEx>
        <w:tc>
          <w:tcPr>
            <w:tcW w:w="1051" w:type="dxa"/>
            <w:tcBorders>
              <w:top w:val="single" w:sz="6" w:space="0" w:color="000000"/>
              <w:left w:val="single" w:sz="8" w:space="0" w:color="000000"/>
              <w:bottom w:val="single" w:sz="8" w:space="0" w:color="000000"/>
              <w:right w:val="single" w:sz="6" w:space="0" w:color="000000"/>
            </w:tcBorders>
            <w:vAlign w:val="center"/>
          </w:tcPr>
          <w:p w:rsidR="00055D41" w:rsidRPr="00055D41" w:rsidP="00055D41" w14:paraId="3F3DA7A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rPr>
              <w:t>Average</w:t>
            </w:r>
          </w:p>
        </w:tc>
        <w:tc>
          <w:tcPr>
            <w:tcW w:w="1446" w:type="dxa"/>
            <w:tcBorders>
              <w:top w:val="single" w:sz="6" w:space="0" w:color="000000"/>
              <w:left w:val="single" w:sz="6" w:space="0" w:color="000000"/>
              <w:bottom w:val="single" w:sz="8" w:space="0" w:color="000000"/>
              <w:right w:val="single" w:sz="6" w:space="0" w:color="000000"/>
            </w:tcBorders>
            <w:vAlign w:val="center"/>
          </w:tcPr>
          <w:p w:rsidR="00055D41" w:rsidRPr="00055D41" w:rsidP="00055D41" w14:paraId="3B564B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u w:color="000000"/>
              </w:rPr>
              <w:t>0</w:t>
            </w:r>
          </w:p>
        </w:tc>
        <w:tc>
          <w:tcPr>
            <w:tcW w:w="1344" w:type="dxa"/>
            <w:tcBorders>
              <w:top w:val="single" w:sz="6" w:space="0" w:color="000000"/>
              <w:left w:val="single" w:sz="6" w:space="0" w:color="000000"/>
              <w:bottom w:val="single" w:sz="8" w:space="0" w:color="000000"/>
              <w:right w:val="single" w:sz="6" w:space="0" w:color="000000"/>
            </w:tcBorders>
            <w:vAlign w:val="center"/>
          </w:tcPr>
          <w:p w:rsidR="00055D41" w:rsidRPr="00055D41" w:rsidP="00055D41" w14:paraId="78A0004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u w:color="000000"/>
              </w:rPr>
              <w:t>12</w:t>
            </w:r>
          </w:p>
        </w:tc>
        <w:tc>
          <w:tcPr>
            <w:tcW w:w="2250" w:type="dxa"/>
            <w:tcBorders>
              <w:top w:val="single" w:sz="6" w:space="0" w:color="000000"/>
              <w:left w:val="single" w:sz="6" w:space="0" w:color="000000"/>
              <w:bottom w:val="single" w:sz="8" w:space="0" w:color="000000"/>
              <w:right w:val="single" w:sz="6" w:space="0" w:color="000000"/>
            </w:tcBorders>
            <w:vAlign w:val="center"/>
          </w:tcPr>
          <w:p w:rsidR="00055D41" w:rsidRPr="00055D41" w:rsidP="00055D41" w14:paraId="2D389F9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u w:color="000000"/>
              </w:rPr>
              <w:t>0</w:t>
            </w:r>
          </w:p>
        </w:tc>
        <w:tc>
          <w:tcPr>
            <w:tcW w:w="1890" w:type="dxa"/>
            <w:tcBorders>
              <w:top w:val="single" w:sz="6" w:space="0" w:color="000000"/>
              <w:left w:val="single" w:sz="6" w:space="0" w:color="000000"/>
              <w:bottom w:val="single" w:sz="8" w:space="0" w:color="000000"/>
              <w:right w:val="single" w:sz="6" w:space="0" w:color="000000"/>
            </w:tcBorders>
            <w:vAlign w:val="center"/>
          </w:tcPr>
          <w:p w:rsidR="00055D41" w:rsidRPr="00055D41" w:rsidP="00055D41" w14:paraId="704FCD1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u w:color="000000"/>
              </w:rPr>
              <w:t>0</w:t>
            </w:r>
          </w:p>
        </w:tc>
        <w:tc>
          <w:tcPr>
            <w:tcW w:w="1378" w:type="dxa"/>
            <w:tcBorders>
              <w:top w:val="single" w:sz="6" w:space="0" w:color="000000"/>
              <w:left w:val="single" w:sz="6" w:space="0" w:color="000000"/>
              <w:bottom w:val="single" w:sz="8" w:space="0" w:color="000000"/>
              <w:right w:val="single" w:sz="8" w:space="0" w:color="000000"/>
            </w:tcBorders>
            <w:vAlign w:val="center"/>
          </w:tcPr>
          <w:p w:rsidR="00055D41" w:rsidRPr="00055D41" w:rsidP="00055D41" w14:paraId="407C6FC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055D41">
              <w:rPr>
                <w:rFonts w:eastAsia="Times New Roman" w:cstheme="minorHAnsi"/>
                <w:b/>
                <w:bCs/>
                <w:color w:val="000000"/>
                <w:sz w:val="20"/>
                <w:szCs w:val="20"/>
                <w:u w:color="000000"/>
              </w:rPr>
              <w:t>12</w:t>
            </w:r>
          </w:p>
        </w:tc>
      </w:tr>
    </w:tbl>
    <w:p w:rsidR="007D31DB" w:rsidRPr="00C1308C" w:rsidP="007D31DB" w14:paraId="0ABA94D1" w14:textId="0690DD0C">
      <w:pPr>
        <w:spacing w:line="259" w:lineRule="auto"/>
        <w:ind w:left="0" w:firstLine="720"/>
        <w:rPr>
          <w:rFonts w:cstheme="minorHAnsi"/>
          <w:sz w:val="18"/>
          <w:szCs w:val="18"/>
        </w:rPr>
      </w:pPr>
      <w:r w:rsidRPr="00C1308C">
        <w:rPr>
          <w:rFonts w:cstheme="minorHAnsi"/>
          <w:sz w:val="18"/>
          <w:szCs w:val="18"/>
        </w:rPr>
        <w:t>1 New respondents include sources with constructed, reconstructed and modified affected facilities.</w:t>
      </w:r>
    </w:p>
    <w:p w:rsidR="00C1217D" w:rsidRPr="00C1308C" w:rsidP="00C1217D" w14:paraId="513D0387" w14:textId="32B8DA04">
      <w:pPr>
        <w:spacing w:line="259" w:lineRule="auto"/>
        <w:ind w:left="0" w:firstLine="720"/>
        <w:rPr>
          <w:rFonts w:cstheme="minorHAnsi"/>
        </w:rPr>
      </w:pPr>
      <w:r w:rsidRPr="00C1308C">
        <w:rPr>
          <w:rFonts w:cstheme="minorHAnsi"/>
        </w:rPr>
        <w:t>Column D is subtracted to avoid double-counting respondents. As shown above, the average Number of Respondents over the three-year period of this ICR is 12.</w:t>
      </w:r>
    </w:p>
    <w:p w:rsidR="00C1217D" w:rsidRPr="00C1308C" w:rsidP="00C1217D" w14:paraId="2CCDEFD4" w14:textId="7196BFC5">
      <w:pPr>
        <w:spacing w:line="259" w:lineRule="auto"/>
        <w:ind w:left="0" w:firstLine="720"/>
        <w:rPr>
          <w:rFonts w:cstheme="minorHAnsi"/>
        </w:rPr>
      </w:pPr>
      <w:r w:rsidRPr="00C1308C">
        <w:rPr>
          <w:rFonts w:cstheme="minorHAnsi"/>
        </w:rPr>
        <w:t>The total number of annual responses per year is calculated using the following table:</w:t>
      </w:r>
    </w:p>
    <w:tbl>
      <w:tblPr>
        <w:tblW w:w="936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569"/>
        <w:gridCol w:w="1350"/>
        <w:gridCol w:w="1170"/>
        <w:gridCol w:w="2070"/>
        <w:gridCol w:w="1201"/>
      </w:tblGrid>
      <w:tr w14:paraId="551458BC" w14:textId="77777777" w:rsidTr="009555B2">
        <w:tblPrEx>
          <w:tblW w:w="936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360" w:type="dxa"/>
            <w:gridSpan w:val="5"/>
          </w:tcPr>
          <w:p w:rsidR="00C1217D" w:rsidRPr="00C1217D" w:rsidP="00C1217D" w14:paraId="682B02B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C1217D">
              <w:rPr>
                <w:rFonts w:eastAsia="Times New Roman" w:cstheme="minorHAnsi"/>
                <w:b/>
                <w:bCs/>
                <w:color w:val="000000"/>
                <w:sz w:val="20"/>
                <w:szCs w:val="20"/>
              </w:rPr>
              <w:t>Total Annual Responses</w:t>
            </w:r>
          </w:p>
        </w:tc>
      </w:tr>
      <w:tr w14:paraId="01A4BE6D" w14:textId="77777777" w:rsidTr="002A785D">
        <w:tblPrEx>
          <w:tblW w:w="9360" w:type="dxa"/>
          <w:tblInd w:w="201" w:type="dxa"/>
          <w:tblLayout w:type="fixed"/>
          <w:tblCellMar>
            <w:left w:w="111" w:type="dxa"/>
            <w:right w:w="111" w:type="dxa"/>
          </w:tblCellMar>
          <w:tblLook w:val="0000"/>
        </w:tblPrEx>
        <w:tc>
          <w:tcPr>
            <w:tcW w:w="3569" w:type="dxa"/>
          </w:tcPr>
          <w:p w:rsidR="00C1217D" w:rsidRPr="00C1217D" w:rsidP="00C1217D" w14:paraId="0A836E3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C1217D">
              <w:rPr>
                <w:rFonts w:eastAsia="Times New Roman" w:cstheme="minorHAnsi"/>
                <w:b/>
                <w:bCs/>
                <w:color w:val="000000"/>
                <w:sz w:val="20"/>
                <w:szCs w:val="20"/>
              </w:rPr>
              <w:t>(A)</w:t>
            </w:r>
          </w:p>
          <w:p w:rsidR="00C1217D" w:rsidRPr="00C1217D" w:rsidP="00C1217D" w14:paraId="6F28FC7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p>
          <w:p w:rsidR="00C1217D" w:rsidRPr="00C1217D" w:rsidP="00C1217D" w14:paraId="126A471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C1217D">
              <w:rPr>
                <w:rFonts w:eastAsia="Times New Roman" w:cstheme="minorHAnsi"/>
                <w:b/>
                <w:bCs/>
                <w:color w:val="000000"/>
                <w:sz w:val="20"/>
                <w:szCs w:val="20"/>
              </w:rPr>
              <w:t>Information Collection Activity</w:t>
            </w:r>
          </w:p>
        </w:tc>
        <w:tc>
          <w:tcPr>
            <w:tcW w:w="1350" w:type="dxa"/>
          </w:tcPr>
          <w:p w:rsidR="00C1217D" w:rsidRPr="00C1217D" w:rsidP="00C1217D" w14:paraId="114C466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C1217D">
              <w:rPr>
                <w:rFonts w:eastAsia="Times New Roman" w:cstheme="minorHAnsi"/>
                <w:b/>
                <w:bCs/>
                <w:color w:val="000000"/>
                <w:sz w:val="20"/>
                <w:szCs w:val="20"/>
              </w:rPr>
              <w:t>(B)</w:t>
            </w:r>
          </w:p>
          <w:p w:rsidR="00C1217D" w:rsidRPr="00C1217D" w:rsidP="00C1217D" w14:paraId="3634FD4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p>
          <w:p w:rsidR="00C1217D" w:rsidRPr="00C1217D" w:rsidP="00C1217D" w14:paraId="29E5B1A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C1217D">
              <w:rPr>
                <w:rFonts w:eastAsia="Times New Roman" w:cstheme="minorHAnsi"/>
                <w:b/>
                <w:bCs/>
                <w:color w:val="000000"/>
                <w:sz w:val="20"/>
                <w:szCs w:val="20"/>
              </w:rPr>
              <w:t>Number of Respondents</w:t>
            </w:r>
          </w:p>
        </w:tc>
        <w:tc>
          <w:tcPr>
            <w:tcW w:w="1170" w:type="dxa"/>
          </w:tcPr>
          <w:p w:rsidR="00C1217D" w:rsidRPr="00C1217D" w:rsidP="00C1217D" w14:paraId="05E9C8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C1217D">
              <w:rPr>
                <w:rFonts w:eastAsia="Times New Roman" w:cstheme="minorHAnsi"/>
                <w:b/>
                <w:bCs/>
                <w:color w:val="000000"/>
                <w:sz w:val="20"/>
                <w:szCs w:val="20"/>
              </w:rPr>
              <w:t>(C)</w:t>
            </w:r>
          </w:p>
          <w:p w:rsidR="00C1217D" w:rsidRPr="00C1217D" w:rsidP="00C1217D" w14:paraId="74C267E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p>
          <w:p w:rsidR="00C1217D" w:rsidRPr="00C1217D" w:rsidP="00C1217D" w14:paraId="6118270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C1217D">
              <w:rPr>
                <w:rFonts w:eastAsia="Times New Roman" w:cstheme="minorHAnsi"/>
                <w:b/>
                <w:bCs/>
                <w:color w:val="000000"/>
                <w:sz w:val="20"/>
                <w:szCs w:val="20"/>
              </w:rPr>
              <w:t>Number of Responses</w:t>
            </w:r>
          </w:p>
        </w:tc>
        <w:tc>
          <w:tcPr>
            <w:tcW w:w="2070" w:type="dxa"/>
          </w:tcPr>
          <w:p w:rsidR="00C1217D" w:rsidRPr="00C1217D" w:rsidP="00C1217D" w14:paraId="5B8968D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C1217D">
              <w:rPr>
                <w:rFonts w:eastAsia="Times New Roman" w:cstheme="minorHAnsi"/>
                <w:b/>
                <w:bCs/>
                <w:color w:val="000000"/>
                <w:sz w:val="20"/>
                <w:szCs w:val="20"/>
              </w:rPr>
              <w:t>(D)</w:t>
            </w:r>
          </w:p>
          <w:p w:rsidR="00C1217D" w:rsidRPr="00C1217D" w:rsidP="00C1217D" w14:paraId="4187416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C1217D">
              <w:rPr>
                <w:rFonts w:eastAsia="Times New Roman" w:cstheme="minorHAnsi"/>
                <w:b/>
                <w:bCs/>
                <w:color w:val="000000"/>
                <w:sz w:val="20"/>
                <w:szCs w:val="20"/>
              </w:rPr>
              <w:t>Number of Existing Respondents That Keep Records But Do Not Submit Reports</w:t>
            </w:r>
          </w:p>
        </w:tc>
        <w:tc>
          <w:tcPr>
            <w:tcW w:w="1201" w:type="dxa"/>
          </w:tcPr>
          <w:p w:rsidR="00C1217D" w:rsidRPr="00C1217D" w:rsidP="00C1217D" w14:paraId="62F22C7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lang w:val="pt-BR"/>
              </w:rPr>
            </w:pPr>
            <w:r w:rsidRPr="00C1217D">
              <w:rPr>
                <w:rFonts w:eastAsia="Times New Roman" w:cstheme="minorHAnsi"/>
                <w:b/>
                <w:bCs/>
                <w:color w:val="000000"/>
                <w:sz w:val="20"/>
                <w:szCs w:val="20"/>
                <w:lang w:val="pt-BR"/>
              </w:rPr>
              <w:t>(E)</w:t>
            </w:r>
          </w:p>
          <w:p w:rsidR="00C1217D" w:rsidRPr="00C1217D" w:rsidP="00C1217D" w14:paraId="7FA1B09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lang w:val="pt-BR"/>
              </w:rPr>
            </w:pPr>
            <w:r w:rsidRPr="00C1217D">
              <w:rPr>
                <w:rFonts w:eastAsia="Times New Roman" w:cstheme="minorHAnsi"/>
                <w:b/>
                <w:bCs/>
                <w:color w:val="000000"/>
                <w:sz w:val="20"/>
                <w:szCs w:val="20"/>
                <w:lang w:val="pt-BR"/>
              </w:rPr>
              <w:t>Total Annual Responses</w:t>
            </w:r>
          </w:p>
          <w:p w:rsidR="00C1217D" w:rsidRPr="00C1217D" w:rsidP="00C1217D" w14:paraId="78FF9FD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lang w:val="pt-BR"/>
              </w:rPr>
            </w:pPr>
            <w:r w:rsidRPr="00C1217D">
              <w:rPr>
                <w:rFonts w:eastAsia="Times New Roman" w:cstheme="minorHAnsi"/>
                <w:b/>
                <w:bCs/>
                <w:color w:val="000000"/>
                <w:sz w:val="20"/>
                <w:szCs w:val="20"/>
                <w:lang w:val="pt-BR"/>
              </w:rPr>
              <w:t>E=(BxC)+D</w:t>
            </w:r>
          </w:p>
        </w:tc>
      </w:tr>
      <w:tr w14:paraId="34364E09"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282A06A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C1217D">
              <w:rPr>
                <w:rFonts w:eastAsia="Times New Roman" w:cstheme="minorHAnsi"/>
                <w:sz w:val="20"/>
                <w:szCs w:val="20"/>
              </w:rPr>
              <w:t>Notification of compliance status</w:t>
            </w:r>
          </w:p>
        </w:tc>
        <w:tc>
          <w:tcPr>
            <w:tcW w:w="1350" w:type="dxa"/>
            <w:vAlign w:val="center"/>
          </w:tcPr>
          <w:p w:rsidR="00C1217D" w:rsidRPr="00C1217D" w:rsidP="00C1217D" w14:paraId="6F4F2C0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c>
          <w:tcPr>
            <w:tcW w:w="1170" w:type="dxa"/>
            <w:vAlign w:val="center"/>
          </w:tcPr>
          <w:p w:rsidR="00C1217D" w:rsidRPr="00C1217D" w:rsidP="00C1217D" w14:paraId="4B5A218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1</w:t>
            </w:r>
          </w:p>
        </w:tc>
        <w:tc>
          <w:tcPr>
            <w:tcW w:w="2070" w:type="dxa"/>
            <w:vAlign w:val="center"/>
          </w:tcPr>
          <w:p w:rsidR="00C1217D" w:rsidRPr="00C1217D" w:rsidP="00C1217D" w14:paraId="5BC5848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c>
          <w:tcPr>
            <w:tcW w:w="1201" w:type="dxa"/>
            <w:vAlign w:val="center"/>
          </w:tcPr>
          <w:p w:rsidR="00C1217D" w:rsidRPr="00C1217D" w:rsidP="00C1217D" w14:paraId="4379D6E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r>
      <w:tr w14:paraId="1CD91A3D"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225C7B4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C1217D">
              <w:rPr>
                <w:rFonts w:eastAsia="Times New Roman" w:cstheme="minorHAnsi"/>
                <w:sz w:val="20"/>
                <w:szCs w:val="20"/>
              </w:rPr>
              <w:t>Notification/application of construction</w:t>
            </w:r>
          </w:p>
        </w:tc>
        <w:tc>
          <w:tcPr>
            <w:tcW w:w="1350" w:type="dxa"/>
            <w:vAlign w:val="center"/>
          </w:tcPr>
          <w:p w:rsidR="00C1217D" w:rsidRPr="00C1217D" w:rsidP="00C1217D" w14:paraId="50F100C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c>
          <w:tcPr>
            <w:tcW w:w="1170" w:type="dxa"/>
            <w:vAlign w:val="center"/>
          </w:tcPr>
          <w:p w:rsidR="00C1217D" w:rsidRPr="00C1217D" w:rsidP="00C1217D" w14:paraId="48B75A16" w14:textId="77777777">
            <w:pPr>
              <w:keepNext/>
              <w:keepLines/>
              <w:widowControl w:val="0"/>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1</w:t>
            </w:r>
          </w:p>
        </w:tc>
        <w:tc>
          <w:tcPr>
            <w:tcW w:w="2070" w:type="dxa"/>
            <w:vAlign w:val="center"/>
          </w:tcPr>
          <w:p w:rsidR="00C1217D" w:rsidRPr="00C1217D" w:rsidP="00C1217D" w14:paraId="3D07D3A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c>
          <w:tcPr>
            <w:tcW w:w="1201" w:type="dxa"/>
            <w:vAlign w:val="center"/>
          </w:tcPr>
          <w:p w:rsidR="00C1217D" w:rsidRPr="00C1217D" w:rsidP="00C1217D" w14:paraId="704EDF4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r>
      <w:tr w14:paraId="363BF76D"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4FD04F7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C1217D">
              <w:rPr>
                <w:rFonts w:eastAsia="Times New Roman" w:cstheme="minorHAnsi"/>
                <w:sz w:val="20"/>
                <w:szCs w:val="20"/>
              </w:rPr>
              <w:t xml:space="preserve">Notification of actual startup </w:t>
            </w:r>
          </w:p>
        </w:tc>
        <w:tc>
          <w:tcPr>
            <w:tcW w:w="1350" w:type="dxa"/>
            <w:vAlign w:val="center"/>
          </w:tcPr>
          <w:p w:rsidR="00C1217D" w:rsidRPr="00C1217D" w:rsidP="00C1217D" w14:paraId="0585F9C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c>
          <w:tcPr>
            <w:tcW w:w="1170" w:type="dxa"/>
            <w:vAlign w:val="center"/>
          </w:tcPr>
          <w:p w:rsidR="00C1217D" w:rsidRPr="00C1217D" w:rsidP="00C1217D" w14:paraId="7FCCF85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1</w:t>
            </w:r>
          </w:p>
        </w:tc>
        <w:tc>
          <w:tcPr>
            <w:tcW w:w="2070" w:type="dxa"/>
            <w:vAlign w:val="center"/>
          </w:tcPr>
          <w:p w:rsidR="00C1217D" w:rsidRPr="00C1217D" w:rsidP="00C1217D" w14:paraId="755F739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c>
          <w:tcPr>
            <w:tcW w:w="1201" w:type="dxa"/>
            <w:vAlign w:val="center"/>
          </w:tcPr>
          <w:p w:rsidR="00C1217D" w:rsidRPr="00C1217D" w:rsidP="00C1217D" w14:paraId="69E2A0B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r>
      <w:tr w14:paraId="7B7EC1A7"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358FE8D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C1217D">
              <w:rPr>
                <w:rFonts w:eastAsia="Times New Roman" w:cstheme="minorHAnsi"/>
                <w:sz w:val="20"/>
                <w:szCs w:val="20"/>
              </w:rPr>
              <w:t>Notification of performance test and test plan</w:t>
            </w:r>
          </w:p>
        </w:tc>
        <w:tc>
          <w:tcPr>
            <w:tcW w:w="1350" w:type="dxa"/>
            <w:vAlign w:val="center"/>
          </w:tcPr>
          <w:p w:rsidR="00C1217D" w:rsidRPr="00C1217D" w:rsidP="00C1217D" w14:paraId="6CE53F1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c>
          <w:tcPr>
            <w:tcW w:w="1170" w:type="dxa"/>
            <w:vAlign w:val="center"/>
          </w:tcPr>
          <w:p w:rsidR="00C1217D" w:rsidRPr="00C1217D" w:rsidP="00C1217D" w14:paraId="31B19F1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1</w:t>
            </w:r>
          </w:p>
        </w:tc>
        <w:tc>
          <w:tcPr>
            <w:tcW w:w="2070" w:type="dxa"/>
            <w:vAlign w:val="center"/>
          </w:tcPr>
          <w:p w:rsidR="00C1217D" w:rsidRPr="00C1217D" w:rsidP="00C1217D" w14:paraId="0631BB8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c>
          <w:tcPr>
            <w:tcW w:w="1201" w:type="dxa"/>
            <w:vAlign w:val="center"/>
          </w:tcPr>
          <w:p w:rsidR="00C1217D" w:rsidRPr="00C1217D" w:rsidP="00C1217D" w14:paraId="3CF4196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r>
      <w:tr w14:paraId="70BA19DF"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48D829F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1</w:t>
            </w:r>
            <w:r w:rsidRPr="00C1217D">
              <w:rPr>
                <w:rFonts w:eastAsia="Times New Roman" w:cstheme="minorHAnsi"/>
                <w:sz w:val="20"/>
                <w:szCs w:val="20"/>
              </w:rPr>
              <w:t xml:space="preserve"> </w:t>
            </w:r>
          </w:p>
        </w:tc>
        <w:tc>
          <w:tcPr>
            <w:tcW w:w="1350" w:type="dxa"/>
            <w:vAlign w:val="center"/>
          </w:tcPr>
          <w:p w:rsidR="00C1217D" w:rsidRPr="00C1217D" w:rsidP="00C1217D" w14:paraId="27CDC93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4.8</w:t>
            </w:r>
          </w:p>
        </w:tc>
        <w:tc>
          <w:tcPr>
            <w:tcW w:w="1170" w:type="dxa"/>
            <w:vAlign w:val="center"/>
          </w:tcPr>
          <w:p w:rsidR="00C1217D" w:rsidRPr="00C1217D" w:rsidP="00C1217D" w14:paraId="1CACDB1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1</w:t>
            </w:r>
          </w:p>
        </w:tc>
        <w:tc>
          <w:tcPr>
            <w:tcW w:w="2070" w:type="dxa"/>
            <w:vAlign w:val="center"/>
          </w:tcPr>
          <w:p w:rsidR="00C1217D" w:rsidRPr="00C1217D" w:rsidP="00C1217D" w14:paraId="2E5E876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c>
          <w:tcPr>
            <w:tcW w:w="1201" w:type="dxa"/>
            <w:vAlign w:val="center"/>
          </w:tcPr>
          <w:p w:rsidR="00C1217D" w:rsidRPr="00C1217D" w:rsidP="00C1217D" w14:paraId="7B7C75A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4.8</w:t>
            </w:r>
          </w:p>
        </w:tc>
      </w:tr>
      <w:tr w14:paraId="67E0887C"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2E7F859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2</w:t>
            </w:r>
          </w:p>
        </w:tc>
        <w:tc>
          <w:tcPr>
            <w:tcW w:w="1350" w:type="dxa"/>
            <w:vAlign w:val="center"/>
          </w:tcPr>
          <w:p w:rsidR="00C1217D" w:rsidRPr="00C1217D" w:rsidP="00C1217D" w14:paraId="6D35866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2.4</w:t>
            </w:r>
          </w:p>
        </w:tc>
        <w:tc>
          <w:tcPr>
            <w:tcW w:w="1170" w:type="dxa"/>
            <w:vAlign w:val="center"/>
          </w:tcPr>
          <w:p w:rsidR="00C1217D" w:rsidRPr="00C1217D" w:rsidP="00C1217D" w14:paraId="39727B0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77E7AD5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tcPr>
          <w:p w:rsidR="00C1217D" w:rsidRPr="00C1217D" w:rsidP="00C1217D" w14:paraId="0DF0BF1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2.4</w:t>
            </w:r>
          </w:p>
        </w:tc>
      </w:tr>
      <w:tr w14:paraId="330E840E"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2BE0EBC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3</w:t>
            </w:r>
          </w:p>
        </w:tc>
        <w:tc>
          <w:tcPr>
            <w:tcW w:w="1350" w:type="dxa"/>
            <w:vAlign w:val="center"/>
          </w:tcPr>
          <w:p w:rsidR="00C1217D" w:rsidRPr="00C1217D" w:rsidP="00C1217D" w14:paraId="6EC2900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2.4</w:t>
            </w:r>
          </w:p>
        </w:tc>
        <w:tc>
          <w:tcPr>
            <w:tcW w:w="1170" w:type="dxa"/>
            <w:vAlign w:val="center"/>
          </w:tcPr>
          <w:p w:rsidR="00C1217D" w:rsidRPr="00C1217D" w:rsidP="00C1217D" w14:paraId="391D439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32B72E9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tcPr>
          <w:p w:rsidR="00C1217D" w:rsidRPr="00C1217D" w:rsidP="00C1217D" w14:paraId="3883CAF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2.4</w:t>
            </w:r>
          </w:p>
        </w:tc>
      </w:tr>
      <w:tr w14:paraId="675D9E54"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4EECDF8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4</w:t>
            </w:r>
          </w:p>
        </w:tc>
        <w:tc>
          <w:tcPr>
            <w:tcW w:w="1350" w:type="dxa"/>
            <w:vAlign w:val="center"/>
          </w:tcPr>
          <w:p w:rsidR="00C1217D" w:rsidRPr="00C1217D" w:rsidP="00C1217D" w14:paraId="7047509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2.4</w:t>
            </w:r>
          </w:p>
        </w:tc>
        <w:tc>
          <w:tcPr>
            <w:tcW w:w="1170" w:type="dxa"/>
            <w:vAlign w:val="center"/>
          </w:tcPr>
          <w:p w:rsidR="00C1217D" w:rsidRPr="00C1217D" w:rsidP="00C1217D" w14:paraId="7AEAE2C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200AE24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tcPr>
          <w:p w:rsidR="00C1217D" w:rsidRPr="00C1217D" w:rsidP="00C1217D" w14:paraId="5C98A77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2.4</w:t>
            </w:r>
          </w:p>
        </w:tc>
      </w:tr>
      <w:tr w14:paraId="3F5140B7"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0D8FE06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5</w:t>
            </w:r>
          </w:p>
        </w:tc>
        <w:tc>
          <w:tcPr>
            <w:tcW w:w="1350" w:type="dxa"/>
            <w:vAlign w:val="center"/>
          </w:tcPr>
          <w:p w:rsidR="00C1217D" w:rsidRPr="00C1217D" w:rsidP="00C1217D" w14:paraId="63A0616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1.4</w:t>
            </w:r>
          </w:p>
        </w:tc>
        <w:tc>
          <w:tcPr>
            <w:tcW w:w="1170" w:type="dxa"/>
            <w:vAlign w:val="center"/>
          </w:tcPr>
          <w:p w:rsidR="00C1217D" w:rsidRPr="00C1217D" w:rsidP="00C1217D" w14:paraId="1AC576A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24667E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0B11A77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1.4</w:t>
            </w:r>
          </w:p>
        </w:tc>
      </w:tr>
      <w:tr w14:paraId="0E07F005"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2B2C7BD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6</w:t>
            </w:r>
          </w:p>
        </w:tc>
        <w:tc>
          <w:tcPr>
            <w:tcW w:w="1350" w:type="dxa"/>
            <w:vAlign w:val="center"/>
          </w:tcPr>
          <w:p w:rsidR="00C1217D" w:rsidRPr="00C1217D" w:rsidP="00C1217D" w14:paraId="64975B9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1.4</w:t>
            </w:r>
          </w:p>
        </w:tc>
        <w:tc>
          <w:tcPr>
            <w:tcW w:w="1170" w:type="dxa"/>
            <w:vAlign w:val="center"/>
          </w:tcPr>
          <w:p w:rsidR="00C1217D" w:rsidRPr="00C1217D" w:rsidP="00C1217D" w14:paraId="1DA0A49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36D60ED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4D032DF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1.4</w:t>
            </w:r>
          </w:p>
        </w:tc>
      </w:tr>
      <w:tr w14:paraId="0A5B7A88"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618FB0A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7</w:t>
            </w:r>
          </w:p>
        </w:tc>
        <w:tc>
          <w:tcPr>
            <w:tcW w:w="1350" w:type="dxa"/>
            <w:vAlign w:val="center"/>
          </w:tcPr>
          <w:p w:rsidR="00C1217D" w:rsidRPr="00C1217D" w:rsidP="00C1217D" w14:paraId="6077EEE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1.4</w:t>
            </w:r>
          </w:p>
        </w:tc>
        <w:tc>
          <w:tcPr>
            <w:tcW w:w="1170" w:type="dxa"/>
            <w:vAlign w:val="center"/>
          </w:tcPr>
          <w:p w:rsidR="00C1217D" w:rsidRPr="00C1217D" w:rsidP="00C1217D" w14:paraId="7414C24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5B6EC82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44018BC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1.4</w:t>
            </w:r>
          </w:p>
        </w:tc>
      </w:tr>
      <w:tr w14:paraId="5C7BB282"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727859D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8</w:t>
            </w:r>
          </w:p>
        </w:tc>
        <w:tc>
          <w:tcPr>
            <w:tcW w:w="1350" w:type="dxa"/>
            <w:vAlign w:val="center"/>
          </w:tcPr>
          <w:p w:rsidR="00C1217D" w:rsidRPr="00C1217D" w:rsidP="00C1217D" w14:paraId="0E1B944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0.8</w:t>
            </w:r>
          </w:p>
        </w:tc>
        <w:tc>
          <w:tcPr>
            <w:tcW w:w="1170" w:type="dxa"/>
            <w:vAlign w:val="center"/>
          </w:tcPr>
          <w:p w:rsidR="00C1217D" w:rsidRPr="00C1217D" w:rsidP="00C1217D" w14:paraId="5314355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494F4AB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01F2D90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0.8</w:t>
            </w:r>
          </w:p>
        </w:tc>
      </w:tr>
      <w:tr w14:paraId="5D83D917"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107C197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9</w:t>
            </w:r>
          </w:p>
        </w:tc>
        <w:tc>
          <w:tcPr>
            <w:tcW w:w="1350" w:type="dxa"/>
            <w:vAlign w:val="center"/>
          </w:tcPr>
          <w:p w:rsidR="00C1217D" w:rsidRPr="00C1217D" w:rsidP="00C1217D" w14:paraId="03E8EA5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0.8</w:t>
            </w:r>
          </w:p>
        </w:tc>
        <w:tc>
          <w:tcPr>
            <w:tcW w:w="1170" w:type="dxa"/>
            <w:vAlign w:val="center"/>
          </w:tcPr>
          <w:p w:rsidR="00C1217D" w:rsidRPr="00C1217D" w:rsidP="00C1217D" w14:paraId="1972700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5640C2B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0D7BB2B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0.8</w:t>
            </w:r>
          </w:p>
        </w:tc>
      </w:tr>
      <w:tr w14:paraId="28717060"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262C338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10</w:t>
            </w:r>
          </w:p>
        </w:tc>
        <w:tc>
          <w:tcPr>
            <w:tcW w:w="1350" w:type="dxa"/>
            <w:vAlign w:val="center"/>
          </w:tcPr>
          <w:p w:rsidR="00C1217D" w:rsidRPr="00C1217D" w:rsidP="00C1217D" w14:paraId="08C28D2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0.8</w:t>
            </w:r>
          </w:p>
        </w:tc>
        <w:tc>
          <w:tcPr>
            <w:tcW w:w="1170" w:type="dxa"/>
            <w:vAlign w:val="center"/>
          </w:tcPr>
          <w:p w:rsidR="00C1217D" w:rsidRPr="00C1217D" w:rsidP="00C1217D" w14:paraId="2AADDE5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6B37B34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52E4A3E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0.8</w:t>
            </w:r>
          </w:p>
        </w:tc>
      </w:tr>
      <w:tr w14:paraId="690F484E"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22F0CBF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11</w:t>
            </w:r>
          </w:p>
        </w:tc>
        <w:tc>
          <w:tcPr>
            <w:tcW w:w="1350" w:type="dxa"/>
            <w:vAlign w:val="center"/>
          </w:tcPr>
          <w:p w:rsidR="00C1217D" w:rsidRPr="00C1217D" w:rsidP="00C1217D" w14:paraId="0ACDD2A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0.8</w:t>
            </w:r>
          </w:p>
        </w:tc>
        <w:tc>
          <w:tcPr>
            <w:tcW w:w="1170" w:type="dxa"/>
            <w:vAlign w:val="center"/>
          </w:tcPr>
          <w:p w:rsidR="00C1217D" w:rsidRPr="00C1217D" w:rsidP="00C1217D" w14:paraId="1517C15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4B60EA9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60138CD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0.8</w:t>
            </w:r>
          </w:p>
        </w:tc>
      </w:tr>
      <w:tr w14:paraId="5A181F27"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0A55D29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12</w:t>
            </w:r>
          </w:p>
        </w:tc>
        <w:tc>
          <w:tcPr>
            <w:tcW w:w="1350" w:type="dxa"/>
            <w:vAlign w:val="center"/>
          </w:tcPr>
          <w:p w:rsidR="00C1217D" w:rsidRPr="00C1217D" w:rsidP="00C1217D" w14:paraId="197DE20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1170" w:type="dxa"/>
            <w:vAlign w:val="center"/>
          </w:tcPr>
          <w:p w:rsidR="00C1217D" w:rsidRPr="00C1217D" w:rsidP="00C1217D" w14:paraId="0D54C5D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0837864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5527273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r>
      <w:tr w14:paraId="6300E53B"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6A70018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13</w:t>
            </w:r>
          </w:p>
        </w:tc>
        <w:tc>
          <w:tcPr>
            <w:tcW w:w="1350" w:type="dxa"/>
            <w:vAlign w:val="center"/>
          </w:tcPr>
          <w:p w:rsidR="00C1217D" w:rsidRPr="00C1217D" w:rsidP="00C1217D" w14:paraId="65F729C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1170" w:type="dxa"/>
            <w:vAlign w:val="center"/>
          </w:tcPr>
          <w:p w:rsidR="00C1217D" w:rsidRPr="00C1217D" w:rsidP="00C1217D" w14:paraId="560B792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1134E68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357BA1F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r>
      <w:tr w14:paraId="4A02E268"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3466EF3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14</w:t>
            </w:r>
          </w:p>
        </w:tc>
        <w:tc>
          <w:tcPr>
            <w:tcW w:w="1350" w:type="dxa"/>
            <w:vAlign w:val="center"/>
          </w:tcPr>
          <w:p w:rsidR="00C1217D" w:rsidRPr="00C1217D" w:rsidP="00C1217D" w14:paraId="6BF4B2B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1170" w:type="dxa"/>
            <w:vAlign w:val="center"/>
          </w:tcPr>
          <w:p w:rsidR="00C1217D" w:rsidRPr="00C1217D" w:rsidP="00C1217D" w14:paraId="257972E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3F3A8A3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43D47E6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r>
      <w:tr w14:paraId="756DA927"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6BB47C3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15</w:t>
            </w:r>
          </w:p>
        </w:tc>
        <w:tc>
          <w:tcPr>
            <w:tcW w:w="1350" w:type="dxa"/>
            <w:vAlign w:val="center"/>
          </w:tcPr>
          <w:p w:rsidR="00C1217D" w:rsidRPr="00C1217D" w:rsidP="00C1217D" w14:paraId="060DE19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1170" w:type="dxa"/>
            <w:vAlign w:val="center"/>
          </w:tcPr>
          <w:p w:rsidR="00C1217D" w:rsidRPr="00C1217D" w:rsidP="00C1217D" w14:paraId="5D93F35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0FEBEF4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6947755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r>
      <w:tr w14:paraId="50DA702A"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0AFF247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sz w:val="20"/>
                <w:szCs w:val="20"/>
              </w:rPr>
            </w:pPr>
            <w:r w:rsidRPr="00C1217D">
              <w:rPr>
                <w:rFonts w:eastAsia="Times New Roman" w:cstheme="minorHAnsi"/>
                <w:sz w:val="20"/>
                <w:szCs w:val="20"/>
              </w:rPr>
              <w:t>Report of performance test results</w:t>
            </w:r>
            <w:r w:rsidRPr="00C1217D">
              <w:rPr>
                <w:rFonts w:eastAsia="Times New Roman" w:cstheme="minorHAnsi"/>
                <w:sz w:val="20"/>
                <w:szCs w:val="20"/>
                <w:vertAlign w:val="superscript"/>
              </w:rPr>
              <w:t>16</w:t>
            </w:r>
          </w:p>
        </w:tc>
        <w:tc>
          <w:tcPr>
            <w:tcW w:w="1350" w:type="dxa"/>
            <w:vAlign w:val="center"/>
          </w:tcPr>
          <w:p w:rsidR="00C1217D" w:rsidRPr="00C1217D" w:rsidP="00C1217D" w14:paraId="7927E23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1170" w:type="dxa"/>
            <w:vAlign w:val="center"/>
          </w:tcPr>
          <w:p w:rsidR="00C1217D" w:rsidRPr="00C1217D" w:rsidP="00C1217D" w14:paraId="0A1D6BA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c>
          <w:tcPr>
            <w:tcW w:w="2070" w:type="dxa"/>
          </w:tcPr>
          <w:p w:rsidR="00C1217D" w:rsidRPr="00C1217D" w:rsidP="00C1217D" w14:paraId="25B70D2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0</w:t>
            </w:r>
          </w:p>
        </w:tc>
        <w:tc>
          <w:tcPr>
            <w:tcW w:w="1201" w:type="dxa"/>
            <w:vAlign w:val="center"/>
          </w:tcPr>
          <w:p w:rsidR="00C1217D" w:rsidRPr="00C1217D" w:rsidP="00C1217D" w14:paraId="7A8163B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sz w:val="20"/>
                <w:szCs w:val="20"/>
              </w:rPr>
            </w:pPr>
            <w:r w:rsidRPr="00C1217D">
              <w:rPr>
                <w:rFonts w:eastAsia="Times New Roman" w:cstheme="minorHAnsi"/>
                <w:sz w:val="20"/>
                <w:szCs w:val="20"/>
              </w:rPr>
              <w:t>1</w:t>
            </w:r>
          </w:p>
        </w:tc>
      </w:tr>
      <w:tr w14:paraId="4B1FC155"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670DE6A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C1217D">
              <w:rPr>
                <w:rFonts w:eastAsia="Times New Roman" w:cstheme="minorHAnsi"/>
                <w:sz w:val="20"/>
                <w:szCs w:val="20"/>
              </w:rPr>
              <w:t xml:space="preserve">Report of semiannual compliance reports  </w:t>
            </w:r>
          </w:p>
        </w:tc>
        <w:tc>
          <w:tcPr>
            <w:tcW w:w="1350" w:type="dxa"/>
            <w:vAlign w:val="center"/>
          </w:tcPr>
          <w:p w:rsidR="00C1217D" w:rsidRPr="00C1217D" w:rsidP="00C1217D" w14:paraId="1B55937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12</w:t>
            </w:r>
          </w:p>
        </w:tc>
        <w:tc>
          <w:tcPr>
            <w:tcW w:w="1170" w:type="dxa"/>
            <w:vAlign w:val="center"/>
          </w:tcPr>
          <w:p w:rsidR="00C1217D" w:rsidRPr="00C1217D" w:rsidP="00C1217D" w14:paraId="3D081CE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2</w:t>
            </w:r>
          </w:p>
        </w:tc>
        <w:tc>
          <w:tcPr>
            <w:tcW w:w="2070" w:type="dxa"/>
            <w:vAlign w:val="center"/>
          </w:tcPr>
          <w:p w:rsidR="00C1217D" w:rsidRPr="00C1217D" w:rsidP="00C1217D" w14:paraId="7B4A3C8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c>
          <w:tcPr>
            <w:tcW w:w="1201" w:type="dxa"/>
            <w:vAlign w:val="center"/>
          </w:tcPr>
          <w:p w:rsidR="00C1217D" w:rsidRPr="00C1217D" w:rsidP="00C1217D" w14:paraId="6A01337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24</w:t>
            </w:r>
          </w:p>
        </w:tc>
      </w:tr>
      <w:tr w14:paraId="0CF77F5D"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1C48ABB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C1217D">
              <w:rPr>
                <w:rFonts w:eastAsia="Times New Roman" w:cstheme="minorHAnsi"/>
                <w:sz w:val="20"/>
                <w:szCs w:val="20"/>
              </w:rPr>
              <w:t>Report of quarterly compliance reports</w:t>
            </w:r>
            <w:r w:rsidRPr="00C1217D">
              <w:rPr>
                <w:rFonts w:eastAsia="Times New Roman" w:cstheme="minorHAnsi"/>
                <w:sz w:val="20"/>
                <w:szCs w:val="20"/>
                <w:vertAlign w:val="superscript"/>
              </w:rPr>
              <w:t>17</w:t>
            </w:r>
          </w:p>
        </w:tc>
        <w:tc>
          <w:tcPr>
            <w:tcW w:w="1350" w:type="dxa"/>
            <w:vAlign w:val="center"/>
          </w:tcPr>
          <w:p w:rsidR="00C1217D" w:rsidRPr="00C1217D" w:rsidP="00C1217D" w14:paraId="2AEFD95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7</w:t>
            </w:r>
          </w:p>
        </w:tc>
        <w:tc>
          <w:tcPr>
            <w:tcW w:w="1170" w:type="dxa"/>
            <w:vAlign w:val="center"/>
          </w:tcPr>
          <w:p w:rsidR="00C1217D" w:rsidRPr="00C1217D" w:rsidP="00C1217D" w14:paraId="4E723E0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4</w:t>
            </w:r>
          </w:p>
        </w:tc>
        <w:tc>
          <w:tcPr>
            <w:tcW w:w="2070" w:type="dxa"/>
            <w:vAlign w:val="center"/>
          </w:tcPr>
          <w:p w:rsidR="00C1217D" w:rsidRPr="00C1217D" w:rsidP="00C1217D" w14:paraId="0FC2F88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0</w:t>
            </w:r>
          </w:p>
        </w:tc>
        <w:tc>
          <w:tcPr>
            <w:tcW w:w="1201" w:type="dxa"/>
            <w:vAlign w:val="center"/>
          </w:tcPr>
          <w:p w:rsidR="00C1217D" w:rsidRPr="00C1217D" w:rsidP="00C1217D" w14:paraId="45C40B6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sz w:val="20"/>
                <w:szCs w:val="20"/>
              </w:rPr>
              <w:t>28</w:t>
            </w:r>
          </w:p>
        </w:tc>
      </w:tr>
      <w:tr w14:paraId="656C37FF" w14:textId="77777777" w:rsidTr="002A785D">
        <w:tblPrEx>
          <w:tblW w:w="9360" w:type="dxa"/>
          <w:tblInd w:w="201" w:type="dxa"/>
          <w:tblLayout w:type="fixed"/>
          <w:tblCellMar>
            <w:left w:w="111" w:type="dxa"/>
            <w:right w:w="111" w:type="dxa"/>
          </w:tblCellMar>
          <w:tblLook w:val="0000"/>
        </w:tblPrEx>
        <w:trPr>
          <w:trHeight w:val="366"/>
        </w:trPr>
        <w:tc>
          <w:tcPr>
            <w:tcW w:w="3569" w:type="dxa"/>
            <w:vAlign w:val="center"/>
          </w:tcPr>
          <w:p w:rsidR="00C1217D" w:rsidRPr="00C1217D" w:rsidP="00C1217D" w14:paraId="0DDDC4B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p>
        </w:tc>
        <w:tc>
          <w:tcPr>
            <w:tcW w:w="1350" w:type="dxa"/>
            <w:vAlign w:val="center"/>
          </w:tcPr>
          <w:p w:rsidR="00C1217D" w:rsidRPr="00C1217D" w:rsidP="00C1217D" w14:paraId="0FCF6CB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p>
        </w:tc>
        <w:tc>
          <w:tcPr>
            <w:tcW w:w="1170" w:type="dxa"/>
            <w:vAlign w:val="center"/>
          </w:tcPr>
          <w:p w:rsidR="00C1217D" w:rsidRPr="00C1217D" w:rsidP="00C1217D" w14:paraId="238AFEC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p>
        </w:tc>
        <w:tc>
          <w:tcPr>
            <w:tcW w:w="2070" w:type="dxa"/>
            <w:vAlign w:val="center"/>
          </w:tcPr>
          <w:p w:rsidR="00C1217D" w:rsidRPr="00C1217D" w:rsidP="00C1217D" w14:paraId="265CDEA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C1217D">
              <w:rPr>
                <w:rFonts w:eastAsia="Times New Roman" w:cstheme="minorHAnsi"/>
                <w:color w:val="000000"/>
                <w:sz w:val="20"/>
                <w:szCs w:val="20"/>
              </w:rPr>
              <w:t xml:space="preserve">Total </w:t>
            </w:r>
            <w:r w:rsidRPr="00C1217D">
              <w:rPr>
                <w:rFonts w:eastAsia="Times New Roman" w:cstheme="minorHAnsi"/>
                <w:color w:val="000000"/>
                <w:sz w:val="20"/>
                <w:szCs w:val="20"/>
                <w:vertAlign w:val="superscript"/>
              </w:rPr>
              <w:t>18</w:t>
            </w:r>
          </w:p>
        </w:tc>
        <w:tc>
          <w:tcPr>
            <w:tcW w:w="1201" w:type="dxa"/>
            <w:vAlign w:val="center"/>
          </w:tcPr>
          <w:p w:rsidR="00C1217D" w:rsidRPr="00C1217D" w:rsidP="00C1217D" w14:paraId="53D675A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FF0000"/>
                <w:sz w:val="20"/>
                <w:szCs w:val="20"/>
              </w:rPr>
            </w:pPr>
            <w:r w:rsidRPr="00C1217D">
              <w:rPr>
                <w:rFonts w:eastAsia="Times New Roman" w:cstheme="minorHAnsi"/>
                <w:sz w:val="20"/>
                <w:szCs w:val="20"/>
              </w:rPr>
              <w:t>76</w:t>
            </w:r>
          </w:p>
        </w:tc>
      </w:tr>
    </w:tbl>
    <w:p w:rsidR="00CF6434" w:rsidRPr="00CF6434" w:rsidP="00CF6434" w14:paraId="54343CA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1</w:t>
      </w:r>
      <w:r w:rsidRPr="00CF6434">
        <w:rPr>
          <w:rFonts w:eastAsia="Times New Roman" w:cstheme="minorHAnsi"/>
          <w:color w:val="000000"/>
          <w:sz w:val="18"/>
          <w:szCs w:val="18"/>
        </w:rPr>
        <w:t xml:space="preserve"> There is an average of 4.8 respondents per year (12*0.4) submitting Method 5 (PM) performance test reports for pushing.</w:t>
      </w:r>
    </w:p>
    <w:p w:rsidR="00CF6434" w:rsidRPr="00CF6434" w:rsidP="00CF6434" w14:paraId="7306FC4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2</w:t>
      </w:r>
      <w:r w:rsidRPr="00CF6434">
        <w:rPr>
          <w:rFonts w:eastAsia="Times New Roman" w:cstheme="minorHAnsi"/>
          <w:color w:val="000000"/>
          <w:sz w:val="18"/>
          <w:szCs w:val="18"/>
        </w:rPr>
        <w:t xml:space="preserve"> There is an average of 2.4 respondents per year (12*0.2) submitting Method 29 (Hg) performance tests for pushing.</w:t>
      </w:r>
    </w:p>
    <w:p w:rsidR="00CF6434" w:rsidRPr="00CF6434" w:rsidP="00CF6434" w14:paraId="6E08F91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3</w:t>
      </w:r>
      <w:r w:rsidRPr="00CF6434">
        <w:rPr>
          <w:rFonts w:eastAsia="Times New Roman" w:cstheme="minorHAnsi"/>
          <w:color w:val="000000"/>
          <w:sz w:val="18"/>
          <w:szCs w:val="18"/>
        </w:rPr>
        <w:t xml:space="preserve"> There is an average of 2.4 respondents per year (12*0.2) submitting Method 320 (AG and HCN) performance tests for pushing.</w:t>
      </w:r>
    </w:p>
    <w:p w:rsidR="00CF6434" w:rsidRPr="00CF6434" w:rsidP="00CF6434" w14:paraId="69481A4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4</w:t>
      </w:r>
      <w:r w:rsidRPr="00CF6434">
        <w:rPr>
          <w:rFonts w:eastAsia="Times New Roman" w:cstheme="minorHAnsi"/>
          <w:color w:val="000000"/>
          <w:sz w:val="18"/>
          <w:szCs w:val="18"/>
        </w:rPr>
        <w:t xml:space="preserve"> There is an average of 2.4 respondents per year (12*0.2) submitting CARB 429 (PAH) performance tests for pushing.</w:t>
      </w:r>
    </w:p>
    <w:p w:rsidR="00CF6434" w:rsidRPr="00CF6434" w:rsidP="00CF6434" w14:paraId="0E240D0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5</w:t>
      </w:r>
      <w:r w:rsidRPr="00CF6434">
        <w:rPr>
          <w:rFonts w:eastAsia="Times New Roman" w:cstheme="minorHAnsi"/>
          <w:color w:val="000000"/>
          <w:sz w:val="18"/>
          <w:szCs w:val="18"/>
        </w:rPr>
        <w:t xml:space="preserve"> There is an average of 1.4 respondents per year (9*0.2) submitting Method 29 (Hg) performance tests for </w:t>
      </w:r>
      <w:r w:rsidRPr="00CF6434">
        <w:rPr>
          <w:rFonts w:eastAsia="Times New Roman" w:cstheme="minorHAnsi"/>
          <w:color w:val="000000"/>
          <w:sz w:val="18"/>
          <w:szCs w:val="18"/>
        </w:rPr>
        <w:t>ByP</w:t>
      </w:r>
      <w:r w:rsidRPr="00CF6434">
        <w:rPr>
          <w:rFonts w:eastAsia="Times New Roman" w:cstheme="minorHAnsi"/>
          <w:color w:val="000000"/>
          <w:sz w:val="18"/>
          <w:szCs w:val="18"/>
        </w:rPr>
        <w:t xml:space="preserve"> battery combustion stacks.</w:t>
      </w:r>
    </w:p>
    <w:p w:rsidR="00CF6434" w:rsidRPr="00CF6434" w:rsidP="00CF6434" w14:paraId="1815729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6</w:t>
      </w:r>
      <w:r w:rsidRPr="00CF6434">
        <w:rPr>
          <w:rFonts w:eastAsia="Times New Roman" w:cstheme="minorHAnsi"/>
          <w:color w:val="000000"/>
          <w:sz w:val="18"/>
          <w:szCs w:val="18"/>
        </w:rPr>
        <w:t xml:space="preserve"> There is an average of 1.4 respondents per year (9*0.2) submitting Method 5 (PM) performance tests for </w:t>
      </w:r>
      <w:r w:rsidRPr="00CF6434">
        <w:rPr>
          <w:rFonts w:eastAsia="Times New Roman" w:cstheme="minorHAnsi"/>
          <w:color w:val="000000"/>
          <w:sz w:val="18"/>
          <w:szCs w:val="18"/>
        </w:rPr>
        <w:t>ByP</w:t>
      </w:r>
      <w:r w:rsidRPr="00CF6434">
        <w:rPr>
          <w:rFonts w:eastAsia="Times New Roman" w:cstheme="minorHAnsi"/>
          <w:color w:val="000000"/>
          <w:sz w:val="18"/>
          <w:szCs w:val="18"/>
        </w:rPr>
        <w:t xml:space="preserve"> battery combustion stacks.</w:t>
      </w:r>
    </w:p>
    <w:p w:rsidR="00CF6434" w:rsidRPr="00CF6434" w:rsidP="00CF6434" w14:paraId="09DA77B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7</w:t>
      </w:r>
      <w:r w:rsidRPr="00CF6434">
        <w:rPr>
          <w:rFonts w:eastAsia="Times New Roman" w:cstheme="minorHAnsi"/>
          <w:color w:val="000000"/>
          <w:sz w:val="18"/>
          <w:szCs w:val="18"/>
        </w:rPr>
        <w:t xml:space="preserve"> There is an average of 1.4 respondents per year (9*0.2) submitting Method 320 (AG and HCN) performance tests for </w:t>
      </w:r>
      <w:r w:rsidRPr="00CF6434">
        <w:rPr>
          <w:rFonts w:eastAsia="Times New Roman" w:cstheme="minorHAnsi"/>
          <w:color w:val="000000"/>
          <w:sz w:val="18"/>
          <w:szCs w:val="18"/>
        </w:rPr>
        <w:t>ByP</w:t>
      </w:r>
      <w:r w:rsidRPr="00CF6434">
        <w:rPr>
          <w:rFonts w:eastAsia="Times New Roman" w:cstheme="minorHAnsi"/>
          <w:color w:val="000000"/>
          <w:sz w:val="18"/>
          <w:szCs w:val="18"/>
        </w:rPr>
        <w:t xml:space="preserve"> battery combustion stacks.</w:t>
      </w:r>
    </w:p>
    <w:p w:rsidR="00CF6434" w:rsidRPr="00CF6434" w:rsidP="00CF6434" w14:paraId="1D2F149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8</w:t>
      </w:r>
      <w:r w:rsidRPr="00CF6434">
        <w:rPr>
          <w:rFonts w:eastAsia="Times New Roman" w:cstheme="minorHAnsi"/>
          <w:color w:val="000000"/>
          <w:sz w:val="18"/>
          <w:szCs w:val="18"/>
        </w:rPr>
        <w:t xml:space="preserve"> There is an average of 0.8 respondents per year (4*0.2) submitting Method 29 (Hg) performance tests for HNR HRSG main stacks.</w:t>
      </w:r>
    </w:p>
    <w:p w:rsidR="00CF6434" w:rsidRPr="00CF6434" w:rsidP="00CF6434" w14:paraId="3236141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9</w:t>
      </w:r>
      <w:r w:rsidRPr="00CF6434">
        <w:rPr>
          <w:rFonts w:eastAsia="Times New Roman" w:cstheme="minorHAnsi"/>
          <w:color w:val="000000"/>
          <w:sz w:val="18"/>
          <w:szCs w:val="18"/>
        </w:rPr>
        <w:t xml:space="preserve"> There is an average of 0.8 respondents per year (4*0.2) submitting Method 5 (PM) performance tests for HNR HRSG main stacks.</w:t>
      </w:r>
    </w:p>
    <w:p w:rsidR="00CF6434" w:rsidRPr="00CF6434" w:rsidP="00CF6434" w14:paraId="5FAE70E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10</w:t>
      </w:r>
      <w:r w:rsidRPr="00CF6434">
        <w:rPr>
          <w:rFonts w:eastAsia="Times New Roman" w:cstheme="minorHAnsi"/>
          <w:color w:val="000000"/>
          <w:sz w:val="18"/>
          <w:szCs w:val="18"/>
        </w:rPr>
        <w:t xml:space="preserve"> There is an average of 0.8 respondents per year (4*0.2) submitting Method26/26A (AG) performance tests for HNR HRSG main stacks.</w:t>
      </w:r>
    </w:p>
    <w:p w:rsidR="00CF6434" w:rsidRPr="00CF6434" w:rsidP="00CF6434" w14:paraId="422E3BF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11</w:t>
      </w:r>
      <w:r w:rsidRPr="00CF6434">
        <w:rPr>
          <w:rFonts w:eastAsia="Times New Roman" w:cstheme="minorHAnsi"/>
          <w:color w:val="000000"/>
          <w:sz w:val="18"/>
          <w:szCs w:val="18"/>
        </w:rPr>
        <w:t xml:space="preserve"> There is an average of 0.8 respondents per year (4*0.2) submitting CARB 429 (PAH) performance tests for HNR HRSG main stacks.</w:t>
      </w:r>
    </w:p>
    <w:p w:rsidR="00CF6434" w:rsidRPr="00CF6434" w:rsidP="00CF6434" w14:paraId="02C02C3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12</w:t>
      </w:r>
      <w:r w:rsidRPr="00CF6434">
        <w:rPr>
          <w:rFonts w:eastAsia="Times New Roman" w:cstheme="minorHAnsi"/>
          <w:color w:val="000000"/>
          <w:sz w:val="18"/>
          <w:szCs w:val="18"/>
        </w:rPr>
        <w:t xml:space="preserve"> There is an average of 1.0 respondents per year (5*0.2) submitting Method 29 (Hg) performance tests for HNR HRSG bypass/waste heat stacks.</w:t>
      </w:r>
    </w:p>
    <w:p w:rsidR="00CF6434" w:rsidRPr="00CF6434" w:rsidP="00CF6434" w14:paraId="216DACA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13</w:t>
      </w:r>
      <w:r w:rsidRPr="00CF6434">
        <w:rPr>
          <w:rFonts w:eastAsia="Times New Roman" w:cstheme="minorHAnsi"/>
          <w:color w:val="000000"/>
          <w:sz w:val="18"/>
          <w:szCs w:val="18"/>
        </w:rPr>
        <w:t xml:space="preserve"> There is an average of 1.0 respondents per year (5*0.2) submitting Method 5 (PM) performance tests for HNR HRSG bypass/waste heat stacks.</w:t>
      </w:r>
    </w:p>
    <w:p w:rsidR="00CF6434" w:rsidRPr="00CF6434" w:rsidP="00CF6434" w14:paraId="0786292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14</w:t>
      </w:r>
      <w:r w:rsidRPr="00CF6434">
        <w:rPr>
          <w:rFonts w:eastAsia="Times New Roman" w:cstheme="minorHAnsi"/>
          <w:color w:val="000000"/>
          <w:sz w:val="18"/>
          <w:szCs w:val="18"/>
        </w:rPr>
        <w:t xml:space="preserve"> There is an average of 1.0 respondents per year (5*0.2) submitting Method 26/26A (AG) performance tests for HNR HRSG bypass/waste heat stacks.</w:t>
      </w:r>
    </w:p>
    <w:p w:rsidR="00CF6434" w:rsidRPr="00CF6434" w:rsidP="00CF6434" w14:paraId="40E50EB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15</w:t>
      </w:r>
      <w:r w:rsidRPr="00CF6434">
        <w:rPr>
          <w:rFonts w:eastAsia="Times New Roman" w:cstheme="minorHAnsi"/>
          <w:color w:val="000000"/>
          <w:sz w:val="18"/>
          <w:szCs w:val="18"/>
        </w:rPr>
        <w:t xml:space="preserve"> There is an average of 1.0 respondents per year (5*0.2) submitting CARB 429 (PAH) performance tests for HNR HRSG bypass/waste heat stacks.</w:t>
      </w:r>
    </w:p>
    <w:p w:rsidR="00CF6434" w:rsidRPr="00CF6434" w:rsidP="00CF6434" w14:paraId="2E7244A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16</w:t>
      </w:r>
      <w:r w:rsidRPr="00CF6434">
        <w:rPr>
          <w:rFonts w:eastAsia="Times New Roman" w:cstheme="minorHAnsi"/>
          <w:color w:val="000000"/>
          <w:sz w:val="18"/>
          <w:szCs w:val="18"/>
        </w:rPr>
        <w:t xml:space="preserve"> There is an average of 1.0 respondents per year (5*0.2) submitting Method 316 (formaldehyde) performance tests for HNR HRSG bypass/waste heat stacks.</w:t>
      </w:r>
    </w:p>
    <w:p w:rsidR="00CF6434" w:rsidRPr="00CF6434" w:rsidP="00CF6434" w14:paraId="70C0305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17</w:t>
      </w:r>
      <w:r w:rsidRPr="00CF6434">
        <w:rPr>
          <w:rFonts w:eastAsia="Times New Roman" w:cstheme="minorHAnsi"/>
          <w:color w:val="000000"/>
          <w:sz w:val="18"/>
          <w:szCs w:val="18"/>
        </w:rPr>
        <w:t xml:space="preserve"> 40 CFR 63.7341(b) requires quarterly reporting for the COMS systems monitoring opacity of emissions from stacks on the coke ovens at the seven by-product recovery plants. </w:t>
      </w:r>
    </w:p>
    <w:p w:rsidR="00CF6434" w:rsidRPr="00CF6434" w:rsidP="00CF6434" w14:paraId="180ADDC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firstLine="0"/>
        <w:rPr>
          <w:rFonts w:eastAsia="Times New Roman" w:cstheme="minorHAnsi"/>
          <w:color w:val="000000"/>
          <w:sz w:val="18"/>
          <w:szCs w:val="18"/>
        </w:rPr>
      </w:pPr>
      <w:r w:rsidRPr="00CF6434">
        <w:rPr>
          <w:rFonts w:eastAsia="Times New Roman" w:cstheme="minorHAnsi"/>
          <w:color w:val="000000"/>
          <w:sz w:val="18"/>
          <w:szCs w:val="18"/>
          <w:vertAlign w:val="superscript"/>
        </w:rPr>
        <w:t>18</w:t>
      </w:r>
      <w:r w:rsidRPr="00CF6434">
        <w:rPr>
          <w:rFonts w:eastAsia="Times New Roman" w:cstheme="minorHAnsi"/>
          <w:color w:val="000000"/>
          <w:sz w:val="18"/>
          <w:szCs w:val="18"/>
        </w:rPr>
        <w:t xml:space="preserve"> Figures may not add exactly due to rounding.</w:t>
      </w:r>
    </w:p>
    <w:p w:rsidR="00CF6434" w:rsidRPr="00CF6434" w:rsidP="00CF6434" w14:paraId="73EC193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jc w:val="center"/>
        <w:rPr>
          <w:rFonts w:eastAsia="Times New Roman" w:cstheme="minorHAnsi"/>
          <w:color w:val="000000"/>
          <w:sz w:val="24"/>
          <w:szCs w:val="24"/>
        </w:rPr>
      </w:pPr>
    </w:p>
    <w:p w:rsidR="00CF6434" w:rsidRPr="00D16D73" w:rsidP="00CF6434" w14:paraId="64E4C4A4" w14:textId="0B4D8F2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rPr>
      </w:pPr>
      <w:r w:rsidRPr="00CF6434">
        <w:rPr>
          <w:rFonts w:eastAsia="Times New Roman" w:cstheme="minorHAnsi"/>
          <w:color w:val="000000"/>
        </w:rPr>
        <w:t>The number of Total Annual Responses is 76.</w:t>
      </w:r>
    </w:p>
    <w:p w:rsidR="00C1308C" w:rsidRPr="00D16D73" w:rsidP="00CF6434" w14:paraId="4F369C6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ascii="Times New Roman" w:eastAsia="Times New Roman" w:hAnsi="Times New Roman" w:cs="Times New Roman"/>
          <w:color w:val="000000"/>
        </w:rPr>
      </w:pPr>
    </w:p>
    <w:p w:rsidR="00C1308C" w:rsidRPr="00D16D73" w:rsidP="00CF6434" w14:paraId="01D485B0" w14:textId="64EE43C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themeColor="text1"/>
        </w:rPr>
      </w:pPr>
      <w:r w:rsidRPr="00D16D73">
        <w:rPr>
          <w:rFonts w:eastAsia="Times New Roman" w:cstheme="minorHAnsi"/>
          <w:color w:val="000000" w:themeColor="text1"/>
        </w:rPr>
        <w:t>The average annual burden to industry over the next three years from these recordkeeping and reporting requirements is estimated to be 26,800 hours (Total Labor Hours from Table 1 below). These hours are based on Agency studies and background documents from the development of the regulation, Agency knowledge and experience with the NESHAP program, the previously-approved ICR, and any comments received.</w:t>
      </w:r>
    </w:p>
    <w:p w:rsidR="00C1308C" w:rsidRPr="00D16D73" w:rsidP="00CF6434" w14:paraId="5C5FE17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FF0000"/>
        </w:rPr>
      </w:pPr>
    </w:p>
    <w:p w:rsidR="00425EA9" w:rsidRPr="00D16D73" w:rsidP="00425EA9" w14:paraId="0A54E75D" w14:textId="397A5A2F">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themeColor="text1"/>
        </w:rPr>
      </w:pPr>
      <w:r w:rsidRPr="00D16D73">
        <w:rPr>
          <w:rFonts w:eastAsia="Times New Roman" w:cstheme="minorHAnsi"/>
          <w:color w:val="000000" w:themeColor="text1"/>
        </w:rPr>
        <w:t>This ICR uses the following labor rates:</w:t>
      </w:r>
    </w:p>
    <w:p w:rsidR="00425EA9" w:rsidRPr="00D16D73" w:rsidP="001325F8" w14:paraId="0A5BA6D6" w14:textId="25E296B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eastAsia="Times New Roman" w:cstheme="minorHAnsi"/>
          <w:color w:val="000000" w:themeColor="text1"/>
        </w:rPr>
      </w:pPr>
      <w:r w:rsidRPr="00D16D73">
        <w:rPr>
          <w:rFonts w:eastAsia="Times New Roman" w:cstheme="minorHAnsi"/>
          <w:color w:val="000000" w:themeColor="text1"/>
        </w:rPr>
        <w:t xml:space="preserve">Managerial   </w:t>
      </w:r>
      <w:r w:rsidRPr="00D16D73">
        <w:rPr>
          <w:rFonts w:eastAsia="Times New Roman" w:cstheme="minorHAnsi"/>
          <w:color w:val="000000" w:themeColor="text1"/>
        </w:rPr>
        <w:tab/>
        <w:t>$163.17 ($77.70 + 110%)</w:t>
      </w:r>
    </w:p>
    <w:p w:rsidR="00425EA9" w:rsidRPr="00D16D73" w:rsidP="001325F8" w14:paraId="791C1E2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eastAsia="Times New Roman" w:cstheme="minorHAnsi"/>
          <w:color w:val="000000" w:themeColor="text1"/>
        </w:rPr>
      </w:pPr>
      <w:r w:rsidRPr="00D16D73">
        <w:rPr>
          <w:rFonts w:eastAsia="Times New Roman" w:cstheme="minorHAnsi"/>
          <w:color w:val="000000" w:themeColor="text1"/>
        </w:rPr>
        <w:t xml:space="preserve">Technical    </w:t>
      </w:r>
      <w:r w:rsidRPr="00D16D73">
        <w:rPr>
          <w:rFonts w:eastAsia="Times New Roman" w:cstheme="minorHAnsi"/>
          <w:color w:val="000000" w:themeColor="text1"/>
        </w:rPr>
        <w:tab/>
        <w:t>$130.28 ($62.04 + 110%)</w:t>
      </w:r>
    </w:p>
    <w:p w:rsidR="00425EA9" w:rsidRPr="00D16D73" w:rsidP="001325F8" w14:paraId="46BDCA2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eastAsia="Times New Roman" w:cstheme="minorHAnsi"/>
          <w:color w:val="000000" w:themeColor="text1"/>
        </w:rPr>
      </w:pPr>
      <w:r w:rsidRPr="00D16D73">
        <w:rPr>
          <w:rFonts w:eastAsia="Times New Roman" w:cstheme="minorHAnsi"/>
          <w:color w:val="000000" w:themeColor="text1"/>
        </w:rPr>
        <w:t xml:space="preserve">Clerical         </w:t>
      </w:r>
      <w:r w:rsidRPr="00D16D73">
        <w:rPr>
          <w:rFonts w:eastAsia="Times New Roman" w:cstheme="minorHAnsi"/>
          <w:color w:val="000000" w:themeColor="text1"/>
        </w:rPr>
        <w:tab/>
        <w:t>$65.71 ($31.29 + 110%)</w:t>
      </w:r>
    </w:p>
    <w:p w:rsidR="00425EA9" w:rsidRPr="00D16D73" w:rsidP="00425EA9" w14:paraId="7A005FE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themeColor="text1"/>
        </w:rPr>
      </w:pPr>
    </w:p>
    <w:p w:rsidR="00425EA9" w:rsidRPr="00D16D73" w:rsidP="00425EA9" w14:paraId="3100301E" w14:textId="7B6B194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themeColor="text1"/>
        </w:rPr>
      </w:pPr>
      <w:r w:rsidRPr="00D16D73">
        <w:rPr>
          <w:rFonts w:eastAsia="Times New Roman" w:cstheme="minorHAnsi"/>
          <w:color w:val="000000" w:themeColor="text1"/>
        </w:rPr>
        <w:t>These rates are from the United States Department of Labor, Bureau of Labor Statistics, September 2022, “Table 2. Civilian Workers, by occupational and industry group.” The rates are from column 1, “Total compensation.” The rates have been increased by 110 percent to account for the benefit packages available to those employed by private industry.</w:t>
      </w:r>
    </w:p>
    <w:p w:rsidR="00425EA9" w:rsidRPr="00D16D73" w:rsidP="00425EA9" w14:paraId="2CDEC80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themeColor="text1"/>
        </w:rPr>
      </w:pPr>
    </w:p>
    <w:p w:rsidR="007F3C5B" w:rsidRPr="00D16D73" w:rsidP="00CF6434" w14:paraId="5BB16BA9" w14:textId="77E66DE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themeColor="text1"/>
        </w:rPr>
      </w:pPr>
      <w:r w:rsidRPr="00D16D73">
        <w:rPr>
          <w:rFonts w:eastAsia="Times New Roman" w:cstheme="minorHAnsi"/>
          <w:color w:val="000000" w:themeColor="text1"/>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F62DC9" w:rsidRPr="00D16D73" w:rsidP="00CF6434" w14:paraId="165AFA9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themeColor="text1"/>
        </w:rPr>
      </w:pPr>
    </w:p>
    <w:p w:rsidR="00F62DC9" w:rsidRPr="00F62DC9" w:rsidP="00CF6434" w14:paraId="65A61AF9" w14:textId="1F55E200">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000000" w:themeColor="text1"/>
          <w:sz w:val="24"/>
          <w:szCs w:val="24"/>
        </w:rPr>
      </w:pPr>
      <w:r w:rsidRPr="00D16D73">
        <w:rPr>
          <w:rFonts w:eastAsia="Times New Roman" w:cstheme="minorHAnsi"/>
          <w:color w:val="000000" w:themeColor="text1"/>
        </w:rPr>
        <w:t>The total annual labor costs are $3,380,000. Details regarding these estimates may be found below in Table 1: Annual Respondent Burden and Cost – NESHAP for Coke Oven Pushing, Quenching, and Battery Stacks (40 CFR Part 63, Subpart CCCCC) (Final Amendments).</w:t>
      </w:r>
    </w:p>
    <w:p w:rsidR="00CF6434" w:rsidRPr="00504C99" w:rsidP="00CF6434" w14:paraId="00E69CC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eastAsia="Times New Roman" w:cstheme="minorHAnsi"/>
          <w:color w:val="FF0000"/>
          <w:sz w:val="24"/>
          <w:szCs w:val="24"/>
        </w:rPr>
      </w:pPr>
    </w:p>
    <w:p w:rsidR="00BB2B15" w:rsidRPr="008B3B3E" w:rsidP="00940939" w14:paraId="5D1B71A2" w14:textId="00BBC112">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3DEA8EEE">
      <w:pPr>
        <w:spacing w:line="240" w:lineRule="auto"/>
        <w:ind w:left="0" w:firstLine="0"/>
        <w:jc w:val="both"/>
        <w:rPr>
          <w:rFonts w:cstheme="minorHAnsi"/>
          <w:i/>
          <w:iCs/>
        </w:rPr>
      </w:pPr>
      <w:r w:rsidRPr="008B3B3E">
        <w:rPr>
          <w:rFonts w:cstheme="minorHAnsi"/>
          <w:i/>
          <w:iCs/>
        </w:rPr>
        <w:t>If cost estimates are expected to vary widely, agencies should present ranges of cost burdens and explain the reasons for the variance. The cost of purchasing or contracting out information collections services should be a part of this cost burden estimate.</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F697C" w:rsidP="00CB4747" w14:paraId="31FFDEAC" w14:textId="29115EB2">
      <w:pPr>
        <w:spacing w:line="259" w:lineRule="auto"/>
        <w:ind w:left="0" w:firstLine="720"/>
        <w:rPr>
          <w:rFonts w:cstheme="minorHAnsi"/>
        </w:rPr>
      </w:pPr>
      <w:r w:rsidRPr="00CB4747">
        <w:rPr>
          <w:rFonts w:cstheme="minorHAnsi"/>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tbl>
      <w:tblPr>
        <w:tblW w:w="9360" w:type="dxa"/>
        <w:tblInd w:w="111" w:type="dxa"/>
        <w:tblLayout w:type="fixed"/>
        <w:tblCellMar>
          <w:left w:w="111" w:type="dxa"/>
          <w:right w:w="111" w:type="dxa"/>
        </w:tblCellMar>
        <w:tblLook w:val="0000"/>
      </w:tblPr>
      <w:tblGrid>
        <w:gridCol w:w="1320"/>
        <w:gridCol w:w="1350"/>
        <w:gridCol w:w="1350"/>
        <w:gridCol w:w="1530"/>
        <w:gridCol w:w="1350"/>
        <w:gridCol w:w="1440"/>
        <w:gridCol w:w="1020"/>
      </w:tblGrid>
      <w:tr w14:paraId="1A7904B3" w14:textId="77777777" w:rsidTr="009555B2">
        <w:tblPrEx>
          <w:tblW w:w="9360" w:type="dxa"/>
          <w:tblInd w:w="111" w:type="dxa"/>
          <w:tblLayout w:type="fixed"/>
          <w:tblCellMar>
            <w:left w:w="111" w:type="dxa"/>
            <w:right w:w="111" w:type="dxa"/>
          </w:tblCellMar>
          <w:tblLook w:val="0000"/>
        </w:tblPrEx>
        <w:trPr>
          <w:cantSplit/>
          <w:tblHeader/>
        </w:trPr>
        <w:tc>
          <w:tcPr>
            <w:tcW w:w="9360" w:type="dxa"/>
            <w:gridSpan w:val="7"/>
            <w:tcBorders>
              <w:top w:val="single" w:sz="7" w:space="0" w:color="000000"/>
              <w:left w:val="single" w:sz="7" w:space="0" w:color="000000"/>
              <w:bottom w:val="single" w:sz="6" w:space="0" w:color="FFFFFF"/>
              <w:right w:val="single" w:sz="7" w:space="0" w:color="000000"/>
            </w:tcBorders>
          </w:tcPr>
          <w:p w:rsidR="009A3BB5" w:rsidRPr="009A3BB5" w:rsidP="009A3BB5" w14:paraId="723FF3C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9A3BB5">
              <w:rPr>
                <w:rFonts w:eastAsia="Times New Roman" w:cstheme="minorHAnsi"/>
                <w:b/>
                <w:bCs/>
                <w:color w:val="000000"/>
                <w:sz w:val="20"/>
                <w:szCs w:val="20"/>
              </w:rPr>
              <w:t>Capital/Startup vs. Operation and Maintenance (O&amp;M) Costs</w:t>
            </w:r>
          </w:p>
        </w:tc>
      </w:tr>
      <w:tr w14:paraId="391C0FD0" w14:textId="77777777" w:rsidTr="00C17C13">
        <w:tblPrEx>
          <w:tblW w:w="9360" w:type="dxa"/>
          <w:tblInd w:w="111" w:type="dxa"/>
          <w:tblLayout w:type="fixed"/>
          <w:tblCellMar>
            <w:left w:w="111" w:type="dxa"/>
            <w:right w:w="111" w:type="dxa"/>
          </w:tblCellMar>
          <w:tblLook w:val="0000"/>
        </w:tblPrEx>
        <w:trPr>
          <w:cantSplit/>
        </w:trPr>
        <w:tc>
          <w:tcPr>
            <w:tcW w:w="1320" w:type="dxa"/>
            <w:tcBorders>
              <w:top w:val="single" w:sz="7" w:space="0" w:color="000000"/>
              <w:left w:val="single" w:sz="7" w:space="0" w:color="000000"/>
              <w:bottom w:val="single" w:sz="6" w:space="0" w:color="FFFFFF"/>
              <w:right w:val="single" w:sz="6" w:space="0" w:color="FFFFFF"/>
            </w:tcBorders>
          </w:tcPr>
          <w:p w:rsidR="009A3BB5" w:rsidRPr="009A3BB5" w:rsidP="009A3BB5" w14:paraId="731E7B1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9A3BB5">
              <w:rPr>
                <w:rFonts w:eastAsia="Times New Roman" w:cstheme="minorHAnsi"/>
                <w:b/>
                <w:bCs/>
                <w:color w:val="000000"/>
                <w:sz w:val="20"/>
                <w:szCs w:val="20"/>
              </w:rPr>
              <w:t>(A)</w:t>
            </w:r>
          </w:p>
          <w:p w:rsidR="009A3BB5" w:rsidRPr="009A3BB5" w:rsidP="009A3BB5" w14:paraId="7366335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9A3BB5">
              <w:rPr>
                <w:rFonts w:eastAsia="Times New Roman" w:cstheme="minorHAnsi"/>
                <w:b/>
                <w:bCs/>
                <w:color w:val="000000"/>
                <w:sz w:val="20"/>
                <w:szCs w:val="20"/>
              </w:rPr>
              <w:t>Continuous Monitoring Device</w:t>
            </w:r>
          </w:p>
        </w:tc>
        <w:tc>
          <w:tcPr>
            <w:tcW w:w="1350" w:type="dxa"/>
            <w:tcBorders>
              <w:top w:val="single" w:sz="7" w:space="0" w:color="000000"/>
              <w:left w:val="single" w:sz="7" w:space="0" w:color="000000"/>
              <w:bottom w:val="single" w:sz="6" w:space="0" w:color="FFFFFF"/>
              <w:right w:val="single" w:sz="6" w:space="0" w:color="FFFFFF"/>
            </w:tcBorders>
          </w:tcPr>
          <w:p w:rsidR="009A3BB5" w:rsidRPr="009A3BB5" w:rsidP="009A3BB5" w14:paraId="6FC1C59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9A3BB5">
              <w:rPr>
                <w:rFonts w:eastAsia="Times New Roman" w:cstheme="minorHAnsi"/>
                <w:b/>
                <w:bCs/>
                <w:color w:val="000000"/>
                <w:sz w:val="20"/>
                <w:szCs w:val="20"/>
              </w:rPr>
              <w:t>(B)</w:t>
            </w:r>
          </w:p>
          <w:p w:rsidR="009A3BB5" w:rsidRPr="009A3BB5" w:rsidP="009A3BB5" w14:paraId="77C5AA0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9A3BB5">
              <w:rPr>
                <w:rFonts w:eastAsia="Times New Roman" w:cstheme="minorHAnsi"/>
                <w:b/>
                <w:bCs/>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9A3BB5" w:rsidRPr="009A3BB5" w:rsidP="009A3BB5" w14:paraId="025F2E2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9A3BB5">
              <w:rPr>
                <w:rFonts w:eastAsia="Times New Roman" w:cstheme="minorHAnsi"/>
                <w:b/>
                <w:bCs/>
                <w:color w:val="000000"/>
                <w:sz w:val="20"/>
                <w:szCs w:val="20"/>
              </w:rPr>
              <w:t>(C)</w:t>
            </w:r>
          </w:p>
          <w:p w:rsidR="009A3BB5" w:rsidRPr="009A3BB5" w:rsidP="009A3BB5" w14:paraId="187B2DD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9A3BB5">
              <w:rPr>
                <w:rFonts w:eastAsia="Times New Roman" w:cstheme="minorHAnsi"/>
                <w:b/>
                <w:bCs/>
                <w:color w:val="000000"/>
                <w:sz w:val="20"/>
                <w:szCs w:val="20"/>
              </w:rPr>
              <w:t xml:space="preserve">Number of New Respondents </w:t>
            </w:r>
          </w:p>
        </w:tc>
        <w:tc>
          <w:tcPr>
            <w:tcW w:w="1530" w:type="dxa"/>
            <w:tcBorders>
              <w:top w:val="single" w:sz="7" w:space="0" w:color="000000"/>
              <w:left w:val="single" w:sz="7" w:space="0" w:color="000000"/>
              <w:bottom w:val="single" w:sz="6" w:space="0" w:color="FFFFFF"/>
              <w:right w:val="single" w:sz="6" w:space="0" w:color="FFFFFF"/>
            </w:tcBorders>
          </w:tcPr>
          <w:p w:rsidR="009A3BB5" w:rsidRPr="009A3BB5" w:rsidP="009A3BB5" w14:paraId="465BC6C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9A3BB5">
              <w:rPr>
                <w:rFonts w:eastAsia="Times New Roman" w:cstheme="minorHAnsi"/>
                <w:b/>
                <w:bCs/>
                <w:color w:val="000000"/>
                <w:sz w:val="20"/>
                <w:szCs w:val="20"/>
              </w:rPr>
              <w:t>(D)</w:t>
            </w:r>
          </w:p>
          <w:p w:rsidR="009A3BB5" w:rsidRPr="009A3BB5" w:rsidP="009A3BB5" w14:paraId="49E6633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9A3BB5">
              <w:rPr>
                <w:rFonts w:eastAsia="Times New Roman" w:cstheme="minorHAnsi"/>
                <w:b/>
                <w:bCs/>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9A3BB5" w:rsidRPr="009A3BB5" w:rsidP="009A3BB5" w14:paraId="3181DE1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9A3BB5">
              <w:rPr>
                <w:rFonts w:eastAsia="Times New Roman" w:cstheme="minorHAnsi"/>
                <w:b/>
                <w:bCs/>
                <w:color w:val="000000"/>
                <w:sz w:val="20"/>
                <w:szCs w:val="20"/>
              </w:rPr>
              <w:t>(E)</w:t>
            </w:r>
          </w:p>
          <w:p w:rsidR="009A3BB5" w:rsidRPr="009A3BB5" w:rsidP="009A3BB5" w14:paraId="5E32AE7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9A3BB5">
              <w:rPr>
                <w:rFonts w:eastAsia="Times New Roman" w:cstheme="minorHAnsi"/>
                <w:b/>
                <w:bCs/>
                <w:color w:val="000000"/>
                <w:sz w:val="20"/>
                <w:szCs w:val="20"/>
              </w:rPr>
              <w:t>Annual O&amp;M Costs for One Respondent</w:t>
            </w:r>
          </w:p>
        </w:tc>
        <w:tc>
          <w:tcPr>
            <w:tcW w:w="1440" w:type="dxa"/>
            <w:tcBorders>
              <w:top w:val="single" w:sz="7" w:space="0" w:color="000000"/>
              <w:left w:val="single" w:sz="7" w:space="0" w:color="000000"/>
              <w:bottom w:val="single" w:sz="6" w:space="0" w:color="FFFFFF"/>
              <w:right w:val="single" w:sz="6" w:space="0" w:color="FFFFFF"/>
            </w:tcBorders>
          </w:tcPr>
          <w:p w:rsidR="009A3BB5" w:rsidRPr="009A3BB5" w:rsidP="009A3BB5" w14:paraId="595E175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rPr>
            </w:pPr>
            <w:r w:rsidRPr="009A3BB5">
              <w:rPr>
                <w:rFonts w:eastAsia="Times New Roman" w:cstheme="minorHAnsi"/>
                <w:b/>
                <w:bCs/>
                <w:color w:val="000000"/>
                <w:sz w:val="20"/>
                <w:szCs w:val="20"/>
              </w:rPr>
              <w:t>(F)</w:t>
            </w:r>
          </w:p>
          <w:p w:rsidR="009A3BB5" w:rsidRPr="009A3BB5" w:rsidP="009A3BB5" w14:paraId="09B3542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rPr>
            </w:pPr>
            <w:r w:rsidRPr="009A3BB5">
              <w:rPr>
                <w:rFonts w:eastAsia="Times New Roman" w:cstheme="minorHAnsi"/>
                <w:b/>
                <w:bCs/>
                <w:color w:val="000000"/>
                <w:sz w:val="20"/>
                <w:szCs w:val="20"/>
              </w:rPr>
              <w:t>Number of Respondents with O&amp;M</w:t>
            </w:r>
          </w:p>
        </w:tc>
        <w:tc>
          <w:tcPr>
            <w:tcW w:w="1020" w:type="dxa"/>
            <w:tcBorders>
              <w:top w:val="single" w:sz="7" w:space="0" w:color="000000"/>
              <w:left w:val="single" w:sz="7" w:space="0" w:color="000000"/>
              <w:bottom w:val="single" w:sz="6" w:space="0" w:color="FFFFFF"/>
              <w:right w:val="single" w:sz="7" w:space="0" w:color="000000"/>
            </w:tcBorders>
          </w:tcPr>
          <w:p w:rsidR="009A3BB5" w:rsidRPr="009A3BB5" w:rsidP="009A3BB5" w14:paraId="4348AD2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b/>
                <w:bCs/>
                <w:color w:val="000000"/>
                <w:sz w:val="20"/>
                <w:szCs w:val="20"/>
                <w:lang w:val="pt-BR"/>
              </w:rPr>
            </w:pPr>
            <w:r w:rsidRPr="009A3BB5">
              <w:rPr>
                <w:rFonts w:eastAsia="Times New Roman" w:cstheme="minorHAnsi"/>
                <w:b/>
                <w:bCs/>
                <w:color w:val="000000"/>
                <w:sz w:val="20"/>
                <w:szCs w:val="20"/>
                <w:lang w:val="pt-BR"/>
              </w:rPr>
              <w:t>(G)</w:t>
            </w:r>
          </w:p>
          <w:p w:rsidR="009A3BB5" w:rsidRPr="009A3BB5" w:rsidP="009A3BB5" w14:paraId="5628934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lang w:val="pt-BR"/>
              </w:rPr>
            </w:pPr>
            <w:r w:rsidRPr="009A3BB5">
              <w:rPr>
                <w:rFonts w:eastAsia="Times New Roman" w:cstheme="minorHAnsi"/>
                <w:b/>
                <w:bCs/>
                <w:color w:val="000000"/>
                <w:sz w:val="20"/>
                <w:szCs w:val="20"/>
                <w:lang w:val="pt-BR"/>
              </w:rPr>
              <w:t>Total O&amp;M,</w:t>
            </w:r>
          </w:p>
          <w:p w:rsidR="009A3BB5" w:rsidRPr="009A3BB5" w:rsidP="009A3BB5" w14:paraId="6DA6F54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b/>
                <w:bCs/>
                <w:color w:val="000000"/>
                <w:sz w:val="20"/>
                <w:szCs w:val="20"/>
                <w:lang w:val="pt-BR"/>
              </w:rPr>
            </w:pPr>
            <w:r w:rsidRPr="009A3BB5">
              <w:rPr>
                <w:rFonts w:eastAsia="Times New Roman" w:cstheme="minorHAnsi"/>
                <w:b/>
                <w:bCs/>
                <w:color w:val="000000"/>
                <w:sz w:val="20"/>
                <w:szCs w:val="20"/>
                <w:lang w:val="pt-BR"/>
              </w:rPr>
              <w:t>(E X F)</w:t>
            </w:r>
          </w:p>
        </w:tc>
      </w:tr>
      <w:tr w14:paraId="476D7952" w14:textId="77777777" w:rsidTr="00C17C13">
        <w:tblPrEx>
          <w:tblW w:w="9360" w:type="dxa"/>
          <w:tblInd w:w="111" w:type="dxa"/>
          <w:tblLayout w:type="fixed"/>
          <w:tblCellMar>
            <w:left w:w="111" w:type="dxa"/>
            <w:right w:w="111" w:type="dxa"/>
          </w:tblCellMar>
          <w:tblLook w:val="0000"/>
        </w:tblPrEx>
        <w:trPr>
          <w:cantSplit/>
        </w:trPr>
        <w:tc>
          <w:tcPr>
            <w:tcW w:w="132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04977DC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9A3BB5">
              <w:rPr>
                <w:rFonts w:eastAsia="Times New Roman" w:cstheme="minorHAnsi"/>
                <w:color w:val="000000"/>
                <w:sz w:val="20"/>
                <w:szCs w:val="20"/>
              </w:rPr>
              <w:t>Leak detectors</w:t>
            </w:r>
          </w:p>
        </w:tc>
        <w:tc>
          <w:tcPr>
            <w:tcW w:w="135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42C1CFC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$9,000</w:t>
            </w:r>
          </w:p>
        </w:tc>
        <w:tc>
          <w:tcPr>
            <w:tcW w:w="135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204CE8E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0</w:t>
            </w:r>
          </w:p>
        </w:tc>
        <w:tc>
          <w:tcPr>
            <w:tcW w:w="153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418E9C3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170B9E5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$500</w:t>
            </w:r>
          </w:p>
        </w:tc>
        <w:tc>
          <w:tcPr>
            <w:tcW w:w="144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33C6E1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12</w:t>
            </w:r>
          </w:p>
        </w:tc>
        <w:tc>
          <w:tcPr>
            <w:tcW w:w="1020" w:type="dxa"/>
            <w:tcBorders>
              <w:top w:val="single" w:sz="7" w:space="0" w:color="000000"/>
              <w:left w:val="single" w:sz="7" w:space="0" w:color="000000"/>
              <w:bottom w:val="single" w:sz="6" w:space="0" w:color="FFFFFF"/>
              <w:right w:val="single" w:sz="7" w:space="0" w:color="000000"/>
            </w:tcBorders>
            <w:vAlign w:val="center"/>
          </w:tcPr>
          <w:p w:rsidR="009A3BB5" w:rsidRPr="009A3BB5" w:rsidP="009A3BB5" w14:paraId="6FCA856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$6,000</w:t>
            </w:r>
          </w:p>
        </w:tc>
      </w:tr>
      <w:tr w14:paraId="6ABDC424" w14:textId="77777777" w:rsidTr="00C17C13">
        <w:tblPrEx>
          <w:tblW w:w="9360" w:type="dxa"/>
          <w:tblInd w:w="111" w:type="dxa"/>
          <w:tblLayout w:type="fixed"/>
          <w:tblCellMar>
            <w:left w:w="111" w:type="dxa"/>
            <w:right w:w="111" w:type="dxa"/>
          </w:tblCellMar>
          <w:tblLook w:val="0000"/>
        </w:tblPrEx>
        <w:trPr>
          <w:cantSplit/>
        </w:trPr>
        <w:tc>
          <w:tcPr>
            <w:tcW w:w="132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4DD406A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9A3BB5">
              <w:rPr>
                <w:rFonts w:eastAsia="Times New Roman" w:cstheme="minorHAnsi"/>
                <w:color w:val="000000"/>
                <w:sz w:val="20"/>
                <w:szCs w:val="20"/>
              </w:rPr>
              <w:t>Continuous Opacity Monitors</w:t>
            </w:r>
          </w:p>
        </w:tc>
        <w:tc>
          <w:tcPr>
            <w:tcW w:w="135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5A0FC93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$37,000</w:t>
            </w:r>
          </w:p>
        </w:tc>
        <w:tc>
          <w:tcPr>
            <w:tcW w:w="135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2AA67A8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0</w:t>
            </w:r>
          </w:p>
        </w:tc>
        <w:tc>
          <w:tcPr>
            <w:tcW w:w="153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4FB74E1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463B489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$8,421</w:t>
            </w:r>
          </w:p>
        </w:tc>
        <w:tc>
          <w:tcPr>
            <w:tcW w:w="1440" w:type="dxa"/>
            <w:tcBorders>
              <w:top w:val="single" w:sz="7" w:space="0" w:color="000000"/>
              <w:left w:val="single" w:sz="7" w:space="0" w:color="000000"/>
              <w:bottom w:val="single" w:sz="6" w:space="0" w:color="FFFFFF"/>
              <w:right w:val="single" w:sz="6" w:space="0" w:color="FFFFFF"/>
            </w:tcBorders>
            <w:vAlign w:val="center"/>
          </w:tcPr>
          <w:p w:rsidR="009A3BB5" w:rsidRPr="009A3BB5" w:rsidP="009A3BB5" w14:paraId="6B5C448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12</w:t>
            </w:r>
          </w:p>
        </w:tc>
        <w:tc>
          <w:tcPr>
            <w:tcW w:w="1020" w:type="dxa"/>
            <w:tcBorders>
              <w:top w:val="single" w:sz="7" w:space="0" w:color="000000"/>
              <w:left w:val="single" w:sz="7" w:space="0" w:color="000000"/>
              <w:bottom w:val="single" w:sz="6" w:space="0" w:color="FFFFFF"/>
              <w:right w:val="single" w:sz="7" w:space="0" w:color="000000"/>
            </w:tcBorders>
            <w:vAlign w:val="center"/>
          </w:tcPr>
          <w:p w:rsidR="009A3BB5" w:rsidRPr="009A3BB5" w:rsidP="009A3BB5" w14:paraId="4DBD1AE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$101,052</w:t>
            </w:r>
          </w:p>
        </w:tc>
      </w:tr>
      <w:tr w14:paraId="48FDD8EC" w14:textId="77777777" w:rsidTr="00C17C13">
        <w:tblPrEx>
          <w:tblW w:w="9360" w:type="dxa"/>
          <w:tblInd w:w="111" w:type="dxa"/>
          <w:tblLayout w:type="fixed"/>
          <w:tblCellMar>
            <w:left w:w="111" w:type="dxa"/>
            <w:right w:w="111" w:type="dxa"/>
          </w:tblCellMar>
          <w:tblLook w:val="0000"/>
        </w:tblPrEx>
        <w:trPr>
          <w:cantSplit/>
          <w:trHeight w:val="307"/>
        </w:trPr>
        <w:tc>
          <w:tcPr>
            <w:tcW w:w="1320" w:type="dxa"/>
            <w:tcBorders>
              <w:top w:val="single" w:sz="7" w:space="0" w:color="000000"/>
              <w:left w:val="single" w:sz="7" w:space="0" w:color="000000"/>
              <w:bottom w:val="single" w:sz="7" w:space="0" w:color="000000"/>
              <w:right w:val="single" w:sz="6" w:space="0" w:color="FFFFFF"/>
            </w:tcBorders>
            <w:vAlign w:val="center"/>
          </w:tcPr>
          <w:p w:rsidR="009A3BB5" w:rsidRPr="009A3BB5" w:rsidP="009A3BB5" w14:paraId="0D1A8A1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rPr>
                <w:rFonts w:eastAsia="Times New Roman" w:cstheme="minorHAnsi"/>
                <w:color w:val="000000"/>
                <w:sz w:val="20"/>
                <w:szCs w:val="20"/>
              </w:rPr>
            </w:pPr>
            <w:r w:rsidRPr="009A3BB5">
              <w:rPr>
                <w:rFonts w:eastAsia="Times New Roman" w:cstheme="minorHAnsi"/>
                <w:color w:val="000000"/>
                <w:sz w:val="20"/>
                <w:szCs w:val="20"/>
              </w:rPr>
              <w:t>Total</w:t>
            </w:r>
          </w:p>
        </w:tc>
        <w:tc>
          <w:tcPr>
            <w:tcW w:w="1350" w:type="dxa"/>
            <w:tcBorders>
              <w:top w:val="single" w:sz="7" w:space="0" w:color="000000"/>
              <w:left w:val="single" w:sz="7" w:space="0" w:color="000000"/>
              <w:bottom w:val="single" w:sz="7" w:space="0" w:color="000000"/>
              <w:right w:val="single" w:sz="6" w:space="0" w:color="FFFFFF"/>
            </w:tcBorders>
            <w:vAlign w:val="center"/>
          </w:tcPr>
          <w:p w:rsidR="009A3BB5" w:rsidRPr="009A3BB5" w:rsidP="009A3BB5" w14:paraId="4E2FAB1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9A3BB5" w:rsidRPr="009A3BB5" w:rsidP="009A3BB5" w14:paraId="15C3169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p>
        </w:tc>
        <w:tc>
          <w:tcPr>
            <w:tcW w:w="1530" w:type="dxa"/>
            <w:tcBorders>
              <w:top w:val="single" w:sz="7" w:space="0" w:color="000000"/>
              <w:left w:val="single" w:sz="7" w:space="0" w:color="000000"/>
              <w:bottom w:val="single" w:sz="7" w:space="0" w:color="000000"/>
              <w:right w:val="single" w:sz="6" w:space="0" w:color="FFFFFF"/>
            </w:tcBorders>
            <w:vAlign w:val="center"/>
          </w:tcPr>
          <w:p w:rsidR="009A3BB5" w:rsidRPr="009A3BB5" w:rsidP="009A3BB5" w14:paraId="7846E0D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9A3BB5" w:rsidRPr="009A3BB5" w:rsidP="009A3BB5" w14:paraId="522CA29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9A3BB5" w:rsidRPr="009A3BB5" w:rsidP="009A3BB5" w14:paraId="1565AEA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p>
        </w:tc>
        <w:tc>
          <w:tcPr>
            <w:tcW w:w="1020" w:type="dxa"/>
            <w:tcBorders>
              <w:top w:val="single" w:sz="7" w:space="0" w:color="000000"/>
              <w:left w:val="single" w:sz="7" w:space="0" w:color="000000"/>
              <w:bottom w:val="single" w:sz="7" w:space="0" w:color="000000"/>
              <w:right w:val="single" w:sz="7" w:space="0" w:color="000000"/>
            </w:tcBorders>
            <w:vAlign w:val="center"/>
          </w:tcPr>
          <w:p w:rsidR="009A3BB5" w:rsidRPr="009A3BB5" w:rsidP="009A3BB5" w14:paraId="78EA20E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contextualSpacing/>
              <w:jc w:val="center"/>
              <w:rPr>
                <w:rFonts w:eastAsia="Times New Roman" w:cstheme="minorHAnsi"/>
                <w:color w:val="000000"/>
                <w:sz w:val="20"/>
                <w:szCs w:val="20"/>
              </w:rPr>
            </w:pPr>
            <w:r w:rsidRPr="009A3BB5">
              <w:rPr>
                <w:rFonts w:eastAsia="Times New Roman" w:cstheme="minorHAnsi"/>
                <w:color w:val="000000"/>
                <w:sz w:val="20"/>
                <w:szCs w:val="20"/>
              </w:rPr>
              <w:t>$107,000</w:t>
            </w:r>
          </w:p>
        </w:tc>
      </w:tr>
    </w:tbl>
    <w:p w:rsidR="009A3BB5" w:rsidRPr="0070583A" w:rsidP="00CB4747" w14:paraId="775493F0" w14:textId="3BCACF07">
      <w:pPr>
        <w:spacing w:line="259" w:lineRule="auto"/>
        <w:ind w:left="0" w:firstLine="720"/>
        <w:rPr>
          <w:rFonts w:cstheme="minorHAnsi"/>
          <w:sz w:val="18"/>
          <w:szCs w:val="18"/>
        </w:rPr>
      </w:pPr>
      <w:r w:rsidRPr="0070583A">
        <w:rPr>
          <w:rFonts w:cstheme="minorHAnsi"/>
          <w:sz w:val="18"/>
          <w:szCs w:val="18"/>
        </w:rPr>
        <w:t>Note: Totals have been rounded to 3 significant figures. Figures may not add exactly due to rounding.</w:t>
      </w:r>
    </w:p>
    <w:p w:rsidR="009A3BB5" w:rsidRPr="009A3BB5" w:rsidP="0070583A" w14:paraId="01249AE8" w14:textId="6A7A0D90">
      <w:pPr>
        <w:spacing w:line="259" w:lineRule="auto"/>
        <w:rPr>
          <w:rFonts w:cstheme="minorHAnsi"/>
        </w:rPr>
      </w:pPr>
      <w:r w:rsidRPr="009A3BB5">
        <w:rPr>
          <w:rFonts w:cstheme="minorHAnsi"/>
        </w:rPr>
        <w:t>The total capital/startup costs for this ICR are $0. This is the total of column D in the above table.</w:t>
      </w:r>
    </w:p>
    <w:p w:rsidR="009A3BB5" w:rsidRPr="009A3BB5" w:rsidP="0070583A" w14:paraId="5AA8F051" w14:textId="12107D66">
      <w:pPr>
        <w:spacing w:line="259" w:lineRule="auto"/>
        <w:ind w:left="0" w:firstLine="0"/>
        <w:rPr>
          <w:rFonts w:cstheme="minorHAnsi"/>
        </w:rPr>
      </w:pPr>
      <w:r w:rsidRPr="009A3BB5">
        <w:rPr>
          <w:rFonts w:cstheme="minorHAnsi"/>
        </w:rPr>
        <w:t xml:space="preserve">The total operation and maintenance (O&amp;M) costs for this ICR are $107,000. This is the total of column G. </w:t>
      </w:r>
    </w:p>
    <w:p w:rsidR="007077E8" w:rsidRPr="002943D2" w:rsidP="002943D2" w14:paraId="6947A9C5" w14:textId="2D4CF21A">
      <w:pPr>
        <w:spacing w:line="259" w:lineRule="auto"/>
        <w:ind w:left="0" w:firstLine="0"/>
        <w:rPr>
          <w:rFonts w:cstheme="minorHAnsi"/>
        </w:rPr>
      </w:pPr>
      <w:r w:rsidRPr="009A3BB5">
        <w:rPr>
          <w:rFonts w:cstheme="minorHAnsi"/>
        </w:rPr>
        <w:t>The average annual cost for capital/startup and operation and maintenance costs to industry over the next three years of the ICR is estimated to be $107,000.</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9F1E00" w:rsidP="000205F3" w14:paraId="647FDC77" w14:textId="37D19955">
      <w:pPr>
        <w:spacing w:line="259" w:lineRule="auto"/>
        <w:ind w:left="0" w:firstLine="720"/>
        <w:rPr>
          <w:rFonts w:cstheme="minorHAnsi"/>
        </w:rPr>
      </w:pPr>
      <w:r w:rsidRPr="000205F3">
        <w:rPr>
          <w:rFonts w:cstheme="minorHAnsi"/>
        </w:rPr>
        <w:t>EPA conducts the following activities in connection with the acquisition, analysis, storage, and distribution of the required information:</w:t>
      </w:r>
    </w:p>
    <w:p w:rsidR="00B46501" w:rsidRPr="00B46501" w:rsidP="00B46501" w14:paraId="0A288C9A" w14:textId="77777777">
      <w:pPr>
        <w:pStyle w:val="ListParagraph"/>
        <w:numPr>
          <w:ilvl w:val="0"/>
          <w:numId w:val="31"/>
        </w:numPr>
        <w:spacing w:line="259" w:lineRule="auto"/>
        <w:rPr>
          <w:rFonts w:cstheme="minorHAnsi"/>
        </w:rPr>
      </w:pPr>
      <w:r w:rsidRPr="00B46501">
        <w:rPr>
          <w:rFonts w:cstheme="minorHAnsi"/>
        </w:rPr>
        <w:t>Review notifications and reports, including performance test reports, and excess emissions reports, required to be submitted by industry.</w:t>
      </w:r>
    </w:p>
    <w:p w:rsidR="00B46501" w:rsidRPr="00B46501" w:rsidP="00B46501" w14:paraId="50A6B10F" w14:textId="77777777">
      <w:pPr>
        <w:pStyle w:val="ListParagraph"/>
        <w:numPr>
          <w:ilvl w:val="0"/>
          <w:numId w:val="31"/>
        </w:numPr>
        <w:spacing w:line="259" w:lineRule="auto"/>
        <w:rPr>
          <w:rFonts w:cstheme="minorHAnsi"/>
        </w:rPr>
      </w:pPr>
      <w:r w:rsidRPr="00B46501">
        <w:rPr>
          <w:rFonts w:cstheme="minorHAnsi"/>
        </w:rPr>
        <w:t>Audit facility records.</w:t>
      </w:r>
    </w:p>
    <w:p w:rsidR="000205F3" w:rsidRPr="00B46501" w:rsidP="00B46501" w14:paraId="74FF48E3" w14:textId="25E3605F">
      <w:pPr>
        <w:pStyle w:val="ListParagraph"/>
        <w:numPr>
          <w:ilvl w:val="0"/>
          <w:numId w:val="31"/>
        </w:numPr>
        <w:spacing w:line="259" w:lineRule="auto"/>
        <w:rPr>
          <w:rFonts w:cstheme="minorHAnsi"/>
        </w:rPr>
      </w:pPr>
      <w:r w:rsidRPr="00B46501">
        <w:rPr>
          <w:rFonts w:cstheme="minorHAnsi"/>
        </w:rPr>
        <w:t>Input, analyze, and maintain data in the Enforcement and Compliance History Online (ECHO) and ICIS.</w:t>
      </w:r>
    </w:p>
    <w:p w:rsidR="00B46501" w:rsidP="00BC432E" w14:paraId="11AAA694" w14:textId="01127D61">
      <w:pPr>
        <w:spacing w:line="259" w:lineRule="auto"/>
        <w:ind w:left="0" w:firstLine="720"/>
        <w:rPr>
          <w:rFonts w:cstheme="minorHAnsi"/>
        </w:rPr>
      </w:pPr>
      <w:r w:rsidRPr="00BC432E">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3C349B" w:rsidRPr="003C349B" w:rsidP="003C349B" w14:paraId="292BA94A" w14:textId="67672F18">
      <w:pPr>
        <w:spacing w:line="259" w:lineRule="auto"/>
        <w:ind w:left="0" w:firstLine="720"/>
        <w:rPr>
          <w:rFonts w:cstheme="minorHAnsi"/>
        </w:rPr>
      </w:pPr>
      <w:r w:rsidRPr="003C349B">
        <w:rPr>
          <w:rFonts w:cstheme="minorHAnsi"/>
        </w:rPr>
        <w:t>The only costs to the Agency are those costs associated with analysis of the reported information. EPA's overall compliance and enforcement program includes such activities as the examination of records maintained by the respondents, periodic inspection of sources of emissions, and the publication and distribution of collected information.</w:t>
      </w:r>
    </w:p>
    <w:p w:rsidR="003C349B" w:rsidRPr="003C349B" w:rsidP="003C349B" w14:paraId="243186C8" w14:textId="77777777">
      <w:pPr>
        <w:spacing w:line="259" w:lineRule="auto"/>
        <w:ind w:left="0" w:firstLine="0"/>
        <w:rPr>
          <w:rFonts w:cstheme="minorHAnsi"/>
        </w:rPr>
      </w:pPr>
      <w:r w:rsidRPr="003C349B">
        <w:rPr>
          <w:rFonts w:cstheme="minorHAnsi"/>
        </w:rPr>
        <w:t>The average annual Agency cost during the three years of the ICR is estimated to be $56,400.</w:t>
      </w:r>
    </w:p>
    <w:p w:rsidR="003C349B" w:rsidRPr="003C349B" w:rsidP="003C349B" w14:paraId="45D3460A" w14:textId="77777777">
      <w:pPr>
        <w:spacing w:line="259" w:lineRule="auto"/>
        <w:ind w:left="0" w:firstLine="0"/>
        <w:contextualSpacing/>
        <w:rPr>
          <w:rFonts w:cstheme="minorHAnsi"/>
        </w:rPr>
      </w:pPr>
      <w:r w:rsidRPr="003C349B">
        <w:rPr>
          <w:rFonts w:cstheme="minorHAnsi"/>
        </w:rPr>
        <w:t>This cost is based on the average hourly labor rate as follows:</w:t>
      </w:r>
    </w:p>
    <w:p w:rsidR="003C349B" w:rsidRPr="003C349B" w:rsidP="003C349B" w14:paraId="1688D0BD" w14:textId="7C868721">
      <w:pPr>
        <w:spacing w:line="259" w:lineRule="auto"/>
        <w:ind w:left="0" w:firstLine="0"/>
        <w:contextualSpacing/>
        <w:rPr>
          <w:rFonts w:cstheme="minorHAnsi"/>
        </w:rPr>
      </w:pPr>
      <w:r w:rsidRPr="003C349B">
        <w:rPr>
          <w:rFonts w:cstheme="minorHAnsi"/>
        </w:rPr>
        <w:tab/>
      </w:r>
      <w:r w:rsidRPr="003C349B">
        <w:rPr>
          <w:rFonts w:cstheme="minorHAnsi"/>
        </w:rPr>
        <w:tab/>
        <w:t>Managerial</w:t>
      </w:r>
      <w:r w:rsidRPr="003C349B">
        <w:rPr>
          <w:rFonts w:cstheme="minorHAnsi"/>
        </w:rPr>
        <w:tab/>
        <w:t>$70.56 (GS-13, Step 5, $44.10 + 60%)</w:t>
      </w:r>
    </w:p>
    <w:p w:rsidR="003C349B" w:rsidRPr="003C349B" w:rsidP="003C349B" w14:paraId="19BC9730" w14:textId="77777777">
      <w:pPr>
        <w:spacing w:line="259" w:lineRule="auto"/>
        <w:ind w:left="0" w:firstLine="0"/>
        <w:contextualSpacing/>
        <w:rPr>
          <w:rFonts w:cstheme="minorHAnsi"/>
        </w:rPr>
      </w:pPr>
      <w:r w:rsidRPr="003C349B">
        <w:rPr>
          <w:rFonts w:cstheme="minorHAnsi"/>
        </w:rPr>
        <w:tab/>
      </w:r>
      <w:r w:rsidRPr="003C349B">
        <w:rPr>
          <w:rFonts w:cstheme="minorHAnsi"/>
        </w:rPr>
        <w:tab/>
        <w:t>Technical</w:t>
      </w:r>
      <w:r w:rsidRPr="003C349B">
        <w:rPr>
          <w:rFonts w:cstheme="minorHAnsi"/>
        </w:rPr>
        <w:tab/>
        <w:t>$52.37 (GS-12, Step 1, $32.73 + 60%)</w:t>
      </w:r>
    </w:p>
    <w:p w:rsidR="003C349B" w:rsidRPr="003C349B" w:rsidP="003C349B" w14:paraId="7300CC93" w14:textId="13E2063A">
      <w:pPr>
        <w:spacing w:line="259" w:lineRule="auto"/>
        <w:ind w:left="0" w:firstLine="0"/>
        <w:rPr>
          <w:rFonts w:cstheme="minorHAnsi"/>
        </w:rPr>
      </w:pPr>
      <w:r w:rsidRPr="003C349B">
        <w:rPr>
          <w:rFonts w:cstheme="minorHAnsi"/>
        </w:rPr>
        <w:tab/>
      </w:r>
      <w:r w:rsidRPr="003C349B">
        <w:rPr>
          <w:rFonts w:cstheme="minorHAnsi"/>
        </w:rPr>
        <w:tab/>
        <w:t>Clerical</w:t>
      </w:r>
      <w:r w:rsidRPr="003C349B">
        <w:rPr>
          <w:rFonts w:cstheme="minorHAnsi"/>
        </w:rPr>
        <w:tab/>
      </w:r>
      <w:r w:rsidR="00E03954">
        <w:rPr>
          <w:rFonts w:cstheme="minorHAnsi"/>
        </w:rPr>
        <w:tab/>
      </w:r>
      <w:r w:rsidRPr="003C349B">
        <w:rPr>
          <w:rFonts w:cstheme="minorHAnsi"/>
        </w:rPr>
        <w:t>$28.34 (GS-6, Step 3, $17.71 + 60%)</w:t>
      </w:r>
    </w:p>
    <w:p w:rsidR="00BB3410" w:rsidP="003C349B" w14:paraId="5BA12778" w14:textId="3D2CE533">
      <w:pPr>
        <w:spacing w:line="259" w:lineRule="auto"/>
        <w:ind w:left="0" w:firstLine="720"/>
        <w:rPr>
          <w:rFonts w:cstheme="minorHAnsi"/>
        </w:rPr>
      </w:pPr>
      <w:r w:rsidRPr="003C349B">
        <w:rPr>
          <w:rFonts w:cstheme="minorHAnsi"/>
        </w:rPr>
        <w:t>These rates are from the Office of Personnel Management (OPM), 2022 General Schedule, which excludes locality rates of pay. The rates have been increased by 60 percent to account for the benefit packages available to government employees. Details upon which this estimate is based appear below in Table 2: Average Annual EPA Burden and Cost – NESHAP for Coke Oven Pushing, Quenching, and Battery Stacks (40 CFR Part 63, Subpart CCCCC) (Final Amendments).</w:t>
      </w:r>
    </w:p>
    <w:p w:rsidR="006B5784" w:rsidRPr="006B5784" w:rsidP="006B5784" w14:paraId="13983C5C" w14:textId="77777777">
      <w:pPr>
        <w:spacing w:line="259" w:lineRule="auto"/>
        <w:ind w:left="0" w:firstLine="720"/>
        <w:rPr>
          <w:rFonts w:cstheme="minorHAnsi"/>
        </w:rPr>
      </w:pPr>
      <w:r w:rsidRPr="006B5784">
        <w:rPr>
          <w:rFonts w:cstheme="minorHAnsi"/>
        </w:rPr>
        <w:t xml:space="preserve">The average annual Agency burden and cost over next three years is estimated to be 1,100 labor hours at a cost of $56,400; see below in Table 2: Average Annual EPA Burden and Cost – NESHAP for Coke Oven Pushing, Quenching, and Battery Stacks (40 CFR Part 63, Subpart CCCCC) (Final Amendments). </w:t>
      </w:r>
    </w:p>
    <w:p w:rsidR="008A1B8A" w:rsidP="006B5784" w14:paraId="4E378487" w14:textId="70FA63D5">
      <w:pPr>
        <w:spacing w:line="259" w:lineRule="auto"/>
        <w:ind w:left="0" w:firstLine="720"/>
        <w:rPr>
          <w:rFonts w:cstheme="minorHAnsi"/>
        </w:rPr>
      </w:pPr>
      <w:r w:rsidRPr="006B5784">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34E78" w:rsidRPr="00434E78" w:rsidP="00434E78" w14:paraId="01724E3A" w14:textId="44AAC155">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14c. </w:t>
      </w:r>
      <w:r w:rsidRPr="008B3B3E" w:rsidR="00D17BB9">
        <w:rPr>
          <w:rFonts w:asciiTheme="minorHAnsi" w:hAnsiTheme="minorHAnsi" w:cstheme="minorHAnsi"/>
          <w:b/>
          <w:bCs/>
          <w:color w:val="000000" w:themeColor="text1"/>
          <w:sz w:val="22"/>
          <w:szCs w:val="22"/>
        </w:rPr>
        <w:t>Agency Non-Labor Costs</w:t>
      </w:r>
    </w:p>
    <w:p w:rsidR="00BB3410" w:rsidP="002943D2" w14:paraId="7FCA1ABF" w14:textId="0C38809B">
      <w:pPr>
        <w:spacing w:line="259" w:lineRule="auto"/>
        <w:ind w:left="0" w:firstLine="0"/>
        <w:rPr>
          <w:rFonts w:cstheme="minorHAnsi"/>
        </w:rPr>
      </w:pPr>
      <w:r w:rsidRPr="00F32283">
        <w:rPr>
          <w:rFonts w:cstheme="minorHAnsi"/>
        </w:rPr>
        <w:t>There are no anticipated non-labor costs for the Agency.</w:t>
      </w:r>
    </w:p>
    <w:p w:rsidR="00434E78"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434E78">
        <w:rPr>
          <w:rFonts w:asciiTheme="minorHAnsi" w:hAnsiTheme="minorHAnsi" w:cstheme="minorHAnsi"/>
          <w:b/>
          <w:bCs/>
          <w:color w:val="000000" w:themeColor="text1"/>
          <w:sz w:val="22"/>
          <w:szCs w:val="22"/>
        </w:rPr>
        <w:t>14d. Agency Total Costs</w:t>
      </w:r>
    </w:p>
    <w:p w:rsidR="00434E78" w:rsidP="00434E78" w14:paraId="2BE133DD" w14:textId="01AD94EA">
      <w:pPr>
        <w:spacing w:line="259" w:lineRule="auto"/>
        <w:ind w:left="0" w:firstLine="0"/>
        <w:rPr>
          <w:rFonts w:cstheme="minorHAnsi"/>
        </w:rPr>
      </w:pPr>
      <w:r w:rsidRPr="00F32283">
        <w:rPr>
          <w:rFonts w:cstheme="minorHAnsi"/>
        </w:rPr>
        <w:t>The average annual Agency burden and cost over next three years is estimated to be 1,100 labor hours at a cost of $56,400</w:t>
      </w:r>
      <w:r>
        <w:rPr>
          <w:rFonts w:cstheme="minorHAnsi"/>
        </w:rPr>
        <w:t>.</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967C23" w:rsidRPr="00967C23" w:rsidP="00967C23" w14:paraId="6A7F6397" w14:textId="77777777">
      <w:pPr>
        <w:spacing w:line="259" w:lineRule="auto"/>
        <w:ind w:left="0" w:firstLine="720"/>
        <w:rPr>
          <w:rFonts w:cstheme="minorHAnsi"/>
        </w:rPr>
      </w:pPr>
      <w:r w:rsidRPr="00967C23">
        <w:rPr>
          <w:rFonts w:cstheme="minorHAnsi"/>
        </w:rPr>
        <w:t>This ICR is prepared for final RTR amendments to the NESHAP for Coke Oven Pushing, Quenching, and Battery Stacks (40 CFR, Part 63, Subpart CCCCC). These RTR amendments: (1) adjust references to the Part 63 General Provisions (40 CFR, Part 63, Subpart A) and revise provisions in the NESHAP (40 CFR Part 63, Subpart CCCCC) to remove the SSM exemption and SSM plan requirement; (2) add requirements for the control of Hg, total AG, HCN, and total PAH from pushing sources; Hg, PM, total AG, and HCN from battery stacks; Hg, PM, AG, total PAH from HRSG main stacks; and Hg PM, total AG, total PAH, and formaldehyde from HRSG bypass/waste heat stacks; (3) add electronic submittal of notifications, semiannual reports, and performance test reports; and (4) make technical and editorial changes. Where applicable, adjustments for these RTR amendments are reflected in Tables 1 and 2 of this ICR.</w:t>
      </w:r>
    </w:p>
    <w:p w:rsidR="00967C23" w:rsidRPr="00967C23" w:rsidP="00967C23" w14:paraId="44CF0DFB" w14:textId="77777777">
      <w:pPr>
        <w:spacing w:line="259" w:lineRule="auto"/>
        <w:ind w:left="0" w:firstLine="720"/>
        <w:rPr>
          <w:rFonts w:cstheme="minorHAnsi"/>
        </w:rPr>
      </w:pPr>
      <w:r w:rsidRPr="00967C23">
        <w:rPr>
          <w:rFonts w:cstheme="minorHAnsi"/>
        </w:rPr>
        <w:t>The number of affected facilities changed because of continued closures within the Coke Manufacturing industry, which reduced the number of facilities previously affected by Subpart CCCCC.</w:t>
      </w:r>
    </w:p>
    <w:p w:rsidR="00ED57A4" w:rsidRPr="002943D2" w:rsidP="00967C23" w14:paraId="18F76AB6" w14:textId="0DEFA21C">
      <w:pPr>
        <w:spacing w:line="259" w:lineRule="auto"/>
        <w:ind w:left="0" w:firstLine="720"/>
        <w:rPr>
          <w:rFonts w:cstheme="minorHAnsi"/>
        </w:rPr>
      </w:pPr>
      <w:r w:rsidRPr="00967C23">
        <w:rPr>
          <w:rFonts w:cstheme="minorHAnsi"/>
        </w:rPr>
        <w:t>Costs per labor hour increased slightly due to increases in Technical and Clerical labor rates. The burden estimate for familiarizing with regulatory requirements was increased to reflect the actual time it would take industry to review the amendments. Burden estimates were added for the industry to meet the requirements for the control of Hg, total AG, HCN, and total PAH from pushing sources; Hg, PM, total AG, and HCN from battery stacks; Hg, PM, AG, total PAH from HRSG main stacks; and Hg PM, total AG, total PAH, and formaldehyde from HRSG bypass/waste heat stacks, prepare notifications of performance test/performance evaluation, report the results of the performance tests through the ERT, prepare notification of compliance status, record failures to meet standards and actions taken to minimize emissions, conduct refresher training, transition to submitting notifications and semiannual reports through CEDRI, and compile data for semiannual reports. Burden estimates were removed for developing SSM plans and submitting periodic SSM reports.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12E9" w:rsidRPr="001412E9" w:rsidP="001412E9" w14:paraId="6FB82FF1" w14:textId="77777777">
      <w:pPr>
        <w:spacing w:line="259" w:lineRule="auto"/>
        <w:ind w:left="0" w:firstLine="720"/>
        <w:rPr>
          <w:rFonts w:cstheme="minorHAnsi"/>
        </w:rPr>
      </w:pPr>
      <w:r w:rsidRPr="001412E9">
        <w:rPr>
          <w:rFonts w:cstheme="minorHAnsi"/>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73767D" w:rsidRPr="008B3B3E" w:rsidP="001412E9" w14:paraId="5CBE5491" w14:textId="4FFAEDE8">
      <w:pPr>
        <w:spacing w:line="259" w:lineRule="auto"/>
        <w:ind w:left="0" w:firstLine="0"/>
        <w:rPr>
          <w:rFonts w:cstheme="minorHAnsi"/>
        </w:rPr>
      </w:pPr>
      <w:r w:rsidRPr="001412E9">
        <w:rPr>
          <w:rFonts w:cstheme="minorHAnsi"/>
        </w:rPr>
        <w:t>The records required by this regulation must be retained by the owner/operator for five years.</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688A2012">
      <w:pPr>
        <w:spacing w:line="259" w:lineRule="auto"/>
        <w:ind w:left="0" w:firstLine="0"/>
        <w:rPr>
          <w:rFonts w:cstheme="minorHAnsi"/>
        </w:rPr>
      </w:pPr>
      <w:r w:rsidRPr="00901650">
        <w:rPr>
          <w:rFonts w:cstheme="minorHAnsi"/>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765ADEF0">
      <w:pPr>
        <w:spacing w:line="259" w:lineRule="auto"/>
        <w:ind w:left="0" w:firstLine="0"/>
        <w:rPr>
          <w:rFonts w:cstheme="minorHAnsi"/>
        </w:rPr>
      </w:pPr>
      <w:r w:rsidRPr="00901650">
        <w:rPr>
          <w:rFonts w:cstheme="minorHAnsi"/>
        </w:rPr>
        <w:t>This information collection complies with all provisions of the Certification for Paperwork Reduction Act Submissions.</w:t>
      </w:r>
    </w:p>
    <w:p w:rsidR="00BB3410" w:rsidRPr="00EB3FEB" w:rsidP="00940939" w14:paraId="02BFB1B4" w14:textId="10B04B44">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r w:rsidR="00D10994">
        <w:rPr>
          <w:rFonts w:asciiTheme="minorHAnsi" w:hAnsiTheme="minorHAnsi" w:cstheme="minorHAnsi"/>
          <w:b/>
          <w:bCs/>
          <w:color w:val="000000" w:themeColor="text1"/>
          <w:sz w:val="22"/>
          <w:szCs w:val="22"/>
        </w:rPr>
        <w:t>:</w:t>
      </w:r>
    </w:p>
    <w:p w:rsidR="00901650" w:rsidRPr="00901650" w:rsidP="00901650" w14:paraId="5128EF65" w14:textId="77777777">
      <w:pPr>
        <w:spacing w:line="259" w:lineRule="auto"/>
        <w:ind w:left="0" w:firstLine="720"/>
        <w:rPr>
          <w:rFonts w:cstheme="minorHAnsi"/>
        </w:rPr>
      </w:pPr>
      <w:r w:rsidRPr="00901650">
        <w:rPr>
          <w:rFonts w:cstheme="minorHAnsi"/>
        </w:rPr>
        <w:t>The annual public reporting and recordkeeping burden for this collection of information is estimated to average 351 hours per response. ‘Burden’ means the total time, effort, or financial resources expended by persons to generate, maintain, retain, or disclose or provide information either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previously-applicable instructions and requirements; train personnel to be able to respond to a collection of information; search data sources; complete and review the collection of information; and transmit or otherwise disclose the information.</w:t>
      </w:r>
    </w:p>
    <w:p w:rsidR="00052C16" w:rsidP="00901650" w14:paraId="2EB99920" w14:textId="019DA223">
      <w:pPr>
        <w:spacing w:line="259" w:lineRule="auto"/>
        <w:ind w:left="0" w:firstLine="720"/>
        <w:rPr>
          <w:rFonts w:cstheme="minorHAnsi"/>
        </w:rPr>
      </w:pPr>
      <w:r w:rsidRPr="00901650">
        <w:rPr>
          <w:rFonts w:cstheme="minorHAnsi"/>
        </w:rPr>
        <w:t>An agency may neither conduct nor sponsor, and a person is not required to respond to, a collection of information unless it displays a valid OMB Control Number. The OMB Control Numbers for EPA regulations are listed at 40 CFR Part 9 and 48 CFR Chapter 15.</w:t>
      </w:r>
    </w:p>
    <w:p w:rsidR="00524C1A" w:rsidP="00901650" w14:paraId="469442C6" w14:textId="77777777">
      <w:pPr>
        <w:spacing w:line="259" w:lineRule="auto"/>
        <w:ind w:left="0" w:firstLine="720"/>
        <w:rPr>
          <w:rFonts w:cstheme="minorHAnsi"/>
        </w:rPr>
        <w:sectPr w:rsidSect="000A1353">
          <w:footerReference w:type="default" r:id="rId9"/>
          <w:pgSz w:w="12240" w:h="15840"/>
          <w:pgMar w:top="1440" w:right="1440" w:bottom="1440" w:left="1440" w:header="720" w:footer="720" w:gutter="0"/>
          <w:cols w:space="720"/>
          <w:docGrid w:linePitch="360"/>
        </w:sectPr>
      </w:pPr>
    </w:p>
    <w:p w:rsidR="00EB3FEB" w:rsidP="00940939" w14:paraId="7C8FAC2A" w14:textId="56441FBB">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r w:rsidR="00D10994">
        <w:rPr>
          <w:rFonts w:asciiTheme="minorHAnsi" w:hAnsiTheme="minorHAnsi" w:cstheme="minorHAnsi"/>
          <w:b/>
          <w:bCs/>
          <w:color w:val="000000" w:themeColor="text1"/>
          <w:sz w:val="22"/>
          <w:szCs w:val="22"/>
        </w:rPr>
        <w:t>:</w:t>
      </w:r>
    </w:p>
    <w:p w:rsidR="004B3607" w:rsidRPr="002D0CE9" w:rsidP="002D0CE9" w14:paraId="637711AA" w14:textId="5BB41357">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2D0CE9">
        <w:rPr>
          <w:rFonts w:asciiTheme="minorHAnsi" w:hAnsiTheme="minorHAnsi" w:cstheme="minorHAnsi"/>
          <w:b/>
          <w:bCs/>
          <w:color w:val="000000" w:themeColor="text1"/>
          <w:sz w:val="22"/>
          <w:szCs w:val="22"/>
        </w:rPr>
        <w:t>Table 1: Annual Respondent Burden and Cost – NESHAP for Coke Oven Pushing, Quenching, and Battery Stacks (40 CFR Part 63, Subpart CCCCC) (Final Amendments)</w:t>
      </w:r>
    </w:p>
    <w:tbl>
      <w:tblPr>
        <w:tblW w:w="5000" w:type="pct"/>
        <w:tblLook w:val="04A0"/>
      </w:tblPr>
      <w:tblGrid>
        <w:gridCol w:w="1749"/>
        <w:gridCol w:w="1336"/>
        <w:gridCol w:w="1391"/>
        <w:gridCol w:w="1384"/>
        <w:gridCol w:w="1395"/>
        <w:gridCol w:w="1410"/>
        <w:gridCol w:w="1574"/>
        <w:gridCol w:w="1349"/>
        <w:gridCol w:w="1362"/>
      </w:tblGrid>
      <w:tr w14:paraId="2EBBAE74" w14:textId="77777777" w:rsidTr="002B6D73">
        <w:tblPrEx>
          <w:tblW w:w="5000" w:type="pct"/>
          <w:tblLook w:val="04A0"/>
        </w:tblPrEx>
        <w:trPr>
          <w:cantSplit/>
          <w:tblHeader/>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142E" w:rsidRPr="0084142E" w:rsidP="0084142E" w14:paraId="40DC0271"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Burden item</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84142E" w:rsidRPr="0084142E" w:rsidP="0084142E" w14:paraId="53568895"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(A) Person hours per occurrence</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84142E" w:rsidRPr="0084142E" w:rsidP="0084142E" w14:paraId="39C2ACAC"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(B) No. of occurrences per respondent per year</w:t>
            </w: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84142E" w:rsidRPr="0084142E" w:rsidP="0084142E" w14:paraId="7C671594"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(C) Person hours per respondent per year (</w:t>
            </w:r>
            <w:r w:rsidRPr="0084142E">
              <w:rPr>
                <w:rFonts w:eastAsia="Times New Roman" w:cstheme="minorHAnsi"/>
                <w:b/>
                <w:bCs/>
                <w:sz w:val="20"/>
                <w:szCs w:val="20"/>
              </w:rPr>
              <w:t>AxB</w:t>
            </w:r>
            <w:r w:rsidRPr="0084142E">
              <w:rPr>
                <w:rFonts w:eastAsia="Times New Roman" w:cstheme="minorHAnsi"/>
                <w:b/>
                <w:bCs/>
                <w:sz w:val="20"/>
                <w:szCs w:val="20"/>
              </w:rPr>
              <w:t>)</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84142E" w:rsidRPr="0084142E" w:rsidP="0084142E" w14:paraId="19B3B977"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xml:space="preserve">(D) Respondents per year </w:t>
            </w:r>
            <w:r w:rsidRPr="0084142E">
              <w:rPr>
                <w:rFonts w:eastAsia="Times New Roman" w:cstheme="minorHAnsi"/>
                <w:b/>
                <w:bCs/>
                <w:sz w:val="20"/>
                <w:szCs w:val="20"/>
                <w:vertAlign w:val="superscript"/>
              </w:rPr>
              <w:t>a</w:t>
            </w:r>
          </w:p>
        </w:tc>
        <w:tc>
          <w:tcPr>
            <w:tcW w:w="543" w:type="pct"/>
            <w:tcBorders>
              <w:top w:val="single" w:sz="4" w:space="0" w:color="auto"/>
              <w:left w:val="nil"/>
              <w:bottom w:val="single" w:sz="4" w:space="0" w:color="auto"/>
              <w:right w:val="single" w:sz="4" w:space="0" w:color="auto"/>
            </w:tcBorders>
            <w:shd w:val="clear" w:color="auto" w:fill="auto"/>
            <w:vAlign w:val="center"/>
            <w:hideMark/>
          </w:tcPr>
          <w:p w:rsidR="0084142E" w:rsidRPr="0084142E" w:rsidP="0084142E" w14:paraId="1EDED6E2"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(E) Technical person- hours per year (</w:t>
            </w:r>
            <w:r w:rsidRPr="0084142E">
              <w:rPr>
                <w:rFonts w:eastAsia="Times New Roman" w:cstheme="minorHAnsi"/>
                <w:b/>
                <w:bCs/>
                <w:sz w:val="20"/>
                <w:szCs w:val="20"/>
              </w:rPr>
              <w:t>CxD</w:t>
            </w:r>
            <w:r w:rsidRPr="0084142E">
              <w:rPr>
                <w:rFonts w:eastAsia="Times New Roman" w:cstheme="minorHAnsi"/>
                <w:b/>
                <w:bCs/>
                <w:sz w:val="20"/>
                <w:szCs w:val="20"/>
              </w:rPr>
              <w:t>)</w:t>
            </w:r>
          </w:p>
        </w:tc>
        <w:tc>
          <w:tcPr>
            <w:tcW w:w="613" w:type="pct"/>
            <w:tcBorders>
              <w:top w:val="single" w:sz="4" w:space="0" w:color="auto"/>
              <w:left w:val="nil"/>
              <w:bottom w:val="single" w:sz="4" w:space="0" w:color="auto"/>
              <w:right w:val="single" w:sz="4" w:space="0" w:color="auto"/>
            </w:tcBorders>
            <w:shd w:val="clear" w:color="auto" w:fill="auto"/>
            <w:vAlign w:val="center"/>
            <w:hideMark/>
          </w:tcPr>
          <w:p w:rsidR="0084142E" w:rsidRPr="0084142E" w:rsidP="0084142E" w14:paraId="65E66EF8"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(F) Management person hours per year (Ex0.05)</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84142E" w:rsidRPr="0084142E" w:rsidP="0084142E" w14:paraId="543C1C40"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(G) Clerical person hours per year (Ex0.1)</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84142E" w:rsidRPr="0084142E" w:rsidP="0084142E" w14:paraId="21149C44"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xml:space="preserve">(H) Total Cost Per year </w:t>
            </w:r>
            <w:r w:rsidRPr="0084142E">
              <w:rPr>
                <w:rFonts w:eastAsia="Times New Roman" w:cstheme="minorHAnsi"/>
                <w:b/>
                <w:bCs/>
                <w:sz w:val="20"/>
                <w:szCs w:val="20"/>
                <w:vertAlign w:val="superscript"/>
              </w:rPr>
              <w:t>b</w:t>
            </w:r>
          </w:p>
        </w:tc>
      </w:tr>
      <w:tr w14:paraId="7A55FDE8"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71205222"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1. Applications</w:t>
            </w:r>
          </w:p>
        </w:tc>
        <w:tc>
          <w:tcPr>
            <w:tcW w:w="512" w:type="pct"/>
            <w:tcBorders>
              <w:top w:val="nil"/>
              <w:left w:val="nil"/>
              <w:bottom w:val="single" w:sz="4" w:space="0" w:color="auto"/>
              <w:right w:val="nil"/>
            </w:tcBorders>
            <w:shd w:val="clear" w:color="auto" w:fill="auto"/>
            <w:vAlign w:val="bottom"/>
            <w:hideMark/>
          </w:tcPr>
          <w:p w:rsidR="0084142E" w:rsidRPr="0084142E" w:rsidP="0084142E" w14:paraId="7FFBD2D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N/A</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7AD38E7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210E474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3BD117A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5F84551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72C1A99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0A93522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hideMark/>
          </w:tcPr>
          <w:p w:rsidR="0084142E" w:rsidRPr="0084142E" w:rsidP="0084142E" w14:paraId="50C395C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r>
      <w:tr w14:paraId="5DABF094"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4FFAAED5"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2. Survey and Studies</w:t>
            </w:r>
          </w:p>
        </w:tc>
        <w:tc>
          <w:tcPr>
            <w:tcW w:w="512" w:type="pct"/>
            <w:tcBorders>
              <w:top w:val="nil"/>
              <w:left w:val="nil"/>
              <w:bottom w:val="single" w:sz="4" w:space="0" w:color="auto"/>
              <w:right w:val="nil"/>
            </w:tcBorders>
            <w:shd w:val="clear" w:color="auto" w:fill="auto"/>
            <w:vAlign w:val="bottom"/>
            <w:hideMark/>
          </w:tcPr>
          <w:p w:rsidR="0084142E" w:rsidRPr="0084142E" w:rsidP="0084142E" w14:paraId="5F11FD7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N/A</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5035A12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34738C9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4FE449C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03EF2C7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098A7F0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2138955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hideMark/>
          </w:tcPr>
          <w:p w:rsidR="0084142E" w:rsidRPr="0084142E" w:rsidP="0084142E" w14:paraId="12C654B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r>
      <w:tr w14:paraId="13634D03" w14:textId="77777777" w:rsidTr="002B6D73">
        <w:tblPrEx>
          <w:tblW w:w="5000" w:type="pct"/>
          <w:tblLook w:val="04A0"/>
        </w:tblPrEx>
        <w:trPr>
          <w:trHeight w:val="510"/>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28393549"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3. Acquisition, Installation, and Utilization of Technology and Systems</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35BDEAF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51ECD1F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053FB35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77CFFCC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0122296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169B21A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5867816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15DB269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155A0D96"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638E38BD"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4. Reporting Requirements</w:t>
            </w:r>
          </w:p>
        </w:tc>
        <w:tc>
          <w:tcPr>
            <w:tcW w:w="512" w:type="pct"/>
            <w:tcBorders>
              <w:top w:val="nil"/>
              <w:left w:val="nil"/>
              <w:bottom w:val="single" w:sz="4" w:space="0" w:color="auto"/>
              <w:right w:val="nil"/>
            </w:tcBorders>
            <w:shd w:val="clear" w:color="auto" w:fill="auto"/>
            <w:vAlign w:val="bottom"/>
            <w:hideMark/>
          </w:tcPr>
          <w:p w:rsidR="0084142E" w:rsidRPr="0084142E" w:rsidP="0084142E" w14:paraId="6223A3E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0C535DF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7549658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1BCA171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32E37AE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5BEE012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54AFE35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7AB1E2E3" w14:textId="6EEA0E8C">
            <w:pPr>
              <w:spacing w:after="0" w:line="240" w:lineRule="auto"/>
              <w:ind w:left="0" w:firstLine="0"/>
              <w:jc w:val="center"/>
              <w:rPr>
                <w:rFonts w:eastAsia="Times New Roman" w:cstheme="minorHAnsi"/>
                <w:sz w:val="20"/>
                <w:szCs w:val="20"/>
              </w:rPr>
            </w:pPr>
          </w:p>
        </w:tc>
      </w:tr>
      <w:tr w14:paraId="565EB70C"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3AC7F55B"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A. Familiarize with rule requirement</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241C70F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7225689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202AA56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1F172E0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574D16A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436A341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5C5E58F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2A889F9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$3,480.23</w:t>
            </w:r>
          </w:p>
        </w:tc>
      </w:tr>
      <w:tr w14:paraId="76504C9E"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0AA12FBD"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B. Required activities </w:t>
            </w:r>
            <w:r w:rsidRPr="0084142E">
              <w:rPr>
                <w:rFonts w:eastAsia="Times New Roman" w:cstheme="minorHAnsi"/>
                <w:sz w:val="20"/>
                <w:szCs w:val="20"/>
                <w:vertAlign w:val="superscript"/>
              </w:rPr>
              <w:t>c, d</w:t>
            </w:r>
          </w:p>
        </w:tc>
        <w:tc>
          <w:tcPr>
            <w:tcW w:w="512" w:type="pct"/>
            <w:tcBorders>
              <w:top w:val="nil"/>
              <w:left w:val="nil"/>
              <w:bottom w:val="single" w:sz="4" w:space="0" w:color="auto"/>
              <w:right w:val="nil"/>
            </w:tcBorders>
            <w:shd w:val="clear" w:color="auto" w:fill="auto"/>
            <w:vAlign w:val="bottom"/>
            <w:hideMark/>
          </w:tcPr>
          <w:p w:rsidR="0084142E" w:rsidRPr="0084142E" w:rsidP="0084142E" w14:paraId="64B11A1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794383B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2E2080E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2FFF241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6A1798C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264E27F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1F604F1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4CC68104" w14:textId="243CFB69">
            <w:pPr>
              <w:spacing w:after="0" w:line="240" w:lineRule="auto"/>
              <w:ind w:left="0" w:firstLine="0"/>
              <w:jc w:val="center"/>
              <w:rPr>
                <w:rFonts w:eastAsia="Times New Roman" w:cstheme="minorHAnsi"/>
                <w:sz w:val="20"/>
                <w:szCs w:val="20"/>
              </w:rPr>
            </w:pPr>
          </w:p>
        </w:tc>
      </w:tr>
      <w:tr w14:paraId="10431EBB"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01984542"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Method 5 performance test [PM] - Pushing </w:t>
            </w:r>
            <w:r w:rsidRPr="0084142E">
              <w:rPr>
                <w:rFonts w:eastAsia="Times New Roman" w:cstheme="minorHAnsi"/>
                <w:sz w:val="20"/>
                <w:szCs w:val="20"/>
                <w:vertAlign w:val="superscript"/>
              </w:rPr>
              <w:t>e, c</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49A5B23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74B1EB0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6891453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84</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2818AC7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4.8</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559C28A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403.2</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62D0014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20.16</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60CD071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40.32</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3496979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$58,467.83</w:t>
            </w:r>
          </w:p>
        </w:tc>
      </w:tr>
      <w:tr w14:paraId="644CA436"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79FEA45A"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29 performance test [Hg]- Pushing </w:t>
            </w:r>
            <w:r w:rsidRPr="0084142E">
              <w:rPr>
                <w:rFonts w:eastAsia="Times New Roman" w:cstheme="minorHAnsi"/>
                <w:sz w:val="20"/>
                <w:szCs w:val="20"/>
                <w:vertAlign w:val="superscript"/>
              </w:rPr>
              <w:t>f</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38F4084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04EE881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4DE80E0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84</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5A6F38C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77E1E50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201.6</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301C73B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10.08</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4E8F3D0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20.16</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6824BBF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$29,233.92</w:t>
            </w:r>
          </w:p>
        </w:tc>
      </w:tr>
      <w:tr w14:paraId="45EB1565"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6B449A82"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320 performance test [AG+HCN] - Pushing </w:t>
            </w:r>
            <w:r w:rsidRPr="0084142E">
              <w:rPr>
                <w:rFonts w:eastAsia="Times New Roman" w:cstheme="minorHAnsi"/>
                <w:sz w:val="20"/>
                <w:szCs w:val="20"/>
                <w:vertAlign w:val="superscript"/>
              </w:rPr>
              <w:t>f</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41E866D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0BBDF21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10FD27B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84</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5AEA26C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63DF2F3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201.6</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0423E37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10.08</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6FD94D4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20.16</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7E77685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$29,233.92</w:t>
            </w:r>
          </w:p>
        </w:tc>
      </w:tr>
      <w:tr w14:paraId="3DCA3DC1"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66A08F4B"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CARB 429 performance test [PAH] - Pushing </w:t>
            </w:r>
            <w:r w:rsidRPr="0084142E">
              <w:rPr>
                <w:rFonts w:eastAsia="Times New Roman" w:cstheme="minorHAnsi"/>
                <w:sz w:val="20"/>
                <w:szCs w:val="20"/>
                <w:vertAlign w:val="superscript"/>
              </w:rPr>
              <w:t>f</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38A614A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56730D6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16D708B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84</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5276CA9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324803B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201.6</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0FC24D2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10.08</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2C17BA2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20.16</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254E095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$29,233.92</w:t>
            </w:r>
          </w:p>
        </w:tc>
      </w:tr>
      <w:tr w14:paraId="3331179A"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12AFF074"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29 performance test [Hg] - </w:t>
            </w:r>
            <w:r w:rsidRPr="0084142E">
              <w:rPr>
                <w:rFonts w:eastAsia="Times New Roman" w:cstheme="minorHAnsi"/>
                <w:sz w:val="20"/>
                <w:szCs w:val="20"/>
              </w:rPr>
              <w:t>ByP</w:t>
            </w:r>
            <w:r w:rsidRPr="0084142E">
              <w:rPr>
                <w:rFonts w:eastAsia="Times New Roman" w:cstheme="minorHAnsi"/>
                <w:sz w:val="20"/>
                <w:szCs w:val="20"/>
              </w:rPr>
              <w:t xml:space="preserve"> Battery </w:t>
            </w:r>
            <w:r w:rsidRPr="0084142E">
              <w:rPr>
                <w:rFonts w:eastAsia="Times New Roman" w:cstheme="minorHAnsi"/>
                <w:sz w:val="20"/>
                <w:szCs w:val="20"/>
                <w:vertAlign w:val="superscript"/>
              </w:rPr>
              <w:t>g</w:t>
            </w:r>
            <w:r w:rsidRPr="0084142E">
              <w:rPr>
                <w:rFonts w:eastAsia="Times New Roman" w:cstheme="minorHAnsi"/>
                <w:sz w:val="20"/>
                <w:szCs w:val="20"/>
              </w:rPr>
              <w:t xml:space="preserve"> Combustion Stack</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02A855B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0EED944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4B5DCA6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96</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682B7A4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1.4</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66FF0F5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134.4</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61FB9D9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6.72</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0CD9C42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13.44</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1946261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$19,489.28</w:t>
            </w:r>
          </w:p>
        </w:tc>
      </w:tr>
      <w:tr w14:paraId="12BA2D43"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7D634C74"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5 performance test [PM] - </w:t>
            </w:r>
            <w:r w:rsidRPr="0084142E">
              <w:rPr>
                <w:rFonts w:eastAsia="Times New Roman" w:cstheme="minorHAnsi"/>
                <w:sz w:val="20"/>
                <w:szCs w:val="20"/>
              </w:rPr>
              <w:t>ByP</w:t>
            </w:r>
            <w:r w:rsidRPr="0084142E">
              <w:rPr>
                <w:rFonts w:eastAsia="Times New Roman" w:cstheme="minorHAnsi"/>
                <w:sz w:val="20"/>
                <w:szCs w:val="20"/>
              </w:rPr>
              <w:t xml:space="preserve"> Battery </w:t>
            </w:r>
            <w:r w:rsidRPr="0084142E">
              <w:rPr>
                <w:rFonts w:eastAsia="Times New Roman" w:cstheme="minorHAnsi"/>
                <w:sz w:val="20"/>
                <w:szCs w:val="20"/>
                <w:vertAlign w:val="superscript"/>
              </w:rPr>
              <w:t>g</w:t>
            </w:r>
            <w:r w:rsidRPr="0084142E">
              <w:rPr>
                <w:rFonts w:eastAsia="Times New Roman" w:cstheme="minorHAnsi"/>
                <w:sz w:val="20"/>
                <w:szCs w:val="20"/>
              </w:rPr>
              <w:t xml:space="preserve"> Combustion Stack</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6578F25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6BF65C6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6543E95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96</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795B3CE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1.4</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3C3CD17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134.4</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043BE6B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6.72</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090FE92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13.44</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4271619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$19,489.28</w:t>
            </w:r>
          </w:p>
        </w:tc>
      </w:tr>
      <w:tr w14:paraId="65921B7B"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0B670E6D"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320 performance test [AG+HCN] - </w:t>
            </w:r>
            <w:r w:rsidRPr="0084142E">
              <w:rPr>
                <w:rFonts w:eastAsia="Times New Roman" w:cstheme="minorHAnsi"/>
                <w:sz w:val="20"/>
                <w:szCs w:val="20"/>
              </w:rPr>
              <w:t>ByP</w:t>
            </w:r>
            <w:r w:rsidRPr="0084142E">
              <w:rPr>
                <w:rFonts w:eastAsia="Times New Roman" w:cstheme="minorHAnsi"/>
                <w:sz w:val="20"/>
                <w:szCs w:val="20"/>
              </w:rPr>
              <w:t xml:space="preserve"> Battery Combustion Stack </w:t>
            </w:r>
            <w:r w:rsidRPr="0084142E">
              <w:rPr>
                <w:rFonts w:eastAsia="Times New Roman" w:cstheme="minorHAnsi"/>
                <w:sz w:val="20"/>
                <w:szCs w:val="20"/>
                <w:vertAlign w:val="superscript"/>
              </w:rPr>
              <w:t>g</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0BA1301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41BE703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41E3DEF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96</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5DEDCCF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1.4</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06DE4AF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134.4</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18EF015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6.72</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2413E42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13.44</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2A24EC8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$19,489.28</w:t>
            </w:r>
          </w:p>
        </w:tc>
      </w:tr>
      <w:tr w14:paraId="412B39F6"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313518DF"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29 performance test [Hg] - HNR HRSG Main Stack </w:t>
            </w:r>
            <w:r w:rsidRPr="0084142E">
              <w:rPr>
                <w:rFonts w:eastAsia="Times New Roman" w:cstheme="minorHAnsi"/>
                <w:sz w:val="20"/>
                <w:szCs w:val="20"/>
                <w:vertAlign w:val="superscript"/>
              </w:rPr>
              <w:t>h</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5D07FF0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16CF651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2D6704D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52</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643291B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0.8</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030DD86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41.6</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4532B71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2.08</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45A79E0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4.16</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4A65DF1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$6,032.40</w:t>
            </w:r>
          </w:p>
        </w:tc>
      </w:tr>
      <w:tr w14:paraId="5889D19E"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325B6158"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5 performance test [PM] - HNR HRSG Main Stack </w:t>
            </w:r>
            <w:r w:rsidRPr="0084142E">
              <w:rPr>
                <w:rFonts w:eastAsia="Times New Roman" w:cstheme="minorHAnsi"/>
                <w:sz w:val="20"/>
                <w:szCs w:val="20"/>
                <w:vertAlign w:val="superscript"/>
              </w:rPr>
              <w:t>h</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76B231A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2D28A95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0BF5533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52</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5D86FC7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0.8</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1E9028A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41.6</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1B73D30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2.08</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457376E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4.16</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79A5611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$6,032.40</w:t>
            </w:r>
          </w:p>
        </w:tc>
      </w:tr>
      <w:tr w14:paraId="5BD201C5"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3A3B91C3"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26/26A performance test [AG] - HNR HRSG Main Stack </w:t>
            </w:r>
            <w:r w:rsidRPr="0084142E">
              <w:rPr>
                <w:rFonts w:eastAsia="Times New Roman" w:cstheme="minorHAnsi"/>
                <w:sz w:val="20"/>
                <w:szCs w:val="20"/>
                <w:vertAlign w:val="superscript"/>
              </w:rPr>
              <w:t>h</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1A53A6E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1635D2B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29E098A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52</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284E36E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0.8</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5B9C569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41.6</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17B3AF1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2.08</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634FAD1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4.16</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02B1032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$6,032.40</w:t>
            </w:r>
          </w:p>
        </w:tc>
      </w:tr>
      <w:tr w14:paraId="6F299B21"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229ADB48"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CARB 429 performance test [PAH] - HNR HRSG Main Stack </w:t>
            </w:r>
            <w:r w:rsidRPr="0084142E">
              <w:rPr>
                <w:rFonts w:eastAsia="Times New Roman" w:cstheme="minorHAnsi"/>
                <w:sz w:val="20"/>
                <w:szCs w:val="20"/>
                <w:vertAlign w:val="superscript"/>
              </w:rPr>
              <w:t>h</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29DB152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54C825C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1D5E399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52</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42D4C1E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0.8</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771EB50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41.6</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70136A5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2.08</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33E275A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4.16</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11C9360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$6,032.40</w:t>
            </w:r>
          </w:p>
        </w:tc>
      </w:tr>
      <w:tr w14:paraId="65308A60"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2A3127DE"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29 performance test - HNR HRSG Bypass/Waste Heat Stack </w:t>
            </w:r>
            <w:r w:rsidRPr="0084142E">
              <w:rPr>
                <w:rFonts w:eastAsia="Times New Roman" w:cstheme="minorHAnsi"/>
                <w:sz w:val="20"/>
                <w:szCs w:val="20"/>
                <w:vertAlign w:val="superscript"/>
              </w:rPr>
              <w:t>i</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3AD3324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533BFA2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10.6</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3EF94EE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7D55342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48BFCC5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010FC4C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21.2</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54FDF57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2DBDCB6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$61,484.03</w:t>
            </w:r>
          </w:p>
        </w:tc>
      </w:tr>
      <w:tr w14:paraId="3CCE39BD"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123976EB"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5 performance test - HNR HRSG Bypass/Waste Heat Stack </w:t>
            </w:r>
            <w:r w:rsidRPr="0084142E">
              <w:rPr>
                <w:rFonts w:eastAsia="Times New Roman" w:cstheme="minorHAnsi"/>
                <w:sz w:val="20"/>
                <w:szCs w:val="20"/>
                <w:vertAlign w:val="superscript"/>
              </w:rPr>
              <w:t>i</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4193DA6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602DA03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10.6</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51693EA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4D95FF4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0E6F733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64A36A0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21.2</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6C26999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1FDEAE3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$61,484.03</w:t>
            </w:r>
          </w:p>
        </w:tc>
      </w:tr>
      <w:tr w14:paraId="6A113E31"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4E89E59F"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26/26A performance test - HNR HRSG Bypass/Waste Heat Stack </w:t>
            </w:r>
            <w:r w:rsidRPr="0084142E">
              <w:rPr>
                <w:rFonts w:eastAsia="Times New Roman" w:cstheme="minorHAnsi"/>
                <w:sz w:val="20"/>
                <w:szCs w:val="20"/>
                <w:vertAlign w:val="superscript"/>
              </w:rPr>
              <w:t>i</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1B3AD61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3B32DA5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10.6</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28EFDE4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152E2D7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2794185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7777563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21.2</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383453A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4A7AF4E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$61,484.03</w:t>
            </w:r>
          </w:p>
        </w:tc>
      </w:tr>
      <w:tr w14:paraId="02EEF94D"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328BD191"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CARB 429 performance test - HNR HRSG Bypass/Waste Heat Stack </w:t>
            </w:r>
            <w:r w:rsidRPr="0084142E">
              <w:rPr>
                <w:rFonts w:eastAsia="Times New Roman" w:cstheme="minorHAnsi"/>
                <w:sz w:val="20"/>
                <w:szCs w:val="20"/>
                <w:vertAlign w:val="superscript"/>
              </w:rPr>
              <w:t>i</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38F3738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6EA2EEC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10.6</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7BB057F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372B4D6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1345954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6F7CA05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21.2</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1B209B8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4CFC37A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$61,484.03</w:t>
            </w:r>
          </w:p>
        </w:tc>
      </w:tr>
      <w:tr w14:paraId="3AD552E1"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24DEC256"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EPA Method 316 performance test - HNR HRSG Bypass/Waste Heat Stack </w:t>
            </w:r>
            <w:r w:rsidRPr="0084142E">
              <w:rPr>
                <w:rFonts w:eastAsia="Times New Roman" w:cstheme="minorHAnsi"/>
                <w:sz w:val="20"/>
                <w:szCs w:val="20"/>
                <w:vertAlign w:val="superscript"/>
              </w:rPr>
              <w:t>i</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10D21C0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678A57F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10.6</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415E732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5F739A3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70F133E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70604C8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21.2</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3963BDD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4275C36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$61,484.03</w:t>
            </w:r>
          </w:p>
        </w:tc>
      </w:tr>
      <w:tr w14:paraId="5B7D2E25" w14:textId="77777777" w:rsidTr="002B6D73">
        <w:tblPrEx>
          <w:tblW w:w="5000" w:type="pct"/>
          <w:tblLook w:val="04A0"/>
        </w:tblPrEx>
        <w:trPr>
          <w:trHeight w:val="76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24D95822"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Operation and maintenance plans for by-product coke oven batteries and capture systems and control </w:t>
            </w:r>
            <w:r w:rsidRPr="0084142E">
              <w:rPr>
                <w:rFonts w:eastAsia="Times New Roman" w:cstheme="minorHAnsi"/>
                <w:sz w:val="20"/>
                <w:szCs w:val="20"/>
              </w:rPr>
              <w:t>devices applied to pushing emissions</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4116D46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23DEB11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313D3C2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1539EB8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6A0E675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459EB29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74364A1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61C4F1C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11A026E7" w14:textId="77777777" w:rsidTr="002B6D73">
        <w:tblPrEx>
          <w:tblW w:w="5000" w:type="pct"/>
          <w:tblLook w:val="04A0"/>
        </w:tblPrEx>
        <w:trPr>
          <w:trHeight w:val="510"/>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6C603820"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Work practice plan for batteries with horizontal flues (one plant)</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4256190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7C0B606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5B7D81F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78EEDB9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7E6AC59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612AD90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43D554D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6A24676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$5,800.38</w:t>
            </w:r>
          </w:p>
        </w:tc>
      </w:tr>
      <w:tr w14:paraId="26C6A3D1" w14:textId="77777777" w:rsidTr="002B6D73">
        <w:tblPrEx>
          <w:tblW w:w="5000" w:type="pct"/>
          <w:tblLook w:val="04A0"/>
        </w:tblPrEx>
        <w:trPr>
          <w:trHeight w:val="570"/>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480113C8"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Method 9 daily observations for fugitive pushing emissions </w:t>
            </w:r>
            <w:r w:rsidRPr="0084142E">
              <w:rPr>
                <w:rFonts w:eastAsia="Times New Roman" w:cstheme="minorHAnsi"/>
                <w:sz w:val="20"/>
                <w:szCs w:val="20"/>
                <w:vertAlign w:val="superscript"/>
              </w:rPr>
              <w:t>j</w:t>
            </w:r>
            <w:r w:rsidRPr="0084142E">
              <w:rPr>
                <w:rFonts w:eastAsia="Times New Roman" w:cstheme="minorHAnsi"/>
                <w:sz w:val="20"/>
                <w:szCs w:val="20"/>
              </w:rPr>
              <w:t xml:space="preserve"> </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6C60AB6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3.1</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539CA71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365</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3BC4314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1,125</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70A3ECB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5BBC82C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13,505</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69F271A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675.3</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14FEC73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1,350.5</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0D2D87F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$1,958,353.30</w:t>
            </w:r>
          </w:p>
        </w:tc>
      </w:tr>
      <w:tr w14:paraId="55E54549"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2D875787"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Weekly sampling for total dissolved solids (TSD) </w:t>
            </w:r>
            <w:r w:rsidRPr="0084142E">
              <w:rPr>
                <w:rFonts w:eastAsia="Times New Roman" w:cstheme="minorHAnsi"/>
                <w:sz w:val="20"/>
                <w:szCs w:val="20"/>
                <w:vertAlign w:val="superscript"/>
              </w:rPr>
              <w:t>k</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3C359E4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7005C12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52</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27D04B0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104</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7CDA9B8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698CE03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1,248.0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5C832A2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62.4</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2EF4D12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124.8</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01091E8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$180,971.86</w:t>
            </w:r>
          </w:p>
        </w:tc>
      </w:tr>
      <w:tr w14:paraId="420E3D35" w14:textId="77777777" w:rsidTr="002B6D73">
        <w:tblPrEx>
          <w:tblW w:w="5000" w:type="pct"/>
          <w:tblLook w:val="04A0"/>
        </w:tblPrEx>
        <w:trPr>
          <w:trHeight w:val="82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579FE15A"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Monthly inspections and maintenance of affected sources, control devices, and continuous parameter monitoring systems </w:t>
            </w:r>
            <w:r w:rsidRPr="0084142E">
              <w:rPr>
                <w:rFonts w:eastAsia="Times New Roman" w:cstheme="minorHAnsi"/>
                <w:sz w:val="20"/>
                <w:szCs w:val="20"/>
                <w:vertAlign w:val="superscript"/>
              </w:rPr>
              <w:t>d</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2B952B3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14A7979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7C6EBDE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3F77A55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6C0F392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288</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1F103D4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14.4</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4D0B719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28.8</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4B11421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$41,762.74</w:t>
            </w:r>
          </w:p>
          <w:p w:rsidR="0084142E" w:rsidRPr="0084142E" w:rsidP="005A74C9" w14:paraId="7021217A" w14:textId="77777777">
            <w:pPr>
              <w:spacing w:after="0" w:line="240" w:lineRule="auto"/>
              <w:ind w:left="0" w:firstLine="0"/>
              <w:jc w:val="center"/>
              <w:rPr>
                <w:rFonts w:eastAsia="Times New Roman" w:cstheme="minorHAnsi"/>
                <w:sz w:val="20"/>
                <w:szCs w:val="20"/>
              </w:rPr>
            </w:pPr>
          </w:p>
        </w:tc>
      </w:tr>
      <w:tr w14:paraId="1969407D"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374EE5B5"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C. Create information</w:t>
            </w:r>
          </w:p>
        </w:tc>
        <w:tc>
          <w:tcPr>
            <w:tcW w:w="512" w:type="pct"/>
            <w:tcBorders>
              <w:top w:val="nil"/>
              <w:left w:val="nil"/>
              <w:bottom w:val="single" w:sz="4" w:space="0" w:color="auto"/>
              <w:right w:val="nil"/>
            </w:tcBorders>
            <w:shd w:val="clear" w:color="auto" w:fill="auto"/>
            <w:vAlign w:val="bottom"/>
            <w:hideMark/>
          </w:tcPr>
          <w:p w:rsidR="0084142E" w:rsidRPr="0084142E" w:rsidP="0084142E" w14:paraId="68CF273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See 4B</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6E2080B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6FF6992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625DB77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4053614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59C720C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4742540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569E7E89" w14:textId="5285AA02">
            <w:pPr>
              <w:spacing w:after="0" w:line="240" w:lineRule="auto"/>
              <w:ind w:left="0" w:firstLine="0"/>
              <w:jc w:val="center"/>
              <w:rPr>
                <w:rFonts w:eastAsia="Times New Roman" w:cstheme="minorHAnsi"/>
                <w:sz w:val="20"/>
                <w:szCs w:val="20"/>
              </w:rPr>
            </w:pPr>
          </w:p>
        </w:tc>
      </w:tr>
      <w:tr w14:paraId="4A3D5930"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75DBB268"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D. Gather existing information</w:t>
            </w:r>
          </w:p>
        </w:tc>
        <w:tc>
          <w:tcPr>
            <w:tcW w:w="512" w:type="pct"/>
            <w:tcBorders>
              <w:top w:val="nil"/>
              <w:left w:val="nil"/>
              <w:bottom w:val="single" w:sz="4" w:space="0" w:color="auto"/>
              <w:right w:val="nil"/>
            </w:tcBorders>
            <w:shd w:val="clear" w:color="auto" w:fill="auto"/>
            <w:vAlign w:val="bottom"/>
            <w:hideMark/>
          </w:tcPr>
          <w:p w:rsidR="0084142E" w:rsidRPr="0084142E" w:rsidP="0084142E" w14:paraId="0858261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See 4B</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38B8E50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2837977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77B95F4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1D8829F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0BBEAB3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2CBA551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035E0DA0" w14:textId="6CD7F7C6">
            <w:pPr>
              <w:spacing w:after="0" w:line="240" w:lineRule="auto"/>
              <w:ind w:left="0" w:firstLine="0"/>
              <w:jc w:val="center"/>
              <w:rPr>
                <w:rFonts w:eastAsia="Times New Roman" w:cstheme="minorHAnsi"/>
                <w:sz w:val="20"/>
                <w:szCs w:val="20"/>
              </w:rPr>
            </w:pPr>
          </w:p>
        </w:tc>
      </w:tr>
      <w:tr w14:paraId="30BF51E7"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2E936AC5"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E. Write report</w:t>
            </w:r>
          </w:p>
        </w:tc>
        <w:tc>
          <w:tcPr>
            <w:tcW w:w="512" w:type="pct"/>
            <w:tcBorders>
              <w:top w:val="nil"/>
              <w:left w:val="nil"/>
              <w:bottom w:val="single" w:sz="4" w:space="0" w:color="auto"/>
              <w:right w:val="nil"/>
            </w:tcBorders>
            <w:shd w:val="clear" w:color="auto" w:fill="auto"/>
            <w:vAlign w:val="bottom"/>
            <w:hideMark/>
          </w:tcPr>
          <w:p w:rsidR="0084142E" w:rsidRPr="0084142E" w:rsidP="0084142E" w14:paraId="6873C35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3C1A785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5E86715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66B8415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45AED1A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5EAD34C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35CF8D7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7672E4C5" w14:textId="34495A18">
            <w:pPr>
              <w:spacing w:after="0" w:line="240" w:lineRule="auto"/>
              <w:ind w:left="0" w:firstLine="0"/>
              <w:jc w:val="center"/>
              <w:rPr>
                <w:rFonts w:eastAsia="Times New Roman" w:cstheme="minorHAnsi"/>
                <w:sz w:val="20"/>
                <w:szCs w:val="20"/>
              </w:rPr>
            </w:pPr>
          </w:p>
        </w:tc>
      </w:tr>
      <w:tr w14:paraId="4C09F319"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36B5D9F8"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Notification of applicability</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7977CAC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03AAD2F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4B6B264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68A7D9D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0A5BFBF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05DE392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394361C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690A527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012DF0DA"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34BFE072"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Notification of constr./</w:t>
            </w:r>
            <w:r w:rsidRPr="0084142E">
              <w:rPr>
                <w:rFonts w:eastAsia="Times New Roman" w:cstheme="minorHAnsi"/>
                <w:sz w:val="20"/>
                <w:szCs w:val="20"/>
              </w:rPr>
              <w:t>reconstr</w:t>
            </w:r>
            <w:r w:rsidRPr="0084142E">
              <w:rPr>
                <w:rFonts w:eastAsia="Times New Roman" w:cstheme="minorHAnsi"/>
                <w:sz w:val="20"/>
                <w:szCs w:val="20"/>
              </w:rPr>
              <w:t>.</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4012518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19CD7E6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7B772CA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25F7F5F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34A366F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7BB2A71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0FC1EE0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1DD4A0E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5D488C27"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5A7D8561"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Notification of anticipated startup</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1C72BE3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78F74EF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429C580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02E9F4B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645DC0B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7BB7C53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541696F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01A9770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7A008E10"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4335A5FC"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Notification of actual startup</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7C2D967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7BF2AFA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284A1BF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3E1EF14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4419F20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3266BED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2AB46F8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6727B96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202B18E1"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0257005D"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Notification of special compliance</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5EB5AFB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7B223D8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6B9FF45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726D3E0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63F0F0E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2D56927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6D3E33E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0659054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147401E5"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30664528"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Requirements</w:t>
            </w:r>
          </w:p>
        </w:tc>
        <w:tc>
          <w:tcPr>
            <w:tcW w:w="512" w:type="pct"/>
            <w:tcBorders>
              <w:top w:val="nil"/>
              <w:left w:val="nil"/>
              <w:bottom w:val="single" w:sz="4" w:space="0" w:color="auto"/>
              <w:right w:val="nil"/>
            </w:tcBorders>
            <w:shd w:val="clear" w:color="auto" w:fill="auto"/>
            <w:vAlign w:val="bottom"/>
            <w:hideMark/>
          </w:tcPr>
          <w:p w:rsidR="0084142E" w:rsidRPr="0084142E" w:rsidP="0084142E" w14:paraId="5E77EC1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39A82E8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040DCF8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20DF49C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311D578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4DB42E9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146C081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0F7EF46F" w14:textId="7D122B99">
            <w:pPr>
              <w:spacing w:after="0" w:line="240" w:lineRule="auto"/>
              <w:ind w:left="0" w:firstLine="0"/>
              <w:jc w:val="center"/>
              <w:rPr>
                <w:rFonts w:eastAsia="Times New Roman" w:cstheme="minorHAnsi"/>
                <w:sz w:val="20"/>
                <w:szCs w:val="20"/>
              </w:rPr>
            </w:pPr>
          </w:p>
        </w:tc>
      </w:tr>
      <w:tr w14:paraId="3CB3E395"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4179712D"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Compliance extension request</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6AF7B40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3BC21A8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207F95E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59A6FDA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765F0DF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37A6E1E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1835C88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625A491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32C0C2D6"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5C2EA33E"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Notification of performance test </w:t>
            </w:r>
            <w:r w:rsidRPr="0084142E">
              <w:rPr>
                <w:rFonts w:eastAsia="Times New Roman" w:cstheme="minorHAnsi"/>
                <w:sz w:val="20"/>
                <w:szCs w:val="20"/>
                <w:vertAlign w:val="superscript"/>
              </w:rPr>
              <w:t>c</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043972B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2AF3A81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1.5</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6084FFC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69556BA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0D10CBC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586560E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4443B48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74711F0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7A30FA73"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27FF5D7E"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Site-specific test plan</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0AB264C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78D0A3A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7723C99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32FA547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4888322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2BF7D2F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5D65F3D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2B47BD2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40260141"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44051A31"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Notification of compliance status</w:t>
            </w:r>
          </w:p>
        </w:tc>
        <w:tc>
          <w:tcPr>
            <w:tcW w:w="512" w:type="pct"/>
            <w:tcBorders>
              <w:top w:val="nil"/>
              <w:left w:val="nil"/>
              <w:bottom w:val="nil"/>
              <w:right w:val="single" w:sz="4" w:space="0" w:color="auto"/>
            </w:tcBorders>
            <w:shd w:val="clear" w:color="auto" w:fill="auto"/>
            <w:vAlign w:val="bottom"/>
            <w:hideMark/>
          </w:tcPr>
          <w:p w:rsidR="0084142E" w:rsidRPr="0084142E" w:rsidP="0084142E" w14:paraId="12CAB2E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w:t>
            </w:r>
          </w:p>
        </w:tc>
        <w:tc>
          <w:tcPr>
            <w:tcW w:w="535" w:type="pct"/>
            <w:tcBorders>
              <w:top w:val="nil"/>
              <w:left w:val="nil"/>
              <w:bottom w:val="nil"/>
              <w:right w:val="single" w:sz="4" w:space="0" w:color="auto"/>
            </w:tcBorders>
            <w:shd w:val="clear" w:color="auto" w:fill="auto"/>
            <w:vAlign w:val="bottom"/>
            <w:hideMark/>
          </w:tcPr>
          <w:p w:rsidR="0084142E" w:rsidRPr="0084142E" w:rsidP="0084142E" w14:paraId="053F01D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nil"/>
              <w:right w:val="single" w:sz="4" w:space="0" w:color="auto"/>
            </w:tcBorders>
            <w:shd w:val="clear" w:color="auto" w:fill="auto"/>
            <w:vAlign w:val="bottom"/>
            <w:hideMark/>
          </w:tcPr>
          <w:p w:rsidR="0084142E" w:rsidRPr="0084142E" w:rsidP="0084142E" w14:paraId="5D377E5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w:t>
            </w:r>
          </w:p>
        </w:tc>
        <w:tc>
          <w:tcPr>
            <w:tcW w:w="537" w:type="pct"/>
            <w:tcBorders>
              <w:top w:val="nil"/>
              <w:left w:val="nil"/>
              <w:bottom w:val="nil"/>
              <w:right w:val="single" w:sz="4" w:space="0" w:color="auto"/>
            </w:tcBorders>
            <w:shd w:val="clear" w:color="auto" w:fill="auto"/>
            <w:vAlign w:val="bottom"/>
            <w:hideMark/>
          </w:tcPr>
          <w:p w:rsidR="0084142E" w:rsidRPr="0084142E" w:rsidP="0084142E" w14:paraId="34F6772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nil"/>
              <w:right w:val="single" w:sz="4" w:space="0" w:color="auto"/>
            </w:tcBorders>
            <w:shd w:val="clear" w:color="auto" w:fill="auto"/>
            <w:vAlign w:val="bottom"/>
            <w:hideMark/>
          </w:tcPr>
          <w:p w:rsidR="0084142E" w:rsidRPr="0084142E" w:rsidP="0084142E" w14:paraId="6E4682D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nil"/>
              <w:right w:val="single" w:sz="4" w:space="0" w:color="auto"/>
            </w:tcBorders>
            <w:shd w:val="clear" w:color="auto" w:fill="auto"/>
            <w:vAlign w:val="bottom"/>
            <w:hideMark/>
          </w:tcPr>
          <w:p w:rsidR="0084142E" w:rsidRPr="0084142E" w:rsidP="0084142E" w14:paraId="221734C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nil"/>
              <w:right w:val="single" w:sz="4" w:space="0" w:color="auto"/>
            </w:tcBorders>
            <w:shd w:val="clear" w:color="auto" w:fill="auto"/>
            <w:vAlign w:val="bottom"/>
            <w:hideMark/>
          </w:tcPr>
          <w:p w:rsidR="0084142E" w:rsidRPr="0084142E" w:rsidP="0084142E" w14:paraId="6F4F62E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5392C1E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13E0E574" w14:textId="77777777" w:rsidTr="002B6D73">
        <w:tblPrEx>
          <w:tblW w:w="5000" w:type="pct"/>
          <w:tblLook w:val="04A0"/>
        </w:tblPrEx>
        <w:trPr>
          <w:trHeight w:val="255"/>
        </w:trPr>
        <w:tc>
          <w:tcPr>
            <w:tcW w:w="688" w:type="pct"/>
            <w:tcBorders>
              <w:top w:val="nil"/>
              <w:left w:val="single" w:sz="4" w:space="0" w:color="auto"/>
              <w:bottom w:val="single" w:sz="4" w:space="0" w:color="auto"/>
              <w:right w:val="nil"/>
            </w:tcBorders>
            <w:shd w:val="clear" w:color="auto" w:fill="auto"/>
            <w:hideMark/>
          </w:tcPr>
          <w:p w:rsidR="0084142E" w:rsidRPr="0084142E" w:rsidP="0084142E" w14:paraId="0D0AECE3"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NESHAP waiver application</w:t>
            </w:r>
          </w:p>
        </w:tc>
        <w:tc>
          <w:tcPr>
            <w:tcW w:w="512" w:type="pct"/>
            <w:tcBorders>
              <w:top w:val="single" w:sz="4" w:space="0" w:color="auto"/>
              <w:left w:val="single" w:sz="4" w:space="0" w:color="auto"/>
              <w:bottom w:val="single" w:sz="4" w:space="0" w:color="auto"/>
              <w:right w:val="nil"/>
            </w:tcBorders>
            <w:shd w:val="clear" w:color="auto" w:fill="auto"/>
            <w:vAlign w:val="bottom"/>
            <w:hideMark/>
          </w:tcPr>
          <w:p w:rsidR="0084142E" w:rsidRPr="0084142E" w:rsidP="0084142E" w14:paraId="772E84D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N/A</w:t>
            </w:r>
          </w:p>
        </w:tc>
        <w:tc>
          <w:tcPr>
            <w:tcW w:w="535" w:type="pct"/>
            <w:tcBorders>
              <w:top w:val="single" w:sz="4" w:space="0" w:color="auto"/>
              <w:left w:val="nil"/>
              <w:bottom w:val="single" w:sz="4" w:space="0" w:color="auto"/>
              <w:right w:val="nil"/>
            </w:tcBorders>
            <w:shd w:val="clear" w:color="auto" w:fill="auto"/>
            <w:vAlign w:val="bottom"/>
            <w:hideMark/>
          </w:tcPr>
          <w:p w:rsidR="0084142E" w:rsidRPr="0084142E" w:rsidP="0084142E" w14:paraId="4EAC58FF"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w:t>
            </w:r>
          </w:p>
        </w:tc>
        <w:tc>
          <w:tcPr>
            <w:tcW w:w="532" w:type="pct"/>
            <w:tcBorders>
              <w:top w:val="single" w:sz="4" w:space="0" w:color="auto"/>
              <w:left w:val="nil"/>
              <w:bottom w:val="single" w:sz="4" w:space="0" w:color="auto"/>
              <w:right w:val="nil"/>
            </w:tcBorders>
            <w:shd w:val="clear" w:color="auto" w:fill="auto"/>
            <w:vAlign w:val="bottom"/>
            <w:hideMark/>
          </w:tcPr>
          <w:p w:rsidR="0084142E" w:rsidRPr="0084142E" w:rsidP="0084142E" w14:paraId="44DEFD6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single" w:sz="4" w:space="0" w:color="auto"/>
              <w:left w:val="nil"/>
              <w:bottom w:val="single" w:sz="4" w:space="0" w:color="auto"/>
              <w:right w:val="nil"/>
            </w:tcBorders>
            <w:shd w:val="clear" w:color="auto" w:fill="auto"/>
            <w:vAlign w:val="bottom"/>
            <w:hideMark/>
          </w:tcPr>
          <w:p w:rsidR="0084142E" w:rsidRPr="0084142E" w:rsidP="0084142E" w14:paraId="39AB952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single" w:sz="4" w:space="0" w:color="auto"/>
              <w:left w:val="nil"/>
              <w:bottom w:val="single" w:sz="4" w:space="0" w:color="auto"/>
              <w:right w:val="nil"/>
            </w:tcBorders>
            <w:shd w:val="clear" w:color="auto" w:fill="auto"/>
            <w:vAlign w:val="bottom"/>
            <w:hideMark/>
          </w:tcPr>
          <w:p w:rsidR="0084142E" w:rsidRPr="0084142E" w:rsidP="0084142E" w14:paraId="06850ED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single" w:sz="4" w:space="0" w:color="auto"/>
              <w:left w:val="nil"/>
              <w:bottom w:val="single" w:sz="4" w:space="0" w:color="auto"/>
              <w:right w:val="nil"/>
            </w:tcBorders>
            <w:shd w:val="clear" w:color="auto" w:fill="auto"/>
            <w:vAlign w:val="bottom"/>
            <w:hideMark/>
          </w:tcPr>
          <w:p w:rsidR="0084142E" w:rsidRPr="0084142E" w:rsidP="0084142E" w14:paraId="399757F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single" w:sz="4" w:space="0" w:color="auto"/>
              <w:left w:val="nil"/>
              <w:bottom w:val="single" w:sz="4" w:space="0" w:color="auto"/>
              <w:right w:val="nil"/>
            </w:tcBorders>
            <w:shd w:val="clear" w:color="auto" w:fill="auto"/>
            <w:vAlign w:val="bottom"/>
            <w:hideMark/>
          </w:tcPr>
          <w:p w:rsidR="0084142E" w:rsidRPr="0084142E" w:rsidP="0084142E" w14:paraId="7E16CDA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4BDDB7CC" w14:textId="3D1F8777">
            <w:pPr>
              <w:spacing w:after="0" w:line="240" w:lineRule="auto"/>
              <w:ind w:left="0" w:firstLine="0"/>
              <w:jc w:val="center"/>
              <w:rPr>
                <w:rFonts w:eastAsia="Times New Roman" w:cstheme="minorHAnsi"/>
                <w:sz w:val="20"/>
                <w:szCs w:val="20"/>
              </w:rPr>
            </w:pPr>
          </w:p>
        </w:tc>
      </w:tr>
      <w:tr w14:paraId="54EDB852" w14:textId="77777777" w:rsidTr="002B6D73">
        <w:tblPrEx>
          <w:tblW w:w="5000" w:type="pct"/>
          <w:tblLook w:val="04A0"/>
        </w:tblPrEx>
        <w:trPr>
          <w:trHeight w:val="315"/>
        </w:trPr>
        <w:tc>
          <w:tcPr>
            <w:tcW w:w="688" w:type="pct"/>
            <w:tcBorders>
              <w:top w:val="nil"/>
              <w:left w:val="single" w:sz="4" w:space="0" w:color="auto"/>
              <w:bottom w:val="single" w:sz="4" w:space="0" w:color="auto"/>
              <w:right w:val="nil"/>
            </w:tcBorders>
            <w:shd w:val="clear" w:color="auto" w:fill="auto"/>
            <w:hideMark/>
          </w:tcPr>
          <w:p w:rsidR="0084142E" w:rsidRPr="0084142E" w:rsidP="0084142E" w14:paraId="35CF4C89"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Report of performance test </w:t>
            </w:r>
            <w:r w:rsidRPr="0084142E">
              <w:rPr>
                <w:rFonts w:eastAsia="Times New Roman" w:cstheme="minorHAnsi"/>
                <w:sz w:val="20"/>
                <w:szCs w:val="20"/>
                <w:vertAlign w:val="superscript"/>
              </w:rPr>
              <w:t>l</w:t>
            </w:r>
          </w:p>
        </w:tc>
        <w:tc>
          <w:tcPr>
            <w:tcW w:w="512" w:type="pct"/>
            <w:tcBorders>
              <w:top w:val="nil"/>
              <w:left w:val="single" w:sz="4" w:space="0" w:color="auto"/>
              <w:bottom w:val="single" w:sz="4" w:space="0" w:color="auto"/>
              <w:right w:val="nil"/>
            </w:tcBorders>
            <w:shd w:val="clear" w:color="auto" w:fill="auto"/>
            <w:vAlign w:val="bottom"/>
            <w:hideMark/>
          </w:tcPr>
          <w:p w:rsidR="0084142E" w:rsidRPr="0084142E" w:rsidP="0084142E" w14:paraId="6CB802D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See 4B</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6A52524A"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732BCCB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7258FDD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5B0F030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69F459B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5E21CAF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5173721E" w14:textId="7D9CB5DF">
            <w:pPr>
              <w:spacing w:after="0" w:line="240" w:lineRule="auto"/>
              <w:ind w:left="0" w:firstLine="0"/>
              <w:jc w:val="center"/>
              <w:rPr>
                <w:rFonts w:eastAsia="Times New Roman" w:cstheme="minorHAnsi"/>
                <w:sz w:val="20"/>
                <w:szCs w:val="20"/>
              </w:rPr>
            </w:pPr>
          </w:p>
        </w:tc>
      </w:tr>
      <w:tr w14:paraId="5AF914DF"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3EC5104F"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Semiannual compliance reports </w:t>
            </w:r>
            <w:r w:rsidRPr="0084142E">
              <w:rPr>
                <w:rFonts w:eastAsia="Times New Roman" w:cstheme="minorHAnsi"/>
                <w:sz w:val="20"/>
                <w:szCs w:val="20"/>
                <w:vertAlign w:val="superscript"/>
              </w:rPr>
              <w:t>l</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290F7D7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524D251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749565B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80</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226BB5F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1931475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960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1289757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48</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3E6C594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96</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5DA9ED1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$139,209.12</w:t>
            </w:r>
          </w:p>
        </w:tc>
      </w:tr>
      <w:tr w14:paraId="21E93A80" w14:textId="77777777" w:rsidTr="002B6D73">
        <w:tblPrEx>
          <w:tblW w:w="5000" w:type="pct"/>
          <w:tblLook w:val="04A0"/>
        </w:tblPrEx>
        <w:trPr>
          <w:trHeight w:val="420"/>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20A28B7A"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Quarterly COMS compliance reports for battery stacks </w:t>
            </w:r>
            <w:r w:rsidRPr="0084142E">
              <w:rPr>
                <w:rFonts w:eastAsia="Times New Roman" w:cstheme="minorHAnsi"/>
                <w:sz w:val="20"/>
                <w:szCs w:val="20"/>
                <w:vertAlign w:val="superscript"/>
              </w:rPr>
              <w:t>m</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16CD805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64C16C3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6B612EF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48</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0A53309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7</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347BE4B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336</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10018AA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16.8</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2632256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33.6</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6CD0D0D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$48,723.19</w:t>
            </w:r>
          </w:p>
        </w:tc>
      </w:tr>
      <w:tr w14:paraId="4EC3095B" w14:textId="77777777" w:rsidTr="002B6D73">
        <w:tblPrEx>
          <w:tblW w:w="5000" w:type="pct"/>
          <w:tblLook w:val="04A0"/>
        </w:tblPrEx>
        <w:trPr>
          <w:trHeight w:val="270"/>
        </w:trPr>
        <w:tc>
          <w:tcPr>
            <w:tcW w:w="688" w:type="pct"/>
            <w:tcBorders>
              <w:top w:val="nil"/>
              <w:left w:val="single" w:sz="4" w:space="0" w:color="auto"/>
              <w:bottom w:val="single" w:sz="4" w:space="0" w:color="auto"/>
              <w:right w:val="nil"/>
            </w:tcBorders>
            <w:shd w:val="clear" w:color="auto" w:fill="auto"/>
            <w:vAlign w:val="center"/>
            <w:hideMark/>
          </w:tcPr>
          <w:p w:rsidR="0084142E" w:rsidRPr="0084142E" w:rsidP="0084142E" w14:paraId="0B760B5B" w14:textId="77777777">
            <w:pPr>
              <w:spacing w:after="0" w:line="240" w:lineRule="auto"/>
              <w:ind w:left="0" w:firstLine="0"/>
              <w:rPr>
                <w:rFonts w:eastAsia="Times New Roman" w:cstheme="minorHAnsi"/>
                <w:b/>
                <w:bCs/>
                <w:i/>
                <w:iCs/>
                <w:sz w:val="20"/>
                <w:szCs w:val="20"/>
              </w:rPr>
            </w:pPr>
            <w:r w:rsidRPr="0084142E">
              <w:rPr>
                <w:rFonts w:eastAsia="Times New Roman" w:cstheme="minorHAnsi"/>
                <w:b/>
                <w:bCs/>
                <w:i/>
                <w:iCs/>
                <w:sz w:val="20"/>
                <w:szCs w:val="20"/>
              </w:rPr>
              <w:t>Subtotal for Reporting Requirements</w:t>
            </w:r>
          </w:p>
        </w:tc>
        <w:tc>
          <w:tcPr>
            <w:tcW w:w="512" w:type="pct"/>
            <w:tcBorders>
              <w:top w:val="nil"/>
              <w:left w:val="single" w:sz="4" w:space="0" w:color="auto"/>
              <w:bottom w:val="single" w:sz="4" w:space="0" w:color="auto"/>
              <w:right w:val="single" w:sz="4" w:space="0" w:color="auto"/>
            </w:tcBorders>
            <w:shd w:val="clear" w:color="auto" w:fill="auto"/>
            <w:vAlign w:val="bottom"/>
            <w:hideMark/>
          </w:tcPr>
          <w:p w:rsidR="0084142E" w:rsidRPr="0084142E" w:rsidP="0084142E" w14:paraId="4A9E6724"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 </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39E7BC0D"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 </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0A260EC0"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 </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71108EEC"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 </w:t>
            </w:r>
          </w:p>
        </w:tc>
        <w:tc>
          <w:tcPr>
            <w:tcW w:w="1673" w:type="pct"/>
            <w:gridSpan w:val="3"/>
            <w:tcBorders>
              <w:top w:val="single" w:sz="4" w:space="0" w:color="auto"/>
              <w:left w:val="nil"/>
              <w:bottom w:val="single" w:sz="4" w:space="0" w:color="auto"/>
              <w:right w:val="single" w:sz="4" w:space="0" w:color="000000"/>
            </w:tcBorders>
            <w:shd w:val="clear" w:color="auto" w:fill="auto"/>
            <w:vAlign w:val="bottom"/>
            <w:hideMark/>
          </w:tcPr>
          <w:p w:rsidR="0084142E" w:rsidRPr="0084142E" w:rsidP="0084142E" w14:paraId="2347F643"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23,113</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1ABF2C01"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$2,914,488</w:t>
            </w:r>
          </w:p>
          <w:p w:rsidR="0084142E" w:rsidRPr="0084142E" w:rsidP="005A74C9" w14:paraId="3307D6AA" w14:textId="77777777">
            <w:pPr>
              <w:spacing w:after="0" w:line="240" w:lineRule="auto"/>
              <w:ind w:left="0" w:firstLine="0"/>
              <w:jc w:val="center"/>
              <w:rPr>
                <w:rFonts w:eastAsia="Times New Roman" w:cstheme="minorHAnsi"/>
                <w:b/>
                <w:bCs/>
                <w:i/>
                <w:iCs/>
                <w:sz w:val="20"/>
                <w:szCs w:val="20"/>
              </w:rPr>
            </w:pPr>
          </w:p>
        </w:tc>
      </w:tr>
      <w:tr w14:paraId="444AFF39" w14:textId="77777777" w:rsidTr="002B6D73">
        <w:tblPrEx>
          <w:tblW w:w="5000" w:type="pct"/>
          <w:tblLook w:val="04A0"/>
        </w:tblPrEx>
        <w:trPr>
          <w:trHeight w:val="255"/>
        </w:trPr>
        <w:tc>
          <w:tcPr>
            <w:tcW w:w="688" w:type="pct"/>
            <w:tcBorders>
              <w:top w:val="nil"/>
              <w:left w:val="single" w:sz="4" w:space="0" w:color="auto"/>
              <w:bottom w:val="single" w:sz="4" w:space="0" w:color="auto"/>
              <w:right w:val="nil"/>
            </w:tcBorders>
            <w:shd w:val="clear" w:color="auto" w:fill="auto"/>
            <w:hideMark/>
          </w:tcPr>
          <w:p w:rsidR="0084142E" w:rsidRPr="0084142E" w:rsidP="0084142E" w14:paraId="2B4ABA7B"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5.  Recordkeeping Requirements</w:t>
            </w:r>
          </w:p>
        </w:tc>
        <w:tc>
          <w:tcPr>
            <w:tcW w:w="512" w:type="pct"/>
            <w:tcBorders>
              <w:top w:val="nil"/>
              <w:left w:val="single" w:sz="4" w:space="0" w:color="auto"/>
              <w:bottom w:val="single" w:sz="4" w:space="0" w:color="auto"/>
              <w:right w:val="nil"/>
            </w:tcBorders>
            <w:shd w:val="clear" w:color="auto" w:fill="auto"/>
            <w:vAlign w:val="bottom"/>
            <w:hideMark/>
          </w:tcPr>
          <w:p w:rsidR="0084142E" w:rsidRPr="0084142E" w:rsidP="0084142E" w14:paraId="6CE0D30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080CA54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682DB12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3BF29BA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654B52F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15BB28D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4819DEA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237E6DE7" w14:textId="7FFA1D73">
            <w:pPr>
              <w:spacing w:after="0" w:line="240" w:lineRule="auto"/>
              <w:ind w:left="0" w:firstLine="0"/>
              <w:jc w:val="center"/>
              <w:rPr>
                <w:rFonts w:eastAsia="Times New Roman" w:cstheme="minorHAnsi"/>
                <w:sz w:val="20"/>
                <w:szCs w:val="20"/>
              </w:rPr>
            </w:pPr>
          </w:p>
        </w:tc>
      </w:tr>
      <w:tr w14:paraId="6C98D4D7" w14:textId="77777777" w:rsidTr="002B6D73">
        <w:tblPrEx>
          <w:tblW w:w="5000" w:type="pct"/>
          <w:tblLook w:val="04A0"/>
        </w:tblPrEx>
        <w:trPr>
          <w:trHeight w:val="255"/>
        </w:trPr>
        <w:tc>
          <w:tcPr>
            <w:tcW w:w="688" w:type="pct"/>
            <w:tcBorders>
              <w:top w:val="nil"/>
              <w:left w:val="single" w:sz="4" w:space="0" w:color="auto"/>
              <w:bottom w:val="single" w:sz="4" w:space="0" w:color="auto"/>
              <w:right w:val="nil"/>
            </w:tcBorders>
            <w:shd w:val="clear" w:color="auto" w:fill="auto"/>
            <w:hideMark/>
          </w:tcPr>
          <w:p w:rsidR="0084142E" w:rsidRPr="0084142E" w:rsidP="0084142E" w14:paraId="0C2E126A"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A.  Familiarize with rule requirement</w:t>
            </w:r>
          </w:p>
        </w:tc>
        <w:tc>
          <w:tcPr>
            <w:tcW w:w="512" w:type="pct"/>
            <w:tcBorders>
              <w:top w:val="nil"/>
              <w:left w:val="single" w:sz="4" w:space="0" w:color="auto"/>
              <w:bottom w:val="single" w:sz="4" w:space="0" w:color="auto"/>
              <w:right w:val="nil"/>
            </w:tcBorders>
            <w:shd w:val="clear" w:color="auto" w:fill="auto"/>
            <w:vAlign w:val="bottom"/>
            <w:hideMark/>
          </w:tcPr>
          <w:p w:rsidR="0084142E" w:rsidRPr="0084142E" w:rsidP="0084142E" w14:paraId="5E8524C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See 4A</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34E0CFF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2F962EB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2F8BC88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2097A70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74F05B5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43EBF1B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4DA5CC3B" w14:textId="3948C548">
            <w:pPr>
              <w:spacing w:after="0" w:line="240" w:lineRule="auto"/>
              <w:ind w:left="0" w:firstLine="0"/>
              <w:jc w:val="center"/>
              <w:rPr>
                <w:rFonts w:eastAsia="Times New Roman" w:cstheme="minorHAnsi"/>
                <w:sz w:val="20"/>
                <w:szCs w:val="20"/>
              </w:rPr>
            </w:pPr>
          </w:p>
        </w:tc>
      </w:tr>
      <w:tr w14:paraId="66CDC27A"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3E2A1B0A"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B.  Plan activities</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705C2DD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1B58725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2B26712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7CCFDC4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4D436ED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2EFFBAC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23ACE5C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3AF8688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59404435"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7EAAA333"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C.  Implement activities</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7343D66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0C854FC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7152C38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0F243FB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7CAD9E3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2B9B36B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7C8ECDD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0D7B964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02522740"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1185841E"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D.  Develop record system</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4A2A24B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4DCFC56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36D474A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0F8C170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0C5BC0F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37063BF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0536443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0DE416F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6CB37750"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24B87F18"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E.  Time to enter information (through CEDRI using ERT)</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54F0821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29BB194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09C479E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5184671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5F7463C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0F23C10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69AFE75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1C4A628D" w14:textId="37C5226A">
            <w:pPr>
              <w:spacing w:after="0" w:line="240" w:lineRule="auto"/>
              <w:ind w:left="0" w:firstLine="0"/>
              <w:jc w:val="center"/>
              <w:rPr>
                <w:rFonts w:eastAsia="Times New Roman" w:cstheme="minorHAnsi"/>
                <w:sz w:val="20"/>
                <w:szCs w:val="20"/>
              </w:rPr>
            </w:pPr>
          </w:p>
        </w:tc>
      </w:tr>
      <w:tr w14:paraId="38937BB3"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3BF52BD4"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Report of other non-performance test submittals </w:t>
            </w:r>
            <w:r w:rsidRPr="0084142E">
              <w:rPr>
                <w:rFonts w:eastAsia="Times New Roman" w:cstheme="minorHAnsi"/>
                <w:sz w:val="20"/>
                <w:szCs w:val="20"/>
                <w:vertAlign w:val="superscript"/>
              </w:rPr>
              <w:t>n</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479F2FE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40FE244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52.0</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70C2DD2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208</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7EAB432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0B3C710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2,496</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28C82FF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125</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22E5198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250</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4A123BF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$361,943.71</w:t>
            </w:r>
          </w:p>
        </w:tc>
      </w:tr>
      <w:tr w14:paraId="03AAB9BE"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0CFD5D5E"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Report of Method 5 performance test – Pushing </w:t>
            </w:r>
            <w:r w:rsidRPr="0084142E">
              <w:rPr>
                <w:rFonts w:eastAsia="Times New Roman" w:cstheme="minorHAnsi"/>
                <w:sz w:val="20"/>
                <w:szCs w:val="20"/>
                <w:vertAlign w:val="superscript"/>
              </w:rPr>
              <w:t>n</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6EF3A2B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13B6D9F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68D5BB1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16.8</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6A76543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4.8</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5888AD8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80.64</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0E76B43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4.032</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7AEC927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8.064</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60BB11E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$11,693.57</w:t>
            </w:r>
          </w:p>
        </w:tc>
      </w:tr>
      <w:tr w14:paraId="0FBA114B"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47A453F0"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Report of Method 29, 320, and CARB 429 performance test – Pushing </w:t>
            </w:r>
            <w:r w:rsidRPr="0084142E">
              <w:rPr>
                <w:rFonts w:eastAsia="Times New Roman" w:cstheme="minorHAnsi"/>
                <w:sz w:val="20"/>
                <w:szCs w:val="20"/>
                <w:vertAlign w:val="superscript"/>
              </w:rPr>
              <w:t>n</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0634F49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3897BC2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301A6E6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50.4</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010A226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7CD6EA6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120.96</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5BECB1C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6.048</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226D755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12.096</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5C3C489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$17,540.35</w:t>
            </w:r>
          </w:p>
        </w:tc>
      </w:tr>
      <w:tr w14:paraId="2C02D5D6"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70361973"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Report of Method 29, 5, and </w:t>
            </w:r>
            <w:r w:rsidRPr="0084142E">
              <w:rPr>
                <w:rFonts w:eastAsia="Times New Roman" w:cstheme="minorHAnsi"/>
                <w:sz w:val="20"/>
                <w:szCs w:val="20"/>
              </w:rPr>
              <w:t xml:space="preserve">320 performance tests - </w:t>
            </w:r>
            <w:r w:rsidRPr="0084142E">
              <w:rPr>
                <w:rFonts w:eastAsia="Times New Roman" w:cstheme="minorHAnsi"/>
                <w:sz w:val="20"/>
                <w:szCs w:val="20"/>
              </w:rPr>
              <w:t>ByP</w:t>
            </w:r>
            <w:r w:rsidRPr="0084142E">
              <w:rPr>
                <w:rFonts w:eastAsia="Times New Roman" w:cstheme="minorHAnsi"/>
                <w:sz w:val="20"/>
                <w:szCs w:val="20"/>
              </w:rPr>
              <w:t xml:space="preserve"> Battery Combustion </w:t>
            </w:r>
            <w:r w:rsidRPr="0084142E">
              <w:rPr>
                <w:rFonts w:eastAsia="Times New Roman" w:cstheme="minorHAnsi"/>
                <w:sz w:val="20"/>
                <w:szCs w:val="20"/>
                <w:vertAlign w:val="superscript"/>
              </w:rPr>
              <w:t>n</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667B3B4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209CE47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2.4</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3DF45C8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57.6</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628E779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1.4</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0E8EBFD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80.64</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15614DE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4.032</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50F576D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8.064</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73DE237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$11,693.57</w:t>
            </w:r>
          </w:p>
        </w:tc>
      </w:tr>
      <w:tr w14:paraId="1F368E5A"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03D22B51"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Report of Method 29, 5, 26/26A, and CARB 429 performance tests - HNR HRSG Main Stack </w:t>
            </w:r>
            <w:r w:rsidRPr="0084142E">
              <w:rPr>
                <w:rFonts w:eastAsia="Times New Roman" w:cstheme="minorHAnsi"/>
                <w:sz w:val="20"/>
                <w:szCs w:val="20"/>
                <w:vertAlign w:val="superscript"/>
              </w:rPr>
              <w:t>n</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30D47B3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32</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6288076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1.3</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1791087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41.6</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31FF3F8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0.8</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28343C7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33.28</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77014E3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1.664</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082286C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3.328</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2F9917E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$4,825.92</w:t>
            </w:r>
          </w:p>
        </w:tc>
      </w:tr>
      <w:tr w14:paraId="3DDE4B2B"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tcPr>
          <w:p w:rsidR="0084142E" w:rsidRPr="0084142E" w:rsidP="0084142E" w14:paraId="0AFFC43A"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 xml:space="preserve">   Report of Method 29, 5, 26/26A, CARB 429 and 316 performance tests - HNR HRSG Bypass/Waste Heat Stack </w:t>
            </w:r>
            <w:r w:rsidRPr="0084142E">
              <w:rPr>
                <w:rFonts w:eastAsia="Times New Roman" w:cstheme="minorHAnsi"/>
                <w:sz w:val="20"/>
                <w:szCs w:val="20"/>
                <w:vertAlign w:val="superscript"/>
              </w:rPr>
              <w:t>n</w:t>
            </w:r>
          </w:p>
        </w:tc>
        <w:tc>
          <w:tcPr>
            <w:tcW w:w="512" w:type="pct"/>
            <w:tcBorders>
              <w:top w:val="nil"/>
              <w:left w:val="nil"/>
              <w:bottom w:val="single" w:sz="4" w:space="0" w:color="auto"/>
              <w:right w:val="single" w:sz="4" w:space="0" w:color="auto"/>
            </w:tcBorders>
            <w:shd w:val="clear" w:color="auto" w:fill="auto"/>
            <w:vAlign w:val="bottom"/>
          </w:tcPr>
          <w:p w:rsidR="0084142E" w:rsidRPr="0084142E" w:rsidP="0084142E" w14:paraId="11179B0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40</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51A2E04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10.6</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7082552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530AED0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6533F03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14947E6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21.2</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1FC1DCE8"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42.4</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5A74C9" w14:paraId="6B447F8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$61,484.03</w:t>
            </w:r>
          </w:p>
        </w:tc>
      </w:tr>
      <w:tr w14:paraId="2A76A9BA" w14:textId="77777777" w:rsidTr="002B6D73">
        <w:tblPrEx>
          <w:tblW w:w="5000" w:type="pct"/>
          <w:tblLook w:val="04A0"/>
        </w:tblPrEx>
        <w:trPr>
          <w:trHeight w:val="25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13F68FB5"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F.  Time to train personnel</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74F3D97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49EB55DE"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644A0E2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080E96B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32B98197"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11AD48C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3FCE1312"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5FBE816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0F12CC5A" w14:textId="77777777" w:rsidTr="002B6D73">
        <w:tblPrEx>
          <w:tblW w:w="5000" w:type="pct"/>
          <w:tblLook w:val="04A0"/>
        </w:tblPrEx>
        <w:trPr>
          <w:trHeight w:val="510"/>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255A1A97"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G.  Time to adjust existing ways to comply with previously applicable requirements</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0CBADA6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7759D9E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1</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4D08E14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3</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68B879A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0820C3D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6C067283"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4E63F025"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6B008C49"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$0</w:t>
            </w:r>
          </w:p>
        </w:tc>
      </w:tr>
      <w:tr w14:paraId="343BB9B6"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hideMark/>
          </w:tcPr>
          <w:p w:rsidR="0084142E" w:rsidRPr="0084142E" w:rsidP="0084142E" w14:paraId="5F3647AC"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H.  Time to transmit or disclose information</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40688D6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See E</w:t>
            </w:r>
          </w:p>
        </w:tc>
        <w:tc>
          <w:tcPr>
            <w:tcW w:w="535" w:type="pct"/>
            <w:tcBorders>
              <w:top w:val="nil"/>
              <w:left w:val="nil"/>
              <w:bottom w:val="single" w:sz="4" w:space="0" w:color="auto"/>
              <w:right w:val="single" w:sz="4" w:space="0" w:color="auto"/>
            </w:tcBorders>
            <w:shd w:val="clear" w:color="auto" w:fill="auto"/>
            <w:vAlign w:val="bottom"/>
          </w:tcPr>
          <w:p w:rsidR="0084142E" w:rsidRPr="0084142E" w:rsidP="0084142E" w14:paraId="060605FC"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single" w:sz="4" w:space="0" w:color="auto"/>
            </w:tcBorders>
            <w:shd w:val="clear" w:color="auto" w:fill="auto"/>
            <w:vAlign w:val="bottom"/>
          </w:tcPr>
          <w:p w:rsidR="0084142E" w:rsidRPr="0084142E" w:rsidP="0084142E" w14:paraId="30204C4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single" w:sz="4" w:space="0" w:color="auto"/>
            </w:tcBorders>
            <w:shd w:val="clear" w:color="auto" w:fill="auto"/>
            <w:vAlign w:val="bottom"/>
          </w:tcPr>
          <w:p w:rsidR="0084142E" w:rsidRPr="0084142E" w:rsidP="0084142E" w14:paraId="621BB87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single" w:sz="4" w:space="0" w:color="auto"/>
            </w:tcBorders>
            <w:shd w:val="clear" w:color="auto" w:fill="auto"/>
            <w:vAlign w:val="bottom"/>
          </w:tcPr>
          <w:p w:rsidR="0084142E" w:rsidRPr="0084142E" w:rsidP="0084142E" w14:paraId="5C811B5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single" w:sz="4" w:space="0" w:color="auto"/>
            </w:tcBorders>
            <w:shd w:val="clear" w:color="auto" w:fill="auto"/>
            <w:vAlign w:val="bottom"/>
          </w:tcPr>
          <w:p w:rsidR="0084142E" w:rsidRPr="0084142E" w:rsidP="0084142E" w14:paraId="60032F46"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single" w:sz="4" w:space="0" w:color="auto"/>
            </w:tcBorders>
            <w:shd w:val="clear" w:color="auto" w:fill="auto"/>
            <w:vAlign w:val="bottom"/>
          </w:tcPr>
          <w:p w:rsidR="0084142E" w:rsidRPr="0084142E" w:rsidP="0084142E" w14:paraId="753979A0"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tcPr>
          <w:p w:rsidR="0084142E" w:rsidRPr="0084142E" w:rsidP="0084142E" w14:paraId="38FBF03A" w14:textId="77777777">
            <w:pPr>
              <w:spacing w:after="0" w:line="240" w:lineRule="auto"/>
              <w:ind w:left="0" w:firstLine="0"/>
              <w:jc w:val="right"/>
              <w:rPr>
                <w:rFonts w:eastAsia="Times New Roman" w:cstheme="minorHAnsi"/>
                <w:sz w:val="20"/>
                <w:szCs w:val="20"/>
              </w:rPr>
            </w:pPr>
            <w:r w:rsidRPr="0084142E">
              <w:rPr>
                <w:rFonts w:eastAsia="Times New Roman" w:cstheme="minorHAnsi"/>
                <w:sz w:val="20"/>
                <w:szCs w:val="20"/>
              </w:rPr>
              <w:t> </w:t>
            </w:r>
          </w:p>
        </w:tc>
      </w:tr>
      <w:tr w14:paraId="5CC03C3A" w14:textId="77777777" w:rsidTr="002B6D73">
        <w:tblPrEx>
          <w:tblW w:w="5000" w:type="pct"/>
          <w:tblLook w:val="04A0"/>
        </w:tblPrEx>
        <w:trPr>
          <w:trHeight w:val="255"/>
        </w:trPr>
        <w:tc>
          <w:tcPr>
            <w:tcW w:w="688" w:type="pct"/>
            <w:tcBorders>
              <w:top w:val="nil"/>
              <w:left w:val="single" w:sz="4" w:space="0" w:color="auto"/>
              <w:bottom w:val="single" w:sz="4" w:space="0" w:color="auto"/>
              <w:right w:val="nil"/>
            </w:tcBorders>
            <w:shd w:val="clear" w:color="auto" w:fill="auto"/>
            <w:hideMark/>
          </w:tcPr>
          <w:p w:rsidR="0084142E" w:rsidRPr="0084142E" w:rsidP="0084142E" w14:paraId="72505062" w14:textId="77777777">
            <w:pPr>
              <w:spacing w:after="0" w:line="240" w:lineRule="auto"/>
              <w:ind w:left="0" w:firstLine="0"/>
              <w:rPr>
                <w:rFonts w:eastAsia="Times New Roman" w:cstheme="minorHAnsi"/>
                <w:sz w:val="20"/>
                <w:szCs w:val="20"/>
              </w:rPr>
            </w:pPr>
            <w:r w:rsidRPr="0084142E">
              <w:rPr>
                <w:rFonts w:eastAsia="Times New Roman" w:cstheme="minorHAnsi"/>
                <w:sz w:val="20"/>
                <w:szCs w:val="20"/>
              </w:rPr>
              <w:t>I.  Time for audits</w:t>
            </w:r>
          </w:p>
        </w:tc>
        <w:tc>
          <w:tcPr>
            <w:tcW w:w="512" w:type="pct"/>
            <w:tcBorders>
              <w:top w:val="nil"/>
              <w:left w:val="single" w:sz="4" w:space="0" w:color="auto"/>
              <w:bottom w:val="single" w:sz="4" w:space="0" w:color="auto"/>
              <w:right w:val="nil"/>
            </w:tcBorders>
            <w:shd w:val="clear" w:color="auto" w:fill="auto"/>
            <w:vAlign w:val="bottom"/>
            <w:hideMark/>
          </w:tcPr>
          <w:p w:rsidR="0084142E" w:rsidRPr="0084142E" w:rsidP="0084142E" w14:paraId="0E28B491"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N/A</w:t>
            </w:r>
          </w:p>
        </w:tc>
        <w:tc>
          <w:tcPr>
            <w:tcW w:w="535" w:type="pct"/>
            <w:tcBorders>
              <w:top w:val="nil"/>
              <w:left w:val="nil"/>
              <w:bottom w:val="single" w:sz="4" w:space="0" w:color="auto"/>
              <w:right w:val="nil"/>
            </w:tcBorders>
            <w:shd w:val="clear" w:color="auto" w:fill="auto"/>
            <w:vAlign w:val="bottom"/>
            <w:hideMark/>
          </w:tcPr>
          <w:p w:rsidR="0084142E" w:rsidRPr="0084142E" w:rsidP="0084142E" w14:paraId="4AA3E6F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2" w:type="pct"/>
            <w:tcBorders>
              <w:top w:val="nil"/>
              <w:left w:val="nil"/>
              <w:bottom w:val="single" w:sz="4" w:space="0" w:color="auto"/>
              <w:right w:val="nil"/>
            </w:tcBorders>
            <w:shd w:val="clear" w:color="auto" w:fill="auto"/>
            <w:vAlign w:val="bottom"/>
            <w:hideMark/>
          </w:tcPr>
          <w:p w:rsidR="0084142E" w:rsidRPr="0084142E" w:rsidP="0084142E" w14:paraId="0CE10FE4"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37" w:type="pct"/>
            <w:tcBorders>
              <w:top w:val="nil"/>
              <w:left w:val="nil"/>
              <w:bottom w:val="single" w:sz="4" w:space="0" w:color="auto"/>
              <w:right w:val="nil"/>
            </w:tcBorders>
            <w:shd w:val="clear" w:color="auto" w:fill="auto"/>
            <w:vAlign w:val="bottom"/>
            <w:hideMark/>
          </w:tcPr>
          <w:p w:rsidR="0084142E" w:rsidRPr="0084142E" w:rsidP="0084142E" w14:paraId="312B561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43" w:type="pct"/>
            <w:tcBorders>
              <w:top w:val="nil"/>
              <w:left w:val="nil"/>
              <w:bottom w:val="single" w:sz="4" w:space="0" w:color="auto"/>
              <w:right w:val="nil"/>
            </w:tcBorders>
            <w:shd w:val="clear" w:color="auto" w:fill="auto"/>
            <w:vAlign w:val="bottom"/>
            <w:hideMark/>
          </w:tcPr>
          <w:p w:rsidR="0084142E" w:rsidRPr="0084142E" w:rsidP="0084142E" w14:paraId="6692E6BB"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613" w:type="pct"/>
            <w:tcBorders>
              <w:top w:val="nil"/>
              <w:left w:val="nil"/>
              <w:bottom w:val="single" w:sz="4" w:space="0" w:color="auto"/>
              <w:right w:val="nil"/>
            </w:tcBorders>
            <w:shd w:val="clear" w:color="auto" w:fill="auto"/>
            <w:vAlign w:val="bottom"/>
            <w:hideMark/>
          </w:tcPr>
          <w:p w:rsidR="0084142E" w:rsidRPr="0084142E" w:rsidP="0084142E" w14:paraId="2CAA721F"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17" w:type="pct"/>
            <w:tcBorders>
              <w:top w:val="nil"/>
              <w:left w:val="nil"/>
              <w:bottom w:val="single" w:sz="4" w:space="0" w:color="auto"/>
              <w:right w:val="nil"/>
            </w:tcBorders>
            <w:shd w:val="clear" w:color="auto" w:fill="auto"/>
            <w:vAlign w:val="bottom"/>
            <w:hideMark/>
          </w:tcPr>
          <w:p w:rsidR="0084142E" w:rsidRPr="0084142E" w:rsidP="0084142E" w14:paraId="21E8CF1A"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84142E" w14:paraId="7B5DE8FD" w14:textId="77777777">
            <w:pPr>
              <w:spacing w:after="0" w:line="240" w:lineRule="auto"/>
              <w:ind w:left="0" w:firstLine="0"/>
              <w:jc w:val="center"/>
              <w:rPr>
                <w:rFonts w:eastAsia="Times New Roman" w:cstheme="minorHAnsi"/>
                <w:sz w:val="20"/>
                <w:szCs w:val="20"/>
              </w:rPr>
            </w:pPr>
            <w:r w:rsidRPr="0084142E">
              <w:rPr>
                <w:rFonts w:eastAsia="Times New Roman" w:cstheme="minorHAnsi"/>
                <w:sz w:val="20"/>
                <w:szCs w:val="20"/>
              </w:rPr>
              <w:t> </w:t>
            </w:r>
          </w:p>
        </w:tc>
      </w:tr>
      <w:tr w14:paraId="4B644937" w14:textId="77777777" w:rsidTr="002B6D73">
        <w:tblPrEx>
          <w:tblW w:w="5000" w:type="pct"/>
          <w:tblLook w:val="04A0"/>
        </w:tblPrEx>
        <w:trPr>
          <w:trHeight w:val="270"/>
        </w:trPr>
        <w:tc>
          <w:tcPr>
            <w:tcW w:w="688" w:type="pct"/>
            <w:tcBorders>
              <w:top w:val="nil"/>
              <w:left w:val="single" w:sz="4" w:space="0" w:color="auto"/>
              <w:bottom w:val="single" w:sz="4" w:space="0" w:color="auto"/>
              <w:right w:val="single" w:sz="4" w:space="0" w:color="auto"/>
            </w:tcBorders>
            <w:shd w:val="clear" w:color="auto" w:fill="auto"/>
            <w:noWrap/>
            <w:vAlign w:val="center"/>
            <w:hideMark/>
          </w:tcPr>
          <w:p w:rsidR="0084142E" w:rsidRPr="0084142E" w:rsidP="0084142E" w14:paraId="55D362E6" w14:textId="77777777">
            <w:pPr>
              <w:spacing w:after="0" w:line="240" w:lineRule="auto"/>
              <w:ind w:left="0" w:firstLine="0"/>
              <w:rPr>
                <w:rFonts w:eastAsia="Times New Roman" w:cstheme="minorHAnsi"/>
                <w:b/>
                <w:bCs/>
                <w:i/>
                <w:iCs/>
                <w:sz w:val="20"/>
                <w:szCs w:val="20"/>
              </w:rPr>
            </w:pPr>
            <w:r w:rsidRPr="0084142E">
              <w:rPr>
                <w:rFonts w:eastAsia="Times New Roman" w:cstheme="minorHAnsi"/>
                <w:b/>
                <w:bCs/>
                <w:i/>
                <w:iCs/>
                <w:sz w:val="20"/>
                <w:szCs w:val="20"/>
              </w:rPr>
              <w:t>Subtotal for Recordkeeping Requirements</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2985E5A0"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 </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10C6FD53"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 </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3CF11698"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 </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07FC9CF7"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 </w:t>
            </w:r>
          </w:p>
        </w:tc>
        <w:tc>
          <w:tcPr>
            <w:tcW w:w="1673" w:type="pct"/>
            <w:gridSpan w:val="3"/>
            <w:tcBorders>
              <w:top w:val="single" w:sz="4" w:space="0" w:color="auto"/>
              <w:left w:val="nil"/>
              <w:bottom w:val="single" w:sz="4" w:space="0" w:color="auto"/>
              <w:right w:val="single" w:sz="4" w:space="0" w:color="000000"/>
            </w:tcBorders>
            <w:shd w:val="clear" w:color="auto" w:fill="auto"/>
            <w:vAlign w:val="bottom"/>
            <w:hideMark/>
          </w:tcPr>
          <w:p w:rsidR="0084142E" w:rsidRPr="0084142E" w:rsidP="0084142E" w14:paraId="011E57BF"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3,721</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0418EDB7" w14:textId="77777777">
            <w:pPr>
              <w:spacing w:after="0" w:line="240" w:lineRule="auto"/>
              <w:ind w:left="0" w:firstLine="0"/>
              <w:jc w:val="center"/>
              <w:rPr>
                <w:rFonts w:eastAsia="Times New Roman" w:cstheme="minorHAnsi"/>
                <w:b/>
                <w:bCs/>
                <w:i/>
                <w:iCs/>
                <w:sz w:val="20"/>
                <w:szCs w:val="20"/>
              </w:rPr>
            </w:pPr>
            <w:r w:rsidRPr="0084142E">
              <w:rPr>
                <w:rFonts w:eastAsia="Times New Roman" w:cstheme="minorHAnsi"/>
                <w:b/>
                <w:bCs/>
                <w:i/>
                <w:iCs/>
                <w:sz w:val="20"/>
                <w:szCs w:val="20"/>
              </w:rPr>
              <w:t>$469,181</w:t>
            </w:r>
          </w:p>
        </w:tc>
      </w:tr>
      <w:tr w14:paraId="595169FA"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noWrap/>
            <w:vAlign w:val="center"/>
            <w:hideMark/>
          </w:tcPr>
          <w:p w:rsidR="0084142E" w:rsidRPr="0084142E" w:rsidP="0084142E" w14:paraId="6159B01B" w14:textId="77777777">
            <w:pPr>
              <w:spacing w:after="0" w:line="240" w:lineRule="auto"/>
              <w:ind w:left="0" w:firstLine="0"/>
              <w:rPr>
                <w:rFonts w:eastAsia="Times New Roman" w:cstheme="minorHAnsi"/>
                <w:b/>
                <w:bCs/>
                <w:sz w:val="20"/>
                <w:szCs w:val="20"/>
              </w:rPr>
            </w:pPr>
            <w:r w:rsidRPr="0084142E">
              <w:rPr>
                <w:rFonts w:eastAsia="Times New Roman" w:cstheme="minorHAnsi"/>
                <w:b/>
                <w:bCs/>
                <w:sz w:val="20"/>
                <w:szCs w:val="20"/>
              </w:rPr>
              <w:t xml:space="preserve">TOTAL LABOR BURDEN AND COST (rounded) </w:t>
            </w:r>
            <w:r w:rsidRPr="0084142E">
              <w:rPr>
                <w:rFonts w:eastAsia="Times New Roman" w:cstheme="minorHAnsi"/>
                <w:b/>
                <w:bCs/>
                <w:sz w:val="20"/>
                <w:szCs w:val="20"/>
                <w:vertAlign w:val="superscript"/>
              </w:rPr>
              <w:t>o</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48C5F6B1"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6D95B9F1"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240B43FF"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5F3C4169"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1673" w:type="pct"/>
            <w:gridSpan w:val="3"/>
            <w:tcBorders>
              <w:top w:val="single" w:sz="4" w:space="0" w:color="auto"/>
              <w:left w:val="nil"/>
              <w:bottom w:val="single" w:sz="4" w:space="0" w:color="auto"/>
              <w:right w:val="single" w:sz="4" w:space="0" w:color="000000"/>
            </w:tcBorders>
            <w:shd w:val="clear" w:color="auto" w:fill="auto"/>
            <w:vAlign w:val="bottom"/>
            <w:hideMark/>
          </w:tcPr>
          <w:p w:rsidR="0084142E" w:rsidRPr="0084142E" w:rsidP="0084142E" w14:paraId="25A646B1"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26,800</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76F2BD34"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$3,380,000</w:t>
            </w:r>
          </w:p>
        </w:tc>
      </w:tr>
      <w:tr w14:paraId="3A6AC0DA"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noWrap/>
            <w:vAlign w:val="center"/>
            <w:hideMark/>
          </w:tcPr>
          <w:p w:rsidR="0084142E" w:rsidRPr="0084142E" w:rsidP="0084142E" w14:paraId="235B7FDA" w14:textId="77777777">
            <w:pPr>
              <w:spacing w:after="0" w:line="240" w:lineRule="auto"/>
              <w:ind w:left="0" w:firstLine="0"/>
              <w:rPr>
                <w:rFonts w:eastAsia="Times New Roman" w:cstheme="minorHAnsi"/>
                <w:b/>
                <w:bCs/>
                <w:sz w:val="20"/>
                <w:szCs w:val="20"/>
              </w:rPr>
            </w:pPr>
            <w:r w:rsidRPr="0084142E">
              <w:rPr>
                <w:rFonts w:eastAsia="Times New Roman" w:cstheme="minorHAnsi"/>
                <w:b/>
                <w:bCs/>
                <w:sz w:val="20"/>
                <w:szCs w:val="20"/>
              </w:rPr>
              <w:t xml:space="preserve">Capital and O&amp;M Cost (rounded) </w:t>
            </w:r>
            <w:r w:rsidRPr="0084142E">
              <w:rPr>
                <w:rFonts w:eastAsia="Times New Roman" w:cstheme="minorHAnsi"/>
                <w:b/>
                <w:bCs/>
                <w:sz w:val="20"/>
                <w:szCs w:val="20"/>
                <w:vertAlign w:val="superscript"/>
              </w:rPr>
              <w:t>o</w:t>
            </w:r>
          </w:p>
        </w:tc>
        <w:tc>
          <w:tcPr>
            <w:tcW w:w="512" w:type="pct"/>
            <w:tcBorders>
              <w:top w:val="nil"/>
              <w:left w:val="nil"/>
              <w:bottom w:val="single" w:sz="4" w:space="0" w:color="auto"/>
              <w:right w:val="single" w:sz="4" w:space="0" w:color="auto"/>
            </w:tcBorders>
            <w:shd w:val="clear" w:color="auto" w:fill="auto"/>
            <w:vAlign w:val="bottom"/>
            <w:hideMark/>
          </w:tcPr>
          <w:p w:rsidR="0084142E" w:rsidRPr="0084142E" w:rsidP="0084142E" w14:paraId="0844947B"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35" w:type="pct"/>
            <w:tcBorders>
              <w:top w:val="nil"/>
              <w:left w:val="nil"/>
              <w:bottom w:val="single" w:sz="4" w:space="0" w:color="auto"/>
              <w:right w:val="single" w:sz="4" w:space="0" w:color="auto"/>
            </w:tcBorders>
            <w:shd w:val="clear" w:color="auto" w:fill="auto"/>
            <w:vAlign w:val="bottom"/>
            <w:hideMark/>
          </w:tcPr>
          <w:p w:rsidR="0084142E" w:rsidRPr="0084142E" w:rsidP="0084142E" w14:paraId="4A00F4B2"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32" w:type="pct"/>
            <w:tcBorders>
              <w:top w:val="nil"/>
              <w:left w:val="nil"/>
              <w:bottom w:val="single" w:sz="4" w:space="0" w:color="auto"/>
              <w:right w:val="single" w:sz="4" w:space="0" w:color="auto"/>
            </w:tcBorders>
            <w:shd w:val="clear" w:color="auto" w:fill="auto"/>
            <w:vAlign w:val="bottom"/>
            <w:hideMark/>
          </w:tcPr>
          <w:p w:rsidR="0084142E" w:rsidRPr="0084142E" w:rsidP="0084142E" w14:paraId="21B82B7B"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37" w:type="pct"/>
            <w:tcBorders>
              <w:top w:val="nil"/>
              <w:left w:val="nil"/>
              <w:bottom w:val="single" w:sz="4" w:space="0" w:color="auto"/>
              <w:right w:val="single" w:sz="4" w:space="0" w:color="auto"/>
            </w:tcBorders>
            <w:shd w:val="clear" w:color="auto" w:fill="auto"/>
            <w:vAlign w:val="bottom"/>
            <w:hideMark/>
          </w:tcPr>
          <w:p w:rsidR="0084142E" w:rsidRPr="0084142E" w:rsidP="0084142E" w14:paraId="3168C6DB"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43" w:type="pct"/>
            <w:tcBorders>
              <w:top w:val="nil"/>
              <w:left w:val="nil"/>
              <w:bottom w:val="single" w:sz="4" w:space="0" w:color="auto"/>
              <w:right w:val="single" w:sz="4" w:space="0" w:color="auto"/>
            </w:tcBorders>
            <w:shd w:val="clear" w:color="auto" w:fill="auto"/>
            <w:vAlign w:val="bottom"/>
            <w:hideMark/>
          </w:tcPr>
          <w:p w:rsidR="0084142E" w:rsidRPr="0084142E" w:rsidP="0084142E" w14:paraId="1BA189BD" w14:textId="77777777">
            <w:pPr>
              <w:spacing w:after="0" w:line="240" w:lineRule="auto"/>
              <w:ind w:left="0" w:firstLine="0"/>
              <w:rPr>
                <w:rFonts w:eastAsia="Times New Roman" w:cstheme="minorHAnsi"/>
                <w:b/>
                <w:bCs/>
                <w:sz w:val="20"/>
                <w:szCs w:val="20"/>
              </w:rPr>
            </w:pPr>
            <w:r w:rsidRPr="0084142E">
              <w:rPr>
                <w:rFonts w:eastAsia="Times New Roman" w:cstheme="minorHAnsi"/>
                <w:b/>
                <w:bCs/>
                <w:sz w:val="20"/>
                <w:szCs w:val="20"/>
              </w:rPr>
              <w:t> </w:t>
            </w:r>
          </w:p>
        </w:tc>
        <w:tc>
          <w:tcPr>
            <w:tcW w:w="613" w:type="pct"/>
            <w:tcBorders>
              <w:top w:val="nil"/>
              <w:left w:val="nil"/>
              <w:bottom w:val="single" w:sz="4" w:space="0" w:color="auto"/>
              <w:right w:val="single" w:sz="4" w:space="0" w:color="auto"/>
            </w:tcBorders>
            <w:shd w:val="clear" w:color="auto" w:fill="auto"/>
            <w:vAlign w:val="bottom"/>
            <w:hideMark/>
          </w:tcPr>
          <w:p w:rsidR="0084142E" w:rsidRPr="0084142E" w:rsidP="0084142E" w14:paraId="1F2DEAC2" w14:textId="77777777">
            <w:pPr>
              <w:spacing w:after="0" w:line="240" w:lineRule="auto"/>
              <w:ind w:left="0" w:firstLine="0"/>
              <w:rPr>
                <w:rFonts w:eastAsia="Times New Roman" w:cstheme="minorHAnsi"/>
                <w:b/>
                <w:bCs/>
                <w:sz w:val="20"/>
                <w:szCs w:val="20"/>
              </w:rPr>
            </w:pPr>
            <w:r w:rsidRPr="0084142E">
              <w:rPr>
                <w:rFonts w:eastAsia="Times New Roman" w:cstheme="minorHAnsi"/>
                <w:b/>
                <w:bCs/>
                <w:sz w:val="20"/>
                <w:szCs w:val="20"/>
              </w:rPr>
              <w:t> </w:t>
            </w:r>
          </w:p>
        </w:tc>
        <w:tc>
          <w:tcPr>
            <w:tcW w:w="517" w:type="pct"/>
            <w:tcBorders>
              <w:top w:val="nil"/>
              <w:left w:val="nil"/>
              <w:bottom w:val="single" w:sz="4" w:space="0" w:color="auto"/>
              <w:right w:val="single" w:sz="4" w:space="0" w:color="auto"/>
            </w:tcBorders>
            <w:shd w:val="clear" w:color="auto" w:fill="auto"/>
            <w:vAlign w:val="bottom"/>
            <w:hideMark/>
          </w:tcPr>
          <w:p w:rsidR="0084142E" w:rsidRPr="0084142E" w:rsidP="0084142E" w14:paraId="3F93D8D0" w14:textId="77777777">
            <w:pPr>
              <w:spacing w:after="0" w:line="240" w:lineRule="auto"/>
              <w:ind w:left="0" w:firstLine="0"/>
              <w:rPr>
                <w:rFonts w:eastAsia="Times New Roman" w:cstheme="minorHAnsi"/>
                <w:b/>
                <w:bCs/>
                <w:sz w:val="20"/>
                <w:szCs w:val="20"/>
              </w:rPr>
            </w:pPr>
            <w:r w:rsidRPr="0084142E">
              <w:rPr>
                <w:rFonts w:eastAsia="Times New Roman" w:cstheme="minorHAnsi"/>
                <w:b/>
                <w:bCs/>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4142E" w:rsidRPr="0084142E" w:rsidP="005A74C9" w14:paraId="25F17037"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$107,000</w:t>
            </w:r>
          </w:p>
        </w:tc>
      </w:tr>
      <w:tr w14:paraId="592DA31A" w14:textId="77777777" w:rsidTr="002B6D73">
        <w:tblPrEx>
          <w:tblW w:w="5000" w:type="pct"/>
          <w:tblLook w:val="04A0"/>
        </w:tblPrEx>
        <w:trPr>
          <w:trHeight w:val="315"/>
        </w:trPr>
        <w:tc>
          <w:tcPr>
            <w:tcW w:w="688" w:type="pct"/>
            <w:tcBorders>
              <w:top w:val="nil"/>
              <w:left w:val="single" w:sz="4" w:space="0" w:color="auto"/>
              <w:bottom w:val="single" w:sz="4" w:space="0" w:color="auto"/>
              <w:right w:val="single" w:sz="4" w:space="0" w:color="auto"/>
            </w:tcBorders>
            <w:shd w:val="clear" w:color="auto" w:fill="auto"/>
            <w:noWrap/>
            <w:vAlign w:val="center"/>
            <w:hideMark/>
          </w:tcPr>
          <w:p w:rsidR="0084142E" w:rsidRPr="0084142E" w:rsidP="0084142E" w14:paraId="2C7540FD" w14:textId="77777777">
            <w:pPr>
              <w:spacing w:after="0" w:line="240" w:lineRule="auto"/>
              <w:ind w:left="0" w:firstLine="0"/>
              <w:rPr>
                <w:rFonts w:eastAsia="Times New Roman" w:cstheme="minorHAnsi"/>
                <w:b/>
                <w:bCs/>
                <w:sz w:val="20"/>
                <w:szCs w:val="20"/>
              </w:rPr>
            </w:pPr>
            <w:r w:rsidRPr="0084142E">
              <w:rPr>
                <w:rFonts w:eastAsia="Times New Roman" w:cstheme="minorHAnsi"/>
                <w:b/>
                <w:bCs/>
                <w:sz w:val="20"/>
                <w:szCs w:val="20"/>
              </w:rPr>
              <w:t xml:space="preserve">GRAND TOTAL (rounded) </w:t>
            </w:r>
            <w:r w:rsidRPr="0084142E">
              <w:rPr>
                <w:rFonts w:eastAsia="Times New Roman" w:cstheme="minorHAnsi"/>
                <w:b/>
                <w:bCs/>
                <w:sz w:val="20"/>
                <w:szCs w:val="20"/>
                <w:vertAlign w:val="superscript"/>
              </w:rPr>
              <w:t>o</w:t>
            </w:r>
          </w:p>
        </w:tc>
        <w:tc>
          <w:tcPr>
            <w:tcW w:w="512" w:type="pct"/>
            <w:tcBorders>
              <w:top w:val="nil"/>
              <w:left w:val="nil"/>
              <w:bottom w:val="single" w:sz="4" w:space="0" w:color="auto"/>
              <w:right w:val="single" w:sz="4" w:space="0" w:color="auto"/>
            </w:tcBorders>
            <w:shd w:val="clear" w:color="auto" w:fill="auto"/>
            <w:noWrap/>
            <w:vAlign w:val="bottom"/>
            <w:hideMark/>
          </w:tcPr>
          <w:p w:rsidR="0084142E" w:rsidRPr="0084142E" w:rsidP="0084142E" w14:paraId="294B02ED"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35" w:type="pct"/>
            <w:tcBorders>
              <w:top w:val="nil"/>
              <w:left w:val="nil"/>
              <w:bottom w:val="single" w:sz="4" w:space="0" w:color="auto"/>
              <w:right w:val="single" w:sz="4" w:space="0" w:color="auto"/>
            </w:tcBorders>
            <w:shd w:val="clear" w:color="auto" w:fill="auto"/>
            <w:noWrap/>
            <w:vAlign w:val="bottom"/>
            <w:hideMark/>
          </w:tcPr>
          <w:p w:rsidR="0084142E" w:rsidRPr="0084142E" w:rsidP="0084142E" w14:paraId="3DBC0FD8"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32" w:type="pct"/>
            <w:tcBorders>
              <w:top w:val="nil"/>
              <w:left w:val="nil"/>
              <w:bottom w:val="single" w:sz="4" w:space="0" w:color="auto"/>
              <w:right w:val="single" w:sz="4" w:space="0" w:color="auto"/>
            </w:tcBorders>
            <w:shd w:val="clear" w:color="auto" w:fill="auto"/>
            <w:noWrap/>
            <w:vAlign w:val="bottom"/>
            <w:hideMark/>
          </w:tcPr>
          <w:p w:rsidR="0084142E" w:rsidRPr="0084142E" w:rsidP="0084142E" w14:paraId="72B8B1D3"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37" w:type="pct"/>
            <w:tcBorders>
              <w:top w:val="nil"/>
              <w:left w:val="nil"/>
              <w:bottom w:val="single" w:sz="4" w:space="0" w:color="auto"/>
              <w:right w:val="single" w:sz="4" w:space="0" w:color="auto"/>
            </w:tcBorders>
            <w:shd w:val="clear" w:color="auto" w:fill="auto"/>
            <w:noWrap/>
            <w:vAlign w:val="bottom"/>
            <w:hideMark/>
          </w:tcPr>
          <w:p w:rsidR="0084142E" w:rsidRPr="0084142E" w:rsidP="0084142E" w14:paraId="328ADC1F"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43" w:type="pct"/>
            <w:tcBorders>
              <w:top w:val="nil"/>
              <w:left w:val="nil"/>
              <w:bottom w:val="single" w:sz="4" w:space="0" w:color="auto"/>
              <w:right w:val="single" w:sz="4" w:space="0" w:color="auto"/>
            </w:tcBorders>
            <w:shd w:val="clear" w:color="auto" w:fill="auto"/>
            <w:noWrap/>
            <w:vAlign w:val="bottom"/>
            <w:hideMark/>
          </w:tcPr>
          <w:p w:rsidR="0084142E" w:rsidRPr="0084142E" w:rsidP="0084142E" w14:paraId="142B5D77"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613" w:type="pct"/>
            <w:tcBorders>
              <w:top w:val="nil"/>
              <w:left w:val="nil"/>
              <w:bottom w:val="single" w:sz="4" w:space="0" w:color="auto"/>
              <w:right w:val="single" w:sz="4" w:space="0" w:color="auto"/>
            </w:tcBorders>
            <w:shd w:val="clear" w:color="auto" w:fill="auto"/>
            <w:noWrap/>
            <w:vAlign w:val="bottom"/>
            <w:hideMark/>
          </w:tcPr>
          <w:p w:rsidR="0084142E" w:rsidRPr="0084142E" w:rsidP="0084142E" w14:paraId="5EAD6DA7"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17" w:type="pct"/>
            <w:tcBorders>
              <w:top w:val="nil"/>
              <w:left w:val="nil"/>
              <w:bottom w:val="single" w:sz="4" w:space="0" w:color="auto"/>
              <w:right w:val="single" w:sz="4" w:space="0" w:color="auto"/>
            </w:tcBorders>
            <w:shd w:val="clear" w:color="auto" w:fill="auto"/>
            <w:noWrap/>
            <w:vAlign w:val="bottom"/>
            <w:hideMark/>
          </w:tcPr>
          <w:p w:rsidR="0084142E" w:rsidRPr="0084142E" w:rsidP="0084142E" w14:paraId="3E548E30"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 </w:t>
            </w:r>
          </w:p>
        </w:tc>
        <w:tc>
          <w:tcPr>
            <w:tcW w:w="523" w:type="pct"/>
            <w:tcBorders>
              <w:top w:val="nil"/>
              <w:left w:val="nil"/>
              <w:bottom w:val="single" w:sz="4" w:space="0" w:color="auto"/>
              <w:right w:val="single" w:sz="4" w:space="0" w:color="auto"/>
            </w:tcBorders>
            <w:shd w:val="clear" w:color="auto" w:fill="auto"/>
            <w:noWrap/>
            <w:vAlign w:val="center"/>
            <w:hideMark/>
          </w:tcPr>
          <w:p w:rsidR="0084142E" w:rsidRPr="0084142E" w:rsidP="005A74C9" w14:paraId="4CDF9E34" w14:textId="77777777">
            <w:pPr>
              <w:spacing w:after="0" w:line="240" w:lineRule="auto"/>
              <w:ind w:left="0" w:firstLine="0"/>
              <w:jc w:val="center"/>
              <w:rPr>
                <w:rFonts w:eastAsia="Times New Roman" w:cstheme="minorHAnsi"/>
                <w:b/>
                <w:bCs/>
                <w:sz w:val="20"/>
                <w:szCs w:val="20"/>
              </w:rPr>
            </w:pPr>
            <w:r w:rsidRPr="0084142E">
              <w:rPr>
                <w:rFonts w:eastAsia="Times New Roman" w:cstheme="minorHAnsi"/>
                <w:b/>
                <w:bCs/>
                <w:sz w:val="20"/>
                <w:szCs w:val="20"/>
              </w:rPr>
              <w:t>$3,490,000</w:t>
            </w:r>
          </w:p>
          <w:p w:rsidR="0084142E" w:rsidRPr="0084142E" w:rsidP="005A74C9" w14:paraId="39C517C5" w14:textId="77777777">
            <w:pPr>
              <w:spacing w:after="0" w:line="240" w:lineRule="auto"/>
              <w:ind w:left="0" w:firstLine="0"/>
              <w:jc w:val="center"/>
              <w:rPr>
                <w:rFonts w:eastAsia="Times New Roman" w:cstheme="minorHAnsi"/>
                <w:b/>
                <w:bCs/>
                <w:sz w:val="20"/>
                <w:szCs w:val="20"/>
              </w:rPr>
            </w:pPr>
          </w:p>
        </w:tc>
      </w:tr>
      <w:tr w14:paraId="41680C89" w14:textId="77777777" w:rsidTr="009555B2">
        <w:tblPrEx>
          <w:tblW w:w="5000" w:type="pct"/>
          <w:tblLook w:val="04A0"/>
        </w:tblPrEx>
        <w:trPr>
          <w:trHeight w:val="300"/>
        </w:trPr>
        <w:tc>
          <w:tcPr>
            <w:tcW w:w="5000" w:type="pct"/>
            <w:gridSpan w:val="9"/>
            <w:tcBorders>
              <w:top w:val="nil"/>
              <w:left w:val="nil"/>
              <w:bottom w:val="nil"/>
              <w:right w:val="nil"/>
            </w:tcBorders>
            <w:shd w:val="clear" w:color="auto" w:fill="auto"/>
            <w:noWrap/>
            <w:vAlign w:val="center"/>
            <w:hideMark/>
          </w:tcPr>
          <w:p w:rsidR="0084142E" w:rsidRPr="0084142E" w:rsidP="0084142E" w14:paraId="46D701AC" w14:textId="77777777">
            <w:pPr>
              <w:widowControl w:val="0"/>
              <w:autoSpaceDE w:val="0"/>
              <w:autoSpaceDN w:val="0"/>
              <w:adjustRightInd w:val="0"/>
              <w:spacing w:after="0" w:line="240" w:lineRule="auto"/>
              <w:ind w:left="0" w:firstLine="0"/>
              <w:rPr>
                <w:rFonts w:eastAsia="Times New Roman" w:cstheme="minorHAnsi"/>
                <w:b/>
                <w:bCs/>
                <w:sz w:val="20"/>
                <w:szCs w:val="20"/>
              </w:rPr>
            </w:pPr>
            <w:r w:rsidRPr="0084142E">
              <w:rPr>
                <w:rFonts w:eastAsia="Times New Roman" w:cstheme="minorHAnsi"/>
                <w:b/>
                <w:bCs/>
                <w:sz w:val="20"/>
                <w:szCs w:val="20"/>
              </w:rPr>
              <w:t>Assumptions:</w:t>
            </w:r>
          </w:p>
        </w:tc>
      </w:tr>
      <w:tr w14:paraId="0843B1DA"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84142E" w:rsidRPr="0084142E" w:rsidP="0084142E" w14:paraId="4FB5B092" w14:textId="77777777">
            <w:pPr>
              <w:widowControl w:val="0"/>
              <w:autoSpaceDE w:val="0"/>
              <w:autoSpaceDN w:val="0"/>
              <w:adjustRightInd w:val="0"/>
              <w:spacing w:after="0" w:line="240" w:lineRule="auto"/>
              <w:ind w:left="0" w:firstLine="0"/>
              <w:rPr>
                <w:rFonts w:eastAsia="Times New Roman" w:cstheme="minorHAnsi"/>
                <w:sz w:val="20"/>
                <w:szCs w:val="20"/>
              </w:rPr>
            </w:pPr>
            <w:r w:rsidRPr="0084142E">
              <w:rPr>
                <w:rFonts w:eastAsia="Times New Roman" w:cstheme="minorHAnsi"/>
                <w:sz w:val="20"/>
                <w:szCs w:val="20"/>
                <w:vertAlign w:val="superscript"/>
              </w:rPr>
              <w:t>a</w:t>
            </w:r>
            <w:r w:rsidRPr="0084142E">
              <w:rPr>
                <w:rFonts w:eastAsia="Times New Roman" w:cstheme="minorHAnsi"/>
                <w:sz w:val="20"/>
                <w:szCs w:val="20"/>
                <w:vertAlign w:val="superscript"/>
              </w:rPr>
              <w:t xml:space="preserve"> </w:t>
            </w:r>
            <w:r w:rsidRPr="0084142E">
              <w:rPr>
                <w:rFonts w:eastAsia="Times New Roman" w:cstheme="minorHAnsi"/>
                <w:sz w:val="20"/>
                <w:szCs w:val="20"/>
              </w:rPr>
              <w:t>There is an average of 12 respondents (i.e., 7 coke plants operating 17 by-product (</w:t>
            </w:r>
            <w:r w:rsidRPr="0084142E">
              <w:rPr>
                <w:rFonts w:eastAsia="Times New Roman" w:cstheme="minorHAnsi"/>
                <w:sz w:val="20"/>
                <w:szCs w:val="20"/>
              </w:rPr>
              <w:t>ByP</w:t>
            </w:r>
            <w:r w:rsidRPr="0084142E">
              <w:rPr>
                <w:rFonts w:eastAsia="Times New Roman" w:cstheme="minorHAnsi"/>
                <w:sz w:val="20"/>
                <w:szCs w:val="20"/>
              </w:rPr>
              <w:t xml:space="preserve">) batteries and 5 coke plants operating 20 heat and/or nonrecovery (HNR) batteries). We have assumed that there will be no new sources subject to this regulation. </w:t>
            </w:r>
          </w:p>
        </w:tc>
      </w:tr>
      <w:tr w14:paraId="3A914C5E"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84142E" w:rsidRPr="0084142E" w:rsidP="0084142E" w14:paraId="280A9F62" w14:textId="77777777">
            <w:pPr>
              <w:widowControl w:val="0"/>
              <w:autoSpaceDE w:val="0"/>
              <w:autoSpaceDN w:val="0"/>
              <w:adjustRightInd w:val="0"/>
              <w:spacing w:after="0" w:line="240" w:lineRule="auto"/>
              <w:ind w:left="0" w:firstLine="0"/>
              <w:rPr>
                <w:rFonts w:eastAsia="Times New Roman" w:cstheme="minorHAnsi"/>
                <w:sz w:val="20"/>
                <w:szCs w:val="20"/>
              </w:rPr>
            </w:pPr>
            <w:r w:rsidRPr="0084142E">
              <w:rPr>
                <w:rFonts w:eastAsia="Times New Roman" w:cstheme="minorHAnsi"/>
                <w:sz w:val="20"/>
                <w:szCs w:val="20"/>
                <w:vertAlign w:val="superscript"/>
              </w:rPr>
              <w:t>b</w:t>
            </w:r>
            <w:r w:rsidRPr="0084142E">
              <w:rPr>
                <w:rFonts w:eastAsia="Times New Roman" w:cstheme="minorHAnsi"/>
                <w:sz w:val="20"/>
                <w:szCs w:val="20"/>
              </w:rPr>
              <w:t xml:space="preserve"> This ICR uses the following labor rates: $163.17 per hour for Executive, Administrative, and Managerial labor; $130.28 per hour for Technical labor, and $65.71 per hour for Clerical labor. These rates are from the United States Department of Labor, Bureau of Labor Statistics, September 2022, “Table 2. Civilian Workers, by Occupational and Industry group.” The rates are from column 1, “Total Compensation.” The rates have been increased by 110% to account for the benefit packages available to those employed by private industry.</w:t>
            </w:r>
          </w:p>
        </w:tc>
      </w:tr>
      <w:tr w14:paraId="666194B4"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84142E" w:rsidRPr="0084142E" w:rsidP="0084142E" w14:paraId="732B7CD9" w14:textId="77777777">
            <w:pPr>
              <w:widowControl w:val="0"/>
              <w:autoSpaceDE w:val="0"/>
              <w:autoSpaceDN w:val="0"/>
              <w:adjustRightInd w:val="0"/>
              <w:spacing w:after="0" w:line="240" w:lineRule="auto"/>
              <w:ind w:left="0" w:firstLine="0"/>
              <w:rPr>
                <w:rFonts w:eastAsia="Times New Roman" w:cstheme="minorHAnsi"/>
                <w:sz w:val="20"/>
                <w:szCs w:val="20"/>
              </w:rPr>
            </w:pPr>
            <w:r w:rsidRPr="0084142E">
              <w:rPr>
                <w:rFonts w:eastAsia="Times New Roman" w:cstheme="minorHAnsi"/>
                <w:sz w:val="20"/>
                <w:szCs w:val="20"/>
                <w:vertAlign w:val="superscript"/>
              </w:rPr>
              <w:t>c</w:t>
            </w:r>
            <w:r w:rsidRPr="0084142E">
              <w:rPr>
                <w:rFonts w:eastAsia="Times New Roman" w:cstheme="minorHAnsi"/>
                <w:sz w:val="20"/>
                <w:szCs w:val="20"/>
              </w:rPr>
              <w:t xml:space="preserve"> We have assumed existing respondents already comply with initial rule requirements and are in full compliance with periodic requirements including quarterly and semiannual reports. New respondents would have to comply with the initial rule requirements including notifications and performance tests for add-on control devices. </w:t>
            </w:r>
          </w:p>
        </w:tc>
      </w:tr>
      <w:tr w14:paraId="3EB45695"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84142E" w:rsidRPr="0084142E" w:rsidP="0084142E" w14:paraId="4892B19B" w14:textId="77777777">
            <w:pPr>
              <w:widowControl w:val="0"/>
              <w:autoSpaceDE w:val="0"/>
              <w:autoSpaceDN w:val="0"/>
              <w:adjustRightInd w:val="0"/>
              <w:spacing w:after="0" w:line="240" w:lineRule="auto"/>
              <w:ind w:left="0" w:firstLine="0"/>
              <w:rPr>
                <w:rFonts w:eastAsia="Times New Roman" w:cstheme="minorHAnsi"/>
                <w:sz w:val="20"/>
                <w:szCs w:val="20"/>
              </w:rPr>
            </w:pPr>
            <w:r w:rsidRPr="0084142E">
              <w:rPr>
                <w:rFonts w:eastAsia="Times New Roman" w:cstheme="minorHAnsi"/>
                <w:sz w:val="20"/>
                <w:szCs w:val="20"/>
                <w:vertAlign w:val="superscript"/>
              </w:rPr>
              <w:t xml:space="preserve">d </w:t>
            </w:r>
            <w:r w:rsidRPr="0084142E">
              <w:rPr>
                <w:rFonts w:eastAsia="Times New Roman" w:cstheme="minorHAnsi"/>
                <w:sz w:val="20"/>
                <w:szCs w:val="20"/>
              </w:rPr>
              <w:t>Monitoring and recordkeeping of operations for respondents include: monthly inspection of capture and control systems; daily Method 9 observations; weekly sampling for dissolved solids for quenching operations; work practices for batteries with horizontal flues (one plant); and Method 5 testing for particulate matter.</w:t>
            </w:r>
          </w:p>
        </w:tc>
      </w:tr>
      <w:tr w14:paraId="39BF8F21"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84142E" w:rsidRPr="0084142E" w:rsidP="0084142E" w14:paraId="276A72B7" w14:textId="77777777">
            <w:pPr>
              <w:widowControl w:val="0"/>
              <w:autoSpaceDE w:val="0"/>
              <w:autoSpaceDN w:val="0"/>
              <w:adjustRightInd w:val="0"/>
              <w:spacing w:after="0" w:line="240" w:lineRule="auto"/>
              <w:ind w:left="0" w:firstLine="0"/>
              <w:rPr>
                <w:rFonts w:eastAsia="Times New Roman" w:cstheme="minorHAnsi"/>
                <w:sz w:val="20"/>
                <w:szCs w:val="20"/>
              </w:rPr>
            </w:pPr>
            <w:r w:rsidRPr="0084142E">
              <w:rPr>
                <w:rFonts w:eastAsia="Times New Roman" w:cstheme="minorHAnsi"/>
                <w:sz w:val="20"/>
                <w:szCs w:val="20"/>
                <w:vertAlign w:val="superscript"/>
              </w:rPr>
              <w:t xml:space="preserve">e </w:t>
            </w:r>
            <w:r w:rsidRPr="0084142E">
              <w:rPr>
                <w:rFonts w:eastAsia="Times New Roman" w:cstheme="minorHAnsi"/>
                <w:sz w:val="20"/>
                <w:szCs w:val="20"/>
              </w:rPr>
              <w:t xml:space="preserve">The rule requires that every 2.5 years (or 0.4 times per year over the 3 years of the ICR), each control device applied to pushing emissions must be sampled by Method 5 for particulate matter. We have determined that there is an average of 2.1 emission points per respondent (25 pushing units / 12 facilities) that need to be tested. There is an average of 4.8 respondents per year (12*0.4) submitting Method 5 performance test reports. </w:t>
            </w:r>
          </w:p>
        </w:tc>
      </w:tr>
      <w:tr w14:paraId="05D749B2"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tcPr>
          <w:p w:rsidR="0084142E" w:rsidRPr="0084142E" w:rsidP="0084142E" w14:paraId="04E2A4C2"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84142E">
              <w:rPr>
                <w:rFonts w:eastAsia="Times New Roman" w:cstheme="minorHAnsi"/>
                <w:sz w:val="20"/>
                <w:szCs w:val="20"/>
                <w:vertAlign w:val="superscript"/>
              </w:rPr>
              <w:t>f</w:t>
            </w:r>
            <w:r w:rsidRPr="0084142E">
              <w:rPr>
                <w:rFonts w:eastAsia="Times New Roman" w:cstheme="minorHAnsi"/>
                <w:sz w:val="20"/>
                <w:szCs w:val="20"/>
              </w:rPr>
              <w:t xml:space="preserve"> This rule requires Hg, AG, HCN, and PAH testing once every five years (or 0.2 times per year over the 3 years of the ICR), each control device applied to pushing emissions must be sampled by Method 29 for Hg; Method 320 for AG and HCN; and CARB 429 for PAH. We have determined that there is an average of 2.1 emission points per respondent (25 pushing units / 12 facilities) that need to be tested. There is an average of 2.4 respondents per year (12*0.2) submitting Method 29, 320, and CARB 429 performance test reports. </w:t>
            </w:r>
          </w:p>
        </w:tc>
      </w:tr>
      <w:tr w14:paraId="50AF8F2D"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tcPr>
          <w:p w:rsidR="0084142E" w:rsidRPr="0084142E" w:rsidP="0084142E" w14:paraId="2F32F361"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84142E">
              <w:rPr>
                <w:rFonts w:eastAsia="Times New Roman" w:cstheme="minorHAnsi"/>
                <w:sz w:val="20"/>
                <w:szCs w:val="20"/>
                <w:vertAlign w:val="superscript"/>
              </w:rPr>
              <w:t>g</w:t>
            </w:r>
            <w:r w:rsidRPr="0084142E">
              <w:rPr>
                <w:rFonts w:eastAsia="Times New Roman" w:cstheme="minorHAnsi"/>
                <w:sz w:val="20"/>
                <w:szCs w:val="20"/>
              </w:rPr>
              <w:t xml:space="preserve"> This rule requires Hg, PM, AG and AG testing once every five years (or 0.2 times per year over the 3 years of the ICR), each </w:t>
            </w:r>
            <w:r w:rsidRPr="0084142E">
              <w:rPr>
                <w:rFonts w:eastAsia="Times New Roman" w:cstheme="minorHAnsi"/>
                <w:sz w:val="20"/>
                <w:szCs w:val="20"/>
              </w:rPr>
              <w:t>ByP</w:t>
            </w:r>
            <w:r w:rsidRPr="0084142E">
              <w:rPr>
                <w:rFonts w:eastAsia="Times New Roman" w:cstheme="minorHAnsi"/>
                <w:sz w:val="20"/>
                <w:szCs w:val="20"/>
              </w:rPr>
              <w:t xml:space="preserve"> battery combustion stack must be sampled by Method 29 for Hg, Method 5 for PM, and Method 320 for AG and HCN. We have determined that there is an average of 2.4 emission </w:t>
            </w:r>
            <w:r w:rsidRPr="0084142E">
              <w:rPr>
                <w:rFonts w:eastAsia="Times New Roman" w:cstheme="minorHAnsi"/>
                <w:sz w:val="20"/>
                <w:szCs w:val="20"/>
              </w:rPr>
              <w:t xml:space="preserve">points per respondent (17 </w:t>
            </w:r>
            <w:r w:rsidRPr="0084142E">
              <w:rPr>
                <w:rFonts w:eastAsia="Times New Roman" w:cstheme="minorHAnsi"/>
                <w:sz w:val="20"/>
                <w:szCs w:val="20"/>
              </w:rPr>
              <w:t>ByP</w:t>
            </w:r>
            <w:r w:rsidRPr="0084142E">
              <w:rPr>
                <w:rFonts w:eastAsia="Times New Roman" w:cstheme="minorHAnsi"/>
                <w:sz w:val="20"/>
                <w:szCs w:val="20"/>
              </w:rPr>
              <w:t xml:space="preserve"> battery combustion stacks / 7 </w:t>
            </w:r>
            <w:r w:rsidRPr="0084142E">
              <w:rPr>
                <w:rFonts w:eastAsia="Times New Roman" w:cstheme="minorHAnsi"/>
                <w:sz w:val="20"/>
                <w:szCs w:val="20"/>
              </w:rPr>
              <w:t>ByP</w:t>
            </w:r>
            <w:r w:rsidRPr="0084142E">
              <w:rPr>
                <w:rFonts w:eastAsia="Times New Roman" w:cstheme="minorHAnsi"/>
                <w:sz w:val="20"/>
                <w:szCs w:val="20"/>
              </w:rPr>
              <w:t xml:space="preserve"> facilities) that need to be tested. There is an average of 1.4 respondents per year (7*0.2) submitting Method 29, 5, and 320 performance test reports. </w:t>
            </w:r>
          </w:p>
        </w:tc>
      </w:tr>
      <w:tr w14:paraId="047F5BD5"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tcPr>
          <w:p w:rsidR="0084142E" w:rsidRPr="0084142E" w:rsidP="0084142E" w14:paraId="7A14A15D"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84142E">
              <w:rPr>
                <w:rFonts w:eastAsia="Times New Roman" w:cstheme="minorHAnsi"/>
                <w:sz w:val="20"/>
                <w:szCs w:val="20"/>
                <w:vertAlign w:val="superscript"/>
              </w:rPr>
              <w:t>h</w:t>
            </w:r>
            <w:r w:rsidRPr="0084142E">
              <w:rPr>
                <w:rFonts w:eastAsia="Times New Roman" w:cstheme="minorHAnsi"/>
                <w:sz w:val="20"/>
                <w:szCs w:val="20"/>
              </w:rPr>
              <w:t xml:space="preserve"> This rule requires Hg, PM, AG, and PAH testing once every five years (or 0.2 times per year over the 3 years of the ICR), each HNR heat recovery steam generator (HRSG) main stack must be sampled by Method 26 for Hg, Method 5 for PM, Method 26/26A for AG, and CARB 429 for PAH. We have determined that there is an average of 1.3 emission points per respondent (5 HNR HRSG main stacks / 4 heat recovery facilities) that need to be tested. There is an average of 0.8 respondents per year (4*0.2) submitting Method 29, 5, 26/26A, and CARB 429 performance test reports. </w:t>
            </w:r>
          </w:p>
        </w:tc>
      </w:tr>
      <w:tr w14:paraId="0E23EF4D"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tcPr>
          <w:p w:rsidR="0084142E" w:rsidRPr="0084142E" w:rsidP="0084142E" w14:paraId="24F2B559"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84142E">
              <w:rPr>
                <w:rFonts w:eastAsia="Times New Roman" w:cstheme="minorHAnsi"/>
                <w:sz w:val="20"/>
                <w:szCs w:val="20"/>
                <w:vertAlign w:val="superscript"/>
              </w:rPr>
              <w:t>i</w:t>
            </w:r>
            <w:r w:rsidRPr="0084142E">
              <w:rPr>
                <w:rFonts w:eastAsia="Times New Roman" w:cstheme="minorHAnsi"/>
                <w:sz w:val="20"/>
                <w:szCs w:val="20"/>
              </w:rPr>
              <w:t xml:space="preserve"> This rule requires Hg, PM, AG, PAH, and Formaldehyde testing once every five years (or 0.2 times per year over the 3 years of the ICR), each HNR HRSG bypass/waste heat stack must be sampled by Method 29 for Hg, Method 5 for PM, Method 26/26A for AG, CARB 429 for PAH, and Method 316 for Formaldehyde. We have determined that there is an average of 10.6 emission points per respondent (53 HNR HRSG bypass/waste heat stacks / 5 HNR facilities) that need to be tested. There is an average of 1 respondent per year (5*0.2) submitting Method 29, 5, 26/26A, CARB 429 and 316 performance test reports. </w:t>
            </w:r>
          </w:p>
        </w:tc>
      </w:tr>
      <w:tr w14:paraId="000E0D29"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84142E" w:rsidRPr="0084142E" w:rsidP="0084142E" w14:paraId="13A019E4" w14:textId="77777777">
            <w:pPr>
              <w:widowControl w:val="0"/>
              <w:autoSpaceDE w:val="0"/>
              <w:autoSpaceDN w:val="0"/>
              <w:adjustRightInd w:val="0"/>
              <w:spacing w:after="0" w:line="240" w:lineRule="auto"/>
              <w:ind w:left="0" w:firstLine="0"/>
              <w:rPr>
                <w:rFonts w:eastAsia="Times New Roman" w:cstheme="minorHAnsi"/>
                <w:sz w:val="20"/>
                <w:szCs w:val="20"/>
              </w:rPr>
            </w:pPr>
            <w:r w:rsidRPr="0084142E">
              <w:rPr>
                <w:rFonts w:eastAsia="Times New Roman" w:cstheme="minorHAnsi"/>
                <w:sz w:val="20"/>
                <w:szCs w:val="20"/>
                <w:vertAlign w:val="superscript"/>
              </w:rPr>
              <w:t>j</w:t>
            </w:r>
            <w:r w:rsidRPr="0084142E">
              <w:rPr>
                <w:rFonts w:eastAsia="Times New Roman" w:cstheme="minorHAnsi"/>
                <w:sz w:val="20"/>
                <w:szCs w:val="20"/>
              </w:rPr>
              <w:t xml:space="preserve"> Assumes one hour of observations per day per battery. </w:t>
            </w:r>
          </w:p>
        </w:tc>
      </w:tr>
      <w:tr w14:paraId="577FDF65"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84142E" w:rsidRPr="0084142E" w:rsidP="0084142E" w14:paraId="361B7C64" w14:textId="77777777">
            <w:pPr>
              <w:widowControl w:val="0"/>
              <w:autoSpaceDE w:val="0"/>
              <w:autoSpaceDN w:val="0"/>
              <w:adjustRightInd w:val="0"/>
              <w:spacing w:after="0" w:line="240" w:lineRule="auto"/>
              <w:ind w:left="0" w:firstLine="0"/>
              <w:rPr>
                <w:rFonts w:eastAsia="Times New Roman" w:cstheme="minorHAnsi"/>
                <w:sz w:val="20"/>
                <w:szCs w:val="20"/>
              </w:rPr>
            </w:pPr>
            <w:r w:rsidRPr="0084142E">
              <w:rPr>
                <w:rFonts w:eastAsia="Times New Roman" w:cstheme="minorHAnsi"/>
                <w:sz w:val="20"/>
                <w:szCs w:val="20"/>
                <w:vertAlign w:val="superscript"/>
              </w:rPr>
              <w:t>k</w:t>
            </w:r>
            <w:r w:rsidRPr="0084142E">
              <w:rPr>
                <w:rFonts w:eastAsia="Times New Roman" w:cstheme="minorHAnsi"/>
                <w:sz w:val="20"/>
                <w:szCs w:val="20"/>
              </w:rPr>
              <w:t xml:space="preserve"> The measuring of the total dissolved solids (TDS) in the make-up water used for quenching is a requirement. In past analysis, we determined there is an average of 2.0 quenching towers per facility.</w:t>
            </w:r>
          </w:p>
        </w:tc>
      </w:tr>
      <w:tr w14:paraId="1A29BA25"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84142E" w:rsidRPr="0084142E" w:rsidP="0084142E" w14:paraId="5FAA0FB7" w14:textId="77777777">
            <w:pPr>
              <w:widowControl w:val="0"/>
              <w:autoSpaceDE w:val="0"/>
              <w:autoSpaceDN w:val="0"/>
              <w:adjustRightInd w:val="0"/>
              <w:spacing w:after="0" w:line="240" w:lineRule="auto"/>
              <w:ind w:left="0" w:firstLine="0"/>
              <w:rPr>
                <w:rFonts w:eastAsia="Times New Roman" w:cstheme="minorHAnsi"/>
                <w:sz w:val="20"/>
                <w:szCs w:val="20"/>
              </w:rPr>
            </w:pPr>
            <w:r w:rsidRPr="0084142E">
              <w:rPr>
                <w:rFonts w:eastAsia="Times New Roman" w:cstheme="minorHAnsi"/>
                <w:sz w:val="20"/>
                <w:szCs w:val="20"/>
                <w:vertAlign w:val="superscript"/>
              </w:rPr>
              <w:t xml:space="preserve">l </w:t>
            </w:r>
            <w:r w:rsidRPr="0084142E">
              <w:rPr>
                <w:rFonts w:eastAsia="Times New Roman" w:cstheme="minorHAnsi"/>
                <w:sz w:val="20"/>
                <w:szCs w:val="20"/>
              </w:rPr>
              <w:t>The rules requires the submittal of quarterly compliance reports for all battery stacks. If no deviation occurred and no continuous monitoring systems were out of control, only a summary report is required. For other affected sources, semiannual reports are required for any deviation from an emission limitation (including an operating limit), work practice standard, or O&amp;M requirement.</w:t>
            </w:r>
          </w:p>
        </w:tc>
      </w:tr>
      <w:tr w14:paraId="499D250E"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hideMark/>
          </w:tcPr>
          <w:p w:rsidR="0084142E" w:rsidRPr="0084142E" w:rsidP="0084142E" w14:paraId="4DD6EF0A" w14:textId="77777777">
            <w:pPr>
              <w:widowControl w:val="0"/>
              <w:autoSpaceDE w:val="0"/>
              <w:autoSpaceDN w:val="0"/>
              <w:adjustRightInd w:val="0"/>
              <w:spacing w:after="0" w:line="240" w:lineRule="auto"/>
              <w:ind w:left="0" w:firstLine="0"/>
              <w:rPr>
                <w:rFonts w:eastAsia="Times New Roman" w:cstheme="minorHAnsi"/>
                <w:sz w:val="20"/>
                <w:szCs w:val="20"/>
              </w:rPr>
            </w:pPr>
            <w:r w:rsidRPr="0084142E">
              <w:rPr>
                <w:rFonts w:eastAsia="Times New Roman" w:cstheme="minorHAnsi"/>
                <w:sz w:val="20"/>
                <w:szCs w:val="20"/>
                <w:vertAlign w:val="superscript"/>
              </w:rPr>
              <w:t>m</w:t>
            </w:r>
            <w:r w:rsidRPr="0084142E">
              <w:rPr>
                <w:rFonts w:eastAsia="Times New Roman" w:cstheme="minorHAnsi"/>
                <w:sz w:val="20"/>
                <w:szCs w:val="20"/>
              </w:rPr>
              <w:t xml:space="preserve"> 40 CFR 63.7341(b) requires quarterly reporting for the COMS monitoring opacity of emissions from the stacks on by-product recovery coke ovens, which are present at nine plants.</w:t>
            </w:r>
          </w:p>
        </w:tc>
      </w:tr>
      <w:tr w14:paraId="121DD9B5" w14:textId="77777777" w:rsidTr="009555B2">
        <w:tblPrEx>
          <w:tblW w:w="5000" w:type="pct"/>
          <w:tblLook w:val="04A0"/>
        </w:tblPrEx>
        <w:trPr>
          <w:trHeight w:val="315"/>
        </w:trPr>
        <w:tc>
          <w:tcPr>
            <w:tcW w:w="5000" w:type="pct"/>
            <w:gridSpan w:val="9"/>
            <w:tcBorders>
              <w:top w:val="nil"/>
              <w:left w:val="nil"/>
              <w:bottom w:val="nil"/>
              <w:right w:val="nil"/>
            </w:tcBorders>
            <w:shd w:val="clear" w:color="auto" w:fill="auto"/>
            <w:noWrap/>
            <w:vAlign w:val="center"/>
          </w:tcPr>
          <w:p w:rsidR="0084142E" w:rsidRPr="0084142E" w:rsidP="0084142E" w14:paraId="2CA35C6F"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84142E">
              <w:rPr>
                <w:rFonts w:eastAsia="Times New Roman" w:cstheme="minorHAnsi"/>
                <w:sz w:val="20"/>
                <w:szCs w:val="20"/>
                <w:vertAlign w:val="superscript"/>
              </w:rPr>
              <w:t>n</w:t>
            </w:r>
            <w:r w:rsidRPr="0084142E">
              <w:rPr>
                <w:rFonts w:eastAsia="Times New Roman" w:cstheme="minorHAnsi"/>
                <w:sz w:val="20"/>
                <w:szCs w:val="20"/>
              </w:rPr>
              <w:t xml:space="preserve"> Submittal of other non-performance reports through the EPA's CEDRI in ERT format is estimated to require 4 hours; submittal of performance test data through the EPA's CEDRI in ERT format is estimated to require 8 hours per test method report, includes keeping records of failures to meet the standards and the actions taken to minimize emissions.</w:t>
            </w:r>
          </w:p>
        </w:tc>
      </w:tr>
      <w:tr w14:paraId="09F702F5" w14:textId="77777777" w:rsidTr="009555B2">
        <w:tblPrEx>
          <w:tblW w:w="5000" w:type="pct"/>
          <w:tblLook w:val="04A0"/>
        </w:tblPrEx>
        <w:trPr>
          <w:trHeight w:val="375"/>
        </w:trPr>
        <w:tc>
          <w:tcPr>
            <w:tcW w:w="5000" w:type="pct"/>
            <w:gridSpan w:val="9"/>
            <w:tcBorders>
              <w:top w:val="nil"/>
              <w:left w:val="nil"/>
              <w:bottom w:val="nil"/>
              <w:right w:val="nil"/>
            </w:tcBorders>
            <w:shd w:val="clear" w:color="auto" w:fill="auto"/>
            <w:noWrap/>
            <w:vAlign w:val="bottom"/>
            <w:hideMark/>
          </w:tcPr>
          <w:p w:rsidR="0084142E" w:rsidRPr="0084142E" w:rsidP="0084142E" w14:paraId="1E359DE4" w14:textId="77777777">
            <w:pPr>
              <w:widowControl w:val="0"/>
              <w:autoSpaceDE w:val="0"/>
              <w:autoSpaceDN w:val="0"/>
              <w:adjustRightInd w:val="0"/>
              <w:spacing w:after="0" w:line="240" w:lineRule="auto"/>
              <w:ind w:left="0" w:firstLine="0"/>
              <w:rPr>
                <w:rFonts w:eastAsia="Times New Roman" w:cstheme="minorHAnsi"/>
                <w:sz w:val="20"/>
                <w:szCs w:val="20"/>
              </w:rPr>
            </w:pPr>
            <w:r w:rsidRPr="0084142E">
              <w:rPr>
                <w:rFonts w:eastAsia="Times New Roman" w:cstheme="minorHAnsi"/>
                <w:sz w:val="20"/>
                <w:szCs w:val="20"/>
                <w:vertAlign w:val="superscript"/>
              </w:rPr>
              <w:t xml:space="preserve">o </w:t>
            </w:r>
            <w:r w:rsidRPr="0084142E">
              <w:rPr>
                <w:rFonts w:eastAsia="Times New Roman" w:cstheme="minorHAnsi"/>
                <w:sz w:val="20"/>
                <w:szCs w:val="20"/>
              </w:rPr>
              <w:t>Totals have been rounded to 3 significant values. Figures may not add exactly due to rounding.</w:t>
            </w:r>
          </w:p>
        </w:tc>
      </w:tr>
    </w:tbl>
    <w:p w:rsidR="002D0CE9" w:rsidP="002943D2" w14:paraId="00BCD5C0" w14:textId="77777777">
      <w:pPr>
        <w:spacing w:line="259" w:lineRule="auto"/>
        <w:ind w:left="0" w:firstLine="0"/>
        <w:rPr>
          <w:rFonts w:cstheme="minorHAnsi"/>
        </w:rPr>
      </w:pPr>
    </w:p>
    <w:p w:rsidR="005A74C9" w:rsidP="002943D2" w14:paraId="1A8B0462" w14:textId="77777777">
      <w:pPr>
        <w:spacing w:line="259" w:lineRule="auto"/>
        <w:ind w:left="0" w:firstLine="0"/>
        <w:rPr>
          <w:rFonts w:cstheme="minorHAnsi"/>
        </w:rPr>
      </w:pPr>
    </w:p>
    <w:p w:rsidR="005A74C9" w:rsidP="002943D2" w14:paraId="7D1371CD" w14:textId="77777777">
      <w:pPr>
        <w:spacing w:line="259" w:lineRule="auto"/>
        <w:ind w:left="0" w:firstLine="0"/>
        <w:rPr>
          <w:rFonts w:cstheme="minorHAnsi"/>
        </w:rPr>
      </w:pPr>
    </w:p>
    <w:p w:rsidR="005A74C9" w:rsidP="002943D2" w14:paraId="55AD2826" w14:textId="77777777">
      <w:pPr>
        <w:spacing w:line="259" w:lineRule="auto"/>
        <w:ind w:left="0" w:firstLine="0"/>
        <w:rPr>
          <w:rFonts w:cstheme="minorHAnsi"/>
        </w:rPr>
      </w:pPr>
    </w:p>
    <w:p w:rsidR="002D0CE9" w:rsidP="002B6D73" w14:paraId="068FF80E" w14:textId="6F288DDC">
      <w:pPr>
        <w:pStyle w:val="Heading1"/>
        <w:keepNext w:val="0"/>
        <w:pBdr>
          <w:bottom w:val="single" w:sz="4" w:space="1" w:color="auto"/>
        </w:pBdr>
        <w:spacing w:before="0" w:after="160"/>
        <w:rPr>
          <w:rFonts w:cstheme="minorHAnsi"/>
        </w:rPr>
      </w:pPr>
      <w:r w:rsidRPr="002B6D73">
        <w:rPr>
          <w:rFonts w:asciiTheme="minorHAnsi" w:hAnsiTheme="minorHAnsi" w:cstheme="minorHAnsi"/>
          <w:b/>
          <w:bCs/>
          <w:color w:val="000000" w:themeColor="text1"/>
          <w:sz w:val="22"/>
          <w:szCs w:val="22"/>
        </w:rPr>
        <w:t>Table 2: Average Annual EPA Burden and Cost – NESHAP for Coke Oven Pushing, Quenching, and Battery Stacks (40 CFR Part 63, Subpart CCCCC) (Final Amendments)</w:t>
      </w:r>
    </w:p>
    <w:tbl>
      <w:tblPr>
        <w:tblW w:w="5000" w:type="pct"/>
        <w:tblCellMar>
          <w:left w:w="0" w:type="dxa"/>
          <w:right w:w="0" w:type="dxa"/>
        </w:tblCellMar>
        <w:tblLook w:val="04A0"/>
      </w:tblPr>
      <w:tblGrid>
        <w:gridCol w:w="3488"/>
        <w:gridCol w:w="1227"/>
        <w:gridCol w:w="1287"/>
        <w:gridCol w:w="1082"/>
        <w:gridCol w:w="1082"/>
        <w:gridCol w:w="1113"/>
        <w:gridCol w:w="1369"/>
        <w:gridCol w:w="1103"/>
        <w:gridCol w:w="1199"/>
      </w:tblGrid>
      <w:tr w14:paraId="094E1223" w14:textId="77777777" w:rsidTr="009555B2">
        <w:tblPrEx>
          <w:tblW w:w="5000" w:type="pct"/>
          <w:tblCellMar>
            <w:left w:w="0" w:type="dxa"/>
            <w:right w:w="0" w:type="dxa"/>
          </w:tblCellMar>
          <w:tblLook w:val="04A0"/>
        </w:tblPrEx>
        <w:trPr>
          <w:cantSplit/>
          <w:tblHeader/>
        </w:trPr>
        <w:tc>
          <w:tcPr>
            <w:tcW w:w="13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B6D73" w:rsidRPr="002B6D73" w:rsidP="002B6D73" w14:paraId="0CDC569D" w14:textId="77777777">
            <w:pPr>
              <w:widowControl w:val="0"/>
              <w:autoSpaceDE w:val="0"/>
              <w:autoSpaceDN w:val="0"/>
              <w:adjustRightInd w:val="0"/>
              <w:spacing w:after="0" w:line="240" w:lineRule="auto"/>
              <w:ind w:left="0" w:firstLine="0"/>
              <w:rPr>
                <w:rFonts w:eastAsia="Times New Roman" w:cstheme="minorHAnsi"/>
                <w:b/>
                <w:bCs/>
                <w:sz w:val="20"/>
                <w:szCs w:val="20"/>
              </w:rPr>
            </w:pPr>
            <w:r w:rsidRPr="002B6D73">
              <w:rPr>
                <w:rFonts w:eastAsia="Times New Roman" w:cstheme="minorHAnsi"/>
                <w:b/>
                <w:bCs/>
                <w:sz w:val="20"/>
                <w:szCs w:val="20"/>
              </w:rPr>
              <w:t>Burden Item</w:t>
            </w:r>
          </w:p>
        </w:tc>
        <w:tc>
          <w:tcPr>
            <w:tcW w:w="47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B6D73" w:rsidRPr="002B6D73" w:rsidP="002B6D73" w14:paraId="7BF389D1"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r w:rsidRPr="002B6D73">
              <w:rPr>
                <w:rFonts w:eastAsia="Times New Roman" w:cstheme="minorHAnsi"/>
                <w:b/>
                <w:bCs/>
                <w:sz w:val="20"/>
                <w:szCs w:val="20"/>
              </w:rPr>
              <w:t>(A) Person hours per occurrence</w:t>
            </w:r>
          </w:p>
        </w:tc>
        <w:tc>
          <w:tcPr>
            <w:tcW w:w="4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B6D73" w:rsidRPr="002B6D73" w:rsidP="002B6D73" w14:paraId="48FB0D63"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r w:rsidRPr="002B6D73">
              <w:rPr>
                <w:rFonts w:eastAsia="Times New Roman" w:cstheme="minorHAnsi"/>
                <w:b/>
                <w:bCs/>
                <w:sz w:val="20"/>
                <w:szCs w:val="20"/>
              </w:rPr>
              <w:t>(B) No. of occurrences per plant per year</w:t>
            </w:r>
          </w:p>
        </w:tc>
        <w:tc>
          <w:tcPr>
            <w:tcW w:w="41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B6D73" w:rsidRPr="002B6D73" w:rsidP="002B6D73" w14:paraId="623D6F8C"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r w:rsidRPr="002B6D73">
              <w:rPr>
                <w:rFonts w:eastAsia="Times New Roman" w:cstheme="minorHAnsi"/>
                <w:b/>
                <w:bCs/>
                <w:sz w:val="20"/>
                <w:szCs w:val="20"/>
              </w:rPr>
              <w:t>(C) Hours per plant per year (</w:t>
            </w:r>
            <w:r w:rsidRPr="002B6D73">
              <w:rPr>
                <w:rFonts w:eastAsia="Times New Roman" w:cstheme="minorHAnsi"/>
                <w:b/>
                <w:bCs/>
                <w:sz w:val="20"/>
                <w:szCs w:val="20"/>
              </w:rPr>
              <w:t>AxB</w:t>
            </w:r>
            <w:r w:rsidRPr="002B6D73">
              <w:rPr>
                <w:rFonts w:eastAsia="Times New Roman" w:cstheme="minorHAnsi"/>
                <w:b/>
                <w:bCs/>
                <w:sz w:val="20"/>
                <w:szCs w:val="20"/>
              </w:rPr>
              <w:t>)</w:t>
            </w:r>
          </w:p>
        </w:tc>
        <w:tc>
          <w:tcPr>
            <w:tcW w:w="41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B6D73" w:rsidRPr="002B6D73" w:rsidP="002B6D73" w14:paraId="69ED2CDE"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r w:rsidRPr="002B6D73">
              <w:rPr>
                <w:rFonts w:eastAsia="Times New Roman" w:cstheme="minorHAnsi"/>
                <w:b/>
                <w:bCs/>
                <w:sz w:val="20"/>
                <w:szCs w:val="20"/>
              </w:rPr>
              <w:t xml:space="preserve">(D) Plants per year </w:t>
            </w:r>
            <w:r w:rsidRPr="002B6D73">
              <w:rPr>
                <w:rFonts w:eastAsia="Times New Roman" w:cstheme="minorHAnsi"/>
                <w:b/>
                <w:bCs/>
                <w:sz w:val="20"/>
                <w:szCs w:val="20"/>
                <w:vertAlign w:val="superscript"/>
              </w:rPr>
              <w:t>a</w:t>
            </w:r>
          </w:p>
        </w:tc>
        <w:tc>
          <w:tcPr>
            <w:tcW w:w="42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B6D73" w:rsidRPr="002B6D73" w:rsidP="002B6D73" w14:paraId="4ADF26C6"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r w:rsidRPr="002B6D73">
              <w:rPr>
                <w:rFonts w:eastAsia="Times New Roman" w:cstheme="minorHAnsi"/>
                <w:b/>
                <w:bCs/>
                <w:sz w:val="20"/>
                <w:szCs w:val="20"/>
              </w:rPr>
              <w:t>(E) Technical person- hours per year (</w:t>
            </w:r>
            <w:r w:rsidRPr="002B6D73">
              <w:rPr>
                <w:rFonts w:eastAsia="Times New Roman" w:cstheme="minorHAnsi"/>
                <w:b/>
                <w:bCs/>
                <w:sz w:val="20"/>
                <w:szCs w:val="20"/>
              </w:rPr>
              <w:t>CxD</w:t>
            </w:r>
            <w:r w:rsidRPr="002B6D73">
              <w:rPr>
                <w:rFonts w:eastAsia="Times New Roman" w:cstheme="minorHAnsi"/>
                <w:b/>
                <w:bCs/>
                <w:sz w:val="20"/>
                <w:szCs w:val="20"/>
              </w:rPr>
              <w:t>)</w:t>
            </w:r>
          </w:p>
        </w:tc>
        <w:tc>
          <w:tcPr>
            <w:tcW w:w="52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B6D73" w:rsidRPr="002B6D73" w:rsidP="002B6D73" w14:paraId="6DDF69DF"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r w:rsidRPr="002B6D73">
              <w:rPr>
                <w:rFonts w:eastAsia="Times New Roman" w:cstheme="minorHAnsi"/>
                <w:b/>
                <w:bCs/>
                <w:sz w:val="20"/>
                <w:szCs w:val="20"/>
              </w:rPr>
              <w:t>(F) Management person hours per year (Ex0.05)</w:t>
            </w:r>
          </w:p>
        </w:tc>
        <w:tc>
          <w:tcPr>
            <w:tcW w:w="42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B6D73" w:rsidRPr="002B6D73" w:rsidP="002B6D73" w14:paraId="2EED7817"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r w:rsidRPr="002B6D73">
              <w:rPr>
                <w:rFonts w:eastAsia="Times New Roman" w:cstheme="minorHAnsi"/>
                <w:b/>
                <w:bCs/>
                <w:sz w:val="20"/>
                <w:szCs w:val="20"/>
              </w:rPr>
              <w:t>(G) Clerical person hours per year (Ex0.1)</w:t>
            </w:r>
          </w:p>
        </w:tc>
        <w:tc>
          <w:tcPr>
            <w:tcW w:w="46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B6D73" w:rsidRPr="002B6D73" w:rsidP="002B6D73" w14:paraId="6724C95E"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r w:rsidRPr="002B6D73">
              <w:rPr>
                <w:rFonts w:eastAsia="Times New Roman" w:cstheme="minorHAnsi"/>
                <w:b/>
                <w:bCs/>
                <w:sz w:val="20"/>
                <w:szCs w:val="20"/>
              </w:rPr>
              <w:t xml:space="preserve">(H) Total Cost Per year </w:t>
            </w:r>
            <w:r w:rsidRPr="002B6D73">
              <w:rPr>
                <w:rFonts w:eastAsia="Times New Roman" w:cstheme="minorHAnsi"/>
                <w:b/>
                <w:bCs/>
                <w:sz w:val="20"/>
                <w:szCs w:val="20"/>
                <w:vertAlign w:val="superscript"/>
              </w:rPr>
              <w:t>b</w:t>
            </w:r>
          </w:p>
        </w:tc>
      </w:tr>
      <w:tr w14:paraId="0DC83D5B" w14:textId="77777777" w:rsidTr="009555B2">
        <w:tblPrEx>
          <w:tblW w:w="5000" w:type="pct"/>
          <w:tblCellMar>
            <w:left w:w="0" w:type="dxa"/>
            <w:right w:w="0" w:type="dxa"/>
          </w:tblCellMar>
          <w:tblLook w:val="04A0"/>
        </w:tblPrEx>
        <w:trPr>
          <w:trHeight w:val="30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131A8D47"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Initial performance test</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CAA97FC"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37958B6B"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F125EDC"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40</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ECE19B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43BCEAED"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418D6C86"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9893621"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4FEE8DF1" w14:textId="442DB36F">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r>
      <w:tr w14:paraId="3EC135EA" w14:textId="77777777" w:rsidTr="009555B2">
        <w:tblPrEx>
          <w:tblW w:w="5000" w:type="pct"/>
          <w:tblCellMar>
            <w:left w:w="0" w:type="dxa"/>
            <w:right w:w="0" w:type="dxa"/>
          </w:tblCellMar>
          <w:tblLook w:val="04A0"/>
        </w:tblPrEx>
        <w:trPr>
          <w:trHeight w:val="336"/>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55E687A0"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Repeat performance test-Retesting preparation</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7EDEE7A"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4DE280A2"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56D972E"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584D6865"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2CAADCBC"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31E2DD4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750DE56"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246E83C0" w14:textId="2849888F">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r>
      <w:tr w14:paraId="0B5A6888" w14:textId="77777777" w:rsidTr="009555B2">
        <w:tblPrEx>
          <w:tblW w:w="5000" w:type="pct"/>
          <w:tblCellMar>
            <w:left w:w="0" w:type="dxa"/>
            <w:right w:w="0" w:type="dxa"/>
          </w:tblCellMar>
          <w:tblLook w:val="04A0"/>
        </w:tblPrEx>
        <w:trPr>
          <w:trHeight w:val="30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153E31B2"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Repeat performance- Retesting</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E052B6B"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75F72B9"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23C10EA8"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40</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405C08CA"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25CA0B58"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53220044"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5A710D9D"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3E2422DE" w14:textId="2808AA9F">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r>
      <w:tr w14:paraId="2C9C65CD" w14:textId="77777777" w:rsidTr="009555B2">
        <w:tblPrEx>
          <w:tblW w:w="5000" w:type="pct"/>
          <w:tblCellMar>
            <w:left w:w="0" w:type="dxa"/>
            <w:right w:w="0" w:type="dxa"/>
          </w:tblCellMar>
          <w:tblLook w:val="04A0"/>
        </w:tblPrEx>
        <w:trPr>
          <w:trHeight w:val="30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2668E0A1"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Report Review</w:t>
            </w:r>
          </w:p>
        </w:tc>
        <w:tc>
          <w:tcPr>
            <w:tcW w:w="47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B6D73" w:rsidRPr="002B6D73" w:rsidP="002B6D73" w14:paraId="207E554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9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B6D73" w:rsidRPr="002B6D73" w:rsidP="002B6D73" w14:paraId="299B82DB"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1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B6D73" w:rsidRPr="002B6D73" w:rsidP="002B6D73" w14:paraId="4DF7C627"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1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B6D73" w:rsidRPr="002B6D73" w:rsidP="002B6D73" w14:paraId="3579A1A8"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2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B6D73" w:rsidRPr="002B6D73" w:rsidP="002B6D73" w14:paraId="163B7B8E"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52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B6D73" w:rsidRPr="002B6D73" w:rsidP="002B6D73" w14:paraId="02FFC20B"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B6D73" w:rsidRPr="002B6D73" w:rsidP="002B6D73" w14:paraId="28C3D01A"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6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2B6D73" w:rsidRPr="002B6D73" w:rsidP="0017785C" w14:paraId="7B134073" w14:textId="6F8652FA">
            <w:pPr>
              <w:widowControl w:val="0"/>
              <w:autoSpaceDE w:val="0"/>
              <w:autoSpaceDN w:val="0"/>
              <w:adjustRightInd w:val="0"/>
              <w:spacing w:after="0" w:line="240" w:lineRule="auto"/>
              <w:ind w:left="0" w:firstLine="0"/>
              <w:jc w:val="center"/>
              <w:rPr>
                <w:rFonts w:eastAsia="Times New Roman" w:cstheme="minorHAnsi"/>
                <w:sz w:val="20"/>
                <w:szCs w:val="20"/>
              </w:rPr>
            </w:pPr>
          </w:p>
        </w:tc>
      </w:tr>
      <w:tr w14:paraId="0D064872" w14:textId="77777777" w:rsidTr="009555B2">
        <w:tblPrEx>
          <w:tblW w:w="5000" w:type="pct"/>
          <w:tblCellMar>
            <w:left w:w="0" w:type="dxa"/>
            <w:right w:w="0" w:type="dxa"/>
          </w:tblCellMar>
          <w:tblLook w:val="04A0"/>
        </w:tblPrEx>
        <w:trPr>
          <w:trHeight w:val="282"/>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06FA4437"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 xml:space="preserve">   Notification of construction/reconstruction</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4A17A42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N/A</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8026D61"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02ACE98"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5448B70"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1A628F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2E7D9CEA"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23F97E0C"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35655F50" w14:textId="0F2A2A06">
            <w:pPr>
              <w:widowControl w:val="0"/>
              <w:autoSpaceDE w:val="0"/>
              <w:autoSpaceDN w:val="0"/>
              <w:adjustRightInd w:val="0"/>
              <w:spacing w:after="0" w:line="240" w:lineRule="auto"/>
              <w:ind w:left="0" w:firstLine="0"/>
              <w:jc w:val="center"/>
              <w:rPr>
                <w:rFonts w:eastAsia="Times New Roman" w:cstheme="minorHAnsi"/>
                <w:sz w:val="20"/>
                <w:szCs w:val="20"/>
              </w:rPr>
            </w:pPr>
          </w:p>
        </w:tc>
      </w:tr>
      <w:tr w14:paraId="5A19D05C" w14:textId="77777777" w:rsidTr="009555B2">
        <w:tblPrEx>
          <w:tblW w:w="5000" w:type="pct"/>
          <w:tblCellMar>
            <w:left w:w="0" w:type="dxa"/>
            <w:right w:w="0" w:type="dxa"/>
          </w:tblCellMar>
          <w:tblLook w:val="04A0"/>
        </w:tblPrEx>
        <w:trPr>
          <w:trHeight w:val="315"/>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451602B9"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 xml:space="preserve">   Notification of anticipated startup</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8734DB8"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N/A</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A7975DD"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20ABA064"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334CE9A"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4BE6E594"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4022D8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298F720"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114D35E8" w14:textId="5F9ADC8E">
            <w:pPr>
              <w:widowControl w:val="0"/>
              <w:autoSpaceDE w:val="0"/>
              <w:autoSpaceDN w:val="0"/>
              <w:adjustRightInd w:val="0"/>
              <w:spacing w:after="0" w:line="240" w:lineRule="auto"/>
              <w:ind w:left="0" w:firstLine="0"/>
              <w:jc w:val="center"/>
              <w:rPr>
                <w:rFonts w:eastAsia="Times New Roman" w:cstheme="minorHAnsi"/>
                <w:sz w:val="20"/>
                <w:szCs w:val="20"/>
              </w:rPr>
            </w:pPr>
          </w:p>
        </w:tc>
      </w:tr>
      <w:tr w14:paraId="58F47D28" w14:textId="77777777" w:rsidTr="009555B2">
        <w:tblPrEx>
          <w:tblW w:w="5000" w:type="pct"/>
          <w:tblCellMar>
            <w:left w:w="0" w:type="dxa"/>
            <w:right w:w="0" w:type="dxa"/>
          </w:tblCellMar>
          <w:tblLook w:val="04A0"/>
        </w:tblPrEx>
        <w:trPr>
          <w:trHeight w:val="315"/>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2B5B336A"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 xml:space="preserve">   Notification of actual startup</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4D022C0"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N/A</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FD2174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59D33450"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68ACC2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5C623D8"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D59FA18"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FDC68B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45AB554E" w14:textId="530C0C26">
            <w:pPr>
              <w:widowControl w:val="0"/>
              <w:autoSpaceDE w:val="0"/>
              <w:autoSpaceDN w:val="0"/>
              <w:adjustRightInd w:val="0"/>
              <w:spacing w:after="0" w:line="240" w:lineRule="auto"/>
              <w:ind w:left="0" w:firstLine="0"/>
              <w:jc w:val="center"/>
              <w:rPr>
                <w:rFonts w:eastAsia="Times New Roman" w:cstheme="minorHAnsi"/>
                <w:sz w:val="20"/>
                <w:szCs w:val="20"/>
              </w:rPr>
            </w:pPr>
          </w:p>
        </w:tc>
      </w:tr>
      <w:tr w14:paraId="5CFE9704" w14:textId="77777777" w:rsidTr="009555B2">
        <w:tblPrEx>
          <w:tblW w:w="5000" w:type="pct"/>
          <w:tblCellMar>
            <w:left w:w="0" w:type="dxa"/>
            <w:right w:w="0" w:type="dxa"/>
          </w:tblCellMar>
          <w:tblLook w:val="04A0"/>
        </w:tblPrEx>
        <w:trPr>
          <w:trHeight w:val="354"/>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36724FFB"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 xml:space="preserve">   Notification of special compliance requirements </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5A7331F7"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N/A</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050AC25"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1E8D200"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5BCCF336"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09B34B6"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3D420FA5"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2A5F0B81"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 </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1B49102F" w14:textId="103B0279">
            <w:pPr>
              <w:widowControl w:val="0"/>
              <w:autoSpaceDE w:val="0"/>
              <w:autoSpaceDN w:val="0"/>
              <w:adjustRightInd w:val="0"/>
              <w:spacing w:after="0" w:line="240" w:lineRule="auto"/>
              <w:ind w:left="0" w:firstLine="0"/>
              <w:jc w:val="center"/>
              <w:rPr>
                <w:rFonts w:eastAsia="Times New Roman" w:cstheme="minorHAnsi"/>
                <w:sz w:val="20"/>
                <w:szCs w:val="20"/>
              </w:rPr>
            </w:pPr>
          </w:p>
        </w:tc>
      </w:tr>
      <w:tr w14:paraId="5EBDE35C" w14:textId="77777777" w:rsidTr="009555B2">
        <w:tblPrEx>
          <w:tblW w:w="5000" w:type="pct"/>
          <w:tblCellMar>
            <w:left w:w="0" w:type="dxa"/>
            <w:right w:w="0" w:type="dxa"/>
          </w:tblCellMar>
          <w:tblLook w:val="04A0"/>
        </w:tblPrEx>
        <w:trPr>
          <w:trHeight w:val="315"/>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2DF45A48"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 xml:space="preserve">   Notification of initial performance test</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238503B"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56A9345"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34A07B82"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BAF01F9"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53EB5578"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63AB649"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56FD242"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7DE1E93E" w14:textId="42DA8851">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r>
      <w:tr w14:paraId="53276710" w14:textId="77777777" w:rsidTr="009555B2">
        <w:tblPrEx>
          <w:tblW w:w="5000" w:type="pct"/>
          <w:tblCellMar>
            <w:left w:w="0" w:type="dxa"/>
            <w:right w:w="0" w:type="dxa"/>
          </w:tblCellMar>
          <w:tblLook w:val="04A0"/>
        </w:tblPrEx>
        <w:trPr>
          <w:trHeight w:val="315"/>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35C839BB"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 xml:space="preserve">   Notification of compliance status </w:t>
            </w:r>
            <w:r w:rsidRPr="002B6D73">
              <w:rPr>
                <w:rFonts w:eastAsia="Times New Roman" w:cstheme="minorHAnsi"/>
                <w:sz w:val="20"/>
                <w:szCs w:val="20"/>
                <w:vertAlign w:val="superscript"/>
              </w:rPr>
              <w:t>c</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5D5B97B1"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DD75C8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A06AC12"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D040B61"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3F353DBD"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88E49A8"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5ACB59C"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4DBFD3A6" w14:textId="54AC5348">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r>
      <w:tr w14:paraId="0DE85987" w14:textId="77777777" w:rsidTr="009555B2">
        <w:tblPrEx>
          <w:tblW w:w="5000" w:type="pct"/>
          <w:tblCellMar>
            <w:left w:w="0" w:type="dxa"/>
            <w:right w:w="0" w:type="dxa"/>
          </w:tblCellMar>
          <w:tblLook w:val="04A0"/>
        </w:tblPrEx>
        <w:trPr>
          <w:trHeight w:val="51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29A9AFE6"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2B6D73">
              <w:rPr>
                <w:rFonts w:eastAsia="Times New Roman" w:cstheme="minorHAnsi"/>
                <w:sz w:val="20"/>
                <w:szCs w:val="20"/>
              </w:rPr>
              <w:t xml:space="preserve">Review of repeat Method 5 performance test report - Pushing (through CEDRI using ERT) </w:t>
            </w:r>
            <w:r w:rsidRPr="002B6D73">
              <w:rPr>
                <w:rFonts w:eastAsia="Times New Roman" w:cstheme="minorHAnsi"/>
                <w:sz w:val="20"/>
                <w:szCs w:val="20"/>
                <w:vertAlign w:val="superscript"/>
              </w:rPr>
              <w:t>d</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DCDD149"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8</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BE2C958"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652F722"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16.8</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7DF95BE"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4.8</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27804AF4"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80.64</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FC83D91"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4.032</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3FEED617"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8.064</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48981848" w14:textId="7203D269">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$4,736.15</w:t>
            </w:r>
          </w:p>
        </w:tc>
      </w:tr>
      <w:tr w14:paraId="7A2089ED" w14:textId="77777777" w:rsidTr="009555B2">
        <w:tblPrEx>
          <w:tblW w:w="5000" w:type="pct"/>
          <w:tblCellMar>
            <w:left w:w="0" w:type="dxa"/>
            <w:right w:w="0" w:type="dxa"/>
          </w:tblCellMar>
          <w:tblLook w:val="04A0"/>
        </w:tblPrEx>
        <w:trPr>
          <w:trHeight w:val="51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B6D73" w:rsidRPr="002B6D73" w:rsidP="002B6D73" w14:paraId="25BF3B94"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2B6D73">
              <w:rPr>
                <w:rFonts w:eastAsia="Times New Roman" w:cstheme="minorHAnsi"/>
                <w:sz w:val="20"/>
                <w:szCs w:val="20"/>
              </w:rPr>
              <w:t xml:space="preserve">Review of repeat Method 5, 320, and CARB 429 performance test - Pushing (through CEDRI using ERT) </w:t>
            </w:r>
            <w:r w:rsidRPr="002B6D73">
              <w:rPr>
                <w:rFonts w:eastAsia="Times New Roman" w:cstheme="minorHAnsi"/>
                <w:sz w:val="20"/>
                <w:szCs w:val="20"/>
                <w:vertAlign w:val="superscript"/>
              </w:rPr>
              <w:t>e</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345D64B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24</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7DECE8E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04AF3FB5"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50.4</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522BC451"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2.4</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74172ECA"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120.96</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386AF3A5"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6.048</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7A11C8F2"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12.096</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17785C" w14:paraId="1756DB1C" w14:textId="17ABFD82">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$7,104.22</w:t>
            </w:r>
          </w:p>
        </w:tc>
      </w:tr>
      <w:tr w14:paraId="397A120B" w14:textId="77777777" w:rsidTr="009555B2">
        <w:tblPrEx>
          <w:tblW w:w="5000" w:type="pct"/>
          <w:tblCellMar>
            <w:left w:w="0" w:type="dxa"/>
            <w:right w:w="0" w:type="dxa"/>
          </w:tblCellMar>
          <w:tblLook w:val="04A0"/>
        </w:tblPrEx>
        <w:trPr>
          <w:trHeight w:val="51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B6D73" w:rsidRPr="002B6D73" w:rsidP="002B6D73" w14:paraId="4D58313F"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2B6D73">
              <w:rPr>
                <w:rFonts w:eastAsia="Times New Roman" w:cstheme="minorHAnsi"/>
                <w:sz w:val="20"/>
                <w:szCs w:val="20"/>
              </w:rPr>
              <w:t xml:space="preserve">Review of repeat Method 29, 5, and 320 performance tests - </w:t>
            </w:r>
            <w:r w:rsidRPr="002B6D73">
              <w:rPr>
                <w:rFonts w:eastAsia="Times New Roman" w:cstheme="minorHAnsi"/>
                <w:sz w:val="20"/>
                <w:szCs w:val="20"/>
              </w:rPr>
              <w:t>ByP</w:t>
            </w:r>
            <w:r w:rsidRPr="002B6D73">
              <w:rPr>
                <w:rFonts w:eastAsia="Times New Roman" w:cstheme="minorHAnsi"/>
                <w:sz w:val="20"/>
                <w:szCs w:val="20"/>
              </w:rPr>
              <w:t xml:space="preserve"> Battery Combustion Stack (through CEDRI using ERT) </w:t>
            </w:r>
            <w:r w:rsidRPr="002B6D73">
              <w:rPr>
                <w:rFonts w:eastAsia="Times New Roman" w:cstheme="minorHAnsi"/>
                <w:sz w:val="20"/>
                <w:szCs w:val="20"/>
                <w:vertAlign w:val="superscript"/>
              </w:rPr>
              <w:t>f</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4B662A4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24</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2971EC2C"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2.4</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127E14CD"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57.6</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09F0B486"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1.4</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724A270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80.64</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21C95500"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4.032</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43CE9FDD"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8.064</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17785C" w14:paraId="68D7CA55" w14:textId="3C29255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$4,736.15</w:t>
            </w:r>
          </w:p>
        </w:tc>
      </w:tr>
      <w:tr w14:paraId="6C3D76D0" w14:textId="77777777" w:rsidTr="009555B2">
        <w:tblPrEx>
          <w:tblW w:w="5000" w:type="pct"/>
          <w:tblCellMar>
            <w:left w:w="0" w:type="dxa"/>
            <w:right w:w="0" w:type="dxa"/>
          </w:tblCellMar>
          <w:tblLook w:val="04A0"/>
        </w:tblPrEx>
        <w:trPr>
          <w:trHeight w:val="51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B6D73" w:rsidRPr="002B6D73" w:rsidP="002B6D73" w14:paraId="1B1310CE"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2B6D73">
              <w:rPr>
                <w:rFonts w:eastAsia="Times New Roman" w:cstheme="minorHAnsi"/>
                <w:sz w:val="20"/>
                <w:szCs w:val="20"/>
              </w:rPr>
              <w:t xml:space="preserve">Review of repeat Method 29, 5, 26/26A, and CARB 429 performance tests - HNR HRSG Main Stack (through CEDRI using </w:t>
            </w:r>
            <w:r w:rsidRPr="002B6D73">
              <w:rPr>
                <w:rFonts w:eastAsia="Times New Roman" w:cstheme="minorHAnsi"/>
                <w:sz w:val="20"/>
                <w:szCs w:val="20"/>
              </w:rPr>
              <w:t xml:space="preserve">ERT) </w:t>
            </w:r>
            <w:r w:rsidRPr="002B6D73">
              <w:rPr>
                <w:rFonts w:eastAsia="Times New Roman" w:cstheme="minorHAnsi"/>
                <w:sz w:val="20"/>
                <w:szCs w:val="20"/>
                <w:vertAlign w:val="superscript"/>
              </w:rPr>
              <w:t>g</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45787C6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32</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3A48BBBB"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1.3</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1356BFA4"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41.6</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0202ADBB"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0.8</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3BCF866C"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33.28</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2364AC8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1.664</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683AEEC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3.328</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17785C" w14:paraId="37E87782" w14:textId="118A4E8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$1,954.60</w:t>
            </w:r>
          </w:p>
        </w:tc>
      </w:tr>
      <w:tr w14:paraId="60831F68" w14:textId="77777777" w:rsidTr="009555B2">
        <w:tblPrEx>
          <w:tblW w:w="5000" w:type="pct"/>
          <w:tblCellMar>
            <w:left w:w="0" w:type="dxa"/>
            <w:right w:w="0" w:type="dxa"/>
          </w:tblCellMar>
          <w:tblLook w:val="04A0"/>
        </w:tblPrEx>
        <w:trPr>
          <w:trHeight w:val="51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B6D73" w:rsidRPr="002B6D73" w:rsidP="002B6D73" w14:paraId="0D03F96F"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2B6D73">
              <w:rPr>
                <w:rFonts w:eastAsia="Times New Roman" w:cstheme="minorHAnsi"/>
                <w:sz w:val="20"/>
                <w:szCs w:val="20"/>
              </w:rPr>
              <w:t xml:space="preserve">Review of repeat Method 29, 5, 26/26A, CARB 429 and 316 performance tests - HNR HRSG Bypass/Waste Heat Stack (through CEDRI using ERT) </w:t>
            </w:r>
            <w:r w:rsidRPr="002B6D73">
              <w:rPr>
                <w:rFonts w:eastAsia="Times New Roman" w:cstheme="minorHAnsi"/>
                <w:sz w:val="20"/>
                <w:szCs w:val="20"/>
                <w:vertAlign w:val="superscript"/>
              </w:rPr>
              <w:t>h</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6C84D224"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40</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3E7E9F79"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10.6</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1AB8AA1E"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424</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39630D7A"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2808CD39"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424</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74B5DD9E"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21.2</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0003F568"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42.4</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17785C" w14:paraId="32EA45C3" w14:textId="01F3554F">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$24,902.37</w:t>
            </w:r>
          </w:p>
        </w:tc>
      </w:tr>
      <w:tr w14:paraId="4FE6B0BE" w14:textId="77777777" w:rsidTr="009555B2">
        <w:tblPrEx>
          <w:tblW w:w="5000" w:type="pct"/>
          <w:tblCellMar>
            <w:left w:w="0" w:type="dxa"/>
            <w:right w:w="0" w:type="dxa"/>
          </w:tblCellMar>
          <w:tblLook w:val="04A0"/>
        </w:tblPrEx>
        <w:trPr>
          <w:trHeight w:val="327"/>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2158D115"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Review of semi-annual compliance report</w:t>
            </w:r>
            <w:r w:rsidRPr="002B6D73">
              <w:rPr>
                <w:rFonts w:eastAsia="Times New Roman" w:cstheme="minorHAnsi"/>
                <w:sz w:val="20"/>
                <w:szCs w:val="20"/>
                <w:vertAlign w:val="superscript"/>
              </w:rPr>
              <w:t xml:space="preserve"> </w:t>
            </w:r>
            <w:r w:rsidRPr="002B6D73">
              <w:rPr>
                <w:rFonts w:eastAsia="Times New Roman" w:cstheme="minorHAnsi"/>
                <w:sz w:val="20"/>
                <w:szCs w:val="20"/>
                <w:vertAlign w:val="superscript"/>
              </w:rPr>
              <w:t>i</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759CAD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8</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AC6E354"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3B0C162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16</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59BBEEE7"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12</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19C8E7FD"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192</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4B78A71B"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9.6</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6EAF9A9C"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19.2</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17785C" w14:paraId="61CB50C6" w14:textId="6F1C5704">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$11,276.54</w:t>
            </w:r>
          </w:p>
        </w:tc>
      </w:tr>
      <w:tr w14:paraId="628DE1FF" w14:textId="77777777" w:rsidTr="009555B2">
        <w:tblPrEx>
          <w:tblW w:w="5000" w:type="pct"/>
          <w:tblCellMar>
            <w:left w:w="0" w:type="dxa"/>
            <w:right w:w="0" w:type="dxa"/>
          </w:tblCellMar>
          <w:tblLook w:val="04A0"/>
        </w:tblPrEx>
        <w:trPr>
          <w:trHeight w:val="300"/>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601749AE"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Review of NESHAP waiver application</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8727E2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5B5FD971"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725B45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4C855EB4"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338EF017"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D9D6DE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B8D5489"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27F0F904" w14:textId="2D4331D0">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$0</w:t>
            </w:r>
          </w:p>
        </w:tc>
      </w:tr>
      <w:tr w14:paraId="7AADDB68" w14:textId="77777777" w:rsidTr="009555B2">
        <w:tblPrEx>
          <w:tblW w:w="5000" w:type="pct"/>
          <w:tblCellMar>
            <w:left w:w="0" w:type="dxa"/>
            <w:right w:w="0" w:type="dxa"/>
          </w:tblCellMar>
          <w:tblLook w:val="04A0"/>
        </w:tblPrEx>
        <w:trPr>
          <w:trHeight w:val="489"/>
        </w:trPr>
        <w:tc>
          <w:tcPr>
            <w:tcW w:w="135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7823E1C7"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rPr>
              <w:t xml:space="preserve">Review of quarterly compliance report for battery stacks </w:t>
            </w:r>
            <w:r w:rsidRPr="002B6D73">
              <w:rPr>
                <w:rFonts w:eastAsia="Times New Roman" w:cstheme="minorHAnsi"/>
                <w:sz w:val="20"/>
                <w:szCs w:val="20"/>
                <w:vertAlign w:val="superscript"/>
              </w:rPr>
              <w:t>j</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13998FF3"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w:t>
            </w: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05340C1D"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38C155CE"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4</w:t>
            </w: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C058C2F"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7</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2BDFEACD"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28</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483F7A89"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1.4</w:t>
            </w:r>
          </w:p>
        </w:tc>
        <w:tc>
          <w:tcPr>
            <w:tcW w:w="42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2B6D73" w14:paraId="464CBF39" w14:textId="77777777">
            <w:pPr>
              <w:widowControl w:val="0"/>
              <w:autoSpaceDE w:val="0"/>
              <w:autoSpaceDN w:val="0"/>
              <w:adjustRightInd w:val="0"/>
              <w:spacing w:after="0" w:line="240" w:lineRule="auto"/>
              <w:ind w:left="0" w:firstLine="0"/>
              <w:jc w:val="center"/>
              <w:rPr>
                <w:rFonts w:eastAsia="Times New Roman" w:cstheme="minorHAnsi"/>
                <w:sz w:val="20"/>
                <w:szCs w:val="20"/>
              </w:rPr>
            </w:pPr>
            <w:r w:rsidRPr="002B6D73">
              <w:rPr>
                <w:rFonts w:eastAsia="Times New Roman" w:cstheme="minorHAnsi"/>
                <w:sz w:val="20"/>
                <w:szCs w:val="20"/>
              </w:rPr>
              <w:t>2.8</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2B6D73" w:rsidRPr="002B6D73" w:rsidP="0017785C" w14:paraId="0950C54D" w14:textId="77777777">
            <w:pPr>
              <w:spacing w:after="0" w:line="240" w:lineRule="auto"/>
              <w:ind w:left="0" w:firstLine="0"/>
              <w:jc w:val="center"/>
              <w:rPr>
                <w:rFonts w:eastAsia="Times New Roman" w:cstheme="minorHAnsi"/>
                <w:sz w:val="20"/>
                <w:szCs w:val="20"/>
              </w:rPr>
            </w:pPr>
            <w:r w:rsidRPr="002B6D73">
              <w:rPr>
                <w:rFonts w:eastAsia="Times New Roman" w:cstheme="minorHAnsi"/>
                <w:sz w:val="20"/>
                <w:szCs w:val="20"/>
              </w:rPr>
              <w:t>$1,644.50</w:t>
            </w:r>
          </w:p>
        </w:tc>
      </w:tr>
      <w:tr w14:paraId="0B04A01F" w14:textId="77777777" w:rsidTr="009555B2">
        <w:tblPrEx>
          <w:tblW w:w="5000" w:type="pct"/>
          <w:tblCellMar>
            <w:left w:w="0" w:type="dxa"/>
            <w:right w:w="0" w:type="dxa"/>
          </w:tblCellMar>
          <w:tblLook w:val="04A0"/>
        </w:tblPrEx>
        <w:trPr>
          <w:trHeight w:val="315"/>
        </w:trPr>
        <w:tc>
          <w:tcPr>
            <w:tcW w:w="13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B6D73" w:rsidRPr="002B6D73" w:rsidP="002B6D73" w14:paraId="7AC72D13" w14:textId="77777777">
            <w:pPr>
              <w:widowControl w:val="0"/>
              <w:autoSpaceDE w:val="0"/>
              <w:autoSpaceDN w:val="0"/>
              <w:adjustRightInd w:val="0"/>
              <w:spacing w:after="0" w:line="240" w:lineRule="auto"/>
              <w:ind w:left="0" w:firstLine="0"/>
              <w:rPr>
                <w:rFonts w:eastAsia="Times New Roman" w:cstheme="minorHAnsi"/>
                <w:b/>
                <w:bCs/>
                <w:sz w:val="20"/>
                <w:szCs w:val="20"/>
              </w:rPr>
            </w:pPr>
            <w:r w:rsidRPr="002B6D73">
              <w:rPr>
                <w:rFonts w:eastAsia="Times New Roman" w:cstheme="minorHAnsi"/>
                <w:b/>
                <w:bCs/>
                <w:sz w:val="20"/>
                <w:szCs w:val="20"/>
              </w:rPr>
              <w:t xml:space="preserve">TOTAL ANNUAL COST (rounded) </w:t>
            </w:r>
            <w:r w:rsidRPr="002B6D73">
              <w:rPr>
                <w:rFonts w:eastAsia="Times New Roman" w:cstheme="minorHAnsi"/>
                <w:b/>
                <w:bCs/>
                <w:sz w:val="20"/>
                <w:szCs w:val="20"/>
                <w:vertAlign w:val="superscript"/>
              </w:rPr>
              <w:t xml:space="preserve">k </w:t>
            </w:r>
          </w:p>
        </w:tc>
        <w:tc>
          <w:tcPr>
            <w:tcW w:w="4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46191B54"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p>
        </w:tc>
        <w:tc>
          <w:tcPr>
            <w:tcW w:w="49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4C3A2EDF"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6F24F42E"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p>
        </w:tc>
        <w:tc>
          <w:tcPr>
            <w:tcW w:w="4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2B6D73" w14:paraId="77B87A60"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p>
        </w:tc>
        <w:tc>
          <w:tcPr>
            <w:tcW w:w="1380"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bottom"/>
            <w:hideMark/>
          </w:tcPr>
          <w:p w:rsidR="002B6D73" w:rsidRPr="002B6D73" w:rsidP="002B6D73" w14:paraId="7B3BA3D7"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r w:rsidRPr="002B6D73">
              <w:rPr>
                <w:rFonts w:eastAsia="Times New Roman" w:cstheme="minorHAnsi"/>
                <w:b/>
                <w:bCs/>
                <w:sz w:val="20"/>
                <w:szCs w:val="20"/>
              </w:rPr>
              <w:t>1,100</w:t>
            </w:r>
          </w:p>
        </w:tc>
        <w:tc>
          <w:tcPr>
            <w:tcW w:w="4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B6D73" w:rsidRPr="002B6D73" w:rsidP="0017785C" w14:paraId="3A096FC2" w14:textId="05DABEA0">
            <w:pPr>
              <w:spacing w:after="0" w:line="240" w:lineRule="auto"/>
              <w:ind w:left="0" w:firstLine="0"/>
              <w:jc w:val="center"/>
              <w:rPr>
                <w:rFonts w:eastAsia="Times New Roman" w:cstheme="minorHAnsi"/>
                <w:b/>
                <w:bCs/>
                <w:sz w:val="20"/>
                <w:szCs w:val="20"/>
              </w:rPr>
            </w:pPr>
            <w:r w:rsidRPr="002B6D73">
              <w:rPr>
                <w:rFonts w:eastAsia="Times New Roman" w:cstheme="minorHAnsi"/>
                <w:b/>
                <w:bCs/>
                <w:sz w:val="20"/>
                <w:szCs w:val="20"/>
              </w:rPr>
              <w:t>$56,400</w:t>
            </w:r>
          </w:p>
          <w:p w:rsidR="002B6D73" w:rsidRPr="002B6D73" w:rsidP="0017785C" w14:paraId="17113AAC" w14:textId="77777777">
            <w:pPr>
              <w:widowControl w:val="0"/>
              <w:autoSpaceDE w:val="0"/>
              <w:autoSpaceDN w:val="0"/>
              <w:adjustRightInd w:val="0"/>
              <w:spacing w:after="0" w:line="240" w:lineRule="auto"/>
              <w:ind w:left="0" w:firstLine="0"/>
              <w:jc w:val="center"/>
              <w:rPr>
                <w:rFonts w:eastAsia="Times New Roman" w:cstheme="minorHAnsi"/>
                <w:b/>
                <w:bCs/>
                <w:sz w:val="20"/>
                <w:szCs w:val="20"/>
              </w:rPr>
            </w:pPr>
          </w:p>
        </w:tc>
      </w:tr>
      <w:tr w14:paraId="7242539C" w14:textId="77777777" w:rsidTr="009555B2">
        <w:tblPrEx>
          <w:tblW w:w="5000" w:type="pct"/>
          <w:tblCellMar>
            <w:left w:w="0" w:type="dxa"/>
            <w:right w:w="0" w:type="dxa"/>
          </w:tblCellMar>
          <w:tblLook w:val="04A0"/>
        </w:tblPrEx>
        <w:trPr>
          <w:trHeight w:val="300"/>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B6D73" w:rsidRPr="002B6D73" w:rsidP="002B6D73" w14:paraId="4B7F6B40" w14:textId="77777777">
            <w:pPr>
              <w:widowControl w:val="0"/>
              <w:autoSpaceDE w:val="0"/>
              <w:autoSpaceDN w:val="0"/>
              <w:adjustRightInd w:val="0"/>
              <w:spacing w:after="0" w:line="240" w:lineRule="auto"/>
              <w:ind w:left="0" w:firstLine="0"/>
              <w:rPr>
                <w:rFonts w:eastAsia="Times New Roman" w:cstheme="minorHAnsi"/>
                <w:b/>
                <w:bCs/>
                <w:sz w:val="20"/>
                <w:szCs w:val="20"/>
              </w:rPr>
            </w:pPr>
            <w:r w:rsidRPr="002B6D73">
              <w:rPr>
                <w:rFonts w:eastAsia="Times New Roman" w:cstheme="minorHAnsi"/>
                <w:b/>
                <w:bCs/>
                <w:sz w:val="20"/>
                <w:szCs w:val="20"/>
              </w:rPr>
              <w:t>Assumptions:</w:t>
            </w:r>
          </w:p>
        </w:tc>
      </w:tr>
      <w:tr w14:paraId="741CDADE" w14:textId="77777777" w:rsidTr="009555B2">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B6D73" w:rsidRPr="002B6D73" w:rsidP="002B6D73" w14:paraId="758E6DF2"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vertAlign w:val="superscript"/>
              </w:rPr>
              <w:t>a</w:t>
            </w:r>
            <w:r w:rsidRPr="002B6D73">
              <w:rPr>
                <w:rFonts w:eastAsia="Times New Roman" w:cstheme="minorHAnsi"/>
                <w:sz w:val="20"/>
                <w:szCs w:val="20"/>
              </w:rPr>
              <w:t xml:space="preserve"> There are an average of 12 respondents (i.e., 7 coke plants operating 17 by-product (</w:t>
            </w:r>
            <w:r w:rsidRPr="002B6D73">
              <w:rPr>
                <w:rFonts w:eastAsia="Times New Roman" w:cstheme="minorHAnsi"/>
                <w:sz w:val="20"/>
                <w:szCs w:val="20"/>
              </w:rPr>
              <w:t>ByP</w:t>
            </w:r>
            <w:r w:rsidRPr="002B6D73">
              <w:rPr>
                <w:rFonts w:eastAsia="Times New Roman" w:cstheme="minorHAnsi"/>
                <w:sz w:val="20"/>
                <w:szCs w:val="20"/>
              </w:rPr>
              <w:t xml:space="preserve">) batteries and 5 coke plants operating 20 heat and/or nonrecovery (HNR) batteries). We have assumed that there will be no new sources subject to this regulation. </w:t>
            </w:r>
          </w:p>
        </w:tc>
      </w:tr>
      <w:tr w14:paraId="72E1C6A7" w14:textId="77777777" w:rsidTr="009555B2">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B6D73" w:rsidRPr="002B6D73" w:rsidP="002B6D73" w14:paraId="12055D87"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vertAlign w:val="superscript"/>
              </w:rPr>
              <w:t>b</w:t>
            </w:r>
            <w:r w:rsidRPr="002B6D73">
              <w:rPr>
                <w:rFonts w:eastAsia="Times New Roman" w:cstheme="minorHAnsi"/>
                <w:sz w:val="20"/>
                <w:szCs w:val="20"/>
              </w:rPr>
              <w:t xml:space="preserve"> This cost is based on the following labor rates which incorporates a 1.6 benefits multiplication factor to account for government overhead expenses: Managerial rate of $70.56 (GS-13, Step 5, $44.10 + 60%), Technical rate of $52.37 (GS-12, Step 1, $32.73 + 60%), and Clerical rate of $28.34 (GS-6, Step 3, $17.71 + 60%). These rates are from the Office of Personnel Management (OPM) “2022 General Schedule” which excludes locality rates of pay.  </w:t>
            </w:r>
          </w:p>
        </w:tc>
      </w:tr>
      <w:tr w14:paraId="36556337" w14:textId="77777777" w:rsidTr="009555B2">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B6D73" w:rsidRPr="002B6D73" w:rsidP="002B6D73" w14:paraId="5A8EE0DD"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vertAlign w:val="superscript"/>
              </w:rPr>
              <w:t>c</w:t>
            </w:r>
            <w:r w:rsidRPr="002B6D73">
              <w:rPr>
                <w:rFonts w:eastAsia="Times New Roman" w:cstheme="minorHAnsi"/>
                <w:sz w:val="20"/>
                <w:szCs w:val="20"/>
              </w:rPr>
              <w:t xml:space="preserve"> We have assumed that existing sources have complied with the initial rule requirements. New respondents are required to conduct performance test for add-on control equipment, and submit initial notifications. </w:t>
            </w:r>
          </w:p>
        </w:tc>
      </w:tr>
      <w:tr w14:paraId="217B95D2" w14:textId="77777777" w:rsidTr="009555B2">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B6D73" w:rsidRPr="002B6D73" w:rsidP="002B6D73" w14:paraId="04CC0229"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vertAlign w:val="superscript"/>
              </w:rPr>
              <w:t>d</w:t>
            </w:r>
            <w:r w:rsidRPr="002B6D73">
              <w:rPr>
                <w:rFonts w:eastAsia="Times New Roman" w:cstheme="minorHAnsi"/>
                <w:sz w:val="20"/>
                <w:szCs w:val="20"/>
              </w:rPr>
              <w:t xml:space="preserve"> Every 2.5 years (or about 0.4 times per year, if averaged over the three-year period of ICR), respondents must sample each pushing emission point using Method 5 for particulate matter and submit a report of results. We have determined that there is an average of 2.1 emission points per respondent (25 pushing units / 12 facilities) that need to be tested. There is an average of 4.8 respondents per year (12*0.4) submitting Method 5 performance test reports. </w:t>
            </w:r>
          </w:p>
        </w:tc>
      </w:tr>
      <w:tr w14:paraId="3B72A36F" w14:textId="77777777" w:rsidTr="009555B2">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2B6D73" w:rsidRPr="002B6D73" w:rsidP="002B6D73" w14:paraId="1D2F523D"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2B6D73">
              <w:rPr>
                <w:rFonts w:eastAsia="Times New Roman" w:cstheme="minorHAnsi"/>
                <w:sz w:val="20"/>
                <w:szCs w:val="20"/>
                <w:vertAlign w:val="superscript"/>
              </w:rPr>
              <w:t>e</w:t>
            </w:r>
            <w:r w:rsidRPr="002B6D73">
              <w:rPr>
                <w:rFonts w:eastAsia="Times New Roman" w:cstheme="minorHAnsi"/>
                <w:sz w:val="20"/>
                <w:szCs w:val="20"/>
              </w:rPr>
              <w:t xml:space="preserve"> This rule requires Hg, AG, HCN, and PAH testing once every five years (or 0.2 times per year over the 3 years of the ICR), each control device applied to pushing emissions must be sampled by Method 29 for Hg; Method 320 for AG and HCN; and CARB 429 for PAH. We have determined that there is an average of 2.1 emission points per respondent (25 pushing units / 12 facilities) that need to be tested. There is an average of 2.4 respondents per year (12*0.2) submitting Method 29, 320, and CARB 429 performance test reports. </w:t>
            </w:r>
          </w:p>
        </w:tc>
      </w:tr>
      <w:tr w14:paraId="4261BA3B" w14:textId="77777777" w:rsidTr="009555B2">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2B6D73" w:rsidRPr="002B6D73" w:rsidP="002B6D73" w14:paraId="37F4B8C9"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2B6D73">
              <w:rPr>
                <w:rFonts w:eastAsia="Times New Roman" w:cstheme="minorHAnsi"/>
                <w:sz w:val="20"/>
                <w:szCs w:val="20"/>
                <w:vertAlign w:val="superscript"/>
              </w:rPr>
              <w:t>f</w:t>
            </w:r>
            <w:r w:rsidRPr="002B6D73">
              <w:rPr>
                <w:rFonts w:eastAsia="Times New Roman" w:cstheme="minorHAnsi"/>
                <w:sz w:val="20"/>
                <w:szCs w:val="20"/>
              </w:rPr>
              <w:t xml:space="preserve"> This rule requires Hg, PM, AG and AG testing once every five years (or 0.2 times per year over the 3 years of the ICR), each </w:t>
            </w:r>
            <w:r w:rsidRPr="002B6D73">
              <w:rPr>
                <w:rFonts w:eastAsia="Times New Roman" w:cstheme="minorHAnsi"/>
                <w:sz w:val="20"/>
                <w:szCs w:val="20"/>
              </w:rPr>
              <w:t>ByP</w:t>
            </w:r>
            <w:r w:rsidRPr="002B6D73">
              <w:rPr>
                <w:rFonts w:eastAsia="Times New Roman" w:cstheme="minorHAnsi"/>
                <w:sz w:val="20"/>
                <w:szCs w:val="20"/>
              </w:rPr>
              <w:t xml:space="preserve"> battery combustion stack must be sampled by Method 29 for Hg, Method 5 for PM, and Method 320 for AG and HCN. We have determined that there is an average of 2.4 emission points per respondent (17 </w:t>
            </w:r>
            <w:r w:rsidRPr="002B6D73">
              <w:rPr>
                <w:rFonts w:eastAsia="Times New Roman" w:cstheme="minorHAnsi"/>
                <w:sz w:val="20"/>
                <w:szCs w:val="20"/>
              </w:rPr>
              <w:t>ByP</w:t>
            </w:r>
            <w:r w:rsidRPr="002B6D73">
              <w:rPr>
                <w:rFonts w:eastAsia="Times New Roman" w:cstheme="minorHAnsi"/>
                <w:sz w:val="20"/>
                <w:szCs w:val="20"/>
              </w:rPr>
              <w:t xml:space="preserve"> battery combustion stacks / 7 facilities) that need to be tested. There is an average of 1.4 respondents per year (7*0.2) submitting Method </w:t>
            </w:r>
            <w:r w:rsidRPr="002B6D73">
              <w:rPr>
                <w:rFonts w:eastAsia="Times New Roman" w:cstheme="minorHAnsi"/>
                <w:sz w:val="20"/>
                <w:szCs w:val="20"/>
              </w:rPr>
              <w:t xml:space="preserve">29, 5, and 320 performance test reports. </w:t>
            </w:r>
          </w:p>
        </w:tc>
      </w:tr>
      <w:tr w14:paraId="34E70AA1" w14:textId="77777777" w:rsidTr="009555B2">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2B6D73" w:rsidRPr="002B6D73" w:rsidP="002B6D73" w14:paraId="3A3240A7"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2B6D73">
              <w:rPr>
                <w:rFonts w:eastAsia="Times New Roman" w:cstheme="minorHAnsi"/>
                <w:sz w:val="20"/>
                <w:szCs w:val="20"/>
                <w:vertAlign w:val="superscript"/>
              </w:rPr>
              <w:t>g</w:t>
            </w:r>
            <w:r w:rsidRPr="002B6D73">
              <w:rPr>
                <w:rFonts w:eastAsia="Times New Roman" w:cstheme="minorHAnsi"/>
                <w:sz w:val="20"/>
                <w:szCs w:val="20"/>
              </w:rPr>
              <w:t xml:space="preserve"> This rule requires Hg, PM, AG, and PAH testing once every five years (or 0.2 times per year over the 3 years of the ICR), each HNR heat recovery steam generator (HRSG) main stack must be sampled by Method 26 for Hg, Method 5 for PM, Method 26/26A for AG, and CARB 429 for PAH. We have determined that there is an average of 1.3 emission points per respondent (5 HNR HRSG main stacks / 4 heat recovery facilities) that need to be tested. There is an average of 0.8 respondents per year (4*0.2) submitting Method 29, 5, 26/26A, and CARB 429 performance test reports. </w:t>
            </w:r>
          </w:p>
        </w:tc>
      </w:tr>
      <w:tr w14:paraId="04FA44E0" w14:textId="77777777" w:rsidTr="009555B2">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2B6D73" w:rsidRPr="002B6D73" w:rsidP="002B6D73" w14:paraId="1E8F92AA" w14:textId="77777777">
            <w:pPr>
              <w:widowControl w:val="0"/>
              <w:autoSpaceDE w:val="0"/>
              <w:autoSpaceDN w:val="0"/>
              <w:adjustRightInd w:val="0"/>
              <w:spacing w:after="0" w:line="240" w:lineRule="auto"/>
              <w:ind w:left="0" w:firstLine="0"/>
              <w:rPr>
                <w:rFonts w:eastAsia="Times New Roman" w:cstheme="minorHAnsi"/>
                <w:sz w:val="20"/>
                <w:szCs w:val="20"/>
                <w:vertAlign w:val="superscript"/>
              </w:rPr>
            </w:pPr>
            <w:r w:rsidRPr="002B6D73">
              <w:rPr>
                <w:rFonts w:eastAsia="Times New Roman" w:cstheme="minorHAnsi"/>
                <w:sz w:val="20"/>
                <w:szCs w:val="20"/>
                <w:vertAlign w:val="superscript"/>
              </w:rPr>
              <w:t>h</w:t>
            </w:r>
            <w:r w:rsidRPr="002B6D73">
              <w:rPr>
                <w:rFonts w:eastAsia="Times New Roman" w:cstheme="minorHAnsi"/>
                <w:sz w:val="20"/>
                <w:szCs w:val="20"/>
              </w:rPr>
              <w:t xml:space="preserve"> This rule requires Hg, PM, AG, PAH, and Formaldehyde testing once every five years (or 0.2 times per year over the 3 years of the ICR), each HNR HRSG bypass/waste heat stack must be sampled by Method 29 for Hg, Method 5 for PM, Method 26/26A for AG, CARB 429 for PAH, and Method 316 for Formaldehyde. We have determined that there is an average of 10.6 emission points per respondent (53 HNR HRSG bypass/waste heat stacks / 5 HNR facilities) that need to be tested. There is an average of 1 respondent per year (5*0.2) submitting Method 29, 5, 26/26A, CARB 429 and 316 performance test reports. </w:t>
            </w:r>
          </w:p>
        </w:tc>
      </w:tr>
      <w:tr w14:paraId="40E47F16" w14:textId="77777777" w:rsidTr="009555B2">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B6D73" w:rsidRPr="002B6D73" w:rsidP="002B6D73" w14:paraId="1030F2EF"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vertAlign w:val="superscript"/>
              </w:rPr>
              <w:t>i</w:t>
            </w:r>
            <w:r w:rsidRPr="002B6D73">
              <w:rPr>
                <w:rFonts w:eastAsia="Times New Roman" w:cstheme="minorHAnsi"/>
                <w:sz w:val="20"/>
                <w:szCs w:val="20"/>
              </w:rPr>
              <w:t xml:space="preserve"> Sources are required to submit semiannual compliance reports. </w:t>
            </w:r>
          </w:p>
        </w:tc>
      </w:tr>
      <w:tr w14:paraId="38ADA7D7" w14:textId="77777777" w:rsidTr="009555B2">
        <w:tblPrEx>
          <w:tblW w:w="5000" w:type="pct"/>
          <w:tblCellMar>
            <w:left w:w="0" w:type="dxa"/>
            <w:right w:w="0" w:type="dxa"/>
          </w:tblCellMar>
          <w:tblLook w:val="04A0"/>
        </w:tblPrEx>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B6D73" w:rsidRPr="002B6D73" w:rsidP="002B6D73" w14:paraId="18EC34AE"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vertAlign w:val="superscript"/>
              </w:rPr>
              <w:t>j</w:t>
            </w:r>
            <w:r w:rsidRPr="002B6D73">
              <w:rPr>
                <w:rFonts w:eastAsia="Times New Roman" w:cstheme="minorHAnsi"/>
                <w:sz w:val="20"/>
                <w:szCs w:val="20"/>
              </w:rPr>
              <w:t xml:space="preserve"> 40 CFR 63.7341(b) requires the submittal of quarterly compliance reports for the COMS monitoring opacity on the battery stacks at the nine coke plants utilizing by-product recovery ovens. </w:t>
            </w:r>
          </w:p>
        </w:tc>
      </w:tr>
      <w:tr w14:paraId="780FC937" w14:textId="77777777" w:rsidTr="009555B2">
        <w:tblPrEx>
          <w:tblW w:w="5000" w:type="pct"/>
          <w:tblCellMar>
            <w:left w:w="0" w:type="dxa"/>
            <w:right w:w="0" w:type="dxa"/>
          </w:tblCellMar>
          <w:tblLook w:val="04A0"/>
        </w:tblPrEx>
        <w:trPr>
          <w:trHeight w:val="201"/>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bottom"/>
            <w:hideMark/>
          </w:tcPr>
          <w:p w:rsidR="002B6D73" w:rsidRPr="002B6D73" w:rsidP="002B6D73" w14:paraId="790CB885" w14:textId="77777777">
            <w:pPr>
              <w:widowControl w:val="0"/>
              <w:autoSpaceDE w:val="0"/>
              <w:autoSpaceDN w:val="0"/>
              <w:adjustRightInd w:val="0"/>
              <w:spacing w:after="0" w:line="240" w:lineRule="auto"/>
              <w:ind w:left="0" w:firstLine="0"/>
              <w:rPr>
                <w:rFonts w:eastAsia="Times New Roman" w:cstheme="minorHAnsi"/>
                <w:sz w:val="20"/>
                <w:szCs w:val="20"/>
              </w:rPr>
            </w:pPr>
            <w:r w:rsidRPr="002B6D73">
              <w:rPr>
                <w:rFonts w:eastAsia="Times New Roman" w:cstheme="minorHAnsi"/>
                <w:sz w:val="20"/>
                <w:szCs w:val="20"/>
                <w:vertAlign w:val="superscript"/>
              </w:rPr>
              <w:t>k</w:t>
            </w:r>
            <w:r w:rsidRPr="002B6D73">
              <w:rPr>
                <w:rFonts w:eastAsia="Times New Roman" w:cstheme="minorHAnsi"/>
                <w:sz w:val="20"/>
                <w:szCs w:val="20"/>
              </w:rPr>
              <w:t xml:space="preserve"> Totals have been rounded to 3 significant values. Figures may not add exactly due to rounding.</w:t>
            </w:r>
          </w:p>
        </w:tc>
      </w:tr>
    </w:tbl>
    <w:p w:rsidR="002B6D73" w:rsidP="002943D2" w14:paraId="34067285" w14:textId="77777777">
      <w:pPr>
        <w:spacing w:line="259" w:lineRule="auto"/>
        <w:ind w:left="0" w:firstLine="0"/>
        <w:rPr>
          <w:rFonts w:cstheme="minorHAnsi"/>
        </w:rPr>
      </w:pPr>
    </w:p>
    <w:sectPr w:rsidSect="00524C1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P TypographicSymbols">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267C8F"/>
    <w:multiLevelType w:val="hybridMultilevel"/>
    <w:tmpl w:val="B6CC4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3">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A4277C"/>
    <w:multiLevelType w:val="hybridMultilevel"/>
    <w:tmpl w:val="FC8AC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8">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6"/>
  </w:num>
  <w:num w:numId="3" w16cid:durableId="1158494831">
    <w:abstractNumId w:val="3"/>
  </w:num>
  <w:num w:numId="4" w16cid:durableId="493573829">
    <w:abstractNumId w:val="33"/>
  </w:num>
  <w:num w:numId="5" w16cid:durableId="2055687918">
    <w:abstractNumId w:val="21"/>
  </w:num>
  <w:num w:numId="6" w16cid:durableId="1603025219">
    <w:abstractNumId w:val="30"/>
  </w:num>
  <w:num w:numId="7" w16cid:durableId="423957196">
    <w:abstractNumId w:val="18"/>
  </w:num>
  <w:num w:numId="8" w16cid:durableId="2031829208">
    <w:abstractNumId w:val="26"/>
  </w:num>
  <w:num w:numId="9" w16cid:durableId="218439549">
    <w:abstractNumId w:val="11"/>
  </w:num>
  <w:num w:numId="10" w16cid:durableId="1285231924">
    <w:abstractNumId w:val="5"/>
  </w:num>
  <w:num w:numId="11" w16cid:durableId="327370686">
    <w:abstractNumId w:val="10"/>
  </w:num>
  <w:num w:numId="12" w16cid:durableId="1802993385">
    <w:abstractNumId w:val="13"/>
  </w:num>
  <w:num w:numId="13" w16cid:durableId="1792938267">
    <w:abstractNumId w:val="34"/>
  </w:num>
  <w:num w:numId="14" w16cid:durableId="239490726">
    <w:abstractNumId w:val="7"/>
  </w:num>
  <w:num w:numId="15" w16cid:durableId="1395350314">
    <w:abstractNumId w:val="12"/>
  </w:num>
  <w:num w:numId="16" w16cid:durableId="441535906">
    <w:abstractNumId w:val="16"/>
  </w:num>
  <w:num w:numId="17" w16cid:durableId="2008243381">
    <w:abstractNumId w:val="27"/>
  </w:num>
  <w:num w:numId="18" w16cid:durableId="840463183">
    <w:abstractNumId w:val="25"/>
  </w:num>
  <w:num w:numId="19" w16cid:durableId="469980091">
    <w:abstractNumId w:val="29"/>
  </w:num>
  <w:num w:numId="20" w16cid:durableId="2126730031">
    <w:abstractNumId w:val="14"/>
  </w:num>
  <w:num w:numId="21" w16cid:durableId="106124704">
    <w:abstractNumId w:val="2"/>
  </w:num>
  <w:num w:numId="22" w16cid:durableId="1552418013">
    <w:abstractNumId w:val="17"/>
  </w:num>
  <w:num w:numId="23" w16cid:durableId="1598828334">
    <w:abstractNumId w:val="31"/>
  </w:num>
  <w:num w:numId="24" w16cid:durableId="2051031068">
    <w:abstractNumId w:val="1"/>
  </w:num>
  <w:num w:numId="25" w16cid:durableId="258569098">
    <w:abstractNumId w:val="19"/>
  </w:num>
  <w:num w:numId="26" w16cid:durableId="331181582">
    <w:abstractNumId w:val="23"/>
  </w:num>
  <w:num w:numId="27" w16cid:durableId="1015961391">
    <w:abstractNumId w:val="28"/>
  </w:num>
  <w:num w:numId="28" w16cid:durableId="1315645907">
    <w:abstractNumId w:val="20"/>
  </w:num>
  <w:num w:numId="29" w16cid:durableId="1456172683">
    <w:abstractNumId w:val="32"/>
  </w:num>
  <w:num w:numId="30" w16cid:durableId="1931691036">
    <w:abstractNumId w:val="9"/>
  </w:num>
  <w:num w:numId="31" w16cid:durableId="545869808">
    <w:abstractNumId w:val="24"/>
  </w:num>
  <w:num w:numId="32" w16cid:durableId="1414551289">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33" w16cid:durableId="1695422070">
    <w:abstractNumId w:val="22"/>
  </w:num>
  <w:num w:numId="34" w16cid:durableId="1930190609">
    <w:abstractNumId w:val="4"/>
  </w:num>
  <w:num w:numId="35" w16cid:durableId="96836215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5F3"/>
    <w:rsid w:val="00020791"/>
    <w:rsid w:val="00023EFE"/>
    <w:rsid w:val="000267E1"/>
    <w:rsid w:val="0003047A"/>
    <w:rsid w:val="00030670"/>
    <w:rsid w:val="0003166C"/>
    <w:rsid w:val="00032552"/>
    <w:rsid w:val="00033219"/>
    <w:rsid w:val="00036CF2"/>
    <w:rsid w:val="00037107"/>
    <w:rsid w:val="00042EF8"/>
    <w:rsid w:val="00042F77"/>
    <w:rsid w:val="0004467E"/>
    <w:rsid w:val="000452DC"/>
    <w:rsid w:val="000461BA"/>
    <w:rsid w:val="00047160"/>
    <w:rsid w:val="00050BB4"/>
    <w:rsid w:val="00051045"/>
    <w:rsid w:val="00052926"/>
    <w:rsid w:val="00052C16"/>
    <w:rsid w:val="00053570"/>
    <w:rsid w:val="000544D0"/>
    <w:rsid w:val="0005572E"/>
    <w:rsid w:val="00055D41"/>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A736E"/>
    <w:rsid w:val="000B3576"/>
    <w:rsid w:val="000B461B"/>
    <w:rsid w:val="000B71CA"/>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5F8"/>
    <w:rsid w:val="00132921"/>
    <w:rsid w:val="001329B3"/>
    <w:rsid w:val="00135EAD"/>
    <w:rsid w:val="00136237"/>
    <w:rsid w:val="00137EB8"/>
    <w:rsid w:val="00140010"/>
    <w:rsid w:val="001412E9"/>
    <w:rsid w:val="00145DAE"/>
    <w:rsid w:val="001467F7"/>
    <w:rsid w:val="00147B68"/>
    <w:rsid w:val="0015084F"/>
    <w:rsid w:val="00150EA0"/>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7785C"/>
    <w:rsid w:val="00180511"/>
    <w:rsid w:val="00184011"/>
    <w:rsid w:val="00185251"/>
    <w:rsid w:val="00186985"/>
    <w:rsid w:val="00187E5C"/>
    <w:rsid w:val="0019149E"/>
    <w:rsid w:val="0019182F"/>
    <w:rsid w:val="00191C72"/>
    <w:rsid w:val="001925B3"/>
    <w:rsid w:val="001929FB"/>
    <w:rsid w:val="00193C30"/>
    <w:rsid w:val="0019580A"/>
    <w:rsid w:val="00195BEB"/>
    <w:rsid w:val="00197A23"/>
    <w:rsid w:val="001A1EA6"/>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142E"/>
    <w:rsid w:val="001E211E"/>
    <w:rsid w:val="001E3A31"/>
    <w:rsid w:val="001E43D7"/>
    <w:rsid w:val="001E4BC2"/>
    <w:rsid w:val="001E534A"/>
    <w:rsid w:val="001E548A"/>
    <w:rsid w:val="001E601A"/>
    <w:rsid w:val="001E6899"/>
    <w:rsid w:val="001E6E50"/>
    <w:rsid w:val="001E7480"/>
    <w:rsid w:val="001E74E1"/>
    <w:rsid w:val="001F0834"/>
    <w:rsid w:val="001F0D3B"/>
    <w:rsid w:val="001F18D5"/>
    <w:rsid w:val="001F1A52"/>
    <w:rsid w:val="001F1F14"/>
    <w:rsid w:val="001F34A5"/>
    <w:rsid w:val="001F370A"/>
    <w:rsid w:val="001F5541"/>
    <w:rsid w:val="001F75D9"/>
    <w:rsid w:val="001F7B1A"/>
    <w:rsid w:val="001F7DF2"/>
    <w:rsid w:val="0020142E"/>
    <w:rsid w:val="00201886"/>
    <w:rsid w:val="0020562F"/>
    <w:rsid w:val="00205DAF"/>
    <w:rsid w:val="002064A4"/>
    <w:rsid w:val="00210F2E"/>
    <w:rsid w:val="00211627"/>
    <w:rsid w:val="0021345A"/>
    <w:rsid w:val="00213AE6"/>
    <w:rsid w:val="002147A0"/>
    <w:rsid w:val="00215899"/>
    <w:rsid w:val="00216C6A"/>
    <w:rsid w:val="00220258"/>
    <w:rsid w:val="00222530"/>
    <w:rsid w:val="0022259D"/>
    <w:rsid w:val="002239FE"/>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5FAD"/>
    <w:rsid w:val="002360BC"/>
    <w:rsid w:val="00237BB3"/>
    <w:rsid w:val="00240F23"/>
    <w:rsid w:val="0024175E"/>
    <w:rsid w:val="002420F2"/>
    <w:rsid w:val="002455F0"/>
    <w:rsid w:val="0024599B"/>
    <w:rsid w:val="00246A7E"/>
    <w:rsid w:val="00247198"/>
    <w:rsid w:val="002501D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2F9"/>
    <w:rsid w:val="00270940"/>
    <w:rsid w:val="00273EFA"/>
    <w:rsid w:val="00274356"/>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5D"/>
    <w:rsid w:val="002A7860"/>
    <w:rsid w:val="002A78D3"/>
    <w:rsid w:val="002B0036"/>
    <w:rsid w:val="002B6D73"/>
    <w:rsid w:val="002B7383"/>
    <w:rsid w:val="002B77A2"/>
    <w:rsid w:val="002C0623"/>
    <w:rsid w:val="002C1434"/>
    <w:rsid w:val="002C1646"/>
    <w:rsid w:val="002C4713"/>
    <w:rsid w:val="002C52D7"/>
    <w:rsid w:val="002C57D1"/>
    <w:rsid w:val="002C7DDE"/>
    <w:rsid w:val="002D0CE9"/>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40C5"/>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0CB0"/>
    <w:rsid w:val="00361737"/>
    <w:rsid w:val="00363F41"/>
    <w:rsid w:val="00365915"/>
    <w:rsid w:val="00366D56"/>
    <w:rsid w:val="00367319"/>
    <w:rsid w:val="00367871"/>
    <w:rsid w:val="00367DAD"/>
    <w:rsid w:val="0037290B"/>
    <w:rsid w:val="0037342A"/>
    <w:rsid w:val="00373CC8"/>
    <w:rsid w:val="00374E24"/>
    <w:rsid w:val="00375E2A"/>
    <w:rsid w:val="00376609"/>
    <w:rsid w:val="0038330C"/>
    <w:rsid w:val="00384F48"/>
    <w:rsid w:val="003856DC"/>
    <w:rsid w:val="00386276"/>
    <w:rsid w:val="003868BE"/>
    <w:rsid w:val="003901B8"/>
    <w:rsid w:val="00395931"/>
    <w:rsid w:val="003969D5"/>
    <w:rsid w:val="00397BA8"/>
    <w:rsid w:val="003A1D0D"/>
    <w:rsid w:val="003A38FB"/>
    <w:rsid w:val="003A41A0"/>
    <w:rsid w:val="003A6BEF"/>
    <w:rsid w:val="003A6C90"/>
    <w:rsid w:val="003B04B9"/>
    <w:rsid w:val="003B0A8F"/>
    <w:rsid w:val="003B153D"/>
    <w:rsid w:val="003B4D4F"/>
    <w:rsid w:val="003C0DBC"/>
    <w:rsid w:val="003C2482"/>
    <w:rsid w:val="003C2B04"/>
    <w:rsid w:val="003C321D"/>
    <w:rsid w:val="003C349B"/>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B7F"/>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5EA9"/>
    <w:rsid w:val="00427079"/>
    <w:rsid w:val="004306A8"/>
    <w:rsid w:val="00430EDC"/>
    <w:rsid w:val="00431D3F"/>
    <w:rsid w:val="00432AC2"/>
    <w:rsid w:val="00434E78"/>
    <w:rsid w:val="0043515D"/>
    <w:rsid w:val="00436FD0"/>
    <w:rsid w:val="00441783"/>
    <w:rsid w:val="004420DA"/>
    <w:rsid w:val="00444497"/>
    <w:rsid w:val="00444707"/>
    <w:rsid w:val="004455F6"/>
    <w:rsid w:val="00445751"/>
    <w:rsid w:val="004468C2"/>
    <w:rsid w:val="00446B8D"/>
    <w:rsid w:val="00450C44"/>
    <w:rsid w:val="00454DA0"/>
    <w:rsid w:val="00456E33"/>
    <w:rsid w:val="004600ED"/>
    <w:rsid w:val="004620CA"/>
    <w:rsid w:val="00463285"/>
    <w:rsid w:val="00465846"/>
    <w:rsid w:val="00466349"/>
    <w:rsid w:val="00466B43"/>
    <w:rsid w:val="00470E22"/>
    <w:rsid w:val="00472D33"/>
    <w:rsid w:val="00475895"/>
    <w:rsid w:val="00475BA6"/>
    <w:rsid w:val="00475E75"/>
    <w:rsid w:val="004771AA"/>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82A"/>
    <w:rsid w:val="004A6B13"/>
    <w:rsid w:val="004A6D7B"/>
    <w:rsid w:val="004B0167"/>
    <w:rsid w:val="004B3607"/>
    <w:rsid w:val="004B710E"/>
    <w:rsid w:val="004C17A6"/>
    <w:rsid w:val="004C267E"/>
    <w:rsid w:val="004C4034"/>
    <w:rsid w:val="004C43EA"/>
    <w:rsid w:val="004C4445"/>
    <w:rsid w:val="004C53AD"/>
    <w:rsid w:val="004C605E"/>
    <w:rsid w:val="004C6291"/>
    <w:rsid w:val="004C639B"/>
    <w:rsid w:val="004C65F0"/>
    <w:rsid w:val="004C680C"/>
    <w:rsid w:val="004C6EC4"/>
    <w:rsid w:val="004C7205"/>
    <w:rsid w:val="004D0275"/>
    <w:rsid w:val="004D5735"/>
    <w:rsid w:val="004D59E6"/>
    <w:rsid w:val="004D5E8D"/>
    <w:rsid w:val="004D6404"/>
    <w:rsid w:val="004D758B"/>
    <w:rsid w:val="004E0010"/>
    <w:rsid w:val="004E1414"/>
    <w:rsid w:val="004E336F"/>
    <w:rsid w:val="004E3CB0"/>
    <w:rsid w:val="004E5457"/>
    <w:rsid w:val="004E5A83"/>
    <w:rsid w:val="004E7F0A"/>
    <w:rsid w:val="004F05F2"/>
    <w:rsid w:val="004F106A"/>
    <w:rsid w:val="004F1136"/>
    <w:rsid w:val="004F1426"/>
    <w:rsid w:val="004F36E4"/>
    <w:rsid w:val="004F3C8A"/>
    <w:rsid w:val="004F4CDB"/>
    <w:rsid w:val="004F4FDD"/>
    <w:rsid w:val="004F6CF4"/>
    <w:rsid w:val="0050085E"/>
    <w:rsid w:val="005016D0"/>
    <w:rsid w:val="00501DE1"/>
    <w:rsid w:val="005024CE"/>
    <w:rsid w:val="00502BAA"/>
    <w:rsid w:val="00504949"/>
    <w:rsid w:val="00504C99"/>
    <w:rsid w:val="00505AAA"/>
    <w:rsid w:val="00506171"/>
    <w:rsid w:val="005062F5"/>
    <w:rsid w:val="00507EE3"/>
    <w:rsid w:val="00510C48"/>
    <w:rsid w:val="005115DB"/>
    <w:rsid w:val="005119F4"/>
    <w:rsid w:val="00511DDD"/>
    <w:rsid w:val="00512F2D"/>
    <w:rsid w:val="00513479"/>
    <w:rsid w:val="00515993"/>
    <w:rsid w:val="00517F46"/>
    <w:rsid w:val="00520209"/>
    <w:rsid w:val="0052076B"/>
    <w:rsid w:val="00524059"/>
    <w:rsid w:val="005245E1"/>
    <w:rsid w:val="00524C1A"/>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75BB5"/>
    <w:rsid w:val="005810DF"/>
    <w:rsid w:val="00583101"/>
    <w:rsid w:val="005836B3"/>
    <w:rsid w:val="00584D72"/>
    <w:rsid w:val="0058662D"/>
    <w:rsid w:val="005877C1"/>
    <w:rsid w:val="005900C3"/>
    <w:rsid w:val="00590A21"/>
    <w:rsid w:val="005932EC"/>
    <w:rsid w:val="00594D4D"/>
    <w:rsid w:val="005966D8"/>
    <w:rsid w:val="0059769C"/>
    <w:rsid w:val="005A01C2"/>
    <w:rsid w:val="005A0F75"/>
    <w:rsid w:val="005A129A"/>
    <w:rsid w:val="005A35B4"/>
    <w:rsid w:val="005A422E"/>
    <w:rsid w:val="005A7235"/>
    <w:rsid w:val="005A74C9"/>
    <w:rsid w:val="005A7BA6"/>
    <w:rsid w:val="005B499E"/>
    <w:rsid w:val="005B6A8D"/>
    <w:rsid w:val="005C195D"/>
    <w:rsid w:val="005C2031"/>
    <w:rsid w:val="005C4174"/>
    <w:rsid w:val="005C4406"/>
    <w:rsid w:val="005C5F3D"/>
    <w:rsid w:val="005D0ACB"/>
    <w:rsid w:val="005D140B"/>
    <w:rsid w:val="005D1C36"/>
    <w:rsid w:val="005D1F2E"/>
    <w:rsid w:val="005D2029"/>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5EA1"/>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159B"/>
    <w:rsid w:val="00632FD9"/>
    <w:rsid w:val="00635E63"/>
    <w:rsid w:val="006364B9"/>
    <w:rsid w:val="00637244"/>
    <w:rsid w:val="00640646"/>
    <w:rsid w:val="006406C5"/>
    <w:rsid w:val="00640DB6"/>
    <w:rsid w:val="00642467"/>
    <w:rsid w:val="00642CED"/>
    <w:rsid w:val="00642D76"/>
    <w:rsid w:val="00643FF8"/>
    <w:rsid w:val="00644E9A"/>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84"/>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0AA1"/>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583A"/>
    <w:rsid w:val="00706B15"/>
    <w:rsid w:val="00706F41"/>
    <w:rsid w:val="007077E8"/>
    <w:rsid w:val="00710A21"/>
    <w:rsid w:val="00712749"/>
    <w:rsid w:val="007128E1"/>
    <w:rsid w:val="007139DB"/>
    <w:rsid w:val="00714D14"/>
    <w:rsid w:val="00714E66"/>
    <w:rsid w:val="007167A3"/>
    <w:rsid w:val="0071683B"/>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0FB"/>
    <w:rsid w:val="00743A10"/>
    <w:rsid w:val="00743ADD"/>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322"/>
    <w:rsid w:val="007B2A30"/>
    <w:rsid w:val="007B41DD"/>
    <w:rsid w:val="007B5199"/>
    <w:rsid w:val="007B74AA"/>
    <w:rsid w:val="007C285F"/>
    <w:rsid w:val="007C3A41"/>
    <w:rsid w:val="007C7191"/>
    <w:rsid w:val="007C7392"/>
    <w:rsid w:val="007D0912"/>
    <w:rsid w:val="007D1451"/>
    <w:rsid w:val="007D1B8B"/>
    <w:rsid w:val="007D2824"/>
    <w:rsid w:val="007D31DB"/>
    <w:rsid w:val="007D3C4B"/>
    <w:rsid w:val="007D4381"/>
    <w:rsid w:val="007D47D8"/>
    <w:rsid w:val="007D58A8"/>
    <w:rsid w:val="007E0597"/>
    <w:rsid w:val="007E0985"/>
    <w:rsid w:val="007E1BD7"/>
    <w:rsid w:val="007E1DEB"/>
    <w:rsid w:val="007E2E4D"/>
    <w:rsid w:val="007E403E"/>
    <w:rsid w:val="007E4B86"/>
    <w:rsid w:val="007E53F0"/>
    <w:rsid w:val="007E6E0D"/>
    <w:rsid w:val="007F1FD4"/>
    <w:rsid w:val="007F246C"/>
    <w:rsid w:val="007F2A90"/>
    <w:rsid w:val="007F3C5B"/>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42E"/>
    <w:rsid w:val="008416DF"/>
    <w:rsid w:val="008443B3"/>
    <w:rsid w:val="00846433"/>
    <w:rsid w:val="0084668A"/>
    <w:rsid w:val="00850DF4"/>
    <w:rsid w:val="008510C7"/>
    <w:rsid w:val="0085150A"/>
    <w:rsid w:val="0085160F"/>
    <w:rsid w:val="0085327B"/>
    <w:rsid w:val="00853B1E"/>
    <w:rsid w:val="00854AAE"/>
    <w:rsid w:val="00856CDB"/>
    <w:rsid w:val="00860243"/>
    <w:rsid w:val="008611EA"/>
    <w:rsid w:val="00862ACA"/>
    <w:rsid w:val="00863B5C"/>
    <w:rsid w:val="00863E35"/>
    <w:rsid w:val="0086480C"/>
    <w:rsid w:val="0086680C"/>
    <w:rsid w:val="00866A4F"/>
    <w:rsid w:val="00866F44"/>
    <w:rsid w:val="00867AF8"/>
    <w:rsid w:val="00870F86"/>
    <w:rsid w:val="00872792"/>
    <w:rsid w:val="00873EFF"/>
    <w:rsid w:val="008748E6"/>
    <w:rsid w:val="008749E8"/>
    <w:rsid w:val="0087560E"/>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1B8A"/>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AD7"/>
    <w:rsid w:val="008E6B14"/>
    <w:rsid w:val="008E6FC3"/>
    <w:rsid w:val="008F0A00"/>
    <w:rsid w:val="008F0EEB"/>
    <w:rsid w:val="008F1F04"/>
    <w:rsid w:val="008F2B76"/>
    <w:rsid w:val="008F2C24"/>
    <w:rsid w:val="008F48A5"/>
    <w:rsid w:val="008F4B28"/>
    <w:rsid w:val="008F5FAF"/>
    <w:rsid w:val="008F74C2"/>
    <w:rsid w:val="008F7CEE"/>
    <w:rsid w:val="00900E6F"/>
    <w:rsid w:val="00901650"/>
    <w:rsid w:val="00901C53"/>
    <w:rsid w:val="00902767"/>
    <w:rsid w:val="00902BB7"/>
    <w:rsid w:val="009048BF"/>
    <w:rsid w:val="0090648A"/>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67C23"/>
    <w:rsid w:val="00971A41"/>
    <w:rsid w:val="00975BE8"/>
    <w:rsid w:val="00976A58"/>
    <w:rsid w:val="00977AA1"/>
    <w:rsid w:val="00980058"/>
    <w:rsid w:val="00982445"/>
    <w:rsid w:val="00982777"/>
    <w:rsid w:val="00982C40"/>
    <w:rsid w:val="0098375D"/>
    <w:rsid w:val="00985781"/>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3BB5"/>
    <w:rsid w:val="009A442C"/>
    <w:rsid w:val="009A5C07"/>
    <w:rsid w:val="009A5C98"/>
    <w:rsid w:val="009A6AF8"/>
    <w:rsid w:val="009A7B66"/>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07A6"/>
    <w:rsid w:val="00A31484"/>
    <w:rsid w:val="00A352DB"/>
    <w:rsid w:val="00A358CC"/>
    <w:rsid w:val="00A35BC3"/>
    <w:rsid w:val="00A35F5B"/>
    <w:rsid w:val="00A361CE"/>
    <w:rsid w:val="00A45770"/>
    <w:rsid w:val="00A45865"/>
    <w:rsid w:val="00A5112E"/>
    <w:rsid w:val="00A5226D"/>
    <w:rsid w:val="00A52EE6"/>
    <w:rsid w:val="00A53BD4"/>
    <w:rsid w:val="00A53C9A"/>
    <w:rsid w:val="00A55764"/>
    <w:rsid w:val="00A56C84"/>
    <w:rsid w:val="00A56FE2"/>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076"/>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DC8"/>
    <w:rsid w:val="00B22F84"/>
    <w:rsid w:val="00B2326A"/>
    <w:rsid w:val="00B23E0D"/>
    <w:rsid w:val="00B24852"/>
    <w:rsid w:val="00B26757"/>
    <w:rsid w:val="00B31C31"/>
    <w:rsid w:val="00B37C28"/>
    <w:rsid w:val="00B400AE"/>
    <w:rsid w:val="00B434D7"/>
    <w:rsid w:val="00B45BEF"/>
    <w:rsid w:val="00B46501"/>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4D86"/>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4D03"/>
    <w:rsid w:val="00BB6F4C"/>
    <w:rsid w:val="00BB6FB5"/>
    <w:rsid w:val="00BB753F"/>
    <w:rsid w:val="00BB7DA0"/>
    <w:rsid w:val="00BB7FF2"/>
    <w:rsid w:val="00BC0B1A"/>
    <w:rsid w:val="00BC13CB"/>
    <w:rsid w:val="00BC1522"/>
    <w:rsid w:val="00BC1BF0"/>
    <w:rsid w:val="00BC3541"/>
    <w:rsid w:val="00BC38E8"/>
    <w:rsid w:val="00BC3DD2"/>
    <w:rsid w:val="00BC432E"/>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217D"/>
    <w:rsid w:val="00C129BC"/>
    <w:rsid w:val="00C1308C"/>
    <w:rsid w:val="00C13B84"/>
    <w:rsid w:val="00C14B7B"/>
    <w:rsid w:val="00C14D9D"/>
    <w:rsid w:val="00C1628D"/>
    <w:rsid w:val="00C17C13"/>
    <w:rsid w:val="00C20372"/>
    <w:rsid w:val="00C2356F"/>
    <w:rsid w:val="00C24C6C"/>
    <w:rsid w:val="00C25A7A"/>
    <w:rsid w:val="00C27150"/>
    <w:rsid w:val="00C27454"/>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201"/>
    <w:rsid w:val="00C96BDE"/>
    <w:rsid w:val="00CA27B9"/>
    <w:rsid w:val="00CA32FE"/>
    <w:rsid w:val="00CA4137"/>
    <w:rsid w:val="00CA5AE4"/>
    <w:rsid w:val="00CA6D14"/>
    <w:rsid w:val="00CA7D74"/>
    <w:rsid w:val="00CB02A1"/>
    <w:rsid w:val="00CB038B"/>
    <w:rsid w:val="00CB1797"/>
    <w:rsid w:val="00CB4747"/>
    <w:rsid w:val="00CB4B04"/>
    <w:rsid w:val="00CB6AD7"/>
    <w:rsid w:val="00CC03C4"/>
    <w:rsid w:val="00CC2643"/>
    <w:rsid w:val="00CC338D"/>
    <w:rsid w:val="00CC3C26"/>
    <w:rsid w:val="00CC43C3"/>
    <w:rsid w:val="00CC43C5"/>
    <w:rsid w:val="00CC43CD"/>
    <w:rsid w:val="00CC4618"/>
    <w:rsid w:val="00CC7BD8"/>
    <w:rsid w:val="00CD1614"/>
    <w:rsid w:val="00CD1836"/>
    <w:rsid w:val="00CD275E"/>
    <w:rsid w:val="00CD2EF7"/>
    <w:rsid w:val="00CD38AB"/>
    <w:rsid w:val="00CD4061"/>
    <w:rsid w:val="00CD4100"/>
    <w:rsid w:val="00CD4338"/>
    <w:rsid w:val="00CD4809"/>
    <w:rsid w:val="00CD56AF"/>
    <w:rsid w:val="00CD5A92"/>
    <w:rsid w:val="00CD679D"/>
    <w:rsid w:val="00CD7393"/>
    <w:rsid w:val="00CE0942"/>
    <w:rsid w:val="00CE1EF9"/>
    <w:rsid w:val="00CE2CB1"/>
    <w:rsid w:val="00CE3ACF"/>
    <w:rsid w:val="00CE4292"/>
    <w:rsid w:val="00CE4DEB"/>
    <w:rsid w:val="00CE4F47"/>
    <w:rsid w:val="00CE5752"/>
    <w:rsid w:val="00CE6F2D"/>
    <w:rsid w:val="00CF2359"/>
    <w:rsid w:val="00CF23B4"/>
    <w:rsid w:val="00CF242E"/>
    <w:rsid w:val="00CF261B"/>
    <w:rsid w:val="00CF413A"/>
    <w:rsid w:val="00CF4631"/>
    <w:rsid w:val="00CF5A3C"/>
    <w:rsid w:val="00CF5EFF"/>
    <w:rsid w:val="00CF61BA"/>
    <w:rsid w:val="00CF6434"/>
    <w:rsid w:val="00CF697C"/>
    <w:rsid w:val="00D00106"/>
    <w:rsid w:val="00D00D33"/>
    <w:rsid w:val="00D01A8F"/>
    <w:rsid w:val="00D04072"/>
    <w:rsid w:val="00D043F3"/>
    <w:rsid w:val="00D068D3"/>
    <w:rsid w:val="00D073E4"/>
    <w:rsid w:val="00D10994"/>
    <w:rsid w:val="00D10B82"/>
    <w:rsid w:val="00D12D20"/>
    <w:rsid w:val="00D14A68"/>
    <w:rsid w:val="00D163B0"/>
    <w:rsid w:val="00D16D73"/>
    <w:rsid w:val="00D17BB9"/>
    <w:rsid w:val="00D210DB"/>
    <w:rsid w:val="00D225E2"/>
    <w:rsid w:val="00D234AD"/>
    <w:rsid w:val="00D24AC0"/>
    <w:rsid w:val="00D26124"/>
    <w:rsid w:val="00D311F7"/>
    <w:rsid w:val="00D31DCE"/>
    <w:rsid w:val="00D33817"/>
    <w:rsid w:val="00D34078"/>
    <w:rsid w:val="00D36464"/>
    <w:rsid w:val="00D3698C"/>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0EAE"/>
    <w:rsid w:val="00D51356"/>
    <w:rsid w:val="00D517F0"/>
    <w:rsid w:val="00D5260D"/>
    <w:rsid w:val="00D54334"/>
    <w:rsid w:val="00D544EC"/>
    <w:rsid w:val="00D55926"/>
    <w:rsid w:val="00D55EB1"/>
    <w:rsid w:val="00D57716"/>
    <w:rsid w:val="00D61EDC"/>
    <w:rsid w:val="00D64254"/>
    <w:rsid w:val="00D65583"/>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B7C8C"/>
    <w:rsid w:val="00DC1889"/>
    <w:rsid w:val="00DC1EEC"/>
    <w:rsid w:val="00DC2D99"/>
    <w:rsid w:val="00DC57CD"/>
    <w:rsid w:val="00DC6593"/>
    <w:rsid w:val="00DD2682"/>
    <w:rsid w:val="00DD35B0"/>
    <w:rsid w:val="00DD4E7A"/>
    <w:rsid w:val="00DD6533"/>
    <w:rsid w:val="00DD6A91"/>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954"/>
    <w:rsid w:val="00E03FC8"/>
    <w:rsid w:val="00E04947"/>
    <w:rsid w:val="00E076DF"/>
    <w:rsid w:val="00E10927"/>
    <w:rsid w:val="00E128B1"/>
    <w:rsid w:val="00E14467"/>
    <w:rsid w:val="00E14BF3"/>
    <w:rsid w:val="00E16410"/>
    <w:rsid w:val="00E205A3"/>
    <w:rsid w:val="00E2389F"/>
    <w:rsid w:val="00E25157"/>
    <w:rsid w:val="00E264E6"/>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A8E"/>
    <w:rsid w:val="00EA5D83"/>
    <w:rsid w:val="00EA6184"/>
    <w:rsid w:val="00EA6BDC"/>
    <w:rsid w:val="00EB0C83"/>
    <w:rsid w:val="00EB1796"/>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100"/>
    <w:rsid w:val="00F10CF0"/>
    <w:rsid w:val="00F13918"/>
    <w:rsid w:val="00F15CFE"/>
    <w:rsid w:val="00F171C6"/>
    <w:rsid w:val="00F1773A"/>
    <w:rsid w:val="00F17E88"/>
    <w:rsid w:val="00F17F8C"/>
    <w:rsid w:val="00F20CFD"/>
    <w:rsid w:val="00F229AC"/>
    <w:rsid w:val="00F252CD"/>
    <w:rsid w:val="00F2554C"/>
    <w:rsid w:val="00F25F36"/>
    <w:rsid w:val="00F27BD2"/>
    <w:rsid w:val="00F3030A"/>
    <w:rsid w:val="00F31DEE"/>
    <w:rsid w:val="00F32283"/>
    <w:rsid w:val="00F32BF6"/>
    <w:rsid w:val="00F33388"/>
    <w:rsid w:val="00F33E4D"/>
    <w:rsid w:val="00F34178"/>
    <w:rsid w:val="00F34BCA"/>
    <w:rsid w:val="00F36723"/>
    <w:rsid w:val="00F379D3"/>
    <w:rsid w:val="00F37D13"/>
    <w:rsid w:val="00F405E9"/>
    <w:rsid w:val="00F43533"/>
    <w:rsid w:val="00F440BC"/>
    <w:rsid w:val="00F462DB"/>
    <w:rsid w:val="00F47EAC"/>
    <w:rsid w:val="00F5019F"/>
    <w:rsid w:val="00F50C29"/>
    <w:rsid w:val="00F51F05"/>
    <w:rsid w:val="00F55929"/>
    <w:rsid w:val="00F56114"/>
    <w:rsid w:val="00F573CC"/>
    <w:rsid w:val="00F57EAD"/>
    <w:rsid w:val="00F601B4"/>
    <w:rsid w:val="00F62C65"/>
    <w:rsid w:val="00F62DC9"/>
    <w:rsid w:val="00F63290"/>
    <w:rsid w:val="00F6434F"/>
    <w:rsid w:val="00F652A6"/>
    <w:rsid w:val="00F65717"/>
    <w:rsid w:val="00F66728"/>
    <w:rsid w:val="00F67649"/>
    <w:rsid w:val="00F67C9A"/>
    <w:rsid w:val="00F7072E"/>
    <w:rsid w:val="00F71C27"/>
    <w:rsid w:val="00F7283C"/>
    <w:rsid w:val="00F741CB"/>
    <w:rsid w:val="00F74A8C"/>
    <w:rsid w:val="00F74FF8"/>
    <w:rsid w:val="00F7776D"/>
    <w:rsid w:val="00F823FF"/>
    <w:rsid w:val="00F846E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408A"/>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nhideWhenUsed/>
    <w:rsid w:val="00997E71"/>
    <w:pPr>
      <w:spacing w:line="240" w:lineRule="auto"/>
    </w:pPr>
    <w:rPr>
      <w:sz w:val="20"/>
      <w:szCs w:val="20"/>
    </w:rPr>
  </w:style>
  <w:style w:type="character" w:customStyle="1" w:styleId="CommentTextChar">
    <w:name w:val="Comment Text Char"/>
    <w:basedOn w:val="DefaultParagraphFont"/>
    <w:link w:val="CommentText"/>
    <w:rsid w:val="00997E71"/>
    <w:rPr>
      <w:sz w:val="20"/>
      <w:szCs w:val="20"/>
    </w:rPr>
  </w:style>
  <w:style w:type="character" w:styleId="CommentReference">
    <w:name w:val="annotation reference"/>
    <w:basedOn w:val="DefaultParagraphFont"/>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numbering" w:customStyle="1" w:styleId="NoList1">
    <w:name w:val="No List1"/>
    <w:next w:val="NoList"/>
    <w:uiPriority w:val="99"/>
    <w:semiHidden/>
    <w:unhideWhenUsed/>
    <w:rsid w:val="0084142E"/>
  </w:style>
  <w:style w:type="character" w:customStyle="1" w:styleId="Hypertext">
    <w:name w:val="Hypertext"/>
    <w:rsid w:val="0084142E"/>
    <w:rPr>
      <w:color w:val="0000FF"/>
      <w:u w:val="single"/>
    </w:rPr>
  </w:style>
  <w:style w:type="paragraph" w:customStyle="1" w:styleId="Level1">
    <w:name w:val="Level 1"/>
    <w:basedOn w:val="Normal"/>
    <w:rsid w:val="0084142E"/>
    <w:pPr>
      <w:widowControl w:val="0"/>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1">
    <w:name w:val="1"/>
    <w:rsid w:val="0084142E"/>
  </w:style>
  <w:style w:type="paragraph" w:styleId="DocumentMap">
    <w:name w:val="Document Map"/>
    <w:basedOn w:val="Normal"/>
    <w:link w:val="DocumentMapChar"/>
    <w:rsid w:val="0084142E"/>
    <w:pPr>
      <w:widowControl w:val="0"/>
      <w:autoSpaceDE w:val="0"/>
      <w:autoSpaceDN w:val="0"/>
      <w:adjustRightInd w:val="0"/>
      <w:spacing w:after="0" w:line="240" w:lineRule="auto"/>
      <w:ind w:left="0" w:firstLine="0"/>
    </w:pPr>
    <w:rPr>
      <w:rFonts w:ascii="Tahoma" w:eastAsia="Times New Roman" w:hAnsi="Tahoma" w:cs="Tahoma"/>
      <w:sz w:val="16"/>
      <w:szCs w:val="16"/>
    </w:rPr>
  </w:style>
  <w:style w:type="character" w:customStyle="1" w:styleId="DocumentMapChar">
    <w:name w:val="Document Map Char"/>
    <w:basedOn w:val="DefaultParagraphFont"/>
    <w:link w:val="DocumentMap"/>
    <w:rsid w:val="008414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2025-07-28T14:26:17+00:00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33098-BF7F-4D78-8529-0AFBF5D8899C}">
  <ds:schemaRefs>
    <ds:schemaRef ds:uri="http://purl.org/dc/dcmitype/"/>
    <ds:schemaRef ds:uri="http://purl.org/dc/terms/"/>
    <ds:schemaRef ds:uri="http://schemas.microsoft.com/office/2006/documentManagement/types"/>
    <ds:schemaRef ds:uri="6c518e14-76c7-4604-b937-665d8473fe0f"/>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5607d3ce-575b-4ee0-a621-a0be008c8029"/>
    <ds:schemaRef ds:uri="http://purl.org/dc/elements/1.1/"/>
  </ds:schemaRefs>
</ds:datastoreItem>
</file>

<file path=customXml/itemProps2.xml><?xml version="1.0" encoding="utf-8"?>
<ds:datastoreItem xmlns:ds="http://schemas.openxmlformats.org/officeDocument/2006/customXml" ds:itemID="{E0797996-D62F-4EC2-8472-97C2311F46B5}">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4D7C457F-3251-4E22-A227-A92FA4431E3D}">
  <ds:schemaRefs/>
</ds:datastoreItem>
</file>

<file path=docProps/app.xml><?xml version="1.0" encoding="utf-8"?>
<Properties xmlns="http://schemas.openxmlformats.org/officeDocument/2006/extended-properties" xmlns:vt="http://schemas.openxmlformats.org/officeDocument/2006/docPropsVTypes">
  <Template>Normal.dotm</Template>
  <TotalTime>4112</TotalTime>
  <Pages>27</Pages>
  <Words>8800</Words>
  <Characters>50162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Basati, Hardeep</cp:lastModifiedBy>
  <cp:revision>206</cp:revision>
  <dcterms:created xsi:type="dcterms:W3CDTF">2024-08-23T18:11:00Z</dcterms:created>
  <dcterms:modified xsi:type="dcterms:W3CDTF">2025-07-28T14:25:00Z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