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0648" w14:paraId="1138479E" w14:textId="77777777">
      <w:pPr>
        <w:pStyle w:val="NormalWeb"/>
        <w:jc w:val="center"/>
        <w:rPr>
          <w:rFonts w:ascii="Arial" w:hAnsi="Arial" w:cs="Arial"/>
          <w:b/>
          <w:bCs/>
        </w:rPr>
      </w:pPr>
      <w:r>
        <w:rPr>
          <w:rFonts w:ascii="Arial" w:hAnsi="Arial" w:cs="Arial"/>
          <w:b/>
          <w:bCs/>
        </w:rPr>
        <w:t>Department of Transportation</w:t>
      </w:r>
      <w:r w:rsidR="00DA64FB">
        <w:rPr>
          <w:rFonts w:ascii="Arial" w:hAnsi="Arial" w:cs="Arial"/>
          <w:b/>
          <w:bCs/>
        </w:rPr>
        <w:t xml:space="preserve"> (DOT)</w:t>
      </w:r>
    </w:p>
    <w:p w:rsidR="00CE0648" w14:paraId="37202129" w14:textId="77777777">
      <w:pPr>
        <w:pStyle w:val="NormalWeb"/>
        <w:jc w:val="center"/>
        <w:rPr>
          <w:rFonts w:ascii="Arial" w:hAnsi="Arial" w:cs="Arial"/>
          <w:b/>
          <w:bCs/>
        </w:rPr>
      </w:pPr>
      <w:r>
        <w:rPr>
          <w:rFonts w:ascii="Arial" w:hAnsi="Arial" w:cs="Arial"/>
          <w:b/>
          <w:bCs/>
        </w:rPr>
        <w:t>Federal Highway Admin</w:t>
      </w:r>
      <w:r w:rsidR="00DA64FB">
        <w:rPr>
          <w:rFonts w:ascii="Arial" w:hAnsi="Arial" w:cs="Arial"/>
          <w:b/>
          <w:bCs/>
        </w:rPr>
        <w:t>i</w:t>
      </w:r>
      <w:r>
        <w:rPr>
          <w:rFonts w:ascii="Arial" w:hAnsi="Arial" w:cs="Arial"/>
          <w:b/>
          <w:bCs/>
        </w:rPr>
        <w:t>stration</w:t>
      </w:r>
    </w:p>
    <w:p w:rsidR="00BD1BF2" w14:paraId="66A4F48A" w14:textId="77777777">
      <w:pPr>
        <w:pStyle w:val="NormalWeb"/>
        <w:jc w:val="center"/>
        <w:rPr>
          <w:rFonts w:ascii="Arial" w:hAnsi="Arial" w:cs="Arial"/>
          <w:b/>
          <w:bCs/>
          <w:sz w:val="20"/>
          <w:szCs w:val="20"/>
        </w:rPr>
      </w:pPr>
      <w:r>
        <w:rPr>
          <w:rFonts w:ascii="Arial" w:hAnsi="Arial" w:cs="Arial"/>
          <w:b/>
          <w:bCs/>
        </w:rPr>
        <w:t>The Supporting Statemen</w:t>
      </w:r>
      <w:r w:rsidR="00CE0648">
        <w:rPr>
          <w:rFonts w:ascii="Arial" w:hAnsi="Arial" w:cs="Arial"/>
          <w:b/>
          <w:bCs/>
        </w:rPr>
        <w:t>t A</w:t>
      </w:r>
      <w:r>
        <w:rPr>
          <w:rFonts w:ascii="Arial" w:hAnsi="Arial" w:cs="Arial"/>
          <w:b/>
          <w:bCs/>
          <w:sz w:val="20"/>
          <w:szCs w:val="20"/>
        </w:rPr>
        <w:t xml:space="preserve"> </w:t>
      </w:r>
    </w:p>
    <w:p w:rsidR="00AF78B4" w:rsidRPr="00E325DC" w14:paraId="61463962" w14:textId="77777777">
      <w:pPr>
        <w:pStyle w:val="NormalWeb"/>
        <w:jc w:val="center"/>
        <w:rPr>
          <w:rFonts w:ascii="Arial" w:hAnsi="Arial" w:cs="Arial"/>
          <w:b/>
          <w:bCs/>
          <w:sz w:val="20"/>
          <w:szCs w:val="20"/>
        </w:rPr>
      </w:pPr>
      <w:r w:rsidRPr="00E325DC">
        <w:rPr>
          <w:rFonts w:ascii="Arial" w:hAnsi="Arial" w:cs="Arial"/>
          <w:b/>
          <w:bCs/>
          <w:sz w:val="20"/>
          <w:szCs w:val="20"/>
        </w:rPr>
        <w:t>Transportation Alternatives and Recreational Trails Annual Report</w:t>
      </w:r>
    </w:p>
    <w:p w:rsidR="00DA64FB" w14:paraId="5E1449FA" w14:textId="77777777">
      <w:pPr>
        <w:pStyle w:val="NormalWeb"/>
        <w:jc w:val="center"/>
        <w:rPr>
          <w:rFonts w:ascii="Arial" w:hAnsi="Arial" w:cs="Arial"/>
          <w:b/>
          <w:bCs/>
          <w:sz w:val="20"/>
          <w:szCs w:val="20"/>
        </w:rPr>
      </w:pPr>
      <w:r>
        <w:rPr>
          <w:rFonts w:ascii="Arial" w:hAnsi="Arial" w:cs="Arial"/>
          <w:b/>
          <w:bCs/>
          <w:sz w:val="20"/>
          <w:szCs w:val="20"/>
        </w:rPr>
        <w:t>OMB Control No. 2125-XXXX</w:t>
      </w:r>
    </w:p>
    <w:p w:rsidR="00BD1BF2" w14:paraId="4B66F2CE" w14:textId="77777777"/>
    <w:p w:rsidR="00BD1BF2" w14:paraId="3C65FB09" w14:textId="77777777">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w:t>
      </w:r>
      <w:r w:rsidR="0064269F">
        <w:rPr>
          <w:rFonts w:ascii="Arial" w:hAnsi="Arial" w:cs="Arial"/>
          <w:sz w:val="20"/>
          <w:szCs w:val="20"/>
        </w:rPr>
        <w:t xml:space="preserve"> </w:t>
      </w:r>
      <w:r w:rsidR="00A91533">
        <w:rPr>
          <w:rFonts w:ascii="Arial" w:hAnsi="Arial" w:cs="Arial"/>
          <w:sz w:val="20"/>
          <w:szCs w:val="20"/>
        </w:rPr>
        <w:t>Transportation Alternatives and Recreational Trails Annual Report, new information collection clearance request.</w:t>
      </w:r>
    </w:p>
    <w:p w:rsidR="00BD1BF2" w14:paraId="2F5C4EC7"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2647CA" w:rsidRPr="0007401B" w:rsidP="0007401B" w14:paraId="0346FF37" w14:textId="77777777">
      <w:pPr>
        <w:pStyle w:val="NormalWeb"/>
        <w:rPr>
          <w:rFonts w:ascii="Arial" w:hAnsi="Arial" w:cs="Arial"/>
          <w:sz w:val="20"/>
          <w:szCs w:val="20"/>
        </w:rPr>
      </w:pPr>
      <w:r w:rsidRPr="0007401B">
        <w:rPr>
          <w:rFonts w:ascii="Arial" w:hAnsi="Arial" w:cs="Arial"/>
          <w:sz w:val="20"/>
          <w:szCs w:val="20"/>
        </w:rPr>
        <w:t xml:space="preserve">1. </w:t>
      </w:r>
      <w:r w:rsidRPr="0007401B">
        <w:rPr>
          <w:rFonts w:ascii="Arial" w:hAnsi="Arial" w:cs="Arial"/>
          <w:sz w:val="20"/>
          <w:szCs w:val="20"/>
          <w:u w:val="single"/>
        </w:rPr>
        <w:t>Circumstances that make collection of information necessary</w:t>
      </w:r>
      <w:r w:rsidRPr="0007401B">
        <w:rPr>
          <w:rFonts w:ascii="Arial" w:hAnsi="Arial" w:cs="Arial"/>
          <w:sz w:val="20"/>
          <w:szCs w:val="20"/>
        </w:rPr>
        <w:t>:</w:t>
      </w:r>
    </w:p>
    <w:p w:rsidR="002647CA" w14:paraId="55B98911" w14:textId="77777777">
      <w:pPr>
        <w:rPr>
          <w:rFonts w:ascii="Arial" w:hAnsi="Arial" w:cs="Arial"/>
          <w:bCs/>
          <w:sz w:val="20"/>
          <w:szCs w:val="20"/>
        </w:rPr>
      </w:pPr>
      <w:r w:rsidRPr="002647CA">
        <w:rPr>
          <w:rFonts w:ascii="Arial" w:hAnsi="Arial" w:cs="Arial"/>
          <w:bCs/>
          <w:sz w:val="20"/>
          <w:szCs w:val="20"/>
        </w:rPr>
        <w:t xml:space="preserve">Statutory law under 23 U.S.C. 133(h)(8), as amended by </w:t>
      </w:r>
      <w:r w:rsidRPr="002647CA">
        <w:rPr>
          <w:rFonts w:ascii="Arial" w:hAnsi="Arial" w:cs="Arial"/>
          <w:sz w:val="20"/>
          <w:szCs w:val="20"/>
        </w:rPr>
        <w:t>section 11109(b)(1)(I)</w:t>
      </w:r>
      <w:r w:rsidRPr="002647CA">
        <w:rPr>
          <w:rFonts w:ascii="Arial" w:hAnsi="Arial" w:cs="Arial"/>
          <w:bCs/>
          <w:sz w:val="20"/>
          <w:szCs w:val="20"/>
        </w:rPr>
        <w:t xml:space="preserve"> of the Infrastructure Investment and Jobs Act </w:t>
      </w:r>
      <w:r w:rsidRPr="002647CA">
        <w:rPr>
          <w:rFonts w:ascii="Arial" w:hAnsi="Arial" w:cs="Arial"/>
          <w:sz w:val="20"/>
          <w:szCs w:val="20"/>
        </w:rPr>
        <w:t xml:space="preserve">(Public Law 117-58), </w:t>
      </w:r>
      <w:r w:rsidRPr="002647CA">
        <w:rPr>
          <w:rFonts w:ascii="Arial" w:hAnsi="Arial" w:cs="Arial"/>
          <w:bCs/>
          <w:sz w:val="20"/>
          <w:szCs w:val="20"/>
        </w:rPr>
        <w:t>requires that, for each fiscal year, States report the number and cost of</w:t>
      </w:r>
      <w:r>
        <w:rPr>
          <w:rFonts w:ascii="Arial" w:hAnsi="Arial" w:cs="Arial"/>
          <w:bCs/>
          <w:sz w:val="20"/>
          <w:szCs w:val="20"/>
        </w:rPr>
        <w:t xml:space="preserve"> Transportation Alternatives</w:t>
      </w:r>
      <w:r w:rsidRPr="002647CA">
        <w:rPr>
          <w:rFonts w:ascii="Arial" w:hAnsi="Arial" w:cs="Arial"/>
          <w:bCs/>
          <w:sz w:val="20"/>
          <w:szCs w:val="20"/>
        </w:rPr>
        <w:t xml:space="preserve"> </w:t>
      </w:r>
      <w:r w:rsidR="003B214A">
        <w:rPr>
          <w:rFonts w:ascii="Arial" w:hAnsi="Arial" w:cs="Arial"/>
          <w:bCs/>
          <w:sz w:val="20"/>
          <w:szCs w:val="20"/>
        </w:rPr>
        <w:t xml:space="preserve">Program </w:t>
      </w:r>
      <w:r>
        <w:rPr>
          <w:rFonts w:ascii="Arial" w:hAnsi="Arial" w:cs="Arial"/>
          <w:bCs/>
          <w:sz w:val="20"/>
          <w:szCs w:val="20"/>
        </w:rPr>
        <w:t>(</w:t>
      </w:r>
      <w:r w:rsidRPr="002647CA">
        <w:rPr>
          <w:rFonts w:ascii="Arial" w:hAnsi="Arial" w:cs="Arial"/>
          <w:bCs/>
          <w:sz w:val="20"/>
          <w:szCs w:val="20"/>
        </w:rPr>
        <w:t>TAP</w:t>
      </w:r>
      <w:r>
        <w:rPr>
          <w:rFonts w:ascii="Arial" w:hAnsi="Arial" w:cs="Arial"/>
          <w:bCs/>
          <w:sz w:val="20"/>
          <w:szCs w:val="20"/>
        </w:rPr>
        <w:t xml:space="preserve">) and Recreational Trails </w:t>
      </w:r>
      <w:r w:rsidR="003B214A">
        <w:rPr>
          <w:rFonts w:ascii="Arial" w:hAnsi="Arial" w:cs="Arial"/>
          <w:bCs/>
          <w:sz w:val="20"/>
          <w:szCs w:val="20"/>
        </w:rPr>
        <w:t xml:space="preserve">Program </w:t>
      </w:r>
      <w:r>
        <w:rPr>
          <w:rFonts w:ascii="Arial" w:hAnsi="Arial" w:cs="Arial"/>
          <w:bCs/>
          <w:sz w:val="20"/>
          <w:szCs w:val="20"/>
        </w:rPr>
        <w:t>(RTP)</w:t>
      </w:r>
      <w:r w:rsidRPr="002647CA">
        <w:rPr>
          <w:rFonts w:ascii="Arial" w:hAnsi="Arial" w:cs="Arial"/>
          <w:bCs/>
          <w:sz w:val="20"/>
          <w:szCs w:val="20"/>
        </w:rPr>
        <w:t xml:space="preserve"> </w:t>
      </w:r>
      <w:r w:rsidR="00A40566">
        <w:rPr>
          <w:rFonts w:ascii="Arial" w:hAnsi="Arial" w:cs="Arial"/>
          <w:bCs/>
          <w:sz w:val="20"/>
          <w:szCs w:val="20"/>
        </w:rPr>
        <w:t xml:space="preserve">project </w:t>
      </w:r>
      <w:r w:rsidRPr="002647CA">
        <w:rPr>
          <w:rFonts w:ascii="Arial" w:hAnsi="Arial" w:cs="Arial"/>
          <w:bCs/>
          <w:sz w:val="20"/>
          <w:szCs w:val="20"/>
        </w:rPr>
        <w:t xml:space="preserve">applications and number and cost of TAP </w:t>
      </w:r>
      <w:r>
        <w:rPr>
          <w:rFonts w:ascii="Arial" w:hAnsi="Arial" w:cs="Arial"/>
          <w:bCs/>
          <w:sz w:val="20"/>
          <w:szCs w:val="20"/>
        </w:rPr>
        <w:t xml:space="preserve">and RTP </w:t>
      </w:r>
      <w:r w:rsidR="00A40566">
        <w:rPr>
          <w:rFonts w:ascii="Arial" w:hAnsi="Arial" w:cs="Arial"/>
          <w:bCs/>
          <w:sz w:val="20"/>
          <w:szCs w:val="20"/>
        </w:rPr>
        <w:t xml:space="preserve">project </w:t>
      </w:r>
      <w:r w:rsidRPr="002647CA">
        <w:rPr>
          <w:rFonts w:ascii="Arial" w:hAnsi="Arial" w:cs="Arial"/>
          <w:bCs/>
          <w:sz w:val="20"/>
          <w:szCs w:val="20"/>
        </w:rPr>
        <w:t xml:space="preserve">selections, along with descriptive details about selected projects. The Federal Highway Administration </w:t>
      </w:r>
      <w:r w:rsidR="00A40566">
        <w:rPr>
          <w:rFonts w:ascii="Arial" w:hAnsi="Arial" w:cs="Arial"/>
          <w:bCs/>
          <w:sz w:val="20"/>
          <w:szCs w:val="20"/>
        </w:rPr>
        <w:t xml:space="preserve">(FHWA) </w:t>
      </w:r>
      <w:r w:rsidRPr="002647CA">
        <w:rPr>
          <w:rFonts w:ascii="Arial" w:hAnsi="Arial" w:cs="Arial"/>
          <w:bCs/>
          <w:sz w:val="20"/>
          <w:szCs w:val="20"/>
        </w:rPr>
        <w:t>is responsible for sharing this information with the public on its website.</w:t>
      </w:r>
      <w:r>
        <w:rPr>
          <w:rFonts w:ascii="Arial" w:hAnsi="Arial" w:cs="Arial"/>
          <w:bCs/>
          <w:sz w:val="20"/>
          <w:szCs w:val="20"/>
        </w:rPr>
        <w:t xml:space="preserve"> This information is not available to the Federal government except by the States’ provision, necessitating this information collection.</w:t>
      </w:r>
    </w:p>
    <w:p w:rsidR="002647CA" w14:paraId="49CC31D6" w14:textId="77777777">
      <w:pPr>
        <w:rPr>
          <w:rFonts w:ascii="Arial" w:hAnsi="Arial" w:cs="Arial"/>
          <w:bCs/>
          <w:sz w:val="20"/>
          <w:szCs w:val="20"/>
        </w:rPr>
      </w:pPr>
    </w:p>
    <w:p w:rsidR="004566DC" w:rsidRPr="002647CA" w14:paraId="39A0B55C" w14:textId="77777777">
      <w:pPr>
        <w:rPr>
          <w:rFonts w:ascii="Arial" w:hAnsi="Arial" w:cs="Arial"/>
          <w:sz w:val="20"/>
          <w:szCs w:val="20"/>
        </w:rPr>
      </w:pPr>
      <w:r>
        <w:rPr>
          <w:rFonts w:ascii="Arial" w:hAnsi="Arial" w:cs="Arial"/>
          <w:bCs/>
          <w:sz w:val="20"/>
          <w:szCs w:val="20"/>
        </w:rPr>
        <w:t xml:space="preserve">This information collection supports the Department of Transportation’s goal of Safety, helping to reduce surface transportation-related fatalities and serious injuries. The TAP and RTP programs implement infrastructure and programming that makes mobility for all </w:t>
      </w:r>
      <w:r w:rsidR="003B214A">
        <w:rPr>
          <w:rFonts w:ascii="Arial" w:hAnsi="Arial" w:cs="Arial"/>
          <w:bCs/>
          <w:sz w:val="20"/>
          <w:szCs w:val="20"/>
        </w:rPr>
        <w:t xml:space="preserve">surface transportation </w:t>
      </w:r>
      <w:r>
        <w:rPr>
          <w:rFonts w:ascii="Arial" w:hAnsi="Arial" w:cs="Arial"/>
          <w:bCs/>
          <w:sz w:val="20"/>
          <w:szCs w:val="20"/>
        </w:rPr>
        <w:t>users safer.</w:t>
      </w:r>
    </w:p>
    <w:p w:rsidR="005A5BC6" w:rsidRPr="0064269F" w:rsidP="0064269F" w14:paraId="655A635C"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4566DC" w14:paraId="57A2B190" w14:textId="13A64EE0">
      <w:pPr>
        <w:rPr>
          <w:rFonts w:ascii="Arial" w:hAnsi="Arial" w:cs="Arial"/>
          <w:sz w:val="20"/>
          <w:szCs w:val="20"/>
        </w:rPr>
      </w:pPr>
      <w:r w:rsidRPr="005A5BC6">
        <w:rPr>
          <w:rFonts w:ascii="Arial" w:hAnsi="Arial" w:cs="Arial"/>
          <w:sz w:val="20"/>
          <w:szCs w:val="20"/>
        </w:rPr>
        <w:t xml:space="preserve">The information collected in the TAP and RTP report is for public consumption. </w:t>
      </w:r>
      <w:r w:rsidR="00FD6AFE">
        <w:rPr>
          <w:rFonts w:ascii="Arial" w:hAnsi="Arial" w:cs="Arial"/>
          <w:sz w:val="20"/>
          <w:szCs w:val="20"/>
        </w:rPr>
        <w:t>Section</w:t>
      </w:r>
      <w:r w:rsidRPr="005A5BC6">
        <w:rPr>
          <w:rFonts w:ascii="Arial" w:hAnsi="Arial" w:cs="Arial"/>
          <w:sz w:val="20"/>
          <w:szCs w:val="20"/>
        </w:rPr>
        <w:t xml:space="preserve"> 133(h)(8)</w:t>
      </w:r>
      <w:r w:rsidR="00101FFA">
        <w:rPr>
          <w:rFonts w:ascii="Arial" w:hAnsi="Arial" w:cs="Arial"/>
          <w:sz w:val="20"/>
          <w:szCs w:val="20"/>
        </w:rPr>
        <w:t>(B)</w:t>
      </w:r>
      <w:r w:rsidR="00FD6AFE">
        <w:rPr>
          <w:rFonts w:ascii="Arial" w:hAnsi="Arial" w:cs="Arial"/>
          <w:sz w:val="20"/>
          <w:szCs w:val="20"/>
        </w:rPr>
        <w:t xml:space="preserve"> of title 23, U.S.C.,</w:t>
      </w:r>
      <w:r w:rsidRPr="005A5BC6">
        <w:rPr>
          <w:rFonts w:ascii="Arial" w:hAnsi="Arial" w:cs="Arial"/>
          <w:sz w:val="20"/>
          <w:szCs w:val="20"/>
        </w:rPr>
        <w:t xml:space="preserve"> requires</w:t>
      </w:r>
      <w:r>
        <w:rPr>
          <w:rFonts w:ascii="Arial" w:hAnsi="Arial" w:cs="Arial"/>
          <w:sz w:val="20"/>
          <w:szCs w:val="20"/>
        </w:rPr>
        <w:t xml:space="preserve"> that the Secretary of Transportation make this report “available to the public, in a user-friendly format on the Web site of the Department of Transportation.” The public may use this information as they see fit. </w:t>
      </w:r>
      <w:r w:rsidRPr="00A40566" w:rsidR="00A40566">
        <w:rPr>
          <w:rFonts w:ascii="Arial" w:hAnsi="Arial" w:cs="Arial"/>
          <w:sz w:val="20"/>
          <w:szCs w:val="20"/>
        </w:rPr>
        <w:t>Congress and several advocacy organizations use the information from this report to analyze the programs</w:t>
      </w:r>
      <w:r w:rsidR="00A40566">
        <w:rPr>
          <w:rFonts w:ascii="Arial" w:hAnsi="Arial" w:cs="Arial"/>
          <w:sz w:val="20"/>
          <w:szCs w:val="20"/>
        </w:rPr>
        <w:t>. For example, organizations may want t</w:t>
      </w:r>
      <w:r>
        <w:rPr>
          <w:rFonts w:ascii="Arial" w:hAnsi="Arial" w:cs="Arial"/>
          <w:sz w:val="20"/>
          <w:szCs w:val="20"/>
        </w:rPr>
        <w:t xml:space="preserve">o understand </w:t>
      </w:r>
      <w:r w:rsidR="00A40566">
        <w:rPr>
          <w:rFonts w:ascii="Arial" w:hAnsi="Arial" w:cs="Arial"/>
          <w:sz w:val="20"/>
          <w:szCs w:val="20"/>
        </w:rPr>
        <w:t xml:space="preserve">the demand for TAP and RTP projects, </w:t>
      </w:r>
      <w:r>
        <w:rPr>
          <w:rFonts w:ascii="Arial" w:hAnsi="Arial" w:cs="Arial"/>
          <w:sz w:val="20"/>
          <w:szCs w:val="20"/>
        </w:rPr>
        <w:t>how much of the TAP and RTP set-aside is being used by each State</w:t>
      </w:r>
      <w:r w:rsidR="00A40566">
        <w:rPr>
          <w:rFonts w:ascii="Arial" w:hAnsi="Arial" w:cs="Arial"/>
          <w:sz w:val="20"/>
          <w:szCs w:val="20"/>
        </w:rPr>
        <w:t>,</w:t>
      </w:r>
      <w:r>
        <w:rPr>
          <w:rFonts w:ascii="Arial" w:hAnsi="Arial" w:cs="Arial"/>
          <w:sz w:val="20"/>
          <w:szCs w:val="20"/>
        </w:rPr>
        <w:t xml:space="preserve"> and which types of projects are being selected by each State. Some members of the public have used these reports for research into the TAP and RTP set-aside. </w:t>
      </w:r>
      <w:r w:rsidR="007F0EE6">
        <w:rPr>
          <w:rFonts w:ascii="Arial" w:hAnsi="Arial" w:cs="Arial"/>
          <w:sz w:val="20"/>
          <w:szCs w:val="20"/>
        </w:rPr>
        <w:t>R</w:t>
      </w:r>
      <w:r w:rsidR="008B1BE0">
        <w:rPr>
          <w:rFonts w:ascii="Arial" w:hAnsi="Arial" w:cs="Arial"/>
          <w:sz w:val="20"/>
          <w:szCs w:val="20"/>
        </w:rPr>
        <w:t xml:space="preserve">eport </w:t>
      </w:r>
      <w:r>
        <w:rPr>
          <w:rFonts w:ascii="Arial" w:hAnsi="Arial" w:cs="Arial"/>
          <w:sz w:val="20"/>
          <w:szCs w:val="20"/>
        </w:rPr>
        <w:t xml:space="preserve">review has </w:t>
      </w:r>
      <w:r w:rsidR="007F0EE6">
        <w:rPr>
          <w:rFonts w:ascii="Arial" w:hAnsi="Arial" w:cs="Arial"/>
          <w:sz w:val="20"/>
          <w:szCs w:val="20"/>
        </w:rPr>
        <w:t xml:space="preserve">also </w:t>
      </w:r>
      <w:r>
        <w:rPr>
          <w:rFonts w:ascii="Arial" w:hAnsi="Arial" w:cs="Arial"/>
          <w:sz w:val="20"/>
          <w:szCs w:val="20"/>
        </w:rPr>
        <w:t xml:space="preserve">allowed </w:t>
      </w:r>
      <w:r w:rsidR="008B1BE0">
        <w:rPr>
          <w:rFonts w:ascii="Arial" w:hAnsi="Arial" w:cs="Arial"/>
          <w:sz w:val="20"/>
          <w:szCs w:val="20"/>
        </w:rPr>
        <w:t>FHWA</w:t>
      </w:r>
      <w:r>
        <w:rPr>
          <w:rFonts w:ascii="Arial" w:hAnsi="Arial" w:cs="Arial"/>
          <w:sz w:val="20"/>
          <w:szCs w:val="20"/>
        </w:rPr>
        <w:t xml:space="preserve"> to identify </w:t>
      </w:r>
      <w:r w:rsidR="000D1FBE">
        <w:rPr>
          <w:rFonts w:ascii="Arial" w:hAnsi="Arial" w:cs="Arial"/>
          <w:sz w:val="20"/>
          <w:szCs w:val="20"/>
        </w:rPr>
        <w:t xml:space="preserve">and rectify a few </w:t>
      </w:r>
      <w:r>
        <w:rPr>
          <w:rFonts w:ascii="Arial" w:hAnsi="Arial" w:cs="Arial"/>
          <w:sz w:val="20"/>
          <w:szCs w:val="20"/>
        </w:rPr>
        <w:t>mistakes in the TAP and RTP programs made by States,</w:t>
      </w:r>
      <w:r w:rsidR="00CA5DBE">
        <w:rPr>
          <w:rFonts w:ascii="Arial" w:hAnsi="Arial" w:cs="Arial"/>
          <w:sz w:val="20"/>
          <w:szCs w:val="20"/>
        </w:rPr>
        <w:t xml:space="preserve"> such as verifying project eligibility or ensuring that projects were selected under the correct category.</w:t>
      </w:r>
      <w:r>
        <w:rPr>
          <w:rFonts w:ascii="Arial" w:hAnsi="Arial" w:cs="Arial"/>
          <w:sz w:val="20"/>
          <w:szCs w:val="20"/>
        </w:rPr>
        <w:t xml:space="preserve"> </w:t>
      </w:r>
    </w:p>
    <w:p w:rsidR="00A91533" w:rsidRPr="00A91533" w:rsidP="00A91533" w14:paraId="1782C5CB"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A91533" w:rsidRPr="00A91533" w14:paraId="0EEAC67B" w14:textId="77777777">
      <w:pPr>
        <w:rPr>
          <w:rFonts w:ascii="Arial" w:hAnsi="Arial" w:cs="Arial"/>
          <w:sz w:val="20"/>
          <w:szCs w:val="20"/>
        </w:rPr>
      </w:pPr>
      <w:r w:rsidRPr="00A91533">
        <w:rPr>
          <w:rFonts w:ascii="Arial" w:hAnsi="Arial" w:cs="Arial"/>
          <w:sz w:val="20"/>
          <w:szCs w:val="20"/>
        </w:rPr>
        <w:t xml:space="preserve">All collections are submitted electronically using an Excel spreadsheet. </w:t>
      </w:r>
    </w:p>
    <w:p w:rsidR="00024C43" w:rsidP="0064269F" w14:paraId="5FCD05F8"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rsidRPr="00E325DC" w14:paraId="576AD827" w14:textId="77777777">
      <w:pPr>
        <w:rPr>
          <w:rFonts w:ascii="Arial" w:hAnsi="Arial" w:cs="Arial"/>
          <w:sz w:val="20"/>
          <w:szCs w:val="20"/>
        </w:rPr>
      </w:pPr>
      <w:r>
        <w:rPr>
          <w:rFonts w:ascii="Arial" w:hAnsi="Arial" w:cs="Arial"/>
          <w:sz w:val="20"/>
          <w:szCs w:val="20"/>
        </w:rPr>
        <w:t xml:space="preserve">The statute in </w:t>
      </w:r>
      <w:r w:rsidRPr="00A91533">
        <w:rPr>
          <w:rFonts w:ascii="Arial" w:hAnsi="Arial" w:cs="Arial"/>
          <w:sz w:val="20"/>
          <w:szCs w:val="20"/>
        </w:rPr>
        <w:t>23 U.S.C. 133(h)(8)</w:t>
      </w:r>
      <w:r>
        <w:rPr>
          <w:rFonts w:ascii="Arial" w:hAnsi="Arial" w:cs="Arial"/>
          <w:sz w:val="20"/>
          <w:szCs w:val="20"/>
        </w:rPr>
        <w:t xml:space="preserve"> </w:t>
      </w:r>
      <w:r w:rsidRPr="00E325DC">
        <w:rPr>
          <w:rFonts w:ascii="Arial" w:hAnsi="Arial" w:cs="Arial"/>
          <w:sz w:val="20"/>
          <w:szCs w:val="20"/>
        </w:rPr>
        <w:t xml:space="preserve">requires </w:t>
      </w:r>
      <w:r w:rsidR="00720641">
        <w:rPr>
          <w:rFonts w:ascii="Arial" w:hAnsi="Arial" w:cs="Arial"/>
          <w:sz w:val="20"/>
          <w:szCs w:val="20"/>
        </w:rPr>
        <w:t>the States to</w:t>
      </w:r>
      <w:r w:rsidRPr="00E325DC">
        <w:rPr>
          <w:rFonts w:ascii="Arial" w:hAnsi="Arial" w:cs="Arial"/>
          <w:sz w:val="20"/>
          <w:szCs w:val="20"/>
        </w:rPr>
        <w:t xml:space="preserve"> report on project </w:t>
      </w:r>
      <w:r w:rsidRPr="0039408F">
        <w:rPr>
          <w:rFonts w:ascii="Arial" w:hAnsi="Arial" w:cs="Arial"/>
          <w:i/>
          <w:iCs/>
          <w:sz w:val="20"/>
          <w:szCs w:val="20"/>
        </w:rPr>
        <w:t>application</w:t>
      </w:r>
      <w:r w:rsidR="00720641">
        <w:rPr>
          <w:rFonts w:ascii="Arial" w:hAnsi="Arial" w:cs="Arial"/>
          <w:i/>
          <w:iCs/>
          <w:sz w:val="20"/>
          <w:szCs w:val="20"/>
        </w:rPr>
        <w:t>s received</w:t>
      </w:r>
      <w:r w:rsidRPr="00E325DC">
        <w:rPr>
          <w:rFonts w:ascii="Arial" w:hAnsi="Arial" w:cs="Arial"/>
          <w:sz w:val="20"/>
          <w:szCs w:val="20"/>
        </w:rPr>
        <w:t xml:space="preserve"> and</w:t>
      </w:r>
      <w:r>
        <w:rPr>
          <w:rFonts w:ascii="Arial" w:hAnsi="Arial" w:cs="Arial"/>
          <w:sz w:val="20"/>
          <w:szCs w:val="20"/>
        </w:rPr>
        <w:t xml:space="preserve"> project</w:t>
      </w:r>
      <w:r w:rsidRPr="00E325DC">
        <w:rPr>
          <w:rFonts w:ascii="Arial" w:hAnsi="Arial" w:cs="Arial"/>
          <w:sz w:val="20"/>
          <w:szCs w:val="20"/>
        </w:rPr>
        <w:t xml:space="preserve"> </w:t>
      </w:r>
      <w:r w:rsidRPr="0039408F">
        <w:rPr>
          <w:rFonts w:ascii="Arial" w:hAnsi="Arial" w:cs="Arial"/>
          <w:i/>
          <w:iCs/>
          <w:sz w:val="20"/>
          <w:szCs w:val="20"/>
        </w:rPr>
        <w:t>selections</w:t>
      </w:r>
      <w:r>
        <w:rPr>
          <w:rFonts w:ascii="Arial" w:hAnsi="Arial" w:cs="Arial"/>
          <w:sz w:val="20"/>
          <w:szCs w:val="20"/>
        </w:rPr>
        <w:t xml:space="preserve">. </w:t>
      </w:r>
      <w:r w:rsidR="004566DC">
        <w:rPr>
          <w:rFonts w:ascii="Arial" w:hAnsi="Arial" w:cs="Arial"/>
          <w:sz w:val="20"/>
          <w:szCs w:val="20"/>
        </w:rPr>
        <w:t>FHWA’s Fiscal Management Information System (</w:t>
      </w:r>
      <w:r w:rsidRPr="00E325DC" w:rsidR="00E325DC">
        <w:rPr>
          <w:rFonts w:ascii="Arial" w:hAnsi="Arial" w:cs="Arial"/>
          <w:sz w:val="20"/>
          <w:szCs w:val="20"/>
        </w:rPr>
        <w:t>FMIS</w:t>
      </w:r>
      <w:r w:rsidR="004566DC">
        <w:rPr>
          <w:rFonts w:ascii="Arial" w:hAnsi="Arial" w:cs="Arial"/>
          <w:sz w:val="20"/>
          <w:szCs w:val="20"/>
        </w:rPr>
        <w:t>)</w:t>
      </w:r>
      <w:r w:rsidRPr="00E325DC" w:rsidR="00E325DC">
        <w:rPr>
          <w:rFonts w:ascii="Arial" w:hAnsi="Arial" w:cs="Arial"/>
          <w:sz w:val="20"/>
          <w:szCs w:val="20"/>
        </w:rPr>
        <w:t xml:space="preserve"> collects data on </w:t>
      </w:r>
      <w:r w:rsidRPr="0039408F" w:rsidR="00E325DC">
        <w:rPr>
          <w:rFonts w:ascii="Arial" w:hAnsi="Arial" w:cs="Arial"/>
          <w:i/>
          <w:iCs/>
          <w:sz w:val="20"/>
          <w:szCs w:val="20"/>
        </w:rPr>
        <w:t>obligations</w:t>
      </w:r>
      <w:r w:rsidRPr="00E325DC" w:rsidR="00E325DC">
        <w:rPr>
          <w:rFonts w:ascii="Arial" w:hAnsi="Arial" w:cs="Arial"/>
          <w:sz w:val="20"/>
          <w:szCs w:val="20"/>
        </w:rPr>
        <w:t xml:space="preserve"> for TAP and RTP projects</w:t>
      </w:r>
      <w:r w:rsidR="00720641">
        <w:rPr>
          <w:rFonts w:ascii="Arial" w:hAnsi="Arial" w:cs="Arial"/>
          <w:sz w:val="20"/>
          <w:szCs w:val="20"/>
        </w:rPr>
        <w:t>: when the projects receive approval to proceed. FMIS</w:t>
      </w:r>
      <w:r>
        <w:rPr>
          <w:rFonts w:ascii="Arial" w:hAnsi="Arial" w:cs="Arial"/>
          <w:sz w:val="20"/>
          <w:szCs w:val="20"/>
        </w:rPr>
        <w:t xml:space="preserve"> does not have information on </w:t>
      </w:r>
      <w:r w:rsidR="000D1FBE">
        <w:rPr>
          <w:rFonts w:ascii="Arial" w:hAnsi="Arial" w:cs="Arial"/>
          <w:sz w:val="20"/>
          <w:szCs w:val="20"/>
        </w:rPr>
        <w:t xml:space="preserve">project </w:t>
      </w:r>
      <w:r>
        <w:rPr>
          <w:rFonts w:ascii="Arial" w:hAnsi="Arial" w:cs="Arial"/>
          <w:sz w:val="20"/>
          <w:szCs w:val="20"/>
        </w:rPr>
        <w:t xml:space="preserve">applications or </w:t>
      </w:r>
      <w:r w:rsidR="000D1FBE">
        <w:rPr>
          <w:rFonts w:ascii="Arial" w:hAnsi="Arial" w:cs="Arial"/>
          <w:sz w:val="20"/>
          <w:szCs w:val="20"/>
        </w:rPr>
        <w:t xml:space="preserve">project </w:t>
      </w:r>
      <w:r>
        <w:rPr>
          <w:rFonts w:ascii="Arial" w:hAnsi="Arial" w:cs="Arial"/>
          <w:sz w:val="20"/>
          <w:szCs w:val="20"/>
        </w:rPr>
        <w:t>selections</w:t>
      </w:r>
      <w:r w:rsidRPr="00E325DC" w:rsidR="00E325DC">
        <w:rPr>
          <w:rFonts w:ascii="Arial" w:hAnsi="Arial" w:cs="Arial"/>
          <w:sz w:val="20"/>
          <w:szCs w:val="20"/>
        </w:rPr>
        <w:t>. Th</w:t>
      </w:r>
      <w:r>
        <w:rPr>
          <w:rFonts w:ascii="Arial" w:hAnsi="Arial" w:cs="Arial"/>
          <w:sz w:val="20"/>
          <w:szCs w:val="20"/>
        </w:rPr>
        <w:t>e</w:t>
      </w:r>
      <w:r w:rsidRPr="00E325DC" w:rsidR="00E325DC">
        <w:rPr>
          <w:rFonts w:ascii="Arial" w:hAnsi="Arial" w:cs="Arial"/>
          <w:sz w:val="20"/>
          <w:szCs w:val="20"/>
        </w:rPr>
        <w:t xml:space="preserve"> information </w:t>
      </w:r>
      <w:r>
        <w:rPr>
          <w:rFonts w:ascii="Arial" w:hAnsi="Arial" w:cs="Arial"/>
          <w:sz w:val="20"/>
          <w:szCs w:val="20"/>
        </w:rPr>
        <w:t xml:space="preserve">required by statute </w:t>
      </w:r>
      <w:r w:rsidRPr="00E325DC" w:rsidR="00E325DC">
        <w:rPr>
          <w:rFonts w:ascii="Arial" w:hAnsi="Arial" w:cs="Arial"/>
          <w:sz w:val="20"/>
          <w:szCs w:val="20"/>
        </w:rPr>
        <w:t xml:space="preserve">is not available unless </w:t>
      </w:r>
      <w:r w:rsidR="00720641">
        <w:rPr>
          <w:rFonts w:ascii="Arial" w:hAnsi="Arial" w:cs="Arial"/>
          <w:sz w:val="20"/>
          <w:szCs w:val="20"/>
        </w:rPr>
        <w:t xml:space="preserve">the </w:t>
      </w:r>
      <w:r w:rsidRPr="00E325DC" w:rsidR="00E325DC">
        <w:rPr>
          <w:rFonts w:ascii="Arial" w:hAnsi="Arial" w:cs="Arial"/>
          <w:sz w:val="20"/>
          <w:szCs w:val="20"/>
        </w:rPr>
        <w:t>States collect it and provide it to the Federal government.</w:t>
      </w:r>
      <w:r w:rsidR="000D1FBE">
        <w:rPr>
          <w:rFonts w:ascii="Arial" w:hAnsi="Arial" w:cs="Arial"/>
          <w:sz w:val="20"/>
          <w:szCs w:val="20"/>
        </w:rPr>
        <w:t xml:space="preserve"> The information in Statewide Transportation Improvement Programs (STIPs) does not include project applications, only projects selected to be funded. STIPs may group projects, such as RTP projects, and may not have the level of detail required </w:t>
      </w:r>
      <w:r w:rsidR="00CA5DBE">
        <w:rPr>
          <w:rFonts w:ascii="Arial" w:hAnsi="Arial" w:cs="Arial"/>
          <w:sz w:val="20"/>
          <w:szCs w:val="20"/>
        </w:rPr>
        <w:t xml:space="preserve">for individual projects </w:t>
      </w:r>
      <w:r w:rsidR="000D1FBE">
        <w:rPr>
          <w:rFonts w:ascii="Arial" w:hAnsi="Arial" w:cs="Arial"/>
          <w:sz w:val="20"/>
          <w:szCs w:val="20"/>
        </w:rPr>
        <w:t>under 23 U.S.C. 133(b)(8).</w:t>
      </w:r>
    </w:p>
    <w:p w:rsidR="00024C43" w:rsidP="0064269F" w14:paraId="38F340F0"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A91533" w14:paraId="670EF8D3" w14:textId="77777777">
      <w:pPr>
        <w:rPr>
          <w:rFonts w:ascii="Arial" w:hAnsi="Arial" w:cs="Arial"/>
          <w:sz w:val="20"/>
          <w:szCs w:val="20"/>
        </w:rPr>
      </w:pPr>
      <w:r w:rsidRPr="00A91533">
        <w:rPr>
          <w:rFonts w:ascii="Arial" w:hAnsi="Arial" w:cs="Arial"/>
          <w:sz w:val="20"/>
          <w:szCs w:val="20"/>
        </w:rPr>
        <w:t>Not applicable.</w:t>
      </w:r>
    </w:p>
    <w:p w:rsidR="00024C43" w:rsidP="0064269F" w14:paraId="446C94FD"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A91533" w14:paraId="149C7BB0" w14:textId="113286F1">
      <w:pPr>
        <w:rPr>
          <w:rFonts w:ascii="Arial" w:hAnsi="Arial" w:cs="Arial"/>
          <w:sz w:val="20"/>
          <w:szCs w:val="20"/>
        </w:rPr>
      </w:pPr>
      <w:r>
        <w:rPr>
          <w:rFonts w:ascii="Arial" w:hAnsi="Arial" w:cs="Arial"/>
          <w:sz w:val="20"/>
          <w:szCs w:val="20"/>
        </w:rPr>
        <w:t xml:space="preserve">Annual collection is required per </w:t>
      </w:r>
      <w:r w:rsidRPr="00A91533" w:rsidR="00A91533">
        <w:rPr>
          <w:rFonts w:ascii="Arial" w:hAnsi="Arial" w:cs="Arial"/>
          <w:sz w:val="20"/>
          <w:szCs w:val="20"/>
        </w:rPr>
        <w:t>23 U.S.C. 133(h)(8)</w:t>
      </w:r>
      <w:r>
        <w:rPr>
          <w:rFonts w:ascii="Arial" w:hAnsi="Arial" w:cs="Arial"/>
          <w:sz w:val="20"/>
          <w:szCs w:val="20"/>
        </w:rPr>
        <w:t>.</w:t>
      </w:r>
      <w:r w:rsidR="00024C43">
        <w:rPr>
          <w:rFonts w:ascii="Arial" w:hAnsi="Arial" w:cs="Arial"/>
          <w:sz w:val="20"/>
          <w:szCs w:val="20"/>
        </w:rPr>
        <w:t xml:space="preserve"> </w:t>
      </w:r>
    </w:p>
    <w:p w:rsidR="00024C43" w:rsidRPr="0064269F" w:rsidP="0064269F" w14:paraId="5241D73E"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BD1BF2" w:rsidRPr="00A91533" w14:paraId="42EB4A3A" w14:textId="77777777">
      <w:pPr>
        <w:pStyle w:val="BodyText"/>
        <w:rPr>
          <w:color w:val="auto"/>
        </w:rPr>
      </w:pPr>
      <w:r w:rsidRPr="00A91533">
        <w:rPr>
          <w:color w:val="auto"/>
        </w:rPr>
        <w:t>Not applicable.</w:t>
      </w:r>
    </w:p>
    <w:p w:rsidR="00CA121E" w:rsidRPr="0064269F" w:rsidP="0064269F" w14:paraId="578B71B4" w14:textId="77777777">
      <w:pPr>
        <w:pStyle w:val="NormalWeb"/>
        <w:rPr>
          <w:rFonts w:ascii="Arial" w:hAnsi="Arial" w:cs="Arial"/>
          <w:sz w:val="20"/>
          <w:szCs w:val="20"/>
        </w:rPr>
      </w:pPr>
      <w:r w:rsidRPr="00292066">
        <w:rPr>
          <w:rFonts w:ascii="Arial" w:hAnsi="Arial" w:cs="Arial"/>
          <w:sz w:val="20"/>
          <w:szCs w:val="20"/>
        </w:rPr>
        <w:t xml:space="preserve">8. </w:t>
      </w:r>
      <w:r w:rsidRPr="00292066">
        <w:rPr>
          <w:rFonts w:ascii="Arial" w:hAnsi="Arial" w:cs="Arial"/>
          <w:sz w:val="20"/>
          <w:szCs w:val="20"/>
          <w:u w:val="single"/>
        </w:rPr>
        <w:t>Compliance with 5 CFR 1320.8</w:t>
      </w:r>
      <w:r w:rsidRPr="00292066">
        <w:rPr>
          <w:rFonts w:ascii="Arial" w:hAnsi="Arial" w:cs="Arial"/>
          <w:sz w:val="20"/>
          <w:szCs w:val="20"/>
        </w:rPr>
        <w:t>:</w:t>
      </w:r>
    </w:p>
    <w:p w:rsidR="00CA121E" w14:paraId="1B95F00B" w14:textId="711C7B28">
      <w:pPr>
        <w:pStyle w:val="BodyText"/>
      </w:pPr>
      <w:r w:rsidRPr="0059691E">
        <w:rPr>
          <w:color w:val="auto"/>
        </w:rPr>
        <w:t xml:space="preserve">The 60-day Federal Register notice intended to solicit comments from the public on this information collection was published on </w:t>
      </w:r>
      <w:r w:rsidR="00292066">
        <w:rPr>
          <w:color w:val="auto"/>
        </w:rPr>
        <w:t>February 9, 2026</w:t>
      </w:r>
      <w:r w:rsidRPr="0059691E">
        <w:rPr>
          <w:color w:val="auto"/>
        </w:rPr>
        <w:t xml:space="preserve">, at </w:t>
      </w:r>
      <w:r w:rsidRPr="0059691E" w:rsidR="0059691E">
        <w:rPr>
          <w:color w:val="auto"/>
        </w:rPr>
        <w:t>91</w:t>
      </w:r>
      <w:r w:rsidRPr="0059691E">
        <w:rPr>
          <w:color w:val="auto"/>
        </w:rPr>
        <w:t xml:space="preserve"> FR </w:t>
      </w:r>
      <w:r w:rsidRPr="0059691E" w:rsidR="0059691E">
        <w:rPr>
          <w:color w:val="auto"/>
        </w:rPr>
        <w:t>5798</w:t>
      </w:r>
      <w:r w:rsidRPr="0059691E">
        <w:rPr>
          <w:color w:val="auto"/>
        </w:rPr>
        <w:t>.</w:t>
      </w:r>
      <w:r>
        <w:t xml:space="preserve"> </w:t>
      </w:r>
      <w:r w:rsidRPr="0059691E">
        <w:rPr>
          <w:color w:val="auto"/>
        </w:rPr>
        <w:t xml:space="preserve">There were </w:t>
      </w:r>
      <w:r w:rsidR="006819A5">
        <w:rPr>
          <w:color w:val="auto"/>
        </w:rPr>
        <w:t>5</w:t>
      </w:r>
      <w:r w:rsidRPr="0059691E">
        <w:rPr>
          <w:color w:val="auto"/>
        </w:rPr>
        <w:t xml:space="preserve"> comments received.</w:t>
      </w:r>
    </w:p>
    <w:p w:rsidR="00CA121E" w14:paraId="62268DD1" w14:textId="77777777">
      <w:pPr>
        <w:pStyle w:val="BodyText"/>
      </w:pPr>
    </w:p>
    <w:p w:rsidR="001B7FD5" w14:paraId="7C1B7120" w14:textId="77777777">
      <w:pPr>
        <w:pStyle w:val="BodyText"/>
        <w:rPr>
          <w:color w:val="auto"/>
        </w:rPr>
      </w:pPr>
      <w:bookmarkStart w:id="0" w:name="_Hlk227157581"/>
      <w:r>
        <w:rPr>
          <w:color w:val="auto"/>
        </w:rPr>
        <w:t xml:space="preserve">FHWA received comments from </w:t>
      </w:r>
      <w:r w:rsidR="006819A5">
        <w:rPr>
          <w:color w:val="auto"/>
        </w:rPr>
        <w:t>four</w:t>
      </w:r>
      <w:r>
        <w:rPr>
          <w:color w:val="auto"/>
        </w:rPr>
        <w:t xml:space="preserve"> State Departments of Transportation</w:t>
      </w:r>
      <w:r w:rsidR="003B214A">
        <w:rPr>
          <w:color w:val="auto"/>
        </w:rPr>
        <w:t xml:space="preserve"> (DOTs)</w:t>
      </w:r>
      <w:r>
        <w:rPr>
          <w:color w:val="auto"/>
        </w:rPr>
        <w:t xml:space="preserve"> (Washington, Florida, </w:t>
      </w:r>
      <w:r w:rsidR="006819A5">
        <w:rPr>
          <w:color w:val="auto"/>
        </w:rPr>
        <w:t xml:space="preserve">Texas, </w:t>
      </w:r>
      <w:r>
        <w:rPr>
          <w:color w:val="auto"/>
        </w:rPr>
        <w:t xml:space="preserve">and North Carolina) and one anonymous commenter. </w:t>
      </w:r>
    </w:p>
    <w:p w:rsidR="001B7FD5" w:rsidP="001B7FD5" w14:paraId="43CFCF89" w14:textId="77777777">
      <w:pPr>
        <w:pStyle w:val="BodyText"/>
        <w:rPr>
          <w:color w:val="auto"/>
        </w:rPr>
      </w:pPr>
    </w:p>
    <w:p w:rsidR="001B7FD5" w:rsidRPr="00D54A2E" w:rsidP="001B7FD5" w14:paraId="16599ECD" w14:textId="77777777">
      <w:pPr>
        <w:pStyle w:val="BodyText"/>
        <w:rPr>
          <w:color w:val="auto"/>
        </w:rPr>
      </w:pPr>
      <w:r>
        <w:rPr>
          <w:color w:val="auto"/>
        </w:rPr>
        <w:t>FHWA received a comment</w:t>
      </w:r>
      <w:r w:rsidR="006A4E03">
        <w:rPr>
          <w:color w:val="auto"/>
        </w:rPr>
        <w:t xml:space="preserve"> from the Texas DOT</w:t>
      </w:r>
      <w:r>
        <w:rPr>
          <w:color w:val="auto"/>
        </w:rPr>
        <w:t xml:space="preserve"> supporting the Estimated Average Burden per Response included in the 60 Day Federal Register Notice. FHWA also received a comment </w:t>
      </w:r>
      <w:r w:rsidR="006A4E03">
        <w:rPr>
          <w:color w:val="auto"/>
        </w:rPr>
        <w:t xml:space="preserve">from the Washington DOT </w:t>
      </w:r>
      <w:r>
        <w:rPr>
          <w:color w:val="auto"/>
        </w:rPr>
        <w:t>questioning the accuracy of the Estimated Average Burden per Response included in the 60 Day Federal Register Notice. These estimates are meant to capture an average across 50 State</w:t>
      </w:r>
      <w:r w:rsidR="008B1BE0">
        <w:rPr>
          <w:color w:val="auto"/>
        </w:rPr>
        <w:t>s</w:t>
      </w:r>
      <w:r>
        <w:rPr>
          <w:color w:val="auto"/>
        </w:rPr>
        <w:t xml:space="preserve"> and </w:t>
      </w:r>
      <w:r w:rsidR="008B1BE0">
        <w:rPr>
          <w:color w:val="auto"/>
        </w:rPr>
        <w:t xml:space="preserve">the </w:t>
      </w:r>
      <w:r>
        <w:rPr>
          <w:color w:val="auto"/>
        </w:rPr>
        <w:t xml:space="preserve">District of Columbia, which vary widely in how long they take to prepare the TAP and RTP </w:t>
      </w:r>
      <w:r w:rsidR="008B1BE0">
        <w:rPr>
          <w:color w:val="auto"/>
        </w:rPr>
        <w:t xml:space="preserve">annual </w:t>
      </w:r>
      <w:r>
        <w:rPr>
          <w:color w:val="auto"/>
        </w:rPr>
        <w:t xml:space="preserve">report. It may not be accurate for any individual State DOT but reflects the variety in preparation time nationally. For example, if a State has no applications or selections in a year, the reporting time could be as low as </w:t>
      </w:r>
      <w:r w:rsidR="008B1BE0">
        <w:rPr>
          <w:color w:val="auto"/>
        </w:rPr>
        <w:t xml:space="preserve">one </w:t>
      </w:r>
      <w:r>
        <w:rPr>
          <w:color w:val="auto"/>
        </w:rPr>
        <w:t>hour. Smaller States with fewer applications or selections also may have low reporting times. Larger States with many applications or selections will require more time.</w:t>
      </w:r>
    </w:p>
    <w:p w:rsidR="001B7FD5" w14:paraId="072DE4C2" w14:textId="77777777">
      <w:pPr>
        <w:pStyle w:val="BodyText"/>
        <w:rPr>
          <w:color w:val="auto"/>
        </w:rPr>
      </w:pPr>
    </w:p>
    <w:p w:rsidR="00D54A2E" w14:paraId="06ADA87E" w14:textId="77777777">
      <w:pPr>
        <w:pStyle w:val="BodyText"/>
        <w:rPr>
          <w:color w:val="auto"/>
        </w:rPr>
      </w:pPr>
      <w:r>
        <w:rPr>
          <w:color w:val="auto"/>
        </w:rPr>
        <w:t>These comments</w:t>
      </w:r>
      <w:r w:rsidR="001B7FD5">
        <w:rPr>
          <w:color w:val="auto"/>
        </w:rPr>
        <w:t xml:space="preserve"> also</w:t>
      </w:r>
      <w:r>
        <w:rPr>
          <w:color w:val="auto"/>
        </w:rPr>
        <w:t xml:space="preserve"> included several suggested changes to the TAP and RTP reporting process, which are listed below and include FHWA’s response.</w:t>
      </w:r>
    </w:p>
    <w:p w:rsidR="00D54A2E" w14:paraId="4F259E39" w14:textId="77777777">
      <w:pPr>
        <w:pStyle w:val="BodyText"/>
        <w:rPr>
          <w:color w:val="auto"/>
        </w:rPr>
      </w:pPr>
    </w:p>
    <w:p w:rsidR="00D54A2E" w:rsidP="00D54A2E" w14:paraId="7133D03D" w14:textId="77777777">
      <w:pPr>
        <w:pStyle w:val="BodyText"/>
        <w:numPr>
          <w:ilvl w:val="0"/>
          <w:numId w:val="1"/>
        </w:numPr>
        <w:rPr>
          <w:color w:val="auto"/>
        </w:rPr>
      </w:pPr>
      <w:r>
        <w:rPr>
          <w:color w:val="auto"/>
        </w:rPr>
        <w:t>Eliminat</w:t>
      </w:r>
      <w:r w:rsidR="006A4E03">
        <w:rPr>
          <w:color w:val="auto"/>
        </w:rPr>
        <w:t>e</w:t>
      </w:r>
      <w:r>
        <w:rPr>
          <w:color w:val="auto"/>
        </w:rPr>
        <w:t xml:space="preserve"> the </w:t>
      </w:r>
      <w:r w:rsidR="001B7FD5">
        <w:rPr>
          <w:color w:val="auto"/>
        </w:rPr>
        <w:t xml:space="preserve">requirement for States to provide the annual </w:t>
      </w:r>
      <w:r>
        <w:rPr>
          <w:color w:val="auto"/>
        </w:rPr>
        <w:t>TAP and RTP report</w:t>
      </w:r>
      <w:r w:rsidR="001B7FD5">
        <w:rPr>
          <w:color w:val="auto"/>
        </w:rPr>
        <w:t xml:space="preserve"> to FHWA</w:t>
      </w:r>
      <w:r>
        <w:rPr>
          <w:color w:val="auto"/>
        </w:rPr>
        <w:t>.</w:t>
      </w:r>
    </w:p>
    <w:p w:rsidR="001B7FD5" w:rsidP="006A4E03" w14:paraId="6BC8A4B3" w14:textId="66E105CF">
      <w:pPr>
        <w:numPr>
          <w:ilvl w:val="1"/>
          <w:numId w:val="1"/>
        </w:numPr>
        <w:ind w:left="720"/>
        <w:rPr>
          <w:rFonts w:ascii="Arial" w:hAnsi="Arial" w:cs="Arial"/>
          <w:sz w:val="20"/>
          <w:szCs w:val="20"/>
        </w:rPr>
      </w:pPr>
      <w:r>
        <w:rPr>
          <w:rFonts w:ascii="Arial" w:hAnsi="Arial" w:cs="Arial"/>
          <w:sz w:val="20"/>
          <w:szCs w:val="20"/>
        </w:rPr>
        <w:t xml:space="preserve">FHWA is required under </w:t>
      </w:r>
      <w:r w:rsidRPr="001B7FD5">
        <w:rPr>
          <w:rFonts w:ascii="Arial" w:hAnsi="Arial" w:cs="Arial"/>
          <w:sz w:val="20"/>
          <w:szCs w:val="20"/>
        </w:rPr>
        <w:t xml:space="preserve">23 U.S.C. 133(h)(8) to work with </w:t>
      </w:r>
      <w:r w:rsidR="004604EA">
        <w:rPr>
          <w:rFonts w:ascii="Arial" w:hAnsi="Arial" w:cs="Arial"/>
          <w:sz w:val="20"/>
          <w:szCs w:val="20"/>
        </w:rPr>
        <w:t>S</w:t>
      </w:r>
      <w:r w:rsidRPr="001B7FD5">
        <w:rPr>
          <w:rFonts w:ascii="Arial" w:hAnsi="Arial" w:cs="Arial"/>
          <w:sz w:val="20"/>
          <w:szCs w:val="20"/>
        </w:rPr>
        <w:t xml:space="preserve">tates and MPOs (responsible for carrying out 23 U.S.C. 133) to complete the TAP and RTP annual reports. </w:t>
      </w:r>
      <w:r w:rsidR="00173B5B">
        <w:rPr>
          <w:rFonts w:ascii="Arial" w:hAnsi="Arial" w:cs="Arial"/>
          <w:sz w:val="20"/>
          <w:szCs w:val="20"/>
        </w:rPr>
        <w:t>This requirement can only be eliminated by changing the law.</w:t>
      </w:r>
    </w:p>
    <w:p w:rsidR="007B289B" w:rsidRPr="001B7FD5" w:rsidP="006A4E03" w14:paraId="0B6360A4" w14:textId="77777777">
      <w:pPr>
        <w:numPr>
          <w:ilvl w:val="1"/>
          <w:numId w:val="1"/>
        </w:numPr>
        <w:ind w:left="720"/>
        <w:rPr>
          <w:rFonts w:ascii="Arial" w:hAnsi="Arial" w:cs="Arial"/>
          <w:sz w:val="20"/>
          <w:szCs w:val="20"/>
        </w:rPr>
      </w:pPr>
      <w:r>
        <w:rPr>
          <w:rFonts w:ascii="Arial" w:hAnsi="Arial" w:cs="Arial"/>
          <w:sz w:val="20"/>
          <w:szCs w:val="20"/>
        </w:rPr>
        <w:t>This suggestion came from the Florida DOT.</w:t>
      </w:r>
    </w:p>
    <w:p w:rsidR="00D54A2E" w:rsidP="00D54A2E" w14:paraId="7E7F1F8F" w14:textId="77777777">
      <w:pPr>
        <w:pStyle w:val="BodyText"/>
        <w:numPr>
          <w:ilvl w:val="0"/>
          <w:numId w:val="1"/>
        </w:numPr>
        <w:rPr>
          <w:color w:val="auto"/>
        </w:rPr>
      </w:pPr>
      <w:r>
        <w:rPr>
          <w:color w:val="auto"/>
        </w:rPr>
        <w:t xml:space="preserve">Increase the usefulness of the TAP and RTP annual report to include </w:t>
      </w:r>
      <w:r>
        <w:rPr>
          <w:color w:val="auto"/>
        </w:rPr>
        <w:t>documentation of</w:t>
      </w:r>
      <w:r w:rsidR="005D73D1">
        <w:rPr>
          <w:color w:val="auto"/>
        </w:rPr>
        <w:t xml:space="preserve"> obligated projects,</w:t>
      </w:r>
      <w:r>
        <w:rPr>
          <w:color w:val="auto"/>
        </w:rPr>
        <w:t xml:space="preserve"> </w:t>
      </w:r>
      <w:r w:rsidR="005D73D1">
        <w:rPr>
          <w:color w:val="auto"/>
        </w:rPr>
        <w:t xml:space="preserve">documentation of </w:t>
      </w:r>
      <w:r>
        <w:rPr>
          <w:color w:val="auto"/>
        </w:rPr>
        <w:t>completed projects</w:t>
      </w:r>
      <w:r w:rsidR="005D73D1">
        <w:rPr>
          <w:color w:val="auto"/>
        </w:rPr>
        <w:t>,</w:t>
      </w:r>
      <w:r>
        <w:rPr>
          <w:color w:val="auto"/>
        </w:rPr>
        <w:t xml:space="preserve"> </w:t>
      </w:r>
      <w:r>
        <w:rPr>
          <w:color w:val="auto"/>
        </w:rPr>
        <w:t>and before-and-after photographs</w:t>
      </w:r>
      <w:r>
        <w:rPr>
          <w:color w:val="auto"/>
        </w:rPr>
        <w:t>.</w:t>
      </w:r>
    </w:p>
    <w:p w:rsidR="001B7FD5" w:rsidP="001B7FD5" w14:paraId="6DEAA2B0" w14:textId="71A4EB59">
      <w:pPr>
        <w:numPr>
          <w:ilvl w:val="1"/>
          <w:numId w:val="1"/>
        </w:numPr>
        <w:ind w:left="720"/>
        <w:rPr>
          <w:rFonts w:ascii="Arial" w:hAnsi="Arial" w:cs="Arial"/>
          <w:sz w:val="20"/>
          <w:szCs w:val="20"/>
        </w:rPr>
      </w:pPr>
      <w:r w:rsidRPr="001B7FD5">
        <w:rPr>
          <w:rFonts w:ascii="Arial" w:hAnsi="Arial" w:cs="Arial"/>
          <w:sz w:val="20"/>
          <w:szCs w:val="20"/>
        </w:rPr>
        <w:t>Per 23 U.S.C. 133(h)(8) and to minimize the burden on States for completing the required TAP and RTP annual reports, States are only required to document</w:t>
      </w:r>
      <w:r w:rsidR="00DE704B">
        <w:rPr>
          <w:rFonts w:ascii="Arial" w:hAnsi="Arial" w:cs="Arial"/>
          <w:sz w:val="20"/>
          <w:szCs w:val="20"/>
        </w:rPr>
        <w:t xml:space="preserve"> specific data </w:t>
      </w:r>
      <w:r w:rsidR="00DE704B">
        <w:rPr>
          <w:rFonts w:ascii="Arial" w:hAnsi="Arial" w:cs="Arial"/>
          <w:sz w:val="20"/>
          <w:szCs w:val="20"/>
        </w:rPr>
        <w:t>regarding</w:t>
      </w:r>
      <w:r w:rsidRPr="001B7FD5">
        <w:rPr>
          <w:rFonts w:ascii="Arial" w:hAnsi="Arial" w:cs="Arial"/>
          <w:sz w:val="20"/>
          <w:szCs w:val="20"/>
        </w:rPr>
        <w:t xml:space="preserve"> project applications and projects select</w:t>
      </w:r>
      <w:r w:rsidR="00FF3A2A">
        <w:rPr>
          <w:rFonts w:ascii="Arial" w:hAnsi="Arial" w:cs="Arial"/>
          <w:sz w:val="20"/>
          <w:szCs w:val="20"/>
        </w:rPr>
        <w:t>ions</w:t>
      </w:r>
      <w:r w:rsidRPr="001B7FD5">
        <w:rPr>
          <w:rFonts w:ascii="Arial" w:hAnsi="Arial" w:cs="Arial"/>
          <w:sz w:val="20"/>
          <w:szCs w:val="20"/>
        </w:rPr>
        <w:t xml:space="preserve">. States are not required to include </w:t>
      </w:r>
      <w:r w:rsidR="005D73D1">
        <w:rPr>
          <w:rFonts w:ascii="Arial" w:hAnsi="Arial" w:cs="Arial"/>
          <w:sz w:val="20"/>
          <w:szCs w:val="20"/>
        </w:rPr>
        <w:t>obligation</w:t>
      </w:r>
      <w:r w:rsidRPr="001B7FD5">
        <w:rPr>
          <w:rFonts w:ascii="Arial" w:hAnsi="Arial" w:cs="Arial"/>
          <w:sz w:val="20"/>
          <w:szCs w:val="20"/>
        </w:rPr>
        <w:t xml:space="preserve"> data or data on completed projects. Requests for this information should be directed to the appropriate State DOT.</w:t>
      </w:r>
    </w:p>
    <w:p w:rsidR="007B289B" w:rsidRPr="005D73D1" w:rsidP="005D73D1" w14:paraId="5D702FF3" w14:textId="25194B48">
      <w:pPr>
        <w:numPr>
          <w:ilvl w:val="1"/>
          <w:numId w:val="1"/>
        </w:numPr>
        <w:ind w:left="720"/>
        <w:rPr>
          <w:rFonts w:ascii="Arial" w:hAnsi="Arial" w:cs="Arial"/>
          <w:sz w:val="20"/>
          <w:szCs w:val="20"/>
        </w:rPr>
      </w:pPr>
      <w:r>
        <w:rPr>
          <w:rFonts w:ascii="Arial" w:hAnsi="Arial" w:cs="Arial"/>
          <w:sz w:val="20"/>
          <w:szCs w:val="20"/>
        </w:rPr>
        <w:t>This suggestion came from an anonymous commenter, the North Carolina DOT,</w:t>
      </w:r>
      <w:r w:rsidR="004604EA">
        <w:rPr>
          <w:rFonts w:ascii="Arial" w:hAnsi="Arial" w:cs="Arial"/>
          <w:sz w:val="20"/>
          <w:szCs w:val="20"/>
        </w:rPr>
        <w:t xml:space="preserve"> and</w:t>
      </w:r>
      <w:r>
        <w:rPr>
          <w:rFonts w:ascii="Arial" w:hAnsi="Arial" w:cs="Arial"/>
          <w:sz w:val="20"/>
          <w:szCs w:val="20"/>
        </w:rPr>
        <w:t xml:space="preserve"> the Washington DOT.</w:t>
      </w:r>
    </w:p>
    <w:p w:rsidR="00D54A2E" w:rsidP="00D54A2E" w14:paraId="33EC5A6A" w14:textId="77777777">
      <w:pPr>
        <w:pStyle w:val="BodyText"/>
        <w:numPr>
          <w:ilvl w:val="0"/>
          <w:numId w:val="1"/>
        </w:numPr>
        <w:rPr>
          <w:color w:val="auto"/>
        </w:rPr>
      </w:pPr>
      <w:r>
        <w:rPr>
          <w:color w:val="auto"/>
        </w:rPr>
        <w:t>Clarify the purpose and use of the report.</w:t>
      </w:r>
    </w:p>
    <w:p w:rsidR="00132EDB" w:rsidP="00720641" w14:paraId="0D5565E2" w14:textId="2F1365F8">
      <w:pPr>
        <w:pStyle w:val="BodyText"/>
        <w:numPr>
          <w:ilvl w:val="1"/>
          <w:numId w:val="1"/>
        </w:numPr>
        <w:ind w:left="720"/>
        <w:rPr>
          <w:color w:val="auto"/>
        </w:rPr>
      </w:pPr>
      <w:r>
        <w:rPr>
          <w:color w:val="auto"/>
        </w:rPr>
        <w:t xml:space="preserve">The purpose of the report is to comply with </w:t>
      </w:r>
      <w:r w:rsidRPr="00132EDB">
        <w:rPr>
          <w:color w:val="auto"/>
        </w:rPr>
        <w:t>23 U.S.C. 133(h)(8)</w:t>
      </w:r>
      <w:r>
        <w:rPr>
          <w:color w:val="auto"/>
        </w:rPr>
        <w:t xml:space="preserve">, which requires FHWA </w:t>
      </w:r>
      <w:r w:rsidR="001B7FD5">
        <w:rPr>
          <w:color w:val="auto"/>
        </w:rPr>
        <w:t xml:space="preserve">to </w:t>
      </w:r>
      <w:r>
        <w:rPr>
          <w:color w:val="auto"/>
        </w:rPr>
        <w:t xml:space="preserve">publicly post a report on TAP and RTP </w:t>
      </w:r>
      <w:r w:rsidR="002E4801">
        <w:rPr>
          <w:color w:val="auto"/>
        </w:rPr>
        <w:t xml:space="preserve">project </w:t>
      </w:r>
      <w:r>
        <w:rPr>
          <w:color w:val="auto"/>
        </w:rPr>
        <w:t xml:space="preserve">applications and </w:t>
      </w:r>
      <w:r w:rsidR="002E4801">
        <w:rPr>
          <w:color w:val="auto"/>
        </w:rPr>
        <w:t xml:space="preserve">project </w:t>
      </w:r>
      <w:r>
        <w:rPr>
          <w:color w:val="auto"/>
        </w:rPr>
        <w:t>selections.</w:t>
      </w:r>
    </w:p>
    <w:p w:rsidR="007B289B" w:rsidP="00720641" w14:paraId="20324C9F" w14:textId="77777777">
      <w:pPr>
        <w:pStyle w:val="BodyText"/>
        <w:numPr>
          <w:ilvl w:val="1"/>
          <w:numId w:val="1"/>
        </w:numPr>
        <w:ind w:left="720"/>
        <w:rPr>
          <w:color w:val="auto"/>
        </w:rPr>
      </w:pPr>
      <w:r>
        <w:rPr>
          <w:color w:val="auto"/>
        </w:rPr>
        <w:t>This suggestion came from the North Carolina DOT and the Washington DOT.</w:t>
      </w:r>
    </w:p>
    <w:p w:rsidR="0042468A" w:rsidP="00D54A2E" w14:paraId="44B2281C" w14:textId="3CD4F0FC">
      <w:pPr>
        <w:pStyle w:val="BodyText"/>
        <w:numPr>
          <w:ilvl w:val="0"/>
          <w:numId w:val="1"/>
        </w:numPr>
        <w:rPr>
          <w:color w:val="auto"/>
        </w:rPr>
      </w:pPr>
      <w:r>
        <w:rPr>
          <w:color w:val="auto"/>
        </w:rPr>
        <w:t>Improv</w:t>
      </w:r>
      <w:r w:rsidR="006A4E03">
        <w:rPr>
          <w:color w:val="auto"/>
        </w:rPr>
        <w:t>e</w:t>
      </w:r>
      <w:r>
        <w:rPr>
          <w:color w:val="auto"/>
        </w:rPr>
        <w:t xml:space="preserve"> guidance on </w:t>
      </w:r>
      <w:r w:rsidR="001B7FD5">
        <w:rPr>
          <w:color w:val="auto"/>
        </w:rPr>
        <w:t xml:space="preserve">TAP and RTP annual </w:t>
      </w:r>
      <w:r>
        <w:rPr>
          <w:color w:val="auto"/>
        </w:rPr>
        <w:t>report preparation</w:t>
      </w:r>
      <w:r w:rsidR="007F0EE6">
        <w:rPr>
          <w:color w:val="auto"/>
        </w:rPr>
        <w:t>, including how to document ADA-compliant ramp installation</w:t>
      </w:r>
      <w:r>
        <w:rPr>
          <w:color w:val="auto"/>
        </w:rPr>
        <w:t>.</w:t>
      </w:r>
    </w:p>
    <w:p w:rsidR="00132EDB" w:rsidP="00720641" w14:paraId="01B9846E" w14:textId="77777777">
      <w:pPr>
        <w:pStyle w:val="BodyText"/>
        <w:numPr>
          <w:ilvl w:val="1"/>
          <w:numId w:val="1"/>
        </w:numPr>
        <w:ind w:left="720"/>
        <w:rPr>
          <w:color w:val="auto"/>
        </w:rPr>
      </w:pPr>
      <w:r>
        <w:rPr>
          <w:color w:val="auto"/>
        </w:rPr>
        <w:t xml:space="preserve">Each year, FHWA makes updates to </w:t>
      </w:r>
      <w:r w:rsidR="001923F6">
        <w:rPr>
          <w:color w:val="auto"/>
        </w:rPr>
        <w:t xml:space="preserve">the TAP and RTP </w:t>
      </w:r>
      <w:r>
        <w:rPr>
          <w:color w:val="auto"/>
        </w:rPr>
        <w:t xml:space="preserve">reporting instructions </w:t>
      </w:r>
      <w:r w:rsidR="001923F6">
        <w:rPr>
          <w:color w:val="auto"/>
        </w:rPr>
        <w:t>following any feedback provided by States</w:t>
      </w:r>
      <w:r>
        <w:rPr>
          <w:color w:val="auto"/>
        </w:rPr>
        <w:t xml:space="preserve">. </w:t>
      </w:r>
      <w:r w:rsidR="001923F6">
        <w:rPr>
          <w:color w:val="auto"/>
        </w:rPr>
        <w:t>FHWA</w:t>
      </w:r>
      <w:r>
        <w:rPr>
          <w:color w:val="auto"/>
        </w:rPr>
        <w:t xml:space="preserve"> also offers </w:t>
      </w:r>
      <w:r w:rsidR="001923F6">
        <w:rPr>
          <w:color w:val="auto"/>
        </w:rPr>
        <w:t>annual reporting</w:t>
      </w:r>
      <w:r>
        <w:rPr>
          <w:color w:val="auto"/>
        </w:rPr>
        <w:t xml:space="preserve"> </w:t>
      </w:r>
      <w:r>
        <w:rPr>
          <w:color w:val="auto"/>
        </w:rPr>
        <w:t>office hours</w:t>
      </w:r>
      <w:r>
        <w:rPr>
          <w:color w:val="auto"/>
        </w:rPr>
        <w:t xml:space="preserve"> </w:t>
      </w:r>
      <w:r w:rsidR="00CE0E82">
        <w:rPr>
          <w:color w:val="auto"/>
        </w:rPr>
        <w:t xml:space="preserve">with States </w:t>
      </w:r>
      <w:r>
        <w:rPr>
          <w:color w:val="auto"/>
        </w:rPr>
        <w:t xml:space="preserve">to answer questions about the reporting </w:t>
      </w:r>
      <w:r w:rsidR="003F6E86">
        <w:rPr>
          <w:color w:val="auto"/>
        </w:rPr>
        <w:t>process and</w:t>
      </w:r>
      <w:r>
        <w:rPr>
          <w:color w:val="auto"/>
        </w:rPr>
        <w:t xml:space="preserve"> </w:t>
      </w:r>
      <w:r>
        <w:rPr>
          <w:color w:val="auto"/>
        </w:rPr>
        <w:t xml:space="preserve">regularly </w:t>
      </w:r>
      <w:r>
        <w:rPr>
          <w:color w:val="auto"/>
        </w:rPr>
        <w:t xml:space="preserve">responds to inquiries about report </w:t>
      </w:r>
      <w:r w:rsidR="003F6E86">
        <w:rPr>
          <w:color w:val="auto"/>
        </w:rPr>
        <w:t>preparation</w:t>
      </w:r>
      <w:r>
        <w:rPr>
          <w:color w:val="auto"/>
        </w:rPr>
        <w:t>.</w:t>
      </w:r>
      <w:r w:rsidR="003F6E86">
        <w:rPr>
          <w:color w:val="auto"/>
        </w:rPr>
        <w:t xml:space="preserve"> </w:t>
      </w:r>
    </w:p>
    <w:p w:rsidR="0042468A" w:rsidP="00720641" w14:paraId="451A23A9" w14:textId="36059C54">
      <w:pPr>
        <w:pStyle w:val="BodyText"/>
        <w:numPr>
          <w:ilvl w:val="1"/>
          <w:numId w:val="1"/>
        </w:numPr>
        <w:ind w:left="720"/>
        <w:rPr>
          <w:color w:val="auto"/>
        </w:rPr>
      </w:pPr>
      <w:r>
        <w:rPr>
          <w:color w:val="auto"/>
        </w:rPr>
        <w:t>T</w:t>
      </w:r>
      <w:r w:rsidR="003F6E86">
        <w:rPr>
          <w:color w:val="auto"/>
        </w:rPr>
        <w:t xml:space="preserve">he report is </w:t>
      </w:r>
      <w:r>
        <w:rPr>
          <w:color w:val="auto"/>
        </w:rPr>
        <w:t>for</w:t>
      </w:r>
      <w:r w:rsidR="003F6E86">
        <w:rPr>
          <w:color w:val="auto"/>
        </w:rPr>
        <w:t xml:space="preserve"> TAP and RTP </w:t>
      </w:r>
      <w:r w:rsidR="000D1FBE">
        <w:rPr>
          <w:color w:val="auto"/>
        </w:rPr>
        <w:t xml:space="preserve">project </w:t>
      </w:r>
      <w:r w:rsidR="003F6E86">
        <w:rPr>
          <w:color w:val="auto"/>
        </w:rPr>
        <w:t xml:space="preserve">applications and </w:t>
      </w:r>
      <w:r w:rsidR="000D1FBE">
        <w:rPr>
          <w:color w:val="auto"/>
        </w:rPr>
        <w:t xml:space="preserve">project </w:t>
      </w:r>
      <w:r w:rsidR="003F6E86">
        <w:rPr>
          <w:color w:val="auto"/>
        </w:rPr>
        <w:t>selections for the given fiscal year</w:t>
      </w:r>
      <w:r w:rsidR="000D1FBE">
        <w:rPr>
          <w:color w:val="auto"/>
        </w:rPr>
        <w:t>. O</w:t>
      </w:r>
      <w:r w:rsidR="003F6E86">
        <w:rPr>
          <w:color w:val="auto"/>
        </w:rPr>
        <w:t>ther</w:t>
      </w:r>
      <w:r w:rsidR="00132EDB">
        <w:rPr>
          <w:color w:val="auto"/>
        </w:rPr>
        <w:t xml:space="preserve"> project</w:t>
      </w:r>
      <w:r w:rsidR="003F6E86">
        <w:rPr>
          <w:color w:val="auto"/>
        </w:rPr>
        <w:t xml:space="preserve"> phases </w:t>
      </w:r>
      <w:r w:rsidR="000D1FBE">
        <w:rPr>
          <w:color w:val="auto"/>
        </w:rPr>
        <w:t>are</w:t>
      </w:r>
      <w:r w:rsidR="003F6E86">
        <w:rPr>
          <w:color w:val="auto"/>
        </w:rPr>
        <w:t xml:space="preserve"> not documented in the report. This is stated in the reporting instructions and </w:t>
      </w:r>
      <w:r w:rsidR="00024C43">
        <w:rPr>
          <w:color w:val="auto"/>
        </w:rPr>
        <w:t>restated</w:t>
      </w:r>
      <w:r w:rsidR="003F6E86">
        <w:rPr>
          <w:color w:val="auto"/>
        </w:rPr>
        <w:t xml:space="preserve"> throughout the document. </w:t>
      </w:r>
      <w:r>
        <w:rPr>
          <w:color w:val="auto"/>
        </w:rPr>
        <w:t>D</w:t>
      </w:r>
      <w:r w:rsidR="00132EDB">
        <w:rPr>
          <w:color w:val="auto"/>
        </w:rPr>
        <w:t xml:space="preserve">ocumentation </w:t>
      </w:r>
      <w:r>
        <w:rPr>
          <w:color w:val="auto"/>
        </w:rPr>
        <w:t xml:space="preserve">for </w:t>
      </w:r>
      <w:r w:rsidR="00132EDB">
        <w:rPr>
          <w:color w:val="auto"/>
        </w:rPr>
        <w:t xml:space="preserve">the </w:t>
      </w:r>
      <w:r w:rsidR="00645B39">
        <w:rPr>
          <w:color w:val="auto"/>
        </w:rPr>
        <w:t>installation of multiple ADA-compliant ramps is address</w:t>
      </w:r>
      <w:r w:rsidR="00132EDB">
        <w:rPr>
          <w:color w:val="auto"/>
        </w:rPr>
        <w:t>ed</w:t>
      </w:r>
      <w:r w:rsidR="00645B39">
        <w:rPr>
          <w:color w:val="auto"/>
        </w:rPr>
        <w:t xml:space="preserve"> in row 28 of the </w:t>
      </w:r>
      <w:r w:rsidR="00132EDB">
        <w:rPr>
          <w:color w:val="auto"/>
        </w:rPr>
        <w:t>FY</w:t>
      </w:r>
      <w:r w:rsidR="000D1FBE">
        <w:rPr>
          <w:color w:val="auto"/>
        </w:rPr>
        <w:t xml:space="preserve"> 20</w:t>
      </w:r>
      <w:r w:rsidR="00132EDB">
        <w:rPr>
          <w:color w:val="auto"/>
        </w:rPr>
        <w:t xml:space="preserve">25 </w:t>
      </w:r>
      <w:r w:rsidR="00645B39">
        <w:rPr>
          <w:color w:val="auto"/>
        </w:rPr>
        <w:t>TAP and RTP example template.</w:t>
      </w:r>
      <w:r w:rsidR="003F6E86">
        <w:rPr>
          <w:color w:val="auto"/>
        </w:rPr>
        <w:t xml:space="preserve"> </w:t>
      </w:r>
      <w:r>
        <w:rPr>
          <w:color w:val="auto"/>
        </w:rPr>
        <w:t>S</w:t>
      </w:r>
      <w:r w:rsidR="00132EDB">
        <w:rPr>
          <w:color w:val="auto"/>
        </w:rPr>
        <w:t xml:space="preserve">pecific questions </w:t>
      </w:r>
      <w:r>
        <w:rPr>
          <w:color w:val="auto"/>
        </w:rPr>
        <w:t>about the annual report template</w:t>
      </w:r>
      <w:r w:rsidR="00132EDB">
        <w:rPr>
          <w:color w:val="auto"/>
        </w:rPr>
        <w:t xml:space="preserve"> </w:t>
      </w:r>
      <w:r>
        <w:rPr>
          <w:color w:val="auto"/>
        </w:rPr>
        <w:t xml:space="preserve">can </w:t>
      </w:r>
      <w:r w:rsidR="00132EDB">
        <w:rPr>
          <w:color w:val="auto"/>
        </w:rPr>
        <w:t xml:space="preserve">be directed to </w:t>
      </w:r>
      <w:r w:rsidR="002E4801">
        <w:rPr>
          <w:color w:val="auto"/>
        </w:rPr>
        <w:t xml:space="preserve">the FHWA </w:t>
      </w:r>
      <w:r w:rsidR="00132EDB">
        <w:rPr>
          <w:color w:val="auto"/>
        </w:rPr>
        <w:t>Division office</w:t>
      </w:r>
      <w:r w:rsidR="002E4801">
        <w:rPr>
          <w:color w:val="auto"/>
        </w:rPr>
        <w:t xml:space="preserve"> in each State</w:t>
      </w:r>
      <w:r>
        <w:rPr>
          <w:color w:val="auto"/>
        </w:rPr>
        <w:t>.</w:t>
      </w:r>
    </w:p>
    <w:p w:rsidR="007B289B" w:rsidP="00720641" w14:paraId="16D6F0FA" w14:textId="77777777">
      <w:pPr>
        <w:pStyle w:val="BodyText"/>
        <w:numPr>
          <w:ilvl w:val="1"/>
          <w:numId w:val="1"/>
        </w:numPr>
        <w:ind w:left="720"/>
        <w:rPr>
          <w:color w:val="auto"/>
        </w:rPr>
      </w:pPr>
      <w:r>
        <w:rPr>
          <w:color w:val="auto"/>
        </w:rPr>
        <w:t>This suggestion came from the North Carolina DOT.</w:t>
      </w:r>
    </w:p>
    <w:p w:rsidR="0042468A" w:rsidP="00D54A2E" w14:paraId="4EE7647C" w14:textId="77777777">
      <w:pPr>
        <w:pStyle w:val="BodyText"/>
        <w:numPr>
          <w:ilvl w:val="0"/>
          <w:numId w:val="1"/>
        </w:numPr>
        <w:rPr>
          <w:color w:val="auto"/>
        </w:rPr>
      </w:pPr>
      <w:r>
        <w:rPr>
          <w:color w:val="auto"/>
        </w:rPr>
        <w:t>Prepar</w:t>
      </w:r>
      <w:r w:rsidR="006A4E03">
        <w:rPr>
          <w:color w:val="auto"/>
        </w:rPr>
        <w:t>e</w:t>
      </w:r>
      <w:r>
        <w:rPr>
          <w:color w:val="auto"/>
        </w:rPr>
        <w:t xml:space="preserve"> reports by individual Transportation Management Areas (TMAs) instead of States.</w:t>
      </w:r>
    </w:p>
    <w:p w:rsidR="006A4E03" w:rsidP="006A4E03" w14:paraId="1E06D5B2" w14:textId="77777777">
      <w:pPr>
        <w:numPr>
          <w:ilvl w:val="1"/>
          <w:numId w:val="1"/>
        </w:numPr>
        <w:ind w:left="720"/>
        <w:rPr>
          <w:rFonts w:ascii="Arial" w:hAnsi="Arial" w:cs="Arial"/>
          <w:sz w:val="20"/>
          <w:szCs w:val="20"/>
        </w:rPr>
      </w:pPr>
      <w:r w:rsidRPr="006A4E03">
        <w:rPr>
          <w:rFonts w:ascii="Arial" w:hAnsi="Arial" w:cs="Arial"/>
          <w:sz w:val="20"/>
          <w:szCs w:val="20"/>
        </w:rPr>
        <w:t>In accordance with 23 U.S.C. 145(a), the Federal-aid program is a federally assisted State administered program. Per 23 U.S.C. 104(b), Federal-aid funds are apportioned to the State DOT. The State DOT serving as a pass-through entity is responsible for ensuring all Federal funds administered by its subrecipients (i.e., MPOs) comply with all applicable Federal requirements (See 23 U.S.C. 106(g)(4); 2 CFR 200.329; 2 CFR 200.332).</w:t>
      </w:r>
      <w:r>
        <w:rPr>
          <w:rFonts w:ascii="Arial" w:hAnsi="Arial" w:cs="Arial"/>
          <w:sz w:val="20"/>
          <w:szCs w:val="20"/>
        </w:rPr>
        <w:t xml:space="preserve"> </w:t>
      </w:r>
    </w:p>
    <w:p w:rsidR="007B289B" w:rsidP="006A4E03" w14:paraId="0740CFAE" w14:textId="77777777">
      <w:pPr>
        <w:numPr>
          <w:ilvl w:val="1"/>
          <w:numId w:val="1"/>
        </w:numPr>
        <w:ind w:left="720"/>
        <w:rPr>
          <w:rFonts w:ascii="Arial" w:hAnsi="Arial" w:cs="Arial"/>
          <w:sz w:val="20"/>
          <w:szCs w:val="20"/>
        </w:rPr>
      </w:pPr>
      <w:r>
        <w:rPr>
          <w:rFonts w:ascii="Arial" w:hAnsi="Arial" w:cs="Arial"/>
          <w:sz w:val="20"/>
          <w:szCs w:val="20"/>
        </w:rPr>
        <w:t>This suggestion came from the North Carolina DOT.</w:t>
      </w:r>
    </w:p>
    <w:p w:rsidR="006A4E03" w:rsidRPr="006A4E03" w:rsidP="006A4E03" w14:paraId="5C6BFAA9" w14:textId="7FDB8FF8">
      <w:pPr>
        <w:numPr>
          <w:ilvl w:val="0"/>
          <w:numId w:val="1"/>
        </w:numPr>
        <w:rPr>
          <w:rFonts w:ascii="Arial" w:hAnsi="Arial" w:cs="Arial"/>
          <w:sz w:val="20"/>
          <w:szCs w:val="20"/>
        </w:rPr>
      </w:pPr>
      <w:r w:rsidRPr="006A4E03">
        <w:rPr>
          <w:rFonts w:ascii="Arial" w:hAnsi="Arial" w:cs="Arial"/>
          <w:sz w:val="20"/>
          <w:szCs w:val="20"/>
        </w:rPr>
        <w:t>Us</w:t>
      </w:r>
      <w:r>
        <w:rPr>
          <w:rFonts w:ascii="Arial" w:hAnsi="Arial" w:cs="Arial"/>
          <w:sz w:val="20"/>
          <w:szCs w:val="20"/>
        </w:rPr>
        <w:t>e</w:t>
      </w:r>
      <w:r w:rsidRPr="006A4E03">
        <w:rPr>
          <w:rFonts w:ascii="Arial" w:hAnsi="Arial" w:cs="Arial"/>
          <w:sz w:val="20"/>
          <w:szCs w:val="20"/>
        </w:rPr>
        <w:t xml:space="preserve"> the Fiscal Management Information System (FMIS) and Statewide Transportation Improvement Programs (STIPs) to prepare reports</w:t>
      </w:r>
      <w:r w:rsidR="00A80778">
        <w:rPr>
          <w:rFonts w:ascii="Arial" w:hAnsi="Arial" w:cs="Arial"/>
          <w:sz w:val="20"/>
          <w:szCs w:val="20"/>
        </w:rPr>
        <w:t>.</w:t>
      </w:r>
    </w:p>
    <w:p w:rsidR="006A4E03" w:rsidRPr="006A4E03" w:rsidP="005D73D1" w14:paraId="357C04EE" w14:textId="65E2F65C">
      <w:pPr>
        <w:numPr>
          <w:ilvl w:val="1"/>
          <w:numId w:val="1"/>
        </w:numPr>
        <w:ind w:left="720"/>
        <w:rPr>
          <w:rFonts w:ascii="Arial" w:hAnsi="Arial" w:cs="Arial"/>
          <w:sz w:val="20"/>
          <w:szCs w:val="20"/>
        </w:rPr>
      </w:pPr>
      <w:r>
        <w:rPr>
          <w:rFonts w:ascii="Arial" w:hAnsi="Arial" w:cs="Arial"/>
          <w:sz w:val="20"/>
          <w:szCs w:val="20"/>
        </w:rPr>
        <w:t>A</w:t>
      </w:r>
      <w:r w:rsidRPr="006A4E03">
        <w:rPr>
          <w:rFonts w:ascii="Arial" w:hAnsi="Arial" w:cs="Arial"/>
          <w:sz w:val="20"/>
          <w:szCs w:val="20"/>
        </w:rPr>
        <w:t>nnual reporting on TAP and RTP project applications and project select</w:t>
      </w:r>
      <w:r w:rsidR="00FF3A2A">
        <w:rPr>
          <w:rFonts w:ascii="Arial" w:hAnsi="Arial" w:cs="Arial"/>
          <w:sz w:val="20"/>
          <w:szCs w:val="20"/>
        </w:rPr>
        <w:t>ions</w:t>
      </w:r>
      <w:r>
        <w:rPr>
          <w:rFonts w:ascii="Arial" w:hAnsi="Arial" w:cs="Arial"/>
          <w:sz w:val="20"/>
          <w:szCs w:val="20"/>
        </w:rPr>
        <w:t xml:space="preserve"> is required under 23 U.S.C. 133(h)(8)</w:t>
      </w:r>
      <w:r w:rsidRPr="006A4E03">
        <w:rPr>
          <w:rFonts w:ascii="Arial" w:hAnsi="Arial" w:cs="Arial"/>
          <w:sz w:val="20"/>
          <w:szCs w:val="20"/>
        </w:rPr>
        <w:t>. The FMIS provides information for obligated Federal-aid projects. The FMIS does not have data on applications received or selected. Of the applications received, many are not selected and those selected may not be obligated for one or more years after selection.</w:t>
      </w:r>
    </w:p>
    <w:p w:rsidR="006A4E03" w:rsidP="006A4E03" w14:paraId="71D5E8A3" w14:textId="0AF5397F">
      <w:pPr>
        <w:numPr>
          <w:ilvl w:val="1"/>
          <w:numId w:val="1"/>
        </w:numPr>
        <w:ind w:left="720"/>
        <w:rPr>
          <w:rFonts w:ascii="Arial" w:hAnsi="Arial" w:cs="Arial"/>
          <w:sz w:val="20"/>
          <w:szCs w:val="20"/>
        </w:rPr>
      </w:pPr>
      <w:r w:rsidRPr="006A4E03">
        <w:rPr>
          <w:rFonts w:ascii="Arial" w:hAnsi="Arial" w:cs="Arial"/>
          <w:sz w:val="20"/>
          <w:szCs w:val="20"/>
        </w:rPr>
        <w:t>The information in the STIPs does not include project applications, only projects selected to be funded. Additionally, STIPs may group similar projects, such as TAP and RTP projects (and may not have the level of detail required for individual projects in accordance with 23 U.S.C. 133(h)(8)</w:t>
      </w:r>
      <w:r w:rsidR="00A80778">
        <w:rPr>
          <w:rFonts w:ascii="Arial" w:hAnsi="Arial" w:cs="Arial"/>
          <w:sz w:val="20"/>
          <w:szCs w:val="20"/>
        </w:rPr>
        <w:t>)</w:t>
      </w:r>
      <w:r w:rsidRPr="006A4E03">
        <w:rPr>
          <w:rFonts w:ascii="Arial" w:hAnsi="Arial" w:cs="Arial"/>
          <w:sz w:val="20"/>
          <w:szCs w:val="20"/>
        </w:rPr>
        <w:t>.</w:t>
      </w:r>
    </w:p>
    <w:p w:rsidR="007B289B" w:rsidRPr="006A4E03" w:rsidP="005D73D1" w14:paraId="364AAEAD" w14:textId="77777777">
      <w:pPr>
        <w:numPr>
          <w:ilvl w:val="1"/>
          <w:numId w:val="1"/>
        </w:numPr>
        <w:ind w:left="720"/>
        <w:rPr>
          <w:rFonts w:ascii="Arial" w:hAnsi="Arial" w:cs="Arial"/>
          <w:sz w:val="20"/>
          <w:szCs w:val="20"/>
        </w:rPr>
      </w:pPr>
      <w:r>
        <w:rPr>
          <w:rFonts w:ascii="Arial" w:hAnsi="Arial" w:cs="Arial"/>
          <w:sz w:val="20"/>
          <w:szCs w:val="20"/>
        </w:rPr>
        <w:t>This suggestion came from the Washington DOT.</w:t>
      </w:r>
    </w:p>
    <w:p w:rsidR="006819A5" w:rsidP="006819A5" w14:paraId="6A1BE741" w14:textId="77777777">
      <w:pPr>
        <w:pStyle w:val="BodyText"/>
        <w:numPr>
          <w:ilvl w:val="0"/>
          <w:numId w:val="1"/>
        </w:numPr>
        <w:rPr>
          <w:color w:val="auto"/>
        </w:rPr>
      </w:pPr>
      <w:bookmarkStart w:id="1" w:name="_Hlk226470297"/>
      <w:bookmarkStart w:id="2" w:name="_Hlk226526145"/>
      <w:r>
        <w:rPr>
          <w:color w:val="auto"/>
        </w:rPr>
        <w:t>Creat</w:t>
      </w:r>
      <w:r w:rsidR="006A4E03">
        <w:rPr>
          <w:color w:val="auto"/>
        </w:rPr>
        <w:t>e</w:t>
      </w:r>
      <w:r>
        <w:rPr>
          <w:color w:val="auto"/>
        </w:rPr>
        <w:t xml:space="preserve"> a web platform for reports.</w:t>
      </w:r>
    </w:p>
    <w:p w:rsidR="006A4E03" w:rsidP="006A4E03" w14:paraId="4B83A299" w14:textId="33D59D8E">
      <w:pPr>
        <w:numPr>
          <w:ilvl w:val="1"/>
          <w:numId w:val="1"/>
        </w:numPr>
        <w:ind w:left="720"/>
        <w:rPr>
          <w:rFonts w:ascii="Arial" w:hAnsi="Arial" w:cs="Arial"/>
          <w:sz w:val="20"/>
          <w:szCs w:val="20"/>
        </w:rPr>
      </w:pPr>
      <w:r>
        <w:rPr>
          <w:rFonts w:ascii="Arial" w:hAnsi="Arial" w:cs="Arial"/>
          <w:sz w:val="20"/>
          <w:szCs w:val="20"/>
        </w:rPr>
        <w:t>A</w:t>
      </w:r>
      <w:r w:rsidRPr="006A4E03">
        <w:rPr>
          <w:rFonts w:ascii="Arial" w:hAnsi="Arial" w:cs="Arial"/>
          <w:sz w:val="20"/>
          <w:szCs w:val="20"/>
        </w:rPr>
        <w:t xml:space="preserve"> web format for creating, collecting, and sharing the TAP and RTP </w:t>
      </w:r>
      <w:r w:rsidR="00CE0E82">
        <w:rPr>
          <w:rFonts w:ascii="Arial" w:hAnsi="Arial" w:cs="Arial"/>
          <w:sz w:val="20"/>
          <w:szCs w:val="20"/>
        </w:rPr>
        <w:t xml:space="preserve">annual </w:t>
      </w:r>
      <w:r w:rsidRPr="006A4E03">
        <w:rPr>
          <w:rFonts w:ascii="Arial" w:hAnsi="Arial" w:cs="Arial"/>
          <w:sz w:val="20"/>
          <w:szCs w:val="20"/>
        </w:rPr>
        <w:t xml:space="preserve">reports could improve usability for FHWA, State DOTs, MPOs, and other users reading the annual reports. Developing a web submission format will require significant time and resources and may be explored in the future. </w:t>
      </w:r>
    </w:p>
    <w:p w:rsidR="006A4E03" w:rsidP="006A4E03" w14:paraId="14019656" w14:textId="77777777">
      <w:pPr>
        <w:numPr>
          <w:ilvl w:val="1"/>
          <w:numId w:val="1"/>
        </w:numPr>
        <w:ind w:left="720"/>
        <w:rPr>
          <w:rFonts w:ascii="Arial" w:hAnsi="Arial" w:cs="Arial"/>
          <w:sz w:val="20"/>
          <w:szCs w:val="20"/>
        </w:rPr>
      </w:pPr>
      <w:r w:rsidRPr="006A4E03">
        <w:rPr>
          <w:rFonts w:ascii="Arial" w:hAnsi="Arial" w:cs="Arial"/>
          <w:sz w:val="20"/>
          <w:szCs w:val="20"/>
        </w:rPr>
        <w:t>A web platform is not implementable for the FY 2025 report collection because it is more complex, necessitates more requirements gathering, and needs more security than the current Excel format.</w:t>
      </w:r>
    </w:p>
    <w:p w:rsidR="007B289B" w:rsidRPr="006A4E03" w:rsidP="005D73D1" w14:paraId="1BF1110D" w14:textId="77777777">
      <w:pPr>
        <w:numPr>
          <w:ilvl w:val="1"/>
          <w:numId w:val="1"/>
        </w:numPr>
        <w:ind w:left="720"/>
        <w:rPr>
          <w:rFonts w:ascii="Arial" w:hAnsi="Arial" w:cs="Arial"/>
          <w:sz w:val="20"/>
          <w:szCs w:val="20"/>
        </w:rPr>
      </w:pPr>
      <w:r>
        <w:rPr>
          <w:rFonts w:ascii="Arial" w:hAnsi="Arial" w:cs="Arial"/>
          <w:sz w:val="20"/>
          <w:szCs w:val="20"/>
        </w:rPr>
        <w:t>This suggestion came from the Texas DOT.</w:t>
      </w:r>
    </w:p>
    <w:bookmarkEnd w:id="0"/>
    <w:bookmarkEnd w:id="1"/>
    <w:bookmarkEnd w:id="2"/>
    <w:p w:rsidR="00D54A2E" w:rsidRPr="007F354D" w14:paraId="0A27CEDB" w14:textId="77777777">
      <w:pPr>
        <w:pStyle w:val="BodyText"/>
        <w:rPr>
          <w:color w:val="auto"/>
        </w:rPr>
      </w:pPr>
    </w:p>
    <w:p w:rsidR="00CA121E" w:rsidRPr="007F354D" w14:paraId="343764B3" w14:textId="6F60033D">
      <w:pPr>
        <w:pStyle w:val="BodyText"/>
        <w:rPr>
          <w:color w:val="auto"/>
        </w:rPr>
      </w:pPr>
      <w:r w:rsidRPr="007F354D">
        <w:rPr>
          <w:color w:val="auto"/>
        </w:rPr>
        <w:t xml:space="preserve">The 30-day Federal Register notice intended to notify the public this information collection was submitted to OMB for review and approval was published on </w:t>
      </w:r>
      <w:r w:rsidRPr="007F354D" w:rsidR="007F354D">
        <w:rPr>
          <w:color w:val="auto"/>
        </w:rPr>
        <w:t>June 26, 2026</w:t>
      </w:r>
      <w:r w:rsidRPr="007F354D">
        <w:rPr>
          <w:color w:val="auto"/>
        </w:rPr>
        <w:t>, at [</w:t>
      </w:r>
      <w:r w:rsidRPr="007F354D" w:rsidR="007F354D">
        <w:rPr>
          <w:color w:val="auto"/>
        </w:rPr>
        <w:t>91 FR 38760</w:t>
      </w:r>
      <w:r w:rsidRPr="007F354D">
        <w:rPr>
          <w:color w:val="auto"/>
        </w:rPr>
        <w:t>].</w:t>
      </w:r>
    </w:p>
    <w:p w:rsidR="00024C43" w:rsidRPr="0064269F" w:rsidP="0064269F" w14:paraId="4C1F0942"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E325DC" w14:paraId="5DB307D6" w14:textId="77777777">
      <w:pPr>
        <w:pStyle w:val="BodyText"/>
        <w:rPr>
          <w:color w:val="auto"/>
        </w:rPr>
      </w:pPr>
      <w:r w:rsidRPr="00E325DC">
        <w:rPr>
          <w:color w:val="auto"/>
        </w:rPr>
        <w:t>Not applicable.</w:t>
      </w:r>
    </w:p>
    <w:p w:rsidR="00024C43" w:rsidRPr="0064269F" w:rsidP="0064269F" w14:paraId="384074EF"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BD1BF2" w:rsidRPr="00E325DC" w14:paraId="1BD2C6A6" w14:textId="77777777">
      <w:pPr>
        <w:pStyle w:val="BodyText"/>
        <w:rPr>
          <w:color w:val="auto"/>
        </w:rPr>
      </w:pPr>
      <w:r w:rsidRPr="00E325DC">
        <w:rPr>
          <w:color w:val="auto"/>
        </w:rPr>
        <w:t>Not applicable.</w:t>
      </w:r>
    </w:p>
    <w:p w:rsidR="00024C43" w:rsidRPr="0064269F" w:rsidP="0064269F" w14:paraId="001B8F46"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E325DC" w14:paraId="3C54100D" w14:textId="77777777">
      <w:pPr>
        <w:pStyle w:val="BodyText"/>
        <w:rPr>
          <w:color w:val="auto"/>
        </w:rPr>
      </w:pPr>
      <w:r w:rsidRPr="00E325DC">
        <w:rPr>
          <w:color w:val="auto"/>
        </w:rPr>
        <w:t>Not applicable.</w:t>
      </w:r>
    </w:p>
    <w:p w:rsidR="00BD1BF2" w14:paraId="7FF88F39"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367B85" w14:paraId="7D9B7763" w14:textId="77777777">
      <w:pPr>
        <w:pStyle w:val="NormalWeb"/>
        <w:rPr>
          <w:rFonts w:ascii="Arial" w:hAnsi="Arial" w:cs="Arial"/>
          <w:sz w:val="20"/>
          <w:szCs w:val="20"/>
        </w:rPr>
      </w:pPr>
      <w:r>
        <w:rPr>
          <w:rFonts w:ascii="Arial" w:hAnsi="Arial" w:cs="Arial"/>
          <w:sz w:val="20"/>
          <w:szCs w:val="20"/>
        </w:rPr>
        <w:t>FHWA estimates the average burden for a respondent is 40 hours, but may range from 1 to 100 hours. Some States do not solicit or receive applications in a given year, which makes TAP and RTP Report collection very quick. Others may require significant time investments to identify and collate application and selection data.</w:t>
      </w:r>
      <w:r w:rsidR="002E4801">
        <w:rPr>
          <w:rFonts w:ascii="Arial" w:hAnsi="Arial" w:cs="Arial"/>
          <w:sz w:val="20"/>
          <w:szCs w:val="20"/>
        </w:rPr>
        <w:t xml:space="preserve"> </w:t>
      </w:r>
      <w:r w:rsidR="00B349F8">
        <w:rPr>
          <w:rFonts w:ascii="Arial" w:hAnsi="Arial" w:cs="Arial"/>
          <w:sz w:val="20"/>
          <w:szCs w:val="20"/>
        </w:rPr>
        <w:t>M</w:t>
      </w:r>
      <w:r w:rsidR="002E4801">
        <w:rPr>
          <w:rFonts w:ascii="Arial" w:hAnsi="Arial" w:cs="Arial"/>
          <w:sz w:val="20"/>
          <w:szCs w:val="20"/>
        </w:rPr>
        <w:t xml:space="preserve">ost States can copy and paste information </w:t>
      </w:r>
      <w:r w:rsidR="00B349F8">
        <w:rPr>
          <w:rFonts w:ascii="Arial" w:hAnsi="Arial" w:cs="Arial"/>
          <w:sz w:val="20"/>
          <w:szCs w:val="20"/>
        </w:rPr>
        <w:t>they receive from project applications or from State documentation used to make project selections. The report does not require the States to generate new information that they do not already have available.</w:t>
      </w:r>
    </w:p>
    <w:p w:rsidR="006C0A99" w14:paraId="50401091" w14:textId="77777777">
      <w:pPr>
        <w:pStyle w:val="BodyText"/>
      </w:pPr>
    </w:p>
    <w:tbl>
      <w:tblPr>
        <w:tblW w:w="0" w:type="auto"/>
        <w:tblCellMar>
          <w:top w:w="15" w:type="dxa"/>
          <w:left w:w="15" w:type="dxa"/>
          <w:bottom w:w="15" w:type="dxa"/>
          <w:right w:w="15" w:type="dxa"/>
        </w:tblCellMar>
        <w:tblLook w:val="04A0"/>
      </w:tblPr>
      <w:tblGrid>
        <w:gridCol w:w="1204"/>
        <w:gridCol w:w="1402"/>
        <w:gridCol w:w="1296"/>
        <w:gridCol w:w="1381"/>
        <w:gridCol w:w="1213"/>
        <w:gridCol w:w="1227"/>
        <w:gridCol w:w="897"/>
      </w:tblGrid>
      <w:tr w14:paraId="0F4BD553" w14:textId="77777777" w:rsidTr="006C0A99">
        <w:tblPrEx>
          <w:tblW w:w="0" w:type="auto"/>
          <w:tblCellMar>
            <w:top w:w="15" w:type="dxa"/>
            <w:left w:w="15" w:type="dxa"/>
            <w:bottom w:w="15" w:type="dxa"/>
            <w:right w:w="15" w:type="dxa"/>
          </w:tblCellMar>
          <w:tblLook w:val="04A0"/>
        </w:tblPrEx>
        <w:trPr>
          <w:trHeight w:val="1312"/>
          <w:tblHead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44C87167" w14:textId="77777777">
            <w:pPr>
              <w:spacing w:after="58"/>
              <w:jc w:val="center"/>
              <w:rPr>
                <w:b/>
                <w:bCs/>
              </w:rPr>
            </w:pPr>
            <w:r w:rsidRPr="006C0A99">
              <w:rPr>
                <w:rFonts w:ascii="Arial" w:hAnsi="Arial" w:cs="Arial"/>
                <w:b/>
                <w:bCs/>
                <w:color w:val="000000"/>
                <w:sz w:val="18"/>
                <w:szCs w:val="18"/>
              </w:rPr>
              <w:t>Project Stage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58B35761" w14:textId="77777777">
            <w:pPr>
              <w:spacing w:after="240"/>
              <w:jc w:val="center"/>
              <w:rPr>
                <w:b/>
                <w:bCs/>
              </w:rPr>
            </w:pPr>
          </w:p>
          <w:p w:rsidR="006C0A99" w:rsidRPr="006C0A99" w:rsidP="006C0A99" w14:paraId="732C11B5" w14:textId="77777777">
            <w:pPr>
              <w:spacing w:after="58"/>
              <w:jc w:val="center"/>
              <w:rPr>
                <w:b/>
                <w:bCs/>
              </w:rPr>
            </w:pPr>
            <w:r w:rsidRPr="006C0A99">
              <w:rPr>
                <w:rFonts w:ascii="Arial" w:hAnsi="Arial" w:cs="Arial"/>
                <w:b/>
                <w:bCs/>
                <w:color w:val="000000"/>
                <w:sz w:val="18"/>
                <w:szCs w:val="18"/>
              </w:rPr>
              <w:t>Respondent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7CB0350D" w14:textId="77777777">
            <w:pPr>
              <w:jc w:val="center"/>
              <w:rPr>
                <w:b/>
                <w:bCs/>
              </w:rPr>
            </w:pPr>
          </w:p>
          <w:p w:rsidR="006C0A99" w:rsidRPr="006C0A99" w:rsidP="006C0A99" w14:paraId="0EF02DEF" w14:textId="77777777">
            <w:pPr>
              <w:jc w:val="center"/>
              <w:rPr>
                <w:b/>
                <w:bCs/>
              </w:rPr>
            </w:pPr>
            <w:r w:rsidRPr="006C0A99">
              <w:rPr>
                <w:rFonts w:ascii="Arial" w:hAnsi="Arial" w:cs="Arial"/>
                <w:b/>
                <w:bCs/>
                <w:color w:val="000000"/>
                <w:sz w:val="18"/>
                <w:szCs w:val="18"/>
              </w:rPr>
              <w:t>Task</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2F1EE731" w14:textId="77777777">
            <w:pPr>
              <w:jc w:val="center"/>
              <w:rPr>
                <w:b/>
                <w:bCs/>
              </w:rPr>
            </w:pPr>
          </w:p>
          <w:p w:rsidR="006C0A99" w:rsidRPr="006C0A99" w:rsidP="006C0A99" w14:paraId="4F981393" w14:textId="77777777">
            <w:pPr>
              <w:jc w:val="center"/>
              <w:rPr>
                <w:b/>
                <w:bCs/>
              </w:rPr>
            </w:pPr>
            <w:r w:rsidRPr="006C0A99">
              <w:rPr>
                <w:rFonts w:ascii="Arial" w:hAnsi="Arial" w:cs="Arial"/>
                <w:b/>
                <w:bCs/>
                <w:color w:val="000000"/>
                <w:sz w:val="18"/>
                <w:szCs w:val="18"/>
              </w:rPr>
              <w:t>No. of</w:t>
            </w:r>
          </w:p>
          <w:p w:rsidR="006C0A99" w:rsidRPr="006C0A99" w:rsidP="006C0A99" w14:paraId="1833C0E7" w14:textId="77777777">
            <w:pPr>
              <w:spacing w:after="58"/>
              <w:jc w:val="center"/>
              <w:rPr>
                <w:b/>
                <w:bCs/>
              </w:rPr>
            </w:pPr>
            <w:r w:rsidRPr="006C0A99">
              <w:rPr>
                <w:rFonts w:ascii="Arial" w:hAnsi="Arial" w:cs="Arial"/>
                <w:b/>
                <w:bCs/>
                <w:color w:val="000000"/>
                <w:sz w:val="18"/>
                <w:szCs w:val="18"/>
              </w:rPr>
              <w:t>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147C10DF" w14:textId="77777777">
            <w:pPr>
              <w:jc w:val="center"/>
              <w:rPr>
                <w:b/>
                <w:bCs/>
              </w:rPr>
            </w:pPr>
          </w:p>
          <w:p w:rsidR="006C0A99" w:rsidRPr="006C0A99" w:rsidP="006C0A99" w14:paraId="76A00244" w14:textId="77777777">
            <w:pPr>
              <w:jc w:val="center"/>
              <w:rPr>
                <w:b/>
                <w:bCs/>
              </w:rPr>
            </w:pPr>
            <w:r w:rsidRPr="006C0A99">
              <w:rPr>
                <w:rFonts w:ascii="Arial" w:hAnsi="Arial" w:cs="Arial"/>
                <w:b/>
                <w:bCs/>
                <w:color w:val="000000"/>
                <w:sz w:val="18"/>
                <w:szCs w:val="18"/>
              </w:rPr>
              <w:t>Frequency</w:t>
            </w:r>
          </w:p>
          <w:p w:rsidR="006C0A99" w:rsidRPr="006C0A99" w:rsidP="006C0A99" w14:paraId="7383E0F0" w14:textId="77777777">
            <w:pPr>
              <w:spacing w:after="58"/>
              <w:jc w:val="center"/>
              <w:rPr>
                <w:b/>
                <w:bCs/>
              </w:rPr>
            </w:pPr>
            <w:r w:rsidRPr="006C0A99">
              <w:rPr>
                <w:rFonts w:ascii="Arial" w:hAnsi="Arial" w:cs="Arial"/>
                <w:b/>
                <w:bCs/>
                <w:color w:val="000000"/>
                <w:sz w:val="18"/>
                <w:szCs w:val="18"/>
              </w:rPr>
              <w:t>of Responses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2559494E" w14:textId="77777777">
            <w:pPr>
              <w:spacing w:after="240"/>
              <w:jc w:val="center"/>
              <w:rPr>
                <w:b/>
                <w:bCs/>
              </w:rPr>
            </w:pPr>
            <w:r w:rsidRPr="006C0A99">
              <w:rPr>
                <w:b/>
                <w:bCs/>
              </w:rPr>
              <w:br/>
            </w:r>
          </w:p>
          <w:p w:rsidR="006C0A99" w:rsidRPr="006C0A99" w:rsidP="006C0A99" w14:paraId="6D5E0163" w14:textId="77777777">
            <w:pPr>
              <w:jc w:val="center"/>
              <w:rPr>
                <w:b/>
                <w:bCs/>
              </w:rPr>
            </w:pPr>
            <w:r w:rsidRPr="006C0A99">
              <w:rPr>
                <w:rFonts w:ascii="Arial" w:hAnsi="Arial" w:cs="Arial"/>
                <w:b/>
                <w:bCs/>
                <w:color w:val="000000"/>
                <w:sz w:val="18"/>
                <w:szCs w:val="18"/>
              </w:rPr>
              <w:t>Average Time (hours) per Response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20" w:type="dxa"/>
              <w:bottom w:w="0" w:type="dxa"/>
              <w:right w:w="120" w:type="dxa"/>
            </w:tcMar>
            <w:vAlign w:val="bottom"/>
            <w:hideMark/>
          </w:tcPr>
          <w:p w:rsidR="006C0A99" w:rsidRPr="006C0A99" w:rsidP="006C0A99" w14:paraId="4A681AD1" w14:textId="77777777">
            <w:pPr>
              <w:jc w:val="center"/>
              <w:rPr>
                <w:b/>
                <w:bCs/>
              </w:rPr>
            </w:pPr>
          </w:p>
          <w:p w:rsidR="006C0A99" w:rsidRPr="006C0A99" w:rsidP="006C0A99" w14:paraId="16D9947A" w14:textId="77777777">
            <w:pPr>
              <w:jc w:val="center"/>
              <w:rPr>
                <w:b/>
                <w:bCs/>
              </w:rPr>
            </w:pPr>
            <w:r w:rsidRPr="006C0A99">
              <w:rPr>
                <w:rFonts w:ascii="Arial" w:hAnsi="Arial" w:cs="Arial"/>
                <w:b/>
                <w:bCs/>
                <w:color w:val="000000"/>
                <w:sz w:val="18"/>
                <w:szCs w:val="18"/>
              </w:rPr>
              <w:t>Total Annual</w:t>
            </w:r>
          </w:p>
          <w:p w:rsidR="006C0A99" w:rsidRPr="006C0A99" w:rsidP="006C0A99" w14:paraId="3421C9EA" w14:textId="77777777">
            <w:pPr>
              <w:spacing w:after="58"/>
              <w:jc w:val="center"/>
              <w:rPr>
                <w:b/>
                <w:bCs/>
              </w:rPr>
            </w:pPr>
            <w:r w:rsidRPr="006C0A99">
              <w:rPr>
                <w:rFonts w:ascii="Arial" w:hAnsi="Arial" w:cs="Arial"/>
                <w:b/>
                <w:bCs/>
                <w:color w:val="000000"/>
                <w:sz w:val="18"/>
                <w:szCs w:val="18"/>
              </w:rPr>
              <w:t>Hour Burden</w:t>
            </w:r>
          </w:p>
        </w:tc>
      </w:tr>
      <w:tr w14:paraId="44738430" w14:textId="77777777" w:rsidTr="006C0A99">
        <w:tblPrEx>
          <w:tblW w:w="0" w:type="auto"/>
          <w:tblCellMar>
            <w:top w:w="15" w:type="dxa"/>
            <w:left w:w="15" w:type="dxa"/>
            <w:bottom w:w="15" w:type="dxa"/>
            <w:right w:w="15" w:type="dxa"/>
          </w:tblCellMar>
          <w:tblLook w:val="04A0"/>
        </w:tblPrEx>
        <w:trPr>
          <w:trHeight w:val="133"/>
        </w:trPr>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6B439748" w14:textId="77777777">
            <w:r>
              <w:rPr>
                <w:rFonts w:ascii="Arial" w:hAnsi="Arial" w:cs="Arial"/>
                <w:color w:val="000000"/>
                <w:sz w:val="18"/>
                <w:szCs w:val="18"/>
              </w:rPr>
              <w:t>Report Preparation</w:t>
            </w:r>
          </w:p>
        </w:tc>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1B0FA5F6" w14:textId="77777777">
            <w:r w:rsidRPr="006C0A99">
              <w:rPr>
                <w:rFonts w:ascii="Arial" w:hAnsi="Arial" w:cs="Arial"/>
                <w:color w:val="000000"/>
                <w:sz w:val="18"/>
                <w:szCs w:val="18"/>
              </w:rPr>
              <w:t>State Agencies</w:t>
            </w:r>
            <w:r>
              <w:rPr>
                <w:rFonts w:ascii="Arial" w:hAnsi="Arial" w:cs="Arial"/>
                <w:color w:val="000000"/>
                <w:sz w:val="18"/>
                <w:szCs w:val="18"/>
              </w:rPr>
              <w:t xml:space="preserve"> and </w:t>
            </w:r>
            <w:r w:rsidRPr="006C0A99">
              <w:rPr>
                <w:rFonts w:ascii="Arial" w:hAnsi="Arial" w:cs="Arial"/>
                <w:color w:val="000000"/>
                <w:sz w:val="18"/>
                <w:szCs w:val="18"/>
              </w:rPr>
              <w:t>District of Columbia</w:t>
            </w:r>
          </w:p>
        </w:tc>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C0A99" w:rsidRPr="006C0A99" w:rsidP="006C0A99" w14:paraId="425E8B22" w14:textId="77777777">
            <w:pPr>
              <w:jc w:val="center"/>
            </w:pPr>
            <w:r>
              <w:rPr>
                <w:rFonts w:ascii="Arial" w:hAnsi="Arial" w:cs="Arial"/>
                <w:color w:val="000000"/>
                <w:sz w:val="18"/>
                <w:szCs w:val="18"/>
              </w:rPr>
              <w:t>Fill application and selection data into report template.</w:t>
            </w:r>
          </w:p>
        </w:tc>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400C7D1B" w14:textId="77777777"/>
          <w:p w:rsidR="006C0A99" w:rsidRPr="006C0A99" w:rsidP="006C0A99" w14:paraId="3A2841E9" w14:textId="77777777">
            <w:pPr>
              <w:jc w:val="center"/>
            </w:pPr>
            <w:r>
              <w:rPr>
                <w:rFonts w:ascii="Arial" w:hAnsi="Arial" w:cs="Arial"/>
                <w:color w:val="000000"/>
                <w:sz w:val="18"/>
                <w:szCs w:val="18"/>
              </w:rPr>
              <w:t>51</w:t>
            </w:r>
          </w:p>
          <w:p w:rsidR="006C0A99" w:rsidRPr="006C0A99" w:rsidP="006C0A99" w14:paraId="35755DF7" w14:textId="77777777">
            <w:pPr>
              <w:spacing w:after="240"/>
            </w:pPr>
          </w:p>
        </w:tc>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72A289CB" w14:textId="77777777"/>
          <w:p w:rsidR="006C0A99" w:rsidRPr="006C0A99" w:rsidP="006C0A99" w14:paraId="608D325F" w14:textId="77777777">
            <w:pPr>
              <w:jc w:val="center"/>
            </w:pPr>
            <w:r w:rsidRPr="006C0A99">
              <w:rPr>
                <w:rFonts w:ascii="Arial" w:hAnsi="Arial" w:cs="Arial"/>
                <w:color w:val="000000"/>
                <w:sz w:val="18"/>
                <w:szCs w:val="18"/>
              </w:rPr>
              <w:t>Annually</w:t>
            </w:r>
          </w:p>
          <w:p w:rsidR="006C0A99" w:rsidRPr="006C0A99" w:rsidP="006C0A99" w14:paraId="23D249A5" w14:textId="77777777">
            <w:pPr>
              <w:spacing w:after="240"/>
            </w:pPr>
          </w:p>
        </w:tc>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555FFE54" w14:textId="77777777"/>
          <w:p w:rsidR="006C0A99" w:rsidRPr="006C0A99" w:rsidP="006C0A99" w14:paraId="5EACCFFB" w14:textId="6CADA03E">
            <w:pPr>
              <w:jc w:val="center"/>
            </w:pPr>
            <w:r>
              <w:rPr>
                <w:rFonts w:ascii="Arial" w:hAnsi="Arial" w:cs="Arial"/>
                <w:color w:val="000000"/>
                <w:sz w:val="18"/>
                <w:szCs w:val="18"/>
              </w:rPr>
              <w:t>40</w:t>
            </w:r>
          </w:p>
        </w:tc>
        <w:tc>
          <w:tcPr>
            <w:tcW w:w="0" w:type="auto"/>
            <w:tcBorders>
              <w:top w:val="single" w:sz="8"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26B3A681" w14:textId="77777777"/>
          <w:p w:rsidR="006C0A99" w:rsidRPr="006C0A99" w:rsidP="006C0A99" w14:paraId="55075FEE" w14:textId="77777777">
            <w:pPr>
              <w:jc w:val="center"/>
            </w:pPr>
            <w:r>
              <w:rPr>
                <w:rFonts w:ascii="Arial" w:hAnsi="Arial" w:cs="Arial"/>
                <w:color w:val="000000"/>
                <w:sz w:val="18"/>
                <w:szCs w:val="18"/>
              </w:rPr>
              <w:t>2040</w:t>
            </w:r>
          </w:p>
          <w:p w:rsidR="006C0A99" w:rsidRPr="006C0A99" w:rsidP="006C0A99" w14:paraId="16F808BA" w14:textId="77777777">
            <w:pPr>
              <w:spacing w:after="240"/>
            </w:pPr>
          </w:p>
        </w:tc>
      </w:tr>
      <w:tr w14:paraId="184158B8" w14:textId="77777777" w:rsidTr="006C0A99">
        <w:tblPrEx>
          <w:tblW w:w="0" w:type="auto"/>
          <w:tblCellMar>
            <w:top w:w="15" w:type="dxa"/>
            <w:left w:w="15" w:type="dxa"/>
            <w:bottom w:w="15" w:type="dxa"/>
            <w:right w:w="15" w:type="dxa"/>
          </w:tblCellMar>
          <w:tblLook w:val="04A0"/>
        </w:tblPrEx>
        <w:trPr>
          <w:trHeight w:val="457"/>
        </w:trPr>
        <w:tc>
          <w:tcPr>
            <w:tcW w:w="0" w:type="auto"/>
            <w:tcBorders>
              <w:top w:val="single" w:sz="6" w:space="0" w:color="000000"/>
              <w:left w:val="single" w:sz="6" w:space="0" w:color="000000"/>
              <w:bottom w:val="single" w:sz="8" w:space="0" w:color="000000"/>
              <w:right w:val="single" w:sz="6" w:space="0" w:color="000000"/>
            </w:tcBorders>
            <w:shd w:val="clear" w:color="auto" w:fill="FFFFFF"/>
            <w:tcMar>
              <w:top w:w="0" w:type="dxa"/>
              <w:left w:w="120" w:type="dxa"/>
              <w:bottom w:w="0" w:type="dxa"/>
              <w:right w:w="120" w:type="dxa"/>
            </w:tcMar>
            <w:hideMark/>
          </w:tcPr>
          <w:p w:rsidR="006C0A99" w:rsidRPr="006C0A99" w:rsidP="006C0A99" w14:paraId="1EA2FD41" w14:textId="77777777">
            <w:pPr>
              <w:jc w:val="center"/>
            </w:pPr>
            <w:r>
              <w:rPr>
                <w:rFonts w:ascii="Arial" w:hAnsi="Arial" w:cs="Arial"/>
                <w:color w:val="000000"/>
                <w:sz w:val="18"/>
                <w:szCs w:val="18"/>
              </w:rPr>
              <w:t>Report Updates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6C0A99" w:rsidRPr="006C0A99" w:rsidP="006C0A99" w14:paraId="6DDA7BF4" w14:textId="77777777"/>
          <w:p w:rsidR="006C0A99" w:rsidRPr="006C0A99" w:rsidP="006C0A99" w14:paraId="71D23B92" w14:textId="77777777">
            <w:pPr>
              <w:jc w:val="center"/>
            </w:pPr>
            <w:r>
              <w:rPr>
                <w:rFonts w:ascii="Arial" w:hAnsi="Arial" w:cs="Arial"/>
                <w:color w:val="000000"/>
                <w:sz w:val="18"/>
                <w:szCs w:val="18"/>
              </w:rPr>
              <w:t>State Agencies and District of Columbia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6C0A99" w:rsidRPr="006C0A99" w:rsidP="006C0A99" w14:paraId="29443AAA" w14:textId="77777777">
            <w:pPr>
              <w:jc w:val="center"/>
            </w:pPr>
            <w:r>
              <w:rPr>
                <w:rFonts w:ascii="Arial" w:hAnsi="Arial" w:cs="Arial"/>
                <w:color w:val="000000"/>
                <w:sz w:val="18"/>
                <w:szCs w:val="18"/>
              </w:rPr>
              <w:t>Respond to FHWA comments and edits to report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6C0A99" w:rsidRPr="006C0A99" w:rsidP="006C0A99" w14:paraId="398B5184" w14:textId="77777777">
            <w:pPr>
              <w:jc w:val="center"/>
            </w:pPr>
            <w:r>
              <w:rPr>
                <w:rFonts w:ascii="Arial" w:hAnsi="Arial" w:cs="Arial"/>
                <w:color w:val="000000"/>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6C0A99" w:rsidRPr="006C0A99" w:rsidP="006C0A99" w14:paraId="30C312EA" w14:textId="77777777">
            <w:pPr>
              <w:jc w:val="center"/>
            </w:pPr>
            <w:r w:rsidRPr="006C0A99">
              <w:rPr>
                <w:rFonts w:ascii="Arial" w:hAnsi="Arial" w:cs="Arial"/>
                <w:color w:val="000000"/>
                <w:sz w:val="18"/>
                <w:szCs w:val="18"/>
              </w:rPr>
              <w:t>Annually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6C0A99" w:rsidRPr="006C0A99" w:rsidP="006C0A99" w14:paraId="46B96C4E" w14:textId="77777777">
            <w:pPr>
              <w:jc w:val="center"/>
            </w:pPr>
            <w:r>
              <w:rPr>
                <w:rFonts w:ascii="Arial" w:hAnsi="Arial" w:cs="Arial"/>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6C0A99" w:rsidRPr="006C0A99" w:rsidP="006C0A99" w14:paraId="527CC93F" w14:textId="77777777">
            <w:pPr>
              <w:jc w:val="center"/>
            </w:pPr>
            <w:r>
              <w:rPr>
                <w:rFonts w:ascii="Arial" w:hAnsi="Arial" w:cs="Arial"/>
                <w:color w:val="000000"/>
                <w:sz w:val="18"/>
                <w:szCs w:val="18"/>
              </w:rPr>
              <w:t>51</w:t>
            </w:r>
          </w:p>
        </w:tc>
      </w:tr>
      <w:tr w14:paraId="5810650C" w14:textId="77777777" w:rsidTr="006C0A99">
        <w:tblPrEx>
          <w:tblW w:w="0" w:type="auto"/>
          <w:tblCellMar>
            <w:top w:w="15" w:type="dxa"/>
            <w:left w:w="15" w:type="dxa"/>
            <w:bottom w:w="15" w:type="dxa"/>
            <w:right w:w="15" w:type="dxa"/>
          </w:tblCellMar>
          <w:tblLook w:val="04A0"/>
        </w:tblPrEx>
        <w:trPr>
          <w:trHeight w:val="457"/>
        </w:trPr>
        <w:tc>
          <w:tcPr>
            <w:tcW w:w="0" w:type="auto"/>
            <w:tcBorders>
              <w:top w:val="single" w:sz="8" w:space="0" w:color="000000"/>
              <w:right w:val="single" w:sz="8" w:space="0" w:color="000000"/>
            </w:tcBorders>
            <w:tcMar>
              <w:top w:w="0" w:type="dxa"/>
              <w:left w:w="120" w:type="dxa"/>
              <w:bottom w:w="0" w:type="dxa"/>
              <w:right w:w="120" w:type="dxa"/>
            </w:tcMar>
            <w:hideMark/>
          </w:tcPr>
          <w:p w:rsidR="006C0A99" w:rsidRPr="006C0A99" w:rsidP="006C0A99" w14:paraId="1DF554BA" w14:textId="77777777"/>
        </w:tc>
        <w:tc>
          <w:tcPr>
            <w:tcW w:w="0" w:type="auto"/>
            <w:tcBorders>
              <w:top w:val="single" w:sz="6" w:space="0" w:color="000000"/>
              <w:left w:val="single" w:sz="8"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67C01ACA" w14:textId="77777777"/>
          <w:p w:rsidR="006C0A99" w:rsidRPr="006C0A99" w:rsidP="006C0A99" w14:paraId="4FD0B290" w14:textId="77777777">
            <w:pPr>
              <w:spacing w:after="58"/>
              <w:outlineLvl w:val="1"/>
              <w:rPr>
                <w:b/>
                <w:bCs/>
                <w:sz w:val="36"/>
                <w:szCs w:val="36"/>
              </w:rPr>
            </w:pPr>
            <w:r w:rsidRPr="006C0A99">
              <w:rPr>
                <w:rFonts w:ascii="Arial" w:hAnsi="Arial" w:cs="Arial"/>
                <w:b/>
                <w:bCs/>
                <w:color w:val="000000"/>
                <w:sz w:val="18"/>
                <w:szCs w:val="18"/>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145F2FD5" w14:textId="77777777"/>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C0A99" w:rsidRPr="006C0A99" w:rsidP="006C0A99" w14:paraId="22BAB8FA" w14:textId="77777777"/>
          <w:p w:rsidR="006C0A99" w:rsidRPr="006C0A99" w:rsidP="006C0A99" w14:paraId="705703F1" w14:textId="77777777">
            <w:pPr>
              <w:spacing w:after="58"/>
              <w:jc w:val="center"/>
            </w:pPr>
            <w:r>
              <w:rPr>
                <w:rFonts w:ascii="Arial" w:hAnsi="Arial" w:cs="Arial"/>
                <w:b/>
                <w:bCs/>
                <w:color w:val="000000"/>
                <w:sz w:val="18"/>
                <w:szCs w:val="18"/>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C0A99" w:rsidRPr="006C0A99" w:rsidP="006C0A99" w14:paraId="553F2C6F" w14:textId="77777777">
            <w:pPr>
              <w:spacing w:after="240"/>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C0A99" w:rsidRPr="006C0A99" w:rsidP="006C0A99" w14:paraId="73989023" w14:textId="77777777"/>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C0A99" w:rsidRPr="006C0A99" w:rsidP="006C0A99" w14:paraId="3EDE8B8C" w14:textId="77777777"/>
          <w:p w:rsidR="006C0A99" w:rsidRPr="006C0A99" w:rsidP="006C0A99" w14:paraId="7A9C4502" w14:textId="77777777">
            <w:pPr>
              <w:spacing w:after="58"/>
              <w:jc w:val="center"/>
            </w:pPr>
            <w:r>
              <w:rPr>
                <w:rFonts w:ascii="Arial" w:hAnsi="Arial" w:cs="Arial"/>
                <w:b/>
                <w:bCs/>
                <w:color w:val="000000"/>
                <w:sz w:val="18"/>
                <w:szCs w:val="18"/>
              </w:rPr>
              <w:t>2091</w:t>
            </w:r>
          </w:p>
        </w:tc>
      </w:tr>
    </w:tbl>
    <w:p w:rsidR="006C0A99" w14:paraId="08015900" w14:textId="77777777">
      <w:pPr>
        <w:pStyle w:val="BodyText"/>
      </w:pPr>
    </w:p>
    <w:p w:rsidR="006C0A99" w:rsidRPr="006C0A99" w:rsidP="006C0A99" w14:paraId="36C00E19" w14:textId="77777777">
      <w:r w:rsidRPr="006C0A99">
        <w:rPr>
          <w:rFonts w:ascii="Arial" w:hAnsi="Arial" w:cs="Arial"/>
          <w:color w:val="000000"/>
          <w:sz w:val="20"/>
          <w:szCs w:val="20"/>
        </w:rPr>
        <w:t>Total labor cost for application preparation, grant funding agreement preparation, and periodic reporting is estimated as $</w:t>
      </w:r>
      <w:r>
        <w:rPr>
          <w:rFonts w:ascii="Arial" w:hAnsi="Arial" w:cs="Arial"/>
          <w:color w:val="000000"/>
          <w:sz w:val="20"/>
          <w:szCs w:val="20"/>
        </w:rPr>
        <w:t>117,367.83</w:t>
      </w:r>
      <w:r w:rsidRPr="006C0A99">
        <w:rPr>
          <w:rFonts w:ascii="Arial" w:hAnsi="Arial" w:cs="Arial"/>
          <w:color w:val="000000"/>
          <w:sz w:val="20"/>
          <w:szCs w:val="20"/>
        </w:rPr>
        <w:t xml:space="preserve"> (</w:t>
      </w:r>
      <w:r>
        <w:rPr>
          <w:rFonts w:ascii="Arial" w:hAnsi="Arial" w:cs="Arial"/>
          <w:color w:val="000000"/>
          <w:sz w:val="20"/>
          <w:szCs w:val="20"/>
        </w:rPr>
        <w:t>2091</w:t>
      </w:r>
      <w:r w:rsidRPr="006C0A99">
        <w:rPr>
          <w:rFonts w:ascii="Arial" w:hAnsi="Arial" w:cs="Arial"/>
          <w:color w:val="000000"/>
          <w:sz w:val="20"/>
          <w:szCs w:val="20"/>
        </w:rPr>
        <w:t xml:space="preserve"> hours x $56.13).  </w:t>
      </w:r>
    </w:p>
    <w:p w:rsidR="006C0A99" w:rsidRPr="006C0A99" w:rsidP="006C0A99" w14:paraId="00E9984C" w14:textId="77777777"/>
    <w:tbl>
      <w:tblPr>
        <w:tblW w:w="0" w:type="auto"/>
        <w:tblCellMar>
          <w:top w:w="15" w:type="dxa"/>
          <w:left w:w="15" w:type="dxa"/>
          <w:bottom w:w="15" w:type="dxa"/>
          <w:right w:w="15" w:type="dxa"/>
        </w:tblCellMar>
        <w:tblLook w:val="04A0"/>
      </w:tblPr>
      <w:tblGrid>
        <w:gridCol w:w="3190"/>
        <w:gridCol w:w="1942"/>
        <w:gridCol w:w="1751"/>
        <w:gridCol w:w="1747"/>
      </w:tblGrid>
      <w:tr w14:paraId="43E3747A" w14:textId="77777777" w:rsidTr="006C0A99">
        <w:tblPrEx>
          <w:tblW w:w="0" w:type="auto"/>
          <w:tblCellMar>
            <w:top w:w="15" w:type="dxa"/>
            <w:left w:w="15" w:type="dxa"/>
            <w:bottom w:w="15" w:type="dxa"/>
            <w:right w:w="15" w:type="dxa"/>
          </w:tblCellMar>
          <w:tblLook w:val="04A0"/>
        </w:tblPrEx>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1C844C77" w14:textId="77777777">
            <w:pPr>
              <w:jc w:val="center"/>
            </w:pPr>
            <w:r w:rsidRPr="006C0A99">
              <w:rPr>
                <w:rFonts w:ascii="Arial" w:hAnsi="Arial" w:cs="Arial"/>
                <w:b/>
                <w:bCs/>
                <w:color w:val="000000"/>
                <w:sz w:val="20"/>
                <w:szCs w:val="20"/>
              </w:rPr>
              <w:t>Total Labor Cost</w:t>
            </w:r>
          </w:p>
          <w:p w:rsidR="006C0A99" w:rsidRPr="006C0A99" w:rsidP="006C0A99" w14:paraId="1A763532" w14:textId="77777777"/>
        </w:tc>
      </w:tr>
      <w:tr w14:paraId="242F49CF" w14:textId="77777777" w:rsidTr="006C0A99">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07F83C16" w14:textId="77777777">
            <w:r w:rsidRPr="006C0A99">
              <w:rPr>
                <w:rFonts w:ascii="Arial" w:hAnsi="Arial" w:cs="Arial"/>
                <w:b/>
                <w:bCs/>
                <w:color w:val="000000"/>
                <w:sz w:val="20"/>
                <w:szCs w:val="20"/>
              </w:rPr>
              <w:t>Respondent</w:t>
            </w:r>
          </w:p>
          <w:p w:rsidR="006C0A99" w:rsidRPr="006C0A99" w:rsidP="006C0A99" w14:paraId="5925C5FF" w14:textId="7777777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1929B5B6" w14:textId="77777777">
            <w:r w:rsidRPr="006C0A99">
              <w:rPr>
                <w:rFonts w:ascii="Arial" w:hAnsi="Arial" w:cs="Arial"/>
                <w:b/>
                <w:bCs/>
                <w:color w:val="000000"/>
                <w:sz w:val="20"/>
                <w:szCs w:val="20"/>
              </w:rPr>
              <w:t>Total Burden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702CB412" w14:textId="77777777">
            <w:r w:rsidRPr="006C0A99">
              <w:rPr>
                <w:rFonts w:ascii="Arial" w:hAnsi="Arial" w:cs="Arial"/>
                <w:b/>
                <w:bCs/>
                <w:color w:val="000000"/>
                <w:sz w:val="20"/>
                <w:szCs w:val="20"/>
              </w:rPr>
              <w:t>Mean Wage Rate</w:t>
            </w:r>
            <w:r>
              <w:rPr>
                <w:rStyle w:val="FootnoteReference"/>
                <w:rFonts w:ascii="Arial" w:hAnsi="Arial" w:cs="Arial"/>
                <w:b/>
                <w:bCs/>
                <w:color w:val="000000"/>
                <w:sz w:val="20"/>
                <w:szCs w:val="20"/>
              </w:rPr>
              <w:footnoteReference w:id="2"/>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7E051623" w14:textId="77777777">
            <w:r w:rsidRPr="006C0A99">
              <w:rPr>
                <w:rFonts w:ascii="Arial" w:hAnsi="Arial" w:cs="Arial"/>
                <w:b/>
                <w:bCs/>
                <w:color w:val="000000"/>
                <w:sz w:val="20"/>
                <w:szCs w:val="20"/>
              </w:rPr>
              <w:t>Total Labor Cost</w:t>
            </w:r>
          </w:p>
        </w:tc>
      </w:tr>
      <w:tr w14:paraId="7A5D48AA" w14:textId="77777777" w:rsidTr="006C0A99">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452F3EE0" w14:textId="77777777">
            <w:r w:rsidRPr="006C0A99">
              <w:rPr>
                <w:rFonts w:ascii="Arial" w:hAnsi="Arial" w:cs="Arial"/>
                <w:color w:val="000000"/>
                <w:sz w:val="20"/>
                <w:szCs w:val="20"/>
              </w:rPr>
              <w:t>State</w:t>
            </w:r>
            <w:r>
              <w:rPr>
                <w:rFonts w:ascii="Arial" w:hAnsi="Arial" w:cs="Arial"/>
                <w:color w:val="000000"/>
                <w:sz w:val="20"/>
                <w:szCs w:val="20"/>
              </w:rPr>
              <w:t xml:space="preserve"> and District of Columbia</w:t>
            </w:r>
            <w:r w:rsidRPr="006C0A99">
              <w:rPr>
                <w:rFonts w:ascii="Arial" w:hAnsi="Arial" w:cs="Arial"/>
                <w:color w:val="000000"/>
                <w:sz w:val="20"/>
                <w:szCs w:val="20"/>
              </w:rPr>
              <w:t xml:space="preserve"> DOT</w:t>
            </w:r>
            <w:r>
              <w:rPr>
                <w:rFonts w:ascii="Arial" w:hAnsi="Arial" w:cs="Arial"/>
                <w:color w:val="000000"/>
                <w:sz w:val="20"/>
                <w:szCs w:val="20"/>
              </w:rPr>
              <w:t>s</w:t>
            </w:r>
          </w:p>
          <w:p w:rsidR="006C0A99" w:rsidRPr="006C0A99" w:rsidP="006C0A99" w14:paraId="408BE573" w14:textId="7777777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51EE50F5" w14:textId="77777777">
            <w:pPr>
              <w:jc w:val="center"/>
            </w:pPr>
            <w:r>
              <w:rPr>
                <w:rFonts w:ascii="Arial" w:hAnsi="Arial" w:cs="Arial"/>
                <w:color w:val="000000"/>
                <w:sz w:val="20"/>
                <w:szCs w:val="20"/>
              </w:rPr>
              <w:t>2091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3EA49B39" w14:textId="77777777">
            <w:pPr>
              <w:jc w:val="center"/>
            </w:pPr>
            <w:r w:rsidRPr="006C0A99">
              <w:rPr>
                <w:rFonts w:ascii="Arial" w:hAnsi="Arial" w:cs="Arial"/>
                <w:color w:val="000000"/>
                <w:sz w:val="20"/>
                <w:szCs w:val="20"/>
              </w:rPr>
              <w:t>$56.13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A99" w:rsidRPr="006C0A99" w:rsidP="006C0A99" w14:paraId="4BE3B9D7" w14:textId="77777777">
            <w:pPr>
              <w:jc w:val="center"/>
            </w:pPr>
            <w:r w:rsidRPr="006C0A99">
              <w:rPr>
                <w:rFonts w:ascii="Arial" w:hAnsi="Arial" w:cs="Arial"/>
                <w:color w:val="000000"/>
                <w:sz w:val="20"/>
                <w:szCs w:val="20"/>
              </w:rPr>
              <w:t>$</w:t>
            </w:r>
            <w:r>
              <w:rPr>
                <w:rFonts w:ascii="Arial" w:hAnsi="Arial" w:cs="Arial"/>
                <w:color w:val="000000"/>
                <w:sz w:val="20"/>
                <w:szCs w:val="20"/>
              </w:rPr>
              <w:t>117,367.83</w:t>
            </w:r>
          </w:p>
        </w:tc>
      </w:tr>
    </w:tbl>
    <w:p w:rsidR="006C0A99" w14:paraId="67B9A09C" w14:textId="77777777">
      <w:pPr>
        <w:pStyle w:val="BodyText"/>
      </w:pPr>
    </w:p>
    <w:p w:rsidR="00024C43" w:rsidRPr="0064269F" w:rsidP="0064269F" w14:paraId="57536E71"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BD1BF2" w:rsidRPr="00E325DC" w14:paraId="36C0C2DD" w14:textId="77777777">
      <w:pPr>
        <w:pStyle w:val="BodyText"/>
        <w:rPr>
          <w:color w:val="auto"/>
        </w:rPr>
      </w:pPr>
      <w:r>
        <w:rPr>
          <w:color w:val="auto"/>
        </w:rPr>
        <w:t>FHWA</w:t>
      </w:r>
      <w:r w:rsidRPr="00E325DC" w:rsidR="00E325DC">
        <w:rPr>
          <w:color w:val="auto"/>
        </w:rPr>
        <w:t xml:space="preserve"> estimate</w:t>
      </w:r>
      <w:r>
        <w:rPr>
          <w:color w:val="auto"/>
        </w:rPr>
        <w:t>s</w:t>
      </w:r>
      <w:r w:rsidRPr="00E325DC" w:rsidR="00E325DC">
        <w:rPr>
          <w:color w:val="auto"/>
        </w:rPr>
        <w:t xml:space="preserve"> there is no cost to respondents beyond labor hours for collection.</w:t>
      </w:r>
    </w:p>
    <w:p w:rsidR="00BD1BF2" w14:paraId="1C005BA6"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7E437E" w14:paraId="54C8AE18" w14:textId="77777777">
      <w:pPr>
        <w:pStyle w:val="BodyText"/>
      </w:pPr>
    </w:p>
    <w:tbl>
      <w:tblPr>
        <w:tblW w:w="0" w:type="auto"/>
        <w:tblCellMar>
          <w:top w:w="15" w:type="dxa"/>
          <w:left w:w="15" w:type="dxa"/>
          <w:bottom w:w="15" w:type="dxa"/>
          <w:right w:w="15" w:type="dxa"/>
        </w:tblCellMar>
        <w:tblLook w:val="04A0"/>
      </w:tblPr>
      <w:tblGrid>
        <w:gridCol w:w="2812"/>
        <w:gridCol w:w="1121"/>
        <w:gridCol w:w="862"/>
        <w:gridCol w:w="1440"/>
        <w:gridCol w:w="1980"/>
      </w:tblGrid>
      <w:tr w14:paraId="71192F23" w14:textId="77777777" w:rsidTr="00494C24">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494C24" w:rsidRPr="007E437E" w:rsidP="007E437E" w14:paraId="31CBB0CD" w14:textId="77777777">
            <w:pPr>
              <w:jc w:val="center"/>
            </w:pPr>
            <w:r w:rsidRPr="007E437E">
              <w:rPr>
                <w:rFonts w:ascii="Arial" w:hAnsi="Arial" w:cs="Arial"/>
                <w:b/>
                <w:bCs/>
                <w:color w:val="000000"/>
                <w:sz w:val="18"/>
                <w:szCs w:val="18"/>
              </w:rPr>
              <w:t>Labor Group</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494C24" w:rsidRPr="007E437E" w:rsidP="007E437E" w14:paraId="6E4A7965" w14:textId="77777777">
            <w:pPr>
              <w:jc w:val="center"/>
            </w:pPr>
            <w:r w:rsidRPr="007E437E">
              <w:rPr>
                <w:rFonts w:ascii="Arial" w:hAnsi="Arial" w:cs="Arial"/>
                <w:b/>
                <w:bCs/>
                <w:color w:val="000000"/>
                <w:sz w:val="18"/>
                <w:szCs w:val="18"/>
              </w:rPr>
              <w:t xml:space="preserve"># of Hours </w:t>
            </w:r>
          </w:p>
        </w:tc>
        <w:tc>
          <w:tcPr>
            <w:tcW w:w="862" w:type="dxa"/>
            <w:tcBorders>
              <w:top w:val="single" w:sz="4" w:space="0" w:color="000000"/>
              <w:left w:val="single" w:sz="4" w:space="0" w:color="000000"/>
              <w:bottom w:val="single" w:sz="4" w:space="0" w:color="000000"/>
              <w:right w:val="single" w:sz="4" w:space="0" w:color="000000"/>
            </w:tcBorders>
            <w:shd w:val="clear" w:color="auto" w:fill="D9D9D9"/>
          </w:tcPr>
          <w:p w:rsidR="00494C24" w:rsidRPr="007E437E" w:rsidP="007E437E" w14:paraId="3A1FF820" w14:textId="77777777">
            <w:pPr>
              <w:jc w:val="center"/>
              <w:rPr>
                <w:rFonts w:ascii="Arial" w:hAnsi="Arial" w:cs="Arial"/>
                <w:b/>
                <w:bCs/>
                <w:color w:val="000000"/>
                <w:sz w:val="18"/>
                <w:szCs w:val="18"/>
              </w:rPr>
            </w:pPr>
            <w:r>
              <w:rPr>
                <w:rFonts w:ascii="Arial" w:hAnsi="Arial" w:cs="Arial"/>
                <w:b/>
                <w:bCs/>
                <w:color w:val="000000"/>
                <w:sz w:val="18"/>
                <w:szCs w:val="18"/>
              </w:rPr>
              <w:t># of Staff</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494C24" w:rsidRPr="007E437E" w:rsidP="007E437E" w14:paraId="777EB4C5" w14:textId="77777777">
            <w:pPr>
              <w:jc w:val="center"/>
            </w:pPr>
            <w:r w:rsidRPr="007E437E">
              <w:rPr>
                <w:rFonts w:ascii="Arial" w:hAnsi="Arial" w:cs="Arial"/>
                <w:b/>
                <w:bCs/>
                <w:color w:val="000000"/>
                <w:sz w:val="18"/>
                <w:szCs w:val="18"/>
              </w:rPr>
              <w:t>Hourly Rate</w:t>
            </w:r>
            <w:r>
              <w:rPr>
                <w:rStyle w:val="FootnoteReference"/>
                <w:rFonts w:ascii="Arial" w:hAnsi="Arial" w:cs="Arial"/>
                <w:b/>
                <w:bCs/>
                <w:color w:val="000000"/>
                <w:sz w:val="18"/>
                <w:szCs w:val="18"/>
              </w:rPr>
              <w:footnoteReference w:id="3"/>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494C24" w:rsidRPr="007E437E" w:rsidP="007E437E" w14:paraId="52E9DEE7" w14:textId="77777777">
            <w:pPr>
              <w:jc w:val="center"/>
            </w:pPr>
            <w:r w:rsidRPr="007E437E">
              <w:rPr>
                <w:rFonts w:ascii="Arial" w:hAnsi="Arial" w:cs="Arial"/>
                <w:b/>
                <w:bCs/>
                <w:color w:val="000000"/>
                <w:sz w:val="18"/>
                <w:szCs w:val="18"/>
              </w:rPr>
              <w:t>Cost</w:t>
            </w:r>
          </w:p>
        </w:tc>
      </w:tr>
      <w:tr w14:paraId="489AB2F7" w14:textId="77777777" w:rsidTr="00494C24">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6E324F24" w14:textId="77777777">
            <w:pPr>
              <w:spacing w:before="120" w:after="120"/>
            </w:pPr>
            <w:r>
              <w:rPr>
                <w:rFonts w:ascii="Arial" w:hAnsi="Arial" w:cs="Arial"/>
                <w:color w:val="000000"/>
                <w:sz w:val="18"/>
                <w:szCs w:val="18"/>
              </w:rPr>
              <w:t>Federal Highways HQ GS 14-10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1B131AFB" w14:textId="77777777">
            <w:pPr>
              <w:spacing w:before="120" w:after="120"/>
              <w:jc w:val="right"/>
            </w:pPr>
            <w:r>
              <w:rPr>
                <w:rFonts w:ascii="Arial" w:hAnsi="Arial" w:cs="Arial"/>
                <w:color w:val="000000"/>
                <w:sz w:val="18"/>
                <w:szCs w:val="18"/>
              </w:rPr>
              <w:t>100</w:t>
            </w:r>
          </w:p>
        </w:tc>
        <w:tc>
          <w:tcPr>
            <w:tcW w:w="862" w:type="dxa"/>
            <w:tcBorders>
              <w:top w:val="single" w:sz="4" w:space="0" w:color="000000"/>
              <w:left w:val="single" w:sz="4" w:space="0" w:color="000000"/>
              <w:bottom w:val="single" w:sz="4" w:space="0" w:color="000000"/>
              <w:right w:val="single" w:sz="4" w:space="0" w:color="000000"/>
            </w:tcBorders>
          </w:tcPr>
          <w:p w:rsidR="00494C24" w:rsidRPr="007E437E" w:rsidP="00494C24" w14:paraId="46FECF3F" w14:textId="77777777">
            <w:pPr>
              <w:spacing w:before="120" w:after="120"/>
              <w:jc w:val="right"/>
              <w:rPr>
                <w:rFonts w:ascii="Arial" w:hAnsi="Arial" w:cs="Arial"/>
                <w:color w:val="000000"/>
                <w:sz w:val="18"/>
                <w:szCs w:val="18"/>
              </w:rPr>
            </w:pPr>
            <w:r>
              <w:rPr>
                <w:rFonts w:ascii="Arial" w:hAnsi="Arial" w:cs="Arial"/>
                <w:color w:val="000000"/>
                <w:sz w:val="18"/>
                <w:szCs w:val="1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38618957" w14:textId="77777777">
            <w:pPr>
              <w:spacing w:before="120" w:after="120"/>
              <w:jc w:val="right"/>
            </w:pPr>
            <w:r w:rsidRPr="007E437E">
              <w:rPr>
                <w:rFonts w:ascii="Arial" w:hAnsi="Arial" w:cs="Arial"/>
                <w:color w:val="000000"/>
                <w:sz w:val="18"/>
                <w:szCs w:val="18"/>
              </w:rPr>
              <w:t xml:space="preserve">$ </w:t>
            </w:r>
            <w:r>
              <w:rPr>
                <w:rFonts w:ascii="Arial" w:hAnsi="Arial" w:cs="Arial"/>
                <w:color w:val="000000"/>
                <w:sz w:val="18"/>
                <w:szCs w:val="18"/>
              </w:rPr>
              <w:t>89.95</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10DEA633" w14:textId="77777777">
            <w:pPr>
              <w:spacing w:before="120" w:after="120"/>
              <w:jc w:val="right"/>
            </w:pPr>
            <w:r w:rsidRPr="007E437E">
              <w:rPr>
                <w:rFonts w:ascii="Arial" w:hAnsi="Arial" w:cs="Arial"/>
                <w:color w:val="000000"/>
                <w:sz w:val="18"/>
                <w:szCs w:val="18"/>
              </w:rPr>
              <w:t xml:space="preserve">$ </w:t>
            </w:r>
            <w:r>
              <w:rPr>
                <w:rFonts w:ascii="Arial" w:hAnsi="Arial" w:cs="Arial"/>
                <w:color w:val="000000"/>
                <w:sz w:val="18"/>
                <w:szCs w:val="18"/>
              </w:rPr>
              <w:t>8,995</w:t>
            </w:r>
          </w:p>
        </w:tc>
      </w:tr>
      <w:tr w14:paraId="27F1898C" w14:textId="77777777" w:rsidTr="00494C24">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P="007E437E" w14:paraId="71D08FA9" w14:textId="77777777">
            <w:pPr>
              <w:spacing w:before="120" w:after="120"/>
              <w:rPr>
                <w:rFonts w:ascii="Arial" w:hAnsi="Arial" w:cs="Arial"/>
                <w:color w:val="000000"/>
                <w:sz w:val="18"/>
                <w:szCs w:val="18"/>
              </w:rPr>
            </w:pPr>
            <w:r>
              <w:rPr>
                <w:rFonts w:ascii="Arial" w:hAnsi="Arial" w:cs="Arial"/>
                <w:color w:val="000000"/>
                <w:sz w:val="18"/>
                <w:szCs w:val="18"/>
              </w:rPr>
              <w:t>Federal Highways HQ GS 13-3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P="007E437E" w14:paraId="69242FBE" w14:textId="77777777">
            <w:pPr>
              <w:spacing w:before="120" w:after="120"/>
              <w:jc w:val="right"/>
              <w:rPr>
                <w:rFonts w:ascii="Arial" w:hAnsi="Arial" w:cs="Arial"/>
                <w:color w:val="000000"/>
                <w:sz w:val="18"/>
                <w:szCs w:val="18"/>
              </w:rPr>
            </w:pPr>
            <w:r>
              <w:rPr>
                <w:rFonts w:ascii="Arial" w:hAnsi="Arial" w:cs="Arial"/>
                <w:color w:val="000000"/>
                <w:sz w:val="18"/>
                <w:szCs w:val="18"/>
              </w:rPr>
              <w:t>100</w:t>
            </w:r>
          </w:p>
        </w:tc>
        <w:tc>
          <w:tcPr>
            <w:tcW w:w="862" w:type="dxa"/>
            <w:tcBorders>
              <w:top w:val="single" w:sz="4" w:space="0" w:color="000000"/>
              <w:left w:val="single" w:sz="4" w:space="0" w:color="000000"/>
              <w:bottom w:val="single" w:sz="4" w:space="0" w:color="000000"/>
              <w:right w:val="single" w:sz="4" w:space="0" w:color="000000"/>
            </w:tcBorders>
          </w:tcPr>
          <w:p w:rsidR="00494C24" w:rsidRPr="007E437E" w:rsidP="00494C24" w14:paraId="2C4874DA" w14:textId="77777777">
            <w:pPr>
              <w:spacing w:before="120" w:after="120"/>
              <w:jc w:val="right"/>
              <w:rPr>
                <w:rFonts w:ascii="Arial" w:hAnsi="Arial" w:cs="Arial"/>
                <w:color w:val="000000"/>
                <w:sz w:val="18"/>
                <w:szCs w:val="18"/>
              </w:rPr>
            </w:pPr>
            <w:r>
              <w:rPr>
                <w:rFonts w:ascii="Arial" w:hAnsi="Arial" w:cs="Arial"/>
                <w:color w:val="000000"/>
                <w:sz w:val="18"/>
                <w:szCs w:val="1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RPr="007E437E" w:rsidP="007E437E" w14:paraId="72B78717" w14:textId="77777777">
            <w:pPr>
              <w:spacing w:before="120" w:after="120"/>
              <w:jc w:val="right"/>
              <w:rPr>
                <w:rFonts w:ascii="Arial" w:hAnsi="Arial" w:cs="Arial"/>
                <w:color w:val="000000"/>
                <w:sz w:val="18"/>
                <w:szCs w:val="18"/>
              </w:rPr>
            </w:pPr>
            <w:r w:rsidRPr="007E437E">
              <w:rPr>
                <w:rFonts w:ascii="Arial" w:hAnsi="Arial" w:cs="Arial"/>
                <w:color w:val="000000"/>
                <w:sz w:val="18"/>
                <w:szCs w:val="18"/>
              </w:rPr>
              <w:t xml:space="preserve">$ </w:t>
            </w:r>
            <w:r>
              <w:rPr>
                <w:rFonts w:ascii="Arial" w:hAnsi="Arial" w:cs="Arial"/>
                <w:color w:val="000000"/>
                <w:sz w:val="18"/>
                <w:szCs w:val="18"/>
              </w:rPr>
              <w:t>62.45</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RPr="007E437E" w:rsidP="007E437E" w14:paraId="05C66A88" w14:textId="77777777">
            <w:pPr>
              <w:spacing w:before="120" w:after="120"/>
              <w:jc w:val="right"/>
              <w:rPr>
                <w:rFonts w:ascii="Arial" w:hAnsi="Arial" w:cs="Arial"/>
                <w:color w:val="000000"/>
                <w:sz w:val="18"/>
                <w:szCs w:val="18"/>
              </w:rPr>
            </w:pPr>
            <w:r w:rsidRPr="007E437E">
              <w:rPr>
                <w:rFonts w:ascii="Arial" w:hAnsi="Arial" w:cs="Arial"/>
                <w:color w:val="000000"/>
                <w:sz w:val="18"/>
                <w:szCs w:val="18"/>
              </w:rPr>
              <w:t xml:space="preserve">$ </w:t>
            </w:r>
            <w:r>
              <w:rPr>
                <w:rFonts w:ascii="Arial" w:hAnsi="Arial" w:cs="Arial"/>
                <w:color w:val="000000"/>
                <w:sz w:val="18"/>
                <w:szCs w:val="18"/>
              </w:rPr>
              <w:t>6,245</w:t>
            </w:r>
          </w:p>
        </w:tc>
      </w:tr>
      <w:tr w14:paraId="474B1906" w14:textId="77777777" w:rsidTr="00494C24">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P="007E437E" w14:paraId="783684CA" w14:textId="77777777">
            <w:pPr>
              <w:spacing w:before="120" w:after="120"/>
              <w:rPr>
                <w:rFonts w:ascii="Arial" w:hAnsi="Arial" w:cs="Arial"/>
                <w:color w:val="000000"/>
                <w:sz w:val="18"/>
                <w:szCs w:val="18"/>
              </w:rPr>
            </w:pPr>
            <w:r>
              <w:rPr>
                <w:rFonts w:ascii="Arial" w:hAnsi="Arial" w:cs="Arial"/>
                <w:color w:val="000000"/>
                <w:sz w:val="18"/>
                <w:szCs w:val="18"/>
              </w:rPr>
              <w:t>Federal Highways Division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P="007E437E" w14:paraId="5E913DC8" w14:textId="77777777">
            <w:pPr>
              <w:spacing w:before="120" w:after="120"/>
              <w:jc w:val="right"/>
              <w:rPr>
                <w:rFonts w:ascii="Arial" w:hAnsi="Arial" w:cs="Arial"/>
                <w:color w:val="000000"/>
                <w:sz w:val="18"/>
                <w:szCs w:val="18"/>
              </w:rPr>
            </w:pPr>
            <w:r>
              <w:rPr>
                <w:rFonts w:ascii="Arial" w:hAnsi="Arial" w:cs="Arial"/>
                <w:color w:val="000000"/>
                <w:sz w:val="18"/>
                <w:szCs w:val="18"/>
              </w:rPr>
              <w:t>2</w:t>
            </w:r>
          </w:p>
        </w:tc>
        <w:tc>
          <w:tcPr>
            <w:tcW w:w="862" w:type="dxa"/>
            <w:tcBorders>
              <w:top w:val="single" w:sz="4" w:space="0" w:color="000000"/>
              <w:left w:val="single" w:sz="4" w:space="0" w:color="000000"/>
              <w:bottom w:val="single" w:sz="4" w:space="0" w:color="000000"/>
              <w:right w:val="single" w:sz="4" w:space="0" w:color="000000"/>
            </w:tcBorders>
          </w:tcPr>
          <w:p w:rsidR="00494C24" w:rsidRPr="007E437E" w:rsidP="00494C24" w14:paraId="04FBFA00" w14:textId="77777777">
            <w:pPr>
              <w:spacing w:before="120" w:after="120"/>
              <w:jc w:val="right"/>
              <w:rPr>
                <w:rFonts w:ascii="Arial" w:hAnsi="Arial" w:cs="Arial"/>
                <w:color w:val="000000"/>
                <w:sz w:val="18"/>
                <w:szCs w:val="18"/>
              </w:rPr>
            </w:pPr>
            <w:r>
              <w:rPr>
                <w:rFonts w:ascii="Arial" w:hAnsi="Arial" w:cs="Arial"/>
                <w:color w:val="000000"/>
                <w:sz w:val="18"/>
                <w:szCs w:val="18"/>
              </w:rPr>
              <w:t>51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RPr="007E437E" w:rsidP="007E437E" w14:paraId="51B28B65" w14:textId="77777777">
            <w:pPr>
              <w:spacing w:before="120" w:after="120"/>
              <w:jc w:val="right"/>
              <w:rPr>
                <w:rFonts w:ascii="Arial" w:hAnsi="Arial" w:cs="Arial"/>
                <w:color w:val="000000"/>
                <w:sz w:val="18"/>
                <w:szCs w:val="18"/>
              </w:rPr>
            </w:pPr>
            <w:r>
              <w:rPr>
                <w:rFonts w:ascii="Arial" w:hAnsi="Arial" w:cs="Arial"/>
                <w:color w:val="000000"/>
                <w:sz w:val="18"/>
                <w:szCs w:val="18"/>
              </w:rPr>
              <w:t>$ 49.82</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4C24" w:rsidRPr="007E437E" w:rsidP="007E437E" w14:paraId="499A80C6" w14:textId="77777777">
            <w:pPr>
              <w:spacing w:before="120" w:after="120"/>
              <w:jc w:val="right"/>
              <w:rPr>
                <w:rFonts w:ascii="Arial" w:hAnsi="Arial" w:cs="Arial"/>
                <w:color w:val="000000"/>
                <w:sz w:val="18"/>
                <w:szCs w:val="18"/>
              </w:rPr>
            </w:pPr>
            <w:r>
              <w:rPr>
                <w:rFonts w:ascii="Arial" w:hAnsi="Arial" w:cs="Arial"/>
                <w:color w:val="000000"/>
                <w:sz w:val="18"/>
                <w:szCs w:val="18"/>
              </w:rPr>
              <w:t>$5,082</w:t>
            </w:r>
          </w:p>
        </w:tc>
      </w:tr>
      <w:tr w14:paraId="2204902E" w14:textId="77777777" w:rsidTr="00494C24">
        <w:tblPrEx>
          <w:tblW w:w="0" w:type="auto"/>
          <w:tblCellMar>
            <w:top w:w="15" w:type="dxa"/>
            <w:left w:w="15" w:type="dxa"/>
            <w:bottom w:w="15" w:type="dxa"/>
            <w:right w:w="15" w:type="dxa"/>
          </w:tblCellMar>
          <w:tblLook w:val="04A0"/>
        </w:tblPrEx>
        <w:trPr>
          <w:trHeight w:val="300"/>
        </w:trPr>
        <w:tc>
          <w:tcPr>
            <w:tcW w:w="0" w:type="auto"/>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270BE701" w14:textId="77777777">
            <w:pPr>
              <w:spacing w:before="120" w:after="120"/>
            </w:pPr>
            <w:r w:rsidRPr="007E437E">
              <w:rPr>
                <w:rFonts w:ascii="Arial" w:hAnsi="Arial" w:cs="Arial"/>
                <w:b/>
                <w:bCs/>
                <w:color w:val="000000"/>
                <w:sz w:val="18"/>
                <w:szCs w:val="18"/>
              </w:rPr>
              <w:t>Total</w:t>
            </w:r>
          </w:p>
        </w:tc>
        <w:tc>
          <w:tcPr>
            <w:tcW w:w="0" w:type="auto"/>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0EA9D374" w14:textId="77777777"/>
        </w:tc>
        <w:tc>
          <w:tcPr>
            <w:tcW w:w="862" w:type="dxa"/>
            <w:tcBorders>
              <w:top w:val="single" w:sz="12" w:space="0" w:color="000000"/>
              <w:left w:val="single" w:sz="4" w:space="0" w:color="000000"/>
              <w:bottom w:val="single" w:sz="4" w:space="0" w:color="000000"/>
              <w:right w:val="single" w:sz="4" w:space="0" w:color="000000"/>
            </w:tcBorders>
          </w:tcPr>
          <w:p w:rsidR="00494C24" w:rsidRPr="007E437E" w:rsidP="007E437E" w14:paraId="2421C490" w14:textId="77777777"/>
        </w:tc>
        <w:tc>
          <w:tcPr>
            <w:tcW w:w="1440" w:type="dxa"/>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3E7E7D5D" w14:textId="77777777"/>
        </w:tc>
        <w:tc>
          <w:tcPr>
            <w:tcW w:w="1980" w:type="dxa"/>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4C24" w:rsidRPr="007E437E" w:rsidP="007E437E" w14:paraId="159C2357" w14:textId="77777777">
            <w:pPr>
              <w:spacing w:before="120" w:after="120"/>
              <w:jc w:val="right"/>
              <w:rPr>
                <w:rFonts w:ascii="Arial" w:hAnsi="Arial" w:cs="Arial"/>
                <w:b/>
                <w:bCs/>
                <w:color w:val="000000"/>
                <w:sz w:val="18"/>
                <w:szCs w:val="18"/>
              </w:rPr>
            </w:pPr>
            <w:r w:rsidRPr="007E437E">
              <w:rPr>
                <w:rFonts w:ascii="Arial" w:hAnsi="Arial" w:cs="Arial"/>
                <w:b/>
                <w:bCs/>
                <w:color w:val="000000"/>
                <w:sz w:val="18"/>
                <w:szCs w:val="18"/>
              </w:rPr>
              <w:t>$</w:t>
            </w:r>
            <w:r w:rsidR="00A46C76">
              <w:rPr>
                <w:rFonts w:ascii="Arial" w:hAnsi="Arial" w:cs="Arial"/>
                <w:b/>
                <w:bCs/>
                <w:color w:val="000000"/>
                <w:sz w:val="18"/>
                <w:szCs w:val="18"/>
              </w:rPr>
              <w:t>20,322</w:t>
            </w:r>
            <w:r w:rsidRPr="007E437E">
              <w:rPr>
                <w:rFonts w:ascii="Arial" w:hAnsi="Arial" w:cs="Arial"/>
                <w:b/>
                <w:bCs/>
                <w:color w:val="000000"/>
                <w:sz w:val="18"/>
                <w:szCs w:val="18"/>
              </w:rPr>
              <w:t xml:space="preserve"> </w:t>
            </w:r>
          </w:p>
        </w:tc>
      </w:tr>
    </w:tbl>
    <w:p w:rsidR="007E437E" w:rsidRPr="004070B4" w14:paraId="241C0ACE" w14:textId="77777777">
      <w:pPr>
        <w:pStyle w:val="BodyText"/>
        <w:rPr>
          <w:color w:val="auto"/>
        </w:rPr>
      </w:pPr>
    </w:p>
    <w:p w:rsidR="007E437E" w14:paraId="62D74F5C" w14:textId="54ED65F4">
      <w:pPr>
        <w:pStyle w:val="BodyText"/>
      </w:pPr>
      <w:r w:rsidRPr="004070B4">
        <w:rPr>
          <w:color w:val="auto"/>
        </w:rPr>
        <w:t xml:space="preserve">FHWA </w:t>
      </w:r>
      <w:r w:rsidR="009D20BA">
        <w:rPr>
          <w:color w:val="auto"/>
        </w:rPr>
        <w:t>headquarters</w:t>
      </w:r>
      <w:r w:rsidRPr="004070B4" w:rsidR="009D20BA">
        <w:rPr>
          <w:color w:val="auto"/>
        </w:rPr>
        <w:t xml:space="preserve"> </w:t>
      </w:r>
      <w:r w:rsidRPr="004070B4">
        <w:rPr>
          <w:color w:val="auto"/>
        </w:rPr>
        <w:t xml:space="preserve">staff develops the report template and instructions, provides office hours for </w:t>
      </w:r>
      <w:r w:rsidR="00F4309C">
        <w:rPr>
          <w:color w:val="auto"/>
        </w:rPr>
        <w:t>FHWA division offices</w:t>
      </w:r>
      <w:r w:rsidRPr="004070B4" w:rsidR="00F4309C">
        <w:rPr>
          <w:color w:val="auto"/>
        </w:rPr>
        <w:t xml:space="preserve"> </w:t>
      </w:r>
      <w:r w:rsidRPr="004070B4">
        <w:rPr>
          <w:color w:val="auto"/>
        </w:rPr>
        <w:t xml:space="preserve">and States, and answers questions throughout the reporting period. FHWA </w:t>
      </w:r>
      <w:r w:rsidR="00F4309C">
        <w:rPr>
          <w:color w:val="auto"/>
        </w:rPr>
        <w:t>division</w:t>
      </w:r>
      <w:r w:rsidRPr="004070B4" w:rsidR="00F4309C">
        <w:rPr>
          <w:color w:val="auto"/>
        </w:rPr>
        <w:t xml:space="preserve"> </w:t>
      </w:r>
      <w:r w:rsidRPr="004070B4">
        <w:rPr>
          <w:color w:val="auto"/>
        </w:rPr>
        <w:t xml:space="preserve">staff provides initial review of </w:t>
      </w:r>
      <w:r w:rsidRPr="004070B4" w:rsidR="004070B4">
        <w:rPr>
          <w:color w:val="auto"/>
        </w:rPr>
        <w:t xml:space="preserve">reports and liaises with State staff as needed. </w:t>
      </w:r>
      <w:r w:rsidRPr="004070B4">
        <w:rPr>
          <w:color w:val="auto"/>
        </w:rPr>
        <w:t xml:space="preserve">FHWA </w:t>
      </w:r>
      <w:r w:rsidR="009D20BA">
        <w:rPr>
          <w:color w:val="auto"/>
        </w:rPr>
        <w:t>headquarters</w:t>
      </w:r>
      <w:r w:rsidRPr="004070B4" w:rsidR="009D20BA">
        <w:rPr>
          <w:color w:val="auto"/>
        </w:rPr>
        <w:t xml:space="preserve"> </w:t>
      </w:r>
      <w:r w:rsidRPr="004070B4">
        <w:rPr>
          <w:color w:val="auto"/>
        </w:rPr>
        <w:t xml:space="preserve">staff spends time reviewing and correcting received reports, before sending the reports back to States for finalizing. </w:t>
      </w:r>
      <w:r w:rsidR="009D20BA">
        <w:rPr>
          <w:color w:val="auto"/>
        </w:rPr>
        <w:t>Headquarters s</w:t>
      </w:r>
      <w:r w:rsidRPr="004070B4" w:rsidR="009D20BA">
        <w:rPr>
          <w:color w:val="auto"/>
        </w:rPr>
        <w:t xml:space="preserve">taff </w:t>
      </w:r>
      <w:r w:rsidRPr="004070B4">
        <w:rPr>
          <w:color w:val="auto"/>
        </w:rPr>
        <w:t xml:space="preserve">also routinely meets with </w:t>
      </w:r>
      <w:r w:rsidR="009D20BA">
        <w:rPr>
          <w:color w:val="auto"/>
        </w:rPr>
        <w:t>division office</w:t>
      </w:r>
      <w:r w:rsidRPr="004070B4" w:rsidR="009D20BA">
        <w:rPr>
          <w:color w:val="auto"/>
        </w:rPr>
        <w:t xml:space="preserve"> </w:t>
      </w:r>
      <w:r w:rsidRPr="004070B4">
        <w:rPr>
          <w:color w:val="auto"/>
        </w:rPr>
        <w:t>or State staff to answer questions and support accurate reporting. The Federal Government does not incur costs beyond staff time.</w:t>
      </w:r>
    </w:p>
    <w:p w:rsidR="00024C43" w:rsidRPr="0064269F" w:rsidP="0064269F" w14:paraId="790C640B"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Pr="00E325DC" w:rsidP="00CA121E" w14:paraId="6B670237" w14:textId="77777777">
      <w:pPr>
        <w:pStyle w:val="BodyText"/>
        <w:rPr>
          <w:color w:val="auto"/>
        </w:rPr>
      </w:pPr>
      <w:r w:rsidRPr="00E325DC">
        <w:rPr>
          <w:color w:val="auto"/>
        </w:rPr>
        <w:t>Not applicable</w:t>
      </w:r>
      <w:r>
        <w:rPr>
          <w:color w:val="auto"/>
        </w:rPr>
        <w:t>.</w:t>
      </w:r>
      <w:r w:rsidRPr="00E325DC">
        <w:rPr>
          <w:color w:val="auto"/>
        </w:rPr>
        <w:t xml:space="preserve"> </w:t>
      </w:r>
    </w:p>
    <w:p w:rsidR="00024C43" w:rsidRPr="0064269F" w:rsidP="0064269F" w14:paraId="69CCDA82"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E325DC" w:rsidRPr="00A91533" w14:paraId="72E7A808" w14:textId="2CF32DBB">
      <w:pPr>
        <w:pStyle w:val="BodyText"/>
        <w:rPr>
          <w:color w:val="auto"/>
        </w:rPr>
      </w:pPr>
      <w:r w:rsidRPr="00E325DC">
        <w:rPr>
          <w:color w:val="auto"/>
        </w:rPr>
        <w:t>After receiving the collection, the program office will review the reports for consistency and accuracy</w:t>
      </w:r>
      <w:r w:rsidR="00512AF8">
        <w:rPr>
          <w:color w:val="auto"/>
        </w:rPr>
        <w:t xml:space="preserve"> and work with States and </w:t>
      </w:r>
      <w:r w:rsidR="00C37A1C">
        <w:rPr>
          <w:color w:val="auto"/>
        </w:rPr>
        <w:t xml:space="preserve">FHWA division offices </w:t>
      </w:r>
      <w:r w:rsidR="00512AF8">
        <w:rPr>
          <w:color w:val="auto"/>
        </w:rPr>
        <w:t>to make updates</w:t>
      </w:r>
      <w:r w:rsidRPr="00E325DC">
        <w:rPr>
          <w:color w:val="auto"/>
        </w:rPr>
        <w:t>, which may take 8-10 weeks. The report will then receive all reviews required by FHWA for public posting, which may take several weeks or months. The final report will then be posted on FHWA’s website.</w:t>
      </w:r>
    </w:p>
    <w:p w:rsidR="00024C43" w:rsidRPr="0064269F" w:rsidP="0064269F" w14:paraId="3C262FF2"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BD1BF2" w:rsidRPr="00E325DC" w14:paraId="200A2644" w14:textId="77777777">
      <w:pPr>
        <w:pStyle w:val="BodyText"/>
        <w:rPr>
          <w:color w:val="auto"/>
        </w:rPr>
      </w:pPr>
      <w:r w:rsidRPr="00E325DC">
        <w:rPr>
          <w:color w:val="auto"/>
        </w:rPr>
        <w:t>Not applicable.</w:t>
      </w:r>
    </w:p>
    <w:p w:rsidR="00024C43" w:rsidP="0064269F" w14:paraId="406ABFE4"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Pr="00E325DC" w14:paraId="5A5068B7" w14:textId="77777777">
      <w:pPr>
        <w:rPr>
          <w:rFonts w:ascii="Arial" w:hAnsi="Arial" w:cs="Arial"/>
          <w:sz w:val="20"/>
          <w:szCs w:val="20"/>
        </w:rPr>
      </w:pPr>
      <w:r w:rsidRPr="00E325DC">
        <w:rPr>
          <w:rFonts w:ascii="Arial" w:hAnsi="Arial" w:cs="Arial"/>
          <w:sz w:val="20"/>
          <w:szCs w:val="20"/>
        </w:rPr>
        <w:t>Not applicable.</w:t>
      </w:r>
    </w:p>
    <w:p w:rsidR="00BD1BF2" w14:paraId="59CE1AFB" w14:textId="77777777">
      <w:pPr>
        <w:rPr>
          <w:color w:val="FF0000"/>
        </w:rPr>
      </w:pP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6AF" w:rsidP="007E437E" w14:paraId="5B48F6B0" w14:textId="77777777">
      <w:r>
        <w:separator/>
      </w:r>
    </w:p>
  </w:footnote>
  <w:footnote w:type="continuationSeparator" w:id="1">
    <w:p w:rsidR="00B116AF" w:rsidP="007E437E" w14:paraId="60BE8855" w14:textId="77777777">
      <w:r>
        <w:continuationSeparator/>
      </w:r>
    </w:p>
  </w:footnote>
  <w:footnote w:id="2">
    <w:p w:rsidR="007E437E" w14:paraId="266959E7" w14:textId="77777777">
      <w:pPr>
        <w:pStyle w:val="FootnoteText"/>
      </w:pPr>
      <w:r>
        <w:rPr>
          <w:rStyle w:val="FootnoteReference"/>
        </w:rPr>
        <w:footnoteRef/>
      </w:r>
      <w:r>
        <w:t xml:space="preserve"> </w:t>
      </w:r>
      <w:r w:rsidRPr="007E437E">
        <w:t xml:space="preserve"> U.S. Bureau of Labor Statistics occupational employment and wage statistics </w:t>
      </w:r>
      <w:hyperlink r:id="rId1" w:anchor="/industry/000000" w:history="1">
        <w:r w:rsidRPr="007E437E">
          <w:rPr>
            <w:rStyle w:val="Hyperlink"/>
          </w:rPr>
          <w:t>https://data.bls.gov/oes/#/industry/000000</w:t>
        </w:r>
      </w:hyperlink>
      <w:r w:rsidRPr="007E437E">
        <w:t>. May 2024 national mean hourly wage rate for occupation class Engineers (17-2000) that is cross-industry and includes private, federal, state, and local government is $56.13.</w:t>
      </w:r>
    </w:p>
  </w:footnote>
  <w:footnote w:id="3">
    <w:p w:rsidR="00494C24" w14:paraId="32AAB9E0" w14:textId="77777777">
      <w:pPr>
        <w:pStyle w:val="FootnoteText"/>
      </w:pPr>
      <w:r>
        <w:rPr>
          <w:rStyle w:val="FootnoteReference"/>
        </w:rPr>
        <w:footnoteRef/>
      </w:r>
      <w:r>
        <w:t xml:space="preserve"> OPM Salary Table 2026. </w:t>
      </w:r>
      <w:hyperlink r:id="rId2" w:history="1">
        <w:r w:rsidRPr="008D0327">
          <w:rPr>
            <w:rStyle w:val="Hyperlink"/>
          </w:rPr>
          <w:t>https://www.opm.gov/policy-data-oversight/pay-leave/salaries-wages/salary-tables/pdf/2026/DCB.pdf</w:t>
        </w:r>
      </w:hyperlink>
      <w:r w:rsidR="004070B4">
        <w:t>. Division Staff Salary is estimated as base hourly rate for GS 12-5, with a 20% locality pay.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4A9E"/>
    <w:multiLevelType w:val="hybridMultilevel"/>
    <w:tmpl w:val="11F073D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5F65A38"/>
    <w:multiLevelType w:val="hybridMultilevel"/>
    <w:tmpl w:val="B5FE7E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ED0E10"/>
    <w:multiLevelType w:val="hybridMultilevel"/>
    <w:tmpl w:val="63644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284691">
    <w:abstractNumId w:val="0"/>
  </w:num>
  <w:num w:numId="2" w16cid:durableId="231627943">
    <w:abstractNumId w:val="2"/>
  </w:num>
  <w:num w:numId="3" w16cid:durableId="1133909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4E54"/>
    <w:rsid w:val="000125C6"/>
    <w:rsid w:val="00024C43"/>
    <w:rsid w:val="0007401B"/>
    <w:rsid w:val="000D1FBE"/>
    <w:rsid w:val="00101FFA"/>
    <w:rsid w:val="00132EDB"/>
    <w:rsid w:val="0015775C"/>
    <w:rsid w:val="00173B5B"/>
    <w:rsid w:val="001877AB"/>
    <w:rsid w:val="001923F6"/>
    <w:rsid w:val="001B7FD5"/>
    <w:rsid w:val="001D4B53"/>
    <w:rsid w:val="00221509"/>
    <w:rsid w:val="00231B3F"/>
    <w:rsid w:val="00242838"/>
    <w:rsid w:val="002647CA"/>
    <w:rsid w:val="00292066"/>
    <w:rsid w:val="002E4801"/>
    <w:rsid w:val="003458E5"/>
    <w:rsid w:val="00367B85"/>
    <w:rsid w:val="0039408F"/>
    <w:rsid w:val="003B214A"/>
    <w:rsid w:val="003B3677"/>
    <w:rsid w:val="003F6E86"/>
    <w:rsid w:val="004070B4"/>
    <w:rsid w:val="0042468A"/>
    <w:rsid w:val="004566DC"/>
    <w:rsid w:val="004604EA"/>
    <w:rsid w:val="00481933"/>
    <w:rsid w:val="00481E6A"/>
    <w:rsid w:val="00494C24"/>
    <w:rsid w:val="004B2678"/>
    <w:rsid w:val="004C0B75"/>
    <w:rsid w:val="004D36BC"/>
    <w:rsid w:val="00512AF8"/>
    <w:rsid w:val="0059691E"/>
    <w:rsid w:val="005A5BC6"/>
    <w:rsid w:val="005D0406"/>
    <w:rsid w:val="005D73D1"/>
    <w:rsid w:val="00603F16"/>
    <w:rsid w:val="006124C6"/>
    <w:rsid w:val="00617E52"/>
    <w:rsid w:val="0064269F"/>
    <w:rsid w:val="00645B39"/>
    <w:rsid w:val="00663648"/>
    <w:rsid w:val="006819A5"/>
    <w:rsid w:val="006A4E03"/>
    <w:rsid w:val="006C0A99"/>
    <w:rsid w:val="00701288"/>
    <w:rsid w:val="00716137"/>
    <w:rsid w:val="00720641"/>
    <w:rsid w:val="00737886"/>
    <w:rsid w:val="007B289B"/>
    <w:rsid w:val="007C56B2"/>
    <w:rsid w:val="007E437E"/>
    <w:rsid w:val="007F0EE6"/>
    <w:rsid w:val="007F354D"/>
    <w:rsid w:val="00821795"/>
    <w:rsid w:val="008863A1"/>
    <w:rsid w:val="00893D61"/>
    <w:rsid w:val="00893FA5"/>
    <w:rsid w:val="008B1BE0"/>
    <w:rsid w:val="008D0327"/>
    <w:rsid w:val="008E0818"/>
    <w:rsid w:val="00902051"/>
    <w:rsid w:val="0096482B"/>
    <w:rsid w:val="00973A15"/>
    <w:rsid w:val="00991540"/>
    <w:rsid w:val="009A03AC"/>
    <w:rsid w:val="009D20BA"/>
    <w:rsid w:val="00A40566"/>
    <w:rsid w:val="00A46C76"/>
    <w:rsid w:val="00A51B5D"/>
    <w:rsid w:val="00A61DEA"/>
    <w:rsid w:val="00A80778"/>
    <w:rsid w:val="00A91533"/>
    <w:rsid w:val="00AC1B8E"/>
    <w:rsid w:val="00AF78B4"/>
    <w:rsid w:val="00B116AF"/>
    <w:rsid w:val="00B27C53"/>
    <w:rsid w:val="00B349F8"/>
    <w:rsid w:val="00B5429B"/>
    <w:rsid w:val="00B67D0D"/>
    <w:rsid w:val="00B71DC0"/>
    <w:rsid w:val="00B7488E"/>
    <w:rsid w:val="00BD1BF2"/>
    <w:rsid w:val="00BF582E"/>
    <w:rsid w:val="00C04C42"/>
    <w:rsid w:val="00C37A1C"/>
    <w:rsid w:val="00C4037A"/>
    <w:rsid w:val="00C666D9"/>
    <w:rsid w:val="00C73205"/>
    <w:rsid w:val="00CA121E"/>
    <w:rsid w:val="00CA5DBE"/>
    <w:rsid w:val="00CB2DDE"/>
    <w:rsid w:val="00CC49F9"/>
    <w:rsid w:val="00CE0648"/>
    <w:rsid w:val="00CE0E82"/>
    <w:rsid w:val="00CE1590"/>
    <w:rsid w:val="00D03B6A"/>
    <w:rsid w:val="00D319FB"/>
    <w:rsid w:val="00D44A0F"/>
    <w:rsid w:val="00D44F1D"/>
    <w:rsid w:val="00D53C6A"/>
    <w:rsid w:val="00D54A2E"/>
    <w:rsid w:val="00D5739D"/>
    <w:rsid w:val="00D70A1D"/>
    <w:rsid w:val="00D872BA"/>
    <w:rsid w:val="00DA64FB"/>
    <w:rsid w:val="00DE704B"/>
    <w:rsid w:val="00E229A9"/>
    <w:rsid w:val="00E325DC"/>
    <w:rsid w:val="00ED31D1"/>
    <w:rsid w:val="00ED4BEF"/>
    <w:rsid w:val="00F129E7"/>
    <w:rsid w:val="00F4309C"/>
    <w:rsid w:val="00F6591B"/>
    <w:rsid w:val="00FA4D1D"/>
    <w:rsid w:val="00FD6AFE"/>
    <w:rsid w:val="00FE5030"/>
    <w:rsid w:val="00FF3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138618"/>
  <w15:chartTrackingRefBased/>
  <w15:docId w15:val="{71B70CC1-AFCC-4F0E-9FC1-4817CCE9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FootnoteText">
    <w:name w:val="footnote text"/>
    <w:basedOn w:val="Normal"/>
    <w:link w:val="FootnoteTextChar"/>
    <w:rsid w:val="007E437E"/>
    <w:rPr>
      <w:sz w:val="20"/>
      <w:szCs w:val="20"/>
    </w:rPr>
  </w:style>
  <w:style w:type="character" w:customStyle="1" w:styleId="FootnoteTextChar">
    <w:name w:val="Footnote Text Char"/>
    <w:basedOn w:val="DefaultParagraphFont"/>
    <w:link w:val="FootnoteText"/>
    <w:rsid w:val="007E437E"/>
  </w:style>
  <w:style w:type="character" w:styleId="FootnoteReference">
    <w:name w:val="footnote reference"/>
    <w:rsid w:val="007E437E"/>
    <w:rPr>
      <w:vertAlign w:val="superscript"/>
    </w:rPr>
  </w:style>
  <w:style w:type="character" w:styleId="UnresolvedMention">
    <w:name w:val="Unresolved Mention"/>
    <w:uiPriority w:val="99"/>
    <w:semiHidden/>
    <w:unhideWhenUsed/>
    <w:rsid w:val="007E437E"/>
    <w:rPr>
      <w:color w:val="605E5C"/>
      <w:shd w:val="clear" w:color="auto" w:fill="E1DFDD"/>
    </w:rPr>
  </w:style>
  <w:style w:type="character" w:styleId="CommentReference">
    <w:name w:val="annotation reference"/>
    <w:rsid w:val="002647CA"/>
    <w:rPr>
      <w:sz w:val="16"/>
      <w:szCs w:val="16"/>
    </w:rPr>
  </w:style>
  <w:style w:type="paragraph" w:styleId="CommentText">
    <w:name w:val="annotation text"/>
    <w:basedOn w:val="Normal"/>
    <w:link w:val="CommentTextChar"/>
    <w:rsid w:val="002647CA"/>
    <w:rPr>
      <w:sz w:val="20"/>
      <w:szCs w:val="20"/>
    </w:rPr>
  </w:style>
  <w:style w:type="character" w:customStyle="1" w:styleId="CommentTextChar">
    <w:name w:val="Comment Text Char"/>
    <w:basedOn w:val="DefaultParagraphFont"/>
    <w:link w:val="CommentText"/>
    <w:rsid w:val="002647CA"/>
  </w:style>
  <w:style w:type="paragraph" w:styleId="CommentSubject">
    <w:name w:val="annotation subject"/>
    <w:basedOn w:val="CommentText"/>
    <w:next w:val="CommentText"/>
    <w:link w:val="CommentSubjectChar"/>
    <w:rsid w:val="002647CA"/>
    <w:rPr>
      <w:b/>
      <w:bCs/>
    </w:rPr>
  </w:style>
  <w:style w:type="character" w:customStyle="1" w:styleId="CommentSubjectChar">
    <w:name w:val="Comment Subject Char"/>
    <w:link w:val="CommentSubject"/>
    <w:rsid w:val="002647CA"/>
    <w:rPr>
      <w:b/>
      <w:bCs/>
    </w:rPr>
  </w:style>
  <w:style w:type="paragraph" w:styleId="Revision">
    <w:name w:val="Revision"/>
    <w:hidden/>
    <w:uiPriority w:val="99"/>
    <w:semiHidden/>
    <w:rsid w:val="00ED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6/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D75D-BD75-41C3-9DC4-A3ADBA80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7</cp:revision>
  <dcterms:created xsi:type="dcterms:W3CDTF">2026-06-22T14:31:00Z</dcterms:created>
  <dcterms:modified xsi:type="dcterms:W3CDTF">2026-06-26T11:56:00Z</dcterms:modified>
</cp:coreProperties>
</file>