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E13B1" w:rsidP="00E36C9E" w14:paraId="78239CE7" w14:textId="77777777">
      <w:pPr>
        <w:widowControl w:val="0"/>
        <w:jc w:val="center"/>
        <w:rPr>
          <w:b/>
          <w:sz w:val="24"/>
          <w:szCs w:val="24"/>
        </w:rPr>
      </w:pPr>
      <w:r w:rsidRPr="00167E53">
        <w:rPr>
          <w:b/>
          <w:sz w:val="24"/>
          <w:szCs w:val="24"/>
        </w:rPr>
        <w:t>Supporting Statement for Paperwork Reduction Act Submissions</w:t>
      </w:r>
    </w:p>
    <w:p w:rsidR="00AA614D" w:rsidP="00E36C9E" w14:paraId="22A7103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sidRPr="00AA614D">
        <w:rPr>
          <w:b/>
          <w:sz w:val="24"/>
          <w:szCs w:val="24"/>
        </w:rPr>
        <w:t xml:space="preserve">Public Housing Reform; Change in Admission and Occupancy Requirements </w:t>
      </w:r>
    </w:p>
    <w:p w:rsidR="00167E53" w:rsidRPr="00167E53" w:rsidP="00E36C9E" w14:paraId="0C0ADA6F" w14:textId="06138F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sidRPr="00167E53">
        <w:rPr>
          <w:b/>
          <w:sz w:val="24"/>
          <w:szCs w:val="24"/>
        </w:rPr>
        <w:t>(OMB#</w:t>
      </w:r>
      <w:r w:rsidR="00B83BC4">
        <w:rPr>
          <w:b/>
          <w:sz w:val="24"/>
          <w:szCs w:val="24"/>
        </w:rPr>
        <w:t xml:space="preserve"> </w:t>
      </w:r>
      <w:r w:rsidRPr="003553C6" w:rsidR="003553C6">
        <w:rPr>
          <w:b/>
          <w:sz w:val="24"/>
          <w:szCs w:val="24"/>
        </w:rPr>
        <w:t>2577-0230</w:t>
      </w:r>
      <w:r w:rsidRPr="00167E53">
        <w:rPr>
          <w:b/>
          <w:sz w:val="24"/>
          <w:szCs w:val="24"/>
        </w:rPr>
        <w:t>)</w:t>
      </w:r>
    </w:p>
    <w:p w:rsidR="009E13B1" w:rsidP="00E36C9E" w14:paraId="176A8089" w14:textId="77777777">
      <w:pPr>
        <w:widowControl w:val="0"/>
        <w:rPr>
          <w:b/>
          <w:sz w:val="24"/>
          <w:szCs w:val="24"/>
        </w:rPr>
      </w:pPr>
    </w:p>
    <w:p w:rsidR="009E13B1" w:rsidRPr="00BC0217" w:rsidP="00E36C9E" w14:paraId="6BD1C1B0" w14:textId="77777777">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BC0217">
        <w:rPr>
          <w:b/>
          <w:sz w:val="24"/>
          <w:szCs w:val="24"/>
        </w:rPr>
        <w:t xml:space="preserve">A. </w:t>
      </w:r>
      <w:r w:rsidRPr="00BC0217">
        <w:rPr>
          <w:b/>
          <w:sz w:val="24"/>
          <w:szCs w:val="24"/>
        </w:rPr>
        <w:tab/>
        <w:t>Justification</w:t>
      </w:r>
    </w:p>
    <w:p w:rsidR="009E13B1" w:rsidRPr="006C7FAE" w:rsidP="00E36C9E" w14:paraId="6900666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24"/>
          <w:szCs w:val="24"/>
        </w:rPr>
      </w:pPr>
    </w:p>
    <w:p w:rsidR="009E13B1" w:rsidRPr="00BC0217" w:rsidP="00E36C9E" w14:paraId="4F66A6EF" w14:textId="77777777">
      <w:pPr>
        <w:widowControl w:val="0"/>
        <w:tabs>
          <w:tab w:val="left" w:pos="360"/>
        </w:tabs>
        <w:ind w:left="360" w:hanging="360"/>
        <w:rPr>
          <w:b/>
          <w:bCs/>
          <w:sz w:val="24"/>
          <w:szCs w:val="24"/>
        </w:rPr>
      </w:pPr>
      <w:r w:rsidRPr="006C7FAE">
        <w:rPr>
          <w:sz w:val="24"/>
          <w:szCs w:val="24"/>
        </w:rPr>
        <w:t>1.</w:t>
      </w:r>
      <w:r w:rsidRPr="006C7FAE">
        <w:rPr>
          <w:sz w:val="24"/>
          <w:szCs w:val="24"/>
        </w:rPr>
        <w:tab/>
      </w:r>
      <w:r w:rsidRPr="00BC0217">
        <w:rPr>
          <w:b/>
          <w:bCs/>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FA3B5F" w:rsidP="00E36C9E" w14:paraId="7A2D1178" w14:textId="77777777">
      <w:pPr>
        <w:widowControl w:val="0"/>
        <w:tabs>
          <w:tab w:val="left" w:pos="360"/>
        </w:tabs>
        <w:ind w:left="360" w:hanging="360"/>
        <w:rPr>
          <w:sz w:val="24"/>
          <w:szCs w:val="24"/>
        </w:rPr>
      </w:pPr>
      <w:r>
        <w:rPr>
          <w:sz w:val="24"/>
          <w:szCs w:val="24"/>
        </w:rPr>
        <w:tab/>
      </w:r>
    </w:p>
    <w:p w:rsidR="00FA3B5F" w:rsidRPr="00FA3B5F" w:rsidP="00E36C9E" w14:paraId="64D62F06" w14:textId="578E6360">
      <w:pPr>
        <w:widowControl w:val="0"/>
        <w:tabs>
          <w:tab w:val="left" w:pos="360"/>
        </w:tabs>
        <w:ind w:left="360" w:hanging="360"/>
        <w:rPr>
          <w:sz w:val="24"/>
          <w:szCs w:val="24"/>
        </w:rPr>
      </w:pPr>
      <w:r>
        <w:rPr>
          <w:sz w:val="24"/>
          <w:szCs w:val="24"/>
        </w:rPr>
        <w:tab/>
      </w:r>
      <w:r w:rsidRPr="00FA3B5F">
        <w:rPr>
          <w:sz w:val="24"/>
          <w:szCs w:val="24"/>
        </w:rPr>
        <w:t xml:space="preserve">This information collection revises a currently approved requirement for public housing agencies (PHAs) to maintain and make available their admission and occupancy policies for </w:t>
      </w:r>
      <w:r w:rsidR="0083629F">
        <w:rPr>
          <w:sz w:val="24"/>
          <w:szCs w:val="24"/>
        </w:rPr>
        <w:t>the Department of Housing and Urban Development (</w:t>
      </w:r>
      <w:r w:rsidRPr="00FA3B5F">
        <w:rPr>
          <w:sz w:val="24"/>
          <w:szCs w:val="24"/>
        </w:rPr>
        <w:t>HUD</w:t>
      </w:r>
      <w:r w:rsidR="0083629F">
        <w:rPr>
          <w:sz w:val="24"/>
          <w:szCs w:val="24"/>
        </w:rPr>
        <w:t>)</w:t>
      </w:r>
      <w:r w:rsidRPr="00FA3B5F">
        <w:rPr>
          <w:sz w:val="24"/>
          <w:szCs w:val="24"/>
        </w:rPr>
        <w:t xml:space="preserve"> and public review. HUD uses this information to ensure that PHA policies comply with statutory and regulatory requirements governing the public housing program, the Annual Contributions Contract, and all HUD-approved funding applications.</w:t>
      </w:r>
    </w:p>
    <w:p w:rsidR="00FA3B5F" w:rsidRPr="00FA3B5F" w:rsidP="00E36C9E" w14:paraId="07D6E3BB" w14:textId="77777777">
      <w:pPr>
        <w:widowControl w:val="0"/>
        <w:tabs>
          <w:tab w:val="left" w:pos="360"/>
        </w:tabs>
        <w:ind w:left="360" w:hanging="360"/>
        <w:rPr>
          <w:sz w:val="24"/>
          <w:szCs w:val="24"/>
        </w:rPr>
      </w:pPr>
    </w:p>
    <w:p w:rsidR="00FA3B5F" w:rsidRPr="00FA3B5F" w:rsidP="00E36C9E" w14:paraId="59EB3BA6" w14:textId="43557FA7">
      <w:pPr>
        <w:widowControl w:val="0"/>
        <w:tabs>
          <w:tab w:val="left" w:pos="360"/>
        </w:tabs>
        <w:ind w:left="360" w:hanging="360"/>
        <w:rPr>
          <w:sz w:val="24"/>
          <w:szCs w:val="24"/>
        </w:rPr>
      </w:pPr>
      <w:r w:rsidRPr="00FA3B5F">
        <w:rPr>
          <w:sz w:val="24"/>
          <w:szCs w:val="24"/>
        </w:rPr>
        <w:tab/>
        <w:t>The Quality Housing and Work Responsibility Act of 1998 (QHWRA) (Title V of the FY 1999 HUD Appropriations Act, Public Law 105–276), which amended the United States Housing Act of 1937</w:t>
      </w:r>
      <w:r w:rsidRPr="3213D060" w:rsidR="00653143">
        <w:rPr>
          <w:sz w:val="24"/>
          <w:szCs w:val="24"/>
        </w:rPr>
        <w:t xml:space="preserve"> (42 U.S.C. 1437, et seq.</w:t>
      </w:r>
      <w:r w:rsidRPr="3213D060" w:rsidR="00787ED1">
        <w:rPr>
          <w:sz w:val="24"/>
          <w:szCs w:val="24"/>
        </w:rPr>
        <w:t xml:space="preserve"> “the 1937 Act”)</w:t>
      </w:r>
      <w:r w:rsidRPr="3213D060" w:rsidR="00653143">
        <w:rPr>
          <w:sz w:val="24"/>
          <w:szCs w:val="24"/>
        </w:rPr>
        <w:t>)</w:t>
      </w:r>
      <w:r w:rsidRPr="00FA3B5F">
        <w:rPr>
          <w:sz w:val="24"/>
          <w:szCs w:val="24"/>
        </w:rPr>
        <w:t>, first established the requirements</w:t>
      </w:r>
      <w:r w:rsidR="003B49B7">
        <w:rPr>
          <w:sz w:val="24"/>
          <w:szCs w:val="24"/>
        </w:rPr>
        <w:t xml:space="preserve"> </w:t>
      </w:r>
      <w:r w:rsidRPr="003B49B7" w:rsidR="003B49B7">
        <w:rPr>
          <w:sz w:val="24"/>
          <w:szCs w:val="24"/>
        </w:rPr>
        <w:t xml:space="preserve">for public housing agencies (PHAs) to maintain and make available </w:t>
      </w:r>
      <w:r w:rsidR="0007170C">
        <w:rPr>
          <w:sz w:val="24"/>
          <w:szCs w:val="24"/>
        </w:rPr>
        <w:t xml:space="preserve">to the public </w:t>
      </w:r>
      <w:r w:rsidRPr="003B49B7" w:rsidR="003B49B7">
        <w:rPr>
          <w:sz w:val="24"/>
          <w:szCs w:val="24"/>
        </w:rPr>
        <w:t>their admission and occupancy policies</w:t>
      </w:r>
      <w:r w:rsidRPr="00FA3B5F">
        <w:rPr>
          <w:sz w:val="24"/>
          <w:szCs w:val="24"/>
        </w:rPr>
        <w:t xml:space="preserve">. QHWRA provides PHAs flexibility in structuring admission and occupancy policies but mandates that such policies address key areas including eligibility, rent determination, preferences, waiting list management, income reviews, and community service requirements. These requirements are codified at 24 CFR part </w:t>
      </w:r>
      <w:r w:rsidR="003B0938">
        <w:rPr>
          <w:sz w:val="24"/>
          <w:szCs w:val="24"/>
        </w:rPr>
        <w:t xml:space="preserve">903 and </w:t>
      </w:r>
      <w:r w:rsidRPr="00FA3B5F">
        <w:rPr>
          <w:sz w:val="24"/>
          <w:szCs w:val="24"/>
        </w:rPr>
        <w:t>960.</w:t>
      </w:r>
    </w:p>
    <w:p w:rsidR="00FA3B5F" w:rsidRPr="00FA3B5F" w:rsidP="00E36C9E" w14:paraId="305C2A6B" w14:textId="77777777">
      <w:pPr>
        <w:widowControl w:val="0"/>
        <w:tabs>
          <w:tab w:val="left" w:pos="360"/>
        </w:tabs>
        <w:ind w:left="360" w:hanging="360"/>
        <w:rPr>
          <w:sz w:val="24"/>
          <w:szCs w:val="24"/>
        </w:rPr>
      </w:pPr>
    </w:p>
    <w:p w:rsidR="00FA3B5F" w:rsidRPr="00FA3B5F" w:rsidP="00E36C9E" w14:paraId="5AD41FEA" w14:textId="4A0E1BDC">
      <w:pPr>
        <w:widowControl w:val="0"/>
        <w:tabs>
          <w:tab w:val="left" w:pos="360"/>
        </w:tabs>
        <w:ind w:left="360" w:hanging="360"/>
        <w:rPr>
          <w:sz w:val="24"/>
          <w:szCs w:val="24"/>
        </w:rPr>
      </w:pPr>
      <w:r w:rsidRPr="00FA3B5F">
        <w:rPr>
          <w:sz w:val="24"/>
          <w:szCs w:val="24"/>
        </w:rPr>
        <w:tab/>
        <w:t xml:space="preserve">The Housing Opportunity Through Modernization Act of 2016 (HOTMA), Section 103, further amended the 1937 Act by creating new </w:t>
      </w:r>
      <w:r w:rsidR="003670F1">
        <w:rPr>
          <w:sz w:val="24"/>
          <w:szCs w:val="24"/>
        </w:rPr>
        <w:t>F</w:t>
      </w:r>
      <w:r w:rsidRPr="00FA3B5F">
        <w:rPr>
          <w:sz w:val="24"/>
          <w:szCs w:val="24"/>
        </w:rPr>
        <w:t xml:space="preserve">ederal requirements related to over-income families, including (1) </w:t>
      </w:r>
      <w:r w:rsidRPr="00FA3B5F" w:rsidR="68CC4AE1">
        <w:rPr>
          <w:sz w:val="24"/>
          <w:szCs w:val="24"/>
        </w:rPr>
        <w:t xml:space="preserve">establishing </w:t>
      </w:r>
      <w:r w:rsidRPr="00FA3B5F" w:rsidR="007D65A9">
        <w:rPr>
          <w:sz w:val="24"/>
          <w:szCs w:val="24"/>
        </w:rPr>
        <w:t xml:space="preserve">the </w:t>
      </w:r>
      <w:r w:rsidR="007D65A9">
        <w:rPr>
          <w:sz w:val="24"/>
          <w:szCs w:val="24"/>
        </w:rPr>
        <w:t>“</w:t>
      </w:r>
      <w:r w:rsidRPr="00FA3B5F" w:rsidR="007D65A9">
        <w:rPr>
          <w:sz w:val="24"/>
          <w:szCs w:val="24"/>
        </w:rPr>
        <w:t>over</w:t>
      </w:r>
      <w:r w:rsidRPr="00FA3B5F">
        <w:rPr>
          <w:sz w:val="24"/>
          <w:szCs w:val="24"/>
        </w:rPr>
        <w:t>-income</w:t>
      </w:r>
      <w:r w:rsidRPr="00FA3B5F" w:rsidR="5AF3B317">
        <w:rPr>
          <w:sz w:val="24"/>
          <w:szCs w:val="24"/>
        </w:rPr>
        <w:t xml:space="preserve"> family</w:t>
      </w:r>
      <w:r w:rsidRPr="00FA3B5F">
        <w:rPr>
          <w:sz w:val="24"/>
          <w:szCs w:val="24"/>
        </w:rPr>
        <w:t>”</w:t>
      </w:r>
      <w:r w:rsidRPr="00FA3B5F" w:rsidR="08A8886D">
        <w:rPr>
          <w:sz w:val="24"/>
          <w:szCs w:val="24"/>
        </w:rPr>
        <w:t xml:space="preserve"> threshold,</w:t>
      </w:r>
      <w:r w:rsidRPr="00FA3B5F">
        <w:rPr>
          <w:sz w:val="24"/>
          <w:szCs w:val="24"/>
        </w:rPr>
        <w:t xml:space="preserve"> (2) limitations on continued tenancy, and (3) mandatory annual reporting on the number of over-income families and public housing waiting list totals. PHAs were required to update their written policies to reflect these statutory changes.</w:t>
      </w:r>
    </w:p>
    <w:p w:rsidR="00FA3B5F" w:rsidRPr="00FA3B5F" w:rsidP="00E36C9E" w14:paraId="16D93412" w14:textId="77777777">
      <w:pPr>
        <w:widowControl w:val="0"/>
        <w:tabs>
          <w:tab w:val="left" w:pos="360"/>
        </w:tabs>
        <w:ind w:left="360" w:hanging="360"/>
        <w:rPr>
          <w:sz w:val="24"/>
          <w:szCs w:val="24"/>
        </w:rPr>
      </w:pPr>
    </w:p>
    <w:p w:rsidR="00FA3B5F" w:rsidRPr="00FA3B5F" w:rsidP="00E36C9E" w14:paraId="25AF44C6" w14:textId="17CBADC0">
      <w:pPr>
        <w:widowControl w:val="0"/>
        <w:tabs>
          <w:tab w:val="left" w:pos="360"/>
        </w:tabs>
        <w:ind w:left="360" w:hanging="360"/>
        <w:rPr>
          <w:sz w:val="24"/>
          <w:szCs w:val="24"/>
        </w:rPr>
      </w:pPr>
      <w:r w:rsidRPr="00FA3B5F">
        <w:rPr>
          <w:sz w:val="24"/>
          <w:szCs w:val="24"/>
        </w:rPr>
        <w:tab/>
        <w:t xml:space="preserve">HUD does not regularly collect and review this information to verify that PHAs have established compliant admission and occupancy policies, ensured program accountability, and responded to public, Congressional, and </w:t>
      </w:r>
      <w:r w:rsidR="0099046D">
        <w:rPr>
          <w:sz w:val="24"/>
          <w:szCs w:val="24"/>
        </w:rPr>
        <w:t>Freedom of Information Act</w:t>
      </w:r>
      <w:r w:rsidR="006853EE">
        <w:rPr>
          <w:sz w:val="24"/>
          <w:szCs w:val="24"/>
        </w:rPr>
        <w:t xml:space="preserve"> (FOIA)</w:t>
      </w:r>
      <w:r w:rsidR="0099046D">
        <w:rPr>
          <w:sz w:val="24"/>
          <w:szCs w:val="24"/>
        </w:rPr>
        <w:t xml:space="preserve"> </w:t>
      </w:r>
      <w:r w:rsidRPr="00FA3B5F">
        <w:rPr>
          <w:sz w:val="24"/>
          <w:szCs w:val="24"/>
        </w:rPr>
        <w:t xml:space="preserve">inquiries. PHAs must </w:t>
      </w:r>
      <w:r w:rsidR="00A552B6">
        <w:rPr>
          <w:sz w:val="24"/>
          <w:szCs w:val="24"/>
        </w:rPr>
        <w:t xml:space="preserve">also </w:t>
      </w:r>
      <w:r w:rsidRPr="00FA3B5F">
        <w:rPr>
          <w:sz w:val="24"/>
          <w:szCs w:val="24"/>
        </w:rPr>
        <w:t>make their policies available upon request, and HUD may review these documents during monitoring or when responding to questions about waiting list procedures, eligibility determinations, or occupancy rules.</w:t>
      </w:r>
    </w:p>
    <w:p w:rsidR="00FA3B5F" w:rsidRPr="00FA3B5F" w:rsidP="00E36C9E" w14:paraId="4FEE162D" w14:textId="77777777">
      <w:pPr>
        <w:widowControl w:val="0"/>
        <w:tabs>
          <w:tab w:val="left" w:pos="360"/>
        </w:tabs>
        <w:ind w:left="360" w:hanging="360"/>
        <w:rPr>
          <w:sz w:val="24"/>
          <w:szCs w:val="24"/>
        </w:rPr>
      </w:pPr>
    </w:p>
    <w:p w:rsidR="00FA3B5F" w:rsidRPr="00FA3B5F" w:rsidP="00E36C9E" w14:paraId="7BD5A9AA" w14:textId="77777777">
      <w:pPr>
        <w:widowControl w:val="0"/>
        <w:tabs>
          <w:tab w:val="left" w:pos="360"/>
        </w:tabs>
        <w:ind w:left="360" w:hanging="360"/>
        <w:rPr>
          <w:sz w:val="24"/>
          <w:szCs w:val="24"/>
        </w:rPr>
      </w:pPr>
      <w:r w:rsidRPr="00FA3B5F">
        <w:rPr>
          <w:sz w:val="24"/>
          <w:szCs w:val="24"/>
        </w:rPr>
        <w:tab/>
        <w:t>The collection is supported by the following statutory and regulatory authorities:</w:t>
      </w:r>
    </w:p>
    <w:p w:rsidR="00FA3B5F" w:rsidRPr="00FA3B5F" w:rsidP="00E36C9E" w14:paraId="4EDADF7C" w14:textId="77777777">
      <w:pPr>
        <w:widowControl w:val="0"/>
        <w:tabs>
          <w:tab w:val="left" w:pos="360"/>
        </w:tabs>
        <w:ind w:left="360" w:hanging="360"/>
        <w:rPr>
          <w:sz w:val="24"/>
          <w:szCs w:val="24"/>
        </w:rPr>
      </w:pPr>
    </w:p>
    <w:p w:rsidR="00FA3B5F" w:rsidRPr="00FE3E65" w:rsidP="00E36C9E" w14:paraId="3DBC7449" w14:textId="4368B233">
      <w:pPr>
        <w:pStyle w:val="ListParagraph"/>
        <w:widowControl w:val="0"/>
        <w:numPr>
          <w:ilvl w:val="0"/>
          <w:numId w:val="17"/>
        </w:numPr>
        <w:tabs>
          <w:tab w:val="left" w:pos="360"/>
        </w:tabs>
        <w:rPr>
          <w:sz w:val="24"/>
          <w:szCs w:val="24"/>
        </w:rPr>
      </w:pPr>
      <w:r w:rsidRPr="00FE3E65">
        <w:rPr>
          <w:sz w:val="24"/>
          <w:szCs w:val="24"/>
        </w:rPr>
        <w:t xml:space="preserve">United States Housing Act of 1937, 42 U.S.C. §§ 1437, 1437c-1, 1437d, and 1437n </w:t>
      </w:r>
      <w:r w:rsidRPr="00FE3E65" w:rsidR="009E5213">
        <w:rPr>
          <w:sz w:val="24"/>
          <w:szCs w:val="24"/>
        </w:rPr>
        <w:t>§§</w:t>
      </w:r>
      <w:r w:rsidR="009E5213">
        <w:rPr>
          <w:sz w:val="24"/>
          <w:szCs w:val="24"/>
        </w:rPr>
        <w:t xml:space="preserve"> </w:t>
      </w:r>
      <w:r w:rsidRPr="00FE3E65">
        <w:rPr>
          <w:sz w:val="24"/>
          <w:szCs w:val="24"/>
        </w:rPr>
        <w:t>3, 5, 6, and 16</w:t>
      </w:r>
    </w:p>
    <w:p w:rsidR="00FA3B5F" w:rsidRPr="00FE3E65" w:rsidP="00E36C9E" w14:paraId="01C5DF01" w14:textId="3A56142C">
      <w:pPr>
        <w:pStyle w:val="ListParagraph"/>
        <w:widowControl w:val="0"/>
        <w:numPr>
          <w:ilvl w:val="0"/>
          <w:numId w:val="17"/>
        </w:numPr>
        <w:tabs>
          <w:tab w:val="left" w:pos="360"/>
        </w:tabs>
        <w:rPr>
          <w:sz w:val="24"/>
          <w:szCs w:val="24"/>
        </w:rPr>
      </w:pPr>
      <w:r w:rsidRPr="00FE3E65">
        <w:rPr>
          <w:sz w:val="24"/>
          <w:szCs w:val="24"/>
        </w:rPr>
        <w:t>QHWRA, Public Law 105</w:t>
      </w:r>
      <w:r w:rsidR="00CE5029">
        <w:rPr>
          <w:sz w:val="24"/>
          <w:szCs w:val="24"/>
        </w:rPr>
        <w:t>-</w:t>
      </w:r>
      <w:r w:rsidRPr="00FE3E65">
        <w:rPr>
          <w:sz w:val="24"/>
          <w:szCs w:val="24"/>
        </w:rPr>
        <w:t>276</w:t>
      </w:r>
    </w:p>
    <w:p w:rsidR="00FA3B5F" w:rsidRPr="00FE3E65" w:rsidP="00E36C9E" w14:paraId="1F08CB9C" w14:textId="1BC0A14A">
      <w:pPr>
        <w:pStyle w:val="ListParagraph"/>
        <w:widowControl w:val="0"/>
        <w:numPr>
          <w:ilvl w:val="0"/>
          <w:numId w:val="17"/>
        </w:numPr>
        <w:tabs>
          <w:tab w:val="left" w:pos="360"/>
        </w:tabs>
        <w:rPr>
          <w:sz w:val="24"/>
          <w:szCs w:val="24"/>
        </w:rPr>
      </w:pPr>
      <w:r w:rsidRPr="00FE3E65">
        <w:rPr>
          <w:sz w:val="24"/>
          <w:szCs w:val="24"/>
        </w:rPr>
        <w:t>HOTMA, Public Law 114</w:t>
      </w:r>
      <w:r w:rsidR="00CE5029">
        <w:rPr>
          <w:sz w:val="24"/>
          <w:szCs w:val="24"/>
        </w:rPr>
        <w:t>-</w:t>
      </w:r>
      <w:r w:rsidRPr="00FE3E65">
        <w:rPr>
          <w:sz w:val="24"/>
          <w:szCs w:val="24"/>
        </w:rPr>
        <w:t>201, Section 103</w:t>
      </w:r>
    </w:p>
    <w:p w:rsidR="00FA3B5F" w:rsidP="00E36C9E" w14:paraId="2F77D387" w14:textId="2C133D8D">
      <w:pPr>
        <w:pStyle w:val="ListParagraph"/>
        <w:widowControl w:val="0"/>
        <w:numPr>
          <w:ilvl w:val="0"/>
          <w:numId w:val="17"/>
        </w:numPr>
        <w:tabs>
          <w:tab w:val="left" w:pos="360"/>
        </w:tabs>
        <w:rPr>
          <w:sz w:val="24"/>
          <w:szCs w:val="24"/>
        </w:rPr>
      </w:pPr>
      <w:r w:rsidRPr="00FE3E65">
        <w:rPr>
          <w:sz w:val="24"/>
          <w:szCs w:val="24"/>
        </w:rPr>
        <w:t>24 CFR part 960 (Admission to and Occupancy of Public Housing)</w:t>
      </w:r>
    </w:p>
    <w:p w:rsidR="00D76CA8" w:rsidRPr="00FE3E65" w:rsidP="00E36C9E" w14:paraId="6E7827B2" w14:textId="66018B4D">
      <w:pPr>
        <w:pStyle w:val="ListParagraph"/>
        <w:widowControl w:val="0"/>
        <w:numPr>
          <w:ilvl w:val="0"/>
          <w:numId w:val="17"/>
        </w:numPr>
        <w:tabs>
          <w:tab w:val="left" w:pos="360"/>
        </w:tabs>
        <w:rPr>
          <w:sz w:val="24"/>
          <w:szCs w:val="24"/>
        </w:rPr>
      </w:pPr>
      <w:r>
        <w:rPr>
          <w:sz w:val="24"/>
          <w:szCs w:val="24"/>
        </w:rPr>
        <w:t>24 CFR part 903 (</w:t>
      </w:r>
      <w:r w:rsidR="00E61BDF">
        <w:rPr>
          <w:sz w:val="24"/>
          <w:szCs w:val="24"/>
        </w:rPr>
        <w:t>Public Housing Agency Plans)</w:t>
      </w:r>
    </w:p>
    <w:p w:rsidR="00FA3B5F" w:rsidRPr="00FA3B5F" w:rsidP="00E36C9E" w14:paraId="22FAA0D6" w14:textId="77777777">
      <w:pPr>
        <w:widowControl w:val="0"/>
        <w:tabs>
          <w:tab w:val="left" w:pos="360"/>
        </w:tabs>
        <w:ind w:left="360" w:hanging="360"/>
        <w:rPr>
          <w:sz w:val="24"/>
          <w:szCs w:val="24"/>
        </w:rPr>
      </w:pPr>
    </w:p>
    <w:p w:rsidR="009E13B1" w:rsidP="00E36C9E" w14:paraId="301F0D45" w14:textId="63C0649C">
      <w:pPr>
        <w:widowControl w:val="0"/>
        <w:tabs>
          <w:tab w:val="left" w:pos="360"/>
        </w:tabs>
        <w:ind w:left="360" w:hanging="360"/>
        <w:rPr>
          <w:sz w:val="24"/>
          <w:szCs w:val="24"/>
        </w:rPr>
      </w:pPr>
      <w:r w:rsidRPr="00FA3B5F">
        <w:rPr>
          <w:sz w:val="24"/>
          <w:szCs w:val="24"/>
        </w:rPr>
        <w:tab/>
        <w:t>HUD is revising this collection to reflect updated estimates based on the current number of active PHAs. Since the last approval, the number of active PHAs has decreased from 2,774 to 2,667 due to mergers and program conversions, including through the Rental Assistance Demonstration</w:t>
      </w:r>
      <w:r w:rsidR="003B4640">
        <w:rPr>
          <w:sz w:val="24"/>
          <w:szCs w:val="24"/>
        </w:rPr>
        <w:t xml:space="preserve"> (RAD)</w:t>
      </w:r>
      <w:r w:rsidRPr="00FA3B5F">
        <w:rPr>
          <w:sz w:val="24"/>
          <w:szCs w:val="24"/>
        </w:rPr>
        <w:t>.</w:t>
      </w:r>
    </w:p>
    <w:p w:rsidR="00A508D2" w:rsidRPr="006C7FAE" w:rsidP="00E36C9E" w14:paraId="420EC04F" w14:textId="77777777">
      <w:pPr>
        <w:widowControl w:val="0"/>
        <w:tabs>
          <w:tab w:val="left" w:pos="360"/>
        </w:tabs>
        <w:ind w:left="360" w:hanging="360"/>
        <w:rPr>
          <w:sz w:val="24"/>
          <w:szCs w:val="24"/>
        </w:rPr>
      </w:pPr>
    </w:p>
    <w:p w:rsidR="009E13B1" w:rsidP="00E36C9E" w14:paraId="324CDFDE" w14:textId="2DE45DBF">
      <w:pPr>
        <w:widowControl w:val="0"/>
        <w:tabs>
          <w:tab w:val="left" w:pos="360"/>
        </w:tabs>
        <w:ind w:left="360" w:hanging="360"/>
        <w:rPr>
          <w:sz w:val="24"/>
          <w:szCs w:val="24"/>
        </w:rPr>
      </w:pPr>
      <w:r w:rsidRPr="006C7FAE">
        <w:rPr>
          <w:sz w:val="24"/>
          <w:szCs w:val="24"/>
        </w:rPr>
        <w:t>2.</w:t>
      </w:r>
      <w:r w:rsidRPr="006C7FAE">
        <w:rPr>
          <w:sz w:val="24"/>
          <w:szCs w:val="24"/>
        </w:rPr>
        <w:tab/>
      </w:r>
      <w:r w:rsidRPr="006759BA">
        <w:rPr>
          <w:b/>
          <w:bCs/>
          <w:sz w:val="24"/>
          <w:szCs w:val="24"/>
        </w:rPr>
        <w:t>Indicate how, by whom and for what purpose the information is to be used.  Except for a new collection, indicate the actual use the agency has made of the information received from the current collection.</w:t>
      </w:r>
    </w:p>
    <w:p w:rsidR="008941D7" w:rsidP="00E36C9E" w14:paraId="393131B8" w14:textId="715023D6">
      <w:pPr>
        <w:widowControl w:val="0"/>
        <w:tabs>
          <w:tab w:val="left" w:pos="360"/>
        </w:tabs>
        <w:ind w:left="360" w:hanging="360"/>
        <w:rPr>
          <w:sz w:val="24"/>
          <w:szCs w:val="24"/>
        </w:rPr>
      </w:pPr>
      <w:r>
        <w:rPr>
          <w:sz w:val="24"/>
          <w:szCs w:val="24"/>
        </w:rPr>
        <w:tab/>
      </w:r>
    </w:p>
    <w:p w:rsidR="00D509E4" w:rsidRPr="00D509E4" w:rsidP="00E36C9E" w14:paraId="5C1101F1" w14:textId="02E8F2E2">
      <w:pPr>
        <w:widowControl w:val="0"/>
        <w:tabs>
          <w:tab w:val="left" w:pos="360"/>
        </w:tabs>
        <w:ind w:left="360" w:hanging="360"/>
        <w:rPr>
          <w:sz w:val="24"/>
          <w:szCs w:val="24"/>
        </w:rPr>
      </w:pPr>
      <w:r>
        <w:rPr>
          <w:sz w:val="24"/>
          <w:szCs w:val="24"/>
        </w:rPr>
        <w:tab/>
      </w:r>
      <w:r w:rsidRPr="002B7C03" w:rsidR="002B7C03">
        <w:rPr>
          <w:sz w:val="24"/>
          <w:szCs w:val="24"/>
        </w:rPr>
        <w:t xml:space="preserve">This is a revision of a currently approved collection. </w:t>
      </w:r>
      <w:r w:rsidRPr="00D509E4">
        <w:rPr>
          <w:sz w:val="24"/>
          <w:szCs w:val="24"/>
        </w:rPr>
        <w:t>PHAs establish admission and occupancy policies to operate their public housing programs</w:t>
      </w:r>
      <w:r w:rsidR="00C64669">
        <w:rPr>
          <w:sz w:val="24"/>
          <w:szCs w:val="24"/>
        </w:rPr>
        <w:t>,</w:t>
      </w:r>
      <w:r w:rsidR="00CA0BB3">
        <w:rPr>
          <w:sz w:val="24"/>
          <w:szCs w:val="24"/>
        </w:rPr>
        <w:t xml:space="preserve"> </w:t>
      </w:r>
      <w:r w:rsidRPr="00D509E4">
        <w:rPr>
          <w:sz w:val="24"/>
          <w:szCs w:val="24"/>
        </w:rPr>
        <w:t xml:space="preserve">and these written policies must be made available to HUD and the public upon request. HUD </w:t>
      </w:r>
      <w:r w:rsidR="00C64669">
        <w:rPr>
          <w:sz w:val="24"/>
          <w:szCs w:val="24"/>
        </w:rPr>
        <w:t>f</w:t>
      </w:r>
      <w:r w:rsidRPr="00D509E4">
        <w:rPr>
          <w:sz w:val="24"/>
          <w:szCs w:val="24"/>
        </w:rPr>
        <w:t>iel</w:t>
      </w:r>
      <w:r w:rsidR="00C64669">
        <w:rPr>
          <w:sz w:val="24"/>
          <w:szCs w:val="24"/>
        </w:rPr>
        <w:t>d st</w:t>
      </w:r>
      <w:r w:rsidRPr="00D509E4">
        <w:rPr>
          <w:sz w:val="24"/>
          <w:szCs w:val="24"/>
        </w:rPr>
        <w:t xml:space="preserve">aff use this information during Rental Integrity Monitoring reviews and other oversight activities to assess compliance with statutory and regulatory requirements, including the accuracy of rent determinations and eligibility decisions. HUD also uses the information to respond to inquiries from tenants, legal-aid organizations, Congress, and the public, including </w:t>
      </w:r>
      <w:r w:rsidR="006853EE">
        <w:rPr>
          <w:sz w:val="24"/>
          <w:szCs w:val="24"/>
        </w:rPr>
        <w:t>FOIA</w:t>
      </w:r>
      <w:r w:rsidRPr="00D509E4">
        <w:rPr>
          <w:sz w:val="24"/>
          <w:szCs w:val="24"/>
        </w:rPr>
        <w:t xml:space="preserve"> requests.</w:t>
      </w:r>
    </w:p>
    <w:p w:rsidR="00D509E4" w:rsidRPr="00D509E4" w:rsidP="00E36C9E" w14:paraId="138460C2" w14:textId="77777777">
      <w:pPr>
        <w:widowControl w:val="0"/>
        <w:tabs>
          <w:tab w:val="left" w:pos="360"/>
        </w:tabs>
        <w:ind w:left="360" w:hanging="360"/>
        <w:rPr>
          <w:sz w:val="24"/>
          <w:szCs w:val="24"/>
        </w:rPr>
      </w:pPr>
    </w:p>
    <w:p w:rsidR="00FA3B5F" w:rsidP="00E36C9E" w14:paraId="67073E0B" w14:textId="3E937599">
      <w:pPr>
        <w:widowControl w:val="0"/>
        <w:tabs>
          <w:tab w:val="left" w:pos="360"/>
        </w:tabs>
        <w:ind w:left="360" w:hanging="360"/>
        <w:rPr>
          <w:sz w:val="24"/>
          <w:szCs w:val="24"/>
        </w:rPr>
      </w:pPr>
      <w:r w:rsidRPr="00D509E4">
        <w:rPr>
          <w:sz w:val="24"/>
          <w:szCs w:val="24"/>
        </w:rPr>
        <w:tab/>
        <w:t xml:space="preserve">PHAs rely on these policies to guide eligibility determinations, continued occupancy, rent calculations, local admission preferences, and waiting list procedures, as required under QHWRA. HOTMA requires PHAs to maintain written policies related to over-income families. The information collected through these requirements ensures that PHAs have adopted and </w:t>
      </w:r>
      <w:r w:rsidRPr="00D509E4" w:rsidR="000A72B3">
        <w:rPr>
          <w:sz w:val="24"/>
          <w:szCs w:val="24"/>
        </w:rPr>
        <w:t>applied</w:t>
      </w:r>
      <w:r w:rsidRPr="00D509E4">
        <w:rPr>
          <w:sz w:val="24"/>
          <w:szCs w:val="24"/>
        </w:rPr>
        <w:t xml:space="preserve"> policies consistent with QHWRA, HOTMA, and HUD regulations.</w:t>
      </w:r>
    </w:p>
    <w:p w:rsidR="009E13B1" w:rsidRPr="006C7FAE" w:rsidP="00E36C9E" w14:paraId="4A350C48" w14:textId="54A9D1E5">
      <w:pPr>
        <w:widowControl w:val="0"/>
        <w:tabs>
          <w:tab w:val="left" w:pos="360"/>
        </w:tabs>
        <w:ind w:left="360" w:hanging="360"/>
        <w:rPr>
          <w:sz w:val="24"/>
          <w:szCs w:val="24"/>
        </w:rPr>
      </w:pPr>
      <w:r>
        <w:rPr>
          <w:sz w:val="24"/>
          <w:szCs w:val="24"/>
        </w:rPr>
        <w:tab/>
      </w:r>
      <w:r w:rsidR="00CC3389">
        <w:rPr>
          <w:sz w:val="24"/>
          <w:szCs w:val="24"/>
        </w:rPr>
        <w:tab/>
      </w:r>
    </w:p>
    <w:p w:rsidR="009E13B1" w:rsidRPr="006C7FAE" w:rsidP="00E36C9E" w14:paraId="70250EAE" w14:textId="77777777">
      <w:pPr>
        <w:widowControl w:val="0"/>
        <w:tabs>
          <w:tab w:val="left" w:pos="360"/>
        </w:tabs>
        <w:ind w:left="360" w:hanging="360"/>
        <w:rPr>
          <w:sz w:val="24"/>
          <w:szCs w:val="24"/>
        </w:rPr>
      </w:pPr>
      <w:r w:rsidRPr="006C7FAE">
        <w:rPr>
          <w:sz w:val="24"/>
          <w:szCs w:val="24"/>
        </w:rPr>
        <w:t>3.</w:t>
      </w:r>
      <w:r w:rsidRPr="006C7FAE">
        <w:rPr>
          <w:sz w:val="24"/>
          <w:szCs w:val="24"/>
        </w:rPr>
        <w:tab/>
      </w:r>
      <w:r w:rsidRPr="006759BA">
        <w:rPr>
          <w:b/>
          <w:bCs/>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E13B1" w:rsidP="00E36C9E" w14:paraId="58B111F6" w14:textId="6970F0C9">
      <w:pPr>
        <w:widowControl w:val="0"/>
        <w:tabs>
          <w:tab w:val="left" w:pos="360"/>
        </w:tabs>
        <w:ind w:left="360" w:hanging="360"/>
        <w:rPr>
          <w:sz w:val="24"/>
          <w:szCs w:val="24"/>
        </w:rPr>
      </w:pPr>
      <w:r>
        <w:rPr>
          <w:sz w:val="24"/>
          <w:szCs w:val="24"/>
        </w:rPr>
        <w:tab/>
      </w:r>
    </w:p>
    <w:p w:rsidR="003A3280" w:rsidP="004C0FF9" w14:paraId="269FAEE4" w14:textId="5D8AEAEF">
      <w:pPr>
        <w:widowControl w:val="0"/>
        <w:tabs>
          <w:tab w:val="left" w:pos="360"/>
        </w:tabs>
        <w:ind w:left="360" w:hanging="360"/>
        <w:rPr>
          <w:sz w:val="24"/>
          <w:szCs w:val="24"/>
        </w:rPr>
      </w:pPr>
      <w:r>
        <w:rPr>
          <w:sz w:val="24"/>
          <w:szCs w:val="24"/>
        </w:rPr>
        <w:tab/>
      </w:r>
      <w:r w:rsidRPr="00F21CDF">
        <w:rPr>
          <w:sz w:val="24"/>
          <w:szCs w:val="24"/>
        </w:rPr>
        <w:t xml:space="preserve">This collection does not require automated or electronic submission; PHAs primarily maintain their </w:t>
      </w:r>
      <w:r w:rsidR="00B93B05">
        <w:rPr>
          <w:sz w:val="24"/>
          <w:szCs w:val="24"/>
        </w:rPr>
        <w:t xml:space="preserve">own </w:t>
      </w:r>
      <w:r w:rsidRPr="00F21CDF" w:rsidR="00B93B05">
        <w:rPr>
          <w:sz w:val="24"/>
          <w:szCs w:val="24"/>
        </w:rPr>
        <w:t xml:space="preserve">written </w:t>
      </w:r>
      <w:r w:rsidRPr="00F21CDF">
        <w:rPr>
          <w:sz w:val="24"/>
          <w:szCs w:val="24"/>
        </w:rPr>
        <w:t>admission and occupancy policies and must make them available to HUD and the public upon request. Many PHAs voluntarily post their policies on their websites to facilitate access, but this is not required.</w:t>
      </w:r>
    </w:p>
    <w:p w:rsidR="003A3280" w:rsidRPr="006C7FAE" w:rsidP="00E36C9E" w14:paraId="7D359308" w14:textId="77777777">
      <w:pPr>
        <w:widowControl w:val="0"/>
        <w:tabs>
          <w:tab w:val="left" w:pos="360"/>
        </w:tabs>
        <w:ind w:left="360" w:hanging="360"/>
        <w:rPr>
          <w:sz w:val="24"/>
          <w:szCs w:val="24"/>
        </w:rPr>
      </w:pPr>
    </w:p>
    <w:p w:rsidR="009E13B1" w:rsidRPr="006C7FAE" w:rsidP="00E36C9E" w14:paraId="1C0AE1D0" w14:textId="77777777">
      <w:pPr>
        <w:widowControl w:val="0"/>
        <w:tabs>
          <w:tab w:val="left" w:pos="360"/>
        </w:tabs>
        <w:ind w:left="360" w:hanging="360"/>
        <w:rPr>
          <w:sz w:val="24"/>
          <w:szCs w:val="24"/>
        </w:rPr>
      </w:pPr>
      <w:r w:rsidRPr="006C7FAE">
        <w:rPr>
          <w:sz w:val="24"/>
          <w:szCs w:val="24"/>
        </w:rPr>
        <w:t>4.</w:t>
      </w:r>
      <w:r w:rsidRPr="006C7FAE">
        <w:rPr>
          <w:sz w:val="24"/>
          <w:szCs w:val="24"/>
        </w:rPr>
        <w:tab/>
      </w:r>
      <w:r w:rsidRPr="006759BA">
        <w:rPr>
          <w:b/>
          <w:bCs/>
          <w:sz w:val="24"/>
          <w:szCs w:val="24"/>
        </w:rPr>
        <w:t>Describe efforts to identify duplication.  Show specifically why any similar information already available cannot be used or modified for use for the purposes described in Item 2 above.</w:t>
      </w:r>
    </w:p>
    <w:p w:rsidR="009E13B1" w:rsidP="00E36C9E" w14:paraId="68859B10" w14:textId="77777777">
      <w:pPr>
        <w:widowControl w:val="0"/>
        <w:tabs>
          <w:tab w:val="left" w:pos="360"/>
          <w:tab w:val="left" w:pos="720"/>
        </w:tabs>
        <w:ind w:left="360"/>
        <w:rPr>
          <w:sz w:val="24"/>
          <w:szCs w:val="24"/>
        </w:rPr>
      </w:pPr>
    </w:p>
    <w:p w:rsidR="00177E17" w:rsidP="00E36C9E" w14:paraId="28587B1A" w14:textId="00E004B6">
      <w:pPr>
        <w:widowControl w:val="0"/>
        <w:tabs>
          <w:tab w:val="left" w:pos="360"/>
          <w:tab w:val="left" w:pos="720"/>
        </w:tabs>
        <w:ind w:left="360"/>
        <w:rPr>
          <w:sz w:val="24"/>
          <w:szCs w:val="24"/>
        </w:rPr>
      </w:pPr>
      <w:r w:rsidRPr="00AF155F">
        <w:rPr>
          <w:sz w:val="24"/>
          <w:szCs w:val="24"/>
        </w:rPr>
        <w:t xml:space="preserve">There is no duplication. </w:t>
      </w:r>
      <w:r w:rsidRPr="00E86AB4">
        <w:rPr>
          <w:sz w:val="24"/>
          <w:szCs w:val="24"/>
        </w:rPr>
        <w:t>This information collection does not duplicate information under any other approved HUD information collections. Admission and Occupancy policy information is unique to each PHA and is specific to the management of its public housing programs.</w:t>
      </w:r>
    </w:p>
    <w:p w:rsidR="00E36C9E" w:rsidP="00E36C9E" w14:paraId="76F4FB60" w14:textId="77777777">
      <w:pPr>
        <w:widowControl w:val="0"/>
        <w:tabs>
          <w:tab w:val="left" w:pos="360"/>
          <w:tab w:val="left" w:pos="720"/>
        </w:tabs>
        <w:ind w:left="360"/>
        <w:rPr>
          <w:sz w:val="24"/>
          <w:szCs w:val="24"/>
        </w:rPr>
      </w:pPr>
    </w:p>
    <w:p w:rsidR="009E13B1" w:rsidRPr="006759BA" w:rsidP="00E36C9E" w14:paraId="689A9EFC" w14:textId="77777777">
      <w:pPr>
        <w:widowControl w:val="0"/>
        <w:tabs>
          <w:tab w:val="left" w:pos="360"/>
        </w:tabs>
        <w:ind w:left="360" w:hanging="360"/>
        <w:rPr>
          <w:b/>
          <w:bCs/>
          <w:sz w:val="24"/>
          <w:szCs w:val="24"/>
        </w:rPr>
      </w:pPr>
      <w:r w:rsidRPr="006C7FAE">
        <w:rPr>
          <w:sz w:val="24"/>
          <w:szCs w:val="24"/>
        </w:rPr>
        <w:t>5.</w:t>
      </w:r>
      <w:r w:rsidRPr="006C7FAE">
        <w:rPr>
          <w:sz w:val="24"/>
          <w:szCs w:val="24"/>
        </w:rPr>
        <w:tab/>
      </w:r>
      <w:r w:rsidRPr="006759BA">
        <w:rPr>
          <w:b/>
          <w:bCs/>
          <w:sz w:val="24"/>
          <w:szCs w:val="24"/>
        </w:rPr>
        <w:t>If the collection of information impacts small businesses or other small entities describe any methods used to minimize burden.</w:t>
      </w:r>
    </w:p>
    <w:p w:rsidR="002932A2" w:rsidP="00E36C9E" w14:paraId="3F7CF82D" w14:textId="62A83B4A">
      <w:pPr>
        <w:widowControl w:val="0"/>
        <w:tabs>
          <w:tab w:val="left" w:pos="360"/>
        </w:tabs>
        <w:ind w:left="360" w:hanging="360"/>
        <w:rPr>
          <w:sz w:val="24"/>
          <w:szCs w:val="24"/>
        </w:rPr>
      </w:pPr>
      <w:r>
        <w:rPr>
          <w:sz w:val="24"/>
          <w:szCs w:val="24"/>
        </w:rPr>
        <w:tab/>
      </w:r>
    </w:p>
    <w:p w:rsidR="00C324D6" w:rsidRPr="00AE292B" w:rsidP="00E36C9E" w14:paraId="6F4C8C21" w14:textId="7453FF95">
      <w:pPr>
        <w:widowControl w:val="0"/>
        <w:tabs>
          <w:tab w:val="left" w:pos="360"/>
        </w:tabs>
        <w:ind w:left="360" w:hanging="360"/>
        <w:rPr>
          <w:sz w:val="24"/>
          <w:szCs w:val="24"/>
        </w:rPr>
      </w:pPr>
      <w:r>
        <w:rPr>
          <w:sz w:val="24"/>
          <w:szCs w:val="24"/>
        </w:rPr>
        <w:tab/>
      </w:r>
      <w:r w:rsidRPr="009D54E4" w:rsidR="009D54E4">
        <w:rPr>
          <w:sz w:val="24"/>
          <w:szCs w:val="24"/>
        </w:rPr>
        <w:t xml:space="preserve">The collection does not impact small businesses. </w:t>
      </w:r>
      <w:r w:rsidRPr="00AE292B">
        <w:rPr>
          <w:sz w:val="24"/>
          <w:szCs w:val="24"/>
        </w:rPr>
        <w:t>The requirements do not exceed statutory mandates, no alternative submission methods are available, and the collection does not impose significant economic impacts on a substantial number of small PHAs.</w:t>
      </w:r>
    </w:p>
    <w:p w:rsidR="00C324D6" w:rsidRPr="00AE292B" w:rsidP="00E36C9E" w14:paraId="66A8B443" w14:textId="77777777">
      <w:pPr>
        <w:widowControl w:val="0"/>
        <w:tabs>
          <w:tab w:val="left" w:pos="360"/>
        </w:tabs>
        <w:ind w:left="360" w:hanging="360"/>
        <w:rPr>
          <w:sz w:val="24"/>
          <w:szCs w:val="24"/>
        </w:rPr>
      </w:pPr>
    </w:p>
    <w:p w:rsidR="009E13B1" w:rsidP="00E36C9E" w14:paraId="0ED21226" w14:textId="0F650A97">
      <w:pPr>
        <w:widowControl w:val="0"/>
        <w:tabs>
          <w:tab w:val="left" w:pos="360"/>
        </w:tabs>
        <w:ind w:left="360" w:hanging="360"/>
        <w:rPr>
          <w:sz w:val="24"/>
          <w:szCs w:val="24"/>
        </w:rPr>
      </w:pPr>
      <w:r>
        <w:rPr>
          <w:sz w:val="24"/>
          <w:szCs w:val="24"/>
        </w:rPr>
        <w:tab/>
        <w:t>Additionally, t</w:t>
      </w:r>
      <w:r w:rsidRPr="00AE292B">
        <w:rPr>
          <w:sz w:val="24"/>
          <w:szCs w:val="24"/>
        </w:rPr>
        <w:t xml:space="preserve">he Housing and Economic Recovery Act of 2008 reduces burden for small agencies by exempting qualified PHAs from the </w:t>
      </w:r>
      <w:r w:rsidR="00CA40E5">
        <w:rPr>
          <w:sz w:val="24"/>
          <w:szCs w:val="24"/>
        </w:rPr>
        <w:t>A</w:t>
      </w:r>
      <w:r w:rsidRPr="00AE292B">
        <w:rPr>
          <w:sz w:val="24"/>
          <w:szCs w:val="24"/>
        </w:rPr>
        <w:t xml:space="preserve">nnual PHA Plan submission, which typically incorporates admission and occupancy policies. Qualified PHAs—those with 550 or fewer combined public housing units and/or </w:t>
      </w:r>
      <w:r w:rsidR="001F549E">
        <w:rPr>
          <w:sz w:val="24"/>
          <w:szCs w:val="24"/>
        </w:rPr>
        <w:t>h</w:t>
      </w:r>
      <w:r w:rsidRPr="00AE292B">
        <w:rPr>
          <w:sz w:val="24"/>
          <w:szCs w:val="24"/>
        </w:rPr>
        <w:t xml:space="preserve">ousing </w:t>
      </w:r>
      <w:r w:rsidR="001F549E">
        <w:rPr>
          <w:sz w:val="24"/>
          <w:szCs w:val="24"/>
        </w:rPr>
        <w:t>c</w:t>
      </w:r>
      <w:r w:rsidRPr="00AE292B">
        <w:rPr>
          <w:sz w:val="24"/>
          <w:szCs w:val="24"/>
        </w:rPr>
        <w:t xml:space="preserve">hoice </w:t>
      </w:r>
      <w:r w:rsidR="001F549E">
        <w:rPr>
          <w:sz w:val="24"/>
          <w:szCs w:val="24"/>
        </w:rPr>
        <w:t>v</w:t>
      </w:r>
      <w:r w:rsidRPr="00AE292B">
        <w:rPr>
          <w:sz w:val="24"/>
          <w:szCs w:val="24"/>
        </w:rPr>
        <w:t xml:space="preserve">ouchers, not designated as troubled under </w:t>
      </w:r>
      <w:r w:rsidR="001F549E">
        <w:rPr>
          <w:sz w:val="24"/>
          <w:szCs w:val="24"/>
        </w:rPr>
        <w:t>the Public Housing Assessment System (</w:t>
      </w:r>
      <w:r w:rsidRPr="00AE292B">
        <w:rPr>
          <w:sz w:val="24"/>
          <w:szCs w:val="24"/>
        </w:rPr>
        <w:t>PHAS</w:t>
      </w:r>
      <w:r w:rsidR="001F549E">
        <w:rPr>
          <w:sz w:val="24"/>
          <w:szCs w:val="24"/>
        </w:rPr>
        <w:t>)</w:t>
      </w:r>
      <w:r w:rsidRPr="00AE292B">
        <w:rPr>
          <w:sz w:val="24"/>
          <w:szCs w:val="24"/>
        </w:rPr>
        <w:t xml:space="preserve">, and not failing </w:t>
      </w:r>
      <w:r w:rsidR="00AF1F8E">
        <w:rPr>
          <w:sz w:val="24"/>
          <w:szCs w:val="24"/>
        </w:rPr>
        <w:t>the Section 8 Management Assessment Program (</w:t>
      </w:r>
      <w:r w:rsidRPr="00AE292B">
        <w:rPr>
          <w:sz w:val="24"/>
          <w:szCs w:val="24"/>
        </w:rPr>
        <w:t>SEMAP</w:t>
      </w:r>
      <w:r w:rsidR="00AF1F8E">
        <w:rPr>
          <w:sz w:val="24"/>
          <w:szCs w:val="24"/>
        </w:rPr>
        <w:t>)</w:t>
      </w:r>
      <w:r w:rsidRPr="00AE292B">
        <w:rPr>
          <w:sz w:val="24"/>
          <w:szCs w:val="24"/>
        </w:rPr>
        <w:t xml:space="preserve"> in the prior 12 months—submit only a certification instead of a full plan. These PHAs must still maintain required policies, hold the annual public hearing, and make their policies available upon request, but the exemption significantly limits the administrative workload for small entities.</w:t>
      </w:r>
    </w:p>
    <w:p w:rsidR="00D2127C" w:rsidRPr="006C7FAE" w:rsidP="00E36C9E" w14:paraId="5EAD5E82" w14:textId="7869D745">
      <w:pPr>
        <w:widowControl w:val="0"/>
        <w:tabs>
          <w:tab w:val="left" w:pos="360"/>
          <w:tab w:val="left" w:pos="855"/>
        </w:tabs>
        <w:ind w:left="360" w:hanging="360"/>
        <w:rPr>
          <w:sz w:val="24"/>
          <w:szCs w:val="24"/>
        </w:rPr>
      </w:pPr>
      <w:r>
        <w:rPr>
          <w:sz w:val="24"/>
          <w:szCs w:val="24"/>
        </w:rPr>
        <w:tab/>
      </w:r>
      <w:r w:rsidR="002932A2">
        <w:rPr>
          <w:sz w:val="24"/>
          <w:szCs w:val="24"/>
        </w:rPr>
        <w:tab/>
      </w:r>
    </w:p>
    <w:p w:rsidR="009E13B1" w:rsidRPr="006C7FAE" w:rsidP="00E36C9E" w14:paraId="2C0F0529" w14:textId="36B48857">
      <w:pPr>
        <w:widowControl w:val="0"/>
        <w:tabs>
          <w:tab w:val="left" w:pos="360"/>
        </w:tabs>
        <w:ind w:left="360" w:hanging="360"/>
        <w:rPr>
          <w:sz w:val="24"/>
          <w:szCs w:val="24"/>
        </w:rPr>
      </w:pPr>
      <w:r w:rsidRPr="006C7FAE">
        <w:rPr>
          <w:sz w:val="24"/>
          <w:szCs w:val="24"/>
        </w:rPr>
        <w:t>6.</w:t>
      </w:r>
      <w:r w:rsidRPr="006C7FAE">
        <w:rPr>
          <w:sz w:val="24"/>
          <w:szCs w:val="24"/>
        </w:rPr>
        <w:tab/>
      </w:r>
      <w:r w:rsidRPr="006759BA">
        <w:rPr>
          <w:b/>
          <w:bCs/>
          <w:sz w:val="24"/>
          <w:szCs w:val="24"/>
        </w:rPr>
        <w:t xml:space="preserve">Describe the </w:t>
      </w:r>
      <w:r w:rsidRPr="006759BA" w:rsidR="006A158B">
        <w:rPr>
          <w:b/>
          <w:bCs/>
          <w:sz w:val="24"/>
          <w:szCs w:val="24"/>
        </w:rPr>
        <w:t>consequences</w:t>
      </w:r>
      <w:r w:rsidRPr="006759BA">
        <w:rPr>
          <w:b/>
          <w:bCs/>
          <w:sz w:val="24"/>
          <w:szCs w:val="24"/>
        </w:rPr>
        <w:t xml:space="preserve"> to Federal program or policy activities if the collection is not conducted or is conducted less frequently, as well as any technical or legal obstacles to reducing burden.</w:t>
      </w:r>
    </w:p>
    <w:p w:rsidR="009B0AA2" w:rsidP="00E36C9E" w14:paraId="077D72FF" w14:textId="77777777">
      <w:pPr>
        <w:widowControl w:val="0"/>
        <w:tabs>
          <w:tab w:val="left" w:pos="360"/>
          <w:tab w:val="left" w:pos="720"/>
        </w:tabs>
        <w:ind w:left="360"/>
        <w:rPr>
          <w:sz w:val="24"/>
          <w:szCs w:val="24"/>
        </w:rPr>
      </w:pPr>
    </w:p>
    <w:p w:rsidR="0029309A" w:rsidP="00E36C9E" w14:paraId="61AB905B" w14:textId="1F346ED3">
      <w:pPr>
        <w:widowControl w:val="0"/>
        <w:tabs>
          <w:tab w:val="left" w:pos="360"/>
          <w:tab w:val="left" w:pos="720"/>
        </w:tabs>
        <w:ind w:left="360"/>
        <w:rPr>
          <w:sz w:val="24"/>
          <w:szCs w:val="24"/>
        </w:rPr>
      </w:pPr>
      <w:r w:rsidRPr="00672E4C">
        <w:rPr>
          <w:sz w:val="24"/>
          <w:szCs w:val="24"/>
        </w:rPr>
        <w:t>Any reduction to this collection requirement would violate QHWRA and HOTMA and weaken a PHA's ability to withstand legal challenges, including fair housing issues, with respect to their admissions and occupancy policies and procedures. Furthermore, reduction of this collection requirement would reduce the public’s access to information directly related to the access and procurement of public benefits</w:t>
      </w:r>
      <w:r>
        <w:rPr>
          <w:sz w:val="24"/>
          <w:szCs w:val="24"/>
        </w:rPr>
        <w:t>.</w:t>
      </w:r>
    </w:p>
    <w:p w:rsidR="006A158B" w:rsidRPr="006C7FAE" w:rsidP="00E36C9E" w14:paraId="41B8E746" w14:textId="77777777">
      <w:pPr>
        <w:widowControl w:val="0"/>
        <w:tabs>
          <w:tab w:val="left" w:pos="360"/>
          <w:tab w:val="left" w:pos="720"/>
        </w:tabs>
        <w:ind w:left="360"/>
        <w:rPr>
          <w:sz w:val="24"/>
          <w:szCs w:val="24"/>
        </w:rPr>
      </w:pPr>
    </w:p>
    <w:p w:rsidR="00A65F9E" w:rsidP="00E36C9E" w14:paraId="2B3F5C7B" w14:textId="57D45359">
      <w:pPr>
        <w:widowControl w:val="0"/>
        <w:numPr>
          <w:ilvl w:val="0"/>
          <w:numId w:val="13"/>
        </w:numPr>
        <w:tabs>
          <w:tab w:val="left" w:pos="360"/>
        </w:tabs>
        <w:rPr>
          <w:sz w:val="24"/>
          <w:szCs w:val="24"/>
        </w:rPr>
      </w:pPr>
      <w:r w:rsidRPr="006759BA">
        <w:rPr>
          <w:b/>
          <w:bCs/>
          <w:sz w:val="24"/>
          <w:szCs w:val="24"/>
        </w:rPr>
        <w:t>Explain any special circumstances that would cause an information collection to be conducted in a manner:</w:t>
      </w:r>
    </w:p>
    <w:p w:rsidR="009E13B1" w:rsidRPr="006C7FAE" w:rsidP="00E36C9E" w14:paraId="38CBA337" w14:textId="77777777">
      <w:pPr>
        <w:widowControl w:val="0"/>
        <w:tabs>
          <w:tab w:val="left" w:pos="360"/>
        </w:tabs>
        <w:ind w:left="360"/>
        <w:rPr>
          <w:sz w:val="24"/>
          <w:szCs w:val="24"/>
        </w:rPr>
      </w:pPr>
      <w:r w:rsidRPr="006C7FAE">
        <w:rPr>
          <w:sz w:val="24"/>
          <w:szCs w:val="24"/>
        </w:rPr>
        <w:t xml:space="preserve"> </w:t>
      </w:r>
    </w:p>
    <w:p w:rsidR="00E42E39" w:rsidRPr="002B7C06" w:rsidP="00E36C9E" w14:paraId="2DC803E9" w14:textId="0A7A50D9">
      <w:pPr>
        <w:widowControl w:val="0"/>
        <w:numPr>
          <w:ilvl w:val="0"/>
          <w:numId w:val="14"/>
        </w:numPr>
        <w:tabs>
          <w:tab w:val="left" w:pos="600"/>
        </w:tabs>
        <w:rPr>
          <w:b/>
          <w:bCs/>
          <w:sz w:val="24"/>
          <w:szCs w:val="24"/>
        </w:rPr>
      </w:pPr>
      <w:r w:rsidRPr="002B7C06">
        <w:rPr>
          <w:b/>
          <w:bCs/>
          <w:sz w:val="24"/>
          <w:szCs w:val="24"/>
        </w:rPr>
        <w:t xml:space="preserve">requiring respondents to report information to the agency more than quarterly; </w:t>
      </w:r>
      <w:r w:rsidRPr="002B7C06" w:rsidR="002B7C06">
        <w:rPr>
          <w:sz w:val="24"/>
          <w:szCs w:val="24"/>
        </w:rPr>
        <w:t>Not applicable.</w:t>
      </w:r>
    </w:p>
    <w:p w:rsidR="00040988" w:rsidRPr="002B7C06" w:rsidP="00E36C9E" w14:paraId="54C95D85" w14:textId="4F8DF703">
      <w:pPr>
        <w:widowControl w:val="0"/>
        <w:numPr>
          <w:ilvl w:val="0"/>
          <w:numId w:val="14"/>
        </w:numPr>
        <w:tabs>
          <w:tab w:val="left" w:pos="600"/>
        </w:tabs>
        <w:rPr>
          <w:b/>
          <w:bCs/>
          <w:sz w:val="24"/>
          <w:szCs w:val="24"/>
        </w:rPr>
      </w:pPr>
      <w:r w:rsidRPr="002B7C06">
        <w:rPr>
          <w:b/>
          <w:bCs/>
          <w:sz w:val="24"/>
          <w:szCs w:val="24"/>
        </w:rPr>
        <w:t xml:space="preserve">requiring respondents to prepare a written response to a collection of information in fewer than 30 days after receipt of it; </w:t>
      </w:r>
      <w:r w:rsidRPr="002B7C06" w:rsidR="002B7C06">
        <w:rPr>
          <w:sz w:val="24"/>
          <w:szCs w:val="24"/>
        </w:rPr>
        <w:t>Not applicable.</w:t>
      </w:r>
    </w:p>
    <w:p w:rsidR="00DD6E23" w:rsidRPr="002B7C06" w:rsidP="00E36C9E" w14:paraId="3F8D8541" w14:textId="4965CAF5">
      <w:pPr>
        <w:pStyle w:val="ListParagraph"/>
        <w:widowControl w:val="0"/>
        <w:numPr>
          <w:ilvl w:val="0"/>
          <w:numId w:val="14"/>
        </w:numPr>
        <w:tabs>
          <w:tab w:val="left" w:pos="600"/>
        </w:tabs>
        <w:rPr>
          <w:b/>
          <w:bCs/>
          <w:sz w:val="24"/>
          <w:szCs w:val="24"/>
        </w:rPr>
      </w:pPr>
      <w:r w:rsidRPr="002B7C06">
        <w:rPr>
          <w:b/>
          <w:bCs/>
          <w:sz w:val="24"/>
          <w:szCs w:val="24"/>
        </w:rPr>
        <w:t xml:space="preserve">requiring respondents to submit more than an original and two copies of any document; </w:t>
      </w:r>
      <w:r w:rsidRPr="002B7C06" w:rsidR="002B7C06">
        <w:rPr>
          <w:sz w:val="24"/>
          <w:szCs w:val="24"/>
        </w:rPr>
        <w:t>Not applicable.</w:t>
      </w:r>
    </w:p>
    <w:p w:rsidR="006B05CD" w:rsidRPr="002B7C06" w:rsidP="00E36C9E" w14:paraId="35EA2554" w14:textId="3DD2A915">
      <w:pPr>
        <w:pStyle w:val="ListParagraph"/>
        <w:widowControl w:val="0"/>
        <w:numPr>
          <w:ilvl w:val="0"/>
          <w:numId w:val="14"/>
        </w:numPr>
        <w:tabs>
          <w:tab w:val="left" w:pos="600"/>
        </w:tabs>
        <w:rPr>
          <w:b/>
          <w:bCs/>
          <w:sz w:val="24"/>
          <w:szCs w:val="24"/>
        </w:rPr>
      </w:pPr>
      <w:r w:rsidRPr="002B7C06">
        <w:rPr>
          <w:b/>
          <w:bCs/>
          <w:sz w:val="24"/>
          <w:szCs w:val="24"/>
        </w:rPr>
        <w:t xml:space="preserve">requiring respondents to retain records other than health, medical, government contract, grant-in-aid, or tax records for more than </w:t>
      </w:r>
      <w:r w:rsidRPr="002B7C06" w:rsidR="00EF4F35">
        <w:rPr>
          <w:b/>
          <w:bCs/>
          <w:sz w:val="24"/>
          <w:szCs w:val="24"/>
        </w:rPr>
        <w:t xml:space="preserve">3 </w:t>
      </w:r>
      <w:r w:rsidRPr="002B7C06">
        <w:rPr>
          <w:b/>
          <w:bCs/>
          <w:sz w:val="24"/>
          <w:szCs w:val="24"/>
        </w:rPr>
        <w:t xml:space="preserve">years; </w:t>
      </w:r>
      <w:r w:rsidRPr="002B7C06" w:rsidR="002B7C06">
        <w:rPr>
          <w:sz w:val="24"/>
          <w:szCs w:val="24"/>
        </w:rPr>
        <w:t>Not applicable.</w:t>
      </w:r>
    </w:p>
    <w:p w:rsidR="005843FD" w:rsidRPr="002B7C06" w:rsidP="00E36C9E" w14:paraId="12B37A06" w14:textId="12851659">
      <w:pPr>
        <w:widowControl w:val="0"/>
        <w:numPr>
          <w:ilvl w:val="0"/>
          <w:numId w:val="14"/>
        </w:numPr>
        <w:tabs>
          <w:tab w:val="left" w:pos="600"/>
        </w:tabs>
        <w:rPr>
          <w:b/>
          <w:bCs/>
          <w:sz w:val="24"/>
          <w:szCs w:val="24"/>
        </w:rPr>
      </w:pPr>
      <w:r w:rsidRPr="002B7C06">
        <w:rPr>
          <w:b/>
          <w:bCs/>
          <w:sz w:val="24"/>
          <w:szCs w:val="24"/>
        </w:rPr>
        <w:t xml:space="preserve">in connection with a statistical survey, that is not designed to produce valid and reliable results than can be generalized to the universe of study; </w:t>
      </w:r>
      <w:r w:rsidR="002B7C06">
        <w:rPr>
          <w:sz w:val="24"/>
          <w:szCs w:val="24"/>
        </w:rPr>
        <w:t>Not applicable.</w:t>
      </w:r>
    </w:p>
    <w:p w:rsidR="00B36479" w:rsidRPr="002B7C06" w:rsidP="00E36C9E" w14:paraId="493F144B" w14:textId="3CD282FC">
      <w:pPr>
        <w:pStyle w:val="ListParagraph"/>
        <w:widowControl w:val="0"/>
        <w:numPr>
          <w:ilvl w:val="0"/>
          <w:numId w:val="14"/>
        </w:numPr>
        <w:rPr>
          <w:b/>
          <w:bCs/>
          <w:sz w:val="24"/>
          <w:szCs w:val="24"/>
        </w:rPr>
      </w:pPr>
      <w:r w:rsidRPr="002B7C06">
        <w:rPr>
          <w:b/>
          <w:bCs/>
          <w:sz w:val="24"/>
          <w:szCs w:val="24"/>
        </w:rPr>
        <w:t>requiring the use of a statistical data classification that has not been reviewed and approved by OMB;</w:t>
      </w:r>
      <w:r w:rsidRPr="002B7C06">
        <w:rPr>
          <w:b/>
          <w:bCs/>
          <w:sz w:val="24"/>
          <w:szCs w:val="24"/>
        </w:rPr>
        <w:t xml:space="preserve"> </w:t>
      </w:r>
      <w:r w:rsidR="002B7C06">
        <w:rPr>
          <w:sz w:val="24"/>
          <w:szCs w:val="24"/>
        </w:rPr>
        <w:t>Not applicable.</w:t>
      </w:r>
    </w:p>
    <w:p w:rsidR="00C21A69" w:rsidRPr="004A0C3D" w:rsidP="00E36C9E" w14:paraId="7E44B40B" w14:textId="50BF5597">
      <w:pPr>
        <w:widowControl w:val="0"/>
        <w:numPr>
          <w:ilvl w:val="0"/>
          <w:numId w:val="14"/>
        </w:numPr>
        <w:tabs>
          <w:tab w:val="left" w:pos="600"/>
        </w:tabs>
        <w:rPr>
          <w:b/>
          <w:bCs/>
          <w:sz w:val="24"/>
          <w:szCs w:val="24"/>
        </w:rPr>
      </w:pPr>
      <w:r w:rsidRPr="002B7C06">
        <w:rPr>
          <w:b/>
          <w:bCs/>
          <w:sz w:val="24"/>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r w:rsidR="002B7C06">
        <w:rPr>
          <w:sz w:val="24"/>
          <w:szCs w:val="24"/>
        </w:rPr>
        <w:t>Not applicable.</w:t>
      </w:r>
      <w:r w:rsidR="004A0C3D">
        <w:rPr>
          <w:b/>
          <w:bCs/>
          <w:sz w:val="24"/>
          <w:szCs w:val="24"/>
        </w:rPr>
        <w:t xml:space="preserve"> </w:t>
      </w:r>
      <w:r w:rsidRPr="004A0C3D">
        <w:rPr>
          <w:sz w:val="24"/>
          <w:szCs w:val="24"/>
        </w:rPr>
        <w:t xml:space="preserve">A pledge of confidentiality is supported by the statutory authority established at Section 6 of the United States Housing Act of 1937 </w:t>
      </w:r>
      <w:r w:rsidR="00E36C9E">
        <w:rPr>
          <w:sz w:val="24"/>
          <w:szCs w:val="24"/>
        </w:rPr>
        <w:t>(</w:t>
      </w:r>
      <w:r w:rsidRPr="004A0C3D">
        <w:rPr>
          <w:sz w:val="24"/>
          <w:szCs w:val="24"/>
        </w:rPr>
        <w:t>42 U</w:t>
      </w:r>
      <w:r w:rsidR="00E36C9E">
        <w:rPr>
          <w:sz w:val="24"/>
          <w:szCs w:val="24"/>
        </w:rPr>
        <w:t>.</w:t>
      </w:r>
      <w:r w:rsidRPr="004A0C3D">
        <w:rPr>
          <w:sz w:val="24"/>
          <w:szCs w:val="24"/>
        </w:rPr>
        <w:t>S</w:t>
      </w:r>
      <w:r w:rsidR="00E36C9E">
        <w:rPr>
          <w:sz w:val="24"/>
          <w:szCs w:val="24"/>
        </w:rPr>
        <w:t>.</w:t>
      </w:r>
      <w:r w:rsidRPr="004A0C3D">
        <w:rPr>
          <w:sz w:val="24"/>
          <w:szCs w:val="24"/>
        </w:rPr>
        <w:t>C</w:t>
      </w:r>
      <w:r w:rsidR="00E36C9E">
        <w:rPr>
          <w:sz w:val="24"/>
          <w:szCs w:val="24"/>
        </w:rPr>
        <w:t>.</w:t>
      </w:r>
      <w:r w:rsidRPr="004A0C3D">
        <w:rPr>
          <w:sz w:val="24"/>
          <w:szCs w:val="24"/>
        </w:rPr>
        <w:t xml:space="preserve"> 1437d(q)(5)</w:t>
      </w:r>
      <w:r w:rsidR="00E36C9E">
        <w:rPr>
          <w:sz w:val="24"/>
          <w:szCs w:val="24"/>
        </w:rPr>
        <w:t>)</w:t>
      </w:r>
      <w:r w:rsidRPr="004A0C3D">
        <w:rPr>
          <w:sz w:val="24"/>
          <w:szCs w:val="24"/>
        </w:rPr>
        <w:t>.</w:t>
      </w:r>
    </w:p>
    <w:p w:rsidR="009E13B1" w:rsidRPr="004A0C3D" w:rsidP="00E36C9E" w14:paraId="0DB9F02B" w14:textId="68F98B3F">
      <w:pPr>
        <w:widowControl w:val="0"/>
        <w:numPr>
          <w:ilvl w:val="0"/>
          <w:numId w:val="14"/>
        </w:numPr>
        <w:tabs>
          <w:tab w:val="left" w:pos="600"/>
        </w:tabs>
        <w:rPr>
          <w:b/>
          <w:bCs/>
          <w:sz w:val="24"/>
          <w:szCs w:val="24"/>
        </w:rPr>
      </w:pPr>
      <w:r w:rsidRPr="004A0C3D">
        <w:rPr>
          <w:b/>
          <w:bCs/>
          <w:sz w:val="24"/>
          <w:szCs w:val="24"/>
        </w:rPr>
        <w:t xml:space="preserve">requiring respondents to submit proprietary trade secret, or other confidential information </w:t>
      </w:r>
      <w:r w:rsidRPr="004A0C3D">
        <w:rPr>
          <w:b/>
          <w:bCs/>
          <w:sz w:val="24"/>
          <w:szCs w:val="24"/>
        </w:rPr>
        <w:t>unless the agency can demonstrate that it has instituted procedures to protect the information's confidentiality to the extent permitted by law.</w:t>
      </w:r>
      <w:r w:rsidRPr="004A0C3D" w:rsidR="00B36479">
        <w:rPr>
          <w:b/>
          <w:bCs/>
          <w:sz w:val="24"/>
          <w:szCs w:val="24"/>
        </w:rPr>
        <w:t xml:space="preserve"> </w:t>
      </w:r>
      <w:r w:rsidR="004A0C3D">
        <w:rPr>
          <w:sz w:val="24"/>
          <w:szCs w:val="24"/>
        </w:rPr>
        <w:t>Not applicable.</w:t>
      </w:r>
    </w:p>
    <w:p w:rsidR="00C21A69" w:rsidRPr="006C7FAE" w:rsidP="00E36C9E" w14:paraId="48441516" w14:textId="77777777">
      <w:pPr>
        <w:widowControl w:val="0"/>
        <w:tabs>
          <w:tab w:val="left" w:pos="600"/>
        </w:tabs>
        <w:rPr>
          <w:sz w:val="24"/>
          <w:szCs w:val="24"/>
        </w:rPr>
      </w:pPr>
    </w:p>
    <w:p w:rsidR="009D147C" w:rsidRPr="00EA6AC0" w:rsidP="00E36C9E" w14:paraId="3F2C5C4F" w14:textId="0EABCAB7">
      <w:pPr>
        <w:widowControl w:val="0"/>
        <w:numPr>
          <w:ilvl w:val="0"/>
          <w:numId w:val="13"/>
        </w:numPr>
        <w:tabs>
          <w:tab w:val="left" w:pos="360"/>
        </w:tabs>
        <w:rPr>
          <w:b/>
          <w:bCs/>
          <w:sz w:val="24"/>
          <w:szCs w:val="24"/>
        </w:rPr>
      </w:pPr>
      <w:r w:rsidRPr="00C27B6D">
        <w:rPr>
          <w:b/>
          <w:bCs/>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9E13B1" w:rsidRPr="006C7FAE" w:rsidP="00E36C9E" w14:paraId="6A3CAD41" w14:textId="7773CA86">
      <w:pPr>
        <w:widowControl w:val="0"/>
        <w:tabs>
          <w:tab w:val="left" w:pos="360"/>
        </w:tabs>
        <w:ind w:left="360"/>
        <w:rPr>
          <w:sz w:val="24"/>
          <w:szCs w:val="24"/>
        </w:rPr>
      </w:pPr>
    </w:p>
    <w:p w:rsidR="009E13B1" w:rsidRPr="00EA6AC0" w:rsidP="00E36C9E" w14:paraId="34CF76D2" w14:textId="77777777">
      <w:pPr>
        <w:widowControl w:val="0"/>
        <w:numPr>
          <w:ilvl w:val="0"/>
          <w:numId w:val="14"/>
        </w:numPr>
        <w:tabs>
          <w:tab w:val="left" w:pos="360"/>
        </w:tabs>
        <w:ind w:left="480"/>
        <w:rPr>
          <w:b/>
          <w:bCs/>
          <w:sz w:val="24"/>
          <w:szCs w:val="24"/>
        </w:rPr>
      </w:pPr>
      <w:r w:rsidRPr="00EA6AC0">
        <w:rPr>
          <w:b/>
          <w:bCs/>
          <w:sz w:val="24"/>
          <w:szCs w:val="24"/>
        </w:rPr>
        <w:t>Describe efforts to consult with persons outside the agency to obtain their views on the availability of data, frequency of collection, the clarity of instructions and recordkeeping disclosure, or reporting format (if any) and the data elements to be recorded, disclosed, or reported.</w:t>
      </w:r>
    </w:p>
    <w:p w:rsidR="009E13B1" w:rsidRPr="00EA6AC0" w:rsidP="00E36C9E" w14:paraId="3AA6A4A9" w14:textId="2BC2E052">
      <w:pPr>
        <w:widowControl w:val="0"/>
        <w:numPr>
          <w:ilvl w:val="0"/>
          <w:numId w:val="14"/>
        </w:numPr>
        <w:tabs>
          <w:tab w:val="left" w:pos="360"/>
        </w:tabs>
        <w:ind w:left="480"/>
        <w:rPr>
          <w:b/>
          <w:bCs/>
          <w:sz w:val="24"/>
          <w:szCs w:val="24"/>
        </w:rPr>
      </w:pPr>
      <w:r w:rsidRPr="00EA6AC0">
        <w:rPr>
          <w:b/>
          <w:bCs/>
          <w:sz w:val="24"/>
          <w:szCs w:val="24"/>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p>
    <w:p w:rsidR="00EA6AC0" w:rsidP="00E36C9E" w14:paraId="6E3C9B3D" w14:textId="77777777">
      <w:pPr>
        <w:widowControl w:val="0"/>
        <w:tabs>
          <w:tab w:val="left" w:pos="360"/>
        </w:tabs>
        <w:ind w:left="336"/>
        <w:rPr>
          <w:sz w:val="24"/>
          <w:szCs w:val="24"/>
        </w:rPr>
      </w:pPr>
    </w:p>
    <w:p w:rsidR="002F529F" w:rsidP="004C0FF9" w14:paraId="6678777C" w14:textId="6D97BC9E">
      <w:pPr>
        <w:tabs>
          <w:tab w:val="left" w:pos="360"/>
        </w:tabs>
        <w:ind w:left="336"/>
        <w:rPr>
          <w:sz w:val="24"/>
          <w:szCs w:val="24"/>
        </w:rPr>
      </w:pPr>
      <w:r>
        <w:rPr>
          <w:sz w:val="24"/>
          <w:szCs w:val="24"/>
        </w:rPr>
        <w:tab/>
      </w:r>
      <w:r w:rsidRPr="006C629F" w:rsidR="00EA6AC0">
        <w:rPr>
          <w:sz w:val="24"/>
          <w:szCs w:val="24"/>
        </w:rPr>
        <w:t>In accordance with 5 CFR 1320.8(d), the agency’s notice announcing this collection of information appeared in the Federal Register</w:t>
      </w:r>
      <w:r w:rsidR="0061401D">
        <w:rPr>
          <w:sz w:val="24"/>
          <w:szCs w:val="24"/>
        </w:rPr>
        <w:t xml:space="preserve"> Volume 91, No. 32, Page 7508, on February 18, 2026</w:t>
      </w:r>
      <w:r w:rsidR="00EA6AC0">
        <w:rPr>
          <w:sz w:val="24"/>
          <w:szCs w:val="24"/>
        </w:rPr>
        <w:t xml:space="preserve">. </w:t>
      </w:r>
      <w:r w:rsidRPr="00C27B6D" w:rsidR="00EA6AC0">
        <w:rPr>
          <w:sz w:val="24"/>
          <w:szCs w:val="24"/>
        </w:rPr>
        <w:t xml:space="preserve">The public was given until </w:t>
      </w:r>
      <w:r w:rsidR="00EA6AC0">
        <w:rPr>
          <w:sz w:val="24"/>
          <w:szCs w:val="24"/>
        </w:rPr>
        <w:t>April</w:t>
      </w:r>
      <w:r w:rsidRPr="00C27B6D" w:rsidR="00EA6AC0">
        <w:rPr>
          <w:sz w:val="24"/>
          <w:szCs w:val="24"/>
        </w:rPr>
        <w:t xml:space="preserve"> </w:t>
      </w:r>
      <w:r w:rsidR="00EA6AC0">
        <w:rPr>
          <w:sz w:val="24"/>
          <w:szCs w:val="24"/>
        </w:rPr>
        <w:t>20</w:t>
      </w:r>
      <w:r w:rsidRPr="00C27B6D" w:rsidR="00EA6AC0">
        <w:rPr>
          <w:sz w:val="24"/>
          <w:szCs w:val="24"/>
        </w:rPr>
        <w:t>, 2026, to submit comments on the proposed information collection.</w:t>
      </w:r>
      <w:r w:rsidR="0031493E">
        <w:rPr>
          <w:sz w:val="24"/>
          <w:szCs w:val="24"/>
        </w:rPr>
        <w:t xml:space="preserve"> </w:t>
      </w:r>
      <w:r w:rsidRPr="00EC536D" w:rsidR="0031493E">
        <w:rPr>
          <w:sz w:val="24"/>
          <w:szCs w:val="24"/>
        </w:rPr>
        <w:t xml:space="preserve">HUD received </w:t>
      </w:r>
      <w:r w:rsidR="0031493E">
        <w:rPr>
          <w:sz w:val="24"/>
          <w:szCs w:val="24"/>
        </w:rPr>
        <w:t>2</w:t>
      </w:r>
      <w:r w:rsidRPr="00EC536D" w:rsidR="0031493E">
        <w:rPr>
          <w:sz w:val="24"/>
          <w:szCs w:val="24"/>
        </w:rPr>
        <w:t xml:space="preserve"> comments on this proposed collection.</w:t>
      </w:r>
      <w:r w:rsidR="0031493E">
        <w:rPr>
          <w:sz w:val="24"/>
          <w:szCs w:val="24"/>
        </w:rPr>
        <w:tab/>
      </w:r>
    </w:p>
    <w:p w:rsidR="004C0FF9" w:rsidRPr="004C0FF9" w:rsidP="004C0FF9" w14:paraId="23C903D1" w14:textId="77777777">
      <w:pPr>
        <w:tabs>
          <w:tab w:val="left" w:pos="360"/>
        </w:tabs>
        <w:ind w:left="336"/>
        <w:rPr>
          <w:sz w:val="24"/>
          <w:szCs w:val="24"/>
        </w:rPr>
      </w:pPr>
    </w:p>
    <w:p w:rsidR="00023BD9" w:rsidRPr="007A7E73" w:rsidP="00FC7FC5" w14:paraId="74953D65" w14:textId="7623E823">
      <w:pPr>
        <w:suppressAutoHyphens/>
        <w:spacing w:line="480" w:lineRule="auto"/>
        <w:ind w:left="336"/>
        <w:rPr>
          <w:sz w:val="24"/>
          <w:szCs w:val="24"/>
        </w:rPr>
      </w:pPr>
      <w:r w:rsidRPr="006B5569">
        <w:rPr>
          <w:color w:val="000000"/>
          <w:sz w:val="24"/>
          <w:szCs w:val="24"/>
          <w:u w:val="single"/>
        </w:rPr>
        <w:t>Discussion of Revisions</w:t>
      </w:r>
      <w:r>
        <w:rPr>
          <w:color w:val="000000"/>
          <w:sz w:val="24"/>
          <w:szCs w:val="24"/>
        </w:rPr>
        <w:t xml:space="preserve">: </w:t>
      </w:r>
      <w:r w:rsidRPr="007A7E73">
        <w:rPr>
          <w:sz w:val="24"/>
          <w:szCs w:val="24"/>
        </w:rPr>
        <w:t xml:space="preserve">HUD did not </w:t>
      </w:r>
      <w:r w:rsidR="002F529F">
        <w:rPr>
          <w:sz w:val="24"/>
          <w:szCs w:val="24"/>
        </w:rPr>
        <w:t xml:space="preserve">make </w:t>
      </w:r>
      <w:r>
        <w:rPr>
          <w:sz w:val="24"/>
          <w:szCs w:val="24"/>
        </w:rPr>
        <w:t>change</w:t>
      </w:r>
      <w:r w:rsidR="002F529F">
        <w:rPr>
          <w:sz w:val="24"/>
          <w:szCs w:val="24"/>
        </w:rPr>
        <w:t xml:space="preserve">s </w:t>
      </w:r>
      <w:r w:rsidRPr="007A7E73">
        <w:rPr>
          <w:sz w:val="24"/>
          <w:szCs w:val="24"/>
        </w:rPr>
        <w:t>in response to public comment</w:t>
      </w:r>
      <w:r>
        <w:rPr>
          <w:sz w:val="24"/>
          <w:szCs w:val="24"/>
        </w:rPr>
        <w:t>s received</w:t>
      </w:r>
      <w:r w:rsidRPr="007A7E73">
        <w:rPr>
          <w:sz w:val="24"/>
          <w:szCs w:val="24"/>
        </w:rPr>
        <w:t xml:space="preserve"> </w:t>
      </w:r>
      <w:r>
        <w:rPr>
          <w:sz w:val="24"/>
          <w:szCs w:val="24"/>
        </w:rPr>
        <w:t>during</w:t>
      </w:r>
      <w:r w:rsidRPr="007A7E73">
        <w:rPr>
          <w:sz w:val="24"/>
          <w:szCs w:val="24"/>
        </w:rPr>
        <w:t xml:space="preserve"> the 60-day notice-and-comment period.</w:t>
      </w:r>
    </w:p>
    <w:p w:rsidR="00023BD9" w:rsidP="00B671F0" w14:paraId="1C613A96" w14:textId="77777777">
      <w:pPr>
        <w:spacing w:line="480" w:lineRule="auto"/>
        <w:ind w:left="720"/>
        <w:rPr>
          <w:b/>
          <w:bCs/>
          <w:sz w:val="24"/>
          <w:szCs w:val="24"/>
        </w:rPr>
      </w:pPr>
      <w:r w:rsidRPr="00631C4A">
        <w:rPr>
          <w:b/>
          <w:bCs/>
          <w:sz w:val="24"/>
          <w:szCs w:val="24"/>
        </w:rPr>
        <w:t>Comment 1:</w:t>
      </w:r>
      <w:r w:rsidRPr="007A7E73">
        <w:rPr>
          <w:sz w:val="24"/>
          <w:szCs w:val="24"/>
        </w:rPr>
        <w:t xml:space="preserve"> </w:t>
      </w:r>
      <w:r>
        <w:rPr>
          <w:sz w:val="24"/>
          <w:szCs w:val="24"/>
        </w:rPr>
        <w:t>The first comment</w:t>
      </w:r>
      <w:r w:rsidRPr="00885C1F">
        <w:rPr>
          <w:sz w:val="24"/>
          <w:szCs w:val="24"/>
        </w:rPr>
        <w:t xml:space="preserve"> appears to be erroneous as it was address</w:t>
      </w:r>
      <w:r>
        <w:rPr>
          <w:sz w:val="24"/>
          <w:szCs w:val="24"/>
        </w:rPr>
        <w:t>ed</w:t>
      </w:r>
      <w:r w:rsidRPr="00885C1F">
        <w:rPr>
          <w:sz w:val="24"/>
          <w:szCs w:val="24"/>
        </w:rPr>
        <w:t xml:space="preserve"> to</w:t>
      </w:r>
      <w:r>
        <w:rPr>
          <w:sz w:val="24"/>
          <w:szCs w:val="24"/>
        </w:rPr>
        <w:t xml:space="preserve"> the Department of Energy</w:t>
      </w:r>
      <w:r w:rsidRPr="007A7E73">
        <w:rPr>
          <w:sz w:val="24"/>
          <w:szCs w:val="24"/>
        </w:rPr>
        <w:t>.</w:t>
      </w:r>
    </w:p>
    <w:p w:rsidR="00023BD9" w:rsidRPr="00C62C84" w:rsidP="00023BD9" w14:paraId="59115FBC" w14:textId="77777777">
      <w:pPr>
        <w:spacing w:line="480" w:lineRule="auto"/>
        <w:ind w:firstLine="720"/>
        <w:rPr>
          <w:sz w:val="24"/>
          <w:szCs w:val="24"/>
        </w:rPr>
      </w:pPr>
      <w:r w:rsidRPr="00631C4A">
        <w:rPr>
          <w:b/>
          <w:bCs/>
          <w:sz w:val="24"/>
          <w:szCs w:val="24"/>
        </w:rPr>
        <w:t>HUD Response 1:</w:t>
      </w:r>
      <w:r w:rsidRPr="007A7E73">
        <w:rPr>
          <w:sz w:val="24"/>
          <w:szCs w:val="24"/>
        </w:rPr>
        <w:t xml:space="preserve"> Thank you for your comment.</w:t>
      </w:r>
    </w:p>
    <w:p w:rsidR="00023BD9" w:rsidRPr="009A19FC" w:rsidP="00B671F0" w14:paraId="0A92A7EF" w14:textId="77777777">
      <w:pPr>
        <w:spacing w:line="480" w:lineRule="auto"/>
        <w:ind w:left="720"/>
        <w:rPr>
          <w:sz w:val="24"/>
          <w:szCs w:val="24"/>
        </w:rPr>
      </w:pPr>
      <w:r w:rsidRPr="00631C4A">
        <w:rPr>
          <w:b/>
          <w:bCs/>
          <w:sz w:val="24"/>
          <w:szCs w:val="24"/>
        </w:rPr>
        <w:t>Comment 2:</w:t>
      </w:r>
      <w:r w:rsidRPr="007A7E73">
        <w:rPr>
          <w:sz w:val="24"/>
          <w:szCs w:val="24"/>
        </w:rPr>
        <w:t xml:space="preserve"> </w:t>
      </w:r>
      <w:r>
        <w:rPr>
          <w:sz w:val="24"/>
          <w:szCs w:val="24"/>
        </w:rPr>
        <w:t>An anonymous</w:t>
      </w:r>
      <w:r w:rsidRPr="007A7E73">
        <w:rPr>
          <w:sz w:val="24"/>
          <w:szCs w:val="24"/>
        </w:rPr>
        <w:t xml:space="preserve"> commenter</w:t>
      </w:r>
      <w:r>
        <w:rPr>
          <w:sz w:val="24"/>
          <w:szCs w:val="24"/>
        </w:rPr>
        <w:t xml:space="preserve"> recommended that </w:t>
      </w:r>
      <w:r w:rsidRPr="006D5354">
        <w:rPr>
          <w:sz w:val="24"/>
          <w:szCs w:val="24"/>
        </w:rPr>
        <w:t>OMB not approve this collection as submitted</w:t>
      </w:r>
      <w:r>
        <w:rPr>
          <w:sz w:val="24"/>
          <w:szCs w:val="24"/>
        </w:rPr>
        <w:t xml:space="preserve"> and that </w:t>
      </w:r>
      <w:r w:rsidRPr="006D5354">
        <w:rPr>
          <w:sz w:val="24"/>
          <w:szCs w:val="24"/>
        </w:rPr>
        <w:t>HUD should be required to: (1) identify the specific activities constituting a response under this collection; (2) provide separate burden estimates for policy maintenance, HOTMA reporting, and request-driven disclosure; and (3) supply a methodology for any burden component attributable to externally triggered requests, including the volume and frequency assumptions underlying that estimate</w:t>
      </w:r>
      <w:r w:rsidRPr="007A7E73">
        <w:rPr>
          <w:sz w:val="24"/>
          <w:szCs w:val="24"/>
        </w:rPr>
        <w:t>. </w:t>
      </w:r>
    </w:p>
    <w:p w:rsidR="00023BD9" w:rsidRPr="006E760F" w:rsidP="00B671F0" w14:paraId="3741403C" w14:textId="77777777">
      <w:pPr>
        <w:spacing w:line="480" w:lineRule="auto"/>
        <w:ind w:left="720"/>
        <w:rPr>
          <w:sz w:val="24"/>
          <w:szCs w:val="24"/>
        </w:rPr>
      </w:pPr>
      <w:r w:rsidRPr="00631C4A">
        <w:rPr>
          <w:b/>
          <w:bCs/>
          <w:sz w:val="24"/>
          <w:szCs w:val="24"/>
        </w:rPr>
        <w:t>HUD Response 2:</w:t>
      </w:r>
      <w:r w:rsidRPr="007A7E73">
        <w:rPr>
          <w:sz w:val="24"/>
          <w:szCs w:val="24"/>
        </w:rPr>
        <w:t xml:space="preserve"> </w:t>
      </w:r>
      <w:r w:rsidRPr="006E760F">
        <w:rPr>
          <w:sz w:val="24"/>
          <w:szCs w:val="24"/>
        </w:rPr>
        <w:t xml:space="preserve">HUD appreciates the comment submitted on OMB Information Collection Request 2577-0230 and has carefully considered the concerns raised. HUD will not </w:t>
      </w:r>
      <w:r>
        <w:rPr>
          <w:sz w:val="24"/>
          <w:szCs w:val="24"/>
        </w:rPr>
        <w:t>revise</w:t>
      </w:r>
      <w:r w:rsidRPr="006E760F">
        <w:rPr>
          <w:sz w:val="24"/>
          <w:szCs w:val="24"/>
        </w:rPr>
        <w:t xml:space="preserve"> the burden estimate or disaggregat</w:t>
      </w:r>
      <w:r>
        <w:rPr>
          <w:sz w:val="24"/>
          <w:szCs w:val="24"/>
        </w:rPr>
        <w:t>e</w:t>
      </w:r>
      <w:r w:rsidRPr="006E760F">
        <w:rPr>
          <w:sz w:val="24"/>
          <w:szCs w:val="24"/>
        </w:rPr>
        <w:t xml:space="preserve"> the collection as recommended, for the reasons set forth below.</w:t>
      </w:r>
    </w:p>
    <w:p w:rsidR="00023BD9" w:rsidRPr="006E760F" w:rsidP="00B671F0" w14:paraId="5D4A116A" w14:textId="77777777">
      <w:pPr>
        <w:spacing w:line="480" w:lineRule="auto"/>
        <w:ind w:left="720"/>
        <w:rPr>
          <w:sz w:val="24"/>
          <w:szCs w:val="24"/>
        </w:rPr>
      </w:pPr>
      <w:r w:rsidRPr="00631C4A">
        <w:rPr>
          <w:i/>
          <w:iCs/>
          <w:sz w:val="24"/>
          <w:szCs w:val="24"/>
        </w:rPr>
        <w:t>Scope of this collection.</w:t>
      </w:r>
      <w:r w:rsidRPr="006E760F">
        <w:rPr>
          <w:sz w:val="24"/>
          <w:szCs w:val="24"/>
        </w:rPr>
        <w:t xml:space="preserve"> This information collection covers a single, well-defined activity: the requirement that PHAs maintain written admission and continued occupancy policies and make them available to HUD and the public upon request. It is a recordkeeping requirement, not a multi-component reporting system. The 24 burden hours per respondent reflects the estimated annual labor associated with maintaining and updating those policy documents</w:t>
      </w:r>
      <w:r>
        <w:rPr>
          <w:sz w:val="24"/>
          <w:szCs w:val="24"/>
        </w:rPr>
        <w:t>,</w:t>
      </w:r>
      <w:r w:rsidRPr="006E760F">
        <w:rPr>
          <w:sz w:val="24"/>
          <w:szCs w:val="24"/>
        </w:rPr>
        <w:t xml:space="preserve"> </w:t>
      </w:r>
      <w:r>
        <w:rPr>
          <w:sz w:val="24"/>
          <w:szCs w:val="24"/>
        </w:rPr>
        <w:t>which is</w:t>
      </w:r>
      <w:r w:rsidRPr="006E760F">
        <w:rPr>
          <w:sz w:val="24"/>
          <w:szCs w:val="24"/>
        </w:rPr>
        <w:t xml:space="preserve"> consistent with how </w:t>
      </w:r>
      <w:r>
        <w:rPr>
          <w:sz w:val="24"/>
          <w:szCs w:val="24"/>
        </w:rPr>
        <w:t xml:space="preserve">HUD estimated the </w:t>
      </w:r>
      <w:r w:rsidRPr="006E760F">
        <w:rPr>
          <w:sz w:val="24"/>
          <w:szCs w:val="24"/>
        </w:rPr>
        <w:t xml:space="preserve">recordkeeping burden </w:t>
      </w:r>
      <w:r>
        <w:rPr>
          <w:sz w:val="24"/>
          <w:szCs w:val="24"/>
        </w:rPr>
        <w:t>for</w:t>
      </w:r>
      <w:r w:rsidRPr="006E760F">
        <w:rPr>
          <w:sz w:val="24"/>
          <w:szCs w:val="24"/>
        </w:rPr>
        <w:t xml:space="preserve"> this collection </w:t>
      </w:r>
      <w:r>
        <w:rPr>
          <w:sz w:val="24"/>
          <w:szCs w:val="24"/>
        </w:rPr>
        <w:t>for</w:t>
      </w:r>
      <w:r w:rsidRPr="006E760F">
        <w:rPr>
          <w:sz w:val="24"/>
          <w:szCs w:val="24"/>
        </w:rPr>
        <w:t xml:space="preserve"> multiple prior OMB approvals.</w:t>
      </w:r>
    </w:p>
    <w:p w:rsidR="00023BD9" w:rsidRPr="006E760F" w:rsidP="00B671F0" w14:paraId="7D8B049E" w14:textId="371D24EC">
      <w:pPr>
        <w:spacing w:line="480" w:lineRule="auto"/>
        <w:ind w:left="720"/>
        <w:rPr>
          <w:sz w:val="24"/>
          <w:szCs w:val="24"/>
        </w:rPr>
      </w:pPr>
      <w:r w:rsidRPr="3213D060">
        <w:rPr>
          <w:i/>
          <w:iCs/>
          <w:sz w:val="24"/>
          <w:szCs w:val="24"/>
        </w:rPr>
        <w:t>The HOTMA reference does not expand collection scope.</w:t>
      </w:r>
      <w:r w:rsidRPr="3213D060">
        <w:rPr>
          <w:sz w:val="24"/>
          <w:szCs w:val="24"/>
        </w:rPr>
        <w:t xml:space="preserve"> The commenter argues that HOTMA reporting obligations must be treated as a separate burden component of this collection. This reflects a misreading of the supporting statement. HOTMA is cited to explain the statutory basis for certain policy content PHAs must address, specifically, policies related to over-income families. The </w:t>
      </w:r>
      <w:r w:rsidRPr="3213D060">
        <w:rPr>
          <w:i/>
          <w:iCs/>
          <w:sz w:val="24"/>
          <w:szCs w:val="24"/>
        </w:rPr>
        <w:t>reporting</w:t>
      </w:r>
      <w:r w:rsidRPr="3213D060">
        <w:rPr>
          <w:sz w:val="24"/>
          <w:szCs w:val="24"/>
        </w:rPr>
        <w:t xml:space="preserve"> requirements introduced by HOTMA (annual counts of over-income families and waiting list data) are covered under separate information collections and are explicitly excluded from this burden calculation. The supporting statement notes that PHAs may use data already submitted through the Inventory Management System/PIH Information Center (IMS/PIC), resulting in no additional burden attributed to this collection. There is no analytical basis for requiring this information collection to estimate a burden component that belongs to a different collection.</w:t>
      </w:r>
    </w:p>
    <w:p w:rsidR="00023BD9" w:rsidRPr="006E760F" w:rsidP="00B671F0" w14:paraId="593D1DEE" w14:textId="77777777">
      <w:pPr>
        <w:spacing w:line="480" w:lineRule="auto"/>
        <w:ind w:left="720"/>
        <w:rPr>
          <w:sz w:val="24"/>
          <w:szCs w:val="24"/>
        </w:rPr>
      </w:pPr>
      <w:r w:rsidRPr="00190100">
        <w:rPr>
          <w:i/>
          <w:iCs/>
          <w:sz w:val="24"/>
          <w:szCs w:val="24"/>
        </w:rPr>
        <w:t>Disaggregation is not required and would not be practicable.</w:t>
      </w:r>
      <w:r w:rsidRPr="006E760F">
        <w:rPr>
          <w:sz w:val="24"/>
          <w:szCs w:val="24"/>
        </w:rPr>
        <w:t xml:space="preserve"> The P</w:t>
      </w:r>
      <w:r>
        <w:rPr>
          <w:sz w:val="24"/>
          <w:szCs w:val="24"/>
        </w:rPr>
        <w:t xml:space="preserve">aperwork </w:t>
      </w:r>
      <w:r w:rsidRPr="006E760F">
        <w:rPr>
          <w:sz w:val="24"/>
          <w:szCs w:val="24"/>
        </w:rPr>
        <w:t>R</w:t>
      </w:r>
      <w:r>
        <w:rPr>
          <w:sz w:val="24"/>
          <w:szCs w:val="24"/>
        </w:rPr>
        <w:t xml:space="preserve">eduction </w:t>
      </w:r>
      <w:r w:rsidRPr="006E760F">
        <w:rPr>
          <w:sz w:val="24"/>
          <w:szCs w:val="24"/>
        </w:rPr>
        <w:t>A</w:t>
      </w:r>
      <w:r>
        <w:rPr>
          <w:sz w:val="24"/>
          <w:szCs w:val="24"/>
        </w:rPr>
        <w:t>ct (PRA)</w:t>
      </w:r>
      <w:r w:rsidRPr="006E760F">
        <w:rPr>
          <w:sz w:val="24"/>
          <w:szCs w:val="24"/>
        </w:rPr>
        <w:t xml:space="preserve"> and OMB's guidance require agencies to provide reasonable, supported estimates of </w:t>
      </w:r>
      <w:r w:rsidRPr="006E760F">
        <w:rPr>
          <w:sz w:val="24"/>
          <w:szCs w:val="24"/>
        </w:rPr>
        <w:t>burden</w:t>
      </w:r>
      <w:r>
        <w:rPr>
          <w:sz w:val="24"/>
          <w:szCs w:val="24"/>
        </w:rPr>
        <w:t xml:space="preserve">, </w:t>
      </w:r>
      <w:r w:rsidRPr="006E760F">
        <w:rPr>
          <w:sz w:val="24"/>
          <w:szCs w:val="24"/>
        </w:rPr>
        <w:t>not exhaustive itemization of every policy topic or triggering event covered by a broad recordkeeping requirement. The burden activities here</w:t>
      </w:r>
      <w:r>
        <w:rPr>
          <w:sz w:val="24"/>
          <w:szCs w:val="24"/>
        </w:rPr>
        <w:t>—</w:t>
      </w:r>
      <w:r w:rsidRPr="006E760F">
        <w:rPr>
          <w:sz w:val="24"/>
          <w:szCs w:val="24"/>
        </w:rPr>
        <w:t>reviewing, updating, and making available written policies</w:t>
      </w:r>
      <w:r>
        <w:rPr>
          <w:sz w:val="24"/>
          <w:szCs w:val="24"/>
        </w:rPr>
        <w:t>—</w:t>
      </w:r>
      <w:r w:rsidRPr="006E760F">
        <w:rPr>
          <w:sz w:val="24"/>
          <w:szCs w:val="24"/>
        </w:rPr>
        <w:t xml:space="preserve">are sufficiently similar in kind to be estimated as a unified recordkeeping burden. Requiring separate estimates for every policy area addressed in an </w:t>
      </w:r>
      <w:r>
        <w:rPr>
          <w:sz w:val="24"/>
          <w:szCs w:val="24"/>
        </w:rPr>
        <w:t>Admissions and Continued Occupation Policy</w:t>
      </w:r>
      <w:r w:rsidRPr="006E760F">
        <w:rPr>
          <w:sz w:val="24"/>
          <w:szCs w:val="24"/>
        </w:rPr>
        <w:t>, or for every possible request that might prompt disclosure, would impose a methodological standard that neither the PRA nor OMB guidance requires and that is not applied to comparable recordkeeping collections government wide.</w:t>
      </w:r>
    </w:p>
    <w:p w:rsidR="00023BD9" w:rsidP="00B671F0" w14:paraId="18B2091B" w14:textId="697DEE6B">
      <w:pPr>
        <w:tabs>
          <w:tab w:val="left" w:pos="-720"/>
        </w:tabs>
        <w:suppressAutoHyphens/>
        <w:spacing w:line="480" w:lineRule="auto"/>
        <w:ind w:left="720"/>
        <w:rPr>
          <w:color w:val="000000"/>
          <w:sz w:val="24"/>
          <w:szCs w:val="24"/>
        </w:rPr>
      </w:pPr>
      <w:r w:rsidRPr="00F017E3">
        <w:rPr>
          <w:i/>
          <w:iCs/>
          <w:sz w:val="24"/>
          <w:szCs w:val="24"/>
        </w:rPr>
        <w:t>Conclusion.</w:t>
      </w:r>
      <w:r w:rsidRPr="006E760F">
        <w:rPr>
          <w:sz w:val="24"/>
          <w:szCs w:val="24"/>
        </w:rPr>
        <w:t xml:space="preserve"> The burden estimate in this collection is reasonable, consistent with prior approvals, and appropriately scoped to the recordkeeping activity it covers. HUD will not revise the estimate or restructure the collection in response to this comment.</w:t>
      </w:r>
    </w:p>
    <w:p w:rsidR="004929B8" w:rsidRPr="006C7FAE" w:rsidP="00E36C9E" w14:paraId="356C9041" w14:textId="5A8175EB">
      <w:pPr>
        <w:widowControl w:val="0"/>
        <w:tabs>
          <w:tab w:val="left" w:pos="360"/>
        </w:tabs>
        <w:rPr>
          <w:sz w:val="24"/>
          <w:szCs w:val="24"/>
        </w:rPr>
      </w:pPr>
    </w:p>
    <w:p w:rsidR="009E13B1" w:rsidRPr="00C27B6D" w:rsidP="00E36C9E" w14:paraId="0FD54BC5" w14:textId="53F4EFDA">
      <w:pPr>
        <w:pStyle w:val="ListParagraph"/>
        <w:widowControl w:val="0"/>
        <w:numPr>
          <w:ilvl w:val="0"/>
          <w:numId w:val="13"/>
        </w:numPr>
        <w:tabs>
          <w:tab w:val="left" w:pos="360"/>
        </w:tabs>
        <w:rPr>
          <w:b/>
          <w:bCs/>
          <w:sz w:val="24"/>
          <w:szCs w:val="24"/>
        </w:rPr>
      </w:pPr>
      <w:r w:rsidRPr="00C27B6D">
        <w:rPr>
          <w:b/>
          <w:bCs/>
          <w:sz w:val="24"/>
          <w:szCs w:val="24"/>
        </w:rPr>
        <w:t>Explain any decision to provide any payment or gift to respondents, other than renumeration of contractors or grantees.</w:t>
      </w:r>
    </w:p>
    <w:p w:rsidR="008A2F44" w:rsidP="00E36C9E" w14:paraId="39D4D0C1" w14:textId="302F565F">
      <w:pPr>
        <w:widowControl w:val="0"/>
        <w:tabs>
          <w:tab w:val="left" w:pos="360"/>
        </w:tabs>
        <w:ind w:left="360"/>
        <w:rPr>
          <w:sz w:val="24"/>
          <w:szCs w:val="24"/>
        </w:rPr>
      </w:pPr>
    </w:p>
    <w:p w:rsidR="00A77682" w:rsidP="00E36C9E" w14:paraId="44B6B44A" w14:textId="7DD7989F">
      <w:pPr>
        <w:widowControl w:val="0"/>
        <w:tabs>
          <w:tab w:val="left" w:pos="360"/>
        </w:tabs>
        <w:ind w:left="360" w:hanging="360"/>
        <w:rPr>
          <w:sz w:val="24"/>
          <w:szCs w:val="24"/>
        </w:rPr>
      </w:pPr>
      <w:r>
        <w:rPr>
          <w:sz w:val="24"/>
          <w:szCs w:val="24"/>
        </w:rPr>
        <w:tab/>
      </w:r>
      <w:r w:rsidRPr="00A77682">
        <w:rPr>
          <w:sz w:val="24"/>
          <w:szCs w:val="24"/>
        </w:rPr>
        <w:t>There are no payments or gifts provided to respondents.</w:t>
      </w:r>
    </w:p>
    <w:p w:rsidR="008A2F44" w:rsidRPr="006C7FAE" w:rsidP="00E36C9E" w14:paraId="4769D14B" w14:textId="7EB941C9">
      <w:pPr>
        <w:widowControl w:val="0"/>
        <w:tabs>
          <w:tab w:val="left" w:pos="360"/>
        </w:tabs>
        <w:rPr>
          <w:sz w:val="24"/>
          <w:szCs w:val="24"/>
        </w:rPr>
      </w:pPr>
    </w:p>
    <w:p w:rsidR="009E13B1" w:rsidRPr="006C7FAE" w:rsidP="00E36C9E" w14:paraId="199B10B5" w14:textId="77777777">
      <w:pPr>
        <w:widowControl w:val="0"/>
        <w:tabs>
          <w:tab w:val="left" w:pos="360"/>
        </w:tabs>
        <w:ind w:left="360" w:hanging="360"/>
        <w:rPr>
          <w:sz w:val="24"/>
          <w:szCs w:val="24"/>
        </w:rPr>
      </w:pPr>
      <w:r w:rsidRPr="006C7FAE">
        <w:rPr>
          <w:sz w:val="24"/>
          <w:szCs w:val="24"/>
        </w:rPr>
        <w:t>10.</w:t>
      </w:r>
      <w:r w:rsidRPr="006C7FAE">
        <w:rPr>
          <w:sz w:val="24"/>
          <w:szCs w:val="24"/>
        </w:rPr>
        <w:tab/>
      </w:r>
      <w:r w:rsidRPr="00C27B6D">
        <w:rPr>
          <w:b/>
          <w:bCs/>
          <w:sz w:val="24"/>
          <w:szCs w:val="24"/>
        </w:rPr>
        <w:t>Describe any assurance of confidentiality provided to respondents and the basis for assurance in statute, regulation or agency policy.</w:t>
      </w:r>
      <w:r w:rsidRPr="00C27B6D" w:rsidR="000D5079">
        <w:rPr>
          <w:b/>
          <w:bCs/>
        </w:rPr>
        <w:t xml:space="preserve"> </w:t>
      </w:r>
      <w:r w:rsidRPr="00C27B6D" w:rsidR="000D5079">
        <w:rPr>
          <w:b/>
          <w:bCs/>
          <w:sz w:val="24"/>
          <w:szCs w:val="24"/>
        </w:rPr>
        <w:t xml:space="preserve">If the collection requires a </w:t>
      </w:r>
      <w:r w:rsidRPr="00C27B6D" w:rsidR="00BB2518">
        <w:rPr>
          <w:b/>
          <w:bCs/>
          <w:sz w:val="24"/>
          <w:szCs w:val="24"/>
        </w:rPr>
        <w:t>system of records notice (SORN)</w:t>
      </w:r>
      <w:r w:rsidRPr="00C27B6D" w:rsidR="000D5079">
        <w:rPr>
          <w:b/>
          <w:bCs/>
          <w:sz w:val="24"/>
          <w:szCs w:val="24"/>
        </w:rPr>
        <w:t xml:space="preserve"> or privacy impact assessment (PIA), those should be cited and described here.</w:t>
      </w:r>
    </w:p>
    <w:p w:rsidR="00320A3A" w:rsidP="00E36C9E" w14:paraId="5B244A5E" w14:textId="044AC070">
      <w:pPr>
        <w:widowControl w:val="0"/>
        <w:tabs>
          <w:tab w:val="left" w:pos="360"/>
        </w:tabs>
        <w:ind w:left="360" w:hanging="360"/>
        <w:rPr>
          <w:sz w:val="24"/>
          <w:szCs w:val="24"/>
        </w:rPr>
      </w:pPr>
    </w:p>
    <w:p w:rsidR="00187EE6" w:rsidP="00E36C9E" w14:paraId="1AB10155" w14:textId="1EA3211B">
      <w:pPr>
        <w:widowControl w:val="0"/>
        <w:tabs>
          <w:tab w:val="left" w:pos="360"/>
        </w:tabs>
        <w:ind w:left="360" w:hanging="360"/>
        <w:rPr>
          <w:sz w:val="24"/>
          <w:szCs w:val="24"/>
        </w:rPr>
      </w:pPr>
      <w:r>
        <w:rPr>
          <w:sz w:val="24"/>
          <w:szCs w:val="24"/>
        </w:rPr>
        <w:tab/>
      </w:r>
      <w:r w:rsidR="006674FB">
        <w:rPr>
          <w:sz w:val="24"/>
          <w:szCs w:val="24"/>
        </w:rPr>
        <w:t>A</w:t>
      </w:r>
      <w:r w:rsidRPr="006674FB" w:rsidR="006674FB">
        <w:rPr>
          <w:sz w:val="24"/>
          <w:szCs w:val="24"/>
        </w:rPr>
        <w:t>ssurance of confidentiality is neither provided nor needed for this information collection</w:t>
      </w:r>
      <w:r w:rsidR="006674FB">
        <w:rPr>
          <w:sz w:val="24"/>
          <w:szCs w:val="24"/>
        </w:rPr>
        <w:t>.</w:t>
      </w:r>
      <w:r w:rsidR="00356014">
        <w:rPr>
          <w:sz w:val="24"/>
          <w:szCs w:val="24"/>
        </w:rPr>
        <w:t xml:space="preserve"> </w:t>
      </w:r>
      <w:r w:rsidRPr="007B3222" w:rsidR="00356014">
        <w:rPr>
          <w:sz w:val="24"/>
          <w:szCs w:val="24"/>
        </w:rPr>
        <w:t>No SORN or PIA applies.</w:t>
      </w:r>
    </w:p>
    <w:p w:rsidR="008A2F44" w:rsidRPr="006C7FAE" w:rsidP="00E36C9E" w14:paraId="5FE79E78" w14:textId="71B475F8">
      <w:pPr>
        <w:widowControl w:val="0"/>
        <w:tabs>
          <w:tab w:val="left" w:pos="360"/>
        </w:tabs>
        <w:rPr>
          <w:sz w:val="24"/>
          <w:szCs w:val="24"/>
        </w:rPr>
      </w:pPr>
      <w:r>
        <w:rPr>
          <w:sz w:val="24"/>
          <w:szCs w:val="24"/>
        </w:rPr>
        <w:tab/>
      </w:r>
    </w:p>
    <w:p w:rsidR="009E13B1" w:rsidRPr="006C7FAE" w:rsidP="00E36C9E" w14:paraId="668EAA31" w14:textId="77777777">
      <w:pPr>
        <w:widowControl w:val="0"/>
        <w:tabs>
          <w:tab w:val="left" w:pos="360"/>
        </w:tabs>
        <w:ind w:left="360" w:hanging="360"/>
        <w:rPr>
          <w:sz w:val="24"/>
          <w:szCs w:val="24"/>
        </w:rPr>
      </w:pPr>
      <w:r w:rsidRPr="006C7FAE">
        <w:rPr>
          <w:sz w:val="24"/>
          <w:szCs w:val="24"/>
        </w:rPr>
        <w:t>11.</w:t>
      </w:r>
      <w:r w:rsidRPr="006C7FAE">
        <w:rPr>
          <w:sz w:val="24"/>
          <w:szCs w:val="24"/>
        </w:rPr>
        <w:tab/>
      </w:r>
      <w:r w:rsidRPr="00C27B6D">
        <w:rPr>
          <w:b/>
          <w:bCs/>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E13B1" w:rsidP="00E36C9E" w14:paraId="0A2401BB" w14:textId="68CB79D4">
      <w:pPr>
        <w:widowControl w:val="0"/>
        <w:tabs>
          <w:tab w:val="left" w:pos="360"/>
        </w:tabs>
        <w:ind w:left="360" w:hanging="360"/>
        <w:rPr>
          <w:sz w:val="24"/>
          <w:szCs w:val="24"/>
        </w:rPr>
      </w:pPr>
      <w:r>
        <w:rPr>
          <w:sz w:val="24"/>
          <w:szCs w:val="24"/>
        </w:rPr>
        <w:tab/>
      </w:r>
    </w:p>
    <w:p w:rsidR="005118ED" w:rsidP="00E36C9E" w14:paraId="6512BA82" w14:textId="409983ED">
      <w:pPr>
        <w:widowControl w:val="0"/>
        <w:tabs>
          <w:tab w:val="left" w:pos="360"/>
        </w:tabs>
        <w:ind w:left="360" w:hanging="360"/>
        <w:rPr>
          <w:sz w:val="24"/>
          <w:szCs w:val="24"/>
        </w:rPr>
      </w:pPr>
      <w:r>
        <w:rPr>
          <w:sz w:val="24"/>
          <w:szCs w:val="24"/>
        </w:rPr>
        <w:tab/>
      </w:r>
      <w:r w:rsidRPr="005118ED">
        <w:rPr>
          <w:sz w:val="24"/>
          <w:szCs w:val="24"/>
        </w:rPr>
        <w:t>The collection does not involve any questions of a sensitive nature.</w:t>
      </w:r>
      <w:r>
        <w:rPr>
          <w:sz w:val="24"/>
          <w:szCs w:val="24"/>
        </w:rPr>
        <w:tab/>
      </w:r>
    </w:p>
    <w:p w:rsidR="00A65F9E" w:rsidP="00E36C9E" w14:paraId="226313F0" w14:textId="39B20EEB">
      <w:pPr>
        <w:widowControl w:val="0"/>
        <w:tabs>
          <w:tab w:val="left" w:pos="360"/>
        </w:tabs>
        <w:rPr>
          <w:sz w:val="24"/>
          <w:szCs w:val="24"/>
        </w:rPr>
      </w:pPr>
    </w:p>
    <w:p w:rsidR="000D5079" w:rsidP="00E36C9E" w14:paraId="7C95C366" w14:textId="77777777">
      <w:pPr>
        <w:widowControl w:val="0"/>
        <w:tabs>
          <w:tab w:val="left" w:pos="360"/>
        </w:tabs>
        <w:ind w:left="360" w:hanging="360"/>
        <w:rPr>
          <w:sz w:val="24"/>
          <w:szCs w:val="24"/>
        </w:rPr>
      </w:pPr>
      <w:r w:rsidRPr="006C7FAE">
        <w:rPr>
          <w:sz w:val="24"/>
          <w:szCs w:val="24"/>
        </w:rPr>
        <w:t>12.</w:t>
      </w:r>
      <w:r w:rsidRPr="006C7FAE">
        <w:rPr>
          <w:sz w:val="24"/>
          <w:szCs w:val="24"/>
        </w:rPr>
        <w:tab/>
      </w:r>
      <w:r w:rsidRPr="00C27B6D">
        <w:rPr>
          <w:b/>
          <w:bCs/>
          <w:sz w:val="24"/>
          <w:szCs w:val="24"/>
        </w:rPr>
        <w:t>Provide estimates of the hour burden of the collection of information.  The statement should:</w:t>
      </w:r>
    </w:p>
    <w:p w:rsidR="009E13B1" w:rsidRPr="006C7FAE" w:rsidP="00E36C9E" w14:paraId="1876208F" w14:textId="77777777">
      <w:pPr>
        <w:widowControl w:val="0"/>
        <w:tabs>
          <w:tab w:val="left" w:pos="360"/>
        </w:tabs>
        <w:ind w:left="360" w:hanging="360"/>
        <w:rPr>
          <w:sz w:val="24"/>
          <w:szCs w:val="24"/>
        </w:rPr>
      </w:pPr>
      <w:r w:rsidRPr="006C7FAE">
        <w:rPr>
          <w:sz w:val="24"/>
          <w:szCs w:val="24"/>
        </w:rPr>
        <w:t xml:space="preserve"> </w:t>
      </w:r>
    </w:p>
    <w:p w:rsidR="00BF5645" w:rsidP="00BF5645" w14:paraId="74798493" w14:textId="77777777">
      <w:pPr>
        <w:widowControl w:val="0"/>
        <w:numPr>
          <w:ilvl w:val="0"/>
          <w:numId w:val="14"/>
        </w:numPr>
        <w:tabs>
          <w:tab w:val="left" w:pos="480"/>
        </w:tabs>
        <w:ind w:left="480"/>
        <w:rPr>
          <w:b/>
          <w:bCs/>
          <w:sz w:val="24"/>
          <w:szCs w:val="24"/>
        </w:rPr>
      </w:pPr>
      <w:r w:rsidRPr="009B4EDE">
        <w:rPr>
          <w:b/>
          <w:bCs/>
          <w:sz w:val="24"/>
          <w:szCs w:val="24"/>
        </w:rPr>
        <w:t>I</w:t>
      </w:r>
      <w:r w:rsidRPr="009B4EDE" w:rsidR="009E13B1">
        <w:rPr>
          <w:b/>
          <w:bCs/>
          <w:sz w:val="24"/>
          <w:szCs w:val="24"/>
        </w:rPr>
        <w:t xml:space="preserve">ndicate the number of respondents, frequency of response, annual hour burden, and an explanation of how the burden was estimated.  Unless directed to do so, agencies should not conduct special surveys to obtain information on which to base hour burden estimates.  </w:t>
      </w:r>
      <w:r w:rsidRPr="009B4EDE" w:rsidR="009E13B1">
        <w:rPr>
          <w:b/>
          <w:bCs/>
          <w:sz w:val="24"/>
          <w:szCs w:val="24"/>
        </w:rPr>
        <w:t xml:space="preserve">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9B4EDE" w:rsidR="006C7FAE">
        <w:rPr>
          <w:b/>
          <w:bCs/>
          <w:sz w:val="24"/>
          <w:szCs w:val="24"/>
        </w:rPr>
        <w:t>Generally,</w:t>
      </w:r>
      <w:r w:rsidRPr="009B4EDE" w:rsidR="009E13B1">
        <w:rPr>
          <w:b/>
          <w:bCs/>
          <w:sz w:val="24"/>
          <w:szCs w:val="24"/>
        </w:rPr>
        <w:t xml:space="preserve"> estimates should not include burden hours for customary and usual business practices;</w:t>
      </w:r>
    </w:p>
    <w:p w:rsidR="009E13B1" w:rsidRPr="00BF5645" w:rsidP="00BF5645" w14:paraId="54BF2220" w14:textId="74E0039E">
      <w:pPr>
        <w:widowControl w:val="0"/>
        <w:numPr>
          <w:ilvl w:val="0"/>
          <w:numId w:val="14"/>
        </w:numPr>
        <w:tabs>
          <w:tab w:val="left" w:pos="480"/>
        </w:tabs>
        <w:ind w:left="480"/>
        <w:rPr>
          <w:b/>
          <w:bCs/>
          <w:sz w:val="24"/>
          <w:szCs w:val="24"/>
        </w:rPr>
      </w:pPr>
      <w:r>
        <w:rPr>
          <w:b/>
          <w:bCs/>
          <w:sz w:val="24"/>
          <w:szCs w:val="24"/>
        </w:rPr>
        <w:t>I</w:t>
      </w:r>
      <w:r w:rsidRPr="00BF5645">
        <w:rPr>
          <w:b/>
          <w:bCs/>
          <w:sz w:val="24"/>
          <w:szCs w:val="24"/>
        </w:rPr>
        <w:t xml:space="preserve">f this request covers more than one form, provide separate hour burden estimates for each form and aggregate the hour burdens in </w:t>
      </w:r>
      <w:r w:rsidRPr="00BF5645" w:rsidR="00CA06CC">
        <w:rPr>
          <w:b/>
          <w:bCs/>
          <w:sz w:val="24"/>
          <w:szCs w:val="24"/>
        </w:rPr>
        <w:t>chart below</w:t>
      </w:r>
      <w:r w:rsidRPr="00BF5645">
        <w:rPr>
          <w:b/>
          <w:bCs/>
          <w:sz w:val="24"/>
          <w:szCs w:val="24"/>
        </w:rPr>
        <w:t xml:space="preserve">; and </w:t>
      </w:r>
    </w:p>
    <w:p w:rsidR="009E13B1" w:rsidRPr="009B4EDE" w:rsidP="00E36C9E" w14:paraId="438D1797" w14:textId="77777777">
      <w:pPr>
        <w:widowControl w:val="0"/>
        <w:numPr>
          <w:ilvl w:val="0"/>
          <w:numId w:val="14"/>
        </w:numPr>
        <w:tabs>
          <w:tab w:val="left" w:pos="480"/>
        </w:tabs>
        <w:ind w:left="480"/>
        <w:rPr>
          <w:b/>
          <w:bCs/>
          <w:sz w:val="24"/>
          <w:szCs w:val="24"/>
        </w:rPr>
      </w:pPr>
      <w:r w:rsidRPr="009B4EDE">
        <w:rPr>
          <w:b/>
          <w:bCs/>
          <w:sz w:val="24"/>
          <w:szCs w:val="24"/>
        </w:rPr>
        <w:t>P</w:t>
      </w:r>
      <w:r w:rsidRPr="009B4EDE">
        <w:rPr>
          <w:b/>
          <w:bCs/>
          <w:sz w:val="24"/>
          <w:szCs w:val="24"/>
        </w:rPr>
        <w:t xml:space="preserve">rovide estimates of annualized cost to respondents for the hour burdens for collections of information, identifying and using appropriate wage rate categories.  The cost of contracting out or paying outside parties for information collection activities should not be included here.  </w:t>
      </w:r>
      <w:r w:rsidRPr="009B4EDE" w:rsidR="00CA06CC">
        <w:rPr>
          <w:b/>
          <w:bCs/>
          <w:sz w:val="24"/>
          <w:szCs w:val="24"/>
        </w:rPr>
        <w:t>Instead,</w:t>
      </w:r>
      <w:r w:rsidRPr="009B4EDE">
        <w:rPr>
          <w:b/>
          <w:bCs/>
          <w:sz w:val="24"/>
          <w:szCs w:val="24"/>
        </w:rPr>
        <w:t xml:space="preserve"> this cost should be included in Item 13.</w:t>
      </w:r>
    </w:p>
    <w:p w:rsidR="008423BD" w:rsidP="00E36C9E" w14:paraId="0A2601B8" w14:textId="77777777">
      <w:pPr>
        <w:widowControl w:val="0"/>
        <w:tabs>
          <w:tab w:val="left" w:pos="480"/>
        </w:tabs>
        <w:ind w:left="480"/>
        <w:rPr>
          <w:sz w:val="24"/>
          <w:szCs w:val="24"/>
        </w:rPr>
      </w:pPr>
    </w:p>
    <w:tbl>
      <w:tblPr>
        <w:tblW w:w="5000" w:type="pct"/>
        <w:tblCellMar>
          <w:left w:w="0" w:type="dxa"/>
          <w:right w:w="0" w:type="dxa"/>
        </w:tblCellMar>
        <w:tblLook w:val="04A0"/>
      </w:tblPr>
      <w:tblGrid>
        <w:gridCol w:w="1576"/>
        <w:gridCol w:w="1401"/>
        <w:gridCol w:w="1233"/>
        <w:gridCol w:w="1097"/>
        <w:gridCol w:w="1176"/>
        <w:gridCol w:w="992"/>
        <w:gridCol w:w="1166"/>
        <w:gridCol w:w="1239"/>
      </w:tblGrid>
      <w:tr w14:paraId="3ACA7B09" w14:textId="77777777" w:rsidTr="003C0774">
        <w:tblPrEx>
          <w:tblW w:w="5000" w:type="pct"/>
          <w:tblCellMar>
            <w:left w:w="0" w:type="dxa"/>
            <w:right w:w="0" w:type="dxa"/>
          </w:tblCellMar>
          <w:tblLook w:val="04A0"/>
        </w:tblPrEx>
        <w:trPr>
          <w:trHeight w:val="643"/>
        </w:trPr>
        <w:tc>
          <w:tcPr>
            <w:tcW w:w="7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66A61" w:rsidRPr="006C7FAE" w:rsidP="00E36C9E" w14:paraId="757FECA9" w14:textId="77777777">
            <w:pPr>
              <w:widowControl w:val="0"/>
              <w:adjustRightInd/>
              <w:jc w:val="center"/>
              <w:textAlignment w:val="auto"/>
              <w:rPr>
                <w:rFonts w:eastAsia="Calibri"/>
                <w:b/>
                <w:bCs/>
                <w:color w:val="000000"/>
              </w:rPr>
            </w:pPr>
            <w:r w:rsidRPr="006C7FAE">
              <w:rPr>
                <w:rFonts w:eastAsia="Calibri"/>
                <w:b/>
                <w:bCs/>
                <w:color w:val="000000"/>
              </w:rPr>
              <w:t>Information Collection</w:t>
            </w:r>
          </w:p>
        </w:tc>
        <w:tc>
          <w:tcPr>
            <w:tcW w:w="7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6A61" w:rsidRPr="006C7FAE" w:rsidP="00E36C9E" w14:paraId="47A7100C" w14:textId="77777777">
            <w:pPr>
              <w:widowControl w:val="0"/>
              <w:adjustRightInd/>
              <w:jc w:val="center"/>
              <w:textAlignment w:val="auto"/>
              <w:rPr>
                <w:rFonts w:eastAsia="Calibri"/>
                <w:b/>
                <w:bCs/>
                <w:color w:val="000000"/>
              </w:rPr>
            </w:pPr>
            <w:r w:rsidRPr="006C7FAE">
              <w:rPr>
                <w:rFonts w:eastAsia="Calibri"/>
                <w:b/>
                <w:bCs/>
                <w:color w:val="000000"/>
              </w:rPr>
              <w:t>Number of Respondents</w:t>
            </w:r>
          </w:p>
        </w:tc>
        <w:tc>
          <w:tcPr>
            <w:tcW w:w="6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6A61" w:rsidRPr="006C7FAE" w:rsidP="00E36C9E" w14:paraId="6F1F718D" w14:textId="77777777">
            <w:pPr>
              <w:widowControl w:val="0"/>
              <w:adjustRightInd/>
              <w:jc w:val="center"/>
              <w:textAlignment w:val="auto"/>
              <w:rPr>
                <w:rFonts w:eastAsia="Calibri"/>
                <w:b/>
                <w:bCs/>
                <w:color w:val="000000"/>
              </w:rPr>
            </w:pPr>
            <w:r w:rsidRPr="006C7FAE">
              <w:rPr>
                <w:rFonts w:eastAsia="Calibri"/>
                <w:b/>
                <w:bCs/>
                <w:color w:val="000000"/>
              </w:rPr>
              <w:t>Frequency of Response</w:t>
            </w:r>
          </w:p>
        </w:tc>
        <w:tc>
          <w:tcPr>
            <w:tcW w:w="5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6A61" w:rsidRPr="006C7FAE" w:rsidP="00E36C9E" w14:paraId="24541C38" w14:textId="77777777">
            <w:pPr>
              <w:widowControl w:val="0"/>
              <w:overflowPunct/>
              <w:autoSpaceDE/>
              <w:autoSpaceDN/>
              <w:adjustRightInd/>
              <w:jc w:val="center"/>
              <w:textAlignment w:val="auto"/>
              <w:rPr>
                <w:rFonts w:eastAsia="Calibri"/>
                <w:b/>
                <w:bCs/>
                <w:color w:val="000000"/>
              </w:rPr>
            </w:pPr>
            <w:r w:rsidRPr="006C7FAE">
              <w:rPr>
                <w:rFonts w:eastAsia="Calibri"/>
                <w:b/>
                <w:bCs/>
                <w:color w:val="000000"/>
              </w:rPr>
              <w:t>Responses</w:t>
            </w:r>
          </w:p>
          <w:p w:rsidR="00366A61" w:rsidRPr="006C7FAE" w:rsidP="00E36C9E" w14:paraId="49CB5CB2" w14:textId="77777777">
            <w:pPr>
              <w:widowControl w:val="0"/>
              <w:adjustRightInd/>
              <w:jc w:val="center"/>
              <w:textAlignment w:val="auto"/>
              <w:rPr>
                <w:rFonts w:eastAsia="Calibri"/>
                <w:b/>
                <w:bCs/>
                <w:color w:val="000000"/>
              </w:rPr>
            </w:pPr>
            <w:r w:rsidRPr="006C7FAE">
              <w:rPr>
                <w:rFonts w:eastAsia="Calibri"/>
                <w:b/>
                <w:bCs/>
                <w:color w:val="000000"/>
              </w:rPr>
              <w:t>Per Annum</w:t>
            </w:r>
          </w:p>
        </w:tc>
        <w:tc>
          <w:tcPr>
            <w:tcW w:w="5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6A61" w:rsidRPr="006C7FAE" w:rsidP="00E36C9E" w14:paraId="19AFF607" w14:textId="77777777">
            <w:pPr>
              <w:widowControl w:val="0"/>
              <w:adjustRightInd/>
              <w:jc w:val="center"/>
              <w:textAlignment w:val="auto"/>
              <w:rPr>
                <w:rFonts w:eastAsia="Calibri"/>
                <w:b/>
                <w:bCs/>
                <w:color w:val="000000"/>
              </w:rPr>
            </w:pPr>
            <w:r w:rsidRPr="006C7FAE">
              <w:rPr>
                <w:rFonts w:eastAsia="Calibri"/>
                <w:b/>
                <w:bCs/>
                <w:color w:val="000000"/>
              </w:rPr>
              <w:t>Burden Hour Per Response</w:t>
            </w:r>
          </w:p>
        </w:tc>
        <w:tc>
          <w:tcPr>
            <w:tcW w:w="5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6A61" w:rsidRPr="006C7FAE" w:rsidP="00E36C9E" w14:paraId="0E7E2A76" w14:textId="77777777">
            <w:pPr>
              <w:widowControl w:val="0"/>
              <w:adjustRightInd/>
              <w:jc w:val="center"/>
              <w:textAlignment w:val="auto"/>
              <w:rPr>
                <w:rFonts w:eastAsia="Calibri"/>
                <w:b/>
                <w:bCs/>
                <w:color w:val="000000"/>
              </w:rPr>
            </w:pPr>
            <w:r w:rsidRPr="006C7FAE">
              <w:rPr>
                <w:rFonts w:eastAsia="Calibri"/>
                <w:b/>
                <w:bCs/>
                <w:color w:val="000000"/>
              </w:rPr>
              <w:t>Annual Burden Hours</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6A61" w:rsidRPr="006C7FAE" w:rsidP="00E36C9E" w14:paraId="192FA206" w14:textId="77777777">
            <w:pPr>
              <w:widowControl w:val="0"/>
              <w:adjustRightInd/>
              <w:jc w:val="center"/>
              <w:textAlignment w:val="auto"/>
              <w:rPr>
                <w:rFonts w:eastAsia="Calibri"/>
                <w:b/>
                <w:bCs/>
                <w:color w:val="000000"/>
              </w:rPr>
            </w:pPr>
            <w:r w:rsidRPr="006C7FAE">
              <w:rPr>
                <w:rFonts w:eastAsia="Calibri"/>
                <w:b/>
                <w:bCs/>
                <w:color w:val="000000"/>
              </w:rPr>
              <w:t>Hourly Cost Per Response</w:t>
            </w:r>
          </w:p>
        </w:tc>
        <w:tc>
          <w:tcPr>
            <w:tcW w:w="6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66A61" w:rsidRPr="006C7FAE" w:rsidP="00E36C9E" w14:paraId="536779A6" w14:textId="77777777">
            <w:pPr>
              <w:widowControl w:val="0"/>
              <w:overflowPunct/>
              <w:autoSpaceDE/>
              <w:autoSpaceDN/>
              <w:adjustRightInd/>
              <w:jc w:val="center"/>
              <w:textAlignment w:val="auto"/>
              <w:rPr>
                <w:rFonts w:eastAsia="Calibri"/>
                <w:b/>
                <w:bCs/>
                <w:color w:val="000000"/>
              </w:rPr>
            </w:pPr>
            <w:r w:rsidRPr="006C7FAE">
              <w:rPr>
                <w:rFonts w:eastAsia="Calibri"/>
                <w:b/>
                <w:bCs/>
                <w:color w:val="000000"/>
              </w:rPr>
              <w:t>Annual Cost</w:t>
            </w:r>
          </w:p>
          <w:p w:rsidR="00366A61" w:rsidRPr="006C7FAE" w:rsidP="00E36C9E" w14:paraId="43B2BB5B" w14:textId="77777777">
            <w:pPr>
              <w:widowControl w:val="0"/>
              <w:adjustRightInd/>
              <w:jc w:val="center"/>
              <w:textAlignment w:val="auto"/>
              <w:rPr>
                <w:rFonts w:eastAsia="Calibri"/>
                <w:b/>
                <w:bCs/>
                <w:color w:val="000000"/>
              </w:rPr>
            </w:pPr>
          </w:p>
        </w:tc>
      </w:tr>
      <w:tr w14:paraId="3B444932" w14:textId="77777777" w:rsidTr="003C0774">
        <w:tblPrEx>
          <w:tblW w:w="5000" w:type="pct"/>
          <w:tblCellMar>
            <w:left w:w="0" w:type="dxa"/>
            <w:right w:w="0" w:type="dxa"/>
          </w:tblCellMar>
          <w:tblLook w:val="04A0"/>
        </w:tblPrEx>
        <w:tc>
          <w:tcPr>
            <w:tcW w:w="79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011105" w:rsidRPr="00576962" w:rsidP="00E36C9E" w14:paraId="04DECE1B" w14:textId="22FF501A">
            <w:pPr>
              <w:widowControl w:val="0"/>
              <w:adjustRightInd/>
              <w:textAlignment w:val="auto"/>
              <w:rPr>
                <w:rFonts w:eastAsia="Calibri"/>
                <w:b/>
                <w:bCs/>
                <w:color w:val="000000"/>
              </w:rPr>
            </w:pPr>
            <w:r>
              <w:rPr>
                <w:sz w:val="18"/>
                <w:szCs w:val="18"/>
              </w:rPr>
              <w:t>W</w:t>
            </w:r>
            <w:r w:rsidRPr="00583648">
              <w:rPr>
                <w:sz w:val="18"/>
                <w:szCs w:val="18"/>
              </w:rPr>
              <w:t xml:space="preserve">ritten policies </w:t>
            </w:r>
            <w:r>
              <w:rPr>
                <w:sz w:val="18"/>
                <w:szCs w:val="18"/>
              </w:rPr>
              <w:t>on</w:t>
            </w:r>
            <w:r w:rsidRPr="00583648">
              <w:rPr>
                <w:sz w:val="18"/>
                <w:szCs w:val="18"/>
              </w:rPr>
              <w:t xml:space="preserve"> admission and continued occupancy</w:t>
            </w:r>
          </w:p>
        </w:tc>
        <w:tc>
          <w:tcPr>
            <w:tcW w:w="709"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011105" w:rsidRPr="00576962" w:rsidP="00E36C9E" w14:paraId="7295A05F" w14:textId="37B0AC25">
            <w:pPr>
              <w:widowControl w:val="0"/>
              <w:adjustRightInd/>
              <w:jc w:val="center"/>
              <w:textAlignment w:val="auto"/>
              <w:rPr>
                <w:rFonts w:eastAsia="Calibri"/>
                <w:b/>
                <w:bCs/>
                <w:color w:val="000000"/>
              </w:rPr>
            </w:pPr>
            <w:r>
              <w:rPr>
                <w:sz w:val="18"/>
                <w:szCs w:val="18"/>
              </w:rPr>
              <w:t>2,667</w:t>
            </w:r>
          </w:p>
        </w:tc>
        <w:tc>
          <w:tcPr>
            <w:tcW w:w="624"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011105" w:rsidRPr="00576962" w:rsidP="00E36C9E" w14:paraId="7136500C" w14:textId="0FC8D1D9">
            <w:pPr>
              <w:widowControl w:val="0"/>
              <w:adjustRightInd/>
              <w:jc w:val="center"/>
              <w:textAlignment w:val="auto"/>
              <w:rPr>
                <w:rFonts w:eastAsia="Calibri"/>
                <w:b/>
                <w:bCs/>
                <w:color w:val="000000"/>
              </w:rPr>
            </w:pPr>
            <w:r>
              <w:rPr>
                <w:sz w:val="18"/>
                <w:szCs w:val="18"/>
              </w:rPr>
              <w:t>1</w:t>
            </w:r>
          </w:p>
        </w:tc>
        <w:tc>
          <w:tcPr>
            <w:tcW w:w="555"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011105" w:rsidRPr="00576962" w:rsidP="00E36C9E" w14:paraId="4BA9E028" w14:textId="26273379">
            <w:pPr>
              <w:widowControl w:val="0"/>
              <w:adjustRightInd/>
              <w:jc w:val="center"/>
              <w:textAlignment w:val="auto"/>
              <w:rPr>
                <w:rFonts w:eastAsia="Calibri"/>
                <w:b/>
                <w:bCs/>
                <w:color w:val="000000"/>
              </w:rPr>
            </w:pPr>
            <w:r>
              <w:rPr>
                <w:sz w:val="18"/>
                <w:szCs w:val="18"/>
              </w:rPr>
              <w:t>2,667</w:t>
            </w:r>
          </w:p>
        </w:tc>
        <w:tc>
          <w:tcPr>
            <w:tcW w:w="595"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011105" w:rsidRPr="00576962" w:rsidP="00E36C9E" w14:paraId="4F094BDA" w14:textId="48EE60EE">
            <w:pPr>
              <w:widowControl w:val="0"/>
              <w:adjustRightInd/>
              <w:jc w:val="center"/>
              <w:textAlignment w:val="auto"/>
              <w:rPr>
                <w:rFonts w:eastAsia="Calibri"/>
                <w:b/>
                <w:bCs/>
                <w:color w:val="000000"/>
              </w:rPr>
            </w:pPr>
            <w:r>
              <w:rPr>
                <w:sz w:val="18"/>
                <w:szCs w:val="18"/>
              </w:rPr>
              <w:t>24</w:t>
            </w:r>
          </w:p>
        </w:tc>
        <w:tc>
          <w:tcPr>
            <w:tcW w:w="502"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011105" w:rsidRPr="00576962" w:rsidP="00E36C9E" w14:paraId="32AFC48F" w14:textId="7C09583C">
            <w:pPr>
              <w:widowControl w:val="0"/>
              <w:adjustRightInd/>
              <w:jc w:val="center"/>
              <w:textAlignment w:val="auto"/>
              <w:rPr>
                <w:rFonts w:eastAsia="Calibri"/>
                <w:b/>
                <w:bCs/>
                <w:color w:val="000000"/>
              </w:rPr>
            </w:pPr>
            <w:r w:rsidRPr="007D7561">
              <w:rPr>
                <w:sz w:val="18"/>
                <w:szCs w:val="18"/>
              </w:rPr>
              <w:t>64,008</w:t>
            </w:r>
          </w:p>
        </w:tc>
        <w:tc>
          <w:tcPr>
            <w:tcW w:w="590"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011105" w:rsidRPr="007E50D7" w:rsidP="00E36C9E" w14:paraId="1C147E0A" w14:textId="3403C9ED">
            <w:pPr>
              <w:widowControl w:val="0"/>
              <w:adjustRightInd/>
              <w:jc w:val="center"/>
              <w:textAlignment w:val="auto"/>
              <w:rPr>
                <w:rFonts w:eastAsia="Calibri"/>
                <w:b/>
                <w:bCs/>
                <w:color w:val="000000"/>
              </w:rPr>
            </w:pPr>
            <w:r w:rsidRPr="0051215A">
              <w:rPr>
                <w:sz w:val="18"/>
                <w:szCs w:val="18"/>
              </w:rPr>
              <w:t>$</w:t>
            </w:r>
            <w:r w:rsidR="00356014">
              <w:rPr>
                <w:sz w:val="18"/>
                <w:szCs w:val="18"/>
              </w:rPr>
              <w:t>42</w:t>
            </w:r>
            <w:r w:rsidRPr="0051215A">
              <w:rPr>
                <w:sz w:val="18"/>
                <w:szCs w:val="18"/>
              </w:rPr>
              <w:t>.</w:t>
            </w:r>
            <w:r w:rsidR="00F875DA">
              <w:rPr>
                <w:sz w:val="18"/>
                <w:szCs w:val="18"/>
              </w:rPr>
              <w:t>5</w:t>
            </w:r>
            <w:r w:rsidR="00825126">
              <w:rPr>
                <w:sz w:val="18"/>
                <w:szCs w:val="18"/>
              </w:rPr>
              <w:t>0</w:t>
            </w:r>
            <w:r>
              <w:rPr>
                <w:sz w:val="18"/>
                <w:szCs w:val="18"/>
              </w:rPr>
              <w:t>*</w:t>
            </w:r>
          </w:p>
        </w:tc>
        <w:tc>
          <w:tcPr>
            <w:tcW w:w="627"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011105" w:rsidRPr="007E50D7" w:rsidP="00E36C9E" w14:paraId="5934022C" w14:textId="3B7A517C">
            <w:pPr>
              <w:widowControl w:val="0"/>
              <w:adjustRightInd/>
              <w:jc w:val="center"/>
              <w:textAlignment w:val="auto"/>
              <w:rPr>
                <w:rFonts w:eastAsia="Calibri"/>
                <w:b/>
                <w:bCs/>
                <w:color w:val="000000"/>
              </w:rPr>
            </w:pPr>
            <w:r>
              <w:rPr>
                <w:sz w:val="18"/>
                <w:szCs w:val="18"/>
              </w:rPr>
              <w:t>$</w:t>
            </w:r>
            <w:r w:rsidR="009D4FD7">
              <w:rPr>
                <w:sz w:val="18"/>
                <w:szCs w:val="18"/>
              </w:rPr>
              <w:t>2,</w:t>
            </w:r>
            <w:r w:rsidR="00E11C0C">
              <w:rPr>
                <w:sz w:val="18"/>
                <w:szCs w:val="18"/>
              </w:rPr>
              <w:t>720,340</w:t>
            </w:r>
          </w:p>
        </w:tc>
      </w:tr>
    </w:tbl>
    <w:p w:rsidR="00366A61" w:rsidP="00E36C9E" w14:paraId="2360D745" w14:textId="0A96627F">
      <w:pPr>
        <w:widowControl w:val="0"/>
        <w:tabs>
          <w:tab w:val="left" w:pos="480"/>
        </w:tabs>
        <w:ind w:left="480"/>
      </w:pPr>
      <w:r w:rsidRPr="003C0774">
        <w:t>* Hourly cost estimates are based on Bureau of Labor Statistics, Occupational Employment and Wage Statistics, most recent (May 2025) National Occupational Employment and Wage Estimates, SOC 13-1041 Compliance Officers reflecting the regulatory analysis, documentation, and federal compliance functions required to prepare and maintain written policies.</w:t>
      </w:r>
    </w:p>
    <w:p w:rsidR="003C0774" w:rsidP="00E36C9E" w14:paraId="15D19362" w14:textId="77777777">
      <w:pPr>
        <w:widowControl w:val="0"/>
        <w:tabs>
          <w:tab w:val="left" w:pos="480"/>
        </w:tabs>
        <w:ind w:left="480"/>
        <w:rPr>
          <w:sz w:val="24"/>
          <w:szCs w:val="24"/>
        </w:rPr>
      </w:pPr>
    </w:p>
    <w:p w:rsidR="000D5079" w:rsidP="00E36C9E" w14:paraId="0CEE4D0B" w14:textId="77777777">
      <w:pPr>
        <w:widowControl w:val="0"/>
        <w:tabs>
          <w:tab w:val="left" w:pos="360"/>
        </w:tabs>
        <w:ind w:left="360" w:hanging="360"/>
        <w:rPr>
          <w:sz w:val="24"/>
          <w:szCs w:val="24"/>
        </w:rPr>
      </w:pPr>
      <w:r w:rsidRPr="006C7FAE">
        <w:rPr>
          <w:sz w:val="24"/>
          <w:szCs w:val="24"/>
        </w:rPr>
        <w:t>13.</w:t>
      </w:r>
      <w:r w:rsidRPr="006C7FAE">
        <w:rPr>
          <w:sz w:val="24"/>
          <w:szCs w:val="24"/>
        </w:rPr>
        <w:tab/>
      </w:r>
      <w:r w:rsidRPr="00CE7A93">
        <w:rPr>
          <w:b/>
          <w:bCs/>
          <w:sz w:val="24"/>
          <w:szCs w:val="24"/>
        </w:rPr>
        <w:t>Provide an estimate of the total annual cost burden to respondents or recordkeepers resulting from the collection of information</w:t>
      </w:r>
      <w:r w:rsidRPr="00CE7A93">
        <w:rPr>
          <w:b/>
          <w:bCs/>
          <w:sz w:val="24"/>
          <w:szCs w:val="24"/>
        </w:rPr>
        <w:t>. (Do not include the cost of any hour burden already reflected on the burden worksheet</w:t>
      </w:r>
      <w:r w:rsidRPr="00CE7A93">
        <w:rPr>
          <w:b/>
          <w:bCs/>
          <w:sz w:val="24"/>
          <w:szCs w:val="24"/>
        </w:rPr>
        <w:t xml:space="preserve"> shown in Items 12 and 14).</w:t>
      </w:r>
    </w:p>
    <w:p w:rsidR="004D404D" w:rsidRPr="006C7FAE" w:rsidP="00E36C9E" w14:paraId="2CAEAA0B" w14:textId="5537F9E3">
      <w:pPr>
        <w:widowControl w:val="0"/>
        <w:tabs>
          <w:tab w:val="left" w:pos="360"/>
        </w:tabs>
        <w:ind w:left="360" w:hanging="360"/>
        <w:rPr>
          <w:sz w:val="24"/>
          <w:szCs w:val="24"/>
        </w:rPr>
      </w:pPr>
      <w:r w:rsidRPr="006C7FAE">
        <w:rPr>
          <w:sz w:val="24"/>
          <w:szCs w:val="24"/>
        </w:rPr>
        <w:t xml:space="preserve"> </w:t>
      </w:r>
      <w:r>
        <w:rPr>
          <w:sz w:val="24"/>
          <w:szCs w:val="24"/>
        </w:rPr>
        <w:tab/>
      </w:r>
    </w:p>
    <w:p w:rsidR="00A215F7" w:rsidRPr="006F3EAF" w:rsidP="006F3EAF" w14:paraId="61C7870C" w14:textId="4CD29384">
      <w:pPr>
        <w:widowControl w:val="0"/>
        <w:tabs>
          <w:tab w:val="left" w:pos="360"/>
        </w:tabs>
        <w:rPr>
          <w:sz w:val="24"/>
          <w:szCs w:val="24"/>
        </w:rPr>
      </w:pPr>
      <w:r>
        <w:rPr>
          <w:sz w:val="24"/>
          <w:szCs w:val="24"/>
        </w:rPr>
        <w:tab/>
      </w:r>
      <w:r w:rsidRPr="006F3EAF" w:rsidR="00DF4153">
        <w:rPr>
          <w:sz w:val="24"/>
          <w:szCs w:val="24"/>
        </w:rPr>
        <w:t>There are no additional costs to respondents other than the costs shown in Question 12.</w:t>
      </w:r>
    </w:p>
    <w:p w:rsidR="00F81B7D" w:rsidRPr="006C7FAE" w:rsidP="00E36C9E" w14:paraId="0D40C64E" w14:textId="77777777">
      <w:pPr>
        <w:widowControl w:val="0"/>
        <w:tabs>
          <w:tab w:val="left" w:pos="360"/>
        </w:tabs>
        <w:ind w:left="480"/>
        <w:rPr>
          <w:sz w:val="24"/>
          <w:szCs w:val="24"/>
        </w:rPr>
      </w:pPr>
    </w:p>
    <w:p w:rsidR="009E13B1" w:rsidP="00E36C9E" w14:paraId="0F877C1B" w14:textId="77777777">
      <w:pPr>
        <w:widowControl w:val="0"/>
        <w:tabs>
          <w:tab w:val="left" w:pos="360"/>
        </w:tabs>
        <w:ind w:left="360" w:hanging="360"/>
        <w:rPr>
          <w:sz w:val="24"/>
          <w:szCs w:val="24"/>
        </w:rPr>
      </w:pPr>
      <w:r w:rsidRPr="006C7FAE">
        <w:rPr>
          <w:sz w:val="24"/>
          <w:szCs w:val="24"/>
        </w:rPr>
        <w:t>14.</w:t>
      </w:r>
      <w:r w:rsidRPr="006C7FAE">
        <w:rPr>
          <w:sz w:val="24"/>
          <w:szCs w:val="24"/>
        </w:rPr>
        <w:tab/>
      </w:r>
      <w:r w:rsidRPr="00143EB3">
        <w:rPr>
          <w:b/>
          <w:bCs/>
          <w:sz w:val="24"/>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48289A" w:rsidP="00E36C9E" w14:paraId="3B465D3D" w14:textId="77777777">
      <w:pPr>
        <w:widowControl w:val="0"/>
        <w:tabs>
          <w:tab w:val="left" w:pos="360"/>
        </w:tabs>
        <w:ind w:left="360" w:hanging="360"/>
        <w:rPr>
          <w:sz w:val="24"/>
          <w:szCs w:val="24"/>
        </w:rPr>
      </w:pPr>
    </w:p>
    <w:p w:rsidR="00FA4678" w:rsidP="00E36C9E" w14:paraId="712CA8E2" w14:textId="2AD0090A">
      <w:pPr>
        <w:widowControl w:val="0"/>
        <w:tabs>
          <w:tab w:val="left" w:pos="360"/>
        </w:tabs>
        <w:ind w:left="360" w:hanging="360"/>
        <w:rPr>
          <w:sz w:val="24"/>
          <w:szCs w:val="24"/>
        </w:rPr>
      </w:pPr>
      <w:r>
        <w:rPr>
          <w:sz w:val="24"/>
          <w:szCs w:val="24"/>
        </w:rPr>
        <w:tab/>
      </w:r>
      <w:r w:rsidR="00DF4153">
        <w:rPr>
          <w:sz w:val="24"/>
          <w:szCs w:val="24"/>
        </w:rPr>
        <w:t xml:space="preserve">As mentioned in the response to question #1, </w:t>
      </w:r>
      <w:r w:rsidRPr="00DF4153" w:rsidR="00DF4153">
        <w:rPr>
          <w:sz w:val="24"/>
          <w:szCs w:val="24"/>
        </w:rPr>
        <w:t>HUD does not regularly collect and review this information to verify that PHAs have established compliant admission and occupancy policies, ensured program accountability, and responded to public, Congressional, and FOIA inquiries. However, PHAs must make their policies available upon request, and HUD may review these documents during monitoring or when responding to questions about waiting list procedures, eligibility determinations, or occupancy rules.</w:t>
      </w:r>
      <w:r w:rsidR="00DF4153">
        <w:rPr>
          <w:sz w:val="24"/>
          <w:szCs w:val="24"/>
        </w:rPr>
        <w:t xml:space="preserve"> </w:t>
      </w:r>
      <w:r w:rsidRPr="00FA4678">
        <w:rPr>
          <w:sz w:val="24"/>
          <w:szCs w:val="24"/>
        </w:rPr>
        <w:t>There is no additional cost to HUD for the collection of this information.</w:t>
      </w:r>
    </w:p>
    <w:p w:rsidR="00E11287" w:rsidP="00E36C9E" w14:paraId="24DE5824" w14:textId="4E351229">
      <w:pPr>
        <w:widowControl w:val="0"/>
        <w:tabs>
          <w:tab w:val="left" w:pos="360"/>
          <w:tab w:val="left" w:pos="720"/>
        </w:tabs>
        <w:rPr>
          <w:sz w:val="18"/>
          <w:szCs w:val="18"/>
        </w:rPr>
      </w:pPr>
      <w:r>
        <w:rPr>
          <w:sz w:val="18"/>
          <w:szCs w:val="18"/>
        </w:rPr>
        <w:tab/>
      </w:r>
    </w:p>
    <w:p w:rsidR="009E13B1" w:rsidP="00E36C9E" w14:paraId="005FDD51" w14:textId="77777777">
      <w:pPr>
        <w:widowControl w:val="0"/>
        <w:tabs>
          <w:tab w:val="left" w:pos="360"/>
        </w:tabs>
        <w:ind w:left="360" w:hanging="360"/>
        <w:rPr>
          <w:sz w:val="24"/>
          <w:szCs w:val="24"/>
        </w:rPr>
      </w:pPr>
      <w:r w:rsidRPr="006C7FAE">
        <w:rPr>
          <w:sz w:val="24"/>
          <w:szCs w:val="24"/>
        </w:rPr>
        <w:t>15.</w:t>
      </w:r>
      <w:r w:rsidRPr="006C7FAE">
        <w:rPr>
          <w:sz w:val="24"/>
          <w:szCs w:val="24"/>
        </w:rPr>
        <w:tab/>
      </w:r>
      <w:r w:rsidRPr="00143EB3">
        <w:rPr>
          <w:b/>
          <w:bCs/>
          <w:sz w:val="24"/>
          <w:szCs w:val="24"/>
        </w:rPr>
        <w:t>Explain the reasons for any program changes or adjustments reported in Items 1</w:t>
      </w:r>
      <w:r w:rsidRPr="00143EB3" w:rsidR="000D5079">
        <w:rPr>
          <w:b/>
          <w:bCs/>
          <w:sz w:val="24"/>
          <w:szCs w:val="24"/>
        </w:rPr>
        <w:t>2</w:t>
      </w:r>
      <w:r w:rsidRPr="00143EB3">
        <w:rPr>
          <w:b/>
          <w:bCs/>
          <w:sz w:val="24"/>
          <w:szCs w:val="24"/>
        </w:rPr>
        <w:t xml:space="preserve"> and 14 of the </w:t>
      </w:r>
      <w:r w:rsidRPr="00143EB3" w:rsidR="00CA06CC">
        <w:rPr>
          <w:b/>
          <w:bCs/>
          <w:sz w:val="24"/>
          <w:szCs w:val="24"/>
        </w:rPr>
        <w:t>Supporting Statement</w:t>
      </w:r>
      <w:r w:rsidRPr="00143EB3">
        <w:rPr>
          <w:b/>
          <w:bCs/>
          <w:sz w:val="24"/>
          <w:szCs w:val="24"/>
        </w:rPr>
        <w:t>.</w:t>
      </w:r>
    </w:p>
    <w:p w:rsidR="008C2ACE" w:rsidP="00E36C9E" w14:paraId="786C81AA" w14:textId="77777777">
      <w:pPr>
        <w:widowControl w:val="0"/>
        <w:tabs>
          <w:tab w:val="left" w:pos="360"/>
          <w:tab w:val="left" w:pos="1607"/>
        </w:tabs>
        <w:ind w:left="360" w:hanging="360"/>
        <w:rPr>
          <w:sz w:val="24"/>
          <w:szCs w:val="24"/>
        </w:rPr>
      </w:pPr>
      <w:r>
        <w:rPr>
          <w:sz w:val="24"/>
          <w:szCs w:val="24"/>
        </w:rPr>
        <w:tab/>
      </w:r>
      <w:r w:rsidRPr="00D039FD" w:rsidR="00D039FD">
        <w:rPr>
          <w:sz w:val="24"/>
          <w:szCs w:val="24"/>
        </w:rPr>
        <w:t xml:space="preserve"> </w:t>
      </w:r>
    </w:p>
    <w:p w:rsidR="008C2ACE" w:rsidP="00E36C9E" w14:paraId="15ACABD3" w14:textId="3384E48F">
      <w:pPr>
        <w:widowControl w:val="0"/>
        <w:tabs>
          <w:tab w:val="left" w:pos="360"/>
          <w:tab w:val="left" w:pos="1607"/>
        </w:tabs>
        <w:ind w:left="360" w:hanging="360"/>
        <w:rPr>
          <w:sz w:val="24"/>
          <w:szCs w:val="24"/>
        </w:rPr>
      </w:pPr>
      <w:r>
        <w:rPr>
          <w:sz w:val="24"/>
          <w:szCs w:val="24"/>
        </w:rPr>
        <w:tab/>
      </w:r>
      <w:r w:rsidRPr="003A74FC" w:rsidR="003A74FC">
        <w:rPr>
          <w:sz w:val="24"/>
          <w:szCs w:val="24"/>
        </w:rPr>
        <w:t xml:space="preserve">This is a revision of a currently approved collection. </w:t>
      </w:r>
      <w:r w:rsidRPr="008C2ACE">
        <w:rPr>
          <w:sz w:val="24"/>
          <w:szCs w:val="24"/>
        </w:rPr>
        <w:t xml:space="preserve">Adjustments made to this collection reflect changes in calculations based on the total number of current, active </w:t>
      </w:r>
      <w:r w:rsidR="0042459E">
        <w:rPr>
          <w:sz w:val="24"/>
          <w:szCs w:val="24"/>
        </w:rPr>
        <w:t>PHAs</w:t>
      </w:r>
      <w:r w:rsidRPr="008C2ACE">
        <w:rPr>
          <w:sz w:val="24"/>
          <w:szCs w:val="24"/>
        </w:rPr>
        <w:t xml:space="preserve"> to date</w:t>
      </w:r>
      <w:r w:rsidR="0042459E">
        <w:rPr>
          <w:sz w:val="24"/>
          <w:szCs w:val="24"/>
        </w:rPr>
        <w:t>,</w:t>
      </w:r>
      <w:r w:rsidRPr="008C2ACE">
        <w:rPr>
          <w:sz w:val="24"/>
          <w:szCs w:val="24"/>
        </w:rPr>
        <w:t xml:space="preserve"> and to the hourly </w:t>
      </w:r>
      <w:r w:rsidRPr="008C2ACE">
        <w:rPr>
          <w:sz w:val="24"/>
          <w:szCs w:val="24"/>
        </w:rPr>
        <w:t>cost per response estimate. The number of active public housing agencies</w:t>
      </w:r>
      <w:r w:rsidR="00887B89">
        <w:rPr>
          <w:sz w:val="24"/>
          <w:szCs w:val="24"/>
        </w:rPr>
        <w:t xml:space="preserve"> (respondents)</w:t>
      </w:r>
      <w:r w:rsidRPr="008C2ACE">
        <w:rPr>
          <w:sz w:val="24"/>
          <w:szCs w:val="24"/>
        </w:rPr>
        <w:t xml:space="preserve"> has changed from 2,774 to 2,667 since the last approved information collection request. In general, the number of PHAs can fluctuate due to many factors, including but not limited to the merging of two or more PHAs or the termination of the public housing programs due to </w:t>
      </w:r>
      <w:r w:rsidR="00FA7AFC">
        <w:rPr>
          <w:sz w:val="24"/>
          <w:szCs w:val="24"/>
        </w:rPr>
        <w:t>RAD</w:t>
      </w:r>
      <w:r w:rsidRPr="008C2ACE">
        <w:rPr>
          <w:sz w:val="24"/>
          <w:szCs w:val="24"/>
        </w:rPr>
        <w:t xml:space="preserve">. </w:t>
      </w:r>
      <w:r w:rsidR="006D38C2">
        <w:rPr>
          <w:sz w:val="24"/>
          <w:szCs w:val="24"/>
        </w:rPr>
        <w:t>HUD increased t</w:t>
      </w:r>
      <w:r w:rsidRPr="008C2ACE">
        <w:rPr>
          <w:sz w:val="24"/>
          <w:szCs w:val="24"/>
        </w:rPr>
        <w:t xml:space="preserve">he estimate </w:t>
      </w:r>
      <w:r w:rsidR="001C0532">
        <w:rPr>
          <w:sz w:val="24"/>
          <w:szCs w:val="24"/>
        </w:rPr>
        <w:t>of</w:t>
      </w:r>
      <w:r w:rsidRPr="008C2ACE" w:rsidR="001C0532">
        <w:rPr>
          <w:sz w:val="24"/>
          <w:szCs w:val="24"/>
        </w:rPr>
        <w:t xml:space="preserve"> </w:t>
      </w:r>
      <w:r w:rsidRPr="008C2ACE">
        <w:rPr>
          <w:sz w:val="24"/>
          <w:szCs w:val="24"/>
        </w:rPr>
        <w:t>the total annual cost burden to respondents due to an increase in the hourly cost per response estimate.</w:t>
      </w:r>
      <w:r w:rsidRPr="00364718" w:rsidR="00364718">
        <w:rPr>
          <w:sz w:val="24"/>
          <w:szCs w:val="24"/>
        </w:rPr>
        <w:t xml:space="preserve"> </w:t>
      </w:r>
      <w:r w:rsidRPr="00F77B7A" w:rsidR="00364718">
        <w:rPr>
          <w:sz w:val="24"/>
          <w:szCs w:val="24"/>
        </w:rPr>
        <w:t xml:space="preserve">The burden table for respondents (item 12) </w:t>
      </w:r>
      <w:r w:rsidRPr="00F77B7A" w:rsidR="00364718">
        <w:rPr>
          <w:sz w:val="24"/>
          <w:szCs w:val="24"/>
        </w:rPr>
        <w:t>are</w:t>
      </w:r>
      <w:r w:rsidRPr="00F77B7A" w:rsidR="00364718">
        <w:rPr>
          <w:sz w:val="24"/>
          <w:szCs w:val="24"/>
        </w:rPr>
        <w:t xml:space="preserve"> updated to the most recent data available from BLS.</w:t>
      </w:r>
    </w:p>
    <w:p w:rsidR="009E13B1" w:rsidP="00E36C9E" w14:paraId="78BA2B5D" w14:textId="75B757B5">
      <w:pPr>
        <w:widowControl w:val="0"/>
        <w:tabs>
          <w:tab w:val="left" w:pos="360"/>
          <w:tab w:val="left" w:pos="1607"/>
        </w:tabs>
        <w:ind w:left="360" w:hanging="360"/>
        <w:rPr>
          <w:sz w:val="24"/>
          <w:szCs w:val="24"/>
        </w:rPr>
      </w:pPr>
      <w:r>
        <w:rPr>
          <w:sz w:val="24"/>
          <w:szCs w:val="24"/>
        </w:rPr>
        <w:tab/>
      </w:r>
    </w:p>
    <w:p w:rsidR="009E13B1" w:rsidP="00E36C9E" w14:paraId="191E7ECF" w14:textId="77777777">
      <w:pPr>
        <w:widowControl w:val="0"/>
        <w:tabs>
          <w:tab w:val="left" w:pos="360"/>
        </w:tabs>
        <w:ind w:left="360" w:hanging="360"/>
        <w:rPr>
          <w:sz w:val="24"/>
          <w:szCs w:val="24"/>
        </w:rPr>
      </w:pPr>
      <w:r w:rsidRPr="006C7FAE">
        <w:rPr>
          <w:sz w:val="24"/>
          <w:szCs w:val="24"/>
        </w:rPr>
        <w:t>16.</w:t>
      </w:r>
      <w:r w:rsidRPr="006C7FAE">
        <w:rPr>
          <w:sz w:val="24"/>
          <w:szCs w:val="24"/>
        </w:rPr>
        <w:tab/>
      </w:r>
      <w:r w:rsidRPr="007361A0">
        <w:rPr>
          <w:b/>
          <w:bCs/>
          <w:sz w:val="24"/>
          <w:szCs w:val="24"/>
        </w:rPr>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F13A3" w:rsidP="00E36C9E" w14:paraId="10B77FDE" w14:textId="77777777">
      <w:pPr>
        <w:pStyle w:val="NoSpacing"/>
        <w:widowControl w:val="0"/>
      </w:pPr>
    </w:p>
    <w:p w:rsidR="00F5657C" w:rsidP="00E36C9E" w14:paraId="2C6BAE56" w14:textId="5C9C3381">
      <w:pPr>
        <w:widowControl w:val="0"/>
        <w:tabs>
          <w:tab w:val="left" w:pos="360"/>
        </w:tabs>
        <w:ind w:left="360" w:hanging="360"/>
        <w:rPr>
          <w:sz w:val="24"/>
          <w:szCs w:val="24"/>
        </w:rPr>
      </w:pPr>
      <w:r>
        <w:rPr>
          <w:sz w:val="24"/>
          <w:szCs w:val="24"/>
        </w:rPr>
        <w:tab/>
      </w:r>
      <w:r w:rsidRPr="0063131F" w:rsidR="0063131F">
        <w:rPr>
          <w:sz w:val="24"/>
          <w:szCs w:val="24"/>
        </w:rPr>
        <w:t>This collection of information is not required to be published.</w:t>
      </w:r>
    </w:p>
    <w:p w:rsidR="00F5657C" w:rsidP="00E36C9E" w14:paraId="747F8EF5" w14:textId="77777777">
      <w:pPr>
        <w:widowControl w:val="0"/>
        <w:tabs>
          <w:tab w:val="left" w:pos="360"/>
        </w:tabs>
        <w:ind w:left="360" w:hanging="360"/>
        <w:rPr>
          <w:sz w:val="24"/>
          <w:szCs w:val="24"/>
        </w:rPr>
      </w:pPr>
    </w:p>
    <w:p w:rsidR="00326ECE" w:rsidP="00E36C9E" w14:paraId="59572BA8" w14:textId="00432EEB">
      <w:pPr>
        <w:widowControl w:val="0"/>
        <w:tabs>
          <w:tab w:val="left" w:pos="360"/>
        </w:tabs>
        <w:ind w:left="360" w:hanging="360"/>
        <w:rPr>
          <w:sz w:val="24"/>
          <w:szCs w:val="24"/>
        </w:rPr>
      </w:pPr>
      <w:r w:rsidRPr="006C7FAE">
        <w:rPr>
          <w:sz w:val="24"/>
          <w:szCs w:val="24"/>
        </w:rPr>
        <w:t>17.</w:t>
      </w:r>
      <w:r w:rsidRPr="006C7FAE">
        <w:rPr>
          <w:sz w:val="24"/>
          <w:szCs w:val="24"/>
        </w:rPr>
        <w:tab/>
      </w:r>
      <w:r w:rsidRPr="007361A0">
        <w:rPr>
          <w:b/>
          <w:bCs/>
          <w:sz w:val="24"/>
          <w:szCs w:val="24"/>
        </w:rPr>
        <w:t>If seeking approval to not display the expiration date for OMB approval of the information collection, explain the reasons that display would be inappropriate.</w:t>
      </w:r>
    </w:p>
    <w:p w:rsidR="00C17F8A" w:rsidP="00E36C9E" w14:paraId="1D17D338" w14:textId="77777777">
      <w:pPr>
        <w:widowControl w:val="0"/>
        <w:tabs>
          <w:tab w:val="left" w:pos="360"/>
        </w:tabs>
        <w:ind w:left="360" w:hanging="360"/>
        <w:rPr>
          <w:sz w:val="24"/>
          <w:szCs w:val="24"/>
        </w:rPr>
      </w:pPr>
      <w:r>
        <w:rPr>
          <w:sz w:val="24"/>
          <w:szCs w:val="24"/>
        </w:rPr>
        <w:tab/>
      </w:r>
    </w:p>
    <w:p w:rsidR="00617923" w:rsidP="00E36C9E" w14:paraId="3B39DECE" w14:textId="33E6730C">
      <w:pPr>
        <w:widowControl w:val="0"/>
        <w:tabs>
          <w:tab w:val="left" w:pos="360"/>
        </w:tabs>
        <w:ind w:left="360" w:hanging="360"/>
        <w:rPr>
          <w:sz w:val="24"/>
          <w:szCs w:val="24"/>
        </w:rPr>
      </w:pPr>
      <w:r>
        <w:rPr>
          <w:sz w:val="24"/>
          <w:szCs w:val="24"/>
        </w:rPr>
        <w:tab/>
      </w:r>
      <w:r w:rsidRPr="00617923">
        <w:rPr>
          <w:sz w:val="24"/>
          <w:szCs w:val="24"/>
        </w:rPr>
        <w:t>The collection of information will not be recorded on any HUD form. As such, it is not necessary to display the assigned OMB number and expiration date.</w:t>
      </w:r>
    </w:p>
    <w:p w:rsidR="00617923" w:rsidP="00E36C9E" w14:paraId="52CD8319" w14:textId="77777777">
      <w:pPr>
        <w:widowControl w:val="0"/>
        <w:tabs>
          <w:tab w:val="left" w:pos="360"/>
        </w:tabs>
        <w:ind w:left="360" w:hanging="360"/>
        <w:rPr>
          <w:sz w:val="24"/>
          <w:szCs w:val="24"/>
        </w:rPr>
      </w:pPr>
    </w:p>
    <w:p w:rsidR="009E13B1" w:rsidP="00E36C9E" w14:paraId="507CF194" w14:textId="70961020">
      <w:pPr>
        <w:widowControl w:val="0"/>
        <w:tabs>
          <w:tab w:val="left" w:pos="360"/>
        </w:tabs>
        <w:ind w:left="360" w:hanging="360"/>
        <w:rPr>
          <w:sz w:val="24"/>
          <w:szCs w:val="24"/>
        </w:rPr>
      </w:pPr>
      <w:r w:rsidRPr="006C7FAE">
        <w:rPr>
          <w:sz w:val="24"/>
          <w:szCs w:val="24"/>
        </w:rPr>
        <w:t>18.</w:t>
      </w:r>
      <w:r w:rsidRPr="006C7FAE">
        <w:rPr>
          <w:sz w:val="24"/>
          <w:szCs w:val="24"/>
        </w:rPr>
        <w:tab/>
      </w:r>
      <w:r w:rsidRPr="007361A0">
        <w:rPr>
          <w:b/>
          <w:bCs/>
          <w:sz w:val="24"/>
          <w:szCs w:val="24"/>
        </w:rPr>
        <w:t>Explain each exception to the certification statement.</w:t>
      </w:r>
    </w:p>
    <w:p w:rsidR="00AB5FFA" w:rsidP="00E36C9E" w14:paraId="4783F883" w14:textId="77777777">
      <w:pPr>
        <w:widowControl w:val="0"/>
        <w:tabs>
          <w:tab w:val="left" w:pos="360"/>
        </w:tabs>
        <w:ind w:left="360" w:hanging="360"/>
        <w:rPr>
          <w:sz w:val="24"/>
          <w:szCs w:val="24"/>
        </w:rPr>
      </w:pPr>
      <w:r>
        <w:rPr>
          <w:sz w:val="24"/>
          <w:szCs w:val="24"/>
        </w:rPr>
        <w:tab/>
      </w:r>
    </w:p>
    <w:p w:rsidR="00C17F8A" w:rsidRPr="006C7FAE" w:rsidP="00E36C9E" w14:paraId="2BF52407" w14:textId="4DEFB257">
      <w:pPr>
        <w:widowControl w:val="0"/>
        <w:tabs>
          <w:tab w:val="left" w:pos="360"/>
        </w:tabs>
        <w:ind w:left="360" w:hanging="360"/>
        <w:rPr>
          <w:sz w:val="24"/>
          <w:szCs w:val="24"/>
        </w:rPr>
      </w:pPr>
      <w:r>
        <w:rPr>
          <w:sz w:val="24"/>
          <w:szCs w:val="24"/>
        </w:rPr>
        <w:tab/>
      </w:r>
      <w:r w:rsidRPr="00C17F8A">
        <w:rPr>
          <w:sz w:val="24"/>
          <w:szCs w:val="24"/>
        </w:rPr>
        <w:t>There are no exception to the certification statement.</w:t>
      </w:r>
    </w:p>
    <w:sectPr w:rsidSect="00441005">
      <w:headerReference w:type="default" r:id="rId8"/>
      <w:pgSz w:w="12240" w:h="15840"/>
      <w:pgMar w:top="1440" w:right="1440" w:bottom="1440" w:left="900" w:header="480" w:footer="480" w:gutter="0"/>
      <w:cols w:space="480" w:equalWidth="0">
        <w:col w:w="10080" w:space="0"/>
      </w:cols>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27810371"/>
      <w:docPartObj>
        <w:docPartGallery w:val="Page Numbers (Top of Page)"/>
        <w:docPartUnique/>
      </w:docPartObj>
    </w:sdtPr>
    <w:sdtEndPr>
      <w:rPr>
        <w:noProof/>
        <w:sz w:val="24"/>
        <w:szCs w:val="24"/>
      </w:rPr>
    </w:sdtEndPr>
    <w:sdtContent>
      <w:p w:rsidR="00441005" w:rsidP="00441005" w14:paraId="4CF0F2F1" w14:textId="77777777">
        <w:pPr>
          <w:pStyle w:val="Header"/>
          <w:jc w:val="right"/>
        </w:pPr>
      </w:p>
      <w:p w:rsidR="009E13B1" w:rsidRPr="00441005" w:rsidP="00441005" w14:paraId="7AC63777" w14:textId="78721DDF">
        <w:pPr>
          <w:pStyle w:val="Header"/>
          <w:jc w:val="right"/>
          <w:rPr>
            <w:sz w:val="24"/>
            <w:szCs w:val="24"/>
          </w:rPr>
        </w:pPr>
        <w:r w:rsidRPr="00441005">
          <w:rPr>
            <w:sz w:val="24"/>
            <w:szCs w:val="24"/>
          </w:rPr>
          <w:fldChar w:fldCharType="begin"/>
        </w:r>
        <w:r w:rsidRPr="00441005">
          <w:rPr>
            <w:sz w:val="24"/>
            <w:szCs w:val="24"/>
          </w:rPr>
          <w:instrText xml:space="preserve"> PAGE   \* MERGEFORMAT </w:instrText>
        </w:r>
        <w:r w:rsidRPr="00441005">
          <w:rPr>
            <w:sz w:val="24"/>
            <w:szCs w:val="24"/>
          </w:rPr>
          <w:fldChar w:fldCharType="separate"/>
        </w:r>
        <w:r w:rsidRPr="00441005">
          <w:rPr>
            <w:noProof/>
            <w:sz w:val="24"/>
            <w:szCs w:val="24"/>
          </w:rPr>
          <w:t>2</w:t>
        </w:r>
        <w:r w:rsidRPr="00441005">
          <w:rPr>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0E0B7D28"/>
    <w:multiLevelType w:val="singleLevel"/>
    <w:tmpl w:val="1B20EFFC"/>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22C63940"/>
    <w:multiLevelType w:val="singleLevel"/>
    <w:tmpl w:val="1B20EFFC"/>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5">
    <w:nsid w:val="29943B7A"/>
    <w:multiLevelType w:val="hybridMultilevel"/>
    <w:tmpl w:val="CC8249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2E400578"/>
    <w:multiLevelType w:val="hybridMultilevel"/>
    <w:tmpl w:val="4E8A60BE"/>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3B7248CD"/>
    <w:multiLevelType w:val="singleLevel"/>
    <w:tmpl w:val="389C343E"/>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8">
    <w:nsid w:val="409858BB"/>
    <w:multiLevelType w:val="singleLevel"/>
    <w:tmpl w:val="A8C62C48"/>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9">
    <w:nsid w:val="4B206095"/>
    <w:multiLevelType w:val="singleLevel"/>
    <w:tmpl w:val="2FA6477C"/>
    <w:lvl w:ilvl="0">
      <w:start w:val="7"/>
      <w:numFmt w:val="decimal"/>
      <w:lvlText w:val="%1. "/>
      <w:legacy w:legacy="1" w:legacySpace="0" w:legacyIndent="360"/>
      <w:lvlJc w:val="left"/>
      <w:pPr>
        <w:ind w:left="360" w:hanging="360"/>
      </w:pPr>
      <w:rPr>
        <w:rFonts w:ascii="Times New Roman" w:hAnsi="Times New Roman" w:hint="default"/>
        <w:b w:val="0"/>
        <w:i w:val="0"/>
        <w:sz w:val="24"/>
        <w:szCs w:val="24"/>
        <w:u w:val="none"/>
      </w:rPr>
    </w:lvl>
  </w:abstractNum>
  <w:abstractNum w:abstractNumId="10">
    <w:nsid w:val="5A220FD8"/>
    <w:multiLevelType w:val="singleLevel"/>
    <w:tmpl w:val="003EAA3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1">
    <w:nsid w:val="6657548A"/>
    <w:multiLevelType w:val="hybridMultilevel"/>
    <w:tmpl w:val="17686B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3">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4">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16cid:durableId="743601999">
    <w:abstractNumId w:val="4"/>
  </w:num>
  <w:num w:numId="2" w16cid:durableId="1939675396">
    <w:abstractNumId w:val="2"/>
  </w:num>
  <w:num w:numId="3" w16cid:durableId="1587377701">
    <w:abstractNumId w:val="10"/>
  </w:num>
  <w:num w:numId="4" w16cid:durableId="887451858">
    <w:abstractNumId w:val="7"/>
  </w:num>
  <w:num w:numId="5" w16cid:durableId="1830825219">
    <w:abstractNumId w:val="8"/>
  </w:num>
  <w:num w:numId="6" w16cid:durableId="2036811765">
    <w:abstractNumId w:val="8"/>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16cid:durableId="1017346939">
    <w:abstractNumId w:val="3"/>
  </w:num>
  <w:num w:numId="8" w16cid:durableId="1708868018">
    <w:abstractNumId w:val="14"/>
  </w:num>
  <w:num w:numId="9" w16cid:durableId="36247648">
    <w:abstractNumId w:val="1"/>
  </w:num>
  <w:num w:numId="10" w16cid:durableId="1269002932">
    <w:abstractNumId w:val="13"/>
  </w:num>
  <w:num w:numId="11" w16cid:durableId="804929379">
    <w:abstractNumId w:val="12"/>
  </w:num>
  <w:num w:numId="12" w16cid:durableId="1778601022">
    <w:abstractNumId w:val="12"/>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3" w16cid:durableId="962225968">
    <w:abstractNumId w:val="9"/>
  </w:num>
  <w:num w:numId="14" w16cid:durableId="1774594277">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 w:numId="15" w16cid:durableId="1979063706">
    <w:abstractNumId w:val="11"/>
  </w:num>
  <w:num w:numId="16" w16cid:durableId="286816205">
    <w:abstractNumId w:val="6"/>
  </w:num>
  <w:num w:numId="17" w16cid:durableId="18904094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40"/>
    <w:rsid w:val="000078EC"/>
    <w:rsid w:val="00011105"/>
    <w:rsid w:val="00023BD9"/>
    <w:rsid w:val="000331D1"/>
    <w:rsid w:val="00040988"/>
    <w:rsid w:val="000421BD"/>
    <w:rsid w:val="00046594"/>
    <w:rsid w:val="000515DF"/>
    <w:rsid w:val="000529DB"/>
    <w:rsid w:val="000573FD"/>
    <w:rsid w:val="00057C81"/>
    <w:rsid w:val="000657F1"/>
    <w:rsid w:val="0007170C"/>
    <w:rsid w:val="00076563"/>
    <w:rsid w:val="00085554"/>
    <w:rsid w:val="0009246C"/>
    <w:rsid w:val="000A1639"/>
    <w:rsid w:val="000A1F53"/>
    <w:rsid w:val="000A2F1F"/>
    <w:rsid w:val="000A72B3"/>
    <w:rsid w:val="000B2B15"/>
    <w:rsid w:val="000B355F"/>
    <w:rsid w:val="000C117C"/>
    <w:rsid w:val="000C38FD"/>
    <w:rsid w:val="000D2BFC"/>
    <w:rsid w:val="000D5079"/>
    <w:rsid w:val="000E00A8"/>
    <w:rsid w:val="000E2A89"/>
    <w:rsid w:val="000E2E30"/>
    <w:rsid w:val="000F55EB"/>
    <w:rsid w:val="00127BA5"/>
    <w:rsid w:val="001424A9"/>
    <w:rsid w:val="001428F2"/>
    <w:rsid w:val="00142DE5"/>
    <w:rsid w:val="00143EB3"/>
    <w:rsid w:val="00152D4F"/>
    <w:rsid w:val="0016178C"/>
    <w:rsid w:val="00164107"/>
    <w:rsid w:val="00167E53"/>
    <w:rsid w:val="00177E17"/>
    <w:rsid w:val="00181D77"/>
    <w:rsid w:val="00187EE6"/>
    <w:rsid w:val="00190100"/>
    <w:rsid w:val="001A002C"/>
    <w:rsid w:val="001B25C5"/>
    <w:rsid w:val="001B2D7A"/>
    <w:rsid w:val="001C0532"/>
    <w:rsid w:val="001C4053"/>
    <w:rsid w:val="001C5858"/>
    <w:rsid w:val="001D0532"/>
    <w:rsid w:val="001D0755"/>
    <w:rsid w:val="001F222B"/>
    <w:rsid w:val="001F549E"/>
    <w:rsid w:val="00201237"/>
    <w:rsid w:val="002032BA"/>
    <w:rsid w:val="00211848"/>
    <w:rsid w:val="00222AEA"/>
    <w:rsid w:val="0022618D"/>
    <w:rsid w:val="0023256B"/>
    <w:rsid w:val="00235A3F"/>
    <w:rsid w:val="00240816"/>
    <w:rsid w:val="0024132A"/>
    <w:rsid w:val="00243D46"/>
    <w:rsid w:val="00262425"/>
    <w:rsid w:val="002629B5"/>
    <w:rsid w:val="002631DC"/>
    <w:rsid w:val="00273FD5"/>
    <w:rsid w:val="0028513A"/>
    <w:rsid w:val="00286087"/>
    <w:rsid w:val="00287064"/>
    <w:rsid w:val="0029309A"/>
    <w:rsid w:val="002932A2"/>
    <w:rsid w:val="0029761B"/>
    <w:rsid w:val="002A017E"/>
    <w:rsid w:val="002A444A"/>
    <w:rsid w:val="002B120C"/>
    <w:rsid w:val="002B7C03"/>
    <w:rsid w:val="002B7C06"/>
    <w:rsid w:val="002C5BA8"/>
    <w:rsid w:val="002D71EB"/>
    <w:rsid w:val="002E298B"/>
    <w:rsid w:val="002E4325"/>
    <w:rsid w:val="002F071A"/>
    <w:rsid w:val="002F3878"/>
    <w:rsid w:val="002F529F"/>
    <w:rsid w:val="002F6CE8"/>
    <w:rsid w:val="003035C0"/>
    <w:rsid w:val="00311911"/>
    <w:rsid w:val="0031493E"/>
    <w:rsid w:val="00320A3A"/>
    <w:rsid w:val="003241A3"/>
    <w:rsid w:val="003256DD"/>
    <w:rsid w:val="00326ECE"/>
    <w:rsid w:val="00330990"/>
    <w:rsid w:val="003553C6"/>
    <w:rsid w:val="00356014"/>
    <w:rsid w:val="00360090"/>
    <w:rsid w:val="00362DC8"/>
    <w:rsid w:val="00364718"/>
    <w:rsid w:val="00366A61"/>
    <w:rsid w:val="003670F1"/>
    <w:rsid w:val="0037001D"/>
    <w:rsid w:val="00373692"/>
    <w:rsid w:val="00376471"/>
    <w:rsid w:val="003834C8"/>
    <w:rsid w:val="0039258C"/>
    <w:rsid w:val="00393E38"/>
    <w:rsid w:val="003A1011"/>
    <w:rsid w:val="003A1703"/>
    <w:rsid w:val="003A3280"/>
    <w:rsid w:val="003A609A"/>
    <w:rsid w:val="003A74FC"/>
    <w:rsid w:val="003B0938"/>
    <w:rsid w:val="003B4640"/>
    <w:rsid w:val="003B49B7"/>
    <w:rsid w:val="003B4D03"/>
    <w:rsid w:val="003B7C7D"/>
    <w:rsid w:val="003C0774"/>
    <w:rsid w:val="003C55DF"/>
    <w:rsid w:val="003C6312"/>
    <w:rsid w:val="003E3CF3"/>
    <w:rsid w:val="003E78DE"/>
    <w:rsid w:val="004011EE"/>
    <w:rsid w:val="00403562"/>
    <w:rsid w:val="00422B35"/>
    <w:rsid w:val="00423D61"/>
    <w:rsid w:val="0042459E"/>
    <w:rsid w:val="004365C7"/>
    <w:rsid w:val="00436BCD"/>
    <w:rsid w:val="00441005"/>
    <w:rsid w:val="0044335F"/>
    <w:rsid w:val="00444E70"/>
    <w:rsid w:val="00450591"/>
    <w:rsid w:val="00451401"/>
    <w:rsid w:val="00466C00"/>
    <w:rsid w:val="00480CCE"/>
    <w:rsid w:val="004811E8"/>
    <w:rsid w:val="0048289A"/>
    <w:rsid w:val="00482F1D"/>
    <w:rsid w:val="004929B8"/>
    <w:rsid w:val="00495618"/>
    <w:rsid w:val="004A0C3D"/>
    <w:rsid w:val="004A6ADB"/>
    <w:rsid w:val="004B0713"/>
    <w:rsid w:val="004C0FF9"/>
    <w:rsid w:val="004C679D"/>
    <w:rsid w:val="004D404D"/>
    <w:rsid w:val="004D685F"/>
    <w:rsid w:val="004D6EEC"/>
    <w:rsid w:val="004E2DD3"/>
    <w:rsid w:val="004F3744"/>
    <w:rsid w:val="004F3C78"/>
    <w:rsid w:val="004F7905"/>
    <w:rsid w:val="005118ED"/>
    <w:rsid w:val="0051215A"/>
    <w:rsid w:val="00517D70"/>
    <w:rsid w:val="005233C7"/>
    <w:rsid w:val="00524E1E"/>
    <w:rsid w:val="005320F2"/>
    <w:rsid w:val="00532200"/>
    <w:rsid w:val="00537487"/>
    <w:rsid w:val="00543B41"/>
    <w:rsid w:val="00550934"/>
    <w:rsid w:val="005553AE"/>
    <w:rsid w:val="00562414"/>
    <w:rsid w:val="00566DAD"/>
    <w:rsid w:val="0057258C"/>
    <w:rsid w:val="00575B0F"/>
    <w:rsid w:val="00576962"/>
    <w:rsid w:val="00580974"/>
    <w:rsid w:val="00583648"/>
    <w:rsid w:val="00583C57"/>
    <w:rsid w:val="00584348"/>
    <w:rsid w:val="005843FD"/>
    <w:rsid w:val="00586281"/>
    <w:rsid w:val="00587039"/>
    <w:rsid w:val="0058747D"/>
    <w:rsid w:val="005A6333"/>
    <w:rsid w:val="005A7E85"/>
    <w:rsid w:val="005C2149"/>
    <w:rsid w:val="005D1663"/>
    <w:rsid w:val="005D767D"/>
    <w:rsid w:val="005D7C9A"/>
    <w:rsid w:val="006000DB"/>
    <w:rsid w:val="006045FD"/>
    <w:rsid w:val="006069E4"/>
    <w:rsid w:val="0061401D"/>
    <w:rsid w:val="00617923"/>
    <w:rsid w:val="0063131F"/>
    <w:rsid w:val="00631C4A"/>
    <w:rsid w:val="0064385C"/>
    <w:rsid w:val="00650F57"/>
    <w:rsid w:val="00653143"/>
    <w:rsid w:val="00657C73"/>
    <w:rsid w:val="00660973"/>
    <w:rsid w:val="006674FB"/>
    <w:rsid w:val="00667760"/>
    <w:rsid w:val="00672E4C"/>
    <w:rsid w:val="006759BA"/>
    <w:rsid w:val="006765AE"/>
    <w:rsid w:val="006767FA"/>
    <w:rsid w:val="006769BD"/>
    <w:rsid w:val="0068037C"/>
    <w:rsid w:val="006853EE"/>
    <w:rsid w:val="006A158B"/>
    <w:rsid w:val="006A5C84"/>
    <w:rsid w:val="006B05CD"/>
    <w:rsid w:val="006B4EBF"/>
    <w:rsid w:val="006B5569"/>
    <w:rsid w:val="006B7674"/>
    <w:rsid w:val="006C4830"/>
    <w:rsid w:val="006C629F"/>
    <w:rsid w:val="006C7FAE"/>
    <w:rsid w:val="006D38C2"/>
    <w:rsid w:val="006D5354"/>
    <w:rsid w:val="006D7238"/>
    <w:rsid w:val="006E760F"/>
    <w:rsid w:val="006F0D67"/>
    <w:rsid w:val="006F3EAF"/>
    <w:rsid w:val="006F51C3"/>
    <w:rsid w:val="006F6C2C"/>
    <w:rsid w:val="00722370"/>
    <w:rsid w:val="0072326E"/>
    <w:rsid w:val="00735856"/>
    <w:rsid w:val="007361A0"/>
    <w:rsid w:val="00763C79"/>
    <w:rsid w:val="00773D7F"/>
    <w:rsid w:val="00777F9C"/>
    <w:rsid w:val="00787ED1"/>
    <w:rsid w:val="0079259A"/>
    <w:rsid w:val="007A7E73"/>
    <w:rsid w:val="007B3222"/>
    <w:rsid w:val="007B4A33"/>
    <w:rsid w:val="007B5293"/>
    <w:rsid w:val="007C3999"/>
    <w:rsid w:val="007D1865"/>
    <w:rsid w:val="007D3E0B"/>
    <w:rsid w:val="007D65A9"/>
    <w:rsid w:val="007D7561"/>
    <w:rsid w:val="007E35DA"/>
    <w:rsid w:val="007E50D7"/>
    <w:rsid w:val="007E7C06"/>
    <w:rsid w:val="007F422F"/>
    <w:rsid w:val="00801229"/>
    <w:rsid w:val="008043B9"/>
    <w:rsid w:val="00825126"/>
    <w:rsid w:val="0083102E"/>
    <w:rsid w:val="008314BA"/>
    <w:rsid w:val="008332AD"/>
    <w:rsid w:val="0083629F"/>
    <w:rsid w:val="008423BD"/>
    <w:rsid w:val="00856119"/>
    <w:rsid w:val="00856B83"/>
    <w:rsid w:val="008650A4"/>
    <w:rsid w:val="00867BA0"/>
    <w:rsid w:val="00873054"/>
    <w:rsid w:val="00882172"/>
    <w:rsid w:val="00884C64"/>
    <w:rsid w:val="008859FE"/>
    <w:rsid w:val="00885C1F"/>
    <w:rsid w:val="00887B89"/>
    <w:rsid w:val="008941D7"/>
    <w:rsid w:val="008A2F44"/>
    <w:rsid w:val="008A453B"/>
    <w:rsid w:val="008A7175"/>
    <w:rsid w:val="008B11F0"/>
    <w:rsid w:val="008B76F8"/>
    <w:rsid w:val="008C0768"/>
    <w:rsid w:val="008C2ACE"/>
    <w:rsid w:val="008D3B8F"/>
    <w:rsid w:val="008D4EB4"/>
    <w:rsid w:val="008E0A84"/>
    <w:rsid w:val="008E7807"/>
    <w:rsid w:val="008F0179"/>
    <w:rsid w:val="008F298D"/>
    <w:rsid w:val="009070B2"/>
    <w:rsid w:val="00911CB4"/>
    <w:rsid w:val="009167DB"/>
    <w:rsid w:val="00924B35"/>
    <w:rsid w:val="00926C73"/>
    <w:rsid w:val="00940B82"/>
    <w:rsid w:val="00952318"/>
    <w:rsid w:val="009658BD"/>
    <w:rsid w:val="009722BD"/>
    <w:rsid w:val="0099046D"/>
    <w:rsid w:val="009A14EB"/>
    <w:rsid w:val="009A19FC"/>
    <w:rsid w:val="009B0AA2"/>
    <w:rsid w:val="009B4EDE"/>
    <w:rsid w:val="009C1398"/>
    <w:rsid w:val="009C16FC"/>
    <w:rsid w:val="009C360D"/>
    <w:rsid w:val="009C4A80"/>
    <w:rsid w:val="009D147C"/>
    <w:rsid w:val="009D4FD7"/>
    <w:rsid w:val="009D54E4"/>
    <w:rsid w:val="009D5542"/>
    <w:rsid w:val="009E0C3E"/>
    <w:rsid w:val="009E13B1"/>
    <w:rsid w:val="009E5213"/>
    <w:rsid w:val="009E6E8F"/>
    <w:rsid w:val="009F35CA"/>
    <w:rsid w:val="009F5D95"/>
    <w:rsid w:val="00A11E76"/>
    <w:rsid w:val="00A15C64"/>
    <w:rsid w:val="00A16FA9"/>
    <w:rsid w:val="00A215F7"/>
    <w:rsid w:val="00A312DA"/>
    <w:rsid w:val="00A4046B"/>
    <w:rsid w:val="00A42D4A"/>
    <w:rsid w:val="00A47D8E"/>
    <w:rsid w:val="00A508D2"/>
    <w:rsid w:val="00A50A2F"/>
    <w:rsid w:val="00A552B6"/>
    <w:rsid w:val="00A60860"/>
    <w:rsid w:val="00A65F9E"/>
    <w:rsid w:val="00A676A8"/>
    <w:rsid w:val="00A703B4"/>
    <w:rsid w:val="00A76C15"/>
    <w:rsid w:val="00A7767A"/>
    <w:rsid w:val="00A77682"/>
    <w:rsid w:val="00A83E46"/>
    <w:rsid w:val="00A94C01"/>
    <w:rsid w:val="00AA47A2"/>
    <w:rsid w:val="00AA54FA"/>
    <w:rsid w:val="00AA614D"/>
    <w:rsid w:val="00AB034C"/>
    <w:rsid w:val="00AB5FFA"/>
    <w:rsid w:val="00AC5CA5"/>
    <w:rsid w:val="00AD2154"/>
    <w:rsid w:val="00AD56CD"/>
    <w:rsid w:val="00AE08F1"/>
    <w:rsid w:val="00AE292B"/>
    <w:rsid w:val="00AE2CBB"/>
    <w:rsid w:val="00AF155F"/>
    <w:rsid w:val="00AF1F8E"/>
    <w:rsid w:val="00AF5DE7"/>
    <w:rsid w:val="00B01940"/>
    <w:rsid w:val="00B026EC"/>
    <w:rsid w:val="00B03398"/>
    <w:rsid w:val="00B04BA6"/>
    <w:rsid w:val="00B06229"/>
    <w:rsid w:val="00B06C7F"/>
    <w:rsid w:val="00B11358"/>
    <w:rsid w:val="00B23A3A"/>
    <w:rsid w:val="00B36479"/>
    <w:rsid w:val="00B41489"/>
    <w:rsid w:val="00B50033"/>
    <w:rsid w:val="00B5085B"/>
    <w:rsid w:val="00B54C1F"/>
    <w:rsid w:val="00B613D8"/>
    <w:rsid w:val="00B64C1E"/>
    <w:rsid w:val="00B671F0"/>
    <w:rsid w:val="00B71058"/>
    <w:rsid w:val="00B76B39"/>
    <w:rsid w:val="00B80A8F"/>
    <w:rsid w:val="00B82D41"/>
    <w:rsid w:val="00B83613"/>
    <w:rsid w:val="00B83BC4"/>
    <w:rsid w:val="00B93B05"/>
    <w:rsid w:val="00B94401"/>
    <w:rsid w:val="00BA24E2"/>
    <w:rsid w:val="00BB2518"/>
    <w:rsid w:val="00BB3865"/>
    <w:rsid w:val="00BC0217"/>
    <w:rsid w:val="00BC10AF"/>
    <w:rsid w:val="00BC40A5"/>
    <w:rsid w:val="00BC4A2F"/>
    <w:rsid w:val="00BC50C0"/>
    <w:rsid w:val="00BD7D82"/>
    <w:rsid w:val="00BE06CE"/>
    <w:rsid w:val="00BE59E1"/>
    <w:rsid w:val="00BF1178"/>
    <w:rsid w:val="00BF5645"/>
    <w:rsid w:val="00C06B8A"/>
    <w:rsid w:val="00C17F8A"/>
    <w:rsid w:val="00C21A69"/>
    <w:rsid w:val="00C24072"/>
    <w:rsid w:val="00C255E0"/>
    <w:rsid w:val="00C27B6D"/>
    <w:rsid w:val="00C324D6"/>
    <w:rsid w:val="00C36CB2"/>
    <w:rsid w:val="00C54453"/>
    <w:rsid w:val="00C62C84"/>
    <w:rsid w:val="00C64669"/>
    <w:rsid w:val="00C676C6"/>
    <w:rsid w:val="00C70D40"/>
    <w:rsid w:val="00C76136"/>
    <w:rsid w:val="00C96186"/>
    <w:rsid w:val="00C9627C"/>
    <w:rsid w:val="00CA06CC"/>
    <w:rsid w:val="00CA0BB3"/>
    <w:rsid w:val="00CA40E5"/>
    <w:rsid w:val="00CC0941"/>
    <w:rsid w:val="00CC3389"/>
    <w:rsid w:val="00CC3D40"/>
    <w:rsid w:val="00CE1567"/>
    <w:rsid w:val="00CE1695"/>
    <w:rsid w:val="00CE5029"/>
    <w:rsid w:val="00CE7A93"/>
    <w:rsid w:val="00CF13A3"/>
    <w:rsid w:val="00CF4319"/>
    <w:rsid w:val="00CF5DFF"/>
    <w:rsid w:val="00D0267B"/>
    <w:rsid w:val="00D039FD"/>
    <w:rsid w:val="00D12FD4"/>
    <w:rsid w:val="00D154C0"/>
    <w:rsid w:val="00D2127C"/>
    <w:rsid w:val="00D21519"/>
    <w:rsid w:val="00D30F2F"/>
    <w:rsid w:val="00D31EAC"/>
    <w:rsid w:val="00D32A83"/>
    <w:rsid w:val="00D41AC8"/>
    <w:rsid w:val="00D44E46"/>
    <w:rsid w:val="00D509E4"/>
    <w:rsid w:val="00D54E85"/>
    <w:rsid w:val="00D571E1"/>
    <w:rsid w:val="00D651AA"/>
    <w:rsid w:val="00D717DB"/>
    <w:rsid w:val="00D730D0"/>
    <w:rsid w:val="00D74136"/>
    <w:rsid w:val="00D76CA8"/>
    <w:rsid w:val="00D770AC"/>
    <w:rsid w:val="00D81406"/>
    <w:rsid w:val="00D921F9"/>
    <w:rsid w:val="00D9303A"/>
    <w:rsid w:val="00DA0D32"/>
    <w:rsid w:val="00DA56F4"/>
    <w:rsid w:val="00DA73D8"/>
    <w:rsid w:val="00DB3A18"/>
    <w:rsid w:val="00DD0B5E"/>
    <w:rsid w:val="00DD1062"/>
    <w:rsid w:val="00DD3286"/>
    <w:rsid w:val="00DD4DDC"/>
    <w:rsid w:val="00DD5E67"/>
    <w:rsid w:val="00DD6E23"/>
    <w:rsid w:val="00DF4153"/>
    <w:rsid w:val="00E00D88"/>
    <w:rsid w:val="00E01140"/>
    <w:rsid w:val="00E11287"/>
    <w:rsid w:val="00E11C0C"/>
    <w:rsid w:val="00E15FC6"/>
    <w:rsid w:val="00E179BD"/>
    <w:rsid w:val="00E305EF"/>
    <w:rsid w:val="00E36C9E"/>
    <w:rsid w:val="00E42E39"/>
    <w:rsid w:val="00E46DCE"/>
    <w:rsid w:val="00E55926"/>
    <w:rsid w:val="00E61BDF"/>
    <w:rsid w:val="00E6277D"/>
    <w:rsid w:val="00E63941"/>
    <w:rsid w:val="00E80999"/>
    <w:rsid w:val="00E80EDE"/>
    <w:rsid w:val="00E865E0"/>
    <w:rsid w:val="00E86AB4"/>
    <w:rsid w:val="00E90A38"/>
    <w:rsid w:val="00E90C6A"/>
    <w:rsid w:val="00E90E8A"/>
    <w:rsid w:val="00E90FDF"/>
    <w:rsid w:val="00E9328F"/>
    <w:rsid w:val="00EA2B2E"/>
    <w:rsid w:val="00EA4A29"/>
    <w:rsid w:val="00EA6AC0"/>
    <w:rsid w:val="00EB4D4B"/>
    <w:rsid w:val="00EB6939"/>
    <w:rsid w:val="00EC03E0"/>
    <w:rsid w:val="00EC4E4B"/>
    <w:rsid w:val="00EC536D"/>
    <w:rsid w:val="00ED72BE"/>
    <w:rsid w:val="00EE02BF"/>
    <w:rsid w:val="00EE51F6"/>
    <w:rsid w:val="00EE5C6F"/>
    <w:rsid w:val="00EF4F35"/>
    <w:rsid w:val="00F017E3"/>
    <w:rsid w:val="00F035D5"/>
    <w:rsid w:val="00F04231"/>
    <w:rsid w:val="00F04583"/>
    <w:rsid w:val="00F131B4"/>
    <w:rsid w:val="00F14205"/>
    <w:rsid w:val="00F21CDF"/>
    <w:rsid w:val="00F253BB"/>
    <w:rsid w:val="00F274A6"/>
    <w:rsid w:val="00F27C8F"/>
    <w:rsid w:val="00F30A24"/>
    <w:rsid w:val="00F346E1"/>
    <w:rsid w:val="00F44B4C"/>
    <w:rsid w:val="00F454F7"/>
    <w:rsid w:val="00F5145B"/>
    <w:rsid w:val="00F5657C"/>
    <w:rsid w:val="00F60666"/>
    <w:rsid w:val="00F65B1D"/>
    <w:rsid w:val="00F7209C"/>
    <w:rsid w:val="00F73E5D"/>
    <w:rsid w:val="00F77B7A"/>
    <w:rsid w:val="00F81B7D"/>
    <w:rsid w:val="00F8523F"/>
    <w:rsid w:val="00F875DA"/>
    <w:rsid w:val="00F93741"/>
    <w:rsid w:val="00F93F0B"/>
    <w:rsid w:val="00FA3B5F"/>
    <w:rsid w:val="00FA4678"/>
    <w:rsid w:val="00FA7AFC"/>
    <w:rsid w:val="00FB713B"/>
    <w:rsid w:val="00FC02C3"/>
    <w:rsid w:val="00FC0EC4"/>
    <w:rsid w:val="00FC10CF"/>
    <w:rsid w:val="00FC7FC5"/>
    <w:rsid w:val="00FD62ED"/>
    <w:rsid w:val="00FE3E65"/>
    <w:rsid w:val="00FF0214"/>
    <w:rsid w:val="00FF12A2"/>
    <w:rsid w:val="08A8886D"/>
    <w:rsid w:val="1BC09B46"/>
    <w:rsid w:val="3213D060"/>
    <w:rsid w:val="33F031B9"/>
    <w:rsid w:val="4512636F"/>
    <w:rsid w:val="5492DF68"/>
    <w:rsid w:val="5AF3B317"/>
    <w:rsid w:val="5B1327F8"/>
    <w:rsid w:val="68CC4AE1"/>
    <w:rsid w:val="6B06DBF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D20CF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6C7FAE"/>
    <w:rPr>
      <w:rFonts w:ascii="Segoe UI" w:hAnsi="Segoe UI" w:cs="Segoe UI"/>
      <w:sz w:val="18"/>
      <w:szCs w:val="18"/>
    </w:rPr>
  </w:style>
  <w:style w:type="character" w:customStyle="1" w:styleId="BalloonTextChar">
    <w:name w:val="Balloon Text Char"/>
    <w:link w:val="BalloonText"/>
    <w:uiPriority w:val="99"/>
    <w:semiHidden/>
    <w:rsid w:val="006C7FAE"/>
    <w:rPr>
      <w:rFonts w:ascii="Segoe UI" w:hAnsi="Segoe UI" w:cs="Segoe UI"/>
      <w:sz w:val="18"/>
      <w:szCs w:val="18"/>
    </w:rPr>
  </w:style>
  <w:style w:type="paragraph" w:styleId="ListParagraph">
    <w:name w:val="List Paragraph"/>
    <w:basedOn w:val="Normal"/>
    <w:uiPriority w:val="34"/>
    <w:qFormat/>
    <w:rsid w:val="00A65F9E"/>
    <w:pPr>
      <w:ind w:left="720"/>
    </w:pPr>
  </w:style>
  <w:style w:type="paragraph" w:styleId="NoSpacing">
    <w:name w:val="No Spacing"/>
    <w:uiPriority w:val="1"/>
    <w:qFormat/>
    <w:rsid w:val="000B2B15"/>
    <w:pPr>
      <w:overflowPunct w:val="0"/>
      <w:autoSpaceDE w:val="0"/>
      <w:autoSpaceDN w:val="0"/>
      <w:adjustRightInd w:val="0"/>
      <w:textAlignment w:val="baseline"/>
    </w:pPr>
  </w:style>
  <w:style w:type="character" w:styleId="Hyperlink">
    <w:name w:val="Hyperlink"/>
    <w:basedOn w:val="DefaultParagraphFont"/>
    <w:uiPriority w:val="99"/>
    <w:unhideWhenUsed/>
    <w:rsid w:val="00E46DCE"/>
    <w:rPr>
      <w:color w:val="467886" w:themeColor="hyperlink"/>
      <w:u w:val="single"/>
    </w:rPr>
  </w:style>
  <w:style w:type="character" w:styleId="UnresolvedMention">
    <w:name w:val="Unresolved Mention"/>
    <w:basedOn w:val="DefaultParagraphFont"/>
    <w:uiPriority w:val="99"/>
    <w:semiHidden/>
    <w:unhideWhenUsed/>
    <w:rsid w:val="00E46DCE"/>
    <w:rPr>
      <w:color w:val="605E5C"/>
      <w:shd w:val="clear" w:color="auto" w:fill="E1DFDD"/>
    </w:rPr>
  </w:style>
  <w:style w:type="character" w:styleId="CommentReference">
    <w:name w:val="annotation reference"/>
    <w:basedOn w:val="DefaultParagraphFont"/>
    <w:uiPriority w:val="99"/>
    <w:semiHidden/>
    <w:unhideWhenUsed/>
    <w:rsid w:val="000421BD"/>
    <w:rPr>
      <w:sz w:val="16"/>
      <w:szCs w:val="16"/>
    </w:rPr>
  </w:style>
  <w:style w:type="paragraph" w:styleId="CommentText">
    <w:name w:val="annotation text"/>
    <w:basedOn w:val="Normal"/>
    <w:link w:val="CommentTextChar"/>
    <w:uiPriority w:val="99"/>
    <w:unhideWhenUsed/>
    <w:rsid w:val="000421BD"/>
  </w:style>
  <w:style w:type="character" w:customStyle="1" w:styleId="CommentTextChar">
    <w:name w:val="Comment Text Char"/>
    <w:basedOn w:val="DefaultParagraphFont"/>
    <w:link w:val="CommentText"/>
    <w:uiPriority w:val="99"/>
    <w:rsid w:val="000421BD"/>
  </w:style>
  <w:style w:type="paragraph" w:styleId="CommentSubject">
    <w:name w:val="annotation subject"/>
    <w:basedOn w:val="CommentText"/>
    <w:next w:val="CommentText"/>
    <w:link w:val="CommentSubjectChar"/>
    <w:uiPriority w:val="99"/>
    <w:semiHidden/>
    <w:unhideWhenUsed/>
    <w:rsid w:val="000421BD"/>
    <w:rPr>
      <w:b/>
      <w:bCs/>
    </w:rPr>
  </w:style>
  <w:style w:type="character" w:customStyle="1" w:styleId="CommentSubjectChar">
    <w:name w:val="Comment Subject Char"/>
    <w:basedOn w:val="CommentTextChar"/>
    <w:link w:val="CommentSubject"/>
    <w:uiPriority w:val="99"/>
    <w:semiHidden/>
    <w:rsid w:val="000421BD"/>
    <w:rPr>
      <w:b/>
      <w:bCs/>
    </w:rPr>
  </w:style>
  <w:style w:type="paragraph" w:styleId="Revision">
    <w:name w:val="Revision"/>
    <w:hidden/>
    <w:uiPriority w:val="99"/>
    <w:semiHidden/>
    <w:rsid w:val="003B4640"/>
  </w:style>
  <w:style w:type="character" w:customStyle="1" w:styleId="HeaderChar">
    <w:name w:val="Header Char"/>
    <w:basedOn w:val="DefaultParagraphFont"/>
    <w:link w:val="Header"/>
    <w:uiPriority w:val="99"/>
    <w:rsid w:val="00441005"/>
  </w:style>
  <w:style w:type="character" w:styleId="FollowedHyperlink">
    <w:name w:val="FollowedHyperlink"/>
    <w:basedOn w:val="DefaultParagraphFont"/>
    <w:uiPriority w:val="99"/>
    <w:semiHidden/>
    <w:unhideWhenUsed/>
    <w:rsid w:val="0080122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7f5aa1-1025-4c0b-9294-5f1fb97aa2fc">
      <Terms xmlns="http://schemas.microsoft.com/office/infopath/2007/PartnerControls"/>
    </lcf76f155ced4ddcb4097134ff3c332f>
    <TaxCatchAll xmlns="49abe566-ee47-4bc8-88ec-357f3bfe4a3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021DA34629C9E4FB313965FF4153471" ma:contentTypeVersion="15" ma:contentTypeDescription="Create a new document." ma:contentTypeScope="" ma:versionID="563ddf0bd48e3571673e52bcfb6a6a87">
  <xsd:schema xmlns:xsd="http://www.w3.org/2001/XMLSchema" xmlns:xs="http://www.w3.org/2001/XMLSchema" xmlns:p="http://schemas.microsoft.com/office/2006/metadata/properties" xmlns:ns2="9c7f5aa1-1025-4c0b-9294-5f1fb97aa2fc" xmlns:ns3="49abe566-ee47-4bc8-88ec-357f3bfe4a3f" targetNamespace="http://schemas.microsoft.com/office/2006/metadata/properties" ma:root="true" ma:fieldsID="75e4c9f5b565849ff024fbe1b5927f73" ns2:_="" ns3:_="">
    <xsd:import namespace="9c7f5aa1-1025-4c0b-9294-5f1fb97aa2fc"/>
    <xsd:import namespace="49abe566-ee47-4bc8-88ec-357f3bfe4a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f5aa1-1025-4c0b-9294-5f1fb97aa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abe566-ee47-4bc8-88ec-357f3bfe4a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7421023-3180-4f4c-a377-d230c5bf626c}" ma:internalName="TaxCatchAll" ma:showField="CatchAllData" ma:web="49abe566-ee47-4bc8-88ec-357f3bfe4a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CFD62C-EFD5-4381-ADC8-FEF57294A97F}">
  <ds:schemaRefs>
    <ds:schemaRef ds:uri="http://schemas.microsoft.com/office/2006/metadata/properties"/>
    <ds:schemaRef ds:uri="http://schemas.microsoft.com/office/infopath/2007/PartnerControls"/>
    <ds:schemaRef ds:uri="9c7f5aa1-1025-4c0b-9294-5f1fb97aa2fc"/>
    <ds:schemaRef ds:uri="49abe566-ee47-4bc8-88ec-357f3bfe4a3f"/>
  </ds:schemaRefs>
</ds:datastoreItem>
</file>

<file path=customXml/itemProps2.xml><?xml version="1.0" encoding="utf-8"?>
<ds:datastoreItem xmlns:ds="http://schemas.openxmlformats.org/officeDocument/2006/customXml" ds:itemID="{4D3A08EC-CC06-402F-B2DB-F86D22D1BB53}">
  <ds:schemaRefs>
    <ds:schemaRef ds:uri="http://schemas.openxmlformats.org/officeDocument/2006/bibliography"/>
  </ds:schemaRefs>
</ds:datastoreItem>
</file>

<file path=customXml/itemProps3.xml><?xml version="1.0" encoding="utf-8"?>
<ds:datastoreItem xmlns:ds="http://schemas.openxmlformats.org/officeDocument/2006/customXml" ds:itemID="{F72F4981-CB42-4DED-9F73-3984D73DE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7f5aa1-1025-4c0b-9294-5f1fb97aa2fc"/>
    <ds:schemaRef ds:uri="49abe566-ee47-4bc8-88ec-357f3bfe4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0343D3-A379-4259-ACAB-BD013D9AEF81}">
  <ds:schemaRefs>
    <ds:schemaRef ds:uri="http://schemas.microsoft.com/sharepoint/v3/contenttype/forms"/>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3034</Words>
  <Characters>17295</Characters>
  <Application>Microsoft Office Word</Application>
  <DocSecurity>2</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2026-08-26T12:24:00Z</dcterms:created>
  <dcterms:modified xsi:type="dcterms:W3CDTF">2026-08-26T12:24:00Z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0x0101009021DA34629C9E4FB313965FF4153471</vt:lpwstr>
  </property>
  <property fmtid="{D5CDD505-2E9C-101B-9397-08002B2CF9AE}" pid="3" name="MediaServiceImageTags">
    <vt:lpwstr/>
  </property>
  <property fmtid="{D5CDD505-2E9C-101B-9397-08002B2CF9AE}" pid="4" name="_dlc_DocIdItemGuid">
    <vt:lpwstr>b9d9ee01-eb96-4a89-bd29-eab47f0166fd</vt:lpwstr>
  </property>
</Properties>
</file>