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27C94" w:rsidRPr="00915869" w:rsidP="00527C94" w14:paraId="5375DB53" w14:textId="77777777">
      <w:pPr>
        <w:jc w:val="center"/>
        <w:rPr>
          <w:b/>
          <w:bCs/>
        </w:rPr>
      </w:pPr>
      <w:r w:rsidRPr="315E2978">
        <w:rPr>
          <w:b/>
          <w:bCs/>
        </w:rPr>
        <w:t>Corporation for National and Community Service (AmeriCorps)</w:t>
      </w:r>
    </w:p>
    <w:p w:rsidR="00527C94" w:rsidRPr="009227B0" w:rsidP="00527C94" w14:paraId="6B6BDF48" w14:textId="2BDEF5AA">
      <w:pPr>
        <w:widowControl w:val="0"/>
        <w:jc w:val="center"/>
        <w:rPr>
          <w:b/>
          <w:bCs/>
        </w:rPr>
      </w:pPr>
      <w:r>
        <w:rPr>
          <w:b/>
          <w:bCs/>
        </w:rPr>
        <w:t>Voucher and Payment Request Form</w:t>
      </w:r>
    </w:p>
    <w:p w:rsidR="00527C94" w:rsidRPr="009227B0" w:rsidP="00527C94" w14:paraId="2461CF15" w14:textId="1BF46BD6">
      <w:pPr>
        <w:widowControl w:val="0"/>
        <w:jc w:val="center"/>
      </w:pPr>
      <w:r w:rsidRPr="487FE017">
        <w:rPr>
          <w:b/>
          <w:bCs/>
        </w:rPr>
        <w:t>OMB</w:t>
      </w:r>
      <w:r w:rsidRPr="487FE017">
        <w:rPr>
          <w:b/>
        </w:rPr>
        <w:t xml:space="preserve"> Control Number 3045-0</w:t>
      </w:r>
      <w:r>
        <w:rPr>
          <w:b/>
        </w:rPr>
        <w:t>014</w:t>
      </w:r>
    </w:p>
    <w:p w:rsidR="00527C94" w:rsidRPr="00436E5C" w:rsidP="00527C94" w14:paraId="57523145" w14:textId="77777777">
      <w:pPr>
        <w:widowControl w:val="0"/>
        <w:jc w:val="center"/>
        <w:rPr>
          <w:szCs w:val="22"/>
        </w:rPr>
      </w:pPr>
      <w:r w:rsidRPr="009227B0">
        <w:rPr>
          <w:szCs w:val="22"/>
        </w:rPr>
        <w:t>Justification – Part A Supporting Statement</w:t>
      </w:r>
    </w:p>
    <w:p w:rsidR="000576E9" w:rsidRPr="00EA37E6" w:rsidP="001C4327" w14:paraId="52CA84DB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="00F1200D" w:rsidRPr="003C4BFC" w:rsidP="00F1200D" w14:paraId="34555E20" w14:textId="77777777">
      <w:pPr>
        <w:widowControl w:val="0"/>
      </w:pPr>
      <w:r w:rsidRPr="003C4BFC">
        <w:rPr>
          <w:u w:val="single"/>
        </w:rPr>
        <w:t>Overview of Information Collection:</w:t>
      </w:r>
    </w:p>
    <w:p w:rsidR="00F1200D" w:rsidP="00500DE3" w14:paraId="26EEFB0B" w14:textId="77777777">
      <w:pPr>
        <w:keepNext/>
        <w:outlineLvl w:val="0"/>
        <w:rPr>
          <w:kern w:val="36"/>
        </w:rPr>
      </w:pPr>
    </w:p>
    <w:p w:rsidR="000513D6" w:rsidP="00500DE3" w14:paraId="420C636B" w14:textId="4D2AC488">
      <w:pPr>
        <w:keepNext/>
        <w:outlineLvl w:val="0"/>
        <w:rPr>
          <w:kern w:val="36"/>
        </w:rPr>
      </w:pPr>
      <w:r>
        <w:rPr>
          <w:kern w:val="36"/>
        </w:rPr>
        <w:t>This is a request for approval of a renewal of an existing collection</w:t>
      </w:r>
      <w:r w:rsidR="00F1200D">
        <w:rPr>
          <w:kern w:val="36"/>
        </w:rPr>
        <w:t xml:space="preserve">, which includes a form for </w:t>
      </w:r>
      <w:r w:rsidR="00664871">
        <w:rPr>
          <w:kern w:val="36"/>
        </w:rPr>
        <w:t>individuals who have earned an education award to seek disbursement of the education award funds and allow schools and lenders to ver</w:t>
      </w:r>
      <w:r w:rsidR="00660961">
        <w:rPr>
          <w:kern w:val="36"/>
        </w:rPr>
        <w:t>ify eligibility for the payments</w:t>
      </w:r>
      <w:r>
        <w:rPr>
          <w:kern w:val="36"/>
        </w:rPr>
        <w:t xml:space="preserve">. </w:t>
      </w:r>
      <w:r w:rsidR="001A44B4">
        <w:rPr>
          <w:kern w:val="36"/>
        </w:rPr>
        <w:t xml:space="preserve">There are no changes to the form. </w:t>
      </w:r>
    </w:p>
    <w:p w:rsidR="00500DE3" w:rsidRPr="00787270" w:rsidP="00A54952" w14:paraId="4867C4F8" w14:textId="77777777">
      <w:pPr>
        <w:keepNext/>
        <w:ind w:left="540" w:hanging="540"/>
        <w:outlineLvl w:val="0"/>
        <w:rPr>
          <w:kern w:val="36"/>
        </w:rPr>
      </w:pPr>
    </w:p>
    <w:p w:rsidR="00616380" w:rsidP="00616380" w14:paraId="453373B5" w14:textId="77777777">
      <w:pPr>
        <w:pStyle w:val="ListParagraph"/>
        <w:widowControl w:val="0"/>
        <w:tabs>
          <w:tab w:val="left" w:pos="360"/>
          <w:tab w:val="left" w:pos="630"/>
          <w:tab w:val="left" w:pos="720"/>
          <w:tab w:val="left" w:pos="820"/>
          <w:tab w:val="left" w:pos="821"/>
          <w:tab w:val="left" w:pos="1080"/>
        </w:tabs>
        <w:overflowPunct/>
        <w:adjustRightInd/>
        <w:ind w:left="0" w:right="195"/>
        <w:textAlignment w:val="auto"/>
      </w:pPr>
      <w:r>
        <w:rPr>
          <w:rFonts w:ascii="Times New Roman" w:hAnsi="Times New Roman"/>
          <w:b/>
          <w:bCs/>
          <w:u w:val="single"/>
        </w:rPr>
        <w:t xml:space="preserve">1. </w:t>
      </w:r>
      <w:r w:rsidRPr="002A2D3A">
        <w:rPr>
          <w:rFonts w:ascii="Times New Roman" w:hAnsi="Times New Roman"/>
          <w:b/>
          <w:bCs/>
          <w:u w:val="single"/>
        </w:rPr>
        <w:t>Need &amp; Method for the Information Collection.</w:t>
      </w:r>
      <w:r w:rsidRPr="00983197">
        <w:rPr>
          <w:rFonts w:ascii="Times New Roman" w:hAnsi="Times New Roman"/>
          <w:u w:val="single"/>
        </w:rPr>
        <w:t xml:space="preserve"> </w:t>
      </w:r>
    </w:p>
    <w:p w:rsidR="00395ED5" w:rsidP="00A54952" w14:paraId="1A5F3FAC" w14:textId="77777777">
      <w:pPr>
        <w:ind w:firstLine="720"/>
        <w:rPr>
          <w:bCs/>
          <w:kern w:val="36"/>
        </w:rPr>
      </w:pPr>
    </w:p>
    <w:p w:rsidR="00783B2E" w:rsidRPr="001B1A4B" w:rsidP="00783B2E" w14:paraId="531A76BC" w14:textId="00974FF5">
      <w:pPr>
        <w:ind w:firstLine="720"/>
        <w:rPr>
          <w:rFonts w:ascii="Arial Narrow" w:hAnsi="Arial Narrow"/>
        </w:rPr>
      </w:pPr>
      <w:r w:rsidRPr="001C4327">
        <w:rPr>
          <w:bCs/>
          <w:kern w:val="36"/>
        </w:rPr>
        <w:t xml:space="preserve">The </w:t>
      </w:r>
      <w:r w:rsidR="003C764E">
        <w:rPr>
          <w:bCs/>
          <w:kern w:val="36"/>
        </w:rPr>
        <w:t xml:space="preserve">National and Community Service Act of 1990, as amended, </w:t>
      </w:r>
      <w:r w:rsidR="00830578">
        <w:rPr>
          <w:bCs/>
          <w:kern w:val="36"/>
        </w:rPr>
        <w:t xml:space="preserve">42 U.S.C. </w:t>
      </w:r>
      <w:r w:rsidR="002847BD">
        <w:rPr>
          <w:bCs/>
          <w:kern w:val="36"/>
        </w:rPr>
        <w:t xml:space="preserve">12501 </w:t>
      </w:r>
      <w:r w:rsidR="002847BD">
        <w:rPr>
          <w:bCs/>
          <w:i/>
          <w:iCs/>
          <w:kern w:val="36"/>
        </w:rPr>
        <w:t xml:space="preserve">et seq., </w:t>
      </w:r>
      <w:r w:rsidR="000C1F89">
        <w:rPr>
          <w:bCs/>
          <w:kern w:val="36"/>
        </w:rPr>
        <w:t xml:space="preserve">provides a national service education award </w:t>
      </w:r>
      <w:r w:rsidR="00AD13B4">
        <w:rPr>
          <w:bCs/>
          <w:kern w:val="36"/>
        </w:rPr>
        <w:t xml:space="preserve">(the </w:t>
      </w:r>
      <w:r w:rsidRPr="00637793" w:rsidR="00AD13B4">
        <w:t>Segal AmeriCorps Education Award</w:t>
      </w:r>
      <w:r w:rsidR="00AD13B4">
        <w:t xml:space="preserve">) </w:t>
      </w:r>
      <w:r w:rsidR="000C1F89">
        <w:rPr>
          <w:bCs/>
          <w:kern w:val="36"/>
        </w:rPr>
        <w:t>to</w:t>
      </w:r>
      <w:r w:rsidR="003C764E">
        <w:rPr>
          <w:bCs/>
          <w:kern w:val="36"/>
        </w:rPr>
        <w:t xml:space="preserve"> individuals who complete a term of service in an approved</w:t>
      </w:r>
      <w:r w:rsidR="007918B7">
        <w:t xml:space="preserve"> </w:t>
      </w:r>
      <w:r w:rsidR="003C764E">
        <w:t>national service position</w:t>
      </w:r>
      <w:r w:rsidR="00246CCA">
        <w:t xml:space="preserve">. </w:t>
      </w:r>
      <w:r w:rsidR="003C764E">
        <w:t>These education awards can be used to repay qualified student loans and to pay for the cost of attending qualified post-secondary educational institutions</w:t>
      </w:r>
      <w:r w:rsidR="00246CCA">
        <w:t xml:space="preserve">. </w:t>
      </w:r>
      <w:r w:rsidR="00F74158">
        <w:t>The form is used to collect information necessary for disbursing payments as detailed in 42 U</w:t>
      </w:r>
      <w:r w:rsidR="002847BD">
        <w:t>.</w:t>
      </w:r>
      <w:r w:rsidR="00F74158">
        <w:t>S</w:t>
      </w:r>
      <w:r w:rsidR="002847BD">
        <w:t>.</w:t>
      </w:r>
      <w:r w:rsidR="00F74158">
        <w:t>C</w:t>
      </w:r>
      <w:r w:rsidR="002847BD">
        <w:t>.</w:t>
      </w:r>
      <w:r w:rsidR="00F74158">
        <w:t xml:space="preserve"> §</w:t>
      </w:r>
      <w:r w:rsidR="002847BD">
        <w:t xml:space="preserve">§ </w:t>
      </w:r>
      <w:r w:rsidR="00F74158">
        <w:t>12602 through 12604</w:t>
      </w:r>
      <w:r w:rsidR="00246CCA">
        <w:t xml:space="preserve">. </w:t>
      </w:r>
    </w:p>
    <w:p w:rsidR="00A54952" w:rsidRPr="00BE0835" w:rsidP="00A54952" w14:paraId="3949EE8D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="00830578" w:rsidRPr="00AB0EC9" w:rsidP="00830578" w14:paraId="6FDB33E3" w14:textId="77777777">
      <w:pPr>
        <w:widowControl w:val="0"/>
        <w:tabs>
          <w:tab w:val="left" w:pos="360"/>
          <w:tab w:val="left" w:pos="630"/>
          <w:tab w:val="left" w:pos="720"/>
          <w:tab w:val="left" w:pos="1080"/>
        </w:tabs>
        <w:rPr>
          <w:u w:val="single"/>
        </w:rPr>
      </w:pPr>
      <w:r>
        <w:rPr>
          <w:b/>
          <w:bCs/>
          <w:u w:val="single"/>
        </w:rPr>
        <w:t xml:space="preserve">2. </w:t>
      </w:r>
      <w:r w:rsidRPr="00802114">
        <w:rPr>
          <w:b/>
          <w:bCs/>
          <w:u w:val="single"/>
        </w:rPr>
        <w:t>Use of the Information.</w:t>
      </w:r>
      <w:r w:rsidRPr="00390F87">
        <w:t xml:space="preserve"> </w:t>
      </w:r>
    </w:p>
    <w:p w:rsidR="00395ED5" w:rsidP="001C4327" w14:paraId="239F0229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P="00C06453" w14:paraId="26229478" w14:textId="45DFBD74">
      <w:pPr>
        <w:pStyle w:val="CommentText"/>
        <w:ind w:firstLine="720"/>
        <w:rPr>
          <w:sz w:val="24"/>
          <w:szCs w:val="24"/>
        </w:rPr>
      </w:pPr>
      <w:r w:rsidRPr="00637793">
        <w:rPr>
          <w:sz w:val="24"/>
          <w:szCs w:val="24"/>
        </w:rPr>
        <w:t xml:space="preserve">Individuals </w:t>
      </w:r>
      <w:r w:rsidR="00AD13B4">
        <w:rPr>
          <w:sz w:val="24"/>
          <w:szCs w:val="24"/>
        </w:rPr>
        <w:t xml:space="preserve">who have earned an education award and seek </w:t>
      </w:r>
      <w:r w:rsidR="006234D0">
        <w:rPr>
          <w:sz w:val="24"/>
          <w:szCs w:val="24"/>
        </w:rPr>
        <w:t>a disbursement</w:t>
      </w:r>
      <w:r w:rsidRPr="00637793">
        <w:rPr>
          <w:sz w:val="24"/>
          <w:szCs w:val="24"/>
        </w:rPr>
        <w:t xml:space="preserve"> </w:t>
      </w:r>
      <w:r w:rsidR="00094B51">
        <w:rPr>
          <w:sz w:val="24"/>
          <w:szCs w:val="24"/>
        </w:rPr>
        <w:t>use the form</w:t>
      </w:r>
      <w:r w:rsidR="00907A48">
        <w:rPr>
          <w:sz w:val="24"/>
          <w:szCs w:val="24"/>
        </w:rPr>
        <w:t>, or its electronic</w:t>
      </w:r>
      <w:r w:rsidR="00094B51">
        <w:rPr>
          <w:sz w:val="24"/>
          <w:szCs w:val="24"/>
        </w:rPr>
        <w:t xml:space="preserve"> </w:t>
      </w:r>
      <w:r w:rsidR="00907A48">
        <w:rPr>
          <w:sz w:val="24"/>
          <w:szCs w:val="24"/>
        </w:rPr>
        <w:t xml:space="preserve">equivalent, </w:t>
      </w:r>
      <w:r w:rsidR="00094B51">
        <w:rPr>
          <w:sz w:val="24"/>
          <w:szCs w:val="24"/>
        </w:rPr>
        <w:t>to authorize a payment from their education award account, schools and lenders verify eligibility</w:t>
      </w:r>
      <w:r w:rsidR="00907A48">
        <w:rPr>
          <w:sz w:val="24"/>
          <w:szCs w:val="24"/>
        </w:rPr>
        <w:t xml:space="preserve"> for the payments, and both parties verify certain legal requirements</w:t>
      </w:r>
      <w:r w:rsidR="00246CCA">
        <w:rPr>
          <w:sz w:val="24"/>
          <w:szCs w:val="24"/>
        </w:rPr>
        <w:t>.</w:t>
      </w:r>
      <w:r w:rsidR="004F229C">
        <w:rPr>
          <w:sz w:val="24"/>
          <w:szCs w:val="24"/>
        </w:rPr>
        <w:t xml:space="preserve"> This information does not require any learning costs, as it is readily available through members’ MyAmeriCorps portal and </w:t>
      </w:r>
      <w:r w:rsidR="008039EF">
        <w:rPr>
          <w:sz w:val="24"/>
          <w:szCs w:val="24"/>
        </w:rPr>
        <w:t xml:space="preserve">the schools and loan holders who fill out the second half of the form do so as a matter of usual business practice. </w:t>
      </w:r>
      <w:r w:rsidR="00771D77">
        <w:rPr>
          <w:sz w:val="24"/>
          <w:szCs w:val="24"/>
        </w:rPr>
        <w:t xml:space="preserve">Nor are there any psychological costs associated with this information collection. </w:t>
      </w:r>
    </w:p>
    <w:p w:rsidR="000576E9" w:rsidRPr="001C4327" w:rsidP="000576E9" w14:paraId="17A69491" w14:textId="77777777">
      <w:pPr>
        <w:rPr>
          <w:rFonts w:ascii="Arial Narrow" w:hAnsi="Arial Narrow"/>
        </w:rPr>
      </w:pPr>
      <w:r w:rsidRPr="001C4327">
        <w:t> </w:t>
      </w:r>
    </w:p>
    <w:p w:rsidR="000576E9" w:rsidRPr="00DD7023" w:rsidP="00DD7023" w14:paraId="6C9E3166" w14:textId="2D435B01">
      <w:pPr>
        <w:widowControl w:val="0"/>
        <w:tabs>
          <w:tab w:val="left" w:pos="360"/>
          <w:tab w:val="left" w:pos="720"/>
          <w:tab w:val="left" w:pos="1080"/>
        </w:tabs>
      </w:pPr>
      <w:r w:rsidRPr="001C4327">
        <w:t> </w:t>
      </w:r>
      <w:r w:rsidRPr="002C010F" w:rsidR="00DD7023">
        <w:rPr>
          <w:b/>
          <w:u w:val="single"/>
        </w:rPr>
        <w:t>3. Use of Information Technology.</w:t>
      </w:r>
      <w:r w:rsidRPr="002C010F" w:rsidR="00DD7023">
        <w:rPr>
          <w:bCs/>
          <w:u w:val="single"/>
        </w:rPr>
        <w:t xml:space="preserve"> </w:t>
      </w:r>
    </w:p>
    <w:p w:rsidR="00395ED5" w:rsidP="000576E9" w14:paraId="0BDA1523" w14:textId="77777777"/>
    <w:p w:rsidR="000576E9" w:rsidRPr="001C4327" w:rsidP="007918B7" w14:paraId="48699597" w14:textId="3D91489C">
      <w:pPr>
        <w:ind w:firstLine="720"/>
      </w:pPr>
      <w:r>
        <w:t xml:space="preserve">Currently, </w:t>
      </w:r>
      <w:r w:rsidR="009E2535">
        <w:t>approximately 100%</w:t>
      </w:r>
      <w:r>
        <w:t xml:space="preserve"> of the education award payments are requested and processed electronically</w:t>
      </w:r>
      <w:r w:rsidR="009E2535">
        <w:t xml:space="preserve"> in accordance with the Executive Order</w:t>
      </w:r>
      <w:r w:rsidR="00356EA3">
        <w:t xml:space="preserve"> 14247</w:t>
      </w:r>
      <w:r w:rsidR="009E2535">
        <w:t xml:space="preserve"> of March 25, 2025, Modernizing Payments To and From America’s Bank Account.</w:t>
      </w:r>
      <w:r w:rsidR="00EE454A">
        <w:t xml:space="preserve"> Very rarely, paper checks are issued because an </w:t>
      </w:r>
      <w:r w:rsidR="00D76F24">
        <w:t xml:space="preserve">exception listed in Section 4 of the Executive Order applies (e.g., </w:t>
      </w:r>
      <w:r w:rsidR="002E5EB2">
        <w:t>certain emergency payments where electronic disbursement would cause undue hardship).</w:t>
      </w:r>
      <w:r w:rsidR="00EE454A">
        <w:t xml:space="preserve"> </w:t>
      </w:r>
    </w:p>
    <w:p w:rsidR="009A0CC2" w:rsidRPr="001C4327" w:rsidP="000576E9" w14:paraId="159C8C56" w14:textId="77777777"/>
    <w:p w:rsidR="008818A7" w:rsidP="008818A7" w14:paraId="0ED07A75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rPr>
          <w:b/>
          <w:bCs/>
          <w:u w:val="single"/>
        </w:rPr>
        <w:t xml:space="preserve">4. </w:t>
      </w:r>
      <w:r w:rsidRPr="002C010F">
        <w:rPr>
          <w:b/>
          <w:u w:val="single"/>
        </w:rPr>
        <w:t>Non-duplication.</w:t>
      </w:r>
      <w:r w:rsidRPr="008F57CC">
        <w:t xml:space="preserve">  </w:t>
      </w:r>
    </w:p>
    <w:p w:rsidR="003E34C0" w:rsidP="00395ED5" w14:paraId="42286A0C" w14:textId="77777777">
      <w:pPr>
        <w:ind w:firstLine="720"/>
        <w:rPr>
          <w:bCs/>
        </w:rPr>
      </w:pPr>
    </w:p>
    <w:p w:rsidR="009A0CC2" w:rsidRPr="001C4327" w:rsidP="00395ED5" w14:paraId="23791C83" w14:textId="77777777">
      <w:pPr>
        <w:ind w:firstLine="720"/>
        <w:rPr>
          <w:rFonts w:ascii="Arial Narrow" w:hAnsi="Arial Narrow"/>
        </w:rPr>
      </w:pPr>
      <w:r>
        <w:rPr>
          <w:bCs/>
        </w:rPr>
        <w:t>This information is not being requested by any other means.</w:t>
      </w:r>
    </w:p>
    <w:p w:rsidR="000576E9" w:rsidRPr="001C4327" w:rsidP="000576E9" w14:paraId="7847925F" w14:textId="77777777">
      <w:pPr>
        <w:rPr>
          <w:rFonts w:ascii="Arial Narrow" w:hAnsi="Arial Narrow"/>
        </w:rPr>
      </w:pPr>
      <w:r w:rsidRPr="001C4327">
        <w:t> </w:t>
      </w:r>
    </w:p>
    <w:p w:rsidR="00542661" w:rsidP="00542661" w14:paraId="28B12896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rPr>
          <w:b/>
          <w:bCs/>
          <w:u w:val="single"/>
        </w:rPr>
        <w:t xml:space="preserve">5. </w:t>
      </w:r>
      <w:r w:rsidRPr="002C010F">
        <w:rPr>
          <w:b/>
          <w:bCs/>
          <w:u w:val="single"/>
        </w:rPr>
        <w:t>Burden on Small Business.</w:t>
      </w:r>
      <w:r>
        <w:rPr>
          <w:u w:val="single"/>
        </w:rPr>
        <w:t xml:space="preserve"> </w:t>
      </w:r>
    </w:p>
    <w:p w:rsidR="003E34C0" w:rsidP="00395ED5" w14:paraId="327AFD0A" w14:textId="77777777">
      <w:pPr>
        <w:ind w:firstLine="720"/>
      </w:pPr>
    </w:p>
    <w:p w:rsidR="000576E9" w:rsidRPr="001C4327" w:rsidP="00395ED5" w14:paraId="334A47B8" w14:textId="3B35DFE4">
      <w:pPr>
        <w:ind w:firstLine="720"/>
        <w:rPr>
          <w:rFonts w:ascii="Arial Narrow" w:hAnsi="Arial Narrow"/>
        </w:rPr>
      </w:pPr>
      <w:r>
        <w:t xml:space="preserve">This information collection does not impose any burden on small businesses. </w:t>
      </w:r>
      <w:r w:rsidR="00FE7A15">
        <w:t xml:space="preserve">Only </w:t>
      </w:r>
      <w:r w:rsidR="00542661">
        <w:t>i</w:t>
      </w:r>
      <w:r w:rsidR="00637793">
        <w:t>ndividuals using a</w:t>
      </w:r>
      <w:r w:rsidR="00542661">
        <w:t>n education award</w:t>
      </w:r>
      <w:r w:rsidR="00637793">
        <w:t xml:space="preserve"> </w:t>
      </w:r>
      <w:r w:rsidR="00FE7A15">
        <w:t>and their schools or student loan holders fill out this form</w:t>
      </w:r>
      <w:r w:rsidR="00CE797A">
        <w:t xml:space="preserve"> or its electronic version</w:t>
      </w:r>
      <w:r w:rsidR="00246CCA">
        <w:t xml:space="preserve">. </w:t>
      </w:r>
      <w:r w:rsidR="00FE7A15">
        <w:t xml:space="preserve">The form requests only the most pertinent information not available to the </w:t>
      </w:r>
      <w:r w:rsidR="00C71F48">
        <w:t xml:space="preserve">National Service </w:t>
      </w:r>
      <w:r w:rsidR="00FE7A15">
        <w:t>Trust elsewhere</w:t>
      </w:r>
      <w:r w:rsidR="00246CCA">
        <w:t xml:space="preserve">. </w:t>
      </w:r>
      <w:r w:rsidR="00FE7A15">
        <w:t>Schools and loan holders complete the forms in order to receive payments.</w:t>
      </w:r>
    </w:p>
    <w:p w:rsidR="000576E9" w:rsidRPr="001C4327" w:rsidP="000576E9" w14:paraId="43AE2493" w14:textId="77777777">
      <w:pPr>
        <w:rPr>
          <w:b/>
          <w:bCs/>
        </w:rPr>
      </w:pPr>
    </w:p>
    <w:p w:rsidR="007E4596" w:rsidRPr="00BB5AB7" w:rsidP="007E4596" w14:paraId="4681512A" w14:textId="77777777">
      <w:pPr>
        <w:widowControl w:val="0"/>
        <w:tabs>
          <w:tab w:val="left" w:pos="360"/>
          <w:tab w:val="left" w:pos="720"/>
          <w:tab w:val="left" w:pos="1080"/>
        </w:tabs>
        <w:rPr>
          <w:u w:val="single"/>
        </w:rPr>
      </w:pPr>
      <w:r w:rsidRPr="00FB3305">
        <w:rPr>
          <w:b/>
          <w:bCs/>
          <w:u w:val="single"/>
        </w:rPr>
        <w:t>6. Less Frequent Collection.</w:t>
      </w:r>
      <w:r w:rsidRPr="00FB3305">
        <w:rPr>
          <w:u w:val="single"/>
        </w:rPr>
        <w:t xml:space="preserve"> </w:t>
      </w:r>
    </w:p>
    <w:p w:rsidR="003E34C0" w:rsidP="00395ED5" w14:paraId="3727FE28" w14:textId="77777777">
      <w:pPr>
        <w:ind w:firstLine="720"/>
      </w:pPr>
      <w:r w:rsidRPr="001C4327">
        <w:t> </w:t>
      </w:r>
    </w:p>
    <w:p w:rsidR="009A0CC2" w:rsidRPr="001C4327" w:rsidP="00395ED5" w14:paraId="144E2651" w14:textId="76FFE2BD">
      <w:pPr>
        <w:ind w:firstLine="720"/>
      </w:pPr>
      <w:r>
        <w:t>If this data were not collected</w:t>
      </w:r>
      <w:r w:rsidR="007E4596">
        <w:t>, AmeriCorps wo</w:t>
      </w:r>
      <w:r>
        <w:t>uld</w:t>
      </w:r>
      <w:r w:rsidR="007E4596">
        <w:t xml:space="preserve"> have no way of knowing </w:t>
      </w:r>
      <w:r>
        <w:t>how or where to disburse payments, nor how to assess a request’s eligibility</w:t>
      </w:r>
      <w:r w:rsidR="000C1F89">
        <w:t xml:space="preserve"> under the National and Community Service Act of 1990, as amended</w:t>
      </w:r>
      <w:r>
        <w:t>.</w:t>
      </w:r>
    </w:p>
    <w:p w:rsidR="000576E9" w:rsidRPr="001C4327" w:rsidP="000576E9" w14:paraId="1520A67A" w14:textId="77777777">
      <w:pPr>
        <w:ind w:left="540" w:hanging="630"/>
        <w:rPr>
          <w:b/>
          <w:bCs/>
        </w:rPr>
      </w:pPr>
    </w:p>
    <w:p w:rsidR="009B36A4" w:rsidP="009B36A4" w14:paraId="2CF4BE81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773F8E">
        <w:rPr>
          <w:b/>
          <w:u w:val="single"/>
        </w:rPr>
        <w:t>7. Paperwork Reduction Act Guidelines.</w:t>
      </w:r>
      <w:r>
        <w:rPr>
          <w:u w:val="single"/>
        </w:rPr>
        <w:t xml:space="preserve"> </w:t>
      </w:r>
    </w:p>
    <w:p w:rsidR="00D74ADD" w:rsidP="00395ED5" w14:paraId="1D5440F4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="000576E9" w:rsidRPr="001C4327" w:rsidP="00395ED5" w14:paraId="444C805F" w14:textId="77777777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Pr="001C4327" w:rsidR="00E178E3">
        <w:rPr>
          <w:bCs/>
        </w:rPr>
        <w:t xml:space="preserve">ion of information in any other </w:t>
      </w:r>
      <w:r w:rsidRPr="001C4327">
        <w:rPr>
          <w:bCs/>
        </w:rPr>
        <w:t>ways specified.</w:t>
      </w:r>
    </w:p>
    <w:p w:rsidR="000576E9" w:rsidRPr="001C4327" w:rsidP="00E178E3" w14:paraId="45E58B09" w14:textId="77777777">
      <w:pPr>
        <w:ind w:left="360"/>
        <w:outlineLvl w:val="0"/>
        <w:rPr>
          <w:rFonts w:ascii="Arial Narrow" w:hAnsi="Arial Narrow"/>
        </w:rPr>
      </w:pPr>
    </w:p>
    <w:p w:rsidR="000449E7" w:rsidP="000449E7" w14:paraId="022B3EE8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right="183"/>
      </w:pPr>
      <w:r w:rsidRPr="00773F8E">
        <w:rPr>
          <w:b/>
          <w:bCs/>
          <w:u w:val="single"/>
        </w:rPr>
        <w:t xml:space="preserve">8. </w:t>
      </w:r>
      <w:r w:rsidRPr="00773F8E">
        <w:rPr>
          <w:b/>
          <w:u w:val="single"/>
        </w:rPr>
        <w:t>Consultation and Public Comments</w:t>
      </w:r>
      <w:r w:rsidRPr="008F1CB1">
        <w:rPr>
          <w:u w:val="single"/>
        </w:rPr>
        <w:t xml:space="preserve">.  </w:t>
      </w:r>
    </w:p>
    <w:p w:rsidR="00D74ADD" w:rsidP="004163D5" w14:paraId="1AB5960D" w14:textId="77777777"/>
    <w:p w:rsidR="00973B2A" w:rsidP="00624199" w14:paraId="4F9C8F78" w14:textId="11786C2B">
      <w:pPr>
        <w:ind w:firstLine="720"/>
      </w:pPr>
      <w:r w:rsidRPr="001C4327">
        <w:t>The</w:t>
      </w:r>
      <w:r w:rsidR="004163D5">
        <w:t xml:space="preserve"> </w:t>
      </w:r>
      <w:r w:rsidR="000449E7">
        <w:t>60-day notice</w:t>
      </w:r>
      <w:r w:rsidRPr="004163D5" w:rsidR="007844D8">
        <w:rPr>
          <w:i/>
        </w:rPr>
        <w:t xml:space="preserve"> </w:t>
      </w:r>
      <w:r w:rsidRPr="001C4327" w:rsidR="007844D8">
        <w:t xml:space="preserve">soliciting comments was </w:t>
      </w:r>
      <w:r w:rsidRPr="001C4327">
        <w:t>published</w:t>
      </w:r>
      <w:r w:rsidRPr="001C4327" w:rsidR="007844D8">
        <w:t xml:space="preserve"> on </w:t>
      </w:r>
      <w:r w:rsidR="00C04CB3">
        <w:t>January 15, 2026</w:t>
      </w:r>
      <w:r w:rsidR="000449E7">
        <w:t xml:space="preserve"> at </w:t>
      </w:r>
      <w:r w:rsidR="00C04CB3">
        <w:t xml:space="preserve">91 Fed. Reg. </w:t>
      </w:r>
      <w:r w:rsidR="006C44D4">
        <w:t>1758</w:t>
      </w:r>
      <w:r w:rsidR="009A401F">
        <w:t>.</w:t>
      </w:r>
      <w:r w:rsidR="000243B5">
        <w:t xml:space="preserve"> AmeriCorps</w:t>
      </w:r>
      <w:r w:rsidR="00246CCA">
        <w:t xml:space="preserve"> </w:t>
      </w:r>
      <w:r w:rsidR="00CE797A">
        <w:t>received</w:t>
      </w:r>
      <w:r w:rsidR="006E2A04">
        <w:t xml:space="preserve"> </w:t>
      </w:r>
      <w:r w:rsidR="0028262C">
        <w:t xml:space="preserve">one </w:t>
      </w:r>
      <w:r w:rsidR="00246CCA">
        <w:t>comment</w:t>
      </w:r>
      <w:r w:rsidR="009B122F">
        <w:t xml:space="preserve"> on </w:t>
      </w:r>
      <w:r>
        <w:t>several aspects of the information collection, summarized here:</w:t>
      </w:r>
      <w:r w:rsidR="00CE797A">
        <w:t>.</w:t>
      </w:r>
    </w:p>
    <w:p w:rsidR="00530847" w:rsidP="00385218" w14:paraId="02BD6DB1" w14:textId="77777777">
      <w:pPr>
        <w:pStyle w:val="ListParagraph"/>
        <w:numPr>
          <w:ilvl w:val="0"/>
          <w:numId w:val="6"/>
        </w:numPr>
      </w:pPr>
      <w:r>
        <w:t xml:space="preserve">I. </w:t>
      </w:r>
      <w:r w:rsidR="00F8179A">
        <w:t xml:space="preserve">Burden Hours: </w:t>
      </w:r>
    </w:p>
    <w:p w:rsidR="00505CF2" w:rsidP="009163AA" w14:paraId="67B93A69" w14:textId="37EE1F60">
      <w:pPr>
        <w:pStyle w:val="ListParagraph"/>
      </w:pPr>
      <w:r>
        <w:t xml:space="preserve">Voucher </w:t>
      </w:r>
      <w:r w:rsidR="0049430A">
        <w:t xml:space="preserve">payment form: </w:t>
      </w:r>
      <w:r>
        <w:t>Increase the</w:t>
      </w:r>
      <w:r w:rsidR="00385218">
        <w:t xml:space="preserve"> 5-minute estimate</w:t>
      </w:r>
      <w:r>
        <w:t xml:space="preserve"> to 10-20 minutes or 15-25 minutes for first time users because the 5-minute estimate</w:t>
      </w:r>
      <w:r w:rsidR="00385218">
        <w:t xml:space="preserve"> assumes the member already knows their loan servicer information, award account balance, and eligible </w:t>
      </w:r>
      <w:r w:rsidR="00B11892">
        <w:t>institution details</w:t>
      </w:r>
      <w:r>
        <w:t xml:space="preserve">. </w:t>
      </w:r>
    </w:p>
    <w:p w:rsidR="00C067AF" w:rsidP="00C067AF" w14:paraId="74989D10" w14:textId="76307440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E77151">
        <w:t>No adjustment is being made to the burden hour estimates in response to this comment because t</w:t>
      </w:r>
      <w:r>
        <w:t>his information collection does not require the member to know their loan servicer information, award account balance, or eligible institution details</w:t>
      </w:r>
      <w:r w:rsidR="00AF0FE9">
        <w:t xml:space="preserve">. An individual’s burden for knowing they have a loan and who the loan servicer is </w:t>
      </w:r>
      <w:r w:rsidR="00E14B23">
        <w:t xml:space="preserve">a burden they would have </w:t>
      </w:r>
      <w:r w:rsidR="00CE5DD7">
        <w:t xml:space="preserve">regardless of whether this information collection were conducted. </w:t>
      </w:r>
      <w:r>
        <w:t xml:space="preserve">The member merely has to request disbursement of the educational expenses via the MyAmeriCorps portal, where they have already input their </w:t>
      </w:r>
      <w:r w:rsidR="0032142F">
        <w:t>loan servicer</w:t>
      </w:r>
      <w:r>
        <w:t xml:space="preserve">. This form is filled in by the </w:t>
      </w:r>
      <w:r w:rsidR="00AD3A29">
        <w:t>loan servicer</w:t>
      </w:r>
      <w:r>
        <w:t xml:space="preserve">, who will readily have the information requested available as a matter of business. </w:t>
      </w:r>
    </w:p>
    <w:p w:rsidR="00C067AF" w:rsidP="00761F14" w14:paraId="5C403824" w14:textId="77777777"/>
    <w:p w:rsidR="00F8179A" w:rsidP="00F8179A" w14:paraId="3F297660" w14:textId="53DA654B">
      <w:pPr>
        <w:pStyle w:val="ListParagraph"/>
        <w:numPr>
          <w:ilvl w:val="0"/>
          <w:numId w:val="6"/>
        </w:numPr>
      </w:pPr>
      <w:r>
        <w:t xml:space="preserve">II. </w:t>
      </w:r>
      <w:r>
        <w:t xml:space="preserve">Lifecycle Burden: </w:t>
      </w:r>
      <w:r w:rsidR="00313666">
        <w:t xml:space="preserve">Members using the </w:t>
      </w:r>
      <w:r w:rsidR="009F1306">
        <w:t xml:space="preserve">forbearance or </w:t>
      </w:r>
      <w:r w:rsidR="00313666">
        <w:t>voucher form</w:t>
      </w:r>
      <w:r w:rsidR="009F1306">
        <w:t>s</w:t>
      </w:r>
      <w:r w:rsidR="00313666">
        <w:t xml:space="preserve"> for multiple loan servicers or multiple semesters submit multiple </w:t>
      </w:r>
      <w:r w:rsidR="009F1306">
        <w:t xml:space="preserve">forbearance and </w:t>
      </w:r>
      <w:r w:rsidR="00313666">
        <w:t>voucher forms within a single award period</w:t>
      </w:r>
      <w:r w:rsidR="002F361A">
        <w:t xml:space="preserve">. AmeriCorps must produce per-member annual burden estimates accounting for multiple form submissions per service term, disaggregate </w:t>
      </w:r>
      <w:r w:rsidR="00DB5EFE">
        <w:t>first time versus repeat user burden and disclose error and resubmission rates.</w:t>
      </w:r>
    </w:p>
    <w:p w:rsidR="00DB5EFE" w:rsidP="00DB5EFE" w14:paraId="629FAAD8" w14:textId="0C93058B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65540D">
        <w:t xml:space="preserve">The burden estimate is an estimate of one annual submission per member because while some members submit multiple times a year other members submit only once every few years. </w:t>
      </w:r>
      <w:r w:rsidR="008B371D">
        <w:t>The per-member burden estimate i</w:t>
      </w:r>
      <w:r w:rsidR="004C665C">
        <w:t xml:space="preserve">s </w:t>
      </w:r>
      <w:r w:rsidR="004C665C">
        <w:rPr>
          <w:i/>
          <w:iCs/>
        </w:rPr>
        <w:t xml:space="preserve">de minimis </w:t>
      </w:r>
      <w:r w:rsidR="004C665C">
        <w:t>as explained above</w:t>
      </w:r>
      <w:r w:rsidR="002F5A1A">
        <w:t xml:space="preserve">, regardless of whether the member is a first time or repeat user. </w:t>
      </w:r>
      <w:r w:rsidR="00E65C9D">
        <w:t xml:space="preserve">AmeriCorps does not track error and resubmission rates. </w:t>
      </w:r>
    </w:p>
    <w:p w:rsidR="00BE13A7" w:rsidP="009926E0" w14:paraId="502231D4" w14:textId="77777777">
      <w:pPr>
        <w:pStyle w:val="ListParagraph"/>
        <w:ind w:left="1080"/>
      </w:pPr>
    </w:p>
    <w:p w:rsidR="007D70C2" w:rsidP="007D70C2" w14:paraId="224B0E3F" w14:textId="6D6155C0">
      <w:pPr>
        <w:pStyle w:val="ListParagraph"/>
        <w:numPr>
          <w:ilvl w:val="0"/>
          <w:numId w:val="6"/>
        </w:numPr>
      </w:pPr>
      <w:r>
        <w:t xml:space="preserve">III. </w:t>
      </w:r>
      <w:r w:rsidR="0001260C">
        <w:t>Methodology Flaws: AmeriCorps does not disclose whether the burden estimate is based on member time-tracking, usability studies, or pilot testing</w:t>
      </w:r>
      <w:r w:rsidR="00624913">
        <w:t>. Given that many AmeriCorps should conduct a structured usability stud</w:t>
      </w:r>
      <w:r w:rsidR="008C4A11">
        <w:t>y</w:t>
      </w:r>
      <w:r w:rsidR="00624913">
        <w:t xml:space="preserve"> with representative members</w:t>
      </w:r>
      <w:r w:rsidR="00E252AD">
        <w:t xml:space="preserve"> of demographic diversity.</w:t>
      </w:r>
      <w:r w:rsidR="00B009F4">
        <w:t xml:space="preserve"> Member demographic diversity creates a wide variance not captured in single average estimates. </w:t>
      </w:r>
    </w:p>
    <w:p w:rsidR="00E252AD" w:rsidP="00E252AD" w14:paraId="1551488B" w14:textId="441675AD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>
        <w:t xml:space="preserve">AmeriCorps has </w:t>
      </w:r>
      <w:r w:rsidR="00450305">
        <w:t>calculated and refined its estimates over years of public consultation and outreach to members</w:t>
      </w:r>
      <w:r w:rsidR="00B009F4">
        <w:t xml:space="preserve">. </w:t>
      </w:r>
      <w:r w:rsidR="001B1BD0">
        <w:t>The estimated average is intended to captur</w:t>
      </w:r>
      <w:r w:rsidR="0065647F">
        <w:t xml:space="preserve">e the variations that necessarily occur in respondents’ </w:t>
      </w:r>
      <w:r w:rsidR="0072041A">
        <w:t xml:space="preserve">experiences responding to this information collection. </w:t>
      </w:r>
    </w:p>
    <w:p w:rsidR="00BE13A7" w:rsidP="009926E0" w14:paraId="1AEE97A0" w14:textId="77777777">
      <w:pPr>
        <w:pStyle w:val="ListParagraph"/>
        <w:ind w:left="1080"/>
      </w:pPr>
    </w:p>
    <w:p w:rsidR="0072041A" w:rsidP="0072041A" w14:paraId="007CE281" w14:textId="6CC90AD4">
      <w:pPr>
        <w:pStyle w:val="ListParagraph"/>
        <w:numPr>
          <w:ilvl w:val="0"/>
          <w:numId w:val="6"/>
        </w:numPr>
      </w:pPr>
      <w:r>
        <w:t xml:space="preserve">IV. </w:t>
      </w:r>
      <w:r>
        <w:t>Cost Reality – Member Financial Costs Excluded</w:t>
      </w:r>
      <w:r w:rsidR="0044707E">
        <w:t xml:space="preserve">: Members submitting the voucher form for student loan payments must obtain documentation from loan servicers that may charge administrative fees for </w:t>
      </w:r>
      <w:r w:rsidR="00B5697B">
        <w:t xml:space="preserve">documentation requests. For members at rural service sites with limited internet access, digital form submission may require travel to connectivity resources. </w:t>
      </w:r>
    </w:p>
    <w:p w:rsidR="000B4054" w:rsidP="005631AE" w14:paraId="50BF3F70" w14:textId="77777777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>
        <w:t>The members do not have to obtain documentation from their loan servicers themselves, as the MyAmeriCorps Portal</w:t>
      </w:r>
      <w:r w:rsidR="0043361A">
        <w:t xml:space="preserve"> directs that portion of the information collection request to the loan servicer</w:t>
      </w:r>
      <w:r>
        <w:t>.</w:t>
      </w:r>
      <w:r w:rsidR="0043361A">
        <w:t xml:space="preserve"> </w:t>
      </w:r>
      <w:r w:rsidR="00432CDA">
        <w:t>Paper forms are available as an alternative if any member has limited internet access and prefers to mail a hard copy of the form.</w:t>
      </w:r>
    </w:p>
    <w:p w:rsidR="00EE3046" w:rsidP="009926E0" w14:paraId="643210A7" w14:textId="77777777">
      <w:pPr>
        <w:pStyle w:val="ListParagraph"/>
        <w:ind w:left="1080"/>
      </w:pPr>
    </w:p>
    <w:p w:rsidR="000B4054" w:rsidP="000B4054" w14:paraId="3C2BBADF" w14:textId="42E32E96">
      <w:pPr>
        <w:pStyle w:val="ListParagraph"/>
        <w:numPr>
          <w:ilvl w:val="0"/>
          <w:numId w:val="6"/>
        </w:numPr>
      </w:pPr>
      <w:r>
        <w:t xml:space="preserve">V. </w:t>
      </w:r>
      <w:r>
        <w:t>Economic Impact at Scale – Student Loan Servicer Burden Excluded.</w:t>
      </w:r>
      <w:r w:rsidR="00DD22B6">
        <w:t xml:space="preserve"> </w:t>
      </w:r>
      <w:r w:rsidR="008E0AFC">
        <w:t xml:space="preserve">Loan servicers must verify loan eligibility, confirm payment application instructions, process payments outside their normal servicer workflow, and in some cases modify servicer system records. </w:t>
      </w:r>
      <w:r w:rsidR="00DD22B6">
        <w:t>The servicer-side processing burden</w:t>
      </w:r>
      <w:r w:rsidR="008E0AFC">
        <w:t xml:space="preserve"> represents real financial services industry costs.</w:t>
      </w:r>
      <w:r w:rsidR="00EA36FC">
        <w:t xml:space="preserve"> AmeriCorps must conduct a usability study including servicer-side processing estimates.</w:t>
      </w:r>
    </w:p>
    <w:p w:rsidR="005631AE" w:rsidP="000B4054" w14:paraId="5B1E7795" w14:textId="789FE064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DA1AB9">
        <w:t>The time burden for loan servicers is included in the estimate</w:t>
      </w:r>
      <w:r w:rsidR="00D2022E">
        <w:t xml:space="preserve"> including the time to verify loan eligibility,</w:t>
      </w:r>
      <w:r w:rsidR="00F51BFE">
        <w:t xml:space="preserve"> review instructions, process payments</w:t>
      </w:r>
      <w:r w:rsidR="002145C7">
        <w:t>,</w:t>
      </w:r>
      <w:r w:rsidRPr="002145C7" w:rsidR="002145C7">
        <w:t xml:space="preserve"> </w:t>
      </w:r>
      <w:r w:rsidR="002145C7">
        <w:t>and perform any recordkeeping</w:t>
      </w:r>
      <w:r w:rsidR="00E41D7D">
        <w:t xml:space="preserve"> and was derived from consultation with loan servicers</w:t>
      </w:r>
      <w:r w:rsidR="00F51BFE">
        <w:t>.</w:t>
      </w:r>
      <w:r w:rsidR="00755AEE">
        <w:t xml:space="preserve"> </w:t>
      </w:r>
    </w:p>
    <w:p w:rsidR="00EE3046" w:rsidP="009926E0" w14:paraId="374F3A87" w14:textId="77777777">
      <w:pPr>
        <w:pStyle w:val="ListParagraph"/>
        <w:ind w:left="1080"/>
      </w:pPr>
    </w:p>
    <w:p w:rsidR="003D764D" w:rsidP="003D764D" w14:paraId="0E123D05" w14:textId="59B0EE03">
      <w:pPr>
        <w:pStyle w:val="ListParagraph"/>
        <w:numPr>
          <w:ilvl w:val="0"/>
          <w:numId w:val="6"/>
        </w:numPr>
      </w:pPr>
      <w:r>
        <w:t xml:space="preserve">VI. </w:t>
      </w:r>
      <w:r>
        <w:t>Practical Utility – Three Separate Forms for One Program Function</w:t>
      </w:r>
      <w:r w:rsidR="00336B0F">
        <w:t>. The education award program requires three separate information collections, voucher, forbearance, and interest accrual, each with separate OMB numbers</w:t>
      </w:r>
      <w:r w:rsidR="00A00B7A">
        <w:t xml:space="preserve"> but serve a single integrated program function. AmeriCorps </w:t>
      </w:r>
      <w:r w:rsidR="00437FDF">
        <w:t xml:space="preserve">has not demonstrated why the three </w:t>
      </w:r>
      <w:r w:rsidR="00BD1CDD">
        <w:t>cannot</w:t>
      </w:r>
      <w:r w:rsidR="00437FDF">
        <w:t xml:space="preserve"> be consolidated into a single form with unified OMB coverage. </w:t>
      </w:r>
      <w:r w:rsidR="00DC1B83">
        <w:t>A single integrated Segal Award management portal would reduce member burden.</w:t>
      </w:r>
    </w:p>
    <w:p w:rsidR="00DC1B83" w:rsidP="00DC1B83" w14:paraId="50B4C693" w14:textId="473E6AE3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Pr="00185105" w:rsidR="00B17341">
        <w:t>AmeriCorps is</w:t>
      </w:r>
      <w:r w:rsidRPr="009926E0" w:rsidR="00EE3046">
        <w:t xml:space="preserve"> considering</w:t>
      </w:r>
      <w:r w:rsidRPr="00185105" w:rsidR="00B17341">
        <w:t xml:space="preserve"> combining the three separate information collections into</w:t>
      </w:r>
      <w:r w:rsidR="00B17341">
        <w:t xml:space="preserve"> a single information collection in response to this </w:t>
      </w:r>
      <w:r w:rsidR="00B17341">
        <w:t xml:space="preserve">comment. </w:t>
      </w:r>
      <w:r w:rsidR="00EE3046">
        <w:t>However, t</w:t>
      </w:r>
      <w:r w:rsidR="002611AB">
        <w:t>he forms cannot be combined into a single form because they are</w:t>
      </w:r>
      <w:r w:rsidR="00E64D17">
        <w:t xml:space="preserve"> required for different purposes: the voucher form is to disburse education award funds from the </w:t>
      </w:r>
      <w:r w:rsidR="001063AC">
        <w:t>Trust, the forbearance request form is</w:t>
      </w:r>
      <w:r w:rsidR="00137DFF">
        <w:t xml:space="preserve"> for the member</w:t>
      </w:r>
      <w:r w:rsidR="00A51557">
        <w:t xml:space="preserve"> </w:t>
      </w:r>
      <w:r w:rsidR="00FA7783">
        <w:t>to obtain forbearance on their loan while</w:t>
      </w:r>
      <w:r w:rsidR="001063AC">
        <w:t xml:space="preserve"> </w:t>
      </w:r>
      <w:r w:rsidR="00137DFF">
        <w:rPr>
          <w:bCs/>
          <w:kern w:val="36"/>
        </w:rPr>
        <w:t>serving in an AmeriCorps program</w:t>
      </w:r>
      <w:r w:rsidR="00FA7783">
        <w:rPr>
          <w:bCs/>
          <w:kern w:val="36"/>
        </w:rPr>
        <w:t xml:space="preserve">, and </w:t>
      </w:r>
      <w:r w:rsidR="001611E9">
        <w:rPr>
          <w:bCs/>
          <w:kern w:val="36"/>
        </w:rPr>
        <w:t xml:space="preserve">the interest form is </w:t>
      </w:r>
      <w:r w:rsidRPr="00D246DF" w:rsidR="00D246DF">
        <w:rPr>
          <w:bCs/>
          <w:kern w:val="36"/>
        </w:rPr>
        <w:t xml:space="preserve">to have AmeriCorps pay the interest accrued during </w:t>
      </w:r>
      <w:r w:rsidR="00D246DF">
        <w:rPr>
          <w:bCs/>
          <w:kern w:val="36"/>
        </w:rPr>
        <w:t>members’</w:t>
      </w:r>
      <w:r w:rsidRPr="00D246DF" w:rsidR="00D246DF">
        <w:rPr>
          <w:bCs/>
          <w:kern w:val="36"/>
        </w:rPr>
        <w:t xml:space="preserve"> national service if their loans were in forbearance during that time</w:t>
      </w:r>
      <w:r w:rsidR="00137DFF">
        <w:rPr>
          <w:bCs/>
          <w:kern w:val="36"/>
        </w:rPr>
        <w:t>.</w:t>
      </w:r>
      <w:r w:rsidR="00D246DF">
        <w:rPr>
          <w:bCs/>
          <w:kern w:val="36"/>
        </w:rPr>
        <w:t xml:space="preserve"> </w:t>
      </w:r>
      <w:r w:rsidR="003700AB">
        <w:rPr>
          <w:bCs/>
          <w:kern w:val="36"/>
        </w:rPr>
        <w:t xml:space="preserve">A single form would create additional burden for institutions completing the form. </w:t>
      </w:r>
      <w:r w:rsidR="00B17341">
        <w:t>The MyAmeriCorps Portal already provides a single integrated management portal.</w:t>
      </w:r>
    </w:p>
    <w:p w:rsidR="005C14B5" w:rsidP="009926E0" w14:paraId="021F8B9D" w14:textId="77777777">
      <w:pPr>
        <w:pStyle w:val="ListParagraph"/>
        <w:ind w:left="1080"/>
      </w:pPr>
    </w:p>
    <w:p w:rsidR="00B61999" w:rsidP="00B61999" w14:paraId="317BEB59" w14:textId="15940AFC">
      <w:pPr>
        <w:pStyle w:val="ListParagraph"/>
        <w:numPr>
          <w:ilvl w:val="0"/>
          <w:numId w:val="6"/>
        </w:numPr>
      </w:pPr>
      <w:r>
        <w:t xml:space="preserve">VII. </w:t>
      </w:r>
      <w:r>
        <w:t>Duplication</w:t>
      </w:r>
      <w:r w:rsidR="00300E7B">
        <w:t xml:space="preserve"> – Federal Student Aid and NSLDS Data Overlap. The Voucher form requires providing loan account information – loan servicer identity, account numbers, eligible institution confirmation – that is already held in the Department of Education’s National Student Loan Data System and Federal Student Aid systems. AmeriCorps has not estimated data-sharing agreements with ED/FSA to pre-populate Segal Award voucher forms from existing federal student loan records. A member whose loan information is already in NSLDS should not have to </w:t>
      </w:r>
      <w:r w:rsidR="004C18E0">
        <w:t>manually reenter it on the voucher form. Pre-population would reduce Voucher form completion burden time to under 2 minutes</w:t>
      </w:r>
      <w:r w:rsidR="005133B6">
        <w:t>.</w:t>
      </w:r>
    </w:p>
    <w:p w:rsidR="005133B6" w:rsidRPr="009926E0" w:rsidP="005133B6" w14:paraId="763662EC" w14:textId="3FF89254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5173A8">
        <w:t>Loan servicers</w:t>
      </w:r>
      <w:r w:rsidR="00353AF7">
        <w:t>, rather than members, fill in information on the loan number, etc. Pre</w:t>
      </w:r>
      <w:r w:rsidR="00C66E2F">
        <w:t>-</w:t>
      </w:r>
      <w:r w:rsidR="00353AF7">
        <w:t>population</w:t>
      </w:r>
      <w:r w:rsidR="008F1240">
        <w:t xml:space="preserve"> is not possible because the NSLDS does not contain information on state-issued student loans. </w:t>
      </w:r>
    </w:p>
    <w:p w:rsidR="00353AF7" w:rsidP="009926E0" w14:paraId="480F4EA4" w14:textId="77777777">
      <w:pPr>
        <w:pStyle w:val="ListParagraph"/>
        <w:ind w:left="1080"/>
      </w:pPr>
    </w:p>
    <w:p w:rsidR="005133B6" w:rsidP="005133B6" w14:paraId="1E9B9C32" w14:textId="22AC87C4">
      <w:pPr>
        <w:pStyle w:val="ListParagraph"/>
        <w:numPr>
          <w:ilvl w:val="0"/>
          <w:numId w:val="6"/>
        </w:numPr>
      </w:pPr>
      <w:r>
        <w:t xml:space="preserve">VIII. </w:t>
      </w:r>
      <w:r>
        <w:t>Cross-Agency Duplication – Student Loan Servicer Fragmentation. AmeriCorps Segal Award administration interacts with multiple student loan servicers (</w:t>
      </w:r>
      <w:r>
        <w:t>Aidvantage</w:t>
      </w:r>
      <w:r>
        <w:t xml:space="preserve">, Nelnet, MOHELA, etc.) through separate form processes for each servicer. The Department of Education’s student loan servicing system reforms have consolidated servicer relationships, yet AmeriCorps maintains a separate parallel form infrastructure that does not integrate with the </w:t>
      </w:r>
      <w:r w:rsidR="00BD38E6">
        <w:t>consolidated</w:t>
      </w:r>
      <w:r>
        <w:t xml:space="preserve"> ED servicing framework. AmeriCorps should co</w:t>
      </w:r>
      <w:r w:rsidR="00852648">
        <w:t>ordinate with ED’s FSA office to integrate disbursement into the consolidated student loan servicing framework.</w:t>
      </w:r>
    </w:p>
    <w:p w:rsidR="00852648" w:rsidP="00852648" w14:paraId="701BF561" w14:textId="1097D191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DF2CD6">
        <w:t>FSA has established a servicing network. AmeriCorps uses the current information collection to facilitate payments to the FSA network.</w:t>
      </w:r>
    </w:p>
    <w:p w:rsidR="00DF2CD6" w:rsidRPr="009926E0" w:rsidP="009926E0" w14:paraId="0ED883B7" w14:textId="77777777">
      <w:pPr>
        <w:pStyle w:val="ListParagraph"/>
        <w:ind w:left="1080"/>
      </w:pPr>
    </w:p>
    <w:p w:rsidR="00852648" w:rsidP="00852648" w14:paraId="663B37E9" w14:textId="738A2309">
      <w:pPr>
        <w:pStyle w:val="ListParagraph"/>
        <w:numPr>
          <w:ilvl w:val="0"/>
          <w:numId w:val="6"/>
        </w:numPr>
      </w:pPr>
      <w:r>
        <w:t xml:space="preserve">IX. </w:t>
      </w:r>
      <w:r w:rsidR="00A61D45">
        <w:t xml:space="preserve">Statutory Authority – Higher Education Act Integration Gap. The </w:t>
      </w:r>
      <w:r w:rsidR="003C6820">
        <w:t xml:space="preserve">Higher Education Act governs student loan programs and </w:t>
      </w:r>
      <w:r w:rsidR="003C6820">
        <w:t>servicers</w:t>
      </w:r>
      <w:r w:rsidR="003C6820">
        <w:t>. AmeriCorps has not leveraged the data-sharing authorities under that Act and the National and Community Services Act</w:t>
      </w:r>
      <w:r w:rsidR="00F566CA">
        <w:t xml:space="preserve"> to integrate award information with existing federal student loan infrastructure.</w:t>
      </w:r>
    </w:p>
    <w:p w:rsidR="00F566CA" w:rsidRPr="009926E0" w:rsidP="00F566CA" w14:paraId="49CF2096" w14:textId="619BA6FC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 </w:t>
      </w:r>
      <w:r w:rsidR="00DF2CD6">
        <w:t>FSA has established a servicing network. AmeriCorps uses the current information collection to facilitate payments to the FSA network.</w:t>
      </w:r>
    </w:p>
    <w:p w:rsidR="007C7C5F" w:rsidP="009926E0" w14:paraId="5BD50FA1" w14:textId="77777777">
      <w:pPr>
        <w:pStyle w:val="ListParagraph"/>
        <w:ind w:left="1080"/>
      </w:pPr>
    </w:p>
    <w:p w:rsidR="00A025EC" w:rsidP="00A025EC" w14:paraId="3389CD00" w14:textId="16750847">
      <w:pPr>
        <w:pStyle w:val="ListParagraph"/>
        <w:numPr>
          <w:ilvl w:val="0"/>
          <w:numId w:val="6"/>
        </w:numPr>
      </w:pPr>
      <w:r>
        <w:t xml:space="preserve">X. </w:t>
      </w:r>
      <w:r>
        <w:t xml:space="preserve">Technology Failure – Manual Forms for a Digital-Native Beneficiary Population. </w:t>
      </w:r>
      <w:r w:rsidR="00B236E1">
        <w:t xml:space="preserve">The award program relies on paper-based or PDF forms. The MyAmeriCorps online portal exists but does not integrate with student loan servicer systems. A member </w:t>
      </w:r>
      <w:r w:rsidR="00B236E1">
        <w:t xml:space="preserve">managing their award must </w:t>
      </w:r>
      <w:r w:rsidR="00F01F1C">
        <w:t xml:space="preserve">use MyAmeriCorps portal AND separately navigate servicer-specific processes AND separately complete paper/PDF forms. </w:t>
      </w:r>
    </w:p>
    <w:p w:rsidR="001F5ED0" w:rsidRPr="009926E0" w:rsidP="001F5ED0" w14:paraId="2B659BA2" w14:textId="3BB7FBD0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A00D87">
        <w:t xml:space="preserve">The MyAmeriCorps online portal represents 99% of account activity. </w:t>
      </w:r>
    </w:p>
    <w:p w:rsidR="00E73551" w:rsidRPr="009926E0" w:rsidP="009926E0" w14:paraId="2CD47935" w14:textId="77777777">
      <w:pPr>
        <w:pStyle w:val="ListParagraph"/>
        <w:ind w:left="1080"/>
      </w:pPr>
    </w:p>
    <w:p w:rsidR="001F5ED0" w:rsidP="001F5ED0" w14:paraId="7CB259E4" w14:textId="48205EE4">
      <w:pPr>
        <w:pStyle w:val="ListParagraph"/>
        <w:numPr>
          <w:ilvl w:val="0"/>
          <w:numId w:val="6"/>
        </w:numPr>
      </w:pPr>
      <w:r>
        <w:t xml:space="preserve">XI. </w:t>
      </w:r>
      <w:r>
        <w:t>Interoperability Failure – S</w:t>
      </w:r>
      <w:r w:rsidR="00E73551">
        <w:t>e</w:t>
      </w:r>
      <w:r>
        <w:t xml:space="preserve">gal Award Disconnected from Federal Student Loan Infrastructure. </w:t>
      </w:r>
      <w:r w:rsidR="00EE3B83">
        <w:t xml:space="preserve">AmeriCorps’ award disbursement operates in </w:t>
      </w:r>
      <w:r w:rsidR="00BD38E6">
        <w:t>isolation</w:t>
      </w:r>
      <w:r w:rsidR="00EE3B83">
        <w:t xml:space="preserve"> from NSLD</w:t>
      </w:r>
      <w:r w:rsidR="00E43220">
        <w:t>S</w:t>
      </w:r>
      <w:r w:rsidR="00EE3B83">
        <w:t xml:space="preserve"> (loan data), FSA (account management</w:t>
      </w:r>
      <w:r w:rsidR="00D00BB7">
        <w:t>)</w:t>
      </w:r>
      <w:r w:rsidR="00EE3B83">
        <w:t>, ED servicer APIs (payment processing, income-driven repayment automation and public service loan forgiveness tracking systems</w:t>
      </w:r>
      <w:r w:rsidR="00D00BB7">
        <w:t>)</w:t>
      </w:r>
      <w:r w:rsidR="00EE3B83">
        <w:t xml:space="preserve">. </w:t>
      </w:r>
    </w:p>
    <w:p w:rsidR="00950DDC" w:rsidRPr="009926E0" w:rsidP="00950DDC" w14:paraId="13C89FE4" w14:textId="44E63335">
      <w:pPr>
        <w:pStyle w:val="ListParagraph"/>
        <w:numPr>
          <w:ilvl w:val="1"/>
          <w:numId w:val="6"/>
        </w:numPr>
      </w:pPr>
      <w:r>
        <w:rPr>
          <w:i/>
          <w:iCs/>
        </w:rPr>
        <w:t>Response:</w:t>
      </w:r>
      <w:r w:rsidR="00C6507A">
        <w:rPr>
          <w:i/>
          <w:iCs/>
        </w:rPr>
        <w:t xml:space="preserve"> </w:t>
      </w:r>
      <w:r w:rsidR="00485794">
        <w:t xml:space="preserve">As explained above, </w:t>
      </w:r>
      <w:r w:rsidR="00E43220">
        <w:t xml:space="preserve">NSLDS </w:t>
      </w:r>
      <w:r w:rsidR="004A7BBB">
        <w:t xml:space="preserve">does not include state-issued loans and </w:t>
      </w:r>
      <w:r w:rsidR="00485794">
        <w:t xml:space="preserve">AmeriCorps </w:t>
      </w:r>
      <w:r w:rsidR="004A7BBB">
        <w:t xml:space="preserve">already </w:t>
      </w:r>
      <w:r w:rsidR="00485794">
        <w:t>facilitates payments to the FSA network</w:t>
      </w:r>
      <w:r w:rsidR="000B179B">
        <w:t xml:space="preserve">. </w:t>
      </w:r>
      <w:r w:rsidR="00455481">
        <w:t xml:space="preserve"> </w:t>
      </w:r>
    </w:p>
    <w:p w:rsidR="00E73551" w:rsidRPr="009926E0" w:rsidP="009926E0" w14:paraId="262DCB26" w14:textId="77777777">
      <w:pPr>
        <w:pStyle w:val="ListParagraph"/>
        <w:ind w:left="1080"/>
      </w:pPr>
    </w:p>
    <w:p w:rsidR="00950DDC" w:rsidP="00950DDC" w14:paraId="2A0B915B" w14:textId="7455C202">
      <w:pPr>
        <w:pStyle w:val="ListParagraph"/>
        <w:numPr>
          <w:ilvl w:val="0"/>
          <w:numId w:val="6"/>
        </w:numPr>
      </w:pPr>
      <w:r>
        <w:t xml:space="preserve">XII. </w:t>
      </w:r>
      <w:r>
        <w:t>Lack Pilot Testing – No Digital Integration Pilot</w:t>
      </w:r>
      <w:r w:rsidR="00BC7713">
        <w:t xml:space="preserve">. AmeriCorps has not disclosed whether it has piloted API integration between MyAmeriCOrps and any major student loan servicers or NSLDS/FSA. </w:t>
      </w:r>
    </w:p>
    <w:p w:rsidR="004127F6" w:rsidRPr="009926E0" w:rsidP="004127F6" w14:paraId="51C7A712" w14:textId="5FAE0003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9A28FA">
        <w:t xml:space="preserve">As explained above, NSLDS does not include state-issued loans and AmeriCorps already facilitates payments to the FSA network.  </w:t>
      </w:r>
    </w:p>
    <w:p w:rsidR="00F15439" w:rsidP="009926E0" w14:paraId="33C9BEA5" w14:textId="77777777">
      <w:pPr>
        <w:pStyle w:val="ListParagraph"/>
        <w:ind w:left="1080"/>
      </w:pPr>
    </w:p>
    <w:p w:rsidR="004127F6" w:rsidP="004127F6" w14:paraId="5873909F" w14:textId="4CE9F46A">
      <w:pPr>
        <w:pStyle w:val="ListParagraph"/>
        <w:numPr>
          <w:ilvl w:val="0"/>
          <w:numId w:val="6"/>
        </w:numPr>
      </w:pPr>
      <w:r>
        <w:t xml:space="preserve">XIII. </w:t>
      </w:r>
      <w:r>
        <w:t xml:space="preserve">COTS Solution – Integrated Segal Award Digital Portal. A fully integrated award management portal with </w:t>
      </w:r>
      <w:r w:rsidR="007D2DFE">
        <w:t xml:space="preserve">integration </w:t>
      </w:r>
      <w:r w:rsidR="00BD38E6">
        <w:t>capabilities</w:t>
      </w:r>
      <w:r w:rsidR="007D2DFE">
        <w:t xml:space="preserve"> would </w:t>
      </w:r>
      <w:r w:rsidR="00CA1764">
        <w:t xml:space="preserve">dramatically reduce member burden. Small technology firms are capable of </w:t>
      </w:r>
      <w:r w:rsidR="00321409">
        <w:t xml:space="preserve">delivering this solution at lower cost than maintaining separate infrastructure systems. </w:t>
      </w:r>
    </w:p>
    <w:p w:rsidR="00321409" w:rsidRPr="009926E0" w:rsidP="00321409" w14:paraId="37E8ABB9" w14:textId="373B0CC8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9A28FA">
        <w:t>This comment is beyond the scope of this information collection as it</w:t>
      </w:r>
      <w:r w:rsidR="00121BE2">
        <w:t xml:space="preserve"> suggests AmeriCorps procure third-party technology. </w:t>
      </w:r>
    </w:p>
    <w:p w:rsidR="00F15439" w:rsidP="009926E0" w14:paraId="45353AFB" w14:textId="77777777">
      <w:pPr>
        <w:pStyle w:val="ListParagraph"/>
        <w:ind w:left="1080"/>
      </w:pPr>
    </w:p>
    <w:p w:rsidR="00321409" w:rsidP="00C60F95" w14:paraId="06500DD0" w14:textId="3144A356">
      <w:pPr>
        <w:pStyle w:val="ListParagraph"/>
        <w:numPr>
          <w:ilvl w:val="0"/>
          <w:numId w:val="6"/>
        </w:numPr>
      </w:pPr>
      <w:r>
        <w:t xml:space="preserve">XIV. </w:t>
      </w:r>
      <w:r w:rsidR="00C60F95">
        <w:t>Small Business Impact – Employer Workforce Development Consequences</w:t>
      </w:r>
      <w:r w:rsidR="00BD38E6">
        <w:t xml:space="preserve">. </w:t>
      </w:r>
      <w:r w:rsidR="00DA3836">
        <w:t>Small business employers that hire AmeriCorps alumni face indirect impacts from Segal Award administration complexity</w:t>
      </w:r>
      <w:r w:rsidR="008879BA">
        <w:t xml:space="preserve">. When AmeriCorps alumni pursuing employer-sponsored education benefits encounter </w:t>
      </w:r>
      <w:r w:rsidR="00B658BD">
        <w:t>Segal delays, their ability to apply award proceeds to reduce employer tuition assistance obligations</w:t>
      </w:r>
      <w:r w:rsidR="00923135">
        <w:t>. The administrative burden functions as a friction point that reduces the program’s community economic impact.</w:t>
      </w:r>
    </w:p>
    <w:p w:rsidR="00923135" w:rsidRPr="009926E0" w:rsidP="00923135" w14:paraId="1D0860BC" w14:textId="15A7A050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3C7337">
        <w:t>AmeriCorps has not identified any validated correlation between small business employers that hire AmeriCorps alumni and this information collection</w:t>
      </w:r>
      <w:r w:rsidRPr="009462FA" w:rsidR="009462FA">
        <w:rPr>
          <w:szCs w:val="22"/>
        </w:rPr>
        <w:t xml:space="preserve"> </w:t>
      </w:r>
      <w:r w:rsidR="009462FA">
        <w:rPr>
          <w:szCs w:val="22"/>
        </w:rPr>
        <w:t>or the subset of those employers that offer tuition assistance</w:t>
      </w:r>
      <w:r w:rsidR="003C7337">
        <w:t xml:space="preserve">. </w:t>
      </w:r>
    </w:p>
    <w:p w:rsidR="00F15439" w:rsidRPr="009926E0" w:rsidP="009926E0" w14:paraId="3C6B5B16" w14:textId="77777777">
      <w:pPr>
        <w:pStyle w:val="ListParagraph"/>
        <w:ind w:left="1080"/>
      </w:pPr>
    </w:p>
    <w:p w:rsidR="00923135" w:rsidP="00923135" w14:paraId="1E97B786" w14:textId="27E81174">
      <w:pPr>
        <w:pStyle w:val="ListParagraph"/>
        <w:numPr>
          <w:ilvl w:val="0"/>
          <w:numId w:val="6"/>
        </w:numPr>
      </w:pPr>
      <w:r>
        <w:t xml:space="preserve">XV. </w:t>
      </w:r>
      <w:r>
        <w:t xml:space="preserve">Barrier to Entry – Rural and Low-Income Member Access. </w:t>
      </w:r>
      <w:r w:rsidR="00F352CC">
        <w:t xml:space="preserve">AmeriCorps members serving at rural sites face barriers to completing the award forms: limited broadband connectivity, limited access to in-person loan servicer assistance, and limited financial </w:t>
      </w:r>
      <w:r w:rsidR="009C6406">
        <w:t>literacy</w:t>
      </w:r>
      <w:r w:rsidR="00F352CC">
        <w:t xml:space="preserve"> support. The current framework creates an access barrier. AmeriCorps should provide dedicated rural members support resources and simplified single-point form submission for members at rural and high-need service sites.</w:t>
      </w:r>
    </w:p>
    <w:p w:rsidR="00F352CC" w:rsidRPr="009926E0" w:rsidP="00F352CC" w14:paraId="439C4D9D" w14:textId="46844188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C73D57">
        <w:t xml:space="preserve">The AmeriCorps portal provides the simplified single-point form submission but AmeriCorps </w:t>
      </w:r>
      <w:r w:rsidR="00DF1386">
        <w:t xml:space="preserve">members and alumni may obtain paper forms if they choose. </w:t>
      </w:r>
    </w:p>
    <w:p w:rsidR="00F15439" w:rsidRPr="009926E0" w:rsidP="009926E0" w14:paraId="7E7182EE" w14:textId="77777777">
      <w:pPr>
        <w:pStyle w:val="ListParagraph"/>
        <w:ind w:left="1080"/>
      </w:pPr>
    </w:p>
    <w:p w:rsidR="00F352CC" w:rsidP="00F352CC" w14:paraId="6F5B75B7" w14:textId="540BA868">
      <w:pPr>
        <w:pStyle w:val="ListParagraph"/>
        <w:numPr>
          <w:ilvl w:val="0"/>
          <w:numId w:val="6"/>
        </w:numPr>
      </w:pPr>
      <w:r>
        <w:t xml:space="preserve">XVI. </w:t>
      </w:r>
      <w:r>
        <w:t xml:space="preserve">Data Security – Award Account and Student Loan Data Protection. </w:t>
      </w:r>
      <w:r w:rsidR="00D254DE">
        <w:t>The forms all handle sensitive personal financial information (student loan account numbers, servicer identities, loan balances, and payment authorization). AmeriCorps has not disclosed the security architecture for handling this data</w:t>
      </w:r>
      <w:r w:rsidR="00BD542D">
        <w:t>, F</w:t>
      </w:r>
      <w:r w:rsidR="009C6406">
        <w:t>e</w:t>
      </w:r>
      <w:r w:rsidR="00BD542D">
        <w:t xml:space="preserve">dRAMP authorization status, encryption standards for form transmission, access controls for Trust staff accessing members, or breach notification protocols. </w:t>
      </w:r>
      <w:r w:rsidR="008A4B2F">
        <w:t>FedRAMP authorization status and FIPS 140-2/3 validation for MyAmeriCorps portal must be disclosed</w:t>
      </w:r>
      <w:r w:rsidR="00D30730">
        <w:t xml:space="preserve"> and a SORN must cover the student loan account data in Trust systems. </w:t>
      </w:r>
    </w:p>
    <w:p w:rsidR="00D30730" w:rsidRPr="009926E0" w:rsidP="00D30730" w14:paraId="24807BA4" w14:textId="0B967806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CB2E6F">
        <w:t xml:space="preserve">This information collection’s privacy and data security is addressed in </w:t>
      </w:r>
      <w:r w:rsidRPr="009926E0" w:rsidR="00CB2E6F">
        <w:t xml:space="preserve">System of Records Notice </w:t>
      </w:r>
      <w:r w:rsidR="00EC33B4">
        <w:t xml:space="preserve">(SORN) </w:t>
      </w:r>
      <w:r w:rsidRPr="009926E0" w:rsidR="00CB2E6F">
        <w:t>for Member Management Files at 67 FR 4395 (January 30, 2002).</w:t>
      </w:r>
    </w:p>
    <w:p w:rsidR="00F15439" w:rsidRPr="009926E0" w:rsidP="009926E0" w14:paraId="73A3C0F9" w14:textId="77777777">
      <w:pPr>
        <w:pStyle w:val="ListParagraph"/>
        <w:ind w:left="1080"/>
      </w:pPr>
    </w:p>
    <w:p w:rsidR="00D30730" w:rsidP="00D30730" w14:paraId="42DA2D79" w14:textId="508E0701">
      <w:pPr>
        <w:pStyle w:val="ListParagraph"/>
        <w:numPr>
          <w:ilvl w:val="0"/>
          <w:numId w:val="6"/>
        </w:numPr>
      </w:pPr>
      <w:r>
        <w:t xml:space="preserve">XVII. </w:t>
      </w:r>
      <w:r w:rsidR="0043203F">
        <w:t>Data Quality Degradation – Three-Form Fragmentation Produces Reconciliation Errors. The three forms create systematic data quality problems</w:t>
      </w:r>
      <w:r w:rsidR="00946402">
        <w:t>: payment applications that don’t reflect current forbearance status, interest accrual records that conflict with payment history, and servicer records out of sync with Trust records</w:t>
      </w:r>
      <w:r w:rsidR="00E7352E">
        <w:t xml:space="preserve">. </w:t>
      </w:r>
    </w:p>
    <w:p w:rsidR="00E7352E" w:rsidRPr="009926E0" w:rsidP="00E7352E" w14:paraId="345C5B5B" w14:textId="217EB7B9">
      <w:pPr>
        <w:pStyle w:val="ListParagraph"/>
        <w:numPr>
          <w:ilvl w:val="1"/>
          <w:numId w:val="6"/>
        </w:numPr>
      </w:pPr>
      <w:r>
        <w:rPr>
          <w:i/>
          <w:iCs/>
        </w:rPr>
        <w:t>Response:</w:t>
      </w:r>
      <w:r w:rsidR="00EC6041">
        <w:t xml:space="preserve"> The three forms track distinct requests through MyAmeriCorps</w:t>
      </w:r>
      <w:r w:rsidR="00E76C01">
        <w:t xml:space="preserve">, automating the reconciliation process per member account. </w:t>
      </w:r>
    </w:p>
    <w:p w:rsidR="00F15439" w:rsidRPr="009926E0" w:rsidP="009926E0" w14:paraId="7D35B563" w14:textId="77777777">
      <w:pPr>
        <w:pStyle w:val="ListParagraph"/>
        <w:ind w:left="1080"/>
      </w:pPr>
    </w:p>
    <w:p w:rsidR="00E7352E" w:rsidP="00E7352E" w14:paraId="7E7F53EE" w14:textId="1C23F7B1">
      <w:pPr>
        <w:pStyle w:val="ListParagraph"/>
        <w:numPr>
          <w:ilvl w:val="0"/>
          <w:numId w:val="6"/>
        </w:numPr>
      </w:pPr>
      <w:r>
        <w:t xml:space="preserve">XVIII. </w:t>
      </w:r>
      <w:r>
        <w:t xml:space="preserve">Operational Drag – Processing Delays for Time-Sensitive Loan Events. </w:t>
      </w:r>
      <w:r w:rsidR="003E27EB">
        <w:t>Student loan management is time-sensitive and the manual form processing infrastructure introduces delays that can cause members to miss loan management windows. Digital integration with servi</w:t>
      </w:r>
      <w:r w:rsidR="009C6406">
        <w:t>c</w:t>
      </w:r>
      <w:r w:rsidR="003E27EB">
        <w:t>ers APIs would enable real-time processing to eliminate those risks.</w:t>
      </w:r>
    </w:p>
    <w:p w:rsidR="003E27EB" w:rsidRPr="009926E0" w:rsidP="003E27EB" w14:paraId="2C151D5A" w14:textId="5F6E73B7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E76C01">
        <w:t>Time sensitivity is not mitigated</w:t>
      </w:r>
      <w:r w:rsidR="002802C8">
        <w:t xml:space="preserve"> based on digital integration with servicers because members still have to make timely requests. </w:t>
      </w:r>
    </w:p>
    <w:p w:rsidR="00F15439" w:rsidP="009926E0" w14:paraId="25A9EC90" w14:textId="77777777">
      <w:pPr>
        <w:pStyle w:val="ListParagraph"/>
        <w:ind w:left="1080"/>
      </w:pPr>
    </w:p>
    <w:p w:rsidR="003E27EB" w:rsidP="003E27EB" w14:paraId="04C67C25" w14:textId="623CFC0E">
      <w:pPr>
        <w:pStyle w:val="ListParagraph"/>
        <w:numPr>
          <w:ilvl w:val="0"/>
          <w:numId w:val="6"/>
        </w:numPr>
      </w:pPr>
      <w:r>
        <w:t xml:space="preserve">XIX. </w:t>
      </w:r>
      <w:r w:rsidR="00844262">
        <w:t>Multi-Agency Pattern – Federal Student Benefit Program Fragmentation. Sega</w:t>
      </w:r>
      <w:r w:rsidR="00F15439">
        <w:t>l</w:t>
      </w:r>
      <w:r w:rsidR="00844262">
        <w:t xml:space="preserve"> Award administration is one component of</w:t>
      </w:r>
      <w:r w:rsidR="009C6406">
        <w:t xml:space="preserve"> </w:t>
      </w:r>
      <w:r w:rsidR="00844262">
        <w:t xml:space="preserve">a broader federal student benefit program </w:t>
      </w:r>
      <w:r w:rsidR="00A41FB3">
        <w:t>that is fragmented among separate infrastructures that should be unified into a single student-facing portal.</w:t>
      </w:r>
    </w:p>
    <w:p w:rsidR="00A41FB3" w:rsidRPr="009926E0" w:rsidP="00A41FB3" w14:paraId="19066346" w14:textId="507C3B63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</w:t>
      </w:r>
      <w:r w:rsidR="005B05BD">
        <w:t xml:space="preserve">This comment </w:t>
      </w:r>
      <w:r w:rsidR="003F44A8">
        <w:t xml:space="preserve">is beyond the scope of this information collection. </w:t>
      </w:r>
    </w:p>
    <w:p w:rsidR="00F15439" w:rsidRPr="009926E0" w:rsidP="009926E0" w14:paraId="5E42E6DF" w14:textId="77777777">
      <w:pPr>
        <w:pStyle w:val="ListParagraph"/>
        <w:ind w:left="1080"/>
      </w:pPr>
    </w:p>
    <w:p w:rsidR="00A41FB3" w:rsidP="00A41FB3" w14:paraId="2523091E" w14:textId="49D635C0">
      <w:pPr>
        <w:pStyle w:val="ListParagraph"/>
        <w:numPr>
          <w:ilvl w:val="0"/>
          <w:numId w:val="6"/>
        </w:numPr>
      </w:pPr>
      <w:r>
        <w:t xml:space="preserve">XX. </w:t>
      </w:r>
      <w:r>
        <w:t>Recordkeeping Burden – Member and Servicer Documentation Requirements</w:t>
      </w:r>
      <w:r w:rsidR="00257DEF">
        <w:t xml:space="preserve">. Members must maintain records of their award applications, servicer confirmations, forbearance approvals, and interest </w:t>
      </w:r>
      <w:r w:rsidR="009C6406">
        <w:t>accrual</w:t>
      </w:r>
      <w:r w:rsidR="00257DEF">
        <w:t xml:space="preserve"> payments</w:t>
      </w:r>
      <w:r w:rsidR="00EC1CCE">
        <w:t>. Loan servicers must maintain AmeriCorps payment records separately from standard payment records. These ongoing recordkeeping obligations are absent from the burden estimates.</w:t>
      </w:r>
    </w:p>
    <w:p w:rsidR="00EC1CCE" w:rsidP="009926E0" w14:paraId="19CA534B" w14:textId="798B055F">
      <w:pPr>
        <w:pStyle w:val="ListParagraph"/>
        <w:numPr>
          <w:ilvl w:val="1"/>
          <w:numId w:val="6"/>
        </w:numPr>
      </w:pPr>
      <w:r>
        <w:rPr>
          <w:i/>
          <w:iCs/>
        </w:rPr>
        <w:t xml:space="preserve">Response:  </w:t>
      </w:r>
      <w:r w:rsidR="00371666">
        <w:t xml:space="preserve">These records are maintained in the MyAmeriCorps portal. </w:t>
      </w:r>
    </w:p>
    <w:p w:rsidR="00973B2A" w:rsidP="009926E0" w14:paraId="3B9836C7" w14:textId="77777777"/>
    <w:p w:rsidR="00624199" w:rsidP="00624199" w14:paraId="217302DD" w14:textId="7A7C21AB">
      <w:pPr>
        <w:ind w:firstLine="720"/>
      </w:pPr>
      <w:r>
        <w:t xml:space="preserve">In addition, AmeriCorps reached out </w:t>
      </w:r>
      <w:r w:rsidR="00371E6E">
        <w:t xml:space="preserve">to several individuals internal and external to AmeriCorps for their </w:t>
      </w:r>
      <w:r w:rsidR="00652988">
        <w:t>input</w:t>
      </w:r>
      <w:r w:rsidRPr="00FB591B" w:rsidR="00371E6E">
        <w:t xml:space="preserve"> on the availability of data, the frequency of collection, the clarity of instructions and </w:t>
      </w:r>
      <w:r w:rsidR="00652988">
        <w:t>form, and data elements</w:t>
      </w:r>
      <w:r w:rsidR="005255BE">
        <w:t xml:space="preserve"> and obtained input from a loan servicer. The </w:t>
      </w:r>
      <w:r w:rsidR="009F2E56">
        <w:t xml:space="preserve">loan servicer representative stated that the voucher requests are generally the least burdensome of the education award requests and take about 2-5 minutes to complete at an estimated cost of $2 per request. This </w:t>
      </w:r>
      <w:r w:rsidR="00E745CA">
        <w:t xml:space="preserve">input aligns with AmeriCorps’ current estimate of 5 minutes at a cost of $4 per request. </w:t>
      </w:r>
      <w:r w:rsidR="000A64EE">
        <w:t xml:space="preserve">The loan servicer also </w:t>
      </w:r>
      <w:r w:rsidR="00310B1E">
        <w:t xml:space="preserve">provided input on the MyAmeriCorps portal system </w:t>
      </w:r>
      <w:r w:rsidR="00953084">
        <w:t xml:space="preserve">not directly related to this information collection. </w:t>
      </w:r>
      <w:r w:rsidR="00A14497">
        <w:t xml:space="preserve"> </w:t>
      </w:r>
      <w:r w:rsidR="00A14497">
        <w:t xml:space="preserve"> </w:t>
      </w:r>
    </w:p>
    <w:p w:rsidR="000576E9" w:rsidRPr="001C4327" w:rsidP="00624199" w14:paraId="0FA33B76" w14:textId="5BAD4669">
      <w:pPr>
        <w:ind w:firstLine="720"/>
        <w:rPr>
          <w:rFonts w:ascii="Arial Narrow" w:hAnsi="Arial Narrow"/>
        </w:rPr>
      </w:pPr>
      <w:r w:rsidRPr="001C4327">
        <w:t> </w:t>
      </w:r>
    </w:p>
    <w:p w:rsidR="00D873A9" w:rsidP="00D873A9" w14:paraId="260BCA16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2B55C5">
        <w:rPr>
          <w:b/>
          <w:bCs/>
          <w:u w:val="single"/>
        </w:rPr>
        <w:t>9. Gifts or Payment.</w:t>
      </w:r>
      <w:r>
        <w:rPr>
          <w:u w:val="single"/>
        </w:rPr>
        <w:t xml:space="preserve"> </w:t>
      </w:r>
    </w:p>
    <w:p w:rsidR="00D74ADD" w:rsidP="00395ED5" w14:paraId="44EC7FB6" w14:textId="77777777">
      <w:pPr>
        <w:keepNext/>
        <w:ind w:firstLine="720"/>
        <w:outlineLvl w:val="0"/>
        <w:rPr>
          <w:bCs/>
          <w:kern w:val="36"/>
        </w:rPr>
      </w:pPr>
    </w:p>
    <w:p w:rsidR="009437C4" w:rsidRPr="001C4327" w:rsidP="00395ED5" w14:paraId="3FEC4966" w14:textId="6EDFF2E5">
      <w:pPr>
        <w:keepNext/>
        <w:ind w:firstLine="720"/>
        <w:outlineLvl w:val="0"/>
        <w:rPr>
          <w:bCs/>
          <w:kern w:val="36"/>
        </w:rPr>
      </w:pPr>
      <w:r w:rsidRPr="001C4327">
        <w:rPr>
          <w:bCs/>
          <w:kern w:val="36"/>
        </w:rPr>
        <w:t>There are no payment</w:t>
      </w:r>
      <w:r w:rsidRPr="001C4327" w:rsidR="00E178E3">
        <w:rPr>
          <w:bCs/>
          <w:kern w:val="36"/>
        </w:rPr>
        <w:t>s</w:t>
      </w:r>
      <w:r w:rsidRPr="001C4327">
        <w:rPr>
          <w:bCs/>
          <w:kern w:val="36"/>
        </w:rPr>
        <w:t xml:space="preserve"> or gifts to respondents</w:t>
      </w:r>
      <w:r w:rsidR="00D873A9">
        <w:rPr>
          <w:bCs/>
          <w:kern w:val="36"/>
        </w:rPr>
        <w:t xml:space="preserve"> provided as an incentive for completing this information collection</w:t>
      </w:r>
      <w:r w:rsidR="00CF5725">
        <w:rPr>
          <w:bCs/>
          <w:kern w:val="36"/>
        </w:rPr>
        <w:t>.</w:t>
      </w:r>
    </w:p>
    <w:p w:rsidR="000576E9" w:rsidRPr="001C4327" w:rsidP="000576E9" w14:paraId="66C8B78D" w14:textId="77777777">
      <w:pPr>
        <w:rPr>
          <w:rFonts w:ascii="Arial Narrow" w:hAnsi="Arial Narrow"/>
        </w:rPr>
      </w:pPr>
      <w:r w:rsidRPr="001C4327">
        <w:t>  </w:t>
      </w:r>
    </w:p>
    <w:p w:rsidR="00B56A0B" w:rsidP="00B56A0B" w14:paraId="0A94E482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rPr>
          <w:b/>
          <w:bCs/>
          <w:u w:val="single"/>
        </w:rPr>
        <w:t xml:space="preserve">10. </w:t>
      </w:r>
      <w:r w:rsidRPr="00BA2016">
        <w:rPr>
          <w:b/>
          <w:bCs/>
          <w:u w:val="single"/>
        </w:rPr>
        <w:t>Privacy &amp; Confidentiality.</w:t>
      </w:r>
      <w:r>
        <w:rPr>
          <w:u w:val="single"/>
        </w:rPr>
        <w:t xml:space="preserve">  </w:t>
      </w:r>
    </w:p>
    <w:p w:rsidR="00D74ADD" w:rsidP="00536EBB" w14:paraId="71ABE3D2" w14:textId="77777777">
      <w:pPr>
        <w:ind w:firstLine="540"/>
        <w:rPr>
          <w:bCs/>
        </w:rPr>
      </w:pPr>
    </w:p>
    <w:p w:rsidR="001668F9" w:rsidRPr="00B6630A" w:rsidP="001668F9" w14:paraId="39C3D714" w14:textId="0F3D6F40">
      <w:pPr>
        <w:ind w:firstLine="720"/>
        <w:rPr>
          <w:rFonts w:ascii="Arial Narrow" w:hAnsi="Arial Narrow"/>
        </w:rPr>
      </w:pPr>
      <w:r w:rsidRPr="006E2A04">
        <w:rPr>
          <w:bCs/>
        </w:rPr>
        <w:t>Confidentiality of information supplied by respondents is ensured by the Privacy Act</w:t>
      </w:r>
      <w:r w:rsidR="00246CCA">
        <w:rPr>
          <w:bCs/>
        </w:rPr>
        <w:t xml:space="preserve">. </w:t>
      </w:r>
      <w:r w:rsidRPr="006E2A04">
        <w:rPr>
          <w:bCs/>
        </w:rPr>
        <w:t xml:space="preserve">A </w:t>
      </w:r>
      <w:r w:rsidRPr="004B28FE">
        <w:rPr>
          <w:bCs/>
        </w:rPr>
        <w:t>Privacy Act notice appears on the form</w:t>
      </w:r>
      <w:r w:rsidR="00290F62">
        <w:rPr>
          <w:bCs/>
        </w:rPr>
        <w:t xml:space="preserve"> and is subject to </w:t>
      </w:r>
      <w:r>
        <w:rPr>
          <w:bCs/>
        </w:rPr>
        <w:t>System of Records Notice CNCS-04-CPO-MPMF-Member Program Management Files at 89 Fed. Reg. 65866 (August 13, 2024)</w:t>
      </w:r>
      <w:r w:rsidRPr="004B28FE">
        <w:rPr>
          <w:bCs/>
        </w:rPr>
        <w:t>.</w:t>
      </w:r>
    </w:p>
    <w:p w:rsidR="009437C4" w:rsidRPr="001C4327" w:rsidP="000576E9" w14:paraId="162257DA" w14:textId="77777777">
      <w:pPr>
        <w:rPr>
          <w:b/>
          <w:bCs/>
        </w:rPr>
      </w:pPr>
    </w:p>
    <w:p w:rsidR="006B38C7" w:rsidRPr="00044CC3" w:rsidP="006B38C7" w14:paraId="2929C602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rPr>
          <w:b/>
          <w:bCs/>
          <w:u w:val="single"/>
        </w:rPr>
        <w:t>11.</w:t>
      </w:r>
      <w:r w:rsidRPr="00044CC3">
        <w:rPr>
          <w:b/>
          <w:bCs/>
          <w:u w:val="single"/>
        </w:rPr>
        <w:t xml:space="preserve"> Sensitive Questions.</w:t>
      </w:r>
      <w:r>
        <w:rPr>
          <w:u w:val="single"/>
        </w:rPr>
        <w:t xml:space="preserve">  </w:t>
      </w:r>
    </w:p>
    <w:p w:rsidR="00D74ADD" w:rsidP="00395ED5" w14:paraId="5E05C7C8" w14:textId="77777777">
      <w:pPr>
        <w:ind w:firstLine="720"/>
      </w:pPr>
      <w:r w:rsidRPr="001C4327">
        <w:t> </w:t>
      </w:r>
    </w:p>
    <w:p w:rsidR="009437C4" w:rsidRPr="001C4327" w:rsidP="00395ED5" w14:paraId="1ECE1B53" w14:textId="77777777">
      <w:pPr>
        <w:ind w:firstLine="720"/>
      </w:pPr>
      <w:r w:rsidRPr="001C4327">
        <w:t>The information collection does not include questions of a sensitive nature.</w:t>
      </w:r>
    </w:p>
    <w:p w:rsidR="000576E9" w:rsidRPr="001C4327" w:rsidP="000576E9" w14:paraId="63FB068F" w14:textId="77777777">
      <w:pPr>
        <w:rPr>
          <w:rFonts w:ascii="Arial Narrow" w:hAnsi="Arial Narrow"/>
        </w:rPr>
      </w:pPr>
      <w:r w:rsidRPr="001C4327">
        <w:t> </w:t>
      </w:r>
    </w:p>
    <w:p w:rsidR="001A336B" w:rsidP="001A336B" w14:paraId="60FF1DBC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rPr>
          <w:b/>
          <w:bCs/>
          <w:u w:val="single"/>
        </w:rPr>
        <w:t xml:space="preserve">12. </w:t>
      </w:r>
      <w:r w:rsidRPr="00044CC3">
        <w:rPr>
          <w:b/>
          <w:bCs/>
          <w:u w:val="single"/>
        </w:rPr>
        <w:t>Burden Estimate.</w:t>
      </w:r>
      <w:r w:rsidRPr="002F3296">
        <w:rPr>
          <w:u w:val="single"/>
        </w:rPr>
        <w:t xml:space="preserve"> </w:t>
      </w:r>
    </w:p>
    <w:p w:rsidR="00CF5725" w:rsidP="000576E9" w14:paraId="5B46F133" w14:textId="77777777"/>
    <w:p w:rsidR="00864DD7" w:rsidP="00290F62" w14:paraId="4BA016AE" w14:textId="5EF7FCAF">
      <w:pPr>
        <w:ind w:firstLine="720"/>
      </w:pPr>
      <w:r>
        <w:t xml:space="preserve">AmeriCorps estimates </w:t>
      </w:r>
      <w:r w:rsidR="00530D1C">
        <w:t>34,385 respondents will complete this information collection, including individuals using an education awar</w:t>
      </w:r>
      <w:r w:rsidR="009E13AA">
        <w:t>d</w:t>
      </w:r>
      <w:r w:rsidR="00530D1C">
        <w:t>, and authorized school officials and qualified student loan holders.</w:t>
      </w:r>
      <w:r w:rsidR="006F5974">
        <w:t xml:space="preserve">. </w:t>
      </w:r>
      <w:r>
        <w:t xml:space="preserve">The estimate of burden hours for respondents to complete the form is </w:t>
      </w:r>
      <w:r>
        <w:rPr>
          <w:b/>
          <w:bCs/>
        </w:rPr>
        <w:t>a</w:t>
      </w:r>
      <w:r>
        <w:t xml:space="preserve"> </w:t>
      </w:r>
      <w:r>
        <w:rPr>
          <w:b/>
          <w:bCs/>
        </w:rPr>
        <w:t xml:space="preserve">total of </w:t>
      </w:r>
      <w:r w:rsidR="00020B79">
        <w:rPr>
          <w:b/>
          <w:bCs/>
        </w:rPr>
        <w:t>2,865</w:t>
      </w:r>
      <w:r>
        <w:rPr>
          <w:b/>
          <w:bCs/>
        </w:rPr>
        <w:t xml:space="preserve"> hours</w:t>
      </w:r>
      <w:r>
        <w:t xml:space="preserve">. </w:t>
      </w:r>
      <w:r w:rsidR="00B75AA5">
        <w:t xml:space="preserve">This estimate of burden hours accounts for </w:t>
      </w:r>
      <w:r w:rsidR="000012EC">
        <w:t xml:space="preserve">a total of 5 minutes to fill out </w:t>
      </w:r>
      <w:r w:rsidR="00B75AA5">
        <w:t>section</w:t>
      </w:r>
      <w:r w:rsidR="000012EC">
        <w:t>s</w:t>
      </w:r>
      <w:r w:rsidR="00B75AA5">
        <w:t xml:space="preserve"> A and B of the</w:t>
      </w:r>
      <w:r w:rsidR="000012EC">
        <w:t xml:space="preserve"> form</w:t>
      </w:r>
      <w:r w:rsidR="00EE0A3C">
        <w:t xml:space="preserve">, </w:t>
      </w:r>
      <w:r w:rsidR="00615EAD">
        <w:t>including:</w:t>
      </w:r>
      <w:r w:rsidR="00B75AA5">
        <w:t xml:space="preserve"> </w:t>
      </w:r>
    </w:p>
    <w:p w:rsidR="00864DD7" w:rsidP="00290F62" w14:paraId="5792F34A" w14:textId="77777777"/>
    <w:p w:rsidR="00864DD7" w:rsidP="00290F62" w14:paraId="3B8C552B" w14:textId="601EEDB2">
      <w:pPr>
        <w:numPr>
          <w:ilvl w:val="0"/>
          <w:numId w:val="4"/>
        </w:numPr>
        <w:ind w:left="1080"/>
        <w:rPr>
          <w:sz w:val="22"/>
          <w:szCs w:val="22"/>
        </w:rPr>
      </w:pPr>
      <w:r>
        <w:t xml:space="preserve">1/2 minute for AmeriCorps members to complete their section x </w:t>
      </w:r>
      <w:r w:rsidR="00C7741F">
        <w:t xml:space="preserve">34,385 </w:t>
      </w:r>
      <w:r>
        <w:t>forms = </w:t>
      </w:r>
      <w:r w:rsidR="00F00211">
        <w:t>17,192</w:t>
      </w:r>
      <w:r w:rsidR="00312E4E">
        <w:t xml:space="preserve"> </w:t>
      </w:r>
      <w:r>
        <w:t xml:space="preserve">minutes </w:t>
      </w:r>
      <w:r w:rsidR="00312E4E">
        <w:t xml:space="preserve">(rounded) </w:t>
      </w:r>
      <w:r>
        <w:t xml:space="preserve">or </w:t>
      </w:r>
      <w:r w:rsidR="00F00211">
        <w:t>286</w:t>
      </w:r>
      <w:r>
        <w:t xml:space="preserve"> hours</w:t>
      </w:r>
      <w:r w:rsidR="00312E4E">
        <w:t xml:space="preserve"> (rounded)</w:t>
      </w:r>
    </w:p>
    <w:p w:rsidR="00864DD7" w:rsidP="00290F62" w14:paraId="11AC330F" w14:textId="68056A73">
      <w:pPr>
        <w:numPr>
          <w:ilvl w:val="0"/>
          <w:numId w:val="4"/>
        </w:numPr>
        <w:ind w:left="1080"/>
      </w:pPr>
      <w:r>
        <w:t xml:space="preserve">4 1/2 minutes for schools or loan holders to complete their portion x </w:t>
      </w:r>
      <w:r w:rsidR="00F00211">
        <w:t xml:space="preserve">34,385 </w:t>
      </w:r>
      <w:r>
        <w:t xml:space="preserve">forms = </w:t>
      </w:r>
      <w:r w:rsidR="005D5439">
        <w:t>154,732.5</w:t>
      </w:r>
      <w:r>
        <w:t xml:space="preserve"> minutes or </w:t>
      </w:r>
      <w:r w:rsidR="002433BE">
        <w:t>2,579 (rounded up)</w:t>
      </w:r>
      <w:r>
        <w:t xml:space="preserve"> hours</w:t>
      </w:r>
      <w:r w:rsidR="000154F4">
        <w:t>.</w:t>
      </w:r>
    </w:p>
    <w:p w:rsidR="000154F4" w:rsidP="009926E0" w14:paraId="1260CD11" w14:textId="3E6FB8EA">
      <w:r>
        <w:t xml:space="preserve">The estimated annual IC cost burden increased by $17,536 to account for </w:t>
      </w:r>
      <w:r w:rsidR="00711472">
        <w:t>the</w:t>
      </w:r>
      <w:r>
        <w:t xml:space="preserve"> increase in the </w:t>
      </w:r>
      <w:r w:rsidR="004C3F2A">
        <w:t>U.S. Bureau of Labor Statistics’ Employer Costs for Employee Compensation for civilian workers</w:t>
      </w:r>
      <w:r w:rsidR="00711472">
        <w:t xml:space="preserve"> on which AmeriCorps’ cost estimate is based</w:t>
      </w:r>
      <w:r w:rsidR="004C3F2A">
        <w:t xml:space="preserve">. </w:t>
      </w:r>
    </w:p>
    <w:p w:rsidR="00953FAC" w:rsidRPr="00915869" w:rsidP="00953FAC" w14:paraId="008B702C" w14:textId="77777777">
      <w:pPr>
        <w:pStyle w:val="Default"/>
        <w:widowControl w:val="0"/>
        <w:rPr>
          <w:rFonts w:ascii="Times New Roman" w:hAnsi="Times New Roman"/>
          <w:color w:val="auto"/>
          <w:szCs w:val="22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14:paraId="67F2EF45" w14:textId="77777777" w:rsidTr="007D6B91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611"/>
              <w:gridCol w:w="1186"/>
              <w:gridCol w:w="1189"/>
              <w:gridCol w:w="1189"/>
              <w:gridCol w:w="1244"/>
              <w:gridCol w:w="977"/>
              <w:gridCol w:w="1110"/>
            </w:tblGrid>
            <w:tr w14:paraId="5775B77E" w14:textId="77777777" w:rsidTr="007D6B91">
              <w:tblPrEx>
                <w:tblW w:w="5000" w:type="pct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005AFDB6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3DC3EBA9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Requested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20348EBE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Program Change Due to New </w:t>
                  </w:r>
                  <w:r w:rsidRPr="00915869">
                    <w:rPr>
                      <w:b/>
                      <w:bCs/>
                      <w:szCs w:val="22"/>
                    </w:rPr>
                    <w:t>Statute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1B54E305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Program Change Due to Agency </w:t>
                  </w:r>
                  <w:r w:rsidRPr="00915869">
                    <w:rPr>
                      <w:b/>
                      <w:bCs/>
                      <w:szCs w:val="22"/>
                    </w:rPr>
                    <w:t>Discretion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2296020C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Change Due to Adjustment in Agency </w:t>
                  </w:r>
                  <w:r w:rsidRPr="00915869">
                    <w:rPr>
                      <w:b/>
                      <w:bCs/>
                      <w:szCs w:val="22"/>
                    </w:rPr>
                    <w:t>Estimate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6FD947EB" w14:textId="7777777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Change Due to Potential Violation </w:t>
                  </w:r>
                  <w:r w:rsidRPr="00915869">
                    <w:rPr>
                      <w:b/>
                      <w:bCs/>
                      <w:szCs w:val="22"/>
                    </w:rPr>
                    <w:t>of the PRA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7DA90019" w14:textId="77777777">
                  <w:pPr>
                    <w:widowControl w:val="0"/>
                    <w:rPr>
                      <w:b/>
                    </w:rPr>
                  </w:pPr>
                  <w:r w:rsidRPr="4007CB31">
                    <w:rPr>
                      <w:b/>
                    </w:rPr>
                    <w:t>Previously Approved</w:t>
                  </w:r>
                </w:p>
              </w:tc>
            </w:tr>
            <w:tr w14:paraId="0536BB07" w14:textId="77777777" w:rsidTr="00953FAC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5A0D32B7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Number of Responses for this IC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475F7D6F" w14:textId="2DDA64F0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34,385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55BD4D4" w14:textId="2E5F1CD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1F00AA20" w14:textId="071BFB84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778B50AF" w14:textId="6AA59D8A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6A33938" w14:textId="578C9A3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2ED6E5B2" w14:textId="59DE539A">
                  <w:pPr>
                    <w:widowControl w:val="0"/>
                  </w:pPr>
                  <w:r>
                    <w:t>34,385</w:t>
                  </w:r>
                </w:p>
              </w:tc>
            </w:tr>
            <w:tr w14:paraId="3595811F" w14:textId="77777777" w:rsidTr="00953FAC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1FB1BB76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IC Time Burden (Hour)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00714F06" w14:textId="7A0D67AA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2,865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15F152A7" w14:textId="2A3B78D2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65FC905B" w14:textId="4696D9DE">
                  <w:pPr>
                    <w:spacing w:line="259" w:lineRule="auto"/>
                  </w:pPr>
                  <w: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253AE789" w14:textId="413A1203">
                  <w:pPr>
                    <w:spacing w:line="259" w:lineRule="auto"/>
                  </w:pPr>
                  <w: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5FD14749" w14:textId="243101BA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7AA8B786" w14:textId="6BD1D979">
                  <w:pPr>
                    <w:widowControl w:val="0"/>
                  </w:pPr>
                  <w:r>
                    <w:t>2,865</w:t>
                  </w:r>
                </w:p>
              </w:tc>
            </w:tr>
            <w:tr w14:paraId="0CB5753C" w14:textId="77777777" w:rsidTr="00953FAC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43875C67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IC Cost Burden (Dollars)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AF0A29A" w14:textId="6C90F5B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137,540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C9AB6DA" w14:textId="45D4244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166598EC" w14:textId="768140A9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52A85366" w14:textId="10301407">
                  <w:pPr>
                    <w:spacing w:line="259" w:lineRule="auto"/>
                  </w:pPr>
                  <w:r>
                    <w:rPr>
                      <w:szCs w:val="22"/>
                    </w:rPr>
                    <w:t>17</w:t>
                  </w:r>
                  <w:r w:rsidR="000154F4">
                    <w:rPr>
                      <w:szCs w:val="22"/>
                    </w:rPr>
                    <w:t>,536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1E945CB4" w14:textId="579A976B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CB52767" w14:textId="1F7D0538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120,004</w:t>
                  </w:r>
                </w:p>
              </w:tc>
            </w:tr>
          </w:tbl>
          <w:p w:rsidR="00953FAC" w:rsidRPr="00915869" w:rsidP="007D6B91" w14:paraId="285F37F8" w14:textId="77777777">
            <w:pPr>
              <w:widowControl w:val="0"/>
              <w:rPr>
                <w:szCs w:val="22"/>
              </w:rPr>
            </w:pPr>
          </w:p>
        </w:tc>
      </w:tr>
    </w:tbl>
    <w:p w:rsidR="00953FAC" w:rsidP="00953FAC" w14:paraId="543EAB15" w14:textId="2AA40896">
      <w:pPr>
        <w:pStyle w:val="Default"/>
        <w:widowControl w:val="0"/>
        <w:rPr>
          <w:color w:val="000000" w:themeColor="text1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570"/>
        <w:gridCol w:w="70"/>
      </w:tblGrid>
      <w:tr w14:paraId="2A757ED5" w14:textId="77777777" w:rsidTr="002D3805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101" w:type="dxa"/>
          <w:tblCellSpacing w:w="22" w:type="dxa"/>
        </w:trPr>
        <w:tc>
          <w:tcPr>
            <w:tcW w:w="48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AC" w:rsidRPr="00915869" w:rsidP="007D6B91" w14:paraId="033624FE" w14:textId="77777777">
            <w:pPr>
              <w:widowControl w:val="0"/>
              <w:rPr>
                <w:szCs w:val="22"/>
              </w:rPr>
            </w:pPr>
            <w:r w:rsidRPr="00915869">
              <w:rPr>
                <w:szCs w:val="22"/>
              </w:rPr>
              <w:t xml:space="preserve">Burden per Response: </w:t>
            </w:r>
          </w:p>
          <w:tbl>
            <w:tblPr>
              <w:tblW w:w="73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348"/>
              <w:gridCol w:w="2153"/>
              <w:gridCol w:w="1807"/>
              <w:gridCol w:w="2087"/>
            </w:tblGrid>
            <w:tr w14:paraId="1B980365" w14:textId="77777777" w:rsidTr="007D6B91">
              <w:tblPrEx>
                <w:tblW w:w="7395" w:type="dxa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4F35C803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 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5D470D95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Time Per Response 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09E0EC97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Hours 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953FAC" w:rsidRPr="00915869" w:rsidP="007D6B91" w14:paraId="14E12012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Cost Per Response </w:t>
                  </w:r>
                </w:p>
              </w:tc>
            </w:tr>
            <w:tr w14:paraId="424150FC" w14:textId="77777777" w:rsidTr="00953FAC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31C6FDA7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Reporting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39FDBFD8" w14:textId="23D1A913">
                  <w:pPr>
                    <w:widowControl w:val="0"/>
                  </w:pPr>
                  <w:r>
                    <w:t>5 minutes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56B58295" w14:textId="076D401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0.08333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0C5F620D" w14:textId="1A3E036C">
                  <w:pPr>
                    <w:widowControl w:val="0"/>
                  </w:pPr>
                  <w:r>
                    <w:t>$</w:t>
                  </w:r>
                  <w:r w:rsidR="00F90418">
                    <w:t>4</w:t>
                  </w:r>
                  <w:r w:rsidR="00E159E0">
                    <w:t>.00</w:t>
                  </w:r>
                </w:p>
              </w:tc>
            </w:tr>
            <w:tr w14:paraId="0E0E6344" w14:textId="77777777" w:rsidTr="00953FAC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5ECC993B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Record Keeping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6A1F436C" w14:textId="020FB89B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4C6A8204" w14:textId="3029BAC5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2D0AAFFE" w14:textId="4BEEF4B4">
                  <w:pPr>
                    <w:widowControl w:val="0"/>
                  </w:pPr>
                  <w:r>
                    <w:t>0</w:t>
                  </w:r>
                </w:p>
              </w:tc>
            </w:tr>
            <w:tr w14:paraId="598CEA47" w14:textId="77777777" w:rsidTr="00953FAC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953FAC" w:rsidRPr="00915869" w:rsidP="007D6B91" w14:paraId="5902DFD3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Third Party Disclosure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5E517D5D" w14:textId="26B7F7F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77433F36" w14:textId="78CE8B03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RPr="00915869" w:rsidP="007D6B91" w14:paraId="69DCE011" w14:textId="292E85C4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</w:tr>
            <w:tr w14:paraId="2228B56D" w14:textId="77777777" w:rsidTr="00953FAC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225B5C" w:rsidRPr="00915869" w:rsidP="00225B5C" w14:paraId="0E049A89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Total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RPr="00915869" w:rsidP="00225B5C" w14:paraId="61A92D18" w14:textId="13A68663">
                  <w:pPr>
                    <w:widowControl w:val="0"/>
                  </w:pPr>
                  <w:r>
                    <w:t>5 minutes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RPr="00915869" w:rsidP="00225B5C" w14:paraId="3233DBD2" w14:textId="767E5183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0.08333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RPr="00915869" w:rsidP="00225B5C" w14:paraId="0A84C290" w14:textId="5816040D">
                  <w:pPr>
                    <w:widowControl w:val="0"/>
                    <w:jc w:val="right"/>
                  </w:pPr>
                  <w:r>
                    <w:t>$</w:t>
                  </w:r>
                  <w:r w:rsidR="00F90418">
                    <w:t>4</w:t>
                  </w:r>
                  <w:r w:rsidR="00E159E0">
                    <w:t>.00</w:t>
                  </w:r>
                </w:p>
              </w:tc>
            </w:tr>
          </w:tbl>
          <w:p w:rsidR="00953FAC" w:rsidRPr="00915869" w:rsidP="007D6B91" w14:paraId="0EC4E966" w14:textId="77777777">
            <w:pPr>
              <w:widowControl w:val="0"/>
            </w:pPr>
          </w:p>
          <w:p w:rsidR="00953FAC" w:rsidRPr="00915869" w:rsidP="007D6B91" w14:paraId="333A9684" w14:textId="77777777">
            <w:pPr>
              <w:widowControl w:val="0"/>
            </w:pPr>
            <w:r>
              <w:t xml:space="preserve">Annual Burden: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1661"/>
              <w:gridCol w:w="3229"/>
              <w:gridCol w:w="3268"/>
            </w:tblGrid>
            <w:tr w14:paraId="18FAF4AB" w14:textId="77777777" w:rsidTr="007D6B91">
              <w:tblPrEx>
                <w:tblW w:w="0" w:type="auto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Look w:val="04A0"/>
              </w:tblPrEx>
              <w:tc>
                <w:tcPr>
                  <w:tcW w:w="1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</w:tcPr>
                <w:p w:rsidR="00953FAC" w:rsidP="007D6B91" w14:paraId="69AD2316" w14:textId="77777777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 w:rsidRPr="4007CB31">
                    <w:rPr>
                      <w:b/>
                      <w:bCs/>
                    </w:rPr>
                    <w:t xml:space="preserve">  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</w:tcPr>
                <w:p w:rsidR="00953FAC" w:rsidP="007D6B91" w14:paraId="3227FABB" w14:textId="77777777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 w:rsidRPr="4007CB31">
                    <w:rPr>
                      <w:b/>
                      <w:bCs/>
                    </w:rPr>
                    <w:t xml:space="preserve">Annual Time Burden (Hours) </w:t>
                  </w:r>
                </w:p>
              </w:tc>
              <w:tc>
                <w:tcPr>
                  <w:tcW w:w="3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</w:tcPr>
                <w:p w:rsidR="00953FAC" w:rsidP="007D6B91" w14:paraId="42CA9573" w14:textId="77777777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 w:rsidRPr="4007CB31">
                    <w:rPr>
                      <w:b/>
                      <w:bCs/>
                    </w:rPr>
                    <w:t>Annual Cost Burden</w:t>
                  </w:r>
                </w:p>
                <w:p w:rsidR="00953FAC" w:rsidP="007D6B91" w14:paraId="70D43B7C" w14:textId="77777777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 w:rsidRPr="4007CB31">
                    <w:rPr>
                      <w:b/>
                      <w:bCs/>
                    </w:rPr>
                    <w:t xml:space="preserve">(Dollars) </w:t>
                  </w:r>
                </w:p>
              </w:tc>
            </w:tr>
            <w:tr w14:paraId="4C9B9A24" w14:textId="77777777" w:rsidTr="007D6B91">
              <w:tblPrEx>
                <w:tblW w:w="0" w:type="auto"/>
                <w:tblLook w:val="04A0"/>
              </w:tblPrEx>
              <w:tc>
                <w:tcPr>
                  <w:tcW w:w="1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6E88F7E5" w14:textId="77777777">
                  <w:r>
                    <w:t xml:space="preserve">Reporting 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179AF9BD" w14:textId="3C91EEF9">
                  <w:pPr>
                    <w:spacing w:line="259" w:lineRule="auto"/>
                  </w:pPr>
                  <w:r>
                    <w:t>2,865</w:t>
                  </w:r>
                </w:p>
              </w:tc>
              <w:tc>
                <w:tcPr>
                  <w:tcW w:w="3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2F6B90B7" w14:textId="5FA63AF1">
                  <w:pPr>
                    <w:spacing w:line="259" w:lineRule="auto"/>
                  </w:pPr>
                  <w:r>
                    <w:t>137,540</w:t>
                  </w:r>
                </w:p>
              </w:tc>
            </w:tr>
            <w:tr w14:paraId="3A1FED76" w14:textId="77777777" w:rsidTr="007D6B91">
              <w:tblPrEx>
                <w:tblW w:w="0" w:type="auto"/>
                <w:tblLook w:val="04A0"/>
              </w:tblPrEx>
              <w:tc>
                <w:tcPr>
                  <w:tcW w:w="1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087532DE" w14:textId="77777777">
                  <w:r>
                    <w:t xml:space="preserve">Record Keeping 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132D35AF" w14:textId="271BE7DF">
                  <w:pPr>
                    <w:spacing w:line="259" w:lineRule="auto"/>
                  </w:pPr>
                  <w:r>
                    <w:t>0</w:t>
                  </w:r>
                </w:p>
              </w:tc>
              <w:tc>
                <w:tcPr>
                  <w:tcW w:w="3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4871358B" w14:textId="749B24FC">
                  <w:pPr>
                    <w:spacing w:line="259" w:lineRule="auto"/>
                  </w:pPr>
                  <w:r>
                    <w:t>0</w:t>
                  </w:r>
                </w:p>
              </w:tc>
            </w:tr>
            <w:tr w14:paraId="6DBD45AE" w14:textId="77777777" w:rsidTr="007D6B91">
              <w:tblPrEx>
                <w:tblW w:w="0" w:type="auto"/>
                <w:tblLook w:val="04A0"/>
              </w:tblPrEx>
              <w:tc>
                <w:tcPr>
                  <w:tcW w:w="1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75E5AB25" w14:textId="77777777">
                  <w:r>
                    <w:t xml:space="preserve">Third Party Disclosure 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06E39E22" w14:textId="7EE6C29E">
                  <w:r>
                    <w:t>0</w:t>
                  </w:r>
                </w:p>
              </w:tc>
              <w:tc>
                <w:tcPr>
                  <w:tcW w:w="3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953FAC" w:rsidP="007D6B91" w14:paraId="65364335" w14:textId="75C516F7">
                  <w:r>
                    <w:t>0</w:t>
                  </w:r>
                </w:p>
              </w:tc>
            </w:tr>
            <w:tr w14:paraId="1A2AD275" w14:textId="77777777" w:rsidTr="007D6B91">
              <w:tblPrEx>
                <w:tblW w:w="0" w:type="auto"/>
                <w:tblLook w:val="04A0"/>
              </w:tblPrEx>
              <w:tc>
                <w:tcPr>
                  <w:tcW w:w="1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P="00225B5C" w14:paraId="112726F7" w14:textId="77777777">
                  <w:r>
                    <w:t xml:space="preserve">Total 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P="00225B5C" w14:paraId="260E83DC" w14:textId="7A261F89">
                  <w:r>
                    <w:t>2,865</w:t>
                  </w:r>
                </w:p>
              </w:tc>
              <w:tc>
                <w:tcPr>
                  <w:tcW w:w="3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</w:tcPr>
                <w:p w:rsidR="00225B5C" w:rsidP="00225B5C" w14:paraId="15E55642" w14:textId="07300FB0">
                  <w:pPr>
                    <w:spacing w:line="259" w:lineRule="auto"/>
                  </w:pPr>
                  <w:r>
                    <w:t>137,540</w:t>
                  </w:r>
                </w:p>
              </w:tc>
            </w:tr>
          </w:tbl>
          <w:p w:rsidR="00953FAC" w:rsidRPr="00915869" w:rsidP="007D6B91" w14:paraId="77D899FB" w14:textId="77777777">
            <w:pPr>
              <w:widowControl w:val="0"/>
            </w:pPr>
          </w:p>
          <w:p w:rsidR="00880C8A" w:rsidRPr="003C4BFC" w:rsidP="00880C8A" w14:paraId="38A1DDA8" w14:textId="77777777">
            <w:pPr>
              <w:shd w:val="clear" w:color="auto" w:fill="FFFFFF"/>
              <w:ind w:firstLine="915"/>
            </w:pPr>
            <w:r w:rsidRPr="003C4BFC">
              <w:rPr>
                <w:color w:val="201F1E"/>
              </w:rPr>
              <w:t>The estimated respondent burdens and labor costs are shown in the following table. </w:t>
            </w:r>
          </w:p>
          <w:p w:rsidR="00880C8A" w:rsidRPr="003C4BFC" w:rsidP="00880C8A" w14:paraId="34C137BF" w14:textId="77777777">
            <w:pPr>
              <w:shd w:val="clear" w:color="auto" w:fill="FFFFFF"/>
            </w:pPr>
            <w:r w:rsidRPr="003C4BFC">
              <w:rPr>
                <w:color w:val="201F1E"/>
              </w:rPr>
              <w:t>  </w:t>
            </w:r>
          </w:p>
          <w:tbl>
            <w:tblPr>
              <w:tblW w:w="0" w:type="dxa"/>
              <w:tblInd w:w="1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257"/>
              <w:gridCol w:w="2074"/>
            </w:tblGrid>
            <w:tr w14:paraId="3763B52C" w14:textId="77777777" w:rsidTr="000263AA">
              <w:tblPrEx>
                <w:tblW w:w="0" w:type="dxa"/>
                <w:tblInd w:w="105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75"/>
              </w:trPr>
              <w:tc>
                <w:tcPr>
                  <w:tcW w:w="9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73845953" w14:textId="77777777">
                  <w:pPr>
                    <w:jc w:val="center"/>
                  </w:pPr>
                  <w:r w:rsidRPr="003C4BFC">
                    <w:rPr>
                      <w:color w:val="201F1E"/>
                    </w:rPr>
                    <w:t>Estimation of Respondent Burden </w:t>
                  </w:r>
                </w:p>
              </w:tc>
            </w:tr>
            <w:tr w14:paraId="7132EC78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75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072A21BE" w14:textId="77777777">
                  <w:r w:rsidRPr="003C4BFC">
                    <w:rPr>
                      <w:color w:val="000000"/>
                    </w:rPr>
                    <w:t>Number of respondents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765D37CF" w14:textId="53C19F41">
                  <w:r>
                    <w:t>34,385</w:t>
                  </w:r>
                </w:p>
              </w:tc>
            </w:tr>
            <w:tr w14:paraId="0E5FA971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20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49A6A391" w14:textId="77777777">
                  <w:r w:rsidRPr="003C4BFC">
                    <w:rPr>
                      <w:color w:val="000000"/>
                    </w:rPr>
                    <w:t>Responses per respondent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18DDC1C7" w14:textId="77777777">
                  <w:r w:rsidRPr="003C4BFC">
                    <w:rPr>
                      <w:color w:val="000000"/>
                    </w:rPr>
                    <w:t>1 </w:t>
                  </w:r>
                </w:p>
              </w:tc>
            </w:tr>
            <w:tr w14:paraId="5F1C337E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20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06F405BB" w14:textId="77777777">
                  <w:r w:rsidRPr="003C4BFC">
                    <w:rPr>
                      <w:color w:val="000000"/>
                    </w:rPr>
                    <w:t>Number of responses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5A8C9AD1" w14:textId="74FAF5D1">
                  <w:r>
                    <w:t>34,385</w:t>
                  </w:r>
                </w:p>
              </w:tc>
            </w:tr>
            <w:tr w14:paraId="1DF9CB3C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35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57F0545F" w14:textId="77777777">
                  <w:r w:rsidRPr="003C4BFC">
                    <w:rPr>
                      <w:color w:val="000000"/>
                    </w:rPr>
                    <w:t>Hours per response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39E1940F" w14:textId="3BCABEE3">
                  <w:r>
                    <w:rPr>
                      <w:color w:val="000000"/>
                    </w:rPr>
                    <w:t>0.08333</w:t>
                  </w:r>
                  <w:r w:rsidRPr="003C4BFC">
                    <w:rPr>
                      <w:color w:val="000000"/>
                    </w:rPr>
                    <w:t> </w:t>
                  </w:r>
                </w:p>
              </w:tc>
            </w:tr>
            <w:tr w14:paraId="6216DD2D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35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12F670BA" w14:textId="77777777">
                  <w:r w:rsidRPr="003C4BFC">
                    <w:rPr>
                      <w:color w:val="000000"/>
                    </w:rPr>
                    <w:t>Total estimated hours (number of responses multiplied by hours per response)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134F3E54" w14:textId="2FE3A148">
                  <w:r>
                    <w:t>2,865</w:t>
                  </w:r>
                </w:p>
              </w:tc>
            </w:tr>
            <w:tr w14:paraId="2DEEDF40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20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222FFE30" w14:textId="77777777">
                  <w:r w:rsidRPr="003C4BFC">
                    <w:rPr>
                      <w:color w:val="000000"/>
                    </w:rPr>
                    <w:t>Cost per hour (hourly wage)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26372E10" w14:textId="59D68823">
                  <w:r w:rsidRPr="003C4BFC">
                    <w:rPr>
                      <w:color w:val="201F1E"/>
                    </w:rPr>
                    <w:t>$</w:t>
                  </w:r>
                  <w:r w:rsidR="007E42AC">
                    <w:rPr>
                      <w:color w:val="201F1E"/>
                    </w:rPr>
                    <w:t>48.05</w:t>
                  </w:r>
                </w:p>
              </w:tc>
            </w:tr>
            <w:tr w14:paraId="5E45D33C" w14:textId="77777777" w:rsidTr="000263AA">
              <w:tblPrEx>
                <w:tblW w:w="0" w:type="dxa"/>
                <w:tblInd w:w="105" w:type="dxa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35"/>
              </w:trPr>
              <w:tc>
                <w:tcPr>
                  <w:tcW w:w="70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3FF76002" w14:textId="77777777">
                  <w:r w:rsidRPr="003C4BFC">
                    <w:rPr>
                      <w:color w:val="000000"/>
                    </w:rPr>
                    <w:t>Annual public burden (estimated hours multiplied by cost per hour)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80C8A" w:rsidRPr="003C4BFC" w:rsidP="00880C8A" w14:paraId="102B0AB1" w14:textId="03E9DB97">
                  <w:r w:rsidRPr="003C4BFC">
                    <w:rPr>
                      <w:color w:val="201F1E"/>
                    </w:rPr>
                    <w:t>$</w:t>
                  </w:r>
                  <w:r w:rsidR="00CD2623">
                    <w:rPr>
                      <w:color w:val="201F1E"/>
                    </w:rPr>
                    <w:t>137,540</w:t>
                  </w:r>
                </w:p>
              </w:tc>
            </w:tr>
          </w:tbl>
          <w:p w:rsidR="00880C8A" w:rsidRPr="003C4BFC" w:rsidP="00880C8A" w14:paraId="37C581B5" w14:textId="77777777">
            <w:pPr>
              <w:shd w:val="clear" w:color="auto" w:fill="FFFFFF"/>
            </w:pPr>
            <w:r w:rsidRPr="003C4BFC">
              <w:rPr>
                <w:color w:val="201F1E"/>
              </w:rPr>
              <w:t>  </w:t>
            </w:r>
          </w:p>
          <w:p w:rsidR="00953FAC" w:rsidRPr="00F73B1B" w:rsidP="00F73B1B" w14:paraId="4B983D53" w14:textId="547A455E">
            <w:pPr>
              <w:rPr>
                <w:rFonts w:ascii="Calibri" w:hAnsi="Calibri"/>
                <w:sz w:val="22"/>
              </w:rPr>
            </w:pPr>
            <w:r w:rsidRPr="00937EAC">
              <w:rPr>
                <w:b/>
                <w:bCs/>
                <w:color w:val="201F1E"/>
                <w:bdr w:val="none" w:sz="0" w:space="0" w:color="auto" w:frame="1"/>
              </w:rPr>
              <w:t>Note:</w:t>
            </w:r>
            <w:r w:rsidRPr="00937EAC">
              <w:rPr>
                <w:color w:val="201F1E"/>
                <w:bdr w:val="none" w:sz="0" w:space="0" w:color="auto" w:frame="1"/>
              </w:rPr>
              <w:t> </w:t>
            </w:r>
            <w:r>
              <w:t>We estimate the cost per hour to respondents to be $</w:t>
            </w:r>
            <w:r w:rsidR="007F5A43">
              <w:t>48.05</w:t>
            </w:r>
            <w:r>
              <w:t xml:space="preserve">, including benefits, based on the U.S. Bureau of Labor Statistics’ Employer Costs for Employee Compensation for civilian workers, </w:t>
            </w:r>
            <w:r w:rsidR="00433281">
              <w:t>June 2025</w:t>
            </w:r>
            <w:r>
              <w:t xml:space="preserve"> (USDL-</w:t>
            </w:r>
            <w:r w:rsidR="00433281">
              <w:t>25-</w:t>
            </w:r>
            <w:r w:rsidR="00DC17E1">
              <w:t>1358</w:t>
            </w:r>
            <w:r>
              <w:t xml:space="preserve">, released </w:t>
            </w:r>
            <w:r w:rsidR="00DC17E1">
              <w:t>September 12, 2025</w:t>
            </w:r>
            <w:r>
              <w:t xml:space="preserve">). See </w:t>
            </w:r>
            <w:hyperlink r:id="rId7" w:history="1">
              <w:r>
                <w:rPr>
                  <w:rStyle w:val="Hyperlink"/>
                </w:rPr>
                <w:t>https://www.bls.gov/news.release/pdf/ecec.pdf</w:t>
              </w:r>
            </w:hyperlink>
            <w:r>
              <w:t xml:space="preserve">.  The cost per response, at </w:t>
            </w:r>
            <w:r w:rsidR="00223E8C">
              <w:t>5</w:t>
            </w:r>
            <w:r>
              <w:t xml:space="preserve"> minutes per response, is $</w:t>
            </w:r>
            <w:r w:rsidR="00F74FD6">
              <w:t>4.00</w:t>
            </w:r>
            <w:r>
              <w:t xml:space="preserve"> (rounded), for a total cost burden of $</w:t>
            </w:r>
            <w:r w:rsidR="00CD2623">
              <w:t>137,540</w:t>
            </w:r>
            <w:r>
              <w:t xml:space="preserve">.  </w:t>
            </w:r>
          </w:p>
        </w:tc>
      </w:tr>
      <w:tr w14:paraId="4D673264" w14:textId="77777777" w:rsidTr="002D3805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94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AC" w:rsidRPr="00915869" w:rsidP="007D6B91" w14:paraId="7BD249D4" w14:textId="77777777">
            <w:pPr>
              <w:widowControl w:val="0"/>
              <w:rPr>
                <w:szCs w:val="22"/>
              </w:rPr>
            </w:pPr>
          </w:p>
        </w:tc>
      </w:tr>
    </w:tbl>
    <w:p w:rsidR="00953FAC" w:rsidP="00953FAC" w14:paraId="0B050138" w14:textId="6F465086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</w:pPr>
      <w:r>
        <w:rPr>
          <w:rFonts w:ascii="Times New Roman" w:hAnsi="Times New Roman"/>
          <w:b/>
          <w:bCs/>
          <w:szCs w:val="24"/>
          <w:u w:val="single"/>
        </w:rPr>
        <w:t xml:space="preserve">13. </w:t>
      </w:r>
      <w:r w:rsidRPr="00881BB9">
        <w:rPr>
          <w:rFonts w:ascii="Times New Roman" w:hAnsi="Times New Roman"/>
          <w:b/>
          <w:bCs/>
          <w:szCs w:val="24"/>
          <w:u w:val="single"/>
        </w:rPr>
        <w:t>Estimated nonrecurring costs</w:t>
      </w:r>
      <w:r w:rsidRPr="00505E03">
        <w:rPr>
          <w:rFonts w:ascii="Times New Roman" w:hAnsi="Times New Roman"/>
          <w:szCs w:val="24"/>
        </w:rPr>
        <w:t xml:space="preserve">. </w:t>
      </w:r>
    </w:p>
    <w:p w:rsidR="00953FAC" w:rsidP="00953FAC" w14:paraId="5A0C817B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</w:pPr>
    </w:p>
    <w:p w:rsidR="00864DD7" w:rsidRPr="00D04FDF" w:rsidP="00D04FDF" w14:paraId="162F7129" w14:textId="77733302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t>This data collection does not involve any nonrecurring costs.</w:t>
      </w:r>
    </w:p>
    <w:p w:rsidR="00246CCA" w:rsidP="000576E9" w14:paraId="5EE65A67" w14:textId="77777777">
      <w:pPr>
        <w:rPr>
          <w:b/>
          <w:bCs/>
        </w:rPr>
      </w:pPr>
    </w:p>
    <w:p w:rsidR="00794145" w:rsidRPr="006D3366" w:rsidP="00794145" w14:paraId="2D361521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</w:rPr>
      </w:pPr>
      <w:r w:rsidRPr="4007CB31">
        <w:rPr>
          <w:rFonts w:ascii="Times New Roman" w:hAnsi="Times New Roman"/>
          <w:b/>
          <w:u w:val="single"/>
        </w:rPr>
        <w:t>14. Estimated cost to the Government</w:t>
      </w:r>
      <w:r w:rsidRPr="4007CB31">
        <w:rPr>
          <w:rFonts w:ascii="Times New Roman" w:hAnsi="Times New Roman"/>
        </w:rPr>
        <w:t xml:space="preserve">. </w:t>
      </w:r>
    </w:p>
    <w:p w:rsidR="00D74ADD" w:rsidP="00D74ADD" w14:paraId="609EA35A" w14:textId="77777777">
      <w:pPr>
        <w:ind w:firstLine="540"/>
      </w:pPr>
    </w:p>
    <w:tbl>
      <w:tblPr>
        <w:tblW w:w="72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49"/>
        <w:gridCol w:w="1015"/>
        <w:gridCol w:w="898"/>
        <w:gridCol w:w="1238"/>
        <w:gridCol w:w="901"/>
        <w:gridCol w:w="1260"/>
      </w:tblGrid>
      <w:tr w14:paraId="3F6DC31D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0EDB09A" w14:textId="777777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799CD5EA" w14:textId="777777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Pay Band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10C76746" w14:textId="701DF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Salary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1E3931C" w14:textId="4793185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Fringe if applicable</w:t>
            </w:r>
            <w:r w:rsidRPr="00FE10FD" w:rsidR="0020735D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9046C2A" w14:textId="649731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% of Effort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28F52F1" w14:textId="11B458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Total Cost to Government</w:t>
            </w:r>
          </w:p>
        </w:tc>
      </w:tr>
      <w:tr w14:paraId="61076FD7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70E30806" w14:textId="777777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Federal Oversight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50B7BBE0" w14:textId="777777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NY02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3AF5738" w14:textId="17EF28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 xml:space="preserve">   60,000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0725716F" w14:textId="76FE03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21,750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5D97BA10" w14:textId="1746A9E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27D6E90" w14:textId="361520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6,867</w:t>
            </w:r>
          </w:p>
        </w:tc>
      </w:tr>
      <w:tr w14:paraId="2E21A4FB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755A69A9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8948171" w14:textId="777777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NY03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64368811" w14:textId="4C340E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 xml:space="preserve">   80,000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4D98068" w14:textId="0E4E3D3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EFE8239" w14:textId="0CF09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71FE85A" w14:textId="31D06BB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9,156</w:t>
            </w:r>
          </w:p>
        </w:tc>
      </w:tr>
      <w:tr w14:paraId="6F628D07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5BC2F45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6123BE09" w14:textId="777777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NY03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33E4DB7" w14:textId="2A521D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 xml:space="preserve">   80,000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1F60CFCB" w14:textId="787F05F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2F04D6D" w14:textId="05D7BD4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601060E8" w14:textId="5E5B3A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9,156</w:t>
            </w:r>
          </w:p>
        </w:tc>
      </w:tr>
      <w:tr w14:paraId="784C3AF1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2C9433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6E23C687" w14:textId="777777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NY03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6D84226D" w14:textId="161697C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 xml:space="preserve">   80,000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305CE5D" w14:textId="3C147C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A8FEE73" w14:textId="4085FF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00CA9F41" w14:textId="6CD04B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9,156</w:t>
            </w:r>
          </w:p>
        </w:tc>
      </w:tr>
      <w:tr w14:paraId="3C953BCD" w14:textId="77777777" w:rsidTr="009926E0">
        <w:tblPrEx>
          <w:tblW w:w="7261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1F7E2C33" w14:textId="777777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E10FD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672528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2AD3FEA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0EE6639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464C7FA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4FE" w:rsidRPr="00FE10FD" w:rsidP="00C614FE" w14:paraId="37867723" w14:textId="43D0AB4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E10FD">
              <w:rPr>
                <w:color w:val="000000"/>
                <w:sz w:val="22"/>
                <w:szCs w:val="22"/>
              </w:rPr>
              <w:t>34,335</w:t>
            </w:r>
          </w:p>
        </w:tc>
      </w:tr>
    </w:tbl>
    <w:p w:rsidR="000576E9" w:rsidP="000576E9" w14:paraId="44240941" w14:textId="77777777">
      <w:pPr>
        <w:rPr>
          <w:rFonts w:ascii="Arial Narrow" w:hAnsi="Arial Narrow"/>
        </w:rPr>
      </w:pPr>
    </w:p>
    <w:p w:rsidR="004E3979" w:rsidP="004E3979" w14:paraId="760ABA8A" w14:textId="23C4E15B">
      <w:pPr>
        <w:shd w:val="clear" w:color="auto" w:fill="FFFFFF"/>
        <w:rPr>
          <w:color w:val="201F1E"/>
        </w:rPr>
      </w:pPr>
      <w:r>
        <w:rPr>
          <w:color w:val="201F1E"/>
        </w:rPr>
        <w:t>*</w:t>
      </w:r>
      <w:r w:rsidRPr="0074792D">
        <w:rPr>
          <w:color w:val="201F1E"/>
        </w:rPr>
        <w:t xml:space="preserve">The 36.25% civilian personnel full fringe benefit rate </w:t>
      </w:r>
      <w:r w:rsidR="009F4F5F">
        <w:rPr>
          <w:color w:val="201F1E"/>
        </w:rPr>
        <w:t xml:space="preserve">is </w:t>
      </w:r>
      <w:r w:rsidRPr="0074792D">
        <w:rPr>
          <w:color w:val="201F1E"/>
        </w:rPr>
        <w:t xml:space="preserve">from OMB memorandum M-08-13. </w:t>
      </w:r>
    </w:p>
    <w:p w:rsidR="004E3979" w:rsidRPr="001C4327" w:rsidP="000576E9" w14:paraId="78304ABB" w14:textId="77777777">
      <w:pPr>
        <w:rPr>
          <w:rFonts w:ascii="Arial Narrow" w:hAnsi="Arial Narrow"/>
        </w:rPr>
      </w:pPr>
    </w:p>
    <w:p w:rsidR="000A68D7" w:rsidP="000A68D7" w14:paraId="7465D9BC" w14:textId="77777777">
      <w:pPr>
        <w:widowControl w:val="0"/>
        <w:tabs>
          <w:tab w:val="left" w:pos="360"/>
          <w:tab w:val="left" w:pos="720"/>
          <w:tab w:val="left" w:pos="1080"/>
        </w:tabs>
      </w:pPr>
      <w:r>
        <w:rPr>
          <w:b/>
          <w:bCs/>
          <w:u w:val="single"/>
        </w:rPr>
        <w:t xml:space="preserve">15. </w:t>
      </w:r>
      <w:r w:rsidRPr="008E2B0B">
        <w:rPr>
          <w:b/>
          <w:bCs/>
          <w:u w:val="single"/>
        </w:rPr>
        <w:t>Reasons for changes</w:t>
      </w:r>
      <w:r w:rsidRPr="008E2B0B">
        <w:rPr>
          <w:b/>
          <w:bCs/>
        </w:rPr>
        <w:t>.</w:t>
      </w:r>
      <w:r w:rsidRPr="008E2B0B">
        <w:t xml:space="preserve"> </w:t>
      </w:r>
    </w:p>
    <w:p w:rsidR="00395ED5" w:rsidRPr="001C4327" w:rsidP="000576E9" w14:paraId="1EE97D19" w14:textId="77777777">
      <w:pPr>
        <w:rPr>
          <w:b/>
          <w:bCs/>
        </w:rPr>
      </w:pPr>
    </w:p>
    <w:p w:rsidR="00711472" w:rsidP="00711472" w14:paraId="774075B7" w14:textId="77777777">
      <w:r>
        <w:t xml:space="preserve">The estimated annual IC cost burden increased by $17,536 to account for the increase in the U.S. Bureau of Labor Statistics’ Employer Costs for Employee Compensation for civilian workers on which AmeriCorps’ cost estimate is based. </w:t>
      </w:r>
    </w:p>
    <w:p w:rsidR="000576E9" w:rsidRPr="001C4327" w:rsidP="000576E9" w14:paraId="4ED9BE20" w14:textId="77777777">
      <w:pPr>
        <w:rPr>
          <w:rFonts w:ascii="Arial Narrow" w:hAnsi="Arial Narrow"/>
        </w:rPr>
      </w:pPr>
      <w:r w:rsidRPr="001C4327">
        <w:t> </w:t>
      </w:r>
    </w:p>
    <w:p w:rsidR="00D917D4" w:rsidP="00D917D4" w14:paraId="4024F042" w14:textId="77777777">
      <w:pPr>
        <w:widowControl w:val="0"/>
        <w:tabs>
          <w:tab w:val="left" w:pos="360"/>
          <w:tab w:val="left" w:pos="720"/>
          <w:tab w:val="left" w:pos="1080"/>
        </w:tabs>
        <w:rPr>
          <w:u w:val="single"/>
        </w:rPr>
      </w:pPr>
      <w:r>
        <w:rPr>
          <w:b/>
          <w:bCs/>
          <w:u w:val="single"/>
        </w:rPr>
        <w:t xml:space="preserve">16. </w:t>
      </w:r>
      <w:r w:rsidRPr="00ED0E95">
        <w:rPr>
          <w:b/>
          <w:bCs/>
          <w:u w:val="single"/>
        </w:rPr>
        <w:t>Publicizing Results.</w:t>
      </w:r>
      <w:r w:rsidRPr="00ED0E95">
        <w:rPr>
          <w:u w:val="single"/>
        </w:rPr>
        <w:t xml:space="preserve"> </w:t>
      </w:r>
    </w:p>
    <w:p w:rsidR="00395ED5" w:rsidP="000576E9" w14:paraId="7992994C" w14:textId="77777777"/>
    <w:p w:rsidR="000576E9" w:rsidRPr="001C4327" w:rsidP="00395ED5" w14:paraId="080FFCB6" w14:textId="77777777">
      <w:pPr>
        <w:ind w:firstLine="720"/>
        <w:rPr>
          <w:rFonts w:ascii="Arial Narrow" w:hAnsi="Arial Narrow"/>
        </w:rPr>
      </w:pPr>
      <w:r w:rsidRPr="001C4327">
        <w:t>Not applic</w:t>
      </w:r>
      <w:r w:rsidR="001C4327">
        <w:t xml:space="preserve">able because the responses to this information collection </w:t>
      </w:r>
      <w:r w:rsidRPr="001C4327">
        <w:t>will not be published. </w:t>
      </w:r>
    </w:p>
    <w:p w:rsidR="000A1932" w:rsidRPr="001C4327" w:rsidP="001C4327" w14:paraId="685E8E95" w14:textId="77777777">
      <w:pPr>
        <w:rPr>
          <w:rFonts w:ascii="Arial Narrow" w:hAnsi="Arial Narrow"/>
        </w:rPr>
      </w:pPr>
      <w:r w:rsidRPr="001C4327">
        <w:t> </w:t>
      </w:r>
    </w:p>
    <w:p w:rsidR="00C311AC" w:rsidP="00C311AC" w14:paraId="32129FB3" w14:textId="77777777">
      <w:pPr>
        <w:widowControl w:val="0"/>
        <w:tabs>
          <w:tab w:val="left" w:pos="360"/>
          <w:tab w:val="left" w:pos="720"/>
          <w:tab w:val="left" w:pos="1080"/>
        </w:tabs>
      </w:pPr>
      <w:r>
        <w:rPr>
          <w:b/>
          <w:bCs/>
          <w:u w:val="single"/>
        </w:rPr>
        <w:t xml:space="preserve">17. </w:t>
      </w:r>
      <w:r w:rsidRPr="0086346F">
        <w:rPr>
          <w:b/>
          <w:bCs/>
          <w:u w:val="single"/>
        </w:rPr>
        <w:t>OMB Not to Display Approval.</w:t>
      </w:r>
      <w:r w:rsidRPr="0086346F">
        <w:t xml:space="preserve"> </w:t>
      </w:r>
    </w:p>
    <w:p w:rsidR="00395ED5" w:rsidP="000576E9" w14:paraId="66164C18" w14:textId="77777777">
      <w:pPr>
        <w:ind w:left="540" w:hanging="540"/>
        <w:rPr>
          <w:bCs/>
        </w:rPr>
      </w:pPr>
    </w:p>
    <w:p w:rsidR="000F0564" w:rsidP="000F0564" w14:paraId="00722FE8" w14:textId="046D182F">
      <w:pPr>
        <w:ind w:firstLine="720"/>
        <w:rPr>
          <w:bCs/>
        </w:rPr>
      </w:pPr>
      <w:r>
        <w:rPr>
          <w:bCs/>
        </w:rPr>
        <w:t>AmeriCorps again requests that the expiration date not be displayed</w:t>
      </w:r>
      <w:r w:rsidR="00246CCA">
        <w:rPr>
          <w:bCs/>
        </w:rPr>
        <w:t xml:space="preserve">. </w:t>
      </w:r>
      <w:r>
        <w:rPr>
          <w:bCs/>
        </w:rPr>
        <w:t>OMB approved a similar request the last time AmeriCorps revised th</w:t>
      </w:r>
      <w:r w:rsidR="00246CCA">
        <w:rPr>
          <w:bCs/>
        </w:rPr>
        <w:t>is</w:t>
      </w:r>
      <w:r>
        <w:rPr>
          <w:bCs/>
        </w:rPr>
        <w:t xml:space="preserve"> form.</w:t>
      </w:r>
    </w:p>
    <w:p w:rsidR="00246CCA" w:rsidP="000F0564" w14:paraId="37A47C12" w14:textId="77777777">
      <w:pPr>
        <w:ind w:firstLine="720"/>
        <w:rPr>
          <w:bCs/>
        </w:rPr>
      </w:pPr>
    </w:p>
    <w:p w:rsidR="000F0564" w:rsidP="000F0564" w14:paraId="3C389F7F" w14:textId="1AA52696">
      <w:pPr>
        <w:ind w:firstLine="720"/>
        <w:rPr>
          <w:bCs/>
        </w:rPr>
      </w:pPr>
      <w:r>
        <w:rPr>
          <w:bCs/>
        </w:rPr>
        <w:t xml:space="preserve">Several years ago, when a prior version did include the expiration date, </w:t>
      </w:r>
      <w:r w:rsidR="00C311AC">
        <w:rPr>
          <w:bCs/>
        </w:rPr>
        <w:t xml:space="preserve">AmeriCorps </w:t>
      </w:r>
      <w:r>
        <w:rPr>
          <w:bCs/>
        </w:rPr>
        <w:t>was contacted by hundreds of members whose awards were not due to expire for several years because they thought the form’s expiration date was the date their award expired</w:t>
      </w:r>
      <w:r w:rsidR="00246CCA">
        <w:rPr>
          <w:bCs/>
        </w:rPr>
        <w:t xml:space="preserve">. </w:t>
      </w:r>
      <w:r>
        <w:rPr>
          <w:bCs/>
        </w:rPr>
        <w:t>We have not had this confusion with subsequent versions, which do not include the expiration date.</w:t>
      </w:r>
    </w:p>
    <w:p w:rsidR="00246CCA" w:rsidP="000F0564" w14:paraId="634BB216" w14:textId="77777777">
      <w:pPr>
        <w:ind w:firstLine="720"/>
        <w:rPr>
          <w:bCs/>
        </w:rPr>
      </w:pPr>
    </w:p>
    <w:p w:rsidR="000F0564" w:rsidRPr="001C4327" w:rsidP="000F0564" w14:paraId="69FBE5DC" w14:textId="77777777">
      <w:pPr>
        <w:ind w:firstLine="720"/>
        <w:rPr>
          <w:rFonts w:ascii="Arial Narrow" w:hAnsi="Arial Narrow"/>
        </w:rPr>
      </w:pPr>
      <w:r>
        <w:rPr>
          <w:bCs/>
        </w:rPr>
        <w:t>In addition, system constraints make it difficult to revise the hard-coded dates on the online versions in a timely manner, which may give rise to considerable confusion among members and institutions due to the display of a date indicating the ICR has expired.</w:t>
      </w:r>
    </w:p>
    <w:p w:rsidR="000576E9" w:rsidRPr="001C4327" w:rsidP="000576E9" w14:paraId="7FAE0A06" w14:textId="77777777">
      <w:pPr>
        <w:rPr>
          <w:rFonts w:ascii="Arial Narrow" w:hAnsi="Arial Narrow"/>
        </w:rPr>
      </w:pPr>
      <w:r w:rsidRPr="001C4327">
        <w:t> </w:t>
      </w:r>
    </w:p>
    <w:p w:rsidR="00120428" w:rsidP="00120428" w14:paraId="54BD7275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 xml:space="preserve">18. </w:t>
      </w:r>
      <w:r w:rsidRPr="005338FC">
        <w:rPr>
          <w:rFonts w:ascii="Times New Roman" w:hAnsi="Times New Roman"/>
          <w:b/>
          <w:bCs/>
          <w:szCs w:val="24"/>
          <w:u w:val="single"/>
        </w:rPr>
        <w:t xml:space="preserve">Exceptions to "Certification for Paperwork Reduction Submissions." </w:t>
      </w:r>
    </w:p>
    <w:p w:rsidR="00120428" w:rsidP="00120428" w14:paraId="02DCE479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b/>
          <w:bCs/>
          <w:szCs w:val="24"/>
          <w:u w:val="single"/>
        </w:rPr>
      </w:pPr>
    </w:p>
    <w:p w:rsidR="00120428" w:rsidRPr="00E7756D" w:rsidP="00120428" w14:paraId="6F35B3FF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t>There are no exceptions to the certification statement.</w:t>
      </w:r>
    </w:p>
    <w:p w:rsidR="00120428" w:rsidRPr="00E7756D" w:rsidP="00120428" w14:paraId="7A4726C3" w14:textId="77777777">
      <w:pPr>
        <w:widowControl w:val="0"/>
        <w:tabs>
          <w:tab w:val="left" w:pos="360"/>
          <w:tab w:val="left" w:pos="720"/>
          <w:tab w:val="left" w:pos="1080"/>
        </w:tabs>
      </w:pPr>
    </w:p>
    <w:p w:rsidR="00120428" w:rsidP="00120428" w14:paraId="16A6F19E" w14:textId="77777777">
      <w:pPr>
        <w:widowControl w:val="0"/>
        <w:tabs>
          <w:tab w:val="left" w:pos="360"/>
          <w:tab w:val="left" w:pos="720"/>
          <w:tab w:val="left" w:pos="10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19. </w:t>
      </w:r>
      <w:r w:rsidRPr="005338FC">
        <w:rPr>
          <w:b/>
          <w:bCs/>
          <w:u w:val="single"/>
        </w:rPr>
        <w:t>Surveys, Censuses, and Other Collections that Employ Statistical Methods</w:t>
      </w:r>
      <w:r>
        <w:rPr>
          <w:b/>
          <w:bCs/>
          <w:u w:val="single"/>
        </w:rPr>
        <w:t>.</w:t>
      </w:r>
    </w:p>
    <w:p w:rsidR="00120428" w:rsidP="00120428" w14:paraId="1D8FE7BC" w14:textId="77777777">
      <w:pPr>
        <w:widowControl w:val="0"/>
        <w:tabs>
          <w:tab w:val="left" w:pos="360"/>
          <w:tab w:val="left" w:pos="720"/>
          <w:tab w:val="left" w:pos="1080"/>
        </w:tabs>
      </w:pPr>
      <w:r w:rsidRPr="005338FC">
        <w:t xml:space="preserve"> </w:t>
      </w:r>
    </w:p>
    <w:p w:rsidR="00120428" w:rsidRPr="007674AD" w:rsidP="00120428" w14:paraId="34B9C6A7" w14:textId="77777777">
      <w:r w:rsidRPr="007674AD">
        <w:t>This request does not include surveys or censuses and does not use statistical methods</w:t>
      </w:r>
      <w:r>
        <w:t>.</w:t>
      </w:r>
    </w:p>
    <w:p w:rsidR="006400AC" w14:paraId="53990994" w14:textId="77777777"/>
    <w:p w:rsidR="006400AC" w:rsidRPr="001C4327" w:rsidP="00A907B0" w14:paraId="311161BC" w14:textId="77777777"/>
    <w:sectPr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5A5E" w:rsidP="00E178E3" w14:paraId="79ED528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5A5E" w14:paraId="208529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5A5E" w:rsidRPr="00E178E3" w:rsidP="00E178E3" w14:paraId="2C2EE35C" w14:textId="77777777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281F07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:rsidR="005B5A5E" w14:paraId="1DD50F5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811877"/>
    <w:multiLevelType w:val="hybridMultilevel"/>
    <w:tmpl w:val="A87897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477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2DB1533"/>
    <w:multiLevelType w:val="hybridMultilevel"/>
    <w:tmpl w:val="5ED80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FB002E"/>
    <w:multiLevelType w:val="hybridMultilevel"/>
    <w:tmpl w:val="409297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023037"/>
    <w:multiLevelType w:val="hybridMultilevel"/>
    <w:tmpl w:val="B4C69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FD3FB8"/>
    <w:multiLevelType w:val="hybridMultilevel"/>
    <w:tmpl w:val="6E788A5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036304">
    <w:abstractNumId w:val="0"/>
  </w:num>
  <w:num w:numId="2" w16cid:durableId="1864778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618936">
    <w:abstractNumId w:val="5"/>
  </w:num>
  <w:num w:numId="4" w16cid:durableId="501899010">
    <w:abstractNumId w:val="1"/>
  </w:num>
  <w:num w:numId="5" w16cid:durableId="1212156387">
    <w:abstractNumId w:val="4"/>
  </w:num>
  <w:num w:numId="6" w16cid:durableId="1696803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6"/>
    <w:rsid w:val="00000109"/>
    <w:rsid w:val="000012EC"/>
    <w:rsid w:val="0001260C"/>
    <w:rsid w:val="00014A51"/>
    <w:rsid w:val="000154F4"/>
    <w:rsid w:val="00016359"/>
    <w:rsid w:val="00020B79"/>
    <w:rsid w:val="000243B5"/>
    <w:rsid w:val="000449E7"/>
    <w:rsid w:val="00044CC3"/>
    <w:rsid w:val="000513D6"/>
    <w:rsid w:val="000568D3"/>
    <w:rsid w:val="000576E9"/>
    <w:rsid w:val="00075BDC"/>
    <w:rsid w:val="00080D87"/>
    <w:rsid w:val="00081B7C"/>
    <w:rsid w:val="000859E2"/>
    <w:rsid w:val="000933BA"/>
    <w:rsid w:val="00094B51"/>
    <w:rsid w:val="00094EFB"/>
    <w:rsid w:val="000A1932"/>
    <w:rsid w:val="000A4C20"/>
    <w:rsid w:val="000A64EE"/>
    <w:rsid w:val="000A68D7"/>
    <w:rsid w:val="000B179B"/>
    <w:rsid w:val="000B2071"/>
    <w:rsid w:val="000B4054"/>
    <w:rsid w:val="000C1F89"/>
    <w:rsid w:val="000D704C"/>
    <w:rsid w:val="000E3007"/>
    <w:rsid w:val="000F0564"/>
    <w:rsid w:val="000F308A"/>
    <w:rsid w:val="001063AC"/>
    <w:rsid w:val="001072CB"/>
    <w:rsid w:val="00110395"/>
    <w:rsid w:val="00120428"/>
    <w:rsid w:val="00121BE2"/>
    <w:rsid w:val="00130B89"/>
    <w:rsid w:val="00131724"/>
    <w:rsid w:val="00137DFF"/>
    <w:rsid w:val="00142DC2"/>
    <w:rsid w:val="001611E9"/>
    <w:rsid w:val="001668F9"/>
    <w:rsid w:val="00167977"/>
    <w:rsid w:val="00185105"/>
    <w:rsid w:val="001A191E"/>
    <w:rsid w:val="001A336B"/>
    <w:rsid w:val="001A44B4"/>
    <w:rsid w:val="001B1A4B"/>
    <w:rsid w:val="001B1BD0"/>
    <w:rsid w:val="001B2C54"/>
    <w:rsid w:val="001B5EF8"/>
    <w:rsid w:val="001C3A2A"/>
    <w:rsid w:val="001C4327"/>
    <w:rsid w:val="001F1C40"/>
    <w:rsid w:val="001F5ED0"/>
    <w:rsid w:val="001F7D74"/>
    <w:rsid w:val="0020735D"/>
    <w:rsid w:val="002105CD"/>
    <w:rsid w:val="00210B0C"/>
    <w:rsid w:val="002126B4"/>
    <w:rsid w:val="00213BA9"/>
    <w:rsid w:val="002145C7"/>
    <w:rsid w:val="0021772D"/>
    <w:rsid w:val="00223E8C"/>
    <w:rsid w:val="00225B5C"/>
    <w:rsid w:val="00233EE6"/>
    <w:rsid w:val="002433BE"/>
    <w:rsid w:val="00246CCA"/>
    <w:rsid w:val="0025604F"/>
    <w:rsid w:val="00257DEF"/>
    <w:rsid w:val="002611AB"/>
    <w:rsid w:val="002618B1"/>
    <w:rsid w:val="00261EA9"/>
    <w:rsid w:val="002802C8"/>
    <w:rsid w:val="00281BA0"/>
    <w:rsid w:val="00281F07"/>
    <w:rsid w:val="0028262C"/>
    <w:rsid w:val="002847BD"/>
    <w:rsid w:val="00290F62"/>
    <w:rsid w:val="00291422"/>
    <w:rsid w:val="002951C6"/>
    <w:rsid w:val="002A2D3A"/>
    <w:rsid w:val="002A49B4"/>
    <w:rsid w:val="002B55C5"/>
    <w:rsid w:val="002B67F7"/>
    <w:rsid w:val="002B7037"/>
    <w:rsid w:val="002C010F"/>
    <w:rsid w:val="002D3805"/>
    <w:rsid w:val="002E5EB2"/>
    <w:rsid w:val="002F3296"/>
    <w:rsid w:val="002F361A"/>
    <w:rsid w:val="002F5A1A"/>
    <w:rsid w:val="002F5CCC"/>
    <w:rsid w:val="00300733"/>
    <w:rsid w:val="00300E7B"/>
    <w:rsid w:val="00310B1E"/>
    <w:rsid w:val="00312E4E"/>
    <w:rsid w:val="00313666"/>
    <w:rsid w:val="00321409"/>
    <w:rsid w:val="0032142F"/>
    <w:rsid w:val="00336B0F"/>
    <w:rsid w:val="0034246C"/>
    <w:rsid w:val="00353AF7"/>
    <w:rsid w:val="00356EA3"/>
    <w:rsid w:val="003574A0"/>
    <w:rsid w:val="003700AB"/>
    <w:rsid w:val="00371666"/>
    <w:rsid w:val="00371E6E"/>
    <w:rsid w:val="00375E83"/>
    <w:rsid w:val="00382088"/>
    <w:rsid w:val="00385218"/>
    <w:rsid w:val="00390F87"/>
    <w:rsid w:val="00395ED5"/>
    <w:rsid w:val="003A12BC"/>
    <w:rsid w:val="003A209D"/>
    <w:rsid w:val="003C4BFC"/>
    <w:rsid w:val="003C6820"/>
    <w:rsid w:val="003C7337"/>
    <w:rsid w:val="003C764E"/>
    <w:rsid w:val="003C7AEC"/>
    <w:rsid w:val="003D34C2"/>
    <w:rsid w:val="003D764D"/>
    <w:rsid w:val="003E27EB"/>
    <w:rsid w:val="003E34C0"/>
    <w:rsid w:val="003E76DF"/>
    <w:rsid w:val="003F3E8F"/>
    <w:rsid w:val="003F44A8"/>
    <w:rsid w:val="003F7DFE"/>
    <w:rsid w:val="004127F6"/>
    <w:rsid w:val="004163D5"/>
    <w:rsid w:val="0042486E"/>
    <w:rsid w:val="004302FB"/>
    <w:rsid w:val="00430F73"/>
    <w:rsid w:val="0043203F"/>
    <w:rsid w:val="00432CDA"/>
    <w:rsid w:val="00433281"/>
    <w:rsid w:val="0043361A"/>
    <w:rsid w:val="004340BF"/>
    <w:rsid w:val="00436E5C"/>
    <w:rsid w:val="004376A2"/>
    <w:rsid w:val="00437FDF"/>
    <w:rsid w:val="0044080F"/>
    <w:rsid w:val="0044707E"/>
    <w:rsid w:val="00450305"/>
    <w:rsid w:val="00455481"/>
    <w:rsid w:val="00455BC2"/>
    <w:rsid w:val="00471FF6"/>
    <w:rsid w:val="00485794"/>
    <w:rsid w:val="00485DB0"/>
    <w:rsid w:val="0049430A"/>
    <w:rsid w:val="004A7BBB"/>
    <w:rsid w:val="004B28FE"/>
    <w:rsid w:val="004C18E0"/>
    <w:rsid w:val="004C3F2A"/>
    <w:rsid w:val="004C665C"/>
    <w:rsid w:val="004D4E81"/>
    <w:rsid w:val="004E3979"/>
    <w:rsid w:val="004F229C"/>
    <w:rsid w:val="004F32C9"/>
    <w:rsid w:val="00500DE3"/>
    <w:rsid w:val="005025D6"/>
    <w:rsid w:val="00502D30"/>
    <w:rsid w:val="00505CF2"/>
    <w:rsid w:val="00505E03"/>
    <w:rsid w:val="005133B6"/>
    <w:rsid w:val="005159AF"/>
    <w:rsid w:val="005173A8"/>
    <w:rsid w:val="005178D2"/>
    <w:rsid w:val="0052336C"/>
    <w:rsid w:val="005255BE"/>
    <w:rsid w:val="00527C94"/>
    <w:rsid w:val="00530847"/>
    <w:rsid w:val="00530D1C"/>
    <w:rsid w:val="00531D1A"/>
    <w:rsid w:val="005338FC"/>
    <w:rsid w:val="00536EBB"/>
    <w:rsid w:val="00542661"/>
    <w:rsid w:val="005466B2"/>
    <w:rsid w:val="00555423"/>
    <w:rsid w:val="005631AE"/>
    <w:rsid w:val="00577478"/>
    <w:rsid w:val="00595812"/>
    <w:rsid w:val="00597953"/>
    <w:rsid w:val="005B05BD"/>
    <w:rsid w:val="005B5A5E"/>
    <w:rsid w:val="005C14B5"/>
    <w:rsid w:val="005D5439"/>
    <w:rsid w:val="005E41D7"/>
    <w:rsid w:val="0060793B"/>
    <w:rsid w:val="00611FCE"/>
    <w:rsid w:val="00615EAD"/>
    <w:rsid w:val="00616380"/>
    <w:rsid w:val="00616EA0"/>
    <w:rsid w:val="006234D0"/>
    <w:rsid w:val="00624199"/>
    <w:rsid w:val="00624913"/>
    <w:rsid w:val="006302B8"/>
    <w:rsid w:val="00637793"/>
    <w:rsid w:val="006400AC"/>
    <w:rsid w:val="0065225E"/>
    <w:rsid w:val="00652988"/>
    <w:rsid w:val="0065540D"/>
    <w:rsid w:val="0065647F"/>
    <w:rsid w:val="00660961"/>
    <w:rsid w:val="00664871"/>
    <w:rsid w:val="00666C02"/>
    <w:rsid w:val="006926F9"/>
    <w:rsid w:val="00697658"/>
    <w:rsid w:val="006B13F8"/>
    <w:rsid w:val="006B38C7"/>
    <w:rsid w:val="006C44D4"/>
    <w:rsid w:val="006C6BEB"/>
    <w:rsid w:val="006D3366"/>
    <w:rsid w:val="006D5C49"/>
    <w:rsid w:val="006E2A04"/>
    <w:rsid w:val="006F5974"/>
    <w:rsid w:val="00700BBD"/>
    <w:rsid w:val="007045A0"/>
    <w:rsid w:val="00706DDC"/>
    <w:rsid w:val="00711472"/>
    <w:rsid w:val="0072041A"/>
    <w:rsid w:val="0074792D"/>
    <w:rsid w:val="007525C2"/>
    <w:rsid w:val="00755AEE"/>
    <w:rsid w:val="00761F14"/>
    <w:rsid w:val="007674AD"/>
    <w:rsid w:val="00771D77"/>
    <w:rsid w:val="00773F8E"/>
    <w:rsid w:val="00783B2E"/>
    <w:rsid w:val="007844D8"/>
    <w:rsid w:val="00787270"/>
    <w:rsid w:val="007918B7"/>
    <w:rsid w:val="00794145"/>
    <w:rsid w:val="007A2279"/>
    <w:rsid w:val="007C1F0A"/>
    <w:rsid w:val="007C7C5F"/>
    <w:rsid w:val="007D2DFE"/>
    <w:rsid w:val="007D6B91"/>
    <w:rsid w:val="007D70C2"/>
    <w:rsid w:val="007E161C"/>
    <w:rsid w:val="007E42AC"/>
    <w:rsid w:val="007E4596"/>
    <w:rsid w:val="007F00B7"/>
    <w:rsid w:val="007F5A43"/>
    <w:rsid w:val="00802114"/>
    <w:rsid w:val="008039EF"/>
    <w:rsid w:val="008204A0"/>
    <w:rsid w:val="00820B30"/>
    <w:rsid w:val="008241BE"/>
    <w:rsid w:val="0082523B"/>
    <w:rsid w:val="00830578"/>
    <w:rsid w:val="0083500F"/>
    <w:rsid w:val="00844262"/>
    <w:rsid w:val="008470D5"/>
    <w:rsid w:val="00852648"/>
    <w:rsid w:val="0086346F"/>
    <w:rsid w:val="00863F12"/>
    <w:rsid w:val="00864DD7"/>
    <w:rsid w:val="0087752A"/>
    <w:rsid w:val="00880C8A"/>
    <w:rsid w:val="008818A7"/>
    <w:rsid w:val="00881BB9"/>
    <w:rsid w:val="00883F8D"/>
    <w:rsid w:val="008879BA"/>
    <w:rsid w:val="008A4B2F"/>
    <w:rsid w:val="008B371D"/>
    <w:rsid w:val="008C0903"/>
    <w:rsid w:val="008C33D3"/>
    <w:rsid w:val="008C4A11"/>
    <w:rsid w:val="008C6D92"/>
    <w:rsid w:val="008D6C60"/>
    <w:rsid w:val="008E0AFC"/>
    <w:rsid w:val="008E2191"/>
    <w:rsid w:val="008E2B0B"/>
    <w:rsid w:val="008E53A2"/>
    <w:rsid w:val="008F1240"/>
    <w:rsid w:val="008F1CB1"/>
    <w:rsid w:val="008F57CC"/>
    <w:rsid w:val="00907A48"/>
    <w:rsid w:val="00915869"/>
    <w:rsid w:val="009163AA"/>
    <w:rsid w:val="009227B0"/>
    <w:rsid w:val="00923135"/>
    <w:rsid w:val="00926B3E"/>
    <w:rsid w:val="0093680B"/>
    <w:rsid w:val="00937EAC"/>
    <w:rsid w:val="009437C4"/>
    <w:rsid w:val="009462FA"/>
    <w:rsid w:val="00946402"/>
    <w:rsid w:val="00950DDC"/>
    <w:rsid w:val="00953084"/>
    <w:rsid w:val="00953FAC"/>
    <w:rsid w:val="009541E3"/>
    <w:rsid w:val="00973B2A"/>
    <w:rsid w:val="00983197"/>
    <w:rsid w:val="009926E0"/>
    <w:rsid w:val="00997736"/>
    <w:rsid w:val="009A0CC2"/>
    <w:rsid w:val="009A28FA"/>
    <w:rsid w:val="009A401F"/>
    <w:rsid w:val="009A68FF"/>
    <w:rsid w:val="009B122F"/>
    <w:rsid w:val="009B36A4"/>
    <w:rsid w:val="009C6406"/>
    <w:rsid w:val="009C6B3C"/>
    <w:rsid w:val="009D546A"/>
    <w:rsid w:val="009E13AA"/>
    <w:rsid w:val="009E2535"/>
    <w:rsid w:val="009E3EC7"/>
    <w:rsid w:val="009E7092"/>
    <w:rsid w:val="009F1306"/>
    <w:rsid w:val="009F2E56"/>
    <w:rsid w:val="009F41FB"/>
    <w:rsid w:val="009F4F5F"/>
    <w:rsid w:val="00A00B7A"/>
    <w:rsid w:val="00A00D87"/>
    <w:rsid w:val="00A025EC"/>
    <w:rsid w:val="00A04B59"/>
    <w:rsid w:val="00A05737"/>
    <w:rsid w:val="00A14497"/>
    <w:rsid w:val="00A155EA"/>
    <w:rsid w:val="00A41FB3"/>
    <w:rsid w:val="00A51557"/>
    <w:rsid w:val="00A54952"/>
    <w:rsid w:val="00A61D45"/>
    <w:rsid w:val="00A67D49"/>
    <w:rsid w:val="00A76525"/>
    <w:rsid w:val="00A907B0"/>
    <w:rsid w:val="00AB0EC9"/>
    <w:rsid w:val="00AB33DD"/>
    <w:rsid w:val="00AB5E90"/>
    <w:rsid w:val="00AC0EFE"/>
    <w:rsid w:val="00AC3E6B"/>
    <w:rsid w:val="00AC5F18"/>
    <w:rsid w:val="00AC685F"/>
    <w:rsid w:val="00AD13B4"/>
    <w:rsid w:val="00AD3A29"/>
    <w:rsid w:val="00AD792F"/>
    <w:rsid w:val="00AF0FE9"/>
    <w:rsid w:val="00AF42D4"/>
    <w:rsid w:val="00B009F4"/>
    <w:rsid w:val="00B05CCB"/>
    <w:rsid w:val="00B1114C"/>
    <w:rsid w:val="00B11892"/>
    <w:rsid w:val="00B17341"/>
    <w:rsid w:val="00B236E1"/>
    <w:rsid w:val="00B23B51"/>
    <w:rsid w:val="00B303C0"/>
    <w:rsid w:val="00B35DE1"/>
    <w:rsid w:val="00B554A9"/>
    <w:rsid w:val="00B5697B"/>
    <w:rsid w:val="00B56A0B"/>
    <w:rsid w:val="00B61999"/>
    <w:rsid w:val="00B63FE7"/>
    <w:rsid w:val="00B658BD"/>
    <w:rsid w:val="00B6630A"/>
    <w:rsid w:val="00B7197E"/>
    <w:rsid w:val="00B75AA5"/>
    <w:rsid w:val="00B865BD"/>
    <w:rsid w:val="00B95BDC"/>
    <w:rsid w:val="00BA2016"/>
    <w:rsid w:val="00BB5074"/>
    <w:rsid w:val="00BB5AB7"/>
    <w:rsid w:val="00BC7713"/>
    <w:rsid w:val="00BD1CDD"/>
    <w:rsid w:val="00BD38E6"/>
    <w:rsid w:val="00BD542D"/>
    <w:rsid w:val="00BE0835"/>
    <w:rsid w:val="00BE13A7"/>
    <w:rsid w:val="00BE2D0C"/>
    <w:rsid w:val="00BF2224"/>
    <w:rsid w:val="00BF2683"/>
    <w:rsid w:val="00C013A7"/>
    <w:rsid w:val="00C04CB3"/>
    <w:rsid w:val="00C06453"/>
    <w:rsid w:val="00C067AF"/>
    <w:rsid w:val="00C17CC8"/>
    <w:rsid w:val="00C311AC"/>
    <w:rsid w:val="00C4545B"/>
    <w:rsid w:val="00C54D45"/>
    <w:rsid w:val="00C60F95"/>
    <w:rsid w:val="00C614FE"/>
    <w:rsid w:val="00C6507A"/>
    <w:rsid w:val="00C66E2F"/>
    <w:rsid w:val="00C67C91"/>
    <w:rsid w:val="00C71F48"/>
    <w:rsid w:val="00C73D57"/>
    <w:rsid w:val="00C740E1"/>
    <w:rsid w:val="00C76AD6"/>
    <w:rsid w:val="00C7741F"/>
    <w:rsid w:val="00C8064D"/>
    <w:rsid w:val="00CA1764"/>
    <w:rsid w:val="00CB2E6F"/>
    <w:rsid w:val="00CB7174"/>
    <w:rsid w:val="00CD2048"/>
    <w:rsid w:val="00CD2623"/>
    <w:rsid w:val="00CE5DD7"/>
    <w:rsid w:val="00CE797A"/>
    <w:rsid w:val="00CF248C"/>
    <w:rsid w:val="00CF36A8"/>
    <w:rsid w:val="00CF5725"/>
    <w:rsid w:val="00CF7ACB"/>
    <w:rsid w:val="00D00BB7"/>
    <w:rsid w:val="00D04FDF"/>
    <w:rsid w:val="00D11E20"/>
    <w:rsid w:val="00D2022E"/>
    <w:rsid w:val="00D246DF"/>
    <w:rsid w:val="00D254DE"/>
    <w:rsid w:val="00D26908"/>
    <w:rsid w:val="00D30730"/>
    <w:rsid w:val="00D61A5C"/>
    <w:rsid w:val="00D74ADD"/>
    <w:rsid w:val="00D7678D"/>
    <w:rsid w:val="00D76F24"/>
    <w:rsid w:val="00D81506"/>
    <w:rsid w:val="00D873A9"/>
    <w:rsid w:val="00D917D4"/>
    <w:rsid w:val="00DA1AB9"/>
    <w:rsid w:val="00DA3836"/>
    <w:rsid w:val="00DB5EFE"/>
    <w:rsid w:val="00DC17E1"/>
    <w:rsid w:val="00DC1B83"/>
    <w:rsid w:val="00DD22B6"/>
    <w:rsid w:val="00DD6825"/>
    <w:rsid w:val="00DD7023"/>
    <w:rsid w:val="00DD7949"/>
    <w:rsid w:val="00DE1D58"/>
    <w:rsid w:val="00DE3BFD"/>
    <w:rsid w:val="00DF1386"/>
    <w:rsid w:val="00DF2CD6"/>
    <w:rsid w:val="00DF349F"/>
    <w:rsid w:val="00E033D9"/>
    <w:rsid w:val="00E14B23"/>
    <w:rsid w:val="00E159E0"/>
    <w:rsid w:val="00E178E3"/>
    <w:rsid w:val="00E252AD"/>
    <w:rsid w:val="00E41D7D"/>
    <w:rsid w:val="00E43220"/>
    <w:rsid w:val="00E518D1"/>
    <w:rsid w:val="00E51CE6"/>
    <w:rsid w:val="00E64D17"/>
    <w:rsid w:val="00E65C9D"/>
    <w:rsid w:val="00E7352E"/>
    <w:rsid w:val="00E73551"/>
    <w:rsid w:val="00E745CA"/>
    <w:rsid w:val="00E75BD0"/>
    <w:rsid w:val="00E76C01"/>
    <w:rsid w:val="00E77151"/>
    <w:rsid w:val="00E7756D"/>
    <w:rsid w:val="00E90DD5"/>
    <w:rsid w:val="00EA36FC"/>
    <w:rsid w:val="00EA37E6"/>
    <w:rsid w:val="00EB011F"/>
    <w:rsid w:val="00EB6DB4"/>
    <w:rsid w:val="00EB7B95"/>
    <w:rsid w:val="00EC1CCE"/>
    <w:rsid w:val="00EC33B4"/>
    <w:rsid w:val="00EC6041"/>
    <w:rsid w:val="00ED0E95"/>
    <w:rsid w:val="00ED2E1C"/>
    <w:rsid w:val="00ED3EAA"/>
    <w:rsid w:val="00EE099F"/>
    <w:rsid w:val="00EE0A3C"/>
    <w:rsid w:val="00EE3046"/>
    <w:rsid w:val="00EE3A16"/>
    <w:rsid w:val="00EE3B83"/>
    <w:rsid w:val="00EE454A"/>
    <w:rsid w:val="00EE6ED2"/>
    <w:rsid w:val="00EF33B1"/>
    <w:rsid w:val="00F00211"/>
    <w:rsid w:val="00F01F1C"/>
    <w:rsid w:val="00F1200D"/>
    <w:rsid w:val="00F13321"/>
    <w:rsid w:val="00F15439"/>
    <w:rsid w:val="00F352CC"/>
    <w:rsid w:val="00F37DF3"/>
    <w:rsid w:val="00F51BFE"/>
    <w:rsid w:val="00F52800"/>
    <w:rsid w:val="00F53741"/>
    <w:rsid w:val="00F566CA"/>
    <w:rsid w:val="00F64EE0"/>
    <w:rsid w:val="00F73B1B"/>
    <w:rsid w:val="00F74158"/>
    <w:rsid w:val="00F74FD6"/>
    <w:rsid w:val="00F8179A"/>
    <w:rsid w:val="00F87E57"/>
    <w:rsid w:val="00F90418"/>
    <w:rsid w:val="00FA1B2C"/>
    <w:rsid w:val="00FA62F5"/>
    <w:rsid w:val="00FA7783"/>
    <w:rsid w:val="00FA7B79"/>
    <w:rsid w:val="00FB0EED"/>
    <w:rsid w:val="00FB3305"/>
    <w:rsid w:val="00FB3670"/>
    <w:rsid w:val="00FB591B"/>
    <w:rsid w:val="00FE10FD"/>
    <w:rsid w:val="00FE5216"/>
    <w:rsid w:val="00FE7A15"/>
    <w:rsid w:val="00FF10A0"/>
    <w:rsid w:val="315E2978"/>
    <w:rsid w:val="4007CB31"/>
    <w:rsid w:val="487FE0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04E087"/>
  <w15:chartTrackingRefBased/>
  <w15:docId w15:val="{648D842A-4999-4425-93D7-1D17FCE1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rsid w:val="00CF36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638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ms Rmn" w:hAnsi="Tms Rmn"/>
      <w:szCs w:val="20"/>
    </w:rPr>
  </w:style>
  <w:style w:type="paragraph" w:customStyle="1" w:styleId="Default">
    <w:name w:val="Default"/>
    <w:basedOn w:val="Normal"/>
    <w:rsid w:val="00953FAC"/>
    <w:pPr>
      <w:autoSpaceDE w:val="0"/>
      <w:autoSpaceDN w:val="0"/>
    </w:pPr>
    <w:rPr>
      <w:rFonts w:ascii="Calibri" w:eastAsia="Calibri" w:hAnsi="Calibri"/>
      <w:color w:val="000000"/>
    </w:rPr>
  </w:style>
  <w:style w:type="character" w:styleId="Hyperlink">
    <w:name w:val="Hyperlink"/>
    <w:uiPriority w:val="99"/>
    <w:unhideWhenUsed/>
    <w:rsid w:val="00110395"/>
    <w:rPr>
      <w:color w:val="0000FF"/>
      <w:u w:val="single"/>
    </w:rPr>
  </w:style>
  <w:style w:type="paragraph" w:styleId="Revision">
    <w:name w:val="Revision"/>
    <w:hidden/>
    <w:uiPriority w:val="99"/>
    <w:semiHidden/>
    <w:rsid w:val="00BF2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www.bls.gov%2Fnews.release%2Fpdf%2Fecec.pdf&amp;data=05%7C01%7CJChristman%40cns.gov%7C5ad07cb00ce444c8501208dad470b948%7Cd2f850a78dce4fb3a79c6867f9514312%7C0%7C0%7C638055877852565824%7CUnknown%7CTWFpbGZsb3d8eyJWIjoiMC4wLjAwMDAiLCJQIjoiV2luMzIiLCJBTiI6Ik1haWwiLCJXVCI6Mn0%3D%7C3000%7C%7C%7C&amp;sdata=i%2FnjOwokI0IxWLVOIjaC06JAdNxU2wOP3rIEjCJ%2F5QU%3D&amp;reserved=0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d969a355e4fb3c79cfe99c1eb4a42899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8e9e0744673e12804cf93d37936cc3f6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</documentManagement>
</p:properties>
</file>

<file path=customXml/itemProps1.xml><?xml version="1.0" encoding="utf-8"?>
<ds:datastoreItem xmlns:ds="http://schemas.openxmlformats.org/officeDocument/2006/customXml" ds:itemID="{54D98616-C2A6-4B87-B96C-BE3578F1B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6AC57-22B6-4604-AD2F-6B5742067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6EE6B-962C-4833-B101-72B8768123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3246</Words>
  <Characters>19058</Characters>
  <Application>Microsoft Office Word</Application>
  <DocSecurity>0</DocSecurity>
  <Lines>544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creator>vperry</dc:creator>
  <cp:lastModifiedBy>Appel, Elizabeth</cp:lastModifiedBy>
  <cp:revision>6</cp:revision>
  <cp:lastPrinted>2006-03-09T20:43:00Z</cp:lastPrinted>
  <dcterms:created xsi:type="dcterms:W3CDTF">2026-03-25T15:54:00Z</dcterms:created>
  <dcterms:modified xsi:type="dcterms:W3CDTF">2026-03-26T14:35:00Z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  <property fmtid="{D5CDD505-2E9C-101B-9397-08002B2CF9AE}" pid="4" name="_dlc_DocIdItemGuid">
    <vt:lpwstr>6dd62d8c-240e-4d5d-bc13-f2729082972f</vt:lpwstr>
  </property>
</Properties>
</file>