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A472D" w:rsidRPr="00422A3F" w:rsidP="00BE0548" w14:paraId="604B91FF" w14:textId="77777777">
      <w:pPr>
        <w:pStyle w:val="Heading1"/>
        <w:rPr>
          <w:rFonts w:ascii="Times New Roman" w:hAnsi="Times New Roman"/>
          <w:sz w:val="28"/>
          <w:szCs w:val="28"/>
        </w:rPr>
      </w:pPr>
      <w:r>
        <w:tab/>
      </w:r>
      <w:r>
        <w:tab/>
      </w:r>
      <w:r>
        <w:tab/>
      </w:r>
      <w:r>
        <w:tab/>
      </w:r>
      <w:r w:rsidRPr="00422A3F">
        <w:rPr>
          <w:rFonts w:ascii="Times New Roman" w:hAnsi="Times New Roman"/>
          <w:sz w:val="28"/>
          <w:szCs w:val="28"/>
        </w:rPr>
        <w:t>SUPPORTING STATEMENT</w:t>
      </w:r>
    </w:p>
    <w:p w:rsidR="00360097" w14:paraId="4E2CC3C5" w14:textId="77777777">
      <w:pPr>
        <w:suppressAutoHyphens/>
        <w:jc w:val="center"/>
        <w:rPr>
          <w:b/>
          <w:spacing w:val="-3"/>
        </w:rPr>
      </w:pPr>
    </w:p>
    <w:p w:rsidR="007A472D" w14:paraId="265F3821" w14:textId="77777777">
      <w:pPr>
        <w:suppressAutoHyphens/>
        <w:jc w:val="both"/>
        <w:rPr>
          <w:b/>
          <w:spacing w:val="-3"/>
        </w:rPr>
      </w:pPr>
      <w:r>
        <w:rPr>
          <w:b/>
          <w:spacing w:val="-3"/>
        </w:rPr>
        <w:t>A.  Justification:</w:t>
      </w:r>
    </w:p>
    <w:p w:rsidR="009C7D0F" w14:paraId="2DF9227B" w14:textId="77777777">
      <w:pPr>
        <w:suppressAutoHyphens/>
        <w:jc w:val="both"/>
        <w:rPr>
          <w:b/>
          <w:spacing w:val="-3"/>
        </w:rPr>
      </w:pPr>
    </w:p>
    <w:p w:rsidR="005543A7" w:rsidP="00453600" w14:paraId="49AC9004" w14:textId="73E77B44">
      <w:r>
        <w:t xml:space="preserve">1. </w:t>
      </w:r>
      <w:r w:rsidRPr="00EB3FE9" w:rsidR="00EB3FE9">
        <w:t xml:space="preserve"> </w:t>
      </w:r>
      <w:r w:rsidR="007231F4">
        <w:t xml:space="preserve">FCC Form 2100, Schedule E (formerly </w:t>
      </w:r>
      <w:r w:rsidRPr="00EB3FE9" w:rsidR="00EB3FE9">
        <w:t xml:space="preserve">FCC </w:t>
      </w:r>
      <w:r w:rsidR="00BC5123">
        <w:t xml:space="preserve">Form </w:t>
      </w:r>
      <w:r w:rsidRPr="00EB3FE9" w:rsidR="00EB3FE9">
        <w:t>301-CA</w:t>
      </w:r>
      <w:r w:rsidR="007231F4">
        <w:t>)</w:t>
      </w:r>
      <w:r>
        <w:rPr>
          <w:vertAlign w:val="superscript"/>
        </w:rPr>
        <w:footnoteReference w:id="2"/>
      </w:r>
      <w:r w:rsidRPr="00EB3FE9" w:rsidR="00EB3FE9">
        <w:t xml:space="preserve"> is to be used in all cases by a </w:t>
      </w:r>
      <w:r w:rsidRPr="000F62B8" w:rsidR="00EB3FE9">
        <w:t xml:space="preserve">Class A television </w:t>
      </w:r>
      <w:r w:rsidRPr="000F62B8" w:rsidR="009C7D0F">
        <w:t>station licensee</w:t>
      </w:r>
      <w:r>
        <w:rPr>
          <w:rStyle w:val="FootnoteReference"/>
        </w:rPr>
        <w:footnoteReference w:id="3"/>
      </w:r>
      <w:r w:rsidRPr="000F62B8" w:rsidR="00EB3FE9">
        <w:t xml:space="preserve"> </w:t>
      </w:r>
      <w:r w:rsidRPr="000F62B8" w:rsidR="00BC5123">
        <w:t xml:space="preserve"> </w:t>
      </w:r>
      <w:r w:rsidRPr="000F62B8" w:rsidR="00EB3FE9">
        <w:t>seeking to make changes in the authorized f</w:t>
      </w:r>
      <w:r w:rsidR="007231F4">
        <w:t xml:space="preserve">acilities of such station.  FCC Form 2100, Schedule E </w:t>
      </w:r>
      <w:r w:rsidRPr="000F62B8" w:rsidR="00EB3FE9">
        <w:t xml:space="preserve">requires applicants to certify compliance with certain statutory and regulatory requirements.  Detailed instructions </w:t>
      </w:r>
      <w:r w:rsidR="007231F4">
        <w:t>on the FCC Form 2100, Schedule E</w:t>
      </w:r>
      <w:r w:rsidRPr="000F62B8" w:rsidR="00BC5123">
        <w:t xml:space="preserve"> </w:t>
      </w:r>
      <w:r w:rsidRPr="000F62B8" w:rsidR="00EB3FE9">
        <w:t xml:space="preserve">provide additional information regarding Commission rules and policies.  </w:t>
      </w:r>
      <w:r w:rsidR="007231F4">
        <w:rPr>
          <w:spacing w:val="-2"/>
        </w:rPr>
        <w:t xml:space="preserve">FCC Form 2100, Schedule E </w:t>
      </w:r>
      <w:r w:rsidRPr="000F62B8" w:rsidR="00BC5123">
        <w:rPr>
          <w:spacing w:val="-2"/>
        </w:rPr>
        <w:t>is presented primarily in a "Yes/No" certification format.  However, it contains appropriate places for submitting explanations and exhibits where necessary or appropriate.  Each certification constitutes a material representation.</w:t>
      </w:r>
      <w:r>
        <w:rPr>
          <w:rStyle w:val="FootnoteReference"/>
          <w:spacing w:val="-2"/>
        </w:rPr>
        <w:footnoteReference w:id="4"/>
      </w:r>
      <w:r w:rsidRPr="000F62B8" w:rsidR="00BC5123">
        <w:rPr>
          <w:spacing w:val="-2"/>
        </w:rPr>
        <w:t xml:space="preserve">  Applicants may only mark the "Yes" certification when they a</w:t>
      </w:r>
      <w:r w:rsidR="00BC5123">
        <w:rPr>
          <w:spacing w:val="-2"/>
        </w:rPr>
        <w:t>re certain that the response is correct.  A "No" response is required if the applicant is requesting a waiver of a pertinent rule and/or policy, or where the applicant is uncertain that the application fully satisfies th</w:t>
      </w:r>
      <w:r w:rsidR="00A97278">
        <w:rPr>
          <w:spacing w:val="-2"/>
        </w:rPr>
        <w:t>e pertinent rule and/or policy</w:t>
      </w:r>
      <w:r w:rsidRPr="00704FCA" w:rsidR="00A97278">
        <w:rPr>
          <w:spacing w:val="-2"/>
        </w:rPr>
        <w:t>.  FCC Form 2100, Schedule E filings made to implement post-auction channel changes will be considered minor change applications.</w:t>
      </w:r>
      <w:r w:rsidR="00704FCA">
        <w:t xml:space="preserve"> </w:t>
      </w:r>
    </w:p>
    <w:p w:rsidR="005543A7" w:rsidP="00453600" w14:paraId="7C1DC04B" w14:textId="77777777"/>
    <w:p w:rsidR="00F97C94" w:rsidP="00F97C94" w14:paraId="147E2F8E" w14:textId="4CEDB00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704FCA">
        <w:t>Class A applications for a major change are subject to third party disclosure requirement of Section 73.3580</w:t>
      </w:r>
      <w:r w:rsidR="00F37D81">
        <w:t>,</w:t>
      </w:r>
      <w:r w:rsidRPr="00704FCA">
        <w:t xml:space="preserve"> which requires local public notice </w:t>
      </w:r>
      <w:r>
        <w:t xml:space="preserve">that the application has been accepted for filing.  </w:t>
      </w:r>
      <w:r w:rsidRPr="009B73B2">
        <w:rPr>
          <w:spacing w:val="-3"/>
          <w:szCs w:val="24"/>
          <w:shd w:val="clear" w:color="auto" w:fill="FFFFFF"/>
        </w:rPr>
        <w:t xml:space="preserve">Notice is given by an applicant posting notice of the application filing on its station website, its licensee website, its parent entity website, or on a publicly accessible, locally targeted website, for 30 consecutive days beginning within five business days of acceptance of the application for </w:t>
      </w:r>
      <w:r w:rsidRPr="009B73B2">
        <w:rPr>
          <w:spacing w:val="-3"/>
          <w:szCs w:val="24"/>
          <w:shd w:val="clear" w:color="auto" w:fill="FFFFFF"/>
        </w:rPr>
        <w:t>filing.  The online notice must link to a copy of the application as filed in the Commission’s LMS licensing database.</w:t>
      </w:r>
      <w:r w:rsidRPr="006867E6">
        <w:rPr>
          <w:spacing w:val="-3"/>
          <w:szCs w:val="22"/>
        </w:rPr>
        <w:t xml:space="preserve"> </w:t>
      </w:r>
      <w:bookmarkStart w:id="0" w:name="_Hlk529184930"/>
    </w:p>
    <w:p w:rsidR="00F97C94" w:rsidRPr="00BD529C" w:rsidP="00F97C94" w14:paraId="79E25D5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4"/>
        </w:rPr>
      </w:pPr>
    </w:p>
    <w:bookmarkEnd w:id="0"/>
    <w:p w:rsidR="00DD6CE4" w:rsidP="00DD6CE4" w14:paraId="7A3EDBB1" w14:textId="77777777">
      <w:pPr>
        <w:widowControl w:val="0"/>
        <w:autoSpaceDE w:val="0"/>
        <w:autoSpaceDN w:val="0"/>
        <w:adjustRightInd w:val="0"/>
        <w:snapToGrid w:val="0"/>
        <w:ind w:right="720"/>
        <w:rPr>
          <w:snapToGrid w:val="0"/>
          <w:szCs w:val="24"/>
        </w:rPr>
      </w:pPr>
      <w:r w:rsidRPr="00DD6CE4">
        <w:rPr>
          <w:b/>
          <w:snapToGrid w:val="0"/>
          <w:szCs w:val="24"/>
        </w:rPr>
        <w:t>Information Collection Requirements</w:t>
      </w:r>
      <w:r w:rsidRPr="00DD6CE4">
        <w:rPr>
          <w:snapToGrid w:val="0"/>
          <w:szCs w:val="24"/>
        </w:rPr>
        <w:t>:</w:t>
      </w:r>
    </w:p>
    <w:p w:rsidR="00BE0548" w:rsidP="00DD6CE4" w14:paraId="587F18F3" w14:textId="77777777">
      <w:pPr>
        <w:widowControl w:val="0"/>
        <w:autoSpaceDE w:val="0"/>
        <w:autoSpaceDN w:val="0"/>
        <w:adjustRightInd w:val="0"/>
        <w:snapToGrid w:val="0"/>
        <w:ind w:right="720"/>
        <w:rPr>
          <w:snapToGrid w:val="0"/>
          <w:szCs w:val="24"/>
        </w:rPr>
      </w:pPr>
    </w:p>
    <w:p w:rsidR="00BE0548" w:rsidRPr="00512376" w:rsidP="00BE0548" w14:paraId="1EED01AA" w14:textId="77777777">
      <w:r w:rsidRPr="00512376">
        <w:rPr>
          <w:b/>
          <w:iCs/>
        </w:rPr>
        <w:t>47 C</w:t>
      </w:r>
      <w:r>
        <w:rPr>
          <w:b/>
          <w:iCs/>
        </w:rPr>
        <w:t>.</w:t>
      </w:r>
      <w:r w:rsidRPr="00512376">
        <w:rPr>
          <w:b/>
          <w:iCs/>
        </w:rPr>
        <w:t>F</w:t>
      </w:r>
      <w:r>
        <w:rPr>
          <w:b/>
          <w:iCs/>
        </w:rPr>
        <w:t>.</w:t>
      </w:r>
      <w:r w:rsidRPr="00512376">
        <w:rPr>
          <w:b/>
          <w:iCs/>
        </w:rPr>
        <w:t>R</w:t>
      </w:r>
      <w:r>
        <w:rPr>
          <w:b/>
          <w:iCs/>
        </w:rPr>
        <w:t>.</w:t>
      </w:r>
      <w:r w:rsidRPr="00512376">
        <w:rPr>
          <w:b/>
          <w:iCs/>
        </w:rPr>
        <w:t xml:space="preserve"> </w:t>
      </w:r>
      <w:r>
        <w:rPr>
          <w:b/>
          <w:iCs/>
        </w:rPr>
        <w:t>s</w:t>
      </w:r>
      <w:r w:rsidRPr="00512376">
        <w:rPr>
          <w:b/>
          <w:iCs/>
        </w:rPr>
        <w:t>ection 74.793(d)</w:t>
      </w:r>
      <w:r w:rsidRPr="00512376">
        <w:rPr>
          <w:iCs/>
        </w:rPr>
        <w:t xml:space="preserve"> requires that digital low power and TV translator stations shall be required to </w:t>
      </w:r>
      <w:r w:rsidRPr="00512376">
        <w:t>submit information as to vertical radiation patterns as part of their applications (FCC Forms 346</w:t>
      </w:r>
      <w:r>
        <w:rPr>
          <w:vertAlign w:val="superscript"/>
        </w:rPr>
        <w:footnoteReference w:id="5"/>
      </w:r>
      <w:r w:rsidRPr="00512376">
        <w:t xml:space="preserve"> and 301-CA) for new or modified construction permits.</w:t>
      </w:r>
    </w:p>
    <w:p w:rsidR="00BE0548" w:rsidRPr="00DD6CE4" w:rsidP="00DD6CE4" w14:paraId="05659301" w14:textId="77777777">
      <w:pPr>
        <w:widowControl w:val="0"/>
        <w:autoSpaceDE w:val="0"/>
        <w:autoSpaceDN w:val="0"/>
        <w:adjustRightInd w:val="0"/>
        <w:snapToGrid w:val="0"/>
        <w:ind w:right="720"/>
        <w:rPr>
          <w:szCs w:val="24"/>
        </w:rPr>
      </w:pPr>
    </w:p>
    <w:p w:rsidR="00DD6CE4" w:rsidRPr="00DD6CE4" w:rsidP="00DD6CE4" w14:paraId="24C54257" w14:textId="77777777">
      <w:pPr>
        <w:rPr>
          <w:szCs w:val="24"/>
        </w:rPr>
      </w:pPr>
      <w:r w:rsidRPr="00DD6CE4">
        <w:rPr>
          <w:b/>
          <w:szCs w:val="24"/>
        </w:rPr>
        <w:t xml:space="preserve">47 C.F.R. section 73.3700(b)(1)(i) </w:t>
      </w:r>
      <w:r w:rsidRPr="00DD6CE4">
        <w:rPr>
          <w:szCs w:val="24"/>
        </w:rPr>
        <w:t>requires Licensees of reassigned stations, UHF-to-VHF stations, and High-VHF-to-Low-VHF stations to file a minor change application for a construction permit for the channel specified in the Channel Reassignment Public Notice using FCC Form 2100 Schedule A (for a full power station) or E (for a Class A station) within three months of the release date of the Channel Reassignment Public Notice.  Licensees that are unable to meet this filing deadline may request a waiver of the deadline no later than 30 days prior to the deadline.</w:t>
      </w:r>
    </w:p>
    <w:p w:rsidR="00DD6CE4" w:rsidRPr="00DD6CE4" w:rsidP="00DD6CE4" w14:paraId="3E8EC731" w14:textId="77777777">
      <w:pPr>
        <w:rPr>
          <w:szCs w:val="24"/>
        </w:rPr>
      </w:pPr>
    </w:p>
    <w:p w:rsidR="00DD6CE4" w:rsidRPr="00DD6CE4" w:rsidP="00DD6CE4" w14:paraId="067C7680" w14:textId="77777777">
      <w:pPr>
        <w:suppressAutoHyphens/>
        <w:spacing w:after="220"/>
        <w:outlineLvl w:val="0"/>
        <w:rPr>
          <w:szCs w:val="24"/>
        </w:rPr>
      </w:pPr>
      <w:r w:rsidRPr="00DD6CE4">
        <w:rPr>
          <w:b/>
          <w:szCs w:val="24"/>
        </w:rPr>
        <w:t>47 C.F.R. section 73.3700(b)(1)(ii)</w:t>
      </w:r>
      <w:r w:rsidRPr="00DD6CE4">
        <w:rPr>
          <w:szCs w:val="24"/>
        </w:rPr>
        <w:t xml:space="preserve"> permits licensees of stations reassigned to a new channel within their existing band to propose transmission facilities in their construction permit applications that will extend their coverage contours, as defined by the technical parameters specified in the Channel Reassignment Public Notice, if such facilities:  (A) are necessary to achieve the coverage contour specified in the Channel Reassignment Public Notice or to address loss of coverage area resulting from the new channel assignment; (B) will not extend a full power television station’s noise limited contour or a Class A television station’s protected contour by more than one percent in any direction; and (C) will not cause new interference, other than a rounding tolerance of 0.5 percent, to any other broadcast television station.  </w:t>
      </w:r>
    </w:p>
    <w:p w:rsidR="00DD6CE4" w:rsidRPr="00DD6CE4" w:rsidP="00DD6CE4" w14:paraId="6FDABBDA" w14:textId="77777777">
      <w:pPr>
        <w:suppressAutoHyphens/>
        <w:spacing w:after="220"/>
        <w:outlineLvl w:val="0"/>
        <w:rPr>
          <w:szCs w:val="24"/>
        </w:rPr>
      </w:pPr>
      <w:r w:rsidRPr="00DD6CE4">
        <w:rPr>
          <w:b/>
          <w:szCs w:val="24"/>
        </w:rPr>
        <w:t>47 C.F.R. section 73.3700(b)(1)(iii)</w:t>
      </w:r>
      <w:r w:rsidRPr="00DD6CE4">
        <w:rPr>
          <w:szCs w:val="24"/>
        </w:rPr>
        <w:t xml:space="preserve"> permits licensees of UHF-to-VHF stations or High-VHF-to-Low-VHF stations to propose transmission facilities in their construction permit application that will extend their coverage contour, as defined by the technical parameters specified in the Channel Reassignment Public Notice, if the proposed facility will not cause new interference, other than a rounding tolerance of 0.5 percent, to any other broadcast television station.</w:t>
      </w:r>
    </w:p>
    <w:p w:rsidR="00DD6CE4" w:rsidRPr="00DD6CE4" w:rsidP="00DD6CE4" w14:paraId="3565929B" w14:textId="77777777">
      <w:pPr>
        <w:suppressAutoHyphens/>
        <w:spacing w:after="220"/>
        <w:outlineLvl w:val="0"/>
        <w:rPr>
          <w:szCs w:val="24"/>
        </w:rPr>
      </w:pPr>
      <w:r w:rsidRPr="00DD6CE4">
        <w:rPr>
          <w:b/>
          <w:szCs w:val="24"/>
        </w:rPr>
        <w:t xml:space="preserve">47 C.F.R. section 73.3700(b)(1)(iv)(A) </w:t>
      </w:r>
      <w:r w:rsidRPr="00DD6CE4">
        <w:rPr>
          <w:szCs w:val="24"/>
        </w:rPr>
        <w:t xml:space="preserve">permits licensees of reassigned stations, UHF-to-VHF stations, or High-VHF-to-Low-VHF stations that, for reasons beyond their control, are unable to construct facilities that meet the technical parameters specified in the Channel Reassignment Public Notice, or the permissible contour coverage variance from those technical parameters specified in paragraph (b)(1)(ii) or (iii) of this section, to request a waiver of the construction permit application deadline specified in paragraph (b)(1)(i) no later than 30 days prior to the deadline.  If the waiver request is granted, the licensee will be afforded an opportunity to submit </w:t>
      </w:r>
      <w:r w:rsidRPr="00DD6CE4">
        <w:rPr>
          <w:szCs w:val="24"/>
        </w:rPr>
        <w:t xml:space="preserve">an application for a construction permit pursuant to paragraph (b)(2)(i) or (ii) of this section in a priority filing window to be announced by the Media Bureau by public notice. </w:t>
      </w:r>
    </w:p>
    <w:p w:rsidR="00DD6CE4" w:rsidRPr="00DD6CE4" w:rsidP="00DD6CE4" w14:paraId="14B61A41" w14:textId="77777777">
      <w:pPr>
        <w:suppressAutoHyphens/>
        <w:spacing w:after="220"/>
        <w:outlineLvl w:val="0"/>
        <w:rPr>
          <w:szCs w:val="24"/>
        </w:rPr>
      </w:pPr>
      <w:r w:rsidRPr="00DD6CE4">
        <w:rPr>
          <w:b/>
          <w:szCs w:val="24"/>
        </w:rPr>
        <w:t>47 C.F.R. section 73.3700(b)(1)(iv)(B)</w:t>
      </w:r>
      <w:r w:rsidRPr="00DD6CE4">
        <w:rPr>
          <w:szCs w:val="24"/>
        </w:rPr>
        <w:t xml:space="preserve"> permits the licensee of any broadcast television station that the Commission makes all reasonable efforts to preserve pursuant to Section 6403(b)(2) of the Spectrum Act that is predicted to experience aggregate new interference to population served in excess of one percent as a result of the repacking process to submit an application for a construction permit pursuant to paragraph (b)(2)(i) or (ii) of this section in the priority filing window required by paragraph (b)(1)(iv)(A). </w:t>
      </w:r>
    </w:p>
    <w:p w:rsidR="00DD6CE4" w:rsidRPr="00DD6CE4" w:rsidP="00DD6CE4" w14:paraId="2919F034" w14:textId="77777777">
      <w:pPr>
        <w:suppressAutoHyphens/>
        <w:spacing w:after="220"/>
        <w:outlineLvl w:val="0"/>
        <w:rPr>
          <w:szCs w:val="24"/>
        </w:rPr>
      </w:pPr>
      <w:r w:rsidRPr="00DD6CE4">
        <w:rPr>
          <w:b/>
          <w:szCs w:val="24"/>
        </w:rPr>
        <w:t>47 C.F.R. section 73.3700(b)(1)(v)</w:t>
      </w:r>
      <w:r w:rsidRPr="00DD6CE4">
        <w:rPr>
          <w:szCs w:val="24"/>
        </w:rPr>
        <w:t xml:space="preserve"> states that construction permit applications filed pursuant to paragraph (b)(1)(i) of this section will be afforded expedited processing if the application: (A) does not seek to expand the coverage area, as defined by the technical parameters specified in the Channel Reassignment Public Notice, in any direction; (B) seeks authorization for facilities that are no more than five percent smaller than those specified in the Channel Reassignment Public Notice with respect to predicted population served; and (C) is filed within the three-month deadline specified in paragraph (b)(1)(i) of this section.</w:t>
      </w:r>
    </w:p>
    <w:p w:rsidR="00DD6CE4" w:rsidRPr="00DD6CE4" w:rsidP="00DD6CE4" w14:paraId="6320C465" w14:textId="77777777">
      <w:pPr>
        <w:suppressAutoHyphens/>
        <w:spacing w:after="220"/>
        <w:outlineLvl w:val="0"/>
        <w:rPr>
          <w:color w:val="000000"/>
          <w:szCs w:val="24"/>
        </w:rPr>
      </w:pPr>
      <w:r w:rsidRPr="00DD6CE4">
        <w:rPr>
          <w:b/>
          <w:color w:val="000000"/>
          <w:szCs w:val="24"/>
        </w:rPr>
        <w:t>47 C.F.R section 73.3700(b)(1)(vii)</w:t>
      </w:r>
      <w:r w:rsidRPr="00DD6CE4">
        <w:rPr>
          <w:color w:val="000000"/>
          <w:szCs w:val="24"/>
        </w:rPr>
        <w:t xml:space="preserve"> requires channel sharee stations</w:t>
      </w:r>
      <w:r>
        <w:rPr>
          <w:color w:val="000000"/>
          <w:szCs w:val="24"/>
          <w:vertAlign w:val="superscript"/>
        </w:rPr>
        <w:footnoteReference w:id="6"/>
      </w:r>
      <w:r w:rsidRPr="00DD6CE4">
        <w:rPr>
          <w:color w:val="000000"/>
          <w:szCs w:val="24"/>
        </w:rPr>
        <w:t xml:space="preserve"> to file a minor change application for a construction permit for the channel on which the channel sharer operates at least sixty (60) days prior to the date by which it must terminate operations on its pre-auction channel pursuant to § 73.3700(c)(4)(i) and (ii) of this rule.  The application must include a copy of the executed channel sharing agreement.</w:t>
      </w:r>
    </w:p>
    <w:p w:rsidR="00DD6CE4" w:rsidRPr="00DD6CE4" w:rsidP="00DD6CE4" w14:paraId="7B1B37CC" w14:textId="77777777">
      <w:pPr>
        <w:rPr>
          <w:spacing w:val="-2"/>
        </w:rPr>
      </w:pPr>
      <w:r w:rsidRPr="00DD6CE4">
        <w:rPr>
          <w:b/>
          <w:spacing w:val="-2"/>
        </w:rPr>
        <w:t xml:space="preserve">47 C.F.R. section 73.3700(b)(2)(i) </w:t>
      </w:r>
      <w:r w:rsidRPr="00DD6CE4">
        <w:rPr>
          <w:spacing w:val="-2"/>
        </w:rPr>
        <w:t xml:space="preserve">permits the licensee of a reassigned station, a UHF-to-VHF station, or a High-VHF-to-Low-VHF station to file a major change application for a construction permit for an alternate channel on FCC Form 2100 Schedules A (for a full power station) and E (for a Class A station) during a filing window to be announced by the Media Bureau by public notice, provided that: (A) The licensee of a UHF-to-VHF station cannot request an alternate UHF channel; (B) The licensee of a UHF-to-VHF station that specified the high-VHF band or the low-VHF band in its UHF-to-VHF bid cannot request a VHF channel outside of the assigned band; and (C) The licensee of a High-VHF-to-Low-VHF station cannot request an alternate high-VHF channel. </w:t>
      </w:r>
    </w:p>
    <w:p w:rsidR="00DD6CE4" w:rsidRPr="00DD6CE4" w:rsidP="00DD6CE4" w14:paraId="5E387688" w14:textId="77777777">
      <w:pPr>
        <w:rPr>
          <w:spacing w:val="-2"/>
        </w:rPr>
      </w:pPr>
    </w:p>
    <w:p w:rsidR="00DD6CE4" w:rsidP="00DD6CE4" w14:paraId="37282F20" w14:textId="77777777">
      <w:pPr>
        <w:rPr>
          <w:spacing w:val="-2"/>
        </w:rPr>
      </w:pPr>
      <w:r w:rsidRPr="00DD6CE4">
        <w:rPr>
          <w:b/>
          <w:spacing w:val="-2"/>
        </w:rPr>
        <w:t>47 C.F.R section 73.3700(b)(2)(ii)</w:t>
      </w:r>
      <w:r w:rsidRPr="00DD6CE4">
        <w:rPr>
          <w:spacing w:val="-2"/>
        </w:rPr>
        <w:t xml:space="preserve"> permits the licensee of a reassigned station, a UHF-to-VHF station, or a High-VHF-to-Low-VHF station to file a minor change application for a construction permit on FCC Form 2100 Schedules A (for a full power station) and E (for a Class A station) during a filing window to be announced by the Media Bureau by public notice, in order to reques</w:t>
      </w:r>
      <w:r w:rsidR="00BE0548">
        <w:rPr>
          <w:spacing w:val="-2"/>
        </w:rPr>
        <w:t xml:space="preserve">t </w:t>
      </w:r>
      <w:r w:rsidRPr="00DD6CE4">
        <w:rPr>
          <w:spacing w:val="-2"/>
        </w:rPr>
        <w:t xml:space="preserve">a change in the technical parameters specified in the Channel Reassignment Public Notice with respect to height above average terrain (HAAT), effective radiated power (ERP), or transmitter </w:t>
      </w:r>
      <w:r w:rsidRPr="00DD6CE4">
        <w:rPr>
          <w:spacing w:val="-2"/>
        </w:rPr>
        <w:t xml:space="preserve">location that would be considered a minor change under §§ 73.3572(a)(1),(2) or 74.787(b) of this chapter. </w:t>
      </w:r>
    </w:p>
    <w:p w:rsidR="00BE0548" w:rsidP="00DD6CE4" w14:paraId="1BA4B1CC" w14:textId="77777777">
      <w:pPr>
        <w:rPr>
          <w:spacing w:val="-2"/>
        </w:rPr>
      </w:pPr>
    </w:p>
    <w:p w:rsidR="00BE0548" w:rsidP="00BE0548" w14:paraId="1845AA6A" w14:textId="7A436E03">
      <w:pPr>
        <w:widowControl w:val="0"/>
        <w:suppressAutoHyphens/>
        <w:rPr>
          <w:snapToGrid w:val="0"/>
          <w:spacing w:val="-3"/>
        </w:rPr>
      </w:pPr>
      <w:r>
        <w:rPr>
          <w:b/>
          <w:snapToGrid w:val="0"/>
          <w:spacing w:val="-3"/>
        </w:rPr>
        <w:t>47 C.F.R. s</w:t>
      </w:r>
      <w:r w:rsidRPr="00DD6CE4">
        <w:rPr>
          <w:b/>
          <w:snapToGrid w:val="0"/>
          <w:spacing w:val="-3"/>
        </w:rPr>
        <w:t xml:space="preserve">ection 73.6028 </w:t>
      </w:r>
      <w:r w:rsidRPr="00DD6CE4">
        <w:rPr>
          <w:snapToGrid w:val="0"/>
          <w:spacing w:val="-3"/>
        </w:rPr>
        <w:t>permits Class A stations to seek approval to share a single television channel with LPTV, TV translator, full power and Class A television stations.  Class A stations interested in terminating operations and sharing another station’s channel must submit FCC Form 2100 Schedule E in order to obtain Commission approval for their channel sharing arrangement.</w:t>
      </w:r>
    </w:p>
    <w:p w:rsidR="002D0B8B" w:rsidP="00BE0548" w14:paraId="0F396E6D" w14:textId="77777777">
      <w:pPr>
        <w:widowControl w:val="0"/>
        <w:suppressAutoHyphens/>
        <w:rPr>
          <w:snapToGrid w:val="0"/>
          <w:spacing w:val="-3"/>
        </w:rPr>
      </w:pPr>
    </w:p>
    <w:p w:rsidR="005E3FD9" w:rsidRPr="00A97278" w:rsidP="005E3FD9" w14:paraId="37E2F103" w14:textId="77777777">
      <w:pPr>
        <w:rPr>
          <w:spacing w:val="-2"/>
        </w:rPr>
      </w:pPr>
      <w:r w:rsidRPr="00BD529C">
        <w:rPr>
          <w:b/>
          <w:spacing w:val="-3"/>
          <w:szCs w:val="24"/>
          <w:u w:val="single"/>
        </w:rPr>
        <w:t>History:</w:t>
      </w:r>
      <w:r>
        <w:t xml:space="preserve"> </w:t>
      </w:r>
      <w:r w:rsidRPr="00704FCA">
        <w:t xml:space="preserve">  </w:t>
      </w:r>
    </w:p>
    <w:p w:rsidR="005E3FD9" w:rsidP="00BE0548" w14:paraId="0DD4CDAC" w14:textId="77777777">
      <w:pPr>
        <w:widowControl w:val="0"/>
        <w:suppressAutoHyphens/>
        <w:rPr>
          <w:snapToGrid w:val="0"/>
          <w:spacing w:val="-3"/>
        </w:rPr>
      </w:pPr>
    </w:p>
    <w:p w:rsidR="002D0B8B" w:rsidRPr="002D0B8B" w:rsidP="002D0B8B" w14:paraId="2FF770CF" w14:textId="622F39E6">
      <w:pPr>
        <w:tabs>
          <w:tab w:val="center" w:pos="4680"/>
        </w:tabs>
        <w:rPr>
          <w:szCs w:val="24"/>
        </w:rPr>
      </w:pPr>
      <w:r>
        <w:rPr>
          <w:szCs w:val="24"/>
        </w:rPr>
        <w:t>On January 19, 2021, the Commission released</w:t>
      </w:r>
      <w:r w:rsidRPr="003A44DC">
        <w:rPr>
          <w:snapToGrid w:val="0"/>
          <w:spacing w:val="-2"/>
          <w:kern w:val="28"/>
          <w:sz w:val="22"/>
        </w:rPr>
        <w:t xml:space="preserve"> Rules Governing the Use of Distributed Transmission System Technologies</w:t>
      </w:r>
      <w:r>
        <w:rPr>
          <w:snapToGrid w:val="0"/>
          <w:spacing w:val="-2"/>
          <w:kern w:val="28"/>
          <w:sz w:val="22"/>
        </w:rPr>
        <w:t xml:space="preserve">, Report and Order, FCC 21-21.  </w:t>
      </w:r>
      <w:r>
        <w:rPr>
          <w:szCs w:val="24"/>
        </w:rPr>
        <w:t xml:space="preserve">The Commission adopted these rules to allow Class A television stations to seek authority to construct Distributed Transmission System (DTS) operations. Pursuant to new section 73.6023 of the rules, Class A stations may now propose DTS operations by filing an application for construction permit for minor modification – FCC Form 2100, Schedule E.  This submission is also being made to OMB for approval of the modified FCC Form 2100, Schedule E.  </w:t>
      </w:r>
    </w:p>
    <w:p w:rsidR="00F454DE" w:rsidP="00BE0548" w14:paraId="07E05A29" w14:textId="44EF8E1E">
      <w:pPr>
        <w:widowControl w:val="0"/>
        <w:suppressAutoHyphens/>
        <w:rPr>
          <w:snapToGrid w:val="0"/>
          <w:spacing w:val="-3"/>
        </w:rPr>
      </w:pPr>
    </w:p>
    <w:p w:rsidR="00F454DE" w:rsidRPr="00BD529C" w:rsidP="00F454DE" w14:paraId="70B202FF" w14:textId="77777777">
      <w:pPr>
        <w:rPr>
          <w:szCs w:val="24"/>
        </w:rPr>
      </w:pPr>
      <w:r w:rsidRPr="00BD529C">
        <w:rPr>
          <w:szCs w:val="24"/>
        </w:rPr>
        <w:t xml:space="preserve">On May 12, 2020, the Commission adopted </w:t>
      </w:r>
      <w:r w:rsidRPr="00BD529C">
        <w:rPr>
          <w:i/>
          <w:iCs/>
          <w:spacing w:val="-2"/>
          <w:szCs w:val="24"/>
        </w:rPr>
        <w:t>Amendment of Section 73.3580 of the Commission’s Rules Regarding Public Notice of the Filing of Applications</w:t>
      </w:r>
      <w:r w:rsidRPr="00BD529C">
        <w:rPr>
          <w:i/>
          <w:szCs w:val="24"/>
        </w:rPr>
        <w:t>; Modernization of Media Regulation Initiative</w:t>
      </w:r>
      <w:r w:rsidRPr="00BD529C">
        <w:rPr>
          <w:iCs/>
          <w:szCs w:val="24"/>
        </w:rPr>
        <w:t xml:space="preserve">; </w:t>
      </w:r>
      <w:r w:rsidRPr="00BD529C">
        <w:rPr>
          <w:i/>
          <w:iCs/>
          <w:spacing w:val="-2"/>
          <w:szCs w:val="24"/>
        </w:rPr>
        <w:t>Revision of the Public Notice Requirements of Section 73.3580</w:t>
      </w:r>
      <w:r w:rsidRPr="00BD529C">
        <w:rPr>
          <w:szCs w:val="24"/>
        </w:rPr>
        <w:t xml:space="preserve">, Second Report and Order, MB Docket Nos. 17-254, 17-105, &amp; 05-6, FCC 20-65 (rel. May 13, 2020).  The Commission adopted new, streamlined procedures for stations to provide public notice of the filing of certain applications.  Stations, including </w:t>
      </w:r>
      <w:r>
        <w:rPr>
          <w:szCs w:val="24"/>
        </w:rPr>
        <w:t xml:space="preserve">Class A television </w:t>
      </w:r>
      <w:r w:rsidRPr="00BD529C">
        <w:rPr>
          <w:szCs w:val="24"/>
        </w:rPr>
        <w:t>stations filing for new construction permits or major modifications to facilities, that were previously required to post public notice in a local newspaper, must now post notice online, either on the station website or a website affiliated with the station, its licensee, or its parent entity, or else must post notice on a publicly accessible, locally targeted website, for 30 continuous days following acceptance of the application for filing.</w:t>
      </w:r>
    </w:p>
    <w:p w:rsidR="00BE0548" w:rsidRPr="00DD6CE4" w:rsidP="00DD6CE4" w14:paraId="43A76D0A" w14:textId="77777777">
      <w:pPr>
        <w:rPr>
          <w:spacing w:val="-2"/>
        </w:rPr>
      </w:pPr>
    </w:p>
    <w:p w:rsidR="00225208" w:rsidP="00225208" w14:paraId="58A6DC80" w14:textId="77777777">
      <w:r w:rsidRPr="00225208">
        <w:t xml:space="preserve">Statutory authority for this collection of information is contained in Sections 154(i), 307, 308, 309, and 319 of the Communications Act of 1934, as amended and the Community Broadcasters Protection Act of 1999. </w:t>
      </w:r>
    </w:p>
    <w:p w:rsidR="00BE0548" w:rsidP="00225208" w14:paraId="1465EE1F" w14:textId="77777777"/>
    <w:p w:rsidR="00225208" w:rsidP="00253B90" w14:paraId="256CEA03" w14:textId="77777777">
      <w:r w:rsidRPr="00DD6CE4">
        <w:t>This information collection does not affect individuals, thus there are no Privacy Act impacts.</w:t>
      </w:r>
    </w:p>
    <w:p w:rsidR="00F343D4" w:rsidP="00253B90" w14:paraId="5E5A4B41" w14:textId="77777777"/>
    <w:p w:rsidR="007A472D" w:rsidP="00164396" w14:paraId="4905F878" w14:textId="77777777">
      <w:pPr>
        <w:pStyle w:val="BodyText2"/>
        <w:rPr>
          <w:spacing w:val="-2"/>
        </w:rPr>
      </w:pPr>
      <w:r>
        <w:rPr>
          <w:spacing w:val="-2"/>
        </w:rPr>
        <w:t xml:space="preserve">2.  </w:t>
      </w:r>
      <w:r w:rsidRPr="007F1C26" w:rsidR="006D69EA">
        <w:rPr>
          <w:b/>
          <w:spacing w:val="-3"/>
          <w:shd w:val="clear" w:color="auto" w:fill="FFFFFF"/>
        </w:rPr>
        <w:t>Agency Use of Information</w:t>
      </w:r>
      <w:r w:rsidRPr="007F1C26" w:rsidR="006D69EA">
        <w:rPr>
          <w:spacing w:val="-3"/>
          <w:shd w:val="clear" w:color="auto" w:fill="FFFFFF"/>
        </w:rPr>
        <w:t>:  FCC staff members use the data to determine whether commercial broadcast station construction permit applicants meet basic statutory requirements to become a Commission licensee/permittee and to assure that the public interest would be served by grant of the application.</w:t>
      </w:r>
      <w:r w:rsidR="006D69EA">
        <w:t xml:space="preserve"> </w:t>
      </w:r>
      <w:r>
        <w:rPr>
          <w:spacing w:val="-2"/>
        </w:rPr>
        <w:t xml:space="preserve"> </w:t>
      </w:r>
    </w:p>
    <w:p w:rsidR="007A472D" w:rsidP="00164396" w14:paraId="0519F71A" w14:textId="77777777">
      <w:pPr>
        <w:rPr>
          <w:spacing w:val="-2"/>
        </w:rPr>
      </w:pPr>
    </w:p>
    <w:p w:rsidR="009C7D0F" w:rsidRPr="009C7D0F" w:rsidP="009C7D0F" w14:paraId="50295C50" w14:textId="596EA289">
      <w:pPr>
        <w:suppressAutoHyphens/>
        <w:rPr>
          <w:szCs w:val="24"/>
        </w:rPr>
      </w:pPr>
      <w:r>
        <w:rPr>
          <w:spacing w:val="-3"/>
        </w:rPr>
        <w:t>3.</w:t>
      </w:r>
      <w:r w:rsidR="006D69EA">
        <w:rPr>
          <w:spacing w:val="-3"/>
        </w:rPr>
        <w:t xml:space="preserve">  </w:t>
      </w:r>
      <w:r w:rsidRPr="006D69EA" w:rsidR="006D69EA">
        <w:rPr>
          <w:b/>
          <w:spacing w:val="-3"/>
        </w:rPr>
        <w:t>Consideration Given to Information Technology</w:t>
      </w:r>
      <w:r w:rsidRPr="006D69EA" w:rsidR="006D69EA">
        <w:rPr>
          <w:spacing w:val="-3"/>
        </w:rPr>
        <w:t xml:space="preserve">:  The Commission requires </w:t>
      </w:r>
      <w:r w:rsidR="006D69EA">
        <w:rPr>
          <w:spacing w:val="-3"/>
        </w:rPr>
        <w:t xml:space="preserve">Class A </w:t>
      </w:r>
      <w:r w:rsidRPr="006D69EA" w:rsidR="006D69EA">
        <w:rPr>
          <w:spacing w:val="-3"/>
        </w:rPr>
        <w:t>television broadcast station construction permits applicants to file FCC Form 2100</w:t>
      </w:r>
      <w:r w:rsidR="006D69EA">
        <w:rPr>
          <w:spacing w:val="-3"/>
        </w:rPr>
        <w:t>, Schedule E</w:t>
      </w:r>
      <w:r w:rsidRPr="006D69EA" w:rsidR="006D69EA">
        <w:rPr>
          <w:spacing w:val="-3"/>
        </w:rPr>
        <w:t xml:space="preserve"> electronically through the “Licensing and Management System</w:t>
      </w:r>
      <w:r w:rsidR="00F37D81">
        <w:rPr>
          <w:spacing w:val="-3"/>
        </w:rPr>
        <w:t>.</w:t>
      </w:r>
      <w:r w:rsidRPr="006D69EA" w:rsidR="006D69EA">
        <w:rPr>
          <w:spacing w:val="-3"/>
        </w:rPr>
        <w:t xml:space="preserve">” </w:t>
      </w:r>
    </w:p>
    <w:p w:rsidR="002548CE" w:rsidP="00164396" w14:paraId="5DC747EC" w14:textId="77777777">
      <w:pPr>
        <w:suppressAutoHyphens/>
        <w:rPr>
          <w:szCs w:val="24"/>
        </w:rPr>
      </w:pPr>
    </w:p>
    <w:p w:rsidR="006D69EA" w:rsidRPr="006D69EA" w:rsidP="006D69EA" w14:paraId="411F00ED" w14:textId="77777777">
      <w:pPr>
        <w:suppressAutoHyphens/>
        <w:rPr>
          <w:spacing w:val="-3"/>
        </w:rPr>
      </w:pPr>
      <w:r>
        <w:rPr>
          <w:spacing w:val="-3"/>
        </w:rPr>
        <w:t xml:space="preserve"> 4.  </w:t>
      </w:r>
      <w:r w:rsidRPr="006D69EA">
        <w:rPr>
          <w:b/>
          <w:spacing w:val="-3"/>
        </w:rPr>
        <w:t>Effort to Identify Duplication and Use Similar Information</w:t>
      </w:r>
      <w:r w:rsidRPr="006D69EA">
        <w:rPr>
          <w:spacing w:val="-3"/>
        </w:rPr>
        <w:t xml:space="preserve">:  This agency does not impose a similar information collection on the respondents.  There are no similar data available. </w:t>
      </w:r>
    </w:p>
    <w:p w:rsidR="007A472D" w:rsidP="00164396" w14:paraId="5D7355EB" w14:textId="77777777">
      <w:pPr>
        <w:suppressAutoHyphens/>
        <w:rPr>
          <w:spacing w:val="-3"/>
        </w:rPr>
      </w:pPr>
    </w:p>
    <w:p w:rsidR="007A472D" w:rsidP="00164396" w14:paraId="2CB3FFB3" w14:textId="7A6A7E23">
      <w:pPr>
        <w:suppressAutoHyphens/>
        <w:rPr>
          <w:spacing w:val="-3"/>
        </w:rPr>
      </w:pPr>
      <w:r>
        <w:rPr>
          <w:spacing w:val="-3"/>
        </w:rPr>
        <w:t xml:space="preserve"> 5.  </w:t>
      </w:r>
      <w:r w:rsidRPr="003F4574" w:rsidR="003F4574">
        <w:rPr>
          <w:b/>
          <w:spacing w:val="-3"/>
        </w:rPr>
        <w:t>Effort to Reduce Small Business Burden</w:t>
      </w:r>
      <w:r w:rsidRPr="003F4574" w:rsidR="003F4574">
        <w:rPr>
          <w:spacing w:val="-3"/>
        </w:rPr>
        <w:t xml:space="preserve">:  In conformance with the Paperwork Reduction Act of 1995, the Commission is making an effort to minimize the burden on all respondents.  The Commission has limited the information requirements to those that are absolutely necessary for evaluating and processing the applications </w:t>
      </w:r>
      <w:r w:rsidR="006711A9">
        <w:rPr>
          <w:spacing w:val="-3"/>
        </w:rPr>
        <w:t>a</w:t>
      </w:r>
      <w:r w:rsidRPr="003F4574" w:rsidR="003F4574">
        <w:rPr>
          <w:spacing w:val="-3"/>
        </w:rPr>
        <w:t>nd to deter possible abuses of the processes.  Therefore, this information collection will not have a significant economic imp</w:t>
      </w:r>
      <w:r w:rsidR="003F4574">
        <w:rPr>
          <w:spacing w:val="-3"/>
        </w:rPr>
        <w:t>act on small entities/businesses.</w:t>
      </w:r>
    </w:p>
    <w:p w:rsidR="007A472D" w14:paraId="10653C03" w14:textId="77777777">
      <w:pPr>
        <w:suppressAutoHyphens/>
        <w:jc w:val="both"/>
        <w:rPr>
          <w:spacing w:val="-3"/>
        </w:rPr>
      </w:pPr>
    </w:p>
    <w:p w:rsidR="007A472D" w:rsidP="009F32ED" w14:paraId="16BC0B98" w14:textId="66FFCA2D">
      <w:pPr>
        <w:pStyle w:val="BodyText"/>
        <w:jc w:val="left"/>
        <w:rPr>
          <w:spacing w:val="-3"/>
        </w:rPr>
      </w:pPr>
      <w:r>
        <w:rPr>
          <w:spacing w:val="-3"/>
        </w:rPr>
        <w:t xml:space="preserve">6.  </w:t>
      </w:r>
      <w:r w:rsidRPr="007F1C26">
        <w:rPr>
          <w:b/>
          <w:spacing w:val="-3"/>
          <w:shd w:val="clear" w:color="auto" w:fill="FFFFFF"/>
        </w:rPr>
        <w:t>Less Frequent Data Collection</w:t>
      </w:r>
      <w:r w:rsidRPr="007F1C26">
        <w:rPr>
          <w:spacing w:val="-3"/>
          <w:shd w:val="clear" w:color="auto" w:fill="FFFFFF"/>
        </w:rPr>
        <w:t xml:space="preserve">:  For all uses of FCC Form 2100, </w:t>
      </w:r>
      <w:r w:rsidR="00F454DE">
        <w:rPr>
          <w:spacing w:val="-3"/>
          <w:shd w:val="clear" w:color="auto" w:fill="FFFFFF"/>
        </w:rPr>
        <w:t xml:space="preserve">Schedule E, </w:t>
      </w:r>
      <w:r w:rsidRPr="007F1C26">
        <w:rPr>
          <w:spacing w:val="-3"/>
          <w:shd w:val="clear" w:color="auto" w:fill="FFFFFF"/>
        </w:rPr>
        <w:t xml:space="preserve">the frequency of filing is determined by the respondents.  However, no new or modified TV or DTV facilities can be obtained or modified </w:t>
      </w:r>
      <w:r>
        <w:rPr>
          <w:spacing w:val="-3"/>
          <w:shd w:val="clear" w:color="auto" w:fill="FFFFFF"/>
        </w:rPr>
        <w:t xml:space="preserve">by a Class A station </w:t>
      </w:r>
      <w:r w:rsidRPr="007F1C26">
        <w:rPr>
          <w:spacing w:val="-3"/>
          <w:shd w:val="clear" w:color="auto" w:fill="FFFFFF"/>
        </w:rPr>
        <w:t>without using FCC Form 2100</w:t>
      </w:r>
      <w:r>
        <w:rPr>
          <w:spacing w:val="-3"/>
          <w:shd w:val="clear" w:color="auto" w:fill="FFFFFF"/>
        </w:rPr>
        <w:t>, Schedule E</w:t>
      </w:r>
      <w:r w:rsidRPr="007F1C26">
        <w:rPr>
          <w:spacing w:val="-3"/>
          <w:shd w:val="clear" w:color="auto" w:fill="FFFFFF"/>
        </w:rPr>
        <w:t>.</w:t>
      </w:r>
      <w:r w:rsidRPr="007F1C26">
        <w:t xml:space="preserve">   </w:t>
      </w:r>
    </w:p>
    <w:p w:rsidR="007A472D" w:rsidP="009F32ED" w14:paraId="47158B27" w14:textId="77777777">
      <w:pPr>
        <w:suppressAutoHyphens/>
        <w:rPr>
          <w:spacing w:val="-3"/>
        </w:rPr>
      </w:pPr>
    </w:p>
    <w:p w:rsidR="007A472D" w:rsidP="009F32ED" w14:paraId="20883535" w14:textId="77777777">
      <w:pPr>
        <w:suppressAutoHyphens/>
        <w:rPr>
          <w:spacing w:val="-3"/>
        </w:rPr>
      </w:pPr>
      <w:r>
        <w:rPr>
          <w:spacing w:val="-3"/>
        </w:rPr>
        <w:t xml:space="preserve"> 7.  </w:t>
      </w:r>
      <w:r w:rsidRPr="003F4574" w:rsidR="003F4574">
        <w:rPr>
          <w:b/>
          <w:spacing w:val="-3"/>
        </w:rPr>
        <w:t>Information Collection Circumstances</w:t>
      </w:r>
      <w:r w:rsidR="003F4574">
        <w:rPr>
          <w:spacing w:val="-3"/>
        </w:rPr>
        <w:t xml:space="preserve">:  </w:t>
      </w:r>
      <w:r>
        <w:rPr>
          <w:spacing w:val="-3"/>
        </w:rPr>
        <w:t>This collection of information is consistent with the guidelines in 5 CFR 1320.5(d)(2).</w:t>
      </w:r>
    </w:p>
    <w:p w:rsidR="007A472D" w:rsidP="009F32ED" w14:paraId="246DE428" w14:textId="77777777">
      <w:pPr>
        <w:suppressAutoHyphens/>
        <w:rPr>
          <w:spacing w:val="-3"/>
        </w:rPr>
      </w:pPr>
    </w:p>
    <w:p w:rsidR="007A472D" w:rsidP="008906DC" w14:paraId="26D6AB53" w14:textId="4C0BA83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pacing w:val="-3"/>
        </w:rPr>
        <w:t xml:space="preserve"> </w:t>
      </w:r>
      <w:r w:rsidRPr="007E0357">
        <w:rPr>
          <w:spacing w:val="-3"/>
        </w:rPr>
        <w:t xml:space="preserve">8.  </w:t>
      </w:r>
      <w:r w:rsidRPr="007E0357" w:rsidR="0053069C">
        <w:rPr>
          <w:b/>
          <w:spacing w:val="-3"/>
        </w:rPr>
        <w:t>Public Comment Period</w:t>
      </w:r>
      <w:r w:rsidRPr="008D4007" w:rsidR="0053069C">
        <w:rPr>
          <w:spacing w:val="-3"/>
        </w:rPr>
        <w:t>:  T</w:t>
      </w:r>
      <w:r w:rsidRPr="008D4007">
        <w:rPr>
          <w:spacing w:val="-3"/>
        </w:rPr>
        <w:t xml:space="preserve">he Commission published a Notice </w:t>
      </w:r>
      <w:r w:rsidR="008D4007">
        <w:rPr>
          <w:spacing w:val="-3"/>
        </w:rPr>
        <w:t>(</w:t>
      </w:r>
      <w:r w:rsidR="00A31529">
        <w:rPr>
          <w:spacing w:val="-3"/>
        </w:rPr>
        <w:t>90 FR 551133</w:t>
      </w:r>
      <w:r w:rsidR="008D4007">
        <w:rPr>
          <w:spacing w:val="-3"/>
        </w:rPr>
        <w:t>)</w:t>
      </w:r>
      <w:r w:rsidRPr="008D4007">
        <w:rPr>
          <w:spacing w:val="-3"/>
        </w:rPr>
        <w:t xml:space="preserve"> in the </w:t>
      </w:r>
      <w:r w:rsidRPr="008D4007">
        <w:rPr>
          <w:i/>
          <w:spacing w:val="-3"/>
        </w:rPr>
        <w:t>Federal Register</w:t>
      </w:r>
      <w:r w:rsidRPr="008D4007">
        <w:rPr>
          <w:spacing w:val="-3"/>
        </w:rPr>
        <w:t xml:space="preserve"> </w:t>
      </w:r>
      <w:r w:rsidRPr="008D4007" w:rsidR="00E27BD3">
        <w:rPr>
          <w:spacing w:val="-3"/>
        </w:rPr>
        <w:t xml:space="preserve">on </w:t>
      </w:r>
      <w:r w:rsidR="00A31529">
        <w:rPr>
          <w:spacing w:val="-3"/>
        </w:rPr>
        <w:t xml:space="preserve">December 1, 2025 </w:t>
      </w:r>
      <w:r w:rsidRPr="008D4007" w:rsidR="003F2814">
        <w:rPr>
          <w:spacing w:val="-3"/>
        </w:rPr>
        <w:t xml:space="preserve">seeking public comment on the </w:t>
      </w:r>
      <w:r w:rsidRPr="008D4007" w:rsidR="00F44092">
        <w:rPr>
          <w:spacing w:val="-3"/>
        </w:rPr>
        <w:t>i</w:t>
      </w:r>
      <w:r w:rsidRPr="008D4007" w:rsidR="003F2814">
        <w:rPr>
          <w:spacing w:val="-3"/>
        </w:rPr>
        <w:t>nformation collection requirements contained in this supporting statement</w:t>
      </w:r>
      <w:r w:rsidRPr="008D4007">
        <w:rPr>
          <w:spacing w:val="-3"/>
        </w:rPr>
        <w:t xml:space="preserve">.   </w:t>
      </w:r>
      <w:r w:rsidRPr="008D4007" w:rsidR="00F44092">
        <w:rPr>
          <w:spacing w:val="-3"/>
        </w:rPr>
        <w:t>N</w:t>
      </w:r>
      <w:r w:rsidRPr="008D4007" w:rsidR="0057013F">
        <w:rPr>
          <w:spacing w:val="-3"/>
        </w:rPr>
        <w:t xml:space="preserve">o comments </w:t>
      </w:r>
      <w:r w:rsidRPr="008D4007" w:rsidR="00F44092">
        <w:rPr>
          <w:spacing w:val="-3"/>
        </w:rPr>
        <w:t xml:space="preserve">were </w:t>
      </w:r>
      <w:r w:rsidRPr="008D4007" w:rsidR="0057013F">
        <w:rPr>
          <w:spacing w:val="-3"/>
        </w:rPr>
        <w:t>received from the public.</w:t>
      </w:r>
      <w:r>
        <w:rPr>
          <w:spacing w:val="-3"/>
        </w:rPr>
        <w:t xml:space="preserve">    </w:t>
      </w:r>
    </w:p>
    <w:p w:rsidR="008906DC" w:rsidP="009F32ED" w14:paraId="14774BFF" w14:textId="77777777">
      <w:pPr>
        <w:suppressAutoHyphens/>
        <w:rPr>
          <w:spacing w:val="-3"/>
        </w:rPr>
      </w:pPr>
      <w:r>
        <w:rPr>
          <w:spacing w:val="-3"/>
        </w:rPr>
        <w:t xml:space="preserve"> </w:t>
      </w:r>
    </w:p>
    <w:p w:rsidR="007A472D" w:rsidP="009F32ED" w14:paraId="3FAB3BFF" w14:textId="77777777">
      <w:pPr>
        <w:suppressAutoHyphens/>
        <w:rPr>
          <w:spacing w:val="-3"/>
        </w:rPr>
      </w:pPr>
      <w:r>
        <w:rPr>
          <w:spacing w:val="-3"/>
        </w:rPr>
        <w:t xml:space="preserve">9.  </w:t>
      </w:r>
      <w:r w:rsidR="00AB3DC8">
        <w:rPr>
          <w:spacing w:val="-3"/>
        </w:rPr>
        <w:t xml:space="preserve">  </w:t>
      </w:r>
      <w:r w:rsidRPr="0053069C" w:rsidR="0053069C">
        <w:rPr>
          <w:b/>
          <w:spacing w:val="-3"/>
        </w:rPr>
        <w:t>Payment or Gift</w:t>
      </w:r>
      <w:r w:rsidRPr="0053069C" w:rsidR="0053069C">
        <w:rPr>
          <w:spacing w:val="-3"/>
        </w:rPr>
        <w:t xml:space="preserve">:  </w:t>
      </w:r>
      <w:r>
        <w:rPr>
          <w:spacing w:val="-3"/>
        </w:rPr>
        <w:t>No payment or gift was provided to respondents.</w:t>
      </w:r>
    </w:p>
    <w:p w:rsidR="007A472D" w:rsidP="009F32ED" w14:paraId="27296E9E" w14:textId="77777777">
      <w:pPr>
        <w:suppressAutoHyphens/>
        <w:rPr>
          <w:spacing w:val="-3"/>
        </w:rPr>
      </w:pPr>
    </w:p>
    <w:p w:rsidR="007A472D" w:rsidP="009F32ED" w14:paraId="7B857A16" w14:textId="79033D21">
      <w:pPr>
        <w:suppressAutoHyphens/>
        <w:rPr>
          <w:spacing w:val="-3"/>
        </w:rPr>
      </w:pPr>
      <w:r>
        <w:rPr>
          <w:spacing w:val="-3"/>
        </w:rPr>
        <w:t xml:space="preserve">10.  </w:t>
      </w:r>
      <w:r w:rsidRPr="0053069C" w:rsidR="0053069C">
        <w:rPr>
          <w:b/>
          <w:spacing w:val="-3"/>
        </w:rPr>
        <w:t>Confidentiality of Information</w:t>
      </w:r>
      <w:r w:rsidRPr="0053069C" w:rsidR="0053069C">
        <w:rPr>
          <w:spacing w:val="-3"/>
        </w:rPr>
        <w:t>:</w:t>
      </w:r>
      <w:r w:rsidR="0053069C">
        <w:rPr>
          <w:spacing w:val="-3"/>
        </w:rPr>
        <w:t xml:space="preserve"> </w:t>
      </w:r>
      <w:r>
        <w:rPr>
          <w:spacing w:val="-3"/>
        </w:rPr>
        <w:t xml:space="preserve">There is </w:t>
      </w:r>
      <w:r w:rsidR="00832B71">
        <w:rPr>
          <w:spacing w:val="-3"/>
        </w:rPr>
        <w:t>some</w:t>
      </w:r>
      <w:r>
        <w:rPr>
          <w:spacing w:val="-3"/>
        </w:rPr>
        <w:t xml:space="preserve"> need for confidentiality</w:t>
      </w:r>
      <w:r w:rsidR="00C7191F">
        <w:rPr>
          <w:spacing w:val="-3"/>
        </w:rPr>
        <w:t xml:space="preserve"> for this collection of information</w:t>
      </w:r>
      <w:r>
        <w:rPr>
          <w:spacing w:val="-3"/>
        </w:rPr>
        <w:t>.</w:t>
      </w:r>
      <w:r w:rsidR="00832B71">
        <w:rPr>
          <w:spacing w:val="-3"/>
        </w:rPr>
        <w:t xml:space="preserve">  When filing a channel sharing agreement with the agency under 47 CFR section 73.3700(b)(1)(vii), applicants may redact confidential or proprietary terms.</w:t>
      </w:r>
      <w:r>
        <w:rPr>
          <w:rStyle w:val="FootnoteReference"/>
          <w:spacing w:val="-3"/>
        </w:rPr>
        <w:footnoteReference w:id="7"/>
      </w:r>
    </w:p>
    <w:p w:rsidR="007A472D" w:rsidP="009F32ED" w14:paraId="4AA9A443" w14:textId="77777777">
      <w:pPr>
        <w:suppressAutoHyphens/>
        <w:rPr>
          <w:spacing w:val="-3"/>
        </w:rPr>
      </w:pPr>
    </w:p>
    <w:p w:rsidR="007A472D" w:rsidP="009F32ED" w14:paraId="690F8B5C" w14:textId="1D8DE55E">
      <w:pPr>
        <w:suppressAutoHyphens/>
        <w:rPr>
          <w:spacing w:val="-3"/>
        </w:rPr>
      </w:pPr>
      <w:r>
        <w:rPr>
          <w:spacing w:val="-3"/>
        </w:rPr>
        <w:t xml:space="preserve">11.  </w:t>
      </w:r>
      <w:r w:rsidRPr="0053069C" w:rsidR="0053069C">
        <w:rPr>
          <w:b/>
          <w:spacing w:val="-3"/>
        </w:rPr>
        <w:t>Justification for Sensitive Questions</w:t>
      </w:r>
      <w:r w:rsidRPr="0053069C" w:rsidR="0053069C">
        <w:rPr>
          <w:spacing w:val="-3"/>
        </w:rPr>
        <w:t xml:space="preserve">:  </w:t>
      </w:r>
      <w:r>
        <w:rPr>
          <w:spacing w:val="-3"/>
        </w:rPr>
        <w:t>This form does not address any private matter.</w:t>
      </w:r>
    </w:p>
    <w:p w:rsidR="00F454DE" w:rsidP="009F32ED" w14:paraId="67A51898" w14:textId="77777777">
      <w:pPr>
        <w:suppressAutoHyphens/>
        <w:rPr>
          <w:spacing w:val="-3"/>
        </w:rPr>
      </w:pPr>
    </w:p>
    <w:p w:rsidR="00AB3DC8" w:rsidP="009F32ED" w14:paraId="156FC301" w14:textId="5CAFDD71">
      <w:pPr>
        <w:suppressAutoHyphens/>
        <w:rPr>
          <w:spacing w:val="-3"/>
        </w:rPr>
      </w:pPr>
      <w:r w:rsidRPr="00F454DE">
        <w:rPr>
          <w:spacing w:val="-3"/>
        </w:rPr>
        <w:t>1</w:t>
      </w:r>
      <w:r w:rsidRPr="00F454DE" w:rsidR="007A472D">
        <w:rPr>
          <w:spacing w:val="-3"/>
        </w:rPr>
        <w:t>2.</w:t>
      </w:r>
      <w:r w:rsidR="007A472D">
        <w:rPr>
          <w:spacing w:val="-3"/>
        </w:rPr>
        <w:t xml:space="preserve">  </w:t>
      </w:r>
      <w:r w:rsidR="00F454DE">
        <w:rPr>
          <w:spacing w:val="-3"/>
        </w:rPr>
        <w:t>We</w:t>
      </w:r>
      <w:r w:rsidR="003F6BA8">
        <w:rPr>
          <w:spacing w:val="-3"/>
        </w:rPr>
        <w:t xml:space="preserve"> </w:t>
      </w:r>
      <w:r w:rsidR="007A472D">
        <w:rPr>
          <w:spacing w:val="-3"/>
        </w:rPr>
        <w:t xml:space="preserve">estimate that </w:t>
      </w:r>
      <w:r w:rsidR="00D34E62">
        <w:rPr>
          <w:spacing w:val="-3"/>
        </w:rPr>
        <w:t>60</w:t>
      </w:r>
      <w:r w:rsidR="00B943E4">
        <w:rPr>
          <w:spacing w:val="-3"/>
        </w:rPr>
        <w:t xml:space="preserve"> </w:t>
      </w:r>
      <w:r w:rsidR="0053069C">
        <w:rPr>
          <w:spacing w:val="-3"/>
        </w:rPr>
        <w:t>FCC Forms 2100, Schedule E</w:t>
      </w:r>
      <w:r w:rsidR="007A472D">
        <w:rPr>
          <w:spacing w:val="-3"/>
        </w:rPr>
        <w:t xml:space="preserve"> will</w:t>
      </w:r>
      <w:r w:rsidR="00A941D1">
        <w:rPr>
          <w:spacing w:val="-3"/>
        </w:rPr>
        <w:t xml:space="preserve"> be filed and processed</w:t>
      </w:r>
      <w:r w:rsidR="00F454DE">
        <w:rPr>
          <w:spacing w:val="-3"/>
        </w:rPr>
        <w:t xml:space="preserve"> annually</w:t>
      </w:r>
      <w:r w:rsidR="006564E9">
        <w:rPr>
          <w:spacing w:val="-3"/>
        </w:rPr>
        <w:t xml:space="preserve">.  </w:t>
      </w:r>
      <w:r w:rsidRPr="006C0971" w:rsidR="004A4B11">
        <w:rPr>
          <w:spacing w:val="-3"/>
        </w:rPr>
        <w:t xml:space="preserve">The estimated average burden on each licensee is </w:t>
      </w:r>
      <w:r w:rsidR="00796CAD">
        <w:rPr>
          <w:spacing w:val="-3"/>
        </w:rPr>
        <w:t xml:space="preserve">a total of </w:t>
      </w:r>
      <w:r w:rsidR="00F93836">
        <w:rPr>
          <w:spacing w:val="-3"/>
        </w:rPr>
        <w:t>8</w:t>
      </w:r>
      <w:r w:rsidRPr="0057013F" w:rsidR="000D5D48">
        <w:rPr>
          <w:spacing w:val="-3"/>
        </w:rPr>
        <w:t>.</w:t>
      </w:r>
      <w:r w:rsidR="00F93836">
        <w:rPr>
          <w:spacing w:val="-3"/>
        </w:rPr>
        <w:t>2</w:t>
      </w:r>
      <w:r w:rsidRPr="0057013F" w:rsidR="000D5D48">
        <w:rPr>
          <w:spacing w:val="-3"/>
        </w:rPr>
        <w:t>5</w:t>
      </w:r>
      <w:r w:rsidRPr="006C0971" w:rsidR="004A4B11">
        <w:rPr>
          <w:spacing w:val="-3"/>
        </w:rPr>
        <w:t xml:space="preserve"> hours to comply with the information collection requirements</w:t>
      </w:r>
      <w:r w:rsidR="003F6BA8">
        <w:rPr>
          <w:spacing w:val="-3"/>
        </w:rPr>
        <w:t xml:space="preserve"> for minor change application</w:t>
      </w:r>
      <w:r w:rsidR="00B02C2D">
        <w:rPr>
          <w:spacing w:val="-3"/>
        </w:rPr>
        <w:t>s and 8.25</w:t>
      </w:r>
      <w:r w:rsidR="003F6BA8">
        <w:rPr>
          <w:spacing w:val="-3"/>
        </w:rPr>
        <w:t xml:space="preserve"> for major change applications</w:t>
      </w:r>
      <w:r w:rsidRPr="006C0971" w:rsidR="004A4B11">
        <w:rPr>
          <w:spacing w:val="-3"/>
        </w:rPr>
        <w:t>.</w:t>
      </w:r>
      <w:r>
        <w:rPr>
          <w:spacing w:val="-3"/>
        </w:rPr>
        <w:t xml:space="preserve"> </w:t>
      </w:r>
    </w:p>
    <w:p w:rsidR="00AB3DC8" w:rsidP="009F32ED" w14:paraId="7B98B867" w14:textId="77777777">
      <w:pPr>
        <w:suppressAutoHyphens/>
        <w:rPr>
          <w:spacing w:val="-3"/>
        </w:rPr>
      </w:pPr>
    </w:p>
    <w:p w:rsidR="00AB3DC8" w:rsidRPr="00AB3DC8" w:rsidP="009F32ED" w14:paraId="2CE74CB8" w14:textId="6A29863F">
      <w:pPr>
        <w:suppressAutoHyphens/>
        <w:rPr>
          <w:b/>
          <w:spacing w:val="-3"/>
        </w:rPr>
      </w:pPr>
      <w:r>
        <w:rPr>
          <w:spacing w:val="-3"/>
        </w:rPr>
        <w:tab/>
      </w:r>
      <w:r w:rsidRPr="00AB3DC8">
        <w:rPr>
          <w:b/>
          <w:spacing w:val="-3"/>
        </w:rPr>
        <w:t xml:space="preserve">Total Number of </w:t>
      </w:r>
      <w:r w:rsidR="00C7191F">
        <w:rPr>
          <w:b/>
          <w:spacing w:val="-3"/>
        </w:rPr>
        <w:t xml:space="preserve">Annual </w:t>
      </w:r>
      <w:r w:rsidRPr="00AB3DC8">
        <w:rPr>
          <w:b/>
          <w:spacing w:val="-3"/>
        </w:rPr>
        <w:t xml:space="preserve">Respondents:  </w:t>
      </w:r>
      <w:r w:rsidR="00D34E62">
        <w:rPr>
          <w:b/>
          <w:spacing w:val="-3"/>
        </w:rPr>
        <w:t>60</w:t>
      </w:r>
      <w:r w:rsidR="00F454DE">
        <w:rPr>
          <w:b/>
          <w:spacing w:val="-3"/>
        </w:rPr>
        <w:t xml:space="preserve"> </w:t>
      </w:r>
      <w:r w:rsidRPr="00AB3DC8">
        <w:rPr>
          <w:b/>
          <w:spacing w:val="-3"/>
        </w:rPr>
        <w:t>Station Licensees</w:t>
      </w:r>
    </w:p>
    <w:p w:rsidR="00AB3DC8" w:rsidRPr="00AB3DC8" w:rsidP="009F32ED" w14:paraId="4076E7B7" w14:textId="77777777">
      <w:pPr>
        <w:suppressAutoHyphens/>
        <w:rPr>
          <w:b/>
          <w:spacing w:val="-3"/>
        </w:rPr>
      </w:pPr>
    </w:p>
    <w:p w:rsidR="00AB3DC8" w:rsidRPr="00AB3DC8" w:rsidP="009F32ED" w14:paraId="2CA42C27" w14:textId="3CA46E20">
      <w:pPr>
        <w:suppressAutoHyphens/>
        <w:rPr>
          <w:b/>
          <w:spacing w:val="-3"/>
        </w:rPr>
      </w:pPr>
      <w:r w:rsidRPr="00AB3DC8">
        <w:rPr>
          <w:b/>
          <w:spacing w:val="-3"/>
        </w:rPr>
        <w:tab/>
        <w:t xml:space="preserve">Total Number of </w:t>
      </w:r>
      <w:r w:rsidR="00C7191F">
        <w:rPr>
          <w:b/>
          <w:spacing w:val="-3"/>
        </w:rPr>
        <w:t xml:space="preserve">Annual </w:t>
      </w:r>
      <w:r w:rsidRPr="00AB3DC8">
        <w:rPr>
          <w:b/>
          <w:spacing w:val="-3"/>
        </w:rPr>
        <w:t xml:space="preserve">Responses:     </w:t>
      </w:r>
      <w:r>
        <w:rPr>
          <w:b/>
          <w:spacing w:val="-3"/>
        </w:rPr>
        <w:t xml:space="preserve"> </w:t>
      </w:r>
      <w:r w:rsidR="00D34E62">
        <w:rPr>
          <w:b/>
          <w:spacing w:val="-3"/>
        </w:rPr>
        <w:t>60</w:t>
      </w:r>
      <w:r w:rsidRPr="00AB3DC8">
        <w:rPr>
          <w:b/>
          <w:spacing w:val="-3"/>
        </w:rPr>
        <w:t xml:space="preserve"> </w:t>
      </w:r>
      <w:r w:rsidR="006A2C38">
        <w:rPr>
          <w:b/>
          <w:spacing w:val="-3"/>
        </w:rPr>
        <w:t>FCC Form 2100, Schedule E</w:t>
      </w:r>
      <w:r w:rsidR="00C7191F">
        <w:rPr>
          <w:b/>
          <w:spacing w:val="-3"/>
        </w:rPr>
        <w:t xml:space="preserve"> Forms</w:t>
      </w:r>
    </w:p>
    <w:p w:rsidR="00AB3DC8" w:rsidP="009F32ED" w14:paraId="313E9163" w14:textId="77777777">
      <w:pPr>
        <w:suppressAutoHyphens/>
        <w:rPr>
          <w:spacing w:val="-3"/>
        </w:rPr>
      </w:pPr>
    </w:p>
    <w:p w:rsidR="00C7191F" w:rsidRPr="00C7191F" w:rsidP="009F32ED" w14:paraId="16EEA437" w14:textId="77777777">
      <w:pPr>
        <w:suppressAutoHyphens/>
        <w:rPr>
          <w:b/>
          <w:spacing w:val="-3"/>
        </w:rPr>
      </w:pPr>
      <w:r w:rsidRPr="00C7191F">
        <w:rPr>
          <w:b/>
          <w:spacing w:val="-3"/>
        </w:rPr>
        <w:t>Annual Burden Hours:</w:t>
      </w:r>
    </w:p>
    <w:p w:rsidR="00C7191F" w:rsidP="009F32ED" w14:paraId="5C1E842E" w14:textId="77777777">
      <w:pPr>
        <w:suppressAutoHyphens/>
        <w:rPr>
          <w:spacing w:val="-3"/>
        </w:rPr>
      </w:pPr>
    </w:p>
    <w:p w:rsidR="00164396" w:rsidRPr="006C0971" w:rsidP="009F32ED" w14:paraId="19C1CD60" w14:textId="77777777">
      <w:pPr>
        <w:suppressAutoHyphens/>
        <w:rPr>
          <w:spacing w:val="-3"/>
        </w:rPr>
      </w:pPr>
      <w:r>
        <w:rPr>
          <w:spacing w:val="-3"/>
        </w:rPr>
        <w:t xml:space="preserve">We estimate </w:t>
      </w:r>
      <w:r w:rsidR="00796CAD">
        <w:rPr>
          <w:spacing w:val="-3"/>
        </w:rPr>
        <w:t xml:space="preserve">a total of </w:t>
      </w:r>
      <w:r w:rsidR="004D72FA">
        <w:rPr>
          <w:spacing w:val="-3"/>
        </w:rPr>
        <w:t>8</w:t>
      </w:r>
      <w:r w:rsidR="00FB6357">
        <w:rPr>
          <w:spacing w:val="-3"/>
        </w:rPr>
        <w:t>.</w:t>
      </w:r>
      <w:r w:rsidR="004D72FA">
        <w:rPr>
          <w:spacing w:val="-3"/>
        </w:rPr>
        <w:t>2</w:t>
      </w:r>
      <w:r w:rsidR="00796CAD">
        <w:rPr>
          <w:spacing w:val="-3"/>
        </w:rPr>
        <w:t>5 hours</w:t>
      </w:r>
      <w:r w:rsidR="00FB6357">
        <w:rPr>
          <w:spacing w:val="-3"/>
        </w:rPr>
        <w:t xml:space="preserve"> </w:t>
      </w:r>
      <w:r>
        <w:rPr>
          <w:spacing w:val="-3"/>
        </w:rPr>
        <w:t>to complete the application process. T</w:t>
      </w:r>
      <w:r w:rsidRPr="006C0971" w:rsidR="007A472D">
        <w:rPr>
          <w:spacing w:val="-3"/>
        </w:rPr>
        <w:t>he respondent w</w:t>
      </w:r>
      <w:r>
        <w:rPr>
          <w:spacing w:val="-3"/>
        </w:rPr>
        <w:t>ill require</w:t>
      </w:r>
      <w:r w:rsidRPr="006C0971" w:rsidR="007A472D">
        <w:rPr>
          <w:spacing w:val="-3"/>
        </w:rPr>
        <w:t xml:space="preserve"> </w:t>
      </w:r>
      <w:r w:rsidR="00796CAD">
        <w:rPr>
          <w:spacing w:val="-3"/>
        </w:rPr>
        <w:t xml:space="preserve">six </w:t>
      </w:r>
      <w:r w:rsidRPr="006C0971">
        <w:rPr>
          <w:spacing w:val="-3"/>
        </w:rPr>
        <w:t>hours</w:t>
      </w:r>
      <w:r>
        <w:rPr>
          <w:spacing w:val="-3"/>
        </w:rPr>
        <w:t xml:space="preserve"> to</w:t>
      </w:r>
      <w:r w:rsidRPr="006C0971">
        <w:rPr>
          <w:spacing w:val="-3"/>
        </w:rPr>
        <w:t xml:space="preserve"> </w:t>
      </w:r>
      <w:r w:rsidRPr="006C0971" w:rsidR="007A472D">
        <w:rPr>
          <w:spacing w:val="-3"/>
        </w:rPr>
        <w:t>complete the legal portion of the form</w:t>
      </w:r>
      <w:r w:rsidRPr="006C0971" w:rsidR="008906DC">
        <w:rPr>
          <w:spacing w:val="-3"/>
        </w:rPr>
        <w:t xml:space="preserve"> and </w:t>
      </w:r>
      <w:r>
        <w:rPr>
          <w:spacing w:val="-3"/>
        </w:rPr>
        <w:t xml:space="preserve">the </w:t>
      </w:r>
      <w:r w:rsidRPr="006C0971" w:rsidR="00AB3DC8">
        <w:rPr>
          <w:spacing w:val="-3"/>
        </w:rPr>
        <w:t>in-house</w:t>
      </w:r>
      <w:r w:rsidRPr="006C0971" w:rsidR="00BA70B9">
        <w:rPr>
          <w:spacing w:val="-3"/>
        </w:rPr>
        <w:t xml:space="preserve"> station </w:t>
      </w:r>
      <w:r w:rsidRPr="006C0971" w:rsidR="007A472D">
        <w:rPr>
          <w:spacing w:val="-3"/>
        </w:rPr>
        <w:t>engineer</w:t>
      </w:r>
      <w:r w:rsidRPr="006C0971" w:rsidR="00AB3DC8">
        <w:rPr>
          <w:spacing w:val="-3"/>
        </w:rPr>
        <w:t xml:space="preserve"> </w:t>
      </w:r>
      <w:r>
        <w:rPr>
          <w:spacing w:val="-3"/>
        </w:rPr>
        <w:t xml:space="preserve">will require two </w:t>
      </w:r>
      <w:r w:rsidR="00796CAD">
        <w:rPr>
          <w:spacing w:val="-3"/>
        </w:rPr>
        <w:t>hours and fifteen minutes</w:t>
      </w:r>
      <w:r>
        <w:rPr>
          <w:spacing w:val="-3"/>
        </w:rPr>
        <w:t xml:space="preserve"> </w:t>
      </w:r>
      <w:r w:rsidRPr="006C0971" w:rsidR="00AB3DC8">
        <w:rPr>
          <w:spacing w:val="-3"/>
        </w:rPr>
        <w:t xml:space="preserve">to </w:t>
      </w:r>
      <w:r w:rsidRPr="006C0971" w:rsidR="007A472D">
        <w:rPr>
          <w:spacing w:val="-3"/>
        </w:rPr>
        <w:t xml:space="preserve">complete </w:t>
      </w:r>
      <w:r w:rsidRPr="006C0971" w:rsidR="00243B40">
        <w:rPr>
          <w:spacing w:val="-3"/>
        </w:rPr>
        <w:t xml:space="preserve">the engineering portion </w:t>
      </w:r>
      <w:r w:rsidRPr="006C0971" w:rsidR="007A472D">
        <w:rPr>
          <w:spacing w:val="-3"/>
        </w:rPr>
        <w:t xml:space="preserve">of the form.    </w:t>
      </w:r>
    </w:p>
    <w:p w:rsidR="00164396" w:rsidRPr="006C0971" w:rsidP="009F32ED" w14:paraId="3AF0AE99" w14:textId="77777777">
      <w:pPr>
        <w:suppressAutoHyphens/>
        <w:rPr>
          <w:spacing w:val="-3"/>
        </w:rPr>
      </w:pPr>
    </w:p>
    <w:p w:rsidR="00C7191F" w:rsidRPr="00000C6D" w:rsidP="00C7191F" w14:paraId="3E66EB70" w14:textId="5BEB61B0">
      <w:pPr>
        <w:suppressAutoHyphens/>
        <w:rPr>
          <w:spacing w:val="-3"/>
        </w:rPr>
      </w:pPr>
      <w:r>
        <w:rPr>
          <w:spacing w:val="-3"/>
        </w:rPr>
        <w:t>60</w:t>
      </w:r>
      <w:r w:rsidRPr="006C0971">
        <w:rPr>
          <w:spacing w:val="-3"/>
        </w:rPr>
        <w:t xml:space="preserve"> applications </w:t>
      </w:r>
      <w:r w:rsidRPr="00000C6D">
        <w:rPr>
          <w:spacing w:val="-3"/>
        </w:rPr>
        <w:t xml:space="preserve">x </w:t>
      </w:r>
      <w:r w:rsidR="004D72FA">
        <w:rPr>
          <w:spacing w:val="-3"/>
        </w:rPr>
        <w:t>6</w:t>
      </w:r>
      <w:r w:rsidRPr="00000C6D">
        <w:rPr>
          <w:spacing w:val="-3"/>
        </w:rPr>
        <w:t xml:space="preserve"> hours/form for the legal portion of the form =    </w:t>
      </w:r>
      <w:r>
        <w:rPr>
          <w:spacing w:val="-3"/>
        </w:rPr>
        <w:t>360</w:t>
      </w:r>
      <w:r w:rsidR="00375035">
        <w:rPr>
          <w:spacing w:val="-3"/>
        </w:rPr>
        <w:tab/>
      </w:r>
      <w:r w:rsidRPr="00000C6D" w:rsidR="000D5D48">
        <w:rPr>
          <w:spacing w:val="-3"/>
        </w:rPr>
        <w:t xml:space="preserve">   </w:t>
      </w:r>
    </w:p>
    <w:p w:rsidR="00375035" w:rsidP="00C7191F" w14:paraId="0D6308F3" w14:textId="0CC3BFFF">
      <w:pPr>
        <w:suppressAutoHyphens/>
        <w:rPr>
          <w:spacing w:val="-3"/>
        </w:rPr>
      </w:pPr>
      <w:r>
        <w:rPr>
          <w:spacing w:val="-3"/>
        </w:rPr>
        <w:t>60</w:t>
      </w:r>
      <w:r w:rsidR="006564E9">
        <w:rPr>
          <w:spacing w:val="-3"/>
        </w:rPr>
        <w:t xml:space="preserve"> </w:t>
      </w:r>
      <w:r w:rsidRPr="00000C6D" w:rsidR="00C7191F">
        <w:rPr>
          <w:spacing w:val="-3"/>
        </w:rPr>
        <w:t xml:space="preserve">applications x </w:t>
      </w:r>
      <w:r w:rsidRPr="00000C6D" w:rsidR="000D5D48">
        <w:rPr>
          <w:spacing w:val="-3"/>
        </w:rPr>
        <w:t>2.</w:t>
      </w:r>
      <w:r w:rsidR="004D72FA">
        <w:rPr>
          <w:spacing w:val="-3"/>
        </w:rPr>
        <w:t>2</w:t>
      </w:r>
      <w:r w:rsidRPr="00000C6D" w:rsidR="000D5D48">
        <w:rPr>
          <w:spacing w:val="-3"/>
        </w:rPr>
        <w:t>5</w:t>
      </w:r>
      <w:r w:rsidRPr="00000C6D" w:rsidR="00C7191F">
        <w:rPr>
          <w:spacing w:val="-3"/>
        </w:rPr>
        <w:t xml:space="preserve"> hours</w:t>
      </w:r>
      <w:r w:rsidR="006850C9">
        <w:rPr>
          <w:spacing w:val="-3"/>
        </w:rPr>
        <w:t xml:space="preserve">/form </w:t>
      </w:r>
      <w:r w:rsidRPr="00000C6D" w:rsidR="00C7191F">
        <w:rPr>
          <w:spacing w:val="-3"/>
        </w:rPr>
        <w:t xml:space="preserve">in-house engineering review =    </w:t>
      </w:r>
      <w:r w:rsidRPr="00F1538B">
        <w:rPr>
          <w:spacing w:val="-3"/>
          <w:u w:val="single"/>
        </w:rPr>
        <w:t>135</w:t>
      </w:r>
      <w:r w:rsidRPr="00000C6D" w:rsidR="00C7191F">
        <w:rPr>
          <w:spacing w:val="-3"/>
        </w:rPr>
        <w:t xml:space="preserve">             </w:t>
      </w:r>
    </w:p>
    <w:p w:rsidR="00C7191F" w:rsidRPr="00000C6D" w:rsidP="00C7191F" w14:paraId="4F15BF4F" w14:textId="10B5779F">
      <w:pPr>
        <w:suppressAutoHyphens/>
        <w:rPr>
          <w:spacing w:val="-3"/>
        </w:rPr>
      </w:pPr>
      <w:r w:rsidRPr="00000C6D">
        <w:rPr>
          <w:spacing w:val="-3"/>
        </w:rPr>
        <w:t xml:space="preserve">                                                          </w:t>
      </w:r>
      <w:r w:rsidRPr="00000C6D">
        <w:rPr>
          <w:b/>
          <w:spacing w:val="-3"/>
        </w:rPr>
        <w:t xml:space="preserve">Total Annual Burden Hours: </w:t>
      </w:r>
      <w:r w:rsidR="00D34E62">
        <w:rPr>
          <w:b/>
          <w:spacing w:val="-3"/>
        </w:rPr>
        <w:t>495</w:t>
      </w:r>
      <w:r w:rsidR="00375035">
        <w:rPr>
          <w:b/>
          <w:spacing w:val="-3"/>
          <w:szCs w:val="24"/>
        </w:rPr>
        <w:t xml:space="preserve"> </w:t>
      </w:r>
      <w:r w:rsidRPr="00000C6D">
        <w:rPr>
          <w:b/>
          <w:spacing w:val="-3"/>
          <w:szCs w:val="24"/>
        </w:rPr>
        <w:t>hours</w:t>
      </w:r>
    </w:p>
    <w:p w:rsidR="00C7191F" w:rsidRPr="00000C6D" w:rsidP="00E97D87" w14:paraId="10592872" w14:textId="77777777">
      <w:pPr>
        <w:suppressAutoHyphens/>
        <w:rPr>
          <w:b/>
          <w:spacing w:val="-3"/>
        </w:rPr>
      </w:pPr>
    </w:p>
    <w:p w:rsidR="00C7191F" w:rsidRPr="00000C6D" w:rsidP="00E97D87" w14:paraId="477162B9" w14:textId="77777777">
      <w:pPr>
        <w:suppressAutoHyphens/>
        <w:rPr>
          <w:b/>
          <w:spacing w:val="-3"/>
        </w:rPr>
      </w:pPr>
    </w:p>
    <w:p w:rsidR="00E97D87" w:rsidRPr="00000C6D" w:rsidP="00E97D87" w14:paraId="63E52DB8" w14:textId="77777777">
      <w:pPr>
        <w:suppressAutoHyphens/>
        <w:rPr>
          <w:spacing w:val="-3"/>
        </w:rPr>
      </w:pPr>
      <w:r w:rsidRPr="00000C6D">
        <w:rPr>
          <w:b/>
          <w:spacing w:val="-3"/>
        </w:rPr>
        <w:t>Annual “In House” Cost</w:t>
      </w:r>
      <w:r w:rsidRPr="00000C6D">
        <w:rPr>
          <w:spacing w:val="-3"/>
        </w:rPr>
        <w:t xml:space="preserve">:   </w:t>
      </w:r>
    </w:p>
    <w:p w:rsidR="00C7191F" w:rsidRPr="00000C6D" w:rsidP="00C7191F" w14:paraId="6A17D5DD" w14:textId="77777777">
      <w:pPr>
        <w:suppressAutoHyphens/>
        <w:rPr>
          <w:spacing w:val="-3"/>
        </w:rPr>
      </w:pPr>
    </w:p>
    <w:p w:rsidR="00C7191F" w:rsidRPr="00000C6D" w:rsidP="00C7191F" w14:paraId="2F748050" w14:textId="77777777">
      <w:pPr>
        <w:suppressAutoHyphens/>
        <w:rPr>
          <w:spacing w:val="-3"/>
        </w:rPr>
      </w:pPr>
      <w:r w:rsidRPr="00000C6D">
        <w:rPr>
          <w:spacing w:val="-3"/>
        </w:rPr>
        <w:t>The respondent is estimated to have an average salary of $</w:t>
      </w:r>
      <w:r w:rsidRPr="00000C6D" w:rsidR="000D5D48">
        <w:rPr>
          <w:spacing w:val="-3"/>
        </w:rPr>
        <w:t>10</w:t>
      </w:r>
      <w:r w:rsidRPr="00000C6D">
        <w:rPr>
          <w:spacing w:val="-3"/>
        </w:rPr>
        <w:t>0,000/year ($</w:t>
      </w:r>
      <w:r w:rsidRPr="00000C6D" w:rsidR="000D5D48">
        <w:rPr>
          <w:spacing w:val="-3"/>
        </w:rPr>
        <w:t>48.08</w:t>
      </w:r>
      <w:r w:rsidRPr="00000C6D">
        <w:rPr>
          <w:spacing w:val="-3"/>
        </w:rPr>
        <w:t>/hour).  A station engineer is estimated to have an average salary of $</w:t>
      </w:r>
      <w:r w:rsidRPr="00000C6D" w:rsidR="000D5D48">
        <w:rPr>
          <w:spacing w:val="-3"/>
        </w:rPr>
        <w:t>60,000 ($30/hour)</w:t>
      </w:r>
      <w:r w:rsidRPr="00000C6D">
        <w:rPr>
          <w:spacing w:val="-3"/>
        </w:rPr>
        <w:t xml:space="preserve">. </w:t>
      </w:r>
    </w:p>
    <w:p w:rsidR="00C7191F" w:rsidRPr="00000C6D" w:rsidP="009F32ED" w14:paraId="236B4EA9" w14:textId="77777777">
      <w:pPr>
        <w:suppressAutoHyphens/>
        <w:rPr>
          <w:spacing w:val="-3"/>
        </w:rPr>
      </w:pPr>
    </w:p>
    <w:p w:rsidR="007A472D" w:rsidRPr="00000C6D" w:rsidP="009F32ED" w14:paraId="66B57BD0" w14:textId="461054EF">
      <w:pPr>
        <w:suppressAutoHyphens/>
        <w:rPr>
          <w:spacing w:val="-3"/>
        </w:rPr>
      </w:pPr>
      <w:r>
        <w:rPr>
          <w:spacing w:val="-3"/>
        </w:rPr>
        <w:t>60</w:t>
      </w:r>
      <w:r w:rsidRPr="00000C6D" w:rsidR="003868AB">
        <w:rPr>
          <w:spacing w:val="-3"/>
        </w:rPr>
        <w:t xml:space="preserve"> </w:t>
      </w:r>
      <w:r w:rsidRPr="00000C6D">
        <w:rPr>
          <w:spacing w:val="-3"/>
        </w:rPr>
        <w:t xml:space="preserve">applications x </w:t>
      </w:r>
      <w:r w:rsidR="004D72FA">
        <w:rPr>
          <w:spacing w:val="-3"/>
        </w:rPr>
        <w:t>6</w:t>
      </w:r>
      <w:r w:rsidRPr="00000C6D">
        <w:rPr>
          <w:spacing w:val="-3"/>
        </w:rPr>
        <w:t xml:space="preserve"> hour</w:t>
      </w:r>
      <w:r w:rsidRPr="00000C6D" w:rsidR="00C25686">
        <w:rPr>
          <w:spacing w:val="-3"/>
        </w:rPr>
        <w:t>s</w:t>
      </w:r>
      <w:r w:rsidRPr="00000C6D" w:rsidR="00D953C6">
        <w:rPr>
          <w:spacing w:val="-3"/>
        </w:rPr>
        <w:t>/</w:t>
      </w:r>
      <w:r w:rsidRPr="00000C6D" w:rsidR="00E97D87">
        <w:rPr>
          <w:spacing w:val="-3"/>
        </w:rPr>
        <w:t>form for the legal portion of the form</w:t>
      </w:r>
      <w:r w:rsidRPr="00000C6D">
        <w:rPr>
          <w:spacing w:val="-3"/>
        </w:rPr>
        <w:t xml:space="preserve"> x $</w:t>
      </w:r>
      <w:r w:rsidRPr="00000C6D" w:rsidR="000D5D48">
        <w:rPr>
          <w:spacing w:val="-3"/>
        </w:rPr>
        <w:t>48.08</w:t>
      </w:r>
      <w:r w:rsidRPr="00000C6D">
        <w:rPr>
          <w:spacing w:val="-3"/>
        </w:rPr>
        <w:t>/hour =</w:t>
      </w:r>
      <w:r w:rsidR="00BE0548">
        <w:rPr>
          <w:spacing w:val="-3"/>
        </w:rPr>
        <w:t xml:space="preserve">  </w:t>
      </w:r>
      <w:r w:rsidRPr="00000C6D">
        <w:rPr>
          <w:spacing w:val="-3"/>
        </w:rPr>
        <w:t>$</w:t>
      </w:r>
      <w:r>
        <w:rPr>
          <w:spacing w:val="-3"/>
        </w:rPr>
        <w:t>17</w:t>
      </w:r>
      <w:r w:rsidR="00F1538B">
        <w:rPr>
          <w:spacing w:val="-3"/>
        </w:rPr>
        <w:t>,</w:t>
      </w:r>
      <w:r>
        <w:rPr>
          <w:spacing w:val="-3"/>
        </w:rPr>
        <w:t>308.80</w:t>
      </w:r>
    </w:p>
    <w:p w:rsidR="007A472D" w:rsidP="009F32ED" w14:paraId="5B5BD345" w14:textId="6FDAD8F7">
      <w:pPr>
        <w:suppressAutoHyphens/>
        <w:rPr>
          <w:spacing w:val="-3"/>
        </w:rPr>
      </w:pPr>
      <w:r>
        <w:rPr>
          <w:spacing w:val="-3"/>
        </w:rPr>
        <w:t>60</w:t>
      </w:r>
      <w:r w:rsidR="006564E9">
        <w:rPr>
          <w:spacing w:val="-3"/>
        </w:rPr>
        <w:t xml:space="preserve"> </w:t>
      </w:r>
      <w:r w:rsidRPr="00000C6D">
        <w:rPr>
          <w:spacing w:val="-3"/>
        </w:rPr>
        <w:t>applications x 2</w:t>
      </w:r>
      <w:r w:rsidRPr="00000C6D" w:rsidR="000D5D48">
        <w:rPr>
          <w:spacing w:val="-3"/>
        </w:rPr>
        <w:t>.</w:t>
      </w:r>
      <w:r w:rsidR="004D72FA">
        <w:rPr>
          <w:spacing w:val="-3"/>
        </w:rPr>
        <w:t>2</w:t>
      </w:r>
      <w:r w:rsidRPr="00000C6D" w:rsidR="000D5D48">
        <w:rPr>
          <w:spacing w:val="-3"/>
        </w:rPr>
        <w:t>5</w:t>
      </w:r>
      <w:r w:rsidRPr="00000C6D">
        <w:rPr>
          <w:spacing w:val="-3"/>
        </w:rPr>
        <w:t xml:space="preserve"> hours</w:t>
      </w:r>
      <w:r w:rsidRPr="00000C6D" w:rsidR="00D953C6">
        <w:rPr>
          <w:spacing w:val="-3"/>
          <w:shd w:val="clear" w:color="auto" w:fill="FFFFFF"/>
        </w:rPr>
        <w:t>/</w:t>
      </w:r>
      <w:r w:rsidR="006850C9">
        <w:rPr>
          <w:spacing w:val="-3"/>
          <w:shd w:val="clear" w:color="auto" w:fill="FFFFFF"/>
        </w:rPr>
        <w:t xml:space="preserve">form </w:t>
      </w:r>
      <w:r w:rsidRPr="00000C6D" w:rsidR="00D953C6">
        <w:rPr>
          <w:spacing w:val="-3"/>
        </w:rPr>
        <w:t>in</w:t>
      </w:r>
      <w:r w:rsidRPr="00000C6D" w:rsidR="00E97D87">
        <w:rPr>
          <w:spacing w:val="-3"/>
        </w:rPr>
        <w:t>-</w:t>
      </w:r>
      <w:r w:rsidRPr="00000C6D" w:rsidR="00D953C6">
        <w:rPr>
          <w:spacing w:val="-3"/>
        </w:rPr>
        <w:t>house engineering review</w:t>
      </w:r>
      <w:r w:rsidRPr="00000C6D">
        <w:rPr>
          <w:spacing w:val="-3"/>
        </w:rPr>
        <w:t xml:space="preserve"> x $</w:t>
      </w:r>
      <w:r w:rsidRPr="00000C6D" w:rsidR="000D5D48">
        <w:rPr>
          <w:spacing w:val="-3"/>
        </w:rPr>
        <w:t>30</w:t>
      </w:r>
      <w:r w:rsidRPr="00000C6D">
        <w:rPr>
          <w:spacing w:val="-3"/>
        </w:rPr>
        <w:t xml:space="preserve">.00/hour = </w:t>
      </w:r>
      <w:r w:rsidR="00BE0548">
        <w:rPr>
          <w:spacing w:val="-3"/>
        </w:rPr>
        <w:t xml:space="preserve"> </w:t>
      </w:r>
      <w:r w:rsidRPr="00F1538B">
        <w:rPr>
          <w:spacing w:val="-3"/>
          <w:u w:val="single"/>
        </w:rPr>
        <w:t>$</w:t>
      </w:r>
      <w:r w:rsidR="00F1538B">
        <w:rPr>
          <w:spacing w:val="-3"/>
          <w:u w:val="single"/>
        </w:rPr>
        <w:t xml:space="preserve">  </w:t>
      </w:r>
      <w:r w:rsidRPr="00F1538B">
        <w:rPr>
          <w:spacing w:val="-3"/>
          <w:u w:val="single"/>
        </w:rPr>
        <w:t>4,050.00</w:t>
      </w:r>
      <w:r w:rsidRPr="00D40E49" w:rsidR="000D5D48">
        <w:rPr>
          <w:spacing w:val="-3"/>
        </w:rPr>
        <w:t xml:space="preserve"> </w:t>
      </w:r>
    </w:p>
    <w:p w:rsidR="007A472D" w:rsidRPr="002548CE" w:rsidP="009F32ED" w14:paraId="179E4D3B" w14:textId="7E242213">
      <w:pPr>
        <w:suppressAutoHyphens/>
        <w:rPr>
          <w:b/>
          <w:spacing w:val="-3"/>
        </w:rPr>
      </w:pPr>
      <w:r w:rsidRPr="00000C6D">
        <w:rPr>
          <w:spacing w:val="-3"/>
        </w:rPr>
        <w:tab/>
      </w:r>
      <w:r w:rsidRPr="00000C6D">
        <w:rPr>
          <w:spacing w:val="-3"/>
        </w:rPr>
        <w:tab/>
      </w:r>
      <w:r w:rsidRPr="00000C6D" w:rsidR="00E97D87">
        <w:rPr>
          <w:spacing w:val="-3"/>
        </w:rPr>
        <w:t xml:space="preserve">                                             </w:t>
      </w:r>
      <w:r w:rsidR="00F343D4">
        <w:rPr>
          <w:spacing w:val="-3"/>
        </w:rPr>
        <w:t xml:space="preserve"> </w:t>
      </w:r>
      <w:r w:rsidRPr="00000C6D" w:rsidR="00E97D87">
        <w:rPr>
          <w:spacing w:val="-3"/>
        </w:rPr>
        <w:t xml:space="preserve">     </w:t>
      </w:r>
      <w:r w:rsidRPr="00000C6D" w:rsidR="002548CE">
        <w:rPr>
          <w:b/>
          <w:spacing w:val="-3"/>
        </w:rPr>
        <w:t xml:space="preserve">Total </w:t>
      </w:r>
      <w:r w:rsidRPr="00000C6D" w:rsidR="007C3956">
        <w:rPr>
          <w:b/>
          <w:spacing w:val="-3"/>
        </w:rPr>
        <w:t xml:space="preserve">Annual </w:t>
      </w:r>
      <w:r w:rsidRPr="00000C6D" w:rsidR="00E27BD3">
        <w:rPr>
          <w:b/>
          <w:spacing w:val="-3"/>
        </w:rPr>
        <w:t>“</w:t>
      </w:r>
      <w:r w:rsidRPr="00000C6D" w:rsidR="007C3956">
        <w:rPr>
          <w:b/>
          <w:spacing w:val="-3"/>
        </w:rPr>
        <w:t>In House</w:t>
      </w:r>
      <w:r w:rsidRPr="00000C6D" w:rsidR="00E27BD3">
        <w:rPr>
          <w:b/>
          <w:spacing w:val="-3"/>
        </w:rPr>
        <w:t>”</w:t>
      </w:r>
      <w:r w:rsidRPr="00000C6D" w:rsidR="007C3956">
        <w:rPr>
          <w:b/>
          <w:spacing w:val="-3"/>
        </w:rPr>
        <w:t xml:space="preserve"> C</w:t>
      </w:r>
      <w:r w:rsidRPr="00000C6D" w:rsidR="002548CE">
        <w:rPr>
          <w:b/>
          <w:spacing w:val="-3"/>
        </w:rPr>
        <w:t>ost</w:t>
      </w:r>
      <w:r w:rsidRPr="00000C6D">
        <w:rPr>
          <w:b/>
          <w:spacing w:val="-3"/>
        </w:rPr>
        <w:t>:</w:t>
      </w:r>
      <w:r w:rsidR="0055640A">
        <w:rPr>
          <w:b/>
          <w:spacing w:val="-3"/>
        </w:rPr>
        <w:t xml:space="preserve"> </w:t>
      </w:r>
      <w:r w:rsidR="006850C9">
        <w:rPr>
          <w:b/>
          <w:spacing w:val="-3"/>
        </w:rPr>
        <w:t>$</w:t>
      </w:r>
      <w:r w:rsidR="00D34E62">
        <w:rPr>
          <w:b/>
          <w:spacing w:val="-3"/>
        </w:rPr>
        <w:t>21,358.80</w:t>
      </w:r>
    </w:p>
    <w:p w:rsidR="00C328AB" w:rsidP="009F32ED" w14:paraId="008FE626" w14:textId="77777777">
      <w:pPr>
        <w:suppressAutoHyphens/>
        <w:rPr>
          <w:spacing w:val="-3"/>
        </w:rPr>
      </w:pPr>
    </w:p>
    <w:p w:rsidR="0038091D" w:rsidP="009F32ED" w14:paraId="2B7CE68C" w14:textId="789B8E52">
      <w:pPr>
        <w:pStyle w:val="BodyText"/>
        <w:jc w:val="left"/>
      </w:pPr>
      <w:r>
        <w:t xml:space="preserve">13.  </w:t>
      </w:r>
      <w:r>
        <w:rPr>
          <w:b/>
        </w:rPr>
        <w:t xml:space="preserve">Annual Cost </w:t>
      </w:r>
      <w:r w:rsidR="003F33A9">
        <w:rPr>
          <w:b/>
        </w:rPr>
        <w:t>Burden</w:t>
      </w:r>
      <w:r>
        <w:t xml:space="preserve">:  We assume that the respondent would use </w:t>
      </w:r>
      <w:r w:rsidRPr="006C0971">
        <w:t>a</w:t>
      </w:r>
      <w:r w:rsidRPr="006C0971" w:rsidR="00C328AB">
        <w:t>n</w:t>
      </w:r>
      <w:r w:rsidRPr="006C0971">
        <w:t xml:space="preserve"> </w:t>
      </w:r>
      <w:r w:rsidRPr="006C0971" w:rsidR="00C328AB">
        <w:t>outside</w:t>
      </w:r>
      <w:r w:rsidR="00C328AB">
        <w:t xml:space="preserve"> </w:t>
      </w:r>
      <w:r>
        <w:t xml:space="preserve">communications attorney and a consulting engineer in the preparation and filing of the FCC </w:t>
      </w:r>
      <w:r w:rsidR="00C328AB">
        <w:t xml:space="preserve">Form </w:t>
      </w:r>
      <w:r w:rsidR="0053069C">
        <w:t>2100, Schedule E</w:t>
      </w:r>
      <w:r>
        <w:t xml:space="preserve">.  </w:t>
      </w:r>
      <w:r w:rsidR="007E6A69">
        <w:t xml:space="preserve">The estimated cost is </w:t>
      </w:r>
      <w:r>
        <w:t>$</w:t>
      </w:r>
      <w:r w:rsidR="000D5D48">
        <w:t>3</w:t>
      </w:r>
      <w:r>
        <w:t>00/hour</w:t>
      </w:r>
      <w:r w:rsidR="007E6A69">
        <w:t xml:space="preserve"> for the attorney and $</w:t>
      </w:r>
      <w:r w:rsidR="000D5D48">
        <w:t>2</w:t>
      </w:r>
      <w:r w:rsidR="007E6A69">
        <w:t>50/hour for the c</w:t>
      </w:r>
      <w:r>
        <w:t>onsulting engineer</w:t>
      </w:r>
      <w:r w:rsidR="007E6A69">
        <w:t xml:space="preserve">.  </w:t>
      </w:r>
      <w:r>
        <w:t xml:space="preserve"> </w:t>
      </w:r>
      <w:r w:rsidRPr="006C0971" w:rsidR="00C328AB">
        <w:t xml:space="preserve">The estimated </w:t>
      </w:r>
      <w:r w:rsidRPr="006C0971" w:rsidR="007E6A69">
        <w:t>time</w:t>
      </w:r>
      <w:r w:rsidR="007E6A69">
        <w:t xml:space="preserve"> </w:t>
      </w:r>
      <w:r w:rsidRPr="006C0971" w:rsidR="007E6A69">
        <w:t>to</w:t>
      </w:r>
      <w:r w:rsidRPr="006C0971" w:rsidR="00C328AB">
        <w:t xml:space="preserve"> </w:t>
      </w:r>
      <w:r w:rsidR="0053069C">
        <w:t>prepare and file the form</w:t>
      </w:r>
      <w:r w:rsidRPr="006C0971" w:rsidR="00C328AB">
        <w:t xml:space="preserve"> is 1 hour/application</w:t>
      </w:r>
      <w:r w:rsidR="007E6A69">
        <w:t xml:space="preserve"> for the attorney</w:t>
      </w:r>
      <w:r w:rsidRPr="006C0971" w:rsidR="00C328AB">
        <w:t xml:space="preserve"> and </w:t>
      </w:r>
      <w:r w:rsidRPr="006C0971" w:rsidR="007E6A69">
        <w:t>1</w:t>
      </w:r>
      <w:r w:rsidR="00F1538B">
        <w:t>6</w:t>
      </w:r>
      <w:r w:rsidRPr="006C0971" w:rsidR="007E6A69">
        <w:t xml:space="preserve"> hours/application</w:t>
      </w:r>
      <w:r w:rsidR="007E6A69">
        <w:t xml:space="preserve"> for</w:t>
      </w:r>
      <w:r w:rsidRPr="006C0971" w:rsidR="007E6A69">
        <w:t xml:space="preserve"> </w:t>
      </w:r>
      <w:r w:rsidRPr="006C0971" w:rsidR="00C328AB">
        <w:t>the engineer.</w:t>
      </w:r>
      <w:r>
        <w:t xml:space="preserve">  </w:t>
      </w:r>
    </w:p>
    <w:p w:rsidR="0038091D" w:rsidP="009F32ED" w14:paraId="71A5444F" w14:textId="39C26A40">
      <w:pPr>
        <w:pStyle w:val="BodyText"/>
        <w:jc w:val="left"/>
      </w:pPr>
    </w:p>
    <w:p w:rsidR="007A472D" w:rsidP="009F32ED" w14:paraId="6C3A8C23" w14:textId="0E6F40DE">
      <w:pPr>
        <w:pStyle w:val="BodyText"/>
        <w:jc w:val="left"/>
      </w:pPr>
      <w:r>
        <w:t xml:space="preserve">In addition, </w:t>
      </w:r>
      <w:r w:rsidR="007E6A69">
        <w:t>t</w:t>
      </w:r>
      <w:r>
        <w:t xml:space="preserve">he fee required </w:t>
      </w:r>
      <w:r w:rsidR="007E6A69">
        <w:t>for</w:t>
      </w:r>
      <w:r>
        <w:t xml:space="preserve"> submitting an application</w:t>
      </w:r>
      <w:r w:rsidR="007E6A69">
        <w:t xml:space="preserve"> </w:t>
      </w:r>
      <w:r w:rsidR="009F2AD1">
        <w:t xml:space="preserve">is </w:t>
      </w:r>
      <w:r w:rsidR="00CF6759">
        <w:t xml:space="preserve">$725.00 </w:t>
      </w:r>
      <w:r w:rsidR="007E6A69">
        <w:t>for a minor change</w:t>
      </w:r>
      <w:r w:rsidR="00CF6759">
        <w:t xml:space="preserve">. </w:t>
      </w:r>
      <w:r w:rsidR="007E6A69">
        <w:t xml:space="preserve"> </w:t>
      </w:r>
    </w:p>
    <w:p w:rsidR="007A472D" w:rsidRPr="00796CAD" w:rsidP="009F32ED" w14:paraId="2DCCAA46" w14:textId="77777777">
      <w:pPr>
        <w:tabs>
          <w:tab w:val="left" w:pos="-1440"/>
          <w:tab w:val="left" w:pos="-720"/>
          <w:tab w:val="left" w:pos="2610"/>
          <w:tab w:val="left" w:pos="3150"/>
          <w:tab w:val="left" w:pos="4680"/>
          <w:tab w:val="left" w:pos="5940"/>
          <w:tab w:val="left" w:pos="6480"/>
        </w:tabs>
        <w:suppressAutoHyphens/>
        <w:rPr>
          <w:spacing w:val="-3"/>
        </w:rPr>
      </w:pPr>
    </w:p>
    <w:p w:rsidR="007A472D" w:rsidRPr="00796CAD" w:rsidP="009F32ED" w14:paraId="1FAD19DF" w14:textId="79962052">
      <w:pPr>
        <w:suppressAutoHyphens/>
        <w:rPr>
          <w:spacing w:val="-3"/>
          <w:szCs w:val="24"/>
        </w:rPr>
      </w:pPr>
      <w:r>
        <w:rPr>
          <w:spacing w:val="-3"/>
          <w:szCs w:val="24"/>
        </w:rPr>
        <w:t>60</w:t>
      </w:r>
      <w:r w:rsidRPr="00796CAD" w:rsidR="003868AB">
        <w:rPr>
          <w:spacing w:val="-3"/>
          <w:szCs w:val="24"/>
        </w:rPr>
        <w:t xml:space="preserve"> </w:t>
      </w:r>
      <w:r w:rsidRPr="00796CAD">
        <w:rPr>
          <w:spacing w:val="-3"/>
          <w:szCs w:val="24"/>
        </w:rPr>
        <w:t>applications x 1 hour x $</w:t>
      </w:r>
      <w:r w:rsidRPr="00796CAD" w:rsidR="000D5D48">
        <w:rPr>
          <w:spacing w:val="-3"/>
          <w:szCs w:val="24"/>
        </w:rPr>
        <w:t>3</w:t>
      </w:r>
      <w:r w:rsidRPr="00796CAD">
        <w:rPr>
          <w:spacing w:val="-3"/>
          <w:szCs w:val="24"/>
        </w:rPr>
        <w:t xml:space="preserve">00/hour </w:t>
      </w:r>
      <w:r w:rsidRPr="00796CAD" w:rsidR="00E509B0">
        <w:rPr>
          <w:spacing w:val="-3"/>
          <w:szCs w:val="24"/>
        </w:rPr>
        <w:t xml:space="preserve">legal </w:t>
      </w:r>
      <w:r w:rsidRPr="00796CAD" w:rsidR="003F33A9">
        <w:rPr>
          <w:spacing w:val="-3"/>
          <w:szCs w:val="24"/>
        </w:rPr>
        <w:t>consultation</w:t>
      </w:r>
      <w:r w:rsidRPr="00796CAD" w:rsidR="00E509B0">
        <w:rPr>
          <w:spacing w:val="-3"/>
          <w:szCs w:val="24"/>
        </w:rPr>
        <w:t xml:space="preserve"> </w:t>
      </w:r>
      <w:r w:rsidRPr="00796CAD">
        <w:rPr>
          <w:spacing w:val="-3"/>
          <w:szCs w:val="24"/>
        </w:rPr>
        <w:t xml:space="preserve">= </w:t>
      </w:r>
      <w:r w:rsidRPr="00796CAD" w:rsidR="00C328AB">
        <w:rPr>
          <w:spacing w:val="-3"/>
          <w:szCs w:val="24"/>
        </w:rPr>
        <w:t xml:space="preserve">              </w:t>
      </w:r>
      <w:r w:rsidR="009F2AD1">
        <w:rPr>
          <w:spacing w:val="-3"/>
          <w:szCs w:val="24"/>
        </w:rPr>
        <w:tab/>
      </w:r>
      <w:r>
        <w:rPr>
          <w:spacing w:val="-3"/>
          <w:szCs w:val="24"/>
        </w:rPr>
        <w:tab/>
      </w:r>
      <w:r w:rsidRPr="00796CAD">
        <w:rPr>
          <w:spacing w:val="-3"/>
          <w:szCs w:val="24"/>
        </w:rPr>
        <w:t>$</w:t>
      </w:r>
      <w:r>
        <w:rPr>
          <w:spacing w:val="-3"/>
          <w:szCs w:val="24"/>
        </w:rPr>
        <w:t>18,000</w:t>
      </w:r>
    </w:p>
    <w:p w:rsidR="00D4362E" w:rsidRPr="00796CAD" w:rsidP="006564E9" w14:paraId="4EC63CB4" w14:textId="0187A1AE">
      <w:pPr>
        <w:suppressAutoHyphens/>
        <w:rPr>
          <w:spacing w:val="-3"/>
          <w:szCs w:val="24"/>
        </w:rPr>
      </w:pPr>
      <w:r>
        <w:rPr>
          <w:spacing w:val="-3"/>
          <w:szCs w:val="24"/>
        </w:rPr>
        <w:t>60</w:t>
      </w:r>
      <w:r w:rsidRPr="00796CAD" w:rsidR="006564E9">
        <w:rPr>
          <w:spacing w:val="-3"/>
          <w:szCs w:val="24"/>
        </w:rPr>
        <w:t xml:space="preserve"> </w:t>
      </w:r>
      <w:r w:rsidRPr="00796CAD" w:rsidR="007A472D">
        <w:rPr>
          <w:spacing w:val="-3"/>
          <w:szCs w:val="24"/>
        </w:rPr>
        <w:t>applications x 1</w:t>
      </w:r>
      <w:r w:rsidRPr="00796CAD" w:rsidR="00B6668A">
        <w:rPr>
          <w:spacing w:val="-3"/>
          <w:szCs w:val="24"/>
        </w:rPr>
        <w:t>6</w:t>
      </w:r>
      <w:r w:rsidRPr="00796CAD" w:rsidR="007A472D">
        <w:rPr>
          <w:spacing w:val="-3"/>
          <w:szCs w:val="24"/>
        </w:rPr>
        <w:t xml:space="preserve"> hours x $</w:t>
      </w:r>
      <w:r w:rsidRPr="00796CAD" w:rsidR="000D5D48">
        <w:rPr>
          <w:spacing w:val="-3"/>
          <w:szCs w:val="24"/>
        </w:rPr>
        <w:t>2</w:t>
      </w:r>
      <w:r w:rsidRPr="00796CAD" w:rsidR="007A472D">
        <w:rPr>
          <w:spacing w:val="-3"/>
          <w:szCs w:val="24"/>
        </w:rPr>
        <w:t xml:space="preserve">50/hour </w:t>
      </w:r>
      <w:r w:rsidRPr="00796CAD" w:rsidR="00E509B0">
        <w:rPr>
          <w:spacing w:val="-3"/>
          <w:szCs w:val="24"/>
        </w:rPr>
        <w:t xml:space="preserve">engineering consultation </w:t>
      </w:r>
      <w:r w:rsidRPr="00796CAD" w:rsidR="007A472D">
        <w:rPr>
          <w:spacing w:val="-3"/>
          <w:szCs w:val="24"/>
        </w:rPr>
        <w:t xml:space="preserve">= </w:t>
      </w:r>
      <w:r w:rsidR="009F2AD1">
        <w:rPr>
          <w:spacing w:val="-3"/>
          <w:szCs w:val="24"/>
        </w:rPr>
        <w:tab/>
      </w:r>
      <w:r w:rsidR="009F2AD1">
        <w:rPr>
          <w:spacing w:val="-3"/>
          <w:szCs w:val="24"/>
        </w:rPr>
        <w:tab/>
      </w:r>
      <w:r w:rsidRPr="00F1538B" w:rsidR="007A472D">
        <w:rPr>
          <w:spacing w:val="-3"/>
          <w:szCs w:val="24"/>
          <w:u w:val="single"/>
        </w:rPr>
        <w:t>$</w:t>
      </w:r>
      <w:r w:rsidRPr="00F1538B">
        <w:rPr>
          <w:spacing w:val="-3"/>
          <w:szCs w:val="24"/>
          <w:u w:val="single"/>
        </w:rPr>
        <w:t>240,000</w:t>
      </w:r>
    </w:p>
    <w:p w:rsidR="00A95FC6" w:rsidRPr="00796CAD" w:rsidP="006564E9" w14:paraId="19F76DFC" w14:textId="79D33D47">
      <w:pPr>
        <w:suppressAutoHyphens/>
        <w:rPr>
          <w:spacing w:val="-3"/>
          <w:szCs w:val="24"/>
        </w:rPr>
      </w:pPr>
      <w:r w:rsidRPr="00796CAD">
        <w:rPr>
          <w:spacing w:val="-3"/>
          <w:szCs w:val="24"/>
        </w:rPr>
        <w:tab/>
      </w:r>
      <w:r w:rsidRPr="00796CAD">
        <w:rPr>
          <w:spacing w:val="-3"/>
          <w:szCs w:val="24"/>
        </w:rPr>
        <w:tab/>
      </w:r>
      <w:r w:rsidRPr="00796CAD">
        <w:rPr>
          <w:spacing w:val="-3"/>
          <w:szCs w:val="24"/>
        </w:rPr>
        <w:tab/>
      </w:r>
      <w:r w:rsidRPr="00796CAD">
        <w:rPr>
          <w:spacing w:val="-3"/>
          <w:szCs w:val="24"/>
        </w:rPr>
        <w:tab/>
      </w:r>
      <w:r w:rsidRPr="00796CAD">
        <w:rPr>
          <w:spacing w:val="-3"/>
          <w:szCs w:val="24"/>
        </w:rPr>
        <w:tab/>
      </w:r>
      <w:r w:rsidRPr="00796CAD">
        <w:rPr>
          <w:spacing w:val="-3"/>
          <w:szCs w:val="24"/>
        </w:rPr>
        <w:tab/>
      </w:r>
      <w:r w:rsidRPr="00796CAD">
        <w:rPr>
          <w:spacing w:val="-3"/>
          <w:szCs w:val="24"/>
        </w:rPr>
        <w:tab/>
      </w:r>
      <w:r w:rsidRPr="00796CAD">
        <w:rPr>
          <w:spacing w:val="-3"/>
          <w:szCs w:val="24"/>
        </w:rPr>
        <w:tab/>
      </w:r>
      <w:r w:rsidRPr="00796CAD">
        <w:rPr>
          <w:spacing w:val="-3"/>
          <w:szCs w:val="24"/>
        </w:rPr>
        <w:tab/>
      </w:r>
      <w:r w:rsidRPr="00796CAD">
        <w:rPr>
          <w:spacing w:val="-3"/>
          <w:szCs w:val="24"/>
        </w:rPr>
        <w:tab/>
        <w:t>$</w:t>
      </w:r>
      <w:r w:rsidR="00D34E62">
        <w:rPr>
          <w:spacing w:val="-3"/>
          <w:szCs w:val="24"/>
        </w:rPr>
        <w:t>258,000</w:t>
      </w:r>
    </w:p>
    <w:p w:rsidR="007A472D" w:rsidRPr="005D08A1" w:rsidP="006564E9" w14:paraId="3731EF30" w14:textId="77777777">
      <w:pPr>
        <w:suppressAutoHyphens/>
        <w:rPr>
          <w:spacing w:val="-3"/>
          <w:szCs w:val="24"/>
        </w:rPr>
      </w:pPr>
    </w:p>
    <w:p w:rsidR="007A472D" w:rsidRPr="005D08A1" w:rsidP="009F32ED" w14:paraId="11B1D3F1" w14:textId="4291E2F5">
      <w:pPr>
        <w:suppressAutoHyphens/>
        <w:ind w:left="1440"/>
        <w:rPr>
          <w:b/>
          <w:spacing w:val="-3"/>
          <w:szCs w:val="24"/>
        </w:rPr>
      </w:pPr>
      <w:r w:rsidRPr="005D08A1">
        <w:rPr>
          <w:b/>
          <w:spacing w:val="-3"/>
          <w:szCs w:val="24"/>
        </w:rPr>
        <w:t xml:space="preserve">                                           </w:t>
      </w:r>
      <w:r w:rsidR="00F343D4">
        <w:rPr>
          <w:b/>
          <w:spacing w:val="-3"/>
          <w:szCs w:val="24"/>
        </w:rPr>
        <w:t xml:space="preserve">  </w:t>
      </w:r>
      <w:r w:rsidRPr="005D08A1">
        <w:rPr>
          <w:b/>
          <w:spacing w:val="-3"/>
          <w:szCs w:val="24"/>
        </w:rPr>
        <w:t xml:space="preserve"> </w:t>
      </w:r>
      <w:r w:rsidR="00796CAD">
        <w:rPr>
          <w:b/>
          <w:spacing w:val="-3"/>
          <w:szCs w:val="24"/>
        </w:rPr>
        <w:t xml:space="preserve"> </w:t>
      </w:r>
      <w:r w:rsidRPr="005D08A1">
        <w:rPr>
          <w:b/>
          <w:spacing w:val="-3"/>
          <w:szCs w:val="24"/>
        </w:rPr>
        <w:t xml:space="preserve"> </w:t>
      </w:r>
      <w:r w:rsidR="00FF7A91">
        <w:rPr>
          <w:b/>
          <w:spacing w:val="-3"/>
          <w:szCs w:val="24"/>
        </w:rPr>
        <w:t xml:space="preserve">  </w:t>
      </w:r>
      <w:r w:rsidR="00BB7BB9">
        <w:rPr>
          <w:b/>
          <w:spacing w:val="-3"/>
          <w:szCs w:val="24"/>
        </w:rPr>
        <w:t xml:space="preserve"> </w:t>
      </w:r>
      <w:r w:rsidRPr="005D08A1">
        <w:rPr>
          <w:b/>
          <w:spacing w:val="-3"/>
          <w:szCs w:val="24"/>
        </w:rPr>
        <w:t>T</w:t>
      </w:r>
      <w:r w:rsidRPr="005D08A1" w:rsidR="00FA3EB5">
        <w:rPr>
          <w:b/>
          <w:spacing w:val="-3"/>
          <w:szCs w:val="24"/>
        </w:rPr>
        <w:t xml:space="preserve">otal </w:t>
      </w:r>
      <w:r w:rsidRPr="005D08A1" w:rsidR="00B611C6">
        <w:rPr>
          <w:b/>
          <w:spacing w:val="-3"/>
          <w:szCs w:val="24"/>
        </w:rPr>
        <w:t>A</w:t>
      </w:r>
      <w:r w:rsidRPr="005D08A1" w:rsidR="00FA3EB5">
        <w:rPr>
          <w:b/>
          <w:spacing w:val="-3"/>
          <w:szCs w:val="24"/>
        </w:rPr>
        <w:t xml:space="preserve">nnual </w:t>
      </w:r>
      <w:r w:rsidRPr="005D08A1" w:rsidR="00B611C6">
        <w:rPr>
          <w:b/>
          <w:spacing w:val="-3"/>
          <w:szCs w:val="24"/>
        </w:rPr>
        <w:t>C</w:t>
      </w:r>
      <w:r w:rsidRPr="005D08A1" w:rsidR="00FA3EB5">
        <w:rPr>
          <w:b/>
          <w:spacing w:val="-3"/>
          <w:szCs w:val="24"/>
        </w:rPr>
        <w:t>ost</w:t>
      </w:r>
      <w:r w:rsidRPr="005D08A1">
        <w:rPr>
          <w:b/>
          <w:spacing w:val="-3"/>
          <w:szCs w:val="24"/>
        </w:rPr>
        <w:t xml:space="preserve"> Burden</w:t>
      </w:r>
      <w:r w:rsidRPr="005D08A1" w:rsidR="00FA3EB5">
        <w:rPr>
          <w:b/>
          <w:spacing w:val="-3"/>
          <w:szCs w:val="24"/>
        </w:rPr>
        <w:t xml:space="preserve">: </w:t>
      </w:r>
      <w:r w:rsidRPr="005D08A1" w:rsidR="006564E9">
        <w:rPr>
          <w:b/>
          <w:spacing w:val="-3"/>
          <w:szCs w:val="24"/>
        </w:rPr>
        <w:t>$</w:t>
      </w:r>
      <w:r w:rsidR="00D34E62">
        <w:rPr>
          <w:b/>
          <w:spacing w:val="-3"/>
          <w:szCs w:val="24"/>
        </w:rPr>
        <w:t>2</w:t>
      </w:r>
      <w:r w:rsidR="00F1538B">
        <w:rPr>
          <w:b/>
          <w:spacing w:val="-3"/>
          <w:szCs w:val="24"/>
        </w:rPr>
        <w:t>58,000</w:t>
      </w:r>
    </w:p>
    <w:p w:rsidR="007A472D" w:rsidRPr="005D08A1" w:rsidP="009F32ED" w14:paraId="6E1C6D4F" w14:textId="77777777">
      <w:pPr>
        <w:suppressAutoHyphens/>
        <w:rPr>
          <w:spacing w:val="-3"/>
        </w:rPr>
      </w:pPr>
    </w:p>
    <w:p w:rsidR="005045D0" w:rsidRPr="005D08A1" w:rsidP="009F32ED" w14:paraId="539A68B5" w14:textId="2B4A26B5">
      <w:pPr>
        <w:suppressAutoHyphens/>
        <w:rPr>
          <w:spacing w:val="-3"/>
        </w:rPr>
      </w:pPr>
      <w:r w:rsidRPr="005D08A1">
        <w:rPr>
          <w:spacing w:val="-3"/>
        </w:rPr>
        <w:t xml:space="preserve">14.  </w:t>
      </w:r>
      <w:r w:rsidRPr="005D08A1">
        <w:rPr>
          <w:b/>
          <w:spacing w:val="-3"/>
        </w:rPr>
        <w:t>Cost to the Federal Government</w:t>
      </w:r>
      <w:r w:rsidRPr="005D08A1">
        <w:rPr>
          <w:spacing w:val="-3"/>
        </w:rPr>
        <w:t>:  The Commission will use legal</w:t>
      </w:r>
      <w:r w:rsidRPr="005D08A1" w:rsidR="00EB06D6">
        <w:rPr>
          <w:spacing w:val="-3"/>
        </w:rPr>
        <w:t xml:space="preserve"> and </w:t>
      </w:r>
      <w:r w:rsidR="005E3FD9">
        <w:rPr>
          <w:spacing w:val="-3"/>
        </w:rPr>
        <w:t xml:space="preserve">attorney and </w:t>
      </w:r>
      <w:r w:rsidRPr="005D08A1" w:rsidR="00EB06D6">
        <w:rPr>
          <w:spacing w:val="-3"/>
        </w:rPr>
        <w:t>engineering</w:t>
      </w:r>
      <w:r w:rsidRPr="005D08A1">
        <w:rPr>
          <w:spacing w:val="-3"/>
        </w:rPr>
        <w:t xml:space="preserve"> staff at the GS-11, step 5 level ($</w:t>
      </w:r>
      <w:r w:rsidR="00814B61">
        <w:rPr>
          <w:spacing w:val="-3"/>
        </w:rPr>
        <w:t>45.94</w:t>
      </w:r>
      <w:r w:rsidRPr="005D08A1">
        <w:rPr>
          <w:spacing w:val="-3"/>
        </w:rPr>
        <w:t>/hour), clerical staff at the GS-5, step 5 level (</w:t>
      </w:r>
      <w:r w:rsidR="00452CD2">
        <w:rPr>
          <w:spacing w:val="-3"/>
        </w:rPr>
        <w:t>$</w:t>
      </w:r>
      <w:r w:rsidR="00814B61">
        <w:rPr>
          <w:spacing w:val="-3"/>
        </w:rPr>
        <w:t>25.06</w:t>
      </w:r>
      <w:r w:rsidRPr="005D08A1">
        <w:rPr>
          <w:spacing w:val="-3"/>
        </w:rPr>
        <w:t>/hour) and paraprofessional staff at the GS-9, step 5 level ($</w:t>
      </w:r>
      <w:r w:rsidR="00814B61">
        <w:rPr>
          <w:spacing w:val="-3"/>
        </w:rPr>
        <w:t>37.97</w:t>
      </w:r>
      <w:r w:rsidRPr="005D08A1" w:rsidR="00B6668A">
        <w:rPr>
          <w:spacing w:val="-3"/>
        </w:rPr>
        <w:t>/</w:t>
      </w:r>
      <w:r w:rsidRPr="005D08A1">
        <w:rPr>
          <w:spacing w:val="-3"/>
        </w:rPr>
        <w:t>hour) to process these applications.</w:t>
      </w:r>
      <w:r w:rsidRPr="005D08A1" w:rsidR="00A917E9">
        <w:rPr>
          <w:spacing w:val="-3"/>
        </w:rPr>
        <w:t xml:space="preserve">  </w:t>
      </w:r>
    </w:p>
    <w:p w:rsidR="008D10B3" w:rsidRPr="005D08A1" w:rsidP="009F32ED" w14:paraId="65AFCF14" w14:textId="77777777">
      <w:pPr>
        <w:suppressAutoHyphens/>
        <w:rPr>
          <w:spacing w:val="-3"/>
        </w:rPr>
      </w:pPr>
    </w:p>
    <w:p w:rsidR="007A472D" w:rsidRPr="005D08A1" w:rsidP="005E1A44" w14:paraId="24A81E9D" w14:textId="2E96DF71">
      <w:pPr>
        <w:suppressAutoHyphens/>
        <w:ind w:left="720"/>
        <w:rPr>
          <w:spacing w:val="-3"/>
        </w:rPr>
      </w:pPr>
      <w:r w:rsidRPr="005D08A1">
        <w:rPr>
          <w:spacing w:val="-3"/>
        </w:rPr>
        <w:t>Attorney</w:t>
      </w:r>
      <w:r w:rsidRPr="005D08A1">
        <w:rPr>
          <w:spacing w:val="-3"/>
        </w:rPr>
        <w:tab/>
      </w:r>
      <w:r w:rsidRPr="005D08A1">
        <w:rPr>
          <w:spacing w:val="-3"/>
        </w:rPr>
        <w:tab/>
        <w:t>3 hrs. x $</w:t>
      </w:r>
      <w:r w:rsidR="00814B61">
        <w:rPr>
          <w:spacing w:val="-3"/>
        </w:rPr>
        <w:t>45.94</w:t>
      </w:r>
      <w:r w:rsidRPr="005D08A1">
        <w:rPr>
          <w:spacing w:val="-3"/>
        </w:rPr>
        <w:t xml:space="preserve">/hour x </w:t>
      </w:r>
      <w:r w:rsidR="00D34E62">
        <w:rPr>
          <w:spacing w:val="-3"/>
        </w:rPr>
        <w:t>60</w:t>
      </w:r>
      <w:r w:rsidRPr="005D08A1">
        <w:rPr>
          <w:spacing w:val="-3"/>
        </w:rPr>
        <w:t xml:space="preserve"> applications </w:t>
      </w:r>
      <w:r w:rsidRPr="005D08A1" w:rsidR="00B6668A">
        <w:rPr>
          <w:spacing w:val="-3"/>
        </w:rPr>
        <w:t xml:space="preserve">   </w:t>
      </w:r>
      <w:r w:rsidRPr="005D08A1">
        <w:rPr>
          <w:spacing w:val="-3"/>
        </w:rPr>
        <w:t xml:space="preserve">= </w:t>
      </w:r>
      <w:r w:rsidRPr="005D08A1" w:rsidR="00B6668A">
        <w:rPr>
          <w:spacing w:val="-3"/>
        </w:rPr>
        <w:t xml:space="preserve"> </w:t>
      </w:r>
      <w:r w:rsidRPr="005D08A1">
        <w:rPr>
          <w:spacing w:val="-3"/>
        </w:rPr>
        <w:t>$</w:t>
      </w:r>
      <w:r w:rsidR="00814B61">
        <w:rPr>
          <w:spacing w:val="-3"/>
        </w:rPr>
        <w:t>8,269.20</w:t>
      </w:r>
      <w:r w:rsidRPr="005D08A1" w:rsidR="00B6668A">
        <w:rPr>
          <w:spacing w:val="-3"/>
        </w:rPr>
        <w:t xml:space="preserve"> </w:t>
      </w:r>
    </w:p>
    <w:p w:rsidR="00682C3A" w:rsidRPr="005D08A1" w:rsidP="00452CD2" w14:paraId="60AB3989" w14:textId="00A87292">
      <w:pPr>
        <w:suppressAutoHyphens/>
        <w:ind w:left="720"/>
        <w:rPr>
          <w:spacing w:val="-3"/>
        </w:rPr>
      </w:pPr>
      <w:r w:rsidRPr="005D08A1">
        <w:rPr>
          <w:spacing w:val="-3"/>
        </w:rPr>
        <w:t xml:space="preserve">Engineer </w:t>
      </w:r>
      <w:r w:rsidRPr="005D08A1">
        <w:rPr>
          <w:spacing w:val="-3"/>
        </w:rPr>
        <w:tab/>
      </w:r>
      <w:r w:rsidRPr="005D08A1">
        <w:rPr>
          <w:spacing w:val="-3"/>
        </w:rPr>
        <w:tab/>
      </w:r>
      <w:r w:rsidRPr="005D08A1" w:rsidR="00B6668A">
        <w:rPr>
          <w:spacing w:val="-3"/>
        </w:rPr>
        <w:t>11</w:t>
      </w:r>
      <w:r w:rsidRPr="005D08A1">
        <w:rPr>
          <w:spacing w:val="-3"/>
        </w:rPr>
        <w:t xml:space="preserve"> hrs. x $</w:t>
      </w:r>
      <w:r w:rsidR="00814B61">
        <w:rPr>
          <w:spacing w:val="-3"/>
        </w:rPr>
        <w:t>45.94</w:t>
      </w:r>
      <w:r w:rsidRPr="005D08A1">
        <w:rPr>
          <w:spacing w:val="-3"/>
        </w:rPr>
        <w:t xml:space="preserve">/hour x </w:t>
      </w:r>
      <w:r w:rsidR="00D34E62">
        <w:rPr>
          <w:spacing w:val="-3"/>
        </w:rPr>
        <w:t>60</w:t>
      </w:r>
      <w:r w:rsidRPr="005D08A1">
        <w:rPr>
          <w:spacing w:val="-3"/>
        </w:rPr>
        <w:t xml:space="preserve"> applications </w:t>
      </w:r>
      <w:r w:rsidRPr="005D08A1" w:rsidR="00B6668A">
        <w:rPr>
          <w:spacing w:val="-3"/>
        </w:rPr>
        <w:t xml:space="preserve"> =  $</w:t>
      </w:r>
      <w:r w:rsidR="00814B61">
        <w:rPr>
          <w:spacing w:val="-3"/>
        </w:rPr>
        <w:t>30,320.40</w:t>
      </w:r>
    </w:p>
    <w:p w:rsidR="007A472D" w:rsidRPr="005D08A1" w:rsidP="005E1A44" w14:paraId="23CB2812" w14:textId="779A1F04">
      <w:pPr>
        <w:suppressAutoHyphens/>
        <w:ind w:left="720"/>
        <w:rPr>
          <w:spacing w:val="-3"/>
        </w:rPr>
      </w:pPr>
      <w:r w:rsidRPr="005D08A1">
        <w:rPr>
          <w:spacing w:val="-3"/>
        </w:rPr>
        <w:t xml:space="preserve">Clerical </w:t>
      </w:r>
      <w:r w:rsidRPr="005D08A1">
        <w:rPr>
          <w:spacing w:val="-3"/>
        </w:rPr>
        <w:tab/>
      </w:r>
      <w:r w:rsidRPr="005D08A1">
        <w:rPr>
          <w:spacing w:val="-3"/>
        </w:rPr>
        <w:tab/>
        <w:t>5 hrs. x $</w:t>
      </w:r>
      <w:r w:rsidR="00814B61">
        <w:rPr>
          <w:spacing w:val="-3"/>
        </w:rPr>
        <w:t>25.06</w:t>
      </w:r>
      <w:r w:rsidRPr="005D08A1">
        <w:rPr>
          <w:spacing w:val="-3"/>
        </w:rPr>
        <w:t xml:space="preserve">/hour x </w:t>
      </w:r>
      <w:r w:rsidR="00D34E62">
        <w:rPr>
          <w:spacing w:val="-3"/>
        </w:rPr>
        <w:t>60</w:t>
      </w:r>
      <w:r w:rsidRPr="005D08A1">
        <w:rPr>
          <w:spacing w:val="-3"/>
        </w:rPr>
        <w:t xml:space="preserve"> applications </w:t>
      </w:r>
      <w:r w:rsidRPr="005D08A1" w:rsidR="00B6668A">
        <w:rPr>
          <w:spacing w:val="-3"/>
        </w:rPr>
        <w:t xml:space="preserve">   </w:t>
      </w:r>
      <w:r w:rsidRPr="005D08A1">
        <w:rPr>
          <w:spacing w:val="-3"/>
        </w:rPr>
        <w:t xml:space="preserve">= </w:t>
      </w:r>
      <w:r w:rsidRPr="005D08A1" w:rsidR="00B6668A">
        <w:rPr>
          <w:spacing w:val="-3"/>
        </w:rPr>
        <w:t xml:space="preserve"> </w:t>
      </w:r>
      <w:r w:rsidRPr="005D08A1">
        <w:rPr>
          <w:spacing w:val="-3"/>
        </w:rPr>
        <w:t>$</w:t>
      </w:r>
      <w:r w:rsidR="00814B61">
        <w:rPr>
          <w:spacing w:val="-3"/>
        </w:rPr>
        <w:t>7,518.00</w:t>
      </w:r>
    </w:p>
    <w:p w:rsidR="007A472D" w:rsidRPr="005D08A1" w:rsidP="005E1A44" w14:paraId="43CCF236" w14:textId="010FBFE1">
      <w:pPr>
        <w:suppressAutoHyphens/>
        <w:ind w:left="720"/>
        <w:rPr>
          <w:spacing w:val="-3"/>
        </w:rPr>
      </w:pPr>
      <w:r w:rsidRPr="005D08A1">
        <w:rPr>
          <w:spacing w:val="-3"/>
        </w:rPr>
        <w:t xml:space="preserve">Paraprofessional </w:t>
      </w:r>
      <w:r w:rsidRPr="005D08A1">
        <w:rPr>
          <w:spacing w:val="-3"/>
        </w:rPr>
        <w:tab/>
        <w:t>4 hrs. x $</w:t>
      </w:r>
      <w:r w:rsidR="00814B61">
        <w:rPr>
          <w:spacing w:val="-3"/>
        </w:rPr>
        <w:t>37.97</w:t>
      </w:r>
      <w:r w:rsidRPr="005D08A1">
        <w:rPr>
          <w:spacing w:val="-3"/>
        </w:rPr>
        <w:t xml:space="preserve">/hour x </w:t>
      </w:r>
      <w:r w:rsidR="00D34E62">
        <w:rPr>
          <w:spacing w:val="-3"/>
        </w:rPr>
        <w:t>60</w:t>
      </w:r>
      <w:r w:rsidRPr="005D08A1" w:rsidR="00E27BD3">
        <w:rPr>
          <w:spacing w:val="-3"/>
        </w:rPr>
        <w:t xml:space="preserve"> </w:t>
      </w:r>
      <w:r w:rsidRPr="005D08A1">
        <w:rPr>
          <w:spacing w:val="-3"/>
        </w:rPr>
        <w:t xml:space="preserve">applications </w:t>
      </w:r>
      <w:r w:rsidRPr="005D08A1" w:rsidR="00B6668A">
        <w:rPr>
          <w:spacing w:val="-3"/>
        </w:rPr>
        <w:t xml:space="preserve">  </w:t>
      </w:r>
      <w:r w:rsidRPr="005D08A1">
        <w:rPr>
          <w:spacing w:val="-3"/>
        </w:rPr>
        <w:t xml:space="preserve">= </w:t>
      </w:r>
      <w:r w:rsidRPr="005D08A1" w:rsidR="00B6668A">
        <w:rPr>
          <w:spacing w:val="-3"/>
        </w:rPr>
        <w:t xml:space="preserve"> </w:t>
      </w:r>
      <w:r w:rsidRPr="005D08A1">
        <w:rPr>
          <w:spacing w:val="-3"/>
          <w:u w:val="single"/>
        </w:rPr>
        <w:t>$</w:t>
      </w:r>
      <w:r w:rsidR="00814B61">
        <w:rPr>
          <w:spacing w:val="-3"/>
          <w:u w:val="single"/>
        </w:rPr>
        <w:t>9,112.80</w:t>
      </w:r>
    </w:p>
    <w:p w:rsidR="007A472D" w:rsidRPr="00682C3A" w:rsidP="005E1A44" w14:paraId="2874D9E2" w14:textId="7D50D19E">
      <w:pPr>
        <w:suppressAutoHyphens/>
        <w:ind w:left="720"/>
        <w:rPr>
          <w:b/>
          <w:spacing w:val="-3"/>
        </w:rPr>
      </w:pPr>
      <w:r w:rsidRPr="005D08A1">
        <w:rPr>
          <w:spacing w:val="-3"/>
        </w:rPr>
        <w:t xml:space="preserve">                                          </w:t>
      </w:r>
      <w:r w:rsidRPr="005D08A1" w:rsidR="00682C3A">
        <w:rPr>
          <w:b/>
          <w:spacing w:val="-3"/>
        </w:rPr>
        <w:t>Total Cost to Federal Government:</w:t>
      </w:r>
      <w:r w:rsidRPr="005D08A1" w:rsidR="00682C3A">
        <w:rPr>
          <w:spacing w:val="-3"/>
        </w:rPr>
        <w:t xml:space="preserve">  </w:t>
      </w:r>
      <w:r w:rsidR="00D34E62">
        <w:rPr>
          <w:spacing w:val="-3"/>
        </w:rPr>
        <w:t xml:space="preserve"> </w:t>
      </w:r>
      <w:r w:rsidRPr="005D08A1">
        <w:rPr>
          <w:b/>
          <w:spacing w:val="-3"/>
        </w:rPr>
        <w:t>$</w:t>
      </w:r>
      <w:r w:rsidR="00814B61">
        <w:rPr>
          <w:b/>
          <w:spacing w:val="-3"/>
        </w:rPr>
        <w:t>55,220.40</w:t>
      </w:r>
    </w:p>
    <w:p w:rsidR="007A472D" w:rsidP="00F343D4" w14:paraId="25D78BE5" w14:textId="77777777">
      <w:pPr>
        <w:suppressAutoHyphens/>
        <w:ind w:left="1440"/>
        <w:rPr>
          <w:spacing w:val="-3"/>
        </w:rPr>
      </w:pPr>
      <w:r>
        <w:rPr>
          <w:spacing w:val="-3"/>
        </w:rPr>
        <w:t xml:space="preserve">                                         </w:t>
      </w:r>
      <w:r w:rsidR="009B2469">
        <w:rPr>
          <w:b/>
          <w:spacing w:val="-3"/>
        </w:rPr>
        <w:t xml:space="preserve">    </w:t>
      </w:r>
    </w:p>
    <w:p w:rsidR="00C140B7" w:rsidRPr="005E3FD9" w:rsidP="009F32ED" w14:paraId="276D87E7" w14:textId="368D3A61">
      <w:pPr>
        <w:suppressAutoHyphens/>
        <w:rPr>
          <w:bCs/>
          <w:szCs w:val="22"/>
          <w:shd w:val="clear" w:color="auto" w:fill="FFFFFF"/>
        </w:rPr>
      </w:pPr>
      <w:r>
        <w:rPr>
          <w:spacing w:val="-3"/>
        </w:rPr>
        <w:t xml:space="preserve">15. </w:t>
      </w:r>
      <w:r w:rsidRPr="006D39F6" w:rsidR="006D39F6">
        <w:rPr>
          <w:b/>
          <w:spacing w:val="-3"/>
        </w:rPr>
        <w:t>Changes in Burden or Cost</w:t>
      </w:r>
      <w:r w:rsidRPr="008D4007" w:rsidR="006D39F6">
        <w:rPr>
          <w:b/>
          <w:spacing w:val="-3"/>
        </w:rPr>
        <w:t xml:space="preserve">:  </w:t>
      </w:r>
      <w:r w:rsidR="005E3FD9">
        <w:rPr>
          <w:bCs/>
          <w:spacing w:val="-3"/>
        </w:rPr>
        <w:t>There are no program changes or adjustments to this information collection.</w:t>
      </w:r>
    </w:p>
    <w:p w:rsidR="00C140B7" w:rsidP="009F32ED" w14:paraId="63F28798" w14:textId="77777777">
      <w:pPr>
        <w:suppressAutoHyphens/>
        <w:rPr>
          <w:szCs w:val="22"/>
          <w:shd w:val="clear" w:color="auto" w:fill="FFFFFF"/>
        </w:rPr>
      </w:pPr>
    </w:p>
    <w:p w:rsidR="007A472D" w:rsidP="009F32ED" w14:paraId="41F5E178" w14:textId="4441B29A">
      <w:pPr>
        <w:suppressAutoHyphens/>
        <w:rPr>
          <w:spacing w:val="-3"/>
        </w:rPr>
      </w:pPr>
      <w:r>
        <w:rPr>
          <w:spacing w:val="-3"/>
        </w:rPr>
        <w:t xml:space="preserve">16.  </w:t>
      </w:r>
      <w:r w:rsidRPr="006D39F6" w:rsidR="006D39F6">
        <w:rPr>
          <w:b/>
          <w:spacing w:val="-3"/>
        </w:rPr>
        <w:t>Plans for Publication</w:t>
      </w:r>
      <w:r w:rsidRPr="006D39F6" w:rsidR="006D39F6">
        <w:rPr>
          <w:spacing w:val="-3"/>
        </w:rPr>
        <w:t xml:space="preserve">: </w:t>
      </w:r>
      <w:r>
        <w:rPr>
          <w:spacing w:val="-3"/>
        </w:rPr>
        <w:t xml:space="preserve">The </w:t>
      </w:r>
      <w:r w:rsidR="00FB10F4">
        <w:rPr>
          <w:spacing w:val="-3"/>
        </w:rPr>
        <w:t>applications are electronically filed and made available to the public.</w:t>
      </w:r>
      <w:r>
        <w:rPr>
          <w:spacing w:val="-3"/>
        </w:rPr>
        <w:t xml:space="preserve">  </w:t>
      </w:r>
    </w:p>
    <w:p w:rsidR="007A472D" w:rsidP="009F32ED" w14:paraId="10D78F4A" w14:textId="77777777">
      <w:pPr>
        <w:suppressAutoHyphens/>
        <w:rPr>
          <w:spacing w:val="-3"/>
        </w:rPr>
      </w:pPr>
    </w:p>
    <w:p w:rsidR="007A472D" w:rsidP="009F32ED" w14:paraId="38A0C36E" w14:textId="4A66FF73">
      <w:pPr>
        <w:suppressAutoHyphens/>
        <w:rPr>
          <w:spacing w:val="-3"/>
        </w:rPr>
      </w:pPr>
      <w:r>
        <w:rPr>
          <w:spacing w:val="-3"/>
        </w:rPr>
        <w:t xml:space="preserve">17. </w:t>
      </w:r>
      <w:r w:rsidRPr="006D39F6" w:rsidR="006D39F6">
        <w:rPr>
          <w:b/>
          <w:spacing w:val="-3"/>
        </w:rPr>
        <w:t>Display of OMB Approval Date</w:t>
      </w:r>
      <w:r w:rsidR="006D39F6">
        <w:rPr>
          <w:spacing w:val="-3"/>
        </w:rPr>
        <w:t xml:space="preserve">: </w:t>
      </w:r>
      <w:r w:rsidRPr="006D39F6" w:rsidR="006D39F6">
        <w:rPr>
          <w:spacing w:val="-3"/>
        </w:rPr>
        <w:t xml:space="preserve"> </w:t>
      </w:r>
      <w:r>
        <w:rPr>
          <w:spacing w:val="-3"/>
        </w:rPr>
        <w:t xml:space="preserve">An extension of the waiver not to publish the expiration date on the form is requested.  This will obviate the need for the Commission to update electronic forms upon the expiration of the clearance.  OMB approval of the expiration date of the information collection will be displayed </w:t>
      </w:r>
      <w:r w:rsidR="005E3FD9">
        <w:rPr>
          <w:spacing w:val="-3"/>
        </w:rPr>
        <w:t>on OMB’s website</w:t>
      </w:r>
      <w:r>
        <w:rPr>
          <w:spacing w:val="-3"/>
        </w:rPr>
        <w:t>.</w:t>
      </w:r>
    </w:p>
    <w:p w:rsidR="007A472D" w:rsidP="009F32ED" w14:paraId="0A76199F" w14:textId="77777777">
      <w:pPr>
        <w:suppressAutoHyphens/>
        <w:rPr>
          <w:spacing w:val="-3"/>
        </w:rPr>
      </w:pPr>
    </w:p>
    <w:p w:rsidR="007A472D" w:rsidP="009F32ED" w14:paraId="6FC1A740" w14:textId="77777777">
      <w:pPr>
        <w:suppressAutoHyphens/>
        <w:jc w:val="both"/>
      </w:pPr>
      <w:r>
        <w:rPr>
          <w:spacing w:val="-3"/>
        </w:rPr>
        <w:t>18.</w:t>
      </w:r>
      <w:r w:rsidR="00E27BD3">
        <w:rPr>
          <w:spacing w:val="-3"/>
        </w:rPr>
        <w:t xml:space="preserve"> </w:t>
      </w:r>
      <w:r w:rsidRPr="006D39F6" w:rsidR="006D39F6">
        <w:rPr>
          <w:b/>
          <w:spacing w:val="-3"/>
        </w:rPr>
        <w:t>Exceptions to the Certification Statement</w:t>
      </w:r>
      <w:r w:rsidRPr="006D39F6" w:rsidR="006D39F6">
        <w:rPr>
          <w:spacing w:val="-3"/>
        </w:rPr>
        <w:t>:</w:t>
      </w:r>
      <w:r w:rsidR="0026318F">
        <w:rPr>
          <w:spacing w:val="-3"/>
        </w:rPr>
        <w:t xml:space="preserve">. </w:t>
      </w:r>
      <w:r w:rsidR="00F30AB3">
        <w:rPr>
          <w:spacing w:val="-3"/>
        </w:rPr>
        <w:t>There are</w:t>
      </w:r>
      <w:r w:rsidR="002535DC">
        <w:rPr>
          <w:spacing w:val="-3"/>
        </w:rPr>
        <w:t xml:space="preserve"> </w:t>
      </w:r>
      <w:r w:rsidR="004930FB">
        <w:rPr>
          <w:spacing w:val="-3"/>
        </w:rPr>
        <w:t>no</w:t>
      </w:r>
      <w:r w:rsidR="00BE0548">
        <w:rPr>
          <w:spacing w:val="-3"/>
        </w:rPr>
        <w:t xml:space="preserve"> </w:t>
      </w:r>
      <w:r w:rsidR="002535DC">
        <w:rPr>
          <w:spacing w:val="-3"/>
        </w:rPr>
        <w:t xml:space="preserve">exceptions to the </w:t>
      </w:r>
      <w:r w:rsidRPr="000D02FB">
        <w:t xml:space="preserve">Certification </w:t>
      </w:r>
      <w:r w:rsidR="002535DC">
        <w:t>Statement</w:t>
      </w:r>
      <w:r w:rsidRPr="000D02FB">
        <w:t>.</w:t>
      </w:r>
    </w:p>
    <w:p w:rsidR="007A472D" w:rsidP="009F32ED" w14:paraId="733A2ED1" w14:textId="77777777">
      <w:pPr>
        <w:tabs>
          <w:tab w:val="left" w:pos="0"/>
          <w:tab w:val="left" w:pos="360"/>
          <w:tab w:val="left" w:pos="720"/>
        </w:tabs>
        <w:suppressAutoHyphens/>
        <w:jc w:val="both"/>
        <w:rPr>
          <w:b/>
          <w:spacing w:val="-3"/>
        </w:rPr>
      </w:pPr>
    </w:p>
    <w:p w:rsidR="007A472D" w:rsidP="009F32ED" w14:paraId="1A230FC6" w14:textId="77777777">
      <w:pPr>
        <w:tabs>
          <w:tab w:val="left" w:pos="0"/>
          <w:tab w:val="left" w:pos="360"/>
          <w:tab w:val="left" w:pos="720"/>
        </w:tabs>
        <w:suppressAutoHyphens/>
        <w:jc w:val="both"/>
        <w:rPr>
          <w:b/>
          <w:spacing w:val="-3"/>
        </w:rPr>
      </w:pPr>
      <w:r>
        <w:rPr>
          <w:b/>
          <w:spacing w:val="-3"/>
        </w:rPr>
        <w:t>B.  Collections of Information Employing Statistical Methods:</w:t>
      </w:r>
    </w:p>
    <w:p w:rsidR="007A472D" w:rsidP="009F32ED" w14:paraId="4E20DE8B" w14:textId="77777777">
      <w:pPr>
        <w:suppressAutoHyphens/>
        <w:rPr>
          <w:spacing w:val="-3"/>
        </w:rPr>
      </w:pPr>
    </w:p>
    <w:p w:rsidR="007A472D" w:rsidP="00452CD2" w14:paraId="5E065C80" w14:textId="77777777">
      <w:pPr>
        <w:suppressAutoHyphens/>
      </w:pPr>
      <w:r>
        <w:rPr>
          <w:spacing w:val="-3"/>
        </w:rPr>
        <w:t>This information collection does not employ any statistical methods.</w:t>
      </w:r>
    </w:p>
    <w:sectPr>
      <w:headerReference w:type="default" r:id="rId6"/>
      <w:footerReference w:type="even" r:id="rId7"/>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350" w14:paraId="3EDF7B7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C4350" w14:paraId="1E8F92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350" w14:paraId="12BDDA1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30FB">
      <w:rPr>
        <w:rStyle w:val="PageNumber"/>
        <w:noProof/>
      </w:rPr>
      <w:t>8</w:t>
    </w:r>
    <w:r>
      <w:rPr>
        <w:rStyle w:val="PageNumber"/>
      </w:rPr>
      <w:fldChar w:fldCharType="end"/>
    </w:r>
  </w:p>
  <w:p w:rsidR="002C4350" w14:paraId="1863EB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26DA" w14:paraId="33CDFBD8" w14:textId="77777777">
      <w:r>
        <w:separator/>
      </w:r>
    </w:p>
  </w:footnote>
  <w:footnote w:type="continuationSeparator" w:id="1">
    <w:p w:rsidR="000C26DA" w14:paraId="31D9D629" w14:textId="77777777">
      <w:r>
        <w:continuationSeparator/>
      </w:r>
    </w:p>
  </w:footnote>
  <w:footnote w:id="2">
    <w:p w:rsidR="00B96714" w:rsidRPr="00A476BD" w:rsidP="00B96714" w14:paraId="35178AD2" w14:textId="77777777">
      <w:pPr>
        <w:pStyle w:val="FootnoteText"/>
        <w:rPr>
          <w:sz w:val="20"/>
        </w:rPr>
      </w:pPr>
      <w:r w:rsidRPr="00A476BD">
        <w:rPr>
          <w:rStyle w:val="FootnoteReference"/>
          <w:sz w:val="20"/>
        </w:rPr>
        <w:footnoteRef/>
      </w:r>
      <w:r w:rsidRPr="00A476BD">
        <w:rPr>
          <w:sz w:val="20"/>
        </w:rPr>
        <w:t xml:space="preserve"> </w:t>
      </w:r>
      <w:r w:rsidRPr="00A476BD" w:rsidR="007D417D">
        <w:rPr>
          <w:color w:val="000000"/>
          <w:sz w:val="20"/>
        </w:rPr>
        <w:t xml:space="preserve">The Commission implemented a new on-line (electronic) licensing system called “Licensing and Management System” in which all FCC broadcast licensing forms, including </w:t>
      </w:r>
      <w:r w:rsidRPr="00A476BD" w:rsidR="007231F4">
        <w:rPr>
          <w:color w:val="000000"/>
          <w:sz w:val="20"/>
        </w:rPr>
        <w:t xml:space="preserve">former </w:t>
      </w:r>
      <w:r w:rsidRPr="00A476BD" w:rsidR="007D417D">
        <w:rPr>
          <w:color w:val="000000"/>
          <w:sz w:val="20"/>
        </w:rPr>
        <w:t>FCC Form 301-CA</w:t>
      </w:r>
      <w:r w:rsidRPr="00A476BD" w:rsidR="007231F4">
        <w:rPr>
          <w:color w:val="000000"/>
          <w:sz w:val="20"/>
        </w:rPr>
        <w:t xml:space="preserve">, was </w:t>
      </w:r>
      <w:r w:rsidRPr="00A476BD" w:rsidR="007D417D">
        <w:rPr>
          <w:color w:val="000000"/>
          <w:sz w:val="20"/>
        </w:rPr>
        <w:t>combined into a single common form - FCC Form 2100.   FCC Form 301-CA</w:t>
      </w:r>
      <w:r w:rsidRPr="00A476BD" w:rsidR="007231F4">
        <w:rPr>
          <w:color w:val="000000"/>
          <w:sz w:val="20"/>
        </w:rPr>
        <w:t xml:space="preserve"> is</w:t>
      </w:r>
      <w:r w:rsidRPr="00A476BD" w:rsidR="007D417D">
        <w:rPr>
          <w:color w:val="000000"/>
          <w:sz w:val="20"/>
        </w:rPr>
        <w:t xml:space="preserve"> encompassed by the “Licensing and Management System” and the new common form - FCC Form 2100.   General questions, which were formally asked in all licensing applications, will compose the body of FCC Form 2100.  The questions pertinent only to FCC Form 301-CA applicants will now be contained in Schedule E of FCC Form 2100.  OMB approved </w:t>
      </w:r>
      <w:r w:rsidRPr="00A476BD">
        <w:rPr>
          <w:sz w:val="20"/>
        </w:rPr>
        <w:t>this non-</w:t>
      </w:r>
      <w:r w:rsidRPr="00A476BD" w:rsidR="007D417D">
        <w:rPr>
          <w:sz w:val="20"/>
        </w:rPr>
        <w:t xml:space="preserve">substantive change to rename </w:t>
      </w:r>
      <w:r w:rsidRPr="00A476BD">
        <w:rPr>
          <w:sz w:val="20"/>
        </w:rPr>
        <w:t>FCC Form 301-CA</w:t>
      </w:r>
      <w:r w:rsidRPr="00A476BD" w:rsidR="007D417D">
        <w:rPr>
          <w:sz w:val="20"/>
        </w:rPr>
        <w:t xml:space="preserve"> as part of </w:t>
      </w:r>
      <w:r w:rsidRPr="00A476BD">
        <w:rPr>
          <w:sz w:val="20"/>
        </w:rPr>
        <w:t xml:space="preserve">FCC Form 2100 and the electronic “Licensing </w:t>
      </w:r>
      <w:r w:rsidRPr="00A476BD" w:rsidR="00CA0DF1">
        <w:rPr>
          <w:color w:val="000000"/>
          <w:sz w:val="20"/>
        </w:rPr>
        <w:t>and Management</w:t>
      </w:r>
      <w:r w:rsidRPr="00A476BD">
        <w:rPr>
          <w:sz w:val="20"/>
        </w:rPr>
        <w:t xml:space="preserve">” system.  The former FCC Form 301-CA no longer exists, </w:t>
      </w:r>
      <w:r w:rsidRPr="00A476BD" w:rsidR="007231F4">
        <w:rPr>
          <w:sz w:val="20"/>
        </w:rPr>
        <w:t xml:space="preserve">but is renamed as FCC Form 2100, Schedule E </w:t>
      </w:r>
      <w:r w:rsidRPr="00A476BD">
        <w:rPr>
          <w:sz w:val="20"/>
        </w:rPr>
        <w:t>and its contents are fully contained within FCC Form 2100 and the “Li</w:t>
      </w:r>
      <w:r w:rsidRPr="00A476BD" w:rsidR="007231F4">
        <w:rPr>
          <w:sz w:val="20"/>
        </w:rPr>
        <w:t xml:space="preserve">censing </w:t>
      </w:r>
      <w:r w:rsidRPr="00A476BD" w:rsidR="00CA0DF1">
        <w:rPr>
          <w:color w:val="000000"/>
          <w:sz w:val="20"/>
        </w:rPr>
        <w:t>and Management</w:t>
      </w:r>
      <w:r w:rsidRPr="00A476BD" w:rsidR="007231F4">
        <w:rPr>
          <w:sz w:val="20"/>
        </w:rPr>
        <w:t xml:space="preserve">” system. </w:t>
      </w:r>
    </w:p>
    <w:p w:rsidR="007231F4" w:rsidRPr="00A476BD" w:rsidP="00B96714" w14:paraId="6335587A" w14:textId="77777777">
      <w:pPr>
        <w:pStyle w:val="FootnoteText"/>
        <w:rPr>
          <w:sz w:val="20"/>
        </w:rPr>
      </w:pPr>
    </w:p>
  </w:footnote>
  <w:footnote w:id="3">
    <w:p w:rsidR="002C4350" w:rsidRPr="00A476BD" w14:paraId="10903762" w14:textId="77CE239A">
      <w:pPr>
        <w:pStyle w:val="FootnoteText"/>
        <w:rPr>
          <w:sz w:val="20"/>
        </w:rPr>
      </w:pPr>
      <w:r w:rsidRPr="00A476BD">
        <w:rPr>
          <w:rStyle w:val="FootnoteReference"/>
          <w:sz w:val="20"/>
        </w:rPr>
        <w:footnoteRef/>
      </w:r>
      <w:r w:rsidRPr="00A476BD">
        <w:rPr>
          <w:sz w:val="20"/>
        </w:rPr>
        <w:t xml:space="preserve"> Class A television stations are low power television licensees which, during the 90-day period ending </w:t>
      </w:r>
      <w:smartTag w:uri="urn:schemas-microsoft-com:office:smarttags" w:element="date">
        <w:smartTagPr>
          <w:attr w:name="Day" w:val="28"/>
          <w:attr w:name="Month" w:val="11"/>
          <w:attr w:name="Year" w:val="1999"/>
          <w:attr w:name="ls" w:val="trans"/>
        </w:smartTagPr>
        <w:r w:rsidRPr="00A476BD">
          <w:rPr>
            <w:sz w:val="20"/>
          </w:rPr>
          <w:t>November 28, 1999</w:t>
        </w:r>
      </w:smartTag>
      <w:r w:rsidRPr="00A476BD">
        <w:rPr>
          <w:sz w:val="20"/>
        </w:rPr>
        <w:t xml:space="preserve">, operated their stations in a manner consistent with the programming and operational standards set forth in the Community Broadcasters Protection Act of 1999, and thus, were accorded primary status as Class A television licensees.  </w:t>
      </w:r>
      <w:r w:rsidRPr="00A476BD">
        <w:rPr>
          <w:i/>
          <w:sz w:val="20"/>
        </w:rPr>
        <w:t>See</w:t>
      </w:r>
      <w:r w:rsidRPr="00A476BD">
        <w:rPr>
          <w:sz w:val="20"/>
        </w:rPr>
        <w:t xml:space="preserve"> 47 CFR Section 73.6001(a).</w:t>
      </w:r>
    </w:p>
    <w:p w:rsidR="007231F4" w:rsidRPr="00A476BD" w14:paraId="07A97622" w14:textId="77777777">
      <w:pPr>
        <w:pStyle w:val="FootnoteText"/>
        <w:rPr>
          <w:sz w:val="20"/>
        </w:rPr>
      </w:pPr>
    </w:p>
  </w:footnote>
  <w:footnote w:id="4">
    <w:p w:rsidR="002C4350" w:rsidRPr="00A476BD" w14:paraId="0B25AD6D" w14:textId="77777777">
      <w:pPr>
        <w:pStyle w:val="FootnoteText"/>
        <w:rPr>
          <w:sz w:val="20"/>
        </w:rPr>
      </w:pPr>
      <w:r w:rsidRPr="00A476BD">
        <w:rPr>
          <w:rStyle w:val="FootnoteReference"/>
          <w:sz w:val="20"/>
        </w:rPr>
        <w:footnoteRef/>
      </w:r>
      <w:r w:rsidRPr="00A476BD">
        <w:rPr>
          <w:sz w:val="20"/>
        </w:rPr>
        <w:t xml:space="preserve"> A “material representation” has been defined as one “relating to matter which is so substantial or important as to influence the party to whom it is made.”  </w:t>
      </w:r>
      <w:r w:rsidRPr="00A476BD">
        <w:rPr>
          <w:i/>
          <w:sz w:val="20"/>
        </w:rPr>
        <w:t>See</w:t>
      </w:r>
      <w:r w:rsidRPr="00A476BD">
        <w:rPr>
          <w:sz w:val="20"/>
        </w:rPr>
        <w:t xml:space="preserve"> In the Matter of Amendment of Section 1.17 of the Commission’s Rules Concerning Truthful Statements to the Commission, 18 F.C.C.R. 4016 (2003), citing the</w:t>
      </w:r>
      <w:r w:rsidRPr="00A476BD">
        <w:rPr>
          <w:sz w:val="20"/>
          <w:u w:val="single"/>
        </w:rPr>
        <w:t xml:space="preserve"> Matter of Mark E. Wagner, 744 N.E. 2d 418, 421 (Ind. 2001)</w:t>
      </w:r>
      <w:r w:rsidRPr="00A476BD">
        <w:rPr>
          <w:sz w:val="20"/>
        </w:rPr>
        <w:t>.</w:t>
      </w:r>
    </w:p>
    <w:p w:rsidR="007231F4" w:rsidRPr="00A476BD" w14:paraId="3F7AF57B" w14:textId="77777777">
      <w:pPr>
        <w:pStyle w:val="FootnoteText"/>
        <w:rPr>
          <w:sz w:val="20"/>
        </w:rPr>
      </w:pPr>
    </w:p>
  </w:footnote>
  <w:footnote w:id="5">
    <w:p w:rsidR="00BE0548" w:rsidRPr="00181E2D" w:rsidP="00BE0548" w14:paraId="02A2367A" w14:textId="77777777">
      <w:pPr>
        <w:pStyle w:val="FootnoteText"/>
        <w:rPr>
          <w:sz w:val="20"/>
        </w:rPr>
      </w:pPr>
      <w:r w:rsidRPr="00181E2D">
        <w:rPr>
          <w:rStyle w:val="FootnoteReference"/>
          <w:sz w:val="20"/>
        </w:rPr>
        <w:footnoteRef/>
      </w:r>
      <w:r w:rsidRPr="00181E2D">
        <w:rPr>
          <w:sz w:val="20"/>
        </w:rPr>
        <w:t xml:space="preserve"> </w:t>
      </w:r>
      <w:r w:rsidRPr="00181E2D">
        <w:rPr>
          <w:i/>
          <w:sz w:val="20"/>
        </w:rPr>
        <w:t>See</w:t>
      </w:r>
      <w:r w:rsidRPr="00181E2D">
        <w:rPr>
          <w:sz w:val="20"/>
        </w:rPr>
        <w:t xml:space="preserve"> OMB control number 3060-0016 for the associated burden for FCC Form 346 as it relates to Section 74.793(d). </w:t>
      </w:r>
    </w:p>
  </w:footnote>
  <w:footnote w:id="6">
    <w:p w:rsidR="00DD6CE4" w:rsidRPr="00181E2D" w:rsidP="00DD6CE4" w14:paraId="2410A27D" w14:textId="77777777">
      <w:pPr>
        <w:pStyle w:val="FootnoteText"/>
        <w:rPr>
          <w:sz w:val="20"/>
        </w:rPr>
      </w:pPr>
      <w:r w:rsidRPr="00181E2D">
        <w:rPr>
          <w:rStyle w:val="FootnoteReference"/>
          <w:sz w:val="20"/>
        </w:rPr>
        <w:footnoteRef/>
      </w:r>
      <w:r w:rsidRPr="00181E2D">
        <w:rPr>
          <w:sz w:val="20"/>
        </w:rPr>
        <w:t xml:space="preserve"> A “channel sharee” station is a television station for which a winning channel sharing bid was submitted.  A “channel sharer” station is a television station that shares its channel with a channel sharee.</w:t>
      </w:r>
    </w:p>
  </w:footnote>
  <w:footnote w:id="7">
    <w:p w:rsidR="00832B71" w:rsidRPr="00181E2D" w14:paraId="2D3669C9" w14:textId="77777777">
      <w:pPr>
        <w:pStyle w:val="FootnoteText"/>
        <w:rPr>
          <w:sz w:val="20"/>
        </w:rPr>
      </w:pPr>
      <w:r w:rsidRPr="00181E2D">
        <w:rPr>
          <w:rStyle w:val="FootnoteReference"/>
          <w:sz w:val="20"/>
        </w:rPr>
        <w:footnoteRef/>
      </w:r>
      <w:r w:rsidRPr="00181E2D">
        <w:rPr>
          <w:sz w:val="20"/>
        </w:rPr>
        <w:t xml:space="preserve"> </w:t>
      </w:r>
      <w:r w:rsidRPr="00181E2D">
        <w:rPr>
          <w:i/>
          <w:sz w:val="20"/>
        </w:rPr>
        <w:t>Channel Sharing Order</w:t>
      </w:r>
      <w:r w:rsidRPr="00181E2D">
        <w:rPr>
          <w:sz w:val="20"/>
        </w:rPr>
        <w:t xml:space="preserve"> at para. 28, note 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350" w:rsidRPr="00000C6D" w:rsidP="00101090" w14:paraId="5DAD255D" w14:textId="442A2BD9">
    <w:pPr>
      <w:suppressAutoHyphens/>
      <w:rPr>
        <w:b/>
        <w:spacing w:val="-3"/>
        <w:szCs w:val="24"/>
      </w:rPr>
    </w:pPr>
    <w:r w:rsidRPr="00000C6D">
      <w:rPr>
        <w:b/>
        <w:spacing w:val="-3"/>
        <w:szCs w:val="24"/>
      </w:rPr>
      <w:t>OMB Control Number:  3060-0932</w:t>
    </w:r>
    <w:r w:rsidRPr="00000C6D">
      <w:rPr>
        <w:b/>
        <w:spacing w:val="-3"/>
        <w:szCs w:val="24"/>
      </w:rPr>
      <w:tab/>
    </w:r>
    <w:r w:rsidRPr="00000C6D">
      <w:rPr>
        <w:b/>
        <w:spacing w:val="-3"/>
        <w:szCs w:val="24"/>
      </w:rPr>
      <w:tab/>
    </w:r>
    <w:r w:rsidRPr="00000C6D">
      <w:rPr>
        <w:b/>
        <w:spacing w:val="-3"/>
        <w:szCs w:val="24"/>
      </w:rPr>
      <w:tab/>
    </w:r>
    <w:r w:rsidRPr="00000C6D">
      <w:rPr>
        <w:b/>
        <w:spacing w:val="-3"/>
        <w:szCs w:val="24"/>
      </w:rPr>
      <w:tab/>
    </w:r>
    <w:r w:rsidRPr="00000C6D">
      <w:rPr>
        <w:b/>
        <w:spacing w:val="-3"/>
        <w:szCs w:val="24"/>
      </w:rPr>
      <w:tab/>
      <w:t xml:space="preserve">                       </w:t>
    </w:r>
    <w:r w:rsidR="005E3FD9">
      <w:rPr>
        <w:b/>
        <w:spacing w:val="-3"/>
        <w:szCs w:val="24"/>
      </w:rPr>
      <w:t>January 2026</w:t>
    </w:r>
  </w:p>
  <w:p w:rsidR="00101090" w:rsidP="00101090" w14:paraId="567F567F" w14:textId="77777777">
    <w:pPr>
      <w:suppressAutoHyphens/>
      <w:rPr>
        <w:b/>
        <w:spacing w:val="-3"/>
        <w:szCs w:val="24"/>
      </w:rPr>
    </w:pPr>
    <w:r w:rsidRPr="00000C6D">
      <w:rPr>
        <w:b/>
        <w:spacing w:val="-3"/>
        <w:szCs w:val="24"/>
      </w:rPr>
      <w:t>Title:</w:t>
    </w:r>
    <w:r w:rsidRPr="006A2C38" w:rsidR="006A2C38">
      <w:rPr>
        <w:b/>
        <w:snapToGrid w:val="0"/>
        <w:szCs w:val="24"/>
      </w:rPr>
      <w:t xml:space="preserve"> </w:t>
    </w:r>
    <w:r w:rsidRPr="006A2C38" w:rsidR="006A2C38">
      <w:rPr>
        <w:b/>
        <w:spacing w:val="-3"/>
        <w:szCs w:val="24"/>
      </w:rPr>
      <w:t>FCC Form 2100</w:t>
    </w:r>
    <w:r w:rsidR="006A2C38">
      <w:rPr>
        <w:b/>
        <w:spacing w:val="-3"/>
        <w:szCs w:val="24"/>
      </w:rPr>
      <w:t>,</w:t>
    </w:r>
    <w:r w:rsidRPr="006A2C38" w:rsidR="006A2C38">
      <w:rPr>
        <w:b/>
        <w:spacing w:val="-3"/>
        <w:szCs w:val="24"/>
      </w:rPr>
      <w:t xml:space="preserve"> Application for Media Bureau Audio </w:t>
    </w:r>
  </w:p>
  <w:p w:rsidR="00101090" w:rsidRPr="005D08A1" w:rsidP="00101090" w14:paraId="6E262DAF" w14:textId="77777777">
    <w:pPr>
      <w:suppressAutoHyphens/>
      <w:rPr>
        <w:b/>
        <w:spacing w:val="-3"/>
        <w:szCs w:val="24"/>
      </w:rPr>
    </w:pPr>
    <w:r w:rsidRPr="006A2C38">
      <w:rPr>
        <w:b/>
        <w:spacing w:val="-3"/>
        <w:szCs w:val="24"/>
      </w:rPr>
      <w:t xml:space="preserve">and Video </w:t>
    </w:r>
    <w:r w:rsidRPr="005D08A1">
      <w:rPr>
        <w:b/>
        <w:spacing w:val="-3"/>
        <w:szCs w:val="24"/>
      </w:rPr>
      <w:t xml:space="preserve">Service Authorization, Schedule E (Former FCC </w:t>
    </w:r>
  </w:p>
  <w:p w:rsidR="00101090" w:rsidRPr="005D08A1" w:rsidP="00101090" w14:paraId="49B393D3" w14:textId="77777777">
    <w:pPr>
      <w:suppressAutoHyphens/>
      <w:rPr>
        <w:b/>
        <w:szCs w:val="24"/>
      </w:rPr>
    </w:pPr>
    <w:r w:rsidRPr="005D08A1">
      <w:rPr>
        <w:b/>
        <w:spacing w:val="-3"/>
        <w:szCs w:val="24"/>
      </w:rPr>
      <w:t>Form 301-CA)</w:t>
    </w:r>
    <w:r w:rsidRPr="005D08A1" w:rsidR="002C4350">
      <w:rPr>
        <w:b/>
        <w:szCs w:val="24"/>
      </w:rPr>
      <w:t xml:space="preserve">; </w:t>
    </w:r>
    <w:r w:rsidRPr="005D08A1" w:rsidR="0055640A">
      <w:rPr>
        <w:b/>
        <w:szCs w:val="24"/>
      </w:rPr>
      <w:t>47 CFR Sections 73.3700(b)(1)(</w:t>
    </w:r>
    <w:r w:rsidRPr="005D08A1" w:rsidR="0055640A">
      <w:rPr>
        <w:b/>
        <w:szCs w:val="24"/>
      </w:rPr>
      <w:t>i</w:t>
    </w:r>
    <w:r w:rsidRPr="005D08A1" w:rsidR="0055640A">
      <w:rPr>
        <w:b/>
        <w:szCs w:val="24"/>
      </w:rPr>
      <w:t>)</w:t>
    </w:r>
    <w:r w:rsidR="00D84DAB">
      <w:rPr>
        <w:b/>
        <w:szCs w:val="24"/>
      </w:rPr>
      <w:t>-(v) and (vii)</w:t>
    </w:r>
    <w:r w:rsidRPr="005D08A1" w:rsidR="0055640A">
      <w:rPr>
        <w:b/>
        <w:szCs w:val="24"/>
      </w:rPr>
      <w:t>,(b)(2)(</w:t>
    </w:r>
    <w:r w:rsidRPr="005D08A1" w:rsidR="0055640A">
      <w:rPr>
        <w:b/>
        <w:szCs w:val="24"/>
      </w:rPr>
      <w:t>i</w:t>
    </w:r>
    <w:r w:rsidRPr="005D08A1" w:rsidR="0055640A">
      <w:rPr>
        <w:b/>
        <w:szCs w:val="24"/>
      </w:rPr>
      <w:t xml:space="preserve">) </w:t>
    </w:r>
  </w:p>
  <w:p w:rsidR="002C4350" w:rsidRPr="00000C6D" w:rsidP="00101090" w14:paraId="093AEC3C" w14:textId="6BCA2DF3">
    <w:pPr>
      <w:suppressAutoHyphens/>
      <w:rPr>
        <w:b/>
        <w:color w:val="000000"/>
        <w:szCs w:val="24"/>
      </w:rPr>
    </w:pPr>
    <w:r w:rsidRPr="005D08A1">
      <w:rPr>
        <w:b/>
        <w:szCs w:val="24"/>
      </w:rPr>
      <w:t>and (ii)</w:t>
    </w:r>
    <w:r w:rsidRPr="005D08A1" w:rsidR="00101090">
      <w:rPr>
        <w:b/>
        <w:szCs w:val="24"/>
      </w:rPr>
      <w:t>;</w:t>
    </w:r>
    <w:r w:rsidRPr="005D08A1">
      <w:rPr>
        <w:b/>
        <w:szCs w:val="24"/>
      </w:rPr>
      <w:t xml:space="preserve"> </w:t>
    </w:r>
    <w:r w:rsidR="00ED70D5">
      <w:rPr>
        <w:b/>
        <w:szCs w:val="24"/>
      </w:rPr>
      <w:t xml:space="preserve">47 CFR Section 73.6028; </w:t>
    </w:r>
    <w:r w:rsidRPr="005D08A1">
      <w:rPr>
        <w:b/>
        <w:iCs/>
        <w:color w:val="000000"/>
        <w:szCs w:val="24"/>
      </w:rPr>
      <w:t>47 CFR Section 74.793(d)</w:t>
    </w:r>
    <w:r w:rsidR="007104AE">
      <w:rPr>
        <w:b/>
        <w:iCs/>
        <w:color w:val="000000"/>
        <w:szCs w:val="24"/>
      </w:rPr>
      <w:t>; 47 CFR Section 73.6023</w:t>
    </w:r>
  </w:p>
  <w:p w:rsidR="002C4350" w:rsidRPr="00000C6D" w14:paraId="34856076" w14:textId="77777777">
    <w:pPr>
      <w:pStyle w:val="BodyText2"/>
      <w:rPr>
        <w:b/>
        <w:szCs w:val="24"/>
      </w:rPr>
    </w:pPr>
    <w:r w:rsidRPr="00000C6D">
      <w:rPr>
        <w:b/>
        <w:szCs w:val="24"/>
      </w:rPr>
      <w:t xml:space="preserve">  </w:t>
    </w:r>
  </w:p>
  <w:p w:rsidR="002C4350" w14:paraId="7BD25E37" w14:textId="77777777">
    <w:pPr>
      <w:pStyle w:val="BodyTex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A80061"/>
    <w:multiLevelType w:val="hybridMultilevel"/>
    <w:tmpl w:val="7910EE6C"/>
    <w:lvl w:ilvl="0">
      <w:start w:val="0"/>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029061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CE"/>
    <w:rsid w:val="00000C6D"/>
    <w:rsid w:val="000265C3"/>
    <w:rsid w:val="00037A8D"/>
    <w:rsid w:val="000633FB"/>
    <w:rsid w:val="0008022B"/>
    <w:rsid w:val="00086E6B"/>
    <w:rsid w:val="0009246C"/>
    <w:rsid w:val="000A2391"/>
    <w:rsid w:val="000C26DA"/>
    <w:rsid w:val="000D02FB"/>
    <w:rsid w:val="000D5D48"/>
    <w:rsid w:val="000E789B"/>
    <w:rsid w:val="000F62B8"/>
    <w:rsid w:val="000F7117"/>
    <w:rsid w:val="000F79CB"/>
    <w:rsid w:val="00100487"/>
    <w:rsid w:val="00101090"/>
    <w:rsid w:val="00101F62"/>
    <w:rsid w:val="00130756"/>
    <w:rsid w:val="001336F0"/>
    <w:rsid w:val="00144D0A"/>
    <w:rsid w:val="00155055"/>
    <w:rsid w:val="00161917"/>
    <w:rsid w:val="00164396"/>
    <w:rsid w:val="00167298"/>
    <w:rsid w:val="00181E2D"/>
    <w:rsid w:val="00197972"/>
    <w:rsid w:val="001B1A7B"/>
    <w:rsid w:val="001B6335"/>
    <w:rsid w:val="001D1BA8"/>
    <w:rsid w:val="001D3349"/>
    <w:rsid w:val="001D559B"/>
    <w:rsid w:val="001F1925"/>
    <w:rsid w:val="0021444B"/>
    <w:rsid w:val="00225208"/>
    <w:rsid w:val="0023408C"/>
    <w:rsid w:val="00234392"/>
    <w:rsid w:val="002437BC"/>
    <w:rsid w:val="00243B40"/>
    <w:rsid w:val="00250827"/>
    <w:rsid w:val="002535DC"/>
    <w:rsid w:val="00253B90"/>
    <w:rsid w:val="002548CE"/>
    <w:rsid w:val="00256B6A"/>
    <w:rsid w:val="0026318F"/>
    <w:rsid w:val="00274DF1"/>
    <w:rsid w:val="00276372"/>
    <w:rsid w:val="00281C21"/>
    <w:rsid w:val="00293068"/>
    <w:rsid w:val="00297A3A"/>
    <w:rsid w:val="00297B9B"/>
    <w:rsid w:val="002A2946"/>
    <w:rsid w:val="002B671A"/>
    <w:rsid w:val="002C4350"/>
    <w:rsid w:val="002C728B"/>
    <w:rsid w:val="002D0B8B"/>
    <w:rsid w:val="002D1D38"/>
    <w:rsid w:val="002E2935"/>
    <w:rsid w:val="003000C1"/>
    <w:rsid w:val="003038DA"/>
    <w:rsid w:val="00312E61"/>
    <w:rsid w:val="00315E99"/>
    <w:rsid w:val="00332849"/>
    <w:rsid w:val="003475B4"/>
    <w:rsid w:val="00350438"/>
    <w:rsid w:val="003558BB"/>
    <w:rsid w:val="00360097"/>
    <w:rsid w:val="00367B46"/>
    <w:rsid w:val="00375035"/>
    <w:rsid w:val="0038091D"/>
    <w:rsid w:val="003825D0"/>
    <w:rsid w:val="00384E07"/>
    <w:rsid w:val="003868AB"/>
    <w:rsid w:val="003A44DC"/>
    <w:rsid w:val="003A68A4"/>
    <w:rsid w:val="003B2C2F"/>
    <w:rsid w:val="003B3FA6"/>
    <w:rsid w:val="003C5F07"/>
    <w:rsid w:val="003C746E"/>
    <w:rsid w:val="003D3DCA"/>
    <w:rsid w:val="003E58D6"/>
    <w:rsid w:val="003F1975"/>
    <w:rsid w:val="003F2814"/>
    <w:rsid w:val="003F33A9"/>
    <w:rsid w:val="003F4574"/>
    <w:rsid w:val="003F6BA8"/>
    <w:rsid w:val="004162C8"/>
    <w:rsid w:val="00422A3F"/>
    <w:rsid w:val="00426194"/>
    <w:rsid w:val="00427B59"/>
    <w:rsid w:val="00440E71"/>
    <w:rsid w:val="004460DA"/>
    <w:rsid w:val="00452CD2"/>
    <w:rsid w:val="00453600"/>
    <w:rsid w:val="004930FB"/>
    <w:rsid w:val="004A2928"/>
    <w:rsid w:val="004A4B11"/>
    <w:rsid w:val="004B7B46"/>
    <w:rsid w:val="004C57C9"/>
    <w:rsid w:val="004D72FA"/>
    <w:rsid w:val="004E6C24"/>
    <w:rsid w:val="004E7E59"/>
    <w:rsid w:val="004F4570"/>
    <w:rsid w:val="0050343E"/>
    <w:rsid w:val="005045D0"/>
    <w:rsid w:val="0050557E"/>
    <w:rsid w:val="00512376"/>
    <w:rsid w:val="0053069C"/>
    <w:rsid w:val="0054242B"/>
    <w:rsid w:val="005543A7"/>
    <w:rsid w:val="0055640A"/>
    <w:rsid w:val="0056723F"/>
    <w:rsid w:val="005676A4"/>
    <w:rsid w:val="0057013F"/>
    <w:rsid w:val="005722F2"/>
    <w:rsid w:val="00590D9D"/>
    <w:rsid w:val="00597A20"/>
    <w:rsid w:val="005C5196"/>
    <w:rsid w:val="005C5310"/>
    <w:rsid w:val="005D08A1"/>
    <w:rsid w:val="005E00A2"/>
    <w:rsid w:val="005E1A44"/>
    <w:rsid w:val="005E3FD9"/>
    <w:rsid w:val="00603353"/>
    <w:rsid w:val="006070CB"/>
    <w:rsid w:val="006123FF"/>
    <w:rsid w:val="006226B3"/>
    <w:rsid w:val="006273BD"/>
    <w:rsid w:val="006352F4"/>
    <w:rsid w:val="00643210"/>
    <w:rsid w:val="006564E9"/>
    <w:rsid w:val="0066353C"/>
    <w:rsid w:val="00664C80"/>
    <w:rsid w:val="006711A9"/>
    <w:rsid w:val="00682C3A"/>
    <w:rsid w:val="00683567"/>
    <w:rsid w:val="00684DE3"/>
    <w:rsid w:val="006850C9"/>
    <w:rsid w:val="006867E6"/>
    <w:rsid w:val="006A2C38"/>
    <w:rsid w:val="006C0971"/>
    <w:rsid w:val="006D39F6"/>
    <w:rsid w:val="006D69EA"/>
    <w:rsid w:val="006F0F67"/>
    <w:rsid w:val="0070010A"/>
    <w:rsid w:val="00704FCA"/>
    <w:rsid w:val="007104AE"/>
    <w:rsid w:val="007231F4"/>
    <w:rsid w:val="00726CA6"/>
    <w:rsid w:val="0074310A"/>
    <w:rsid w:val="0074727A"/>
    <w:rsid w:val="007541EC"/>
    <w:rsid w:val="00770A60"/>
    <w:rsid w:val="0077134B"/>
    <w:rsid w:val="00771C6F"/>
    <w:rsid w:val="007762CB"/>
    <w:rsid w:val="00787483"/>
    <w:rsid w:val="00796CAD"/>
    <w:rsid w:val="007A472D"/>
    <w:rsid w:val="007C0508"/>
    <w:rsid w:val="007C3956"/>
    <w:rsid w:val="007D417D"/>
    <w:rsid w:val="007D4973"/>
    <w:rsid w:val="007D6B6A"/>
    <w:rsid w:val="007E0357"/>
    <w:rsid w:val="007E1FE3"/>
    <w:rsid w:val="007E3BB6"/>
    <w:rsid w:val="007E60D9"/>
    <w:rsid w:val="007E6A69"/>
    <w:rsid w:val="007F1C26"/>
    <w:rsid w:val="00810EDD"/>
    <w:rsid w:val="00814B61"/>
    <w:rsid w:val="00815A08"/>
    <w:rsid w:val="00832B71"/>
    <w:rsid w:val="00846F56"/>
    <w:rsid w:val="00856077"/>
    <w:rsid w:val="00887CB1"/>
    <w:rsid w:val="00890242"/>
    <w:rsid w:val="008906DC"/>
    <w:rsid w:val="00895064"/>
    <w:rsid w:val="008B289A"/>
    <w:rsid w:val="008B55B9"/>
    <w:rsid w:val="008B766B"/>
    <w:rsid w:val="008B7748"/>
    <w:rsid w:val="008B79D4"/>
    <w:rsid w:val="008D10B3"/>
    <w:rsid w:val="008D2631"/>
    <w:rsid w:val="008D4007"/>
    <w:rsid w:val="008F4343"/>
    <w:rsid w:val="0090320D"/>
    <w:rsid w:val="00904A00"/>
    <w:rsid w:val="0091636F"/>
    <w:rsid w:val="00926225"/>
    <w:rsid w:val="009352C9"/>
    <w:rsid w:val="00946F7E"/>
    <w:rsid w:val="00947808"/>
    <w:rsid w:val="00965ED8"/>
    <w:rsid w:val="00984961"/>
    <w:rsid w:val="009902B9"/>
    <w:rsid w:val="00995226"/>
    <w:rsid w:val="00997495"/>
    <w:rsid w:val="009A5D42"/>
    <w:rsid w:val="009B1A18"/>
    <w:rsid w:val="009B2469"/>
    <w:rsid w:val="009B6EAB"/>
    <w:rsid w:val="009B73B2"/>
    <w:rsid w:val="009B7A04"/>
    <w:rsid w:val="009C7D0F"/>
    <w:rsid w:val="009D2E9F"/>
    <w:rsid w:val="009E146C"/>
    <w:rsid w:val="009F2AD1"/>
    <w:rsid w:val="009F32ED"/>
    <w:rsid w:val="00A2245F"/>
    <w:rsid w:val="00A22C1C"/>
    <w:rsid w:val="00A231CF"/>
    <w:rsid w:val="00A31529"/>
    <w:rsid w:val="00A350D7"/>
    <w:rsid w:val="00A476BD"/>
    <w:rsid w:val="00A56A45"/>
    <w:rsid w:val="00A62AD7"/>
    <w:rsid w:val="00A62FC6"/>
    <w:rsid w:val="00A763EA"/>
    <w:rsid w:val="00A845DA"/>
    <w:rsid w:val="00A84715"/>
    <w:rsid w:val="00A917E9"/>
    <w:rsid w:val="00A941D1"/>
    <w:rsid w:val="00A95FC6"/>
    <w:rsid w:val="00A97278"/>
    <w:rsid w:val="00A972B3"/>
    <w:rsid w:val="00AA0640"/>
    <w:rsid w:val="00AA47BF"/>
    <w:rsid w:val="00AB1A59"/>
    <w:rsid w:val="00AB1AAC"/>
    <w:rsid w:val="00AB3DC8"/>
    <w:rsid w:val="00B01BE6"/>
    <w:rsid w:val="00B02C2D"/>
    <w:rsid w:val="00B05BC2"/>
    <w:rsid w:val="00B16FBD"/>
    <w:rsid w:val="00B348C3"/>
    <w:rsid w:val="00B50FF6"/>
    <w:rsid w:val="00B5355F"/>
    <w:rsid w:val="00B551BC"/>
    <w:rsid w:val="00B611C6"/>
    <w:rsid w:val="00B6668A"/>
    <w:rsid w:val="00B943E4"/>
    <w:rsid w:val="00B96714"/>
    <w:rsid w:val="00B973A5"/>
    <w:rsid w:val="00BA087F"/>
    <w:rsid w:val="00BA584F"/>
    <w:rsid w:val="00BA70B9"/>
    <w:rsid w:val="00BB7BB9"/>
    <w:rsid w:val="00BC4573"/>
    <w:rsid w:val="00BC5123"/>
    <w:rsid w:val="00BD529C"/>
    <w:rsid w:val="00BE0548"/>
    <w:rsid w:val="00C027A3"/>
    <w:rsid w:val="00C1017D"/>
    <w:rsid w:val="00C140B7"/>
    <w:rsid w:val="00C25686"/>
    <w:rsid w:val="00C328AB"/>
    <w:rsid w:val="00C4121D"/>
    <w:rsid w:val="00C57428"/>
    <w:rsid w:val="00C60BF7"/>
    <w:rsid w:val="00C7191F"/>
    <w:rsid w:val="00C767B0"/>
    <w:rsid w:val="00C8137C"/>
    <w:rsid w:val="00CA0DF1"/>
    <w:rsid w:val="00CA4CC7"/>
    <w:rsid w:val="00CC043D"/>
    <w:rsid w:val="00CC5939"/>
    <w:rsid w:val="00CD49BE"/>
    <w:rsid w:val="00CF6001"/>
    <w:rsid w:val="00CF6759"/>
    <w:rsid w:val="00D01599"/>
    <w:rsid w:val="00D34DFB"/>
    <w:rsid w:val="00D34E62"/>
    <w:rsid w:val="00D35DD9"/>
    <w:rsid w:val="00D40E49"/>
    <w:rsid w:val="00D4362E"/>
    <w:rsid w:val="00D4398E"/>
    <w:rsid w:val="00D465D5"/>
    <w:rsid w:val="00D55BA8"/>
    <w:rsid w:val="00D67F0B"/>
    <w:rsid w:val="00D84DAB"/>
    <w:rsid w:val="00D90EB7"/>
    <w:rsid w:val="00D953C6"/>
    <w:rsid w:val="00DA41C3"/>
    <w:rsid w:val="00DA42E5"/>
    <w:rsid w:val="00DC7062"/>
    <w:rsid w:val="00DD6CE4"/>
    <w:rsid w:val="00DF674B"/>
    <w:rsid w:val="00E21600"/>
    <w:rsid w:val="00E27BD3"/>
    <w:rsid w:val="00E509B0"/>
    <w:rsid w:val="00E76CB8"/>
    <w:rsid w:val="00E8318E"/>
    <w:rsid w:val="00E94345"/>
    <w:rsid w:val="00E97D87"/>
    <w:rsid w:val="00EB06D6"/>
    <w:rsid w:val="00EB2A1C"/>
    <w:rsid w:val="00EB3FE9"/>
    <w:rsid w:val="00EC19EC"/>
    <w:rsid w:val="00ED70D5"/>
    <w:rsid w:val="00EE5183"/>
    <w:rsid w:val="00EF0779"/>
    <w:rsid w:val="00F10607"/>
    <w:rsid w:val="00F1538B"/>
    <w:rsid w:val="00F16981"/>
    <w:rsid w:val="00F1700F"/>
    <w:rsid w:val="00F23C88"/>
    <w:rsid w:val="00F27DA7"/>
    <w:rsid w:val="00F30AB3"/>
    <w:rsid w:val="00F343D4"/>
    <w:rsid w:val="00F37967"/>
    <w:rsid w:val="00F37D81"/>
    <w:rsid w:val="00F43707"/>
    <w:rsid w:val="00F44092"/>
    <w:rsid w:val="00F454DE"/>
    <w:rsid w:val="00F574D7"/>
    <w:rsid w:val="00F854FD"/>
    <w:rsid w:val="00F86DCD"/>
    <w:rsid w:val="00F93427"/>
    <w:rsid w:val="00F93836"/>
    <w:rsid w:val="00F9696A"/>
    <w:rsid w:val="00F97C94"/>
    <w:rsid w:val="00FA3EB5"/>
    <w:rsid w:val="00FA57F9"/>
    <w:rsid w:val="00FB10F4"/>
    <w:rsid w:val="00FB6357"/>
    <w:rsid w:val="00FF7A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03102F"/>
  <w15:chartTrackingRefBased/>
  <w15:docId w15:val="{294721A6-C6AF-4CFE-94D1-DEA4A79C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7C94"/>
    <w:rPr>
      <w:sz w:val="24"/>
    </w:rPr>
  </w:style>
  <w:style w:type="paragraph" w:styleId="Heading1">
    <w:name w:val="heading 1"/>
    <w:basedOn w:val="Normal"/>
    <w:next w:val="Normal"/>
    <w:link w:val="Heading1Char"/>
    <w:qFormat/>
    <w:rsid w:val="00BE0548"/>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widowControl w:val="0"/>
      <w:tabs>
        <w:tab w:val="left" w:pos="-1440"/>
        <w:tab w:val="left" w:pos="-720"/>
        <w:tab w:val="left" w:pos="0"/>
        <w:tab w:val="left" w:pos="360"/>
        <w:tab w:val="left" w:pos="1080"/>
        <w:tab w:val="left" w:pos="1350"/>
        <w:tab w:val="left" w:pos="2160"/>
      </w:tabs>
      <w:suppressAutoHyphens/>
      <w:ind w:left="360"/>
      <w:jc w:val="both"/>
    </w:pPr>
    <w:rPr>
      <w:snapToGrid w:val="0"/>
      <w:spacing w:val="-2"/>
    </w:rPr>
  </w:style>
  <w:style w:type="paragraph" w:styleId="BodyText">
    <w:name w:val="Body Text"/>
    <w:basedOn w:val="Normal"/>
    <w:pPr>
      <w:suppressAutoHyphens/>
      <w:jc w:val="both"/>
    </w:pPr>
  </w:style>
  <w:style w:type="paragraph" w:styleId="BodyText2">
    <w:name w:val="Body Text 2"/>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548CE"/>
    <w:rPr>
      <w:rFonts w:ascii="Tahoma" w:hAnsi="Tahoma" w:cs="Tahoma"/>
      <w:sz w:val="16"/>
      <w:szCs w:val="16"/>
    </w:rPr>
  </w:style>
  <w:style w:type="paragraph" w:styleId="FootnoteText">
    <w:name w:val="footnote text"/>
    <w:aliases w:val="Footnote Text Char,Footnote Text Char Char1 Char,Footnote Text Char Char1 Char Char Char,Footnote Text Char2,Footnote Text Char2 Char,Footnote Text Char2 Char Char1 Char Char Char,Footnote Text Char3 Char Char1 Char,Footnote Text Char4,f"/>
    <w:basedOn w:val="Normal"/>
    <w:link w:val="FootnoteTextChar1"/>
    <w:semiHidden/>
    <w:rsid w:val="009C7D0F"/>
  </w:style>
  <w:style w:type="character" w:styleId="FootnoteReference">
    <w:name w:val="footnote reference"/>
    <w:aliases w:val="(NECG) Footnote Reference,Appel note de bas de p,Style 124,fr,o"/>
    <w:semiHidden/>
    <w:rsid w:val="000F62B8"/>
    <w:rPr>
      <w:vertAlign w:val="superscript"/>
    </w:rPr>
  </w:style>
  <w:style w:type="character" w:customStyle="1" w:styleId="FootnoteTextChar1">
    <w:name w:val="Footnote Text Char1"/>
    <w:aliases w:val="Footnote Text Char Char,Footnote Text Char Char1 Char Char,Footnote Text Char Char1 Char Char Char Char,Footnote Text Char2 Char Char,Footnote Text Char2 Char Char1 Char Char Char Char,Footnote Text Char2 Char1,f Char"/>
    <w:link w:val="FootnoteText"/>
    <w:rsid w:val="00453600"/>
    <w:rPr>
      <w:lang w:val="en-US" w:eastAsia="en-US" w:bidi="ar-SA"/>
    </w:rPr>
  </w:style>
  <w:style w:type="character" w:styleId="CommentReference">
    <w:name w:val="annotation reference"/>
    <w:rsid w:val="00CA0DF1"/>
    <w:rPr>
      <w:sz w:val="16"/>
      <w:szCs w:val="16"/>
    </w:rPr>
  </w:style>
  <w:style w:type="paragraph" w:styleId="CommentText">
    <w:name w:val="annotation text"/>
    <w:basedOn w:val="Normal"/>
    <w:link w:val="CommentTextChar"/>
    <w:rsid w:val="00CA0DF1"/>
  </w:style>
  <w:style w:type="character" w:customStyle="1" w:styleId="CommentTextChar">
    <w:name w:val="Comment Text Char"/>
    <w:basedOn w:val="DefaultParagraphFont"/>
    <w:link w:val="CommentText"/>
    <w:rsid w:val="00CA0DF1"/>
  </w:style>
  <w:style w:type="paragraph" w:styleId="CommentSubject">
    <w:name w:val="annotation subject"/>
    <w:basedOn w:val="CommentText"/>
    <w:next w:val="CommentText"/>
    <w:link w:val="CommentSubjectChar"/>
    <w:rsid w:val="00CA0DF1"/>
    <w:rPr>
      <w:b/>
      <w:bCs/>
    </w:rPr>
  </w:style>
  <w:style w:type="character" w:customStyle="1" w:styleId="CommentSubjectChar">
    <w:name w:val="Comment Subject Char"/>
    <w:link w:val="CommentSubject"/>
    <w:rsid w:val="00CA0DF1"/>
    <w:rPr>
      <w:b/>
      <w:bCs/>
    </w:rPr>
  </w:style>
  <w:style w:type="character" w:customStyle="1" w:styleId="Heading1Char">
    <w:name w:val="Heading 1 Char"/>
    <w:link w:val="Heading1"/>
    <w:rsid w:val="00BE0548"/>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807F5-38AC-41D9-8557-6A76D56D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2422</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The FCC 301-CA is to be used in all cases by a Class A television station  licensee to make changes in the authorized facilities of such station</vt:lpstr>
    </vt:vector>
  </TitlesOfParts>
  <Company>FCC</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FCC 301-CA is to be used in all cases by a Class A television station  licensee to make changes in the authorized facilities of such station</dc:title>
  <dc:creator>JSWANK</dc:creator>
  <cp:lastModifiedBy>Cathy Williams</cp:lastModifiedBy>
  <cp:revision>3</cp:revision>
  <cp:lastPrinted>2016-01-19T19:27:00Z</cp:lastPrinted>
  <dcterms:created xsi:type="dcterms:W3CDTF">2025-11-24T15:50:00Z</dcterms:created>
  <dcterms:modified xsi:type="dcterms:W3CDTF">2026-02-03T13:24:00Z</dcterms:modified>
</cp:coreProperties>
</file>