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445BA" w:rsidP="006445BA" w14:paraId="140E677E" w14:textId="77777777">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537CB" w:rsidRPr="00B81310" w:rsidP="00B537CB" w14:paraId="07A50A71" w14:textId="77777777">
      <w:pPr>
        <w:jc w:val="center"/>
        <w:rPr>
          <w:sz w:val="22"/>
          <w:szCs w:val="22"/>
        </w:rPr>
      </w:pPr>
      <w:r w:rsidRPr="00B81310">
        <w:rPr>
          <w:sz w:val="22"/>
          <w:szCs w:val="22"/>
        </w:rPr>
        <w:t>SUPPORTING STATEMENT</w:t>
      </w:r>
    </w:p>
    <w:p w:rsidR="00B537CB" w:rsidRPr="00B81310" w:rsidP="00B537CB" w14:paraId="618E5755" w14:textId="77777777">
      <w:pPr>
        <w:rPr>
          <w:sz w:val="22"/>
          <w:szCs w:val="22"/>
        </w:rPr>
      </w:pPr>
    </w:p>
    <w:p w:rsidR="00B537CB" w:rsidP="00B537CB" w14:paraId="2CB94041" w14:textId="14553BB3">
      <w:pPr>
        <w:rPr>
          <w:sz w:val="22"/>
          <w:szCs w:val="22"/>
        </w:rPr>
      </w:pPr>
      <w:r w:rsidRPr="00B81310">
        <w:rPr>
          <w:spacing w:val="-3"/>
          <w:sz w:val="22"/>
          <w:szCs w:val="22"/>
        </w:rPr>
        <w:t>This</w:t>
      </w:r>
      <w:r w:rsidR="00D35A31">
        <w:rPr>
          <w:spacing w:val="-3"/>
          <w:sz w:val="22"/>
          <w:szCs w:val="22"/>
        </w:rPr>
        <w:t xml:space="preserve"> </w:t>
      </w:r>
      <w:r w:rsidR="00FC3BA9">
        <w:rPr>
          <w:spacing w:val="-3"/>
          <w:sz w:val="22"/>
          <w:szCs w:val="22"/>
        </w:rPr>
        <w:t>submission is being made pursuant to 44 U.S.C</w:t>
      </w:r>
      <w:r w:rsidR="00282419">
        <w:rPr>
          <w:spacing w:val="-3"/>
          <w:sz w:val="22"/>
          <w:szCs w:val="22"/>
        </w:rPr>
        <w:t>.</w:t>
      </w:r>
      <w:r w:rsidRPr="00B81310" w:rsidR="00282419">
        <w:rPr>
          <w:sz w:val="22"/>
          <w:szCs w:val="22"/>
        </w:rPr>
        <w:t xml:space="preserve"> §</w:t>
      </w:r>
      <w:r w:rsidRPr="00B81310" w:rsidR="00FC3BA9">
        <w:rPr>
          <w:sz w:val="22"/>
          <w:szCs w:val="22"/>
        </w:rPr>
        <w:t xml:space="preserve"> </w:t>
      </w:r>
      <w:r w:rsidR="00FC3BA9">
        <w:rPr>
          <w:sz w:val="22"/>
          <w:szCs w:val="22"/>
        </w:rPr>
        <w:t>3507 of the Paperwork Reduction Act of</w:t>
      </w:r>
      <w:r w:rsidR="00AA555D">
        <w:rPr>
          <w:sz w:val="22"/>
          <w:szCs w:val="22"/>
        </w:rPr>
        <w:t xml:space="preserve"> 1995 to </w:t>
      </w:r>
      <w:r w:rsidR="00AC79C3">
        <w:rPr>
          <w:sz w:val="22"/>
          <w:szCs w:val="22"/>
        </w:rPr>
        <w:t xml:space="preserve">extend </w:t>
      </w:r>
      <w:r w:rsidR="00AA555D">
        <w:rPr>
          <w:sz w:val="22"/>
          <w:szCs w:val="22"/>
        </w:rPr>
        <w:t>the existing approval and obtain the full three-year clearance.</w:t>
      </w:r>
      <w:r w:rsidR="00CC2AB2">
        <w:rPr>
          <w:sz w:val="22"/>
          <w:szCs w:val="22"/>
        </w:rPr>
        <w:t xml:space="preserve">  </w:t>
      </w:r>
    </w:p>
    <w:p w:rsidR="00A6721C" w:rsidRPr="00B81310" w:rsidP="00B537CB" w14:paraId="59E2D86D" w14:textId="77777777">
      <w:pPr>
        <w:rPr>
          <w:sz w:val="22"/>
          <w:szCs w:val="22"/>
          <w:u w:val="single"/>
        </w:rPr>
      </w:pPr>
    </w:p>
    <w:p w:rsidR="00B537CB" w:rsidRPr="00B81310" w:rsidP="00B537CB" w14:paraId="6E95AD21" w14:textId="77777777">
      <w:pPr>
        <w:rPr>
          <w:sz w:val="22"/>
          <w:szCs w:val="22"/>
          <w:u w:val="single"/>
        </w:rPr>
      </w:pPr>
      <w:r w:rsidRPr="00B81310">
        <w:rPr>
          <w:sz w:val="22"/>
          <w:szCs w:val="22"/>
        </w:rPr>
        <w:t xml:space="preserve">A.   </w:t>
      </w:r>
      <w:r w:rsidRPr="00B81310">
        <w:rPr>
          <w:b/>
          <w:sz w:val="22"/>
          <w:szCs w:val="22"/>
          <w:u w:val="single"/>
        </w:rPr>
        <w:t>Justification:</w:t>
      </w:r>
    </w:p>
    <w:p w:rsidR="00B537CB" w:rsidRPr="00B81310" w:rsidP="00B537CB" w14:paraId="7F1FBB87" w14:textId="77777777">
      <w:pPr>
        <w:rPr>
          <w:sz w:val="22"/>
          <w:szCs w:val="22"/>
          <w:u w:val="single"/>
        </w:rPr>
      </w:pPr>
    </w:p>
    <w:p w:rsidR="00B537CB" w:rsidRPr="00B81310" w:rsidP="00B537CB" w14:paraId="7F6A23A6" w14:textId="77777777">
      <w:pPr>
        <w:rPr>
          <w:sz w:val="22"/>
          <w:szCs w:val="22"/>
        </w:rPr>
      </w:pPr>
      <w:r w:rsidRPr="00B81310">
        <w:rPr>
          <w:sz w:val="22"/>
          <w:szCs w:val="22"/>
        </w:rPr>
        <w:t>1.</w:t>
      </w:r>
      <w:r w:rsidRPr="00B81310">
        <w:rPr>
          <w:sz w:val="22"/>
          <w:szCs w:val="22"/>
        </w:rPr>
        <w:tab/>
        <w:t>Sections 201, 202, and 203 of the Communications Act of 1934, as amended, require common carriers to establish just and reasonable charges, practices</w:t>
      </w:r>
      <w:r w:rsidR="005C1FF6">
        <w:rPr>
          <w:sz w:val="22"/>
          <w:szCs w:val="22"/>
        </w:rPr>
        <w:t>,</w:t>
      </w:r>
      <w:r w:rsidRPr="00B81310">
        <w:rPr>
          <w:sz w:val="22"/>
          <w:szCs w:val="22"/>
        </w:rPr>
        <w:t xml:space="preserve"> and regulations for their interstate telecommunications services.  See 47 U.S.C. Sections 201, 202</w:t>
      </w:r>
      <w:r w:rsidR="005C1FF6">
        <w:rPr>
          <w:sz w:val="22"/>
          <w:szCs w:val="22"/>
        </w:rPr>
        <w:t>,</w:t>
      </w:r>
      <w:r w:rsidRPr="00B81310">
        <w:rPr>
          <w:sz w:val="22"/>
          <w:szCs w:val="22"/>
        </w:rPr>
        <w:t xml:space="preserve"> and 203.  Section 251(b)(5) of the Communications Act of 1934, as amended, 47 U.S.C. §§ 251(b)(5), requires local exchange carriers to establish reciprocal compensation arrangements for the transport and termination of telecommunications.</w:t>
      </w:r>
    </w:p>
    <w:p w:rsidR="00B537CB" w:rsidRPr="00B81310" w:rsidP="00B537CB" w14:paraId="25E69004" w14:textId="77777777">
      <w:pPr>
        <w:rPr>
          <w:sz w:val="22"/>
          <w:szCs w:val="22"/>
        </w:rPr>
      </w:pPr>
    </w:p>
    <w:p w:rsidR="00B537CB" w:rsidRPr="00B81310" w:rsidP="00B537CB" w14:paraId="192FB4E9" w14:textId="77777777">
      <w:pPr>
        <w:ind w:firstLine="720"/>
        <w:rPr>
          <w:sz w:val="22"/>
          <w:szCs w:val="22"/>
        </w:rPr>
      </w:pPr>
      <w:r w:rsidRPr="00B81310">
        <w:rPr>
          <w:sz w:val="22"/>
          <w:szCs w:val="22"/>
        </w:rPr>
        <w:t>For services that are still covered under Section 203, tariff schedules containing charges, rates</w:t>
      </w:r>
      <w:r w:rsidR="00A242FD">
        <w:rPr>
          <w:sz w:val="22"/>
          <w:szCs w:val="22"/>
        </w:rPr>
        <w:t>,</w:t>
      </w:r>
      <w:r w:rsidRPr="00B81310">
        <w:rPr>
          <w:sz w:val="22"/>
          <w:szCs w:val="22"/>
        </w:rPr>
        <w:t xml:space="preserve"> rules, and regulations must be filed with the FCC.  If the FCC takes no action within the notice period, then the filing becomes effective.  The Commission is granted broad authority to require the submission of data showing the value of the property used to provide these services, some of which are automatically required by its rules and some of which can be required through individual requests.  All filings that become effective are considered legal but only those filed pursuant to Section 204(a)(3) of the Act are deemed lawful.   </w:t>
      </w:r>
    </w:p>
    <w:p w:rsidR="00B537CB" w:rsidRPr="00B81310" w:rsidP="00B537CB" w14:paraId="563BFEBF" w14:textId="77777777">
      <w:pPr>
        <w:rPr>
          <w:sz w:val="22"/>
          <w:szCs w:val="22"/>
        </w:rPr>
      </w:pPr>
    </w:p>
    <w:p w:rsidR="00B537CB" w:rsidRPr="00B81310" w:rsidP="00B537CB" w14:paraId="56A8D6C1" w14:textId="77777777">
      <w:pPr>
        <w:ind w:firstLine="720"/>
        <w:rPr>
          <w:sz w:val="22"/>
          <w:szCs w:val="22"/>
        </w:rPr>
      </w:pPr>
      <w:r w:rsidRPr="00B81310">
        <w:rPr>
          <w:sz w:val="22"/>
          <w:szCs w:val="22"/>
        </w:rPr>
        <w:t xml:space="preserve">For services that are detariffed, no tariffs are filed at the FCC and determination of reasonableness and any unreasonable discrimination is generally performed through the complaint process. </w:t>
      </w:r>
    </w:p>
    <w:p w:rsidR="00B537CB" w:rsidRPr="00B81310" w:rsidP="00B537CB" w14:paraId="26437D23" w14:textId="77777777">
      <w:pPr>
        <w:ind w:left="360"/>
        <w:rPr>
          <w:sz w:val="22"/>
          <w:szCs w:val="22"/>
        </w:rPr>
      </w:pPr>
    </w:p>
    <w:p w:rsidR="00B537CB" w:rsidRPr="00B81310" w:rsidP="00B537CB" w14:paraId="06246516" w14:textId="77777777">
      <w:pPr>
        <w:ind w:firstLine="720"/>
        <w:rPr>
          <w:sz w:val="22"/>
          <w:szCs w:val="22"/>
        </w:rPr>
      </w:pPr>
      <w:r w:rsidRPr="00B81310">
        <w:rPr>
          <w:sz w:val="22"/>
          <w:szCs w:val="22"/>
        </w:rPr>
        <w:t xml:space="preserve">Pursuant to its statutory mandate to assure just, reasonable, and </w:t>
      </w:r>
      <w:r w:rsidR="005C1FF6">
        <w:rPr>
          <w:sz w:val="22"/>
          <w:szCs w:val="22"/>
        </w:rPr>
        <w:t xml:space="preserve">not unreasonably </w:t>
      </w:r>
      <w:r w:rsidRPr="00B81310">
        <w:rPr>
          <w:sz w:val="22"/>
          <w:szCs w:val="22"/>
        </w:rPr>
        <w:t xml:space="preserve">discriminatory charges for interstate telecommunications services, the FCC has adopted specific rules, applicable to incumbent local exchange carriers (ILECs), regarding the development of rates, terms and conditions for interstate access and end user services.  </w:t>
      </w:r>
      <w:r w:rsidRPr="00A242FD">
        <w:rPr>
          <w:i/>
          <w:sz w:val="22"/>
          <w:szCs w:val="22"/>
        </w:rPr>
        <w:t>See</w:t>
      </w:r>
      <w:r w:rsidRPr="00B81310">
        <w:rPr>
          <w:sz w:val="22"/>
          <w:szCs w:val="22"/>
        </w:rPr>
        <w:t xml:space="preserve"> 47 C.F.R. Parts 61 and 69.  Competitive local exchange carriers </w:t>
      </w:r>
      <w:r w:rsidR="00A242FD">
        <w:rPr>
          <w:sz w:val="22"/>
          <w:szCs w:val="22"/>
        </w:rPr>
        <w:t xml:space="preserve">(CLECs) </w:t>
      </w:r>
      <w:r w:rsidRPr="00B81310">
        <w:rPr>
          <w:sz w:val="22"/>
          <w:szCs w:val="22"/>
        </w:rPr>
        <w:t>are not subject to Part 69.</w:t>
      </w:r>
    </w:p>
    <w:p w:rsidR="00B537CB" w:rsidRPr="00B81310" w:rsidP="00B537CB" w14:paraId="3D46A767" w14:textId="77777777">
      <w:pPr>
        <w:rPr>
          <w:sz w:val="22"/>
          <w:szCs w:val="22"/>
        </w:rPr>
      </w:pPr>
    </w:p>
    <w:p w:rsidR="00B537CB" w:rsidRPr="00B81310" w:rsidP="00B537CB" w14:paraId="5A90ECEA" w14:textId="77777777">
      <w:pPr>
        <w:rPr>
          <w:sz w:val="22"/>
          <w:szCs w:val="22"/>
        </w:rPr>
      </w:pPr>
      <w:r w:rsidRPr="00B81310">
        <w:rPr>
          <w:sz w:val="22"/>
          <w:szCs w:val="22"/>
        </w:rPr>
        <w:tab/>
        <w:t>ILECs can make a voluntary tariff filing at any</w:t>
      </w:r>
      <w:r w:rsidR="00353211">
        <w:rPr>
          <w:sz w:val="22"/>
          <w:szCs w:val="22"/>
        </w:rPr>
        <w:t xml:space="preserve"> t</w:t>
      </w:r>
      <w:r w:rsidRPr="00B81310">
        <w:rPr>
          <w:sz w:val="22"/>
          <w:szCs w:val="22"/>
        </w:rPr>
        <w:t xml:space="preserve">ime, but are required to update rates annually or biennially.  </w:t>
      </w:r>
      <w:r w:rsidRPr="00C07E16">
        <w:rPr>
          <w:i/>
          <w:sz w:val="22"/>
          <w:szCs w:val="22"/>
        </w:rPr>
        <w:t>See</w:t>
      </w:r>
      <w:r w:rsidRPr="00B81310">
        <w:rPr>
          <w:sz w:val="22"/>
          <w:szCs w:val="22"/>
        </w:rPr>
        <w:t xml:space="preserve"> 47 C.F.R. Section 69.3.  To minimize the regulatory burden on reporting ILECs, as well as reviewers, the Commission has undertaken many reforms as described in the following paragraphs. </w:t>
      </w:r>
    </w:p>
    <w:p w:rsidR="00B537CB" w:rsidRPr="00B81310" w:rsidP="00B537CB" w14:paraId="04DDA654" w14:textId="77777777">
      <w:pPr>
        <w:rPr>
          <w:sz w:val="22"/>
          <w:szCs w:val="22"/>
        </w:rPr>
      </w:pPr>
    </w:p>
    <w:p w:rsidR="00B537CB" w:rsidRPr="00B81310" w:rsidP="00B537CB" w14:paraId="46428569" w14:textId="77777777">
      <w:pPr>
        <w:ind w:firstLine="720"/>
        <w:rPr>
          <w:sz w:val="22"/>
          <w:szCs w:val="22"/>
        </w:rPr>
      </w:pPr>
      <w:r w:rsidRPr="00B81310">
        <w:rPr>
          <w:sz w:val="22"/>
          <w:szCs w:val="22"/>
        </w:rPr>
        <w:t>The Commission has developed standard</w:t>
      </w:r>
      <w:r w:rsidR="00C07E16">
        <w:rPr>
          <w:sz w:val="22"/>
          <w:szCs w:val="22"/>
        </w:rPr>
        <w:t>ized Tariff Review Plans (TRPs) that</w:t>
      </w:r>
      <w:r w:rsidRPr="00B81310">
        <w:rPr>
          <w:sz w:val="22"/>
          <w:szCs w:val="22"/>
        </w:rPr>
        <w:t xml:space="preserve"> set forth the summary material ILECs file to support revisions to the rates in their interstate access service tariffs.  The TRPs display basic data on rate development in a consistent manner, thereby facilitating review of the ILEC rate revisions by the Commission and interested parties.  The TRPs have served t</w:t>
      </w:r>
      <w:r w:rsidR="0091348F">
        <w:rPr>
          <w:sz w:val="22"/>
          <w:szCs w:val="22"/>
        </w:rPr>
        <w:t xml:space="preserve">his purpose effectively in past </w:t>
      </w:r>
      <w:r w:rsidRPr="00B81310">
        <w:rPr>
          <w:sz w:val="22"/>
          <w:szCs w:val="22"/>
        </w:rPr>
        <w:t xml:space="preserve">years.  </w:t>
      </w:r>
    </w:p>
    <w:p w:rsidR="00B537CB" w:rsidRPr="00B81310" w:rsidP="00B537CB" w14:paraId="0104DD06" w14:textId="77777777">
      <w:pPr>
        <w:rPr>
          <w:sz w:val="22"/>
          <w:szCs w:val="22"/>
        </w:rPr>
      </w:pPr>
    </w:p>
    <w:p w:rsidR="00B537CB" w:rsidP="00B537CB" w14:paraId="329FD46C" w14:textId="77777777">
      <w:pPr>
        <w:ind w:firstLine="720"/>
        <w:rPr>
          <w:sz w:val="22"/>
          <w:szCs w:val="22"/>
        </w:rPr>
      </w:pPr>
      <w:r w:rsidRPr="00B81310">
        <w:rPr>
          <w:sz w:val="22"/>
          <w:szCs w:val="22"/>
        </w:rPr>
        <w:t>Incentive-based regulation (price caps) was developed by the Commission to simplify the process of determining the re</w:t>
      </w:r>
      <w:r w:rsidR="009C41FE">
        <w:rPr>
          <w:sz w:val="22"/>
          <w:szCs w:val="22"/>
        </w:rPr>
        <w:t xml:space="preserve">asonableness of rates or rate </w:t>
      </w:r>
      <w:r w:rsidRPr="00B81310">
        <w:rPr>
          <w:sz w:val="22"/>
          <w:szCs w:val="22"/>
        </w:rPr>
        <w:t>structures for those ILECs subject to price caps.</w:t>
      </w:r>
      <w:r w:rsidR="009F30E4">
        <w:rPr>
          <w:sz w:val="22"/>
          <w:szCs w:val="22"/>
        </w:rPr>
        <w:t xml:space="preserve">  </w:t>
      </w:r>
      <w:r w:rsidRPr="00B81310">
        <w:rPr>
          <w:sz w:val="22"/>
          <w:szCs w:val="22"/>
        </w:rPr>
        <w:t xml:space="preserve">ILECs having 50,000 or fewer access lines do not have to file any supporting material unless requested to do so.  </w:t>
      </w:r>
    </w:p>
    <w:p w:rsidR="009761B1" w:rsidP="00B537CB" w14:paraId="38A4F147" w14:textId="77777777">
      <w:pPr>
        <w:ind w:firstLine="720"/>
        <w:rPr>
          <w:sz w:val="22"/>
          <w:szCs w:val="22"/>
        </w:rPr>
      </w:pPr>
    </w:p>
    <w:p w:rsidR="009761B1" w:rsidP="009761B1" w14:paraId="2AC8FF0F" w14:textId="77777777">
      <w:pPr>
        <w:ind w:firstLine="720"/>
        <w:rPr>
          <w:sz w:val="22"/>
          <w:szCs w:val="22"/>
        </w:rPr>
      </w:pPr>
    </w:p>
    <w:p w:rsidR="009761B1" w:rsidRPr="00B81310" w:rsidP="009761B1" w14:paraId="7BED9E8A" w14:textId="77777777">
      <w:pPr>
        <w:ind w:firstLine="720"/>
        <w:rPr>
          <w:sz w:val="22"/>
          <w:szCs w:val="22"/>
        </w:rPr>
      </w:pPr>
    </w:p>
    <w:p w:rsidR="005C1FF6" w:rsidP="00D57071" w14:paraId="65E807E5" w14:textId="77777777">
      <w:pPr>
        <w:ind w:firstLine="720"/>
      </w:pPr>
      <w:r w:rsidRPr="00B81310">
        <w:rPr>
          <w:sz w:val="22"/>
          <w:szCs w:val="22"/>
        </w:rPr>
        <w:t>Through forbearance, the Commission has allowed those ILECs whose</w:t>
      </w:r>
      <w:r w:rsidR="009B23F6">
        <w:rPr>
          <w:sz w:val="22"/>
          <w:szCs w:val="22"/>
        </w:rPr>
        <w:t xml:space="preserve"> petitions have</w:t>
      </w:r>
      <w:r w:rsidRPr="00B81310">
        <w:rPr>
          <w:sz w:val="22"/>
          <w:szCs w:val="22"/>
        </w:rPr>
        <w:t xml:space="preserve"> been granted to choose mandatory detariffing of certain broadband and packet services.  See 47 U.S.C. Section 10(a).</w:t>
      </w:r>
      <w:r>
        <w:tab/>
      </w:r>
    </w:p>
    <w:p w:rsidR="005C1FF6" w:rsidP="00D57071" w14:paraId="1183CE76" w14:textId="77777777"/>
    <w:p w:rsidR="009715E3" w:rsidRPr="00D57071" w:rsidP="00D57071" w14:paraId="0894386C" w14:textId="77777777">
      <w:pPr>
        <w:rPr>
          <w:sz w:val="22"/>
          <w:szCs w:val="22"/>
        </w:rPr>
      </w:pPr>
      <w:r>
        <w:rPr>
          <w:sz w:val="22"/>
          <w:szCs w:val="22"/>
        </w:rPr>
        <w:tab/>
      </w:r>
      <w:r w:rsidRPr="00D57071" w:rsidR="00B537CB">
        <w:rPr>
          <w:sz w:val="22"/>
          <w:szCs w:val="22"/>
        </w:rPr>
        <w:t xml:space="preserve">On November 18, </w:t>
      </w:r>
      <w:r w:rsidRPr="00D57071" w:rsidR="000167C9">
        <w:rPr>
          <w:sz w:val="22"/>
          <w:szCs w:val="22"/>
        </w:rPr>
        <w:t xml:space="preserve">2011, the Commission released the </w:t>
      </w:r>
      <w:r w:rsidRPr="0060416D" w:rsidR="000167C9">
        <w:rPr>
          <w:i/>
          <w:iCs/>
          <w:sz w:val="22"/>
          <w:szCs w:val="22"/>
        </w:rPr>
        <w:t>USF/ICC Transformation Order</w:t>
      </w:r>
      <w:r>
        <w:rPr>
          <w:rStyle w:val="FootnoteReference"/>
        </w:rPr>
        <w:footnoteReference w:id="2"/>
      </w:r>
      <w:r>
        <w:t xml:space="preserve"> </w:t>
      </w:r>
      <w:r w:rsidRPr="00D57071" w:rsidR="00B537CB">
        <w:rPr>
          <w:sz w:val="22"/>
          <w:szCs w:val="22"/>
        </w:rPr>
        <w:t>requiring or permitting incumbent and competitive local exchange carriers</w:t>
      </w:r>
      <w:r w:rsidRPr="00D57071" w:rsidR="001A71CF">
        <w:rPr>
          <w:sz w:val="22"/>
          <w:szCs w:val="22"/>
        </w:rPr>
        <w:t>,</w:t>
      </w:r>
      <w:r w:rsidRPr="00D57071" w:rsidR="00B537CB">
        <w:rPr>
          <w:sz w:val="22"/>
          <w:szCs w:val="22"/>
        </w:rPr>
        <w:t xml:space="preserve"> as part of transitioning regulation of interstate and intrastate switched access rates and reciprocal compensation rates to bill-and-keep under section 251(b)(5)</w:t>
      </w:r>
      <w:r w:rsidRPr="00D57071" w:rsidR="001A71CF">
        <w:rPr>
          <w:sz w:val="22"/>
          <w:szCs w:val="22"/>
        </w:rPr>
        <w:t>,</w:t>
      </w:r>
      <w:r w:rsidRPr="00D57071" w:rsidR="00B537CB">
        <w:rPr>
          <w:sz w:val="22"/>
          <w:szCs w:val="22"/>
        </w:rPr>
        <w:t xml:space="preserve"> to file tariffs with state commissions and the FCC.  This transition affects different switched access rates at specified timeframes and establishes an Access Recovery Charge by which </w:t>
      </w:r>
      <w:r w:rsidRPr="00D57071" w:rsidR="00181896">
        <w:rPr>
          <w:sz w:val="22"/>
          <w:szCs w:val="22"/>
        </w:rPr>
        <w:t xml:space="preserve">incumbent LECs </w:t>
      </w:r>
      <w:r w:rsidRPr="00D57071" w:rsidR="00B537CB">
        <w:rPr>
          <w:sz w:val="22"/>
          <w:szCs w:val="22"/>
        </w:rPr>
        <w:t>will be able to assess end users a monthly charge to recover some</w:t>
      </w:r>
      <w:r w:rsidRPr="00D57071" w:rsidR="00EA1C1D">
        <w:rPr>
          <w:sz w:val="22"/>
          <w:szCs w:val="22"/>
        </w:rPr>
        <w:t xml:space="preserve"> or all of the revenues were</w:t>
      </w:r>
      <w:r w:rsidRPr="00D57071" w:rsidR="00B537CB">
        <w:rPr>
          <w:sz w:val="22"/>
          <w:szCs w:val="22"/>
        </w:rPr>
        <w:t xml:space="preserve"> permitted to recover resulting from reductions in intercarrier compensation rates. </w:t>
      </w:r>
    </w:p>
    <w:p w:rsidR="005C1FF6" w:rsidP="00CB754F" w14:paraId="39453983" w14:textId="77777777">
      <w:pPr>
        <w:pStyle w:val="ParaNumCharChar"/>
        <w:widowControl w:val="0"/>
        <w:tabs>
          <w:tab w:val="clear" w:pos="360"/>
          <w:tab w:val="left" w:pos="720"/>
        </w:tabs>
        <w:autoSpaceDE/>
        <w:adjustRightInd/>
        <w:snapToGrid w:val="0"/>
        <w:spacing w:after="0"/>
      </w:pPr>
      <w:r>
        <w:tab/>
      </w:r>
    </w:p>
    <w:p w:rsidR="00CB754F" w:rsidP="00CB754F" w14:paraId="2FBC2BDC" w14:textId="77777777">
      <w:pPr>
        <w:pStyle w:val="ParaNumCharChar"/>
        <w:widowControl w:val="0"/>
        <w:tabs>
          <w:tab w:val="clear" w:pos="360"/>
          <w:tab w:val="left" w:pos="720"/>
        </w:tabs>
        <w:autoSpaceDE/>
        <w:adjustRightInd/>
        <w:snapToGrid w:val="0"/>
        <w:spacing w:after="0"/>
      </w:pPr>
      <w:r>
        <w:tab/>
        <w:t>On March 23, 2016,</w:t>
      </w:r>
      <w:r w:rsidR="00A21303">
        <w:t xml:space="preserve"> the Commission adopted the </w:t>
      </w:r>
      <w:r w:rsidRPr="00A21303" w:rsidR="00A21303">
        <w:rPr>
          <w:i/>
        </w:rPr>
        <w:t>Rate-of-Return Order</w:t>
      </w:r>
      <w:r w:rsidR="00A21303">
        <w:t>,</w:t>
      </w:r>
      <w:r>
        <w:rPr>
          <w:rStyle w:val="FootnoteReference"/>
        </w:rPr>
        <w:footnoteReference w:id="3"/>
      </w:r>
      <w:r>
        <w:t xml:space="preserve"> reforming universal service for rate-of-return LECs.  These reforms require</w:t>
      </w:r>
      <w:r w:rsidR="00A31CB5">
        <w:t>d</w:t>
      </w:r>
      <w:r>
        <w:t xml:space="preserve"> rate-of-return LECs to make one-time tariff filings with the necessary support materials outside the normal annual filing period. </w:t>
      </w:r>
    </w:p>
    <w:p w:rsidR="006226ED" w:rsidP="00CB754F" w14:paraId="60EB6585" w14:textId="77777777">
      <w:pPr>
        <w:pStyle w:val="ParaNumCharChar"/>
        <w:widowControl w:val="0"/>
        <w:tabs>
          <w:tab w:val="clear" w:pos="360"/>
          <w:tab w:val="left" w:pos="720"/>
        </w:tabs>
        <w:autoSpaceDE/>
        <w:adjustRightInd/>
        <w:snapToGrid w:val="0"/>
        <w:spacing w:after="0"/>
      </w:pPr>
    </w:p>
    <w:p w:rsidR="00446F40" w:rsidP="00B537CB" w14:paraId="41A28DE9" w14:textId="77777777">
      <w:pPr>
        <w:pStyle w:val="ParaNumCharChar"/>
        <w:widowControl w:val="0"/>
        <w:tabs>
          <w:tab w:val="clear" w:pos="360"/>
          <w:tab w:val="left" w:pos="720"/>
        </w:tabs>
        <w:autoSpaceDE/>
        <w:adjustRightInd/>
        <w:snapToGrid w:val="0"/>
        <w:spacing w:after="0"/>
      </w:pPr>
      <w:r>
        <w:tab/>
        <w:t xml:space="preserve">On April 20, 2017, the Commission adopted the </w:t>
      </w:r>
      <w:r w:rsidRPr="0060416D" w:rsidR="00170006">
        <w:rPr>
          <w:i/>
          <w:iCs/>
        </w:rPr>
        <w:t>Price Cap</w:t>
      </w:r>
      <w:r w:rsidR="00170006">
        <w:t xml:space="preserve"> </w:t>
      </w:r>
      <w:r>
        <w:rPr>
          <w:i/>
        </w:rPr>
        <w:t>Business Data Services Order</w:t>
      </w:r>
      <w:r w:rsidR="005C1FF6">
        <w:t>,</w:t>
      </w:r>
      <w:r>
        <w:rPr>
          <w:rStyle w:val="FootnoteReference"/>
        </w:rPr>
        <w:footnoteReference w:id="4"/>
      </w:r>
      <w:r w:rsidR="00DF4C7E">
        <w:t xml:space="preserve"> reforming the business data services</w:t>
      </w:r>
      <w:r w:rsidR="00951652">
        <w:t>/</w:t>
      </w:r>
      <w:r w:rsidR="00DF4C7E">
        <w:t xml:space="preserve">special access regulations for </w:t>
      </w:r>
      <w:r w:rsidR="00170006">
        <w:t xml:space="preserve">ILECs subject to price cap regulation </w:t>
      </w:r>
      <w:r w:rsidR="00DF4C7E">
        <w:t xml:space="preserve">by detariffing </w:t>
      </w:r>
      <w:r w:rsidR="00951652">
        <w:t xml:space="preserve">certain </w:t>
      </w:r>
      <w:r w:rsidR="00DF4C7E">
        <w:t>business data services</w:t>
      </w:r>
      <w:r w:rsidR="00443CE9">
        <w:t xml:space="preserve"> and modifying </w:t>
      </w:r>
      <w:r w:rsidR="00951652">
        <w:t xml:space="preserve">the </w:t>
      </w:r>
      <w:r w:rsidR="00443CE9">
        <w:t xml:space="preserve">regulatory obligations </w:t>
      </w:r>
      <w:r w:rsidR="00951652">
        <w:t>for those business data services that will remain tariffed</w:t>
      </w:r>
      <w:r w:rsidR="00DF4C7E">
        <w:t xml:space="preserve">.  </w:t>
      </w:r>
      <w:r w:rsidR="0077427A">
        <w:t xml:space="preserve">Additionally, the </w:t>
      </w:r>
      <w:r w:rsidRPr="0077427A" w:rsidR="0077427A">
        <w:rPr>
          <w:i/>
        </w:rPr>
        <w:t>Business Data Services Order</w:t>
      </w:r>
      <w:r w:rsidR="0077427A">
        <w:t xml:space="preserve"> adopted an X-factor of </w:t>
      </w:r>
      <w:r w:rsidR="00170006">
        <w:t>2.0%</w:t>
      </w:r>
      <w:r w:rsidR="0077427A">
        <w:t xml:space="preserve"> and required price cap ILECs to make a one-time filing to revise their TRPs to implement the new X</w:t>
      </w:r>
      <w:r w:rsidR="00170006">
        <w:t>-</w:t>
      </w:r>
      <w:r w:rsidR="0077427A">
        <w:t>factor to become effective on December 1, 2017.</w:t>
      </w:r>
    </w:p>
    <w:p w:rsidR="00170006" w:rsidP="00B537CB" w14:paraId="142B0162" w14:textId="77777777">
      <w:pPr>
        <w:pStyle w:val="ParaNumCharChar"/>
        <w:widowControl w:val="0"/>
        <w:tabs>
          <w:tab w:val="clear" w:pos="360"/>
          <w:tab w:val="left" w:pos="720"/>
        </w:tabs>
        <w:autoSpaceDE/>
        <w:adjustRightInd/>
        <w:snapToGrid w:val="0"/>
        <w:spacing w:after="0"/>
      </w:pPr>
    </w:p>
    <w:p w:rsidR="00170451" w:rsidP="0060416D" w14:paraId="50E0C8FE" w14:textId="7EAEE2A3">
      <w:pPr>
        <w:pStyle w:val="ParaNumCharChar"/>
        <w:tabs>
          <w:tab w:val="left" w:pos="720"/>
        </w:tabs>
        <w:snapToGrid w:val="0"/>
      </w:pPr>
      <w:r>
        <w:tab/>
      </w:r>
      <w:r>
        <w:tab/>
      </w:r>
      <w:r w:rsidR="00170006">
        <w:t>On</w:t>
      </w:r>
      <w:r w:rsidR="0020676B">
        <w:t xml:space="preserve"> October 24, 2018, the Commission adopted the </w:t>
      </w:r>
      <w:r w:rsidRPr="0060416D" w:rsidR="0020676B">
        <w:rPr>
          <w:i/>
          <w:iCs/>
        </w:rPr>
        <w:t>Rate-of-Return Business Data Services Order</w:t>
      </w:r>
      <w:r w:rsidR="0020676B">
        <w:t>,</w:t>
      </w:r>
      <w:r>
        <w:rPr>
          <w:vertAlign w:val="superscript"/>
        </w:rPr>
        <w:footnoteReference w:id="5"/>
      </w:r>
      <w:r w:rsidR="0020676B">
        <w:t xml:space="preserve"> reforming the </w:t>
      </w:r>
      <w:r>
        <w:t>business data services/special access regulations for ILECs subject to rate-of-return  regulation by detariffing certain business data services and modifying the regulatory obligations for those business data services that will remain tariffed.  Under this framework, r</w:t>
      </w:r>
      <w:r w:rsidR="006D63F3">
        <w:t xml:space="preserve">ate-of-return </w:t>
      </w:r>
      <w:r w:rsidR="0041417E">
        <w:t>ILEC</w:t>
      </w:r>
      <w:r w:rsidR="00E101F7">
        <w:t>s</w:t>
      </w:r>
      <w:r w:rsidR="006D63F3">
        <w:t xml:space="preserve"> electing incentive regulation for its business data services were required </w:t>
      </w:r>
      <w:r w:rsidR="009C2713">
        <w:t xml:space="preserve">to </w:t>
      </w:r>
      <w:r w:rsidR="006D63F3">
        <w:t>detariff</w:t>
      </w:r>
      <w:r>
        <w:t xml:space="preserve"> a</w:t>
      </w:r>
      <w:r w:rsidR="006D63F3">
        <w:t>ll packet-based and time division multiplexed</w:t>
      </w:r>
      <w:r>
        <w:t xml:space="preserve"> (TDM)</w:t>
      </w:r>
      <w:r w:rsidR="006D63F3">
        <w:t xml:space="preserve"> business data services above a DS3 bandwidth within thirty-six months after the effective date of its election of incentive regulation; and </w:t>
      </w:r>
      <w:r>
        <w:t>detariff all TDM-based</w:t>
      </w:r>
      <w:r w:rsidR="006D63F3">
        <w:t xml:space="preserve"> end user channel termination business data services at or below a DS3 bandwidth in any study area deemed competitive by the competitive market test within thirty-six months after such services shall be deemed competitive in a study area.</w:t>
      </w:r>
      <w:r>
        <w:rPr>
          <w:rStyle w:val="FootnoteReference"/>
        </w:rPr>
        <w:footnoteReference w:id="6"/>
      </w:r>
      <w:r w:rsidR="007A6B79">
        <w:tab/>
      </w:r>
      <w:r w:rsidR="007A6B79">
        <w:tab/>
      </w:r>
    </w:p>
    <w:p w:rsidR="00F040B9" w:rsidP="0060416D" w14:paraId="5A8BA18C" w14:textId="75C50D2E">
      <w:pPr>
        <w:pStyle w:val="ParaNumCharChar"/>
        <w:widowControl w:val="0"/>
        <w:tabs>
          <w:tab w:val="left" w:pos="720"/>
        </w:tabs>
        <w:snapToGrid w:val="0"/>
      </w:pPr>
      <w:r>
        <w:tab/>
      </w:r>
      <w:r>
        <w:tab/>
      </w:r>
      <w:r w:rsidR="007A6B79">
        <w:t xml:space="preserve">On </w:t>
      </w:r>
      <w:r w:rsidR="00093C16">
        <w:t xml:space="preserve">October 9, </w:t>
      </w:r>
      <w:r w:rsidRPr="006739D6" w:rsidR="00093C16">
        <w:t>202</w:t>
      </w:r>
      <w:r w:rsidR="006739D6">
        <w:t>0</w:t>
      </w:r>
      <w:r w:rsidR="007A6B79">
        <w:t xml:space="preserve"> the Commission adopted the </w:t>
      </w:r>
      <w:r w:rsidRPr="0060416D" w:rsidR="007A6B79">
        <w:rPr>
          <w:i/>
          <w:iCs/>
        </w:rPr>
        <w:t>8YY Access Charge Reform Order</w:t>
      </w:r>
      <w:r w:rsidR="007A6B79">
        <w:t>,</w:t>
      </w:r>
      <w:r>
        <w:rPr>
          <w:rStyle w:val="FootnoteReference"/>
        </w:rPr>
        <w:footnoteReference w:id="7"/>
      </w:r>
      <w:r w:rsidRPr="00093C16" w:rsidR="00093C16">
        <w:t xml:space="preserve"> </w:t>
      </w:r>
      <w:r w:rsidR="00093C16">
        <w:t>requiring price cap and rate-of-return ILECs to transition their interstate and intrastate toll free (or 8YY) originating end office access service rates to bill-and-keep over a three-year period.   As an initial step, rate-of-return incumbent LECs capped all intrastate originating access service rates for toll free calls, including toll free database query charges, as of December 28, 2020.   Beginning July 1, 2021, all ILECs were required to tariff separate rate elements for toll free and non-toll free interstate and intrastate originating end office access service, then reduce these intrastate rates to interstate levels.   All ILECs were required to detariff rate elements for toll free interstate and intrastate originating switched transport service between an end office and tandem switch consistent with bill-and-keep.   Further, all ILECs were required to tariff a single capped rate element for toll free joint tandem switched transport access service and reduce tariffed intrastate and interstate toll free database query charges pursuant to a transition ending July 1, 2023.</w:t>
      </w:r>
      <w:r>
        <w:rPr>
          <w:rStyle w:val="FootnoteReference"/>
        </w:rPr>
        <w:footnoteReference w:id="8"/>
      </w:r>
      <w:r w:rsidR="00093C16">
        <w:t xml:space="preserve">   </w:t>
      </w:r>
      <w:r>
        <w:t xml:space="preserve"> </w:t>
      </w:r>
    </w:p>
    <w:p w:rsidR="00B537CB" w:rsidRPr="00B81310" w:rsidP="00B537CB" w14:paraId="39C15991" w14:textId="77777777">
      <w:pPr>
        <w:rPr>
          <w:bCs/>
          <w:sz w:val="22"/>
          <w:szCs w:val="22"/>
        </w:rPr>
      </w:pPr>
      <w:r>
        <w:rPr>
          <w:sz w:val="22"/>
          <w:szCs w:val="22"/>
        </w:rPr>
        <w:tab/>
      </w:r>
      <w:r w:rsidRPr="002761BD" w:rsidR="00523CAB">
        <w:rPr>
          <w:bCs/>
          <w:sz w:val="22"/>
          <w:szCs w:val="22"/>
        </w:rPr>
        <w:t>T</w:t>
      </w:r>
      <w:r w:rsidRPr="002761BD">
        <w:rPr>
          <w:bCs/>
          <w:sz w:val="22"/>
          <w:szCs w:val="22"/>
        </w:rPr>
        <w:t>his information collection does not affect individuals or households; thus there are no impacts under the Privacy Act.</w:t>
      </w:r>
    </w:p>
    <w:p w:rsidR="00B537CB" w:rsidRPr="00B81310" w:rsidP="00B537CB" w14:paraId="4995E41F" w14:textId="77777777">
      <w:pPr>
        <w:rPr>
          <w:bCs/>
          <w:sz w:val="22"/>
          <w:szCs w:val="22"/>
        </w:rPr>
      </w:pPr>
    </w:p>
    <w:p w:rsidR="00B537CB" w:rsidRPr="00B81310" w:rsidP="00B537CB" w14:paraId="165D47F0" w14:textId="77777777">
      <w:pPr>
        <w:ind w:firstLine="720"/>
        <w:rPr>
          <w:sz w:val="22"/>
          <w:szCs w:val="22"/>
        </w:rPr>
      </w:pPr>
      <w:r w:rsidRPr="00B81310">
        <w:rPr>
          <w:sz w:val="22"/>
          <w:szCs w:val="22"/>
        </w:rPr>
        <w:t xml:space="preserve">The statutory authority for this collection is contained in: </w:t>
      </w:r>
      <w:r w:rsidR="0090728C">
        <w:rPr>
          <w:sz w:val="22"/>
          <w:szCs w:val="22"/>
        </w:rPr>
        <w:t xml:space="preserve"> </w:t>
      </w:r>
      <w:r w:rsidRPr="00B81310" w:rsidR="003C3D2B">
        <w:rPr>
          <w:sz w:val="22"/>
          <w:szCs w:val="22"/>
        </w:rPr>
        <w:t>47 U</w:t>
      </w:r>
      <w:r w:rsidR="003C3D2B">
        <w:rPr>
          <w:sz w:val="22"/>
          <w:szCs w:val="22"/>
        </w:rPr>
        <w:t xml:space="preserve">.S.C. </w:t>
      </w:r>
      <w:r w:rsidRPr="00B81310" w:rsidR="00E240DB">
        <w:rPr>
          <w:sz w:val="22"/>
          <w:szCs w:val="22"/>
        </w:rPr>
        <w:t>§§</w:t>
      </w:r>
      <w:r w:rsidR="00E240DB">
        <w:rPr>
          <w:sz w:val="22"/>
          <w:szCs w:val="22"/>
        </w:rPr>
        <w:t> </w:t>
      </w:r>
      <w:r w:rsidR="003C3D2B">
        <w:rPr>
          <w:sz w:val="22"/>
          <w:szCs w:val="22"/>
        </w:rPr>
        <w:t xml:space="preserve">201, 202, 203, and </w:t>
      </w:r>
      <w:r w:rsidRPr="00B81310" w:rsidR="003C3D2B">
        <w:rPr>
          <w:sz w:val="22"/>
          <w:szCs w:val="22"/>
        </w:rPr>
        <w:t>251(b)(5) of the Communications Act of 1934, as amended</w:t>
      </w:r>
      <w:r w:rsidR="00E240DB">
        <w:rPr>
          <w:sz w:val="22"/>
          <w:szCs w:val="22"/>
        </w:rPr>
        <w:t xml:space="preserve">.  </w:t>
      </w:r>
      <w:r w:rsidRPr="00B81310" w:rsidR="003C3D2B">
        <w:rPr>
          <w:sz w:val="22"/>
          <w:szCs w:val="22"/>
        </w:rPr>
        <w:t xml:space="preserve">See 47 U.S.C. </w:t>
      </w:r>
      <w:r w:rsidRPr="00B81310" w:rsidR="00E240DB">
        <w:rPr>
          <w:sz w:val="22"/>
          <w:szCs w:val="22"/>
        </w:rPr>
        <w:t>§§</w:t>
      </w:r>
      <w:r w:rsidR="00E240DB">
        <w:rPr>
          <w:sz w:val="22"/>
          <w:szCs w:val="22"/>
        </w:rPr>
        <w:t xml:space="preserve"> </w:t>
      </w:r>
      <w:r w:rsidRPr="00B81310" w:rsidR="003C3D2B">
        <w:rPr>
          <w:sz w:val="22"/>
          <w:szCs w:val="22"/>
        </w:rPr>
        <w:t>201, 202 and 203</w:t>
      </w:r>
      <w:r w:rsidR="003C3D2B">
        <w:rPr>
          <w:sz w:val="22"/>
          <w:szCs w:val="22"/>
        </w:rPr>
        <w:t>, and 251(b)(5).</w:t>
      </w:r>
    </w:p>
    <w:p w:rsidR="00B537CB" w:rsidRPr="00D57071" w:rsidP="00B537CB" w14:paraId="139D9164" w14:textId="77777777">
      <w:pPr>
        <w:rPr>
          <w:sz w:val="22"/>
          <w:szCs w:val="22"/>
        </w:rPr>
      </w:pPr>
    </w:p>
    <w:p w:rsidR="00B537CB" w:rsidRPr="00B81310" w:rsidP="00B537CB" w14:paraId="1EDF5C95" w14:textId="77777777">
      <w:pPr>
        <w:rPr>
          <w:sz w:val="22"/>
          <w:szCs w:val="22"/>
        </w:rPr>
      </w:pPr>
      <w:r w:rsidRPr="00B81310">
        <w:rPr>
          <w:sz w:val="22"/>
          <w:szCs w:val="22"/>
        </w:rPr>
        <w:t>2.</w:t>
      </w:r>
      <w:r w:rsidRPr="00B81310">
        <w:rPr>
          <w:sz w:val="22"/>
          <w:szCs w:val="22"/>
        </w:rPr>
        <w:tab/>
        <w:t xml:space="preserve"> For those services still requiring cost support, TRPs assist in determining whether ILEC access charges are just and reasonable as required under the Act.  </w:t>
      </w:r>
    </w:p>
    <w:p w:rsidR="00B537CB" w:rsidRPr="00B81310" w:rsidP="00B537CB" w14:paraId="79EF7CE4" w14:textId="77777777">
      <w:pPr>
        <w:rPr>
          <w:sz w:val="22"/>
          <w:szCs w:val="22"/>
        </w:rPr>
      </w:pPr>
    </w:p>
    <w:p w:rsidR="00AB4BC5" w:rsidRPr="00B81310" w:rsidP="00171121" w14:paraId="739742F1" w14:textId="77777777">
      <w:pPr>
        <w:pStyle w:val="NormalWeb"/>
      </w:pPr>
      <w:r w:rsidRPr="00B81310">
        <w:rPr>
          <w:sz w:val="22"/>
          <w:szCs w:val="22"/>
        </w:rPr>
        <w:t>3.</w:t>
      </w:r>
      <w:r w:rsidRPr="00B81310">
        <w:rPr>
          <w:sz w:val="22"/>
          <w:szCs w:val="22"/>
        </w:rPr>
        <w:tab/>
      </w:r>
      <w:r w:rsidRPr="00B81310" w:rsidR="00171121">
        <w:rPr>
          <w:sz w:val="22"/>
          <w:szCs w:val="22"/>
        </w:rPr>
        <w:t xml:space="preserve">ILECs file interstate tariffs and supporting information, including the TRPs, electronically through the </w:t>
      </w:r>
      <w:r w:rsidR="00446F40">
        <w:rPr>
          <w:sz w:val="22"/>
          <w:szCs w:val="22"/>
        </w:rPr>
        <w:t xml:space="preserve">Commission’s </w:t>
      </w:r>
      <w:r w:rsidRPr="00B81310" w:rsidR="00171121">
        <w:rPr>
          <w:sz w:val="22"/>
          <w:szCs w:val="22"/>
        </w:rPr>
        <w:t xml:space="preserve">Electronic Tariff Filing System (ETFS).  We do not know the extent to which state commissions allow electronic filing of intrastate tariffs and the associated supporting materials. </w:t>
      </w:r>
    </w:p>
    <w:p w:rsidR="00B537CB" w:rsidRPr="00B81310" w:rsidP="00586BF2" w14:paraId="0CF00B2B" w14:textId="77777777">
      <w:pPr>
        <w:rPr>
          <w:sz w:val="22"/>
          <w:szCs w:val="22"/>
        </w:rPr>
      </w:pPr>
      <w:bookmarkStart w:id="1" w:name="OLE_LINK30"/>
      <w:bookmarkStart w:id="2" w:name="OLE_LINK31"/>
      <w:r w:rsidRPr="00B70492">
        <w:rPr>
          <w:sz w:val="22"/>
          <w:szCs w:val="22"/>
        </w:rPr>
        <w:t>4</w:t>
      </w:r>
      <w:bookmarkEnd w:id="1"/>
      <w:bookmarkEnd w:id="2"/>
      <w:r w:rsidR="00586BF2">
        <w:rPr>
          <w:sz w:val="22"/>
          <w:szCs w:val="22"/>
        </w:rPr>
        <w:t>.</w:t>
      </w:r>
      <w:r w:rsidR="00586BF2">
        <w:rPr>
          <w:sz w:val="22"/>
          <w:szCs w:val="22"/>
        </w:rPr>
        <w:tab/>
      </w:r>
      <w:r w:rsidRPr="00B70492">
        <w:rPr>
          <w:sz w:val="22"/>
          <w:szCs w:val="22"/>
        </w:rPr>
        <w:t>The Commission updates the</w:t>
      </w:r>
      <w:r w:rsidRPr="00B70492" w:rsidR="00617CE1">
        <w:rPr>
          <w:sz w:val="22"/>
          <w:szCs w:val="22"/>
        </w:rPr>
        <w:t xml:space="preserve"> price cap and</w:t>
      </w:r>
      <w:r w:rsidR="00812702">
        <w:rPr>
          <w:sz w:val="22"/>
          <w:szCs w:val="22"/>
        </w:rPr>
        <w:t xml:space="preserve"> rate-of-return TRP</w:t>
      </w:r>
      <w:r w:rsidRPr="00B70492">
        <w:rPr>
          <w:sz w:val="22"/>
          <w:szCs w:val="22"/>
        </w:rPr>
        <w:t xml:space="preserve"> every year to eliminate respondents’ requirement to file cost and demand data that may be more than two years old and to bring the TRP into conformance with current Commission policies.  Without the TRP, except in exceptional cases, similar data would be unavailable to the Commission.  The TRPs are designed to provide data to evaluate forecasts of cost and demand for the coming year which would not be available in other </w:t>
      </w:r>
      <w:r w:rsidR="00015A33">
        <w:rPr>
          <w:sz w:val="22"/>
          <w:szCs w:val="22"/>
        </w:rPr>
        <w:t>Commission-</w:t>
      </w:r>
      <w:r w:rsidRPr="00B70492">
        <w:rPr>
          <w:sz w:val="22"/>
          <w:szCs w:val="22"/>
        </w:rPr>
        <w:t>required documents. We are unaware of the extent to which individual state commissions update their support requirements.</w:t>
      </w:r>
      <w:r w:rsidRPr="00453A36" w:rsidR="00453A36">
        <w:rPr>
          <w:sz w:val="22"/>
          <w:szCs w:val="22"/>
        </w:rPr>
        <w:t xml:space="preserve"> </w:t>
      </w:r>
    </w:p>
    <w:p w:rsidR="00B537CB" w:rsidRPr="00B81310" w:rsidP="00B537CB" w14:paraId="6FE92E96" w14:textId="77777777">
      <w:pPr>
        <w:rPr>
          <w:sz w:val="22"/>
          <w:szCs w:val="22"/>
        </w:rPr>
      </w:pPr>
    </w:p>
    <w:p w:rsidR="00B537CB" w:rsidRPr="00B81310" w:rsidP="00B537CB" w14:paraId="5FAD12A6" w14:textId="77777777">
      <w:pPr>
        <w:rPr>
          <w:sz w:val="22"/>
          <w:szCs w:val="22"/>
        </w:rPr>
      </w:pPr>
      <w:r w:rsidRPr="00B81310">
        <w:rPr>
          <w:sz w:val="22"/>
          <w:szCs w:val="22"/>
        </w:rPr>
        <w:t>5.</w:t>
      </w:r>
      <w:r w:rsidRPr="00B81310">
        <w:rPr>
          <w:sz w:val="22"/>
          <w:szCs w:val="22"/>
        </w:rPr>
        <w:tab/>
        <w:t>The collection does not involve small businesses as defined by the Regulatory Flexibility Act.  However, the Commission recognizes that the ability of the ILECs to provide supporting material varies depending on the ILECs’ size.  For example, the Commission does not require a TRP from small companies that file pursuant to Section 61.39</w:t>
      </w:r>
      <w:r w:rsidR="00E240DB">
        <w:rPr>
          <w:sz w:val="22"/>
          <w:szCs w:val="22"/>
        </w:rPr>
        <w:t xml:space="preserve"> of the Commission’s rules</w:t>
      </w:r>
      <w:r w:rsidRPr="00B81310">
        <w:rPr>
          <w:sz w:val="22"/>
          <w:szCs w:val="22"/>
        </w:rPr>
        <w:t xml:space="preserve">.  </w:t>
      </w:r>
    </w:p>
    <w:p w:rsidR="00B537CB" w:rsidRPr="00B81310" w:rsidP="00B537CB" w14:paraId="0DB14259" w14:textId="77777777">
      <w:pPr>
        <w:rPr>
          <w:sz w:val="22"/>
          <w:szCs w:val="22"/>
        </w:rPr>
      </w:pPr>
    </w:p>
    <w:p w:rsidR="00B537CB" w:rsidRPr="00B81310" w:rsidP="00B537CB" w14:paraId="644B1437" w14:textId="77777777">
      <w:pPr>
        <w:rPr>
          <w:sz w:val="22"/>
          <w:szCs w:val="22"/>
        </w:rPr>
      </w:pPr>
      <w:r w:rsidRPr="00B81310">
        <w:rPr>
          <w:sz w:val="22"/>
          <w:szCs w:val="22"/>
        </w:rPr>
        <w:t>6.</w:t>
      </w:r>
      <w:r w:rsidRPr="00B81310">
        <w:rPr>
          <w:sz w:val="22"/>
          <w:szCs w:val="22"/>
        </w:rPr>
        <w:tab/>
        <w:t>Part 69 of the FCC’s rules requires the annual or biennial filing of access rates.  In 1993, the Commission changed its rules to allow all ILECs, except price cap ILECs, to make biennial filings.  Biennial filing</w:t>
      </w:r>
      <w:r w:rsidR="00E240DB">
        <w:rPr>
          <w:sz w:val="22"/>
          <w:szCs w:val="22"/>
        </w:rPr>
        <w:t>s</w:t>
      </w:r>
      <w:r w:rsidRPr="00B81310">
        <w:rPr>
          <w:sz w:val="22"/>
          <w:szCs w:val="22"/>
        </w:rPr>
        <w:t xml:space="preserve"> for price cap ILECs are impractical, because the inflation index that impacts the price cap indices are required under our rules to be updated annually.  S</w:t>
      </w:r>
      <w:r w:rsidR="00CB1485">
        <w:rPr>
          <w:sz w:val="22"/>
          <w:szCs w:val="22"/>
        </w:rPr>
        <w:t>upporting materials for intrastate</w:t>
      </w:r>
      <w:r w:rsidRPr="00B81310">
        <w:rPr>
          <w:sz w:val="22"/>
          <w:szCs w:val="22"/>
        </w:rPr>
        <w:t xml:space="preserve"> tariff filings will be required each year.</w:t>
      </w:r>
    </w:p>
    <w:p w:rsidR="00B537CB" w:rsidRPr="00B81310" w:rsidP="00B537CB" w14:paraId="2F53718D" w14:textId="77777777">
      <w:pPr>
        <w:rPr>
          <w:sz w:val="22"/>
          <w:szCs w:val="22"/>
        </w:rPr>
      </w:pPr>
    </w:p>
    <w:p w:rsidR="00B537CB" w:rsidRPr="00B81310" w:rsidP="00B537CB" w14:paraId="2F37F375" w14:textId="77777777">
      <w:pPr>
        <w:rPr>
          <w:sz w:val="22"/>
          <w:szCs w:val="22"/>
        </w:rPr>
      </w:pPr>
      <w:r w:rsidRPr="00B81310">
        <w:rPr>
          <w:sz w:val="22"/>
          <w:szCs w:val="22"/>
        </w:rPr>
        <w:t>7.</w:t>
      </w:r>
      <w:r w:rsidRPr="00B81310">
        <w:rPr>
          <w:sz w:val="22"/>
          <w:szCs w:val="22"/>
        </w:rPr>
        <w:tab/>
      </w:r>
      <w:r w:rsidRPr="00BC7C0C" w:rsidR="00D471C8">
        <w:rPr>
          <w:sz w:val="22"/>
          <w:szCs w:val="22"/>
        </w:rPr>
        <w:t>The collections are not being conducted in any manner inconsistent with the guidelines of</w:t>
      </w:r>
      <w:r w:rsidR="00D471C8">
        <w:rPr>
          <w:sz w:val="22"/>
          <w:szCs w:val="22"/>
        </w:rPr>
        <w:t xml:space="preserve"> 5 C.F.R. Section 1320.5(d)(l).</w:t>
      </w:r>
      <w:r w:rsidRPr="00B81310">
        <w:rPr>
          <w:sz w:val="22"/>
          <w:szCs w:val="22"/>
        </w:rPr>
        <w:tab/>
      </w:r>
    </w:p>
    <w:p w:rsidR="00B537CB" w:rsidRPr="00B81310" w:rsidP="00B537CB" w14:paraId="1083A30D" w14:textId="77777777">
      <w:pPr>
        <w:rPr>
          <w:sz w:val="22"/>
          <w:szCs w:val="22"/>
        </w:rPr>
      </w:pPr>
    </w:p>
    <w:p w:rsidR="00B537CB" w:rsidRPr="00B81310" w:rsidP="00B537CB" w14:paraId="2512F182" w14:textId="60A3BCA7">
      <w:pPr>
        <w:rPr>
          <w:sz w:val="22"/>
          <w:szCs w:val="22"/>
          <w:shd w:val="clear" w:color="auto" w:fill="FFFFFF"/>
        </w:rPr>
      </w:pPr>
      <w:r w:rsidRPr="00B81310">
        <w:rPr>
          <w:sz w:val="22"/>
          <w:szCs w:val="22"/>
          <w:shd w:val="clear" w:color="auto" w:fill="FFFFFF"/>
        </w:rPr>
        <w:t>8.</w:t>
      </w:r>
      <w:r w:rsidRPr="00B81310">
        <w:rPr>
          <w:sz w:val="22"/>
          <w:szCs w:val="22"/>
          <w:shd w:val="clear" w:color="auto" w:fill="FFFFFF"/>
        </w:rPr>
        <w:tab/>
        <w:t xml:space="preserve">The 60 day notice was published in the Federal Register as required by 5 C.F.R. § 1320.8(d) on </w:t>
      </w:r>
      <w:r w:rsidR="00E96591">
        <w:rPr>
          <w:sz w:val="22"/>
          <w:szCs w:val="22"/>
          <w:shd w:val="clear" w:color="auto" w:fill="FFFFFF"/>
        </w:rPr>
        <w:t>December</w:t>
      </w:r>
      <w:r w:rsidR="006739D6">
        <w:rPr>
          <w:sz w:val="22"/>
          <w:szCs w:val="22"/>
          <w:shd w:val="clear" w:color="auto" w:fill="FFFFFF"/>
        </w:rPr>
        <w:t xml:space="preserve"> </w:t>
      </w:r>
      <w:r w:rsidR="00E96591">
        <w:rPr>
          <w:sz w:val="22"/>
          <w:szCs w:val="22"/>
          <w:shd w:val="clear" w:color="auto" w:fill="FFFFFF"/>
        </w:rPr>
        <w:t>30</w:t>
      </w:r>
      <w:r w:rsidR="00C62D8B">
        <w:rPr>
          <w:sz w:val="22"/>
          <w:szCs w:val="22"/>
          <w:shd w:val="clear" w:color="auto" w:fill="FFFFFF"/>
        </w:rPr>
        <w:t>, 202</w:t>
      </w:r>
      <w:r w:rsidR="009C2713">
        <w:rPr>
          <w:sz w:val="22"/>
          <w:szCs w:val="22"/>
          <w:shd w:val="clear" w:color="auto" w:fill="FFFFFF"/>
        </w:rPr>
        <w:t>5</w:t>
      </w:r>
      <w:r w:rsidR="00C62D8B">
        <w:rPr>
          <w:sz w:val="22"/>
          <w:szCs w:val="22"/>
          <w:shd w:val="clear" w:color="auto" w:fill="FFFFFF"/>
        </w:rPr>
        <w:t xml:space="preserve"> (</w:t>
      </w:r>
      <w:r w:rsidR="00E96591">
        <w:rPr>
          <w:sz w:val="22"/>
          <w:szCs w:val="22"/>
          <w:shd w:val="clear" w:color="auto" w:fill="FFFFFF"/>
        </w:rPr>
        <w:t>90</w:t>
      </w:r>
      <w:r w:rsidR="00C62D8B">
        <w:rPr>
          <w:sz w:val="22"/>
          <w:szCs w:val="22"/>
          <w:shd w:val="clear" w:color="auto" w:fill="FFFFFF"/>
        </w:rPr>
        <w:t xml:space="preserve"> FR</w:t>
      </w:r>
      <w:r w:rsidR="009C2713">
        <w:rPr>
          <w:sz w:val="22"/>
          <w:szCs w:val="22"/>
          <w:shd w:val="clear" w:color="auto" w:fill="FFFFFF"/>
        </w:rPr>
        <w:t xml:space="preserve"> </w:t>
      </w:r>
      <w:r w:rsidR="00E96591">
        <w:rPr>
          <w:sz w:val="22"/>
          <w:szCs w:val="22"/>
          <w:shd w:val="clear" w:color="auto" w:fill="FFFFFF"/>
        </w:rPr>
        <w:t>61149</w:t>
      </w:r>
      <w:r w:rsidR="00C62D8B">
        <w:rPr>
          <w:sz w:val="22"/>
          <w:szCs w:val="22"/>
          <w:shd w:val="clear" w:color="auto" w:fill="FFFFFF"/>
        </w:rPr>
        <w:t>)</w:t>
      </w:r>
      <w:r w:rsidRPr="00826DAC" w:rsidR="000D1120">
        <w:rPr>
          <w:sz w:val="22"/>
          <w:szCs w:val="22"/>
          <w:shd w:val="clear" w:color="auto" w:fill="FFFFFF"/>
        </w:rPr>
        <w:t xml:space="preserve">.  </w:t>
      </w:r>
      <w:r w:rsidR="00BB79B0">
        <w:rPr>
          <w:sz w:val="22"/>
          <w:szCs w:val="22"/>
          <w:shd w:val="clear" w:color="auto" w:fill="FFFFFF"/>
        </w:rPr>
        <w:t>The Commission did not receive any PRA comments.</w:t>
      </w:r>
      <w:r w:rsidRPr="00826DAC" w:rsidR="000D1120">
        <w:rPr>
          <w:sz w:val="22"/>
          <w:szCs w:val="22"/>
          <w:shd w:val="clear" w:color="auto" w:fill="FFFFFF"/>
        </w:rPr>
        <w:t xml:space="preserve"> </w:t>
      </w:r>
    </w:p>
    <w:p w:rsidR="00B537CB" w:rsidRPr="00B81310" w:rsidP="00B537CB" w14:paraId="62C7BC26" w14:textId="77777777">
      <w:pPr>
        <w:rPr>
          <w:color w:val="FF0000"/>
          <w:sz w:val="22"/>
          <w:szCs w:val="22"/>
          <w:shd w:val="clear" w:color="auto" w:fill="FFFF00"/>
        </w:rPr>
      </w:pPr>
    </w:p>
    <w:p w:rsidR="00B537CB" w:rsidRPr="00B81310" w:rsidP="00B537CB" w14:paraId="2389F94A" w14:textId="77777777">
      <w:pPr>
        <w:rPr>
          <w:sz w:val="22"/>
          <w:szCs w:val="22"/>
        </w:rPr>
      </w:pPr>
      <w:r w:rsidRPr="00B81310">
        <w:rPr>
          <w:sz w:val="22"/>
          <w:szCs w:val="22"/>
        </w:rPr>
        <w:t>9.</w:t>
      </w:r>
      <w:r w:rsidRPr="00B81310">
        <w:rPr>
          <w:sz w:val="22"/>
          <w:szCs w:val="22"/>
        </w:rPr>
        <w:tab/>
        <w:t xml:space="preserve">The Commission does not anticipate providing any payment or gift to respondents.  </w:t>
      </w:r>
    </w:p>
    <w:p w:rsidR="00B537CB" w:rsidRPr="00B81310" w:rsidP="00B537CB" w14:paraId="7F2D4C8B" w14:textId="77777777">
      <w:pPr>
        <w:rPr>
          <w:sz w:val="22"/>
          <w:szCs w:val="22"/>
        </w:rPr>
      </w:pPr>
    </w:p>
    <w:p w:rsidR="00B537CB" w:rsidRPr="00B81310" w:rsidP="00B537CB" w14:paraId="07DE6756" w14:textId="77777777">
      <w:pPr>
        <w:rPr>
          <w:sz w:val="22"/>
          <w:szCs w:val="22"/>
        </w:rPr>
      </w:pPr>
      <w:r w:rsidRPr="00B81310">
        <w:rPr>
          <w:sz w:val="22"/>
          <w:szCs w:val="22"/>
        </w:rPr>
        <w:t>10.</w:t>
      </w:r>
      <w:r w:rsidRPr="00B81310">
        <w:rPr>
          <w:sz w:val="22"/>
          <w:szCs w:val="22"/>
        </w:rPr>
        <w:tab/>
        <w:t xml:space="preserve">Respondents are not being asked to submit confidential information to the Commission.  If the Commission requests respondents to submit information which respondents believe is confidential, </w:t>
      </w:r>
      <w:r w:rsidR="00A15C68">
        <w:rPr>
          <w:sz w:val="22"/>
          <w:szCs w:val="22"/>
        </w:rPr>
        <w:t>r</w:t>
      </w:r>
      <w:r w:rsidRPr="00B81310">
        <w:rPr>
          <w:sz w:val="22"/>
          <w:szCs w:val="22"/>
        </w:rPr>
        <w:t>espondents may request confidential treatment of such information under Section 0.459 of the Commission’s rules.</w:t>
      </w:r>
    </w:p>
    <w:p w:rsidR="00B537CB" w:rsidRPr="00B81310" w:rsidP="00B537CB" w14:paraId="7A2F0503" w14:textId="77777777">
      <w:pPr>
        <w:rPr>
          <w:sz w:val="22"/>
          <w:szCs w:val="22"/>
        </w:rPr>
      </w:pPr>
    </w:p>
    <w:p w:rsidR="00A15C68" w:rsidP="00B537CB" w14:paraId="78E03BD2" w14:textId="77777777">
      <w:pPr>
        <w:rPr>
          <w:sz w:val="22"/>
          <w:szCs w:val="22"/>
        </w:rPr>
      </w:pPr>
      <w:r w:rsidRPr="00B81310">
        <w:rPr>
          <w:sz w:val="22"/>
          <w:szCs w:val="22"/>
        </w:rPr>
        <w:t>11.</w:t>
      </w:r>
      <w:r w:rsidRPr="00B81310">
        <w:rPr>
          <w:sz w:val="22"/>
          <w:szCs w:val="22"/>
        </w:rPr>
        <w:tab/>
        <w:t>There are no questions of a sensitive nature with respect to the information collected.</w:t>
      </w:r>
    </w:p>
    <w:p w:rsidR="007231E8" w:rsidP="00B537CB" w14:paraId="4D63F1AE" w14:textId="77777777">
      <w:pPr>
        <w:rPr>
          <w:sz w:val="22"/>
          <w:szCs w:val="22"/>
        </w:rPr>
      </w:pPr>
    </w:p>
    <w:p w:rsidR="00B537CB" w:rsidRPr="00B81310" w:rsidP="00B537CB" w14:paraId="0E3B8CEF" w14:textId="77777777">
      <w:pPr>
        <w:rPr>
          <w:sz w:val="22"/>
          <w:szCs w:val="22"/>
        </w:rPr>
      </w:pPr>
      <w:r w:rsidRPr="00B81310">
        <w:rPr>
          <w:sz w:val="22"/>
          <w:szCs w:val="22"/>
        </w:rPr>
        <w:t>12.</w:t>
      </w:r>
      <w:r w:rsidRPr="00B81310">
        <w:rPr>
          <w:sz w:val="22"/>
          <w:szCs w:val="22"/>
        </w:rPr>
        <w:tab/>
        <w:t>The following represents the estimates of hour burden of the collection of information:</w:t>
      </w:r>
    </w:p>
    <w:p w:rsidR="00B537CB" w:rsidRPr="00B81310" w:rsidP="00B537CB" w14:paraId="1D9A75CF" w14:textId="77777777">
      <w:pPr>
        <w:rPr>
          <w:sz w:val="22"/>
          <w:szCs w:val="22"/>
        </w:rPr>
      </w:pPr>
    </w:p>
    <w:p w:rsidR="00B537CB" w:rsidRPr="00B81310" w:rsidP="00181896" w14:paraId="49A63687" w14:textId="77777777">
      <w:pPr>
        <w:ind w:firstLine="720"/>
        <w:rPr>
          <w:sz w:val="22"/>
          <w:szCs w:val="22"/>
          <w:u w:val="single"/>
        </w:rPr>
      </w:pPr>
      <w:r w:rsidRPr="00B81310">
        <w:rPr>
          <w:b/>
          <w:sz w:val="22"/>
          <w:szCs w:val="22"/>
          <w:u w:val="single"/>
        </w:rPr>
        <w:t>A.  Reporting Requirement of Supporting Materials for Interstate Tariffs</w:t>
      </w:r>
    </w:p>
    <w:p w:rsidR="00B537CB" w:rsidRPr="00B81310" w:rsidP="00B537CB" w14:paraId="0886B8F4" w14:textId="77777777">
      <w:pPr>
        <w:rPr>
          <w:sz w:val="22"/>
          <w:szCs w:val="22"/>
        </w:rPr>
      </w:pPr>
    </w:p>
    <w:p w:rsidR="00B537CB" w:rsidRPr="00B81310" w:rsidP="00B537CB" w14:paraId="33722F4D" w14:textId="77777777">
      <w:pPr>
        <w:ind w:left="720"/>
        <w:rPr>
          <w:sz w:val="22"/>
          <w:szCs w:val="22"/>
        </w:rPr>
      </w:pPr>
      <w:r w:rsidRPr="00B81310">
        <w:rPr>
          <w:sz w:val="22"/>
          <w:szCs w:val="22"/>
        </w:rPr>
        <w:t xml:space="preserve">(1) </w:t>
      </w:r>
      <w:r w:rsidRPr="00B81310">
        <w:rPr>
          <w:sz w:val="22"/>
          <w:szCs w:val="22"/>
          <w:u w:val="single"/>
        </w:rPr>
        <w:t>Number of respondents</w:t>
      </w:r>
      <w:r w:rsidRPr="00B6054B">
        <w:rPr>
          <w:sz w:val="22"/>
          <w:szCs w:val="22"/>
        </w:rPr>
        <w:t xml:space="preserve">:  </w:t>
      </w:r>
      <w:bookmarkStart w:id="3" w:name="_Hlk216963890"/>
      <w:r w:rsidR="00676E55">
        <w:rPr>
          <w:sz w:val="22"/>
          <w:szCs w:val="22"/>
        </w:rPr>
        <w:t>9</w:t>
      </w:r>
      <w:r w:rsidR="003B3B63">
        <w:rPr>
          <w:sz w:val="22"/>
          <w:szCs w:val="22"/>
        </w:rPr>
        <w:t>3</w:t>
      </w:r>
      <w:r w:rsidR="00676E55">
        <w:rPr>
          <w:sz w:val="22"/>
          <w:szCs w:val="22"/>
        </w:rPr>
        <w:t xml:space="preserve"> incumbent LECs </w:t>
      </w:r>
      <w:r w:rsidR="00E02A3D">
        <w:rPr>
          <w:sz w:val="22"/>
          <w:szCs w:val="22"/>
        </w:rPr>
        <w:t>plus</w:t>
      </w:r>
      <w:r w:rsidR="00676E55">
        <w:rPr>
          <w:sz w:val="22"/>
          <w:szCs w:val="22"/>
        </w:rPr>
        <w:t xml:space="preserve"> NECA</w:t>
      </w:r>
      <w:bookmarkEnd w:id="3"/>
      <w:r w:rsidR="00676E55">
        <w:rPr>
          <w:sz w:val="22"/>
          <w:szCs w:val="22"/>
        </w:rPr>
        <w:t>.</w:t>
      </w:r>
    </w:p>
    <w:p w:rsidR="00B537CB" w:rsidRPr="00B81310" w:rsidP="00B537CB" w14:paraId="3E8D5B77" w14:textId="77777777">
      <w:pPr>
        <w:ind w:firstLine="720"/>
        <w:rPr>
          <w:sz w:val="22"/>
          <w:szCs w:val="22"/>
        </w:rPr>
      </w:pPr>
    </w:p>
    <w:p w:rsidR="00B537CB" w:rsidRPr="00B81310" w:rsidP="00B537CB" w14:paraId="4FFAAA70" w14:textId="77777777">
      <w:pPr>
        <w:rPr>
          <w:sz w:val="22"/>
          <w:szCs w:val="22"/>
        </w:rPr>
      </w:pPr>
      <w:r w:rsidRPr="00B81310">
        <w:rPr>
          <w:sz w:val="22"/>
          <w:szCs w:val="22"/>
        </w:rPr>
        <w:t xml:space="preserve">    </w:t>
      </w:r>
      <w:r w:rsidRPr="00B81310">
        <w:rPr>
          <w:sz w:val="22"/>
          <w:szCs w:val="22"/>
        </w:rPr>
        <w:tab/>
        <w:t xml:space="preserve">(2) </w:t>
      </w:r>
      <w:r w:rsidRPr="00B81310">
        <w:rPr>
          <w:sz w:val="22"/>
          <w:szCs w:val="22"/>
          <w:u w:val="single"/>
        </w:rPr>
        <w:t>Frequency of response</w:t>
      </w:r>
      <w:r w:rsidRPr="00B81310">
        <w:rPr>
          <w:sz w:val="22"/>
          <w:szCs w:val="22"/>
        </w:rPr>
        <w:t xml:space="preserve">:  </w:t>
      </w:r>
      <w:r w:rsidR="00293217">
        <w:rPr>
          <w:sz w:val="22"/>
          <w:szCs w:val="22"/>
        </w:rPr>
        <w:t>One-time, o</w:t>
      </w:r>
      <w:r w:rsidR="00E11C6C">
        <w:rPr>
          <w:sz w:val="22"/>
          <w:szCs w:val="22"/>
        </w:rPr>
        <w:t xml:space="preserve">n </w:t>
      </w:r>
      <w:r w:rsidR="00864937">
        <w:rPr>
          <w:sz w:val="22"/>
          <w:szCs w:val="22"/>
        </w:rPr>
        <w:t>occasion, a</w:t>
      </w:r>
      <w:r w:rsidR="001A719B">
        <w:rPr>
          <w:sz w:val="22"/>
          <w:szCs w:val="22"/>
        </w:rPr>
        <w:t>nnual or</w:t>
      </w:r>
      <w:r w:rsidR="00864937">
        <w:rPr>
          <w:sz w:val="22"/>
          <w:szCs w:val="22"/>
        </w:rPr>
        <w:t xml:space="preserve"> biennial reporting requirements.</w:t>
      </w:r>
    </w:p>
    <w:p w:rsidR="00B537CB" w:rsidRPr="00B81310" w:rsidP="00B537CB" w14:paraId="5E696C18" w14:textId="77777777">
      <w:pPr>
        <w:rPr>
          <w:sz w:val="22"/>
          <w:szCs w:val="22"/>
        </w:rPr>
      </w:pPr>
    </w:p>
    <w:p w:rsidR="00B537CB" w:rsidRPr="00B81310" w:rsidP="00B537CB" w14:paraId="0D64B3A8" w14:textId="77777777">
      <w:pPr>
        <w:rPr>
          <w:sz w:val="22"/>
          <w:szCs w:val="22"/>
        </w:rPr>
      </w:pPr>
      <w:r w:rsidRPr="00B81310">
        <w:rPr>
          <w:sz w:val="22"/>
          <w:szCs w:val="22"/>
        </w:rPr>
        <w:tab/>
        <w:t xml:space="preserve">(3) </w:t>
      </w:r>
      <w:r w:rsidRPr="00B81310">
        <w:rPr>
          <w:sz w:val="22"/>
          <w:szCs w:val="22"/>
          <w:u w:val="single"/>
        </w:rPr>
        <w:t>Total number of responses annually</w:t>
      </w:r>
      <w:r w:rsidRPr="00B6054B">
        <w:rPr>
          <w:sz w:val="22"/>
          <w:szCs w:val="22"/>
        </w:rPr>
        <w:t xml:space="preserve">:  </w:t>
      </w:r>
      <w:r w:rsidR="003B3B63">
        <w:rPr>
          <w:sz w:val="22"/>
          <w:szCs w:val="22"/>
        </w:rPr>
        <w:t>94</w:t>
      </w:r>
      <w:r w:rsidRPr="00B6054B">
        <w:rPr>
          <w:sz w:val="22"/>
          <w:szCs w:val="22"/>
        </w:rPr>
        <w:t>.</w:t>
      </w:r>
    </w:p>
    <w:p w:rsidR="00B537CB" w:rsidRPr="00B81310" w:rsidP="00B537CB" w14:paraId="6B4CECD3" w14:textId="77777777">
      <w:pPr>
        <w:rPr>
          <w:sz w:val="22"/>
          <w:szCs w:val="22"/>
        </w:rPr>
      </w:pPr>
    </w:p>
    <w:p w:rsidR="00B537CB" w:rsidRPr="00B81310" w:rsidP="00B537CB" w14:paraId="01264EB8" w14:textId="77777777">
      <w:pPr>
        <w:rPr>
          <w:sz w:val="22"/>
          <w:szCs w:val="22"/>
        </w:rPr>
      </w:pPr>
      <w:r w:rsidRPr="00B81310">
        <w:rPr>
          <w:sz w:val="22"/>
          <w:szCs w:val="22"/>
        </w:rPr>
        <w:tab/>
      </w:r>
      <w:r w:rsidRPr="00B81310">
        <w:rPr>
          <w:sz w:val="22"/>
          <w:szCs w:val="22"/>
        </w:rPr>
        <w:tab/>
      </w:r>
      <w:r w:rsidRPr="0065199E">
        <w:rPr>
          <w:sz w:val="22"/>
          <w:szCs w:val="22"/>
        </w:rPr>
        <w:t>9</w:t>
      </w:r>
      <w:r w:rsidR="003F7659">
        <w:rPr>
          <w:sz w:val="22"/>
          <w:szCs w:val="22"/>
        </w:rPr>
        <w:t>4</w:t>
      </w:r>
      <w:r w:rsidRPr="0065199E">
        <w:rPr>
          <w:sz w:val="22"/>
          <w:szCs w:val="22"/>
        </w:rPr>
        <w:t xml:space="preserve"> respondents x an average of 1 response per year = 9</w:t>
      </w:r>
      <w:r w:rsidR="003F7659">
        <w:rPr>
          <w:sz w:val="22"/>
          <w:szCs w:val="22"/>
        </w:rPr>
        <w:t>4</w:t>
      </w:r>
      <w:r w:rsidRPr="0065199E">
        <w:rPr>
          <w:sz w:val="22"/>
          <w:szCs w:val="22"/>
        </w:rPr>
        <w:t xml:space="preserve"> responses.</w:t>
      </w:r>
    </w:p>
    <w:p w:rsidR="00B537CB" w:rsidRPr="00B81310" w:rsidP="00B537CB" w14:paraId="35A6AA42" w14:textId="77777777">
      <w:pPr>
        <w:rPr>
          <w:sz w:val="22"/>
          <w:szCs w:val="22"/>
        </w:rPr>
      </w:pPr>
    </w:p>
    <w:p w:rsidR="00B537CB" w:rsidRPr="00B81310" w:rsidP="00B537CB" w14:paraId="55DE6F68" w14:textId="77777777">
      <w:pPr>
        <w:ind w:left="1260" w:hanging="540"/>
        <w:rPr>
          <w:sz w:val="22"/>
          <w:szCs w:val="22"/>
        </w:rPr>
      </w:pPr>
      <w:r w:rsidRPr="00B81310">
        <w:rPr>
          <w:sz w:val="22"/>
          <w:szCs w:val="22"/>
        </w:rPr>
        <w:t xml:space="preserve">(4) </w:t>
      </w:r>
      <w:r w:rsidRPr="00B81310">
        <w:rPr>
          <w:sz w:val="22"/>
          <w:szCs w:val="22"/>
          <w:u w:val="single"/>
        </w:rPr>
        <w:t>Annual hour burden per respondent</w:t>
      </w:r>
      <w:r w:rsidRPr="00B81310">
        <w:rPr>
          <w:sz w:val="22"/>
          <w:szCs w:val="22"/>
        </w:rPr>
        <w:t xml:space="preserve">: </w:t>
      </w:r>
      <w:r w:rsidR="0019224F">
        <w:rPr>
          <w:b/>
          <w:sz w:val="22"/>
          <w:szCs w:val="22"/>
        </w:rPr>
        <w:t xml:space="preserve"> </w:t>
      </w:r>
      <w:r w:rsidRPr="0019224F">
        <w:rPr>
          <w:b/>
          <w:sz w:val="22"/>
          <w:szCs w:val="22"/>
        </w:rPr>
        <w:t>53 hours</w:t>
      </w:r>
      <w:r w:rsidRPr="00B81310">
        <w:rPr>
          <w:sz w:val="22"/>
          <w:szCs w:val="22"/>
        </w:rPr>
        <w:t xml:space="preserve">.  </w:t>
      </w:r>
    </w:p>
    <w:p w:rsidR="00B537CB" w:rsidRPr="00B81310" w:rsidP="00B537CB" w14:paraId="5164CE62" w14:textId="77777777">
      <w:pPr>
        <w:ind w:left="1260" w:hanging="540"/>
        <w:rPr>
          <w:sz w:val="22"/>
          <w:szCs w:val="22"/>
        </w:rPr>
      </w:pPr>
    </w:p>
    <w:p w:rsidR="00B537CB" w:rsidRPr="000265D5" w:rsidP="00B537CB" w14:paraId="234E6B22" w14:textId="77777777">
      <w:pPr>
        <w:ind w:left="1260" w:hanging="540"/>
        <w:rPr>
          <w:sz w:val="22"/>
          <w:szCs w:val="22"/>
        </w:rPr>
      </w:pPr>
      <w:r w:rsidRPr="000265D5">
        <w:rPr>
          <w:sz w:val="22"/>
          <w:szCs w:val="22"/>
        </w:rPr>
        <w:t xml:space="preserve">(5) </w:t>
      </w:r>
      <w:r w:rsidRPr="000265D5">
        <w:rPr>
          <w:sz w:val="22"/>
          <w:szCs w:val="22"/>
          <w:u w:val="single"/>
        </w:rPr>
        <w:t>Total annual burden</w:t>
      </w:r>
      <w:r w:rsidRPr="000265D5">
        <w:rPr>
          <w:sz w:val="22"/>
          <w:szCs w:val="22"/>
        </w:rPr>
        <w:t>:</w:t>
      </w:r>
      <w:r w:rsidR="00273DE1">
        <w:rPr>
          <w:sz w:val="22"/>
          <w:szCs w:val="22"/>
        </w:rPr>
        <w:t xml:space="preserve"> </w:t>
      </w:r>
      <w:r w:rsidR="0019224F">
        <w:rPr>
          <w:sz w:val="22"/>
          <w:szCs w:val="22"/>
        </w:rPr>
        <w:t xml:space="preserve"> </w:t>
      </w:r>
      <w:r w:rsidR="00C74625">
        <w:rPr>
          <w:b/>
          <w:sz w:val="22"/>
          <w:szCs w:val="22"/>
        </w:rPr>
        <w:t xml:space="preserve">4,982 </w:t>
      </w:r>
      <w:r w:rsidRPr="00D57071">
        <w:rPr>
          <w:b/>
          <w:sz w:val="22"/>
          <w:szCs w:val="22"/>
        </w:rPr>
        <w:t>hours</w:t>
      </w:r>
      <w:r w:rsidRPr="00B6054B">
        <w:rPr>
          <w:sz w:val="22"/>
          <w:szCs w:val="22"/>
        </w:rPr>
        <w:t>.</w:t>
      </w:r>
    </w:p>
    <w:p w:rsidR="00B537CB" w:rsidRPr="00B81310" w:rsidP="00B537CB" w14:paraId="1270AF8D" w14:textId="77777777">
      <w:pPr>
        <w:ind w:left="1260" w:hanging="540"/>
        <w:rPr>
          <w:sz w:val="22"/>
          <w:szCs w:val="22"/>
        </w:rPr>
      </w:pPr>
    </w:p>
    <w:p w:rsidR="00B537CB" w:rsidRPr="00B81310" w:rsidP="00B537CB" w14:paraId="080B708B" w14:textId="77777777">
      <w:pPr>
        <w:ind w:left="1260" w:hanging="540"/>
        <w:rPr>
          <w:sz w:val="22"/>
          <w:szCs w:val="22"/>
        </w:rPr>
      </w:pPr>
      <w:r w:rsidRPr="00B81310">
        <w:rPr>
          <w:sz w:val="22"/>
          <w:szCs w:val="22"/>
        </w:rPr>
        <w:tab/>
        <w:t>The Commission estimates that ILECs would make 1 filing per year,</w:t>
      </w:r>
      <w:r w:rsidR="00440F13">
        <w:rPr>
          <w:sz w:val="22"/>
          <w:szCs w:val="22"/>
        </w:rPr>
        <w:t xml:space="preserve"> which would take </w:t>
      </w:r>
      <w:r w:rsidRPr="00B81310">
        <w:rPr>
          <w:sz w:val="22"/>
          <w:szCs w:val="22"/>
        </w:rPr>
        <w:t>53 hours to prepare.</w:t>
      </w:r>
    </w:p>
    <w:p w:rsidR="00B537CB" w:rsidRPr="00B81310" w:rsidP="00B537CB" w14:paraId="39E94070" w14:textId="77777777">
      <w:pPr>
        <w:ind w:left="1260" w:hanging="540"/>
        <w:rPr>
          <w:sz w:val="22"/>
          <w:szCs w:val="22"/>
        </w:rPr>
      </w:pPr>
    </w:p>
    <w:p w:rsidR="00B537CB" w:rsidRPr="00B81310" w:rsidP="00B537CB" w14:paraId="4459EE84" w14:textId="77777777">
      <w:pPr>
        <w:ind w:left="1260" w:hanging="540"/>
        <w:rPr>
          <w:sz w:val="22"/>
          <w:szCs w:val="22"/>
        </w:rPr>
      </w:pPr>
      <w:r w:rsidRPr="00B81310">
        <w:rPr>
          <w:sz w:val="22"/>
          <w:szCs w:val="22"/>
        </w:rPr>
        <w:tab/>
      </w:r>
      <w:r w:rsidRPr="00B6054B">
        <w:rPr>
          <w:sz w:val="22"/>
          <w:szCs w:val="22"/>
        </w:rPr>
        <w:t>9</w:t>
      </w:r>
      <w:r w:rsidR="009A6DDD">
        <w:rPr>
          <w:sz w:val="22"/>
          <w:szCs w:val="22"/>
        </w:rPr>
        <w:t xml:space="preserve">4 </w:t>
      </w:r>
      <w:r w:rsidRPr="00B6054B">
        <w:rPr>
          <w:sz w:val="22"/>
          <w:szCs w:val="22"/>
        </w:rPr>
        <w:t>respondents x 1 filing/year x 53 hours =</w:t>
      </w:r>
      <w:r w:rsidRPr="00B6054B">
        <w:rPr>
          <w:b/>
          <w:sz w:val="22"/>
          <w:szCs w:val="22"/>
        </w:rPr>
        <w:t xml:space="preserve"> </w:t>
      </w:r>
      <w:r w:rsidR="009A6DDD">
        <w:rPr>
          <w:sz w:val="22"/>
          <w:szCs w:val="22"/>
        </w:rPr>
        <w:t>4,982</w:t>
      </w:r>
      <w:r w:rsidRPr="00D57071" w:rsidR="004B1DB6">
        <w:rPr>
          <w:sz w:val="22"/>
          <w:szCs w:val="22"/>
        </w:rPr>
        <w:t xml:space="preserve"> </w:t>
      </w:r>
      <w:r w:rsidRPr="00D57071">
        <w:rPr>
          <w:sz w:val="22"/>
          <w:szCs w:val="22"/>
        </w:rPr>
        <w:t>hours.</w:t>
      </w:r>
    </w:p>
    <w:p w:rsidR="00B537CB" w:rsidRPr="00B81310" w:rsidP="00B537CB" w14:paraId="49201206" w14:textId="77777777">
      <w:pPr>
        <w:ind w:left="1260" w:hanging="540"/>
        <w:rPr>
          <w:sz w:val="22"/>
          <w:szCs w:val="22"/>
        </w:rPr>
      </w:pPr>
    </w:p>
    <w:p w:rsidR="00B537CB" w:rsidRPr="00B81310" w:rsidP="00B537CB" w14:paraId="6E604260" w14:textId="51DF2FE9">
      <w:pPr>
        <w:ind w:left="1260" w:hanging="540"/>
        <w:rPr>
          <w:sz w:val="22"/>
          <w:szCs w:val="22"/>
        </w:rPr>
      </w:pPr>
      <w:r w:rsidRPr="00B81310">
        <w:rPr>
          <w:sz w:val="22"/>
          <w:szCs w:val="22"/>
        </w:rPr>
        <w:t xml:space="preserve">(6) </w:t>
      </w:r>
      <w:r w:rsidRPr="00B81310">
        <w:rPr>
          <w:sz w:val="22"/>
          <w:szCs w:val="22"/>
          <w:u w:val="single"/>
        </w:rPr>
        <w:t>Total estimate of “in</w:t>
      </w:r>
      <w:r w:rsidR="00BD15AC">
        <w:rPr>
          <w:sz w:val="22"/>
          <w:szCs w:val="22"/>
          <w:u w:val="single"/>
        </w:rPr>
        <w:t>-</w:t>
      </w:r>
      <w:r w:rsidRPr="00B81310">
        <w:rPr>
          <w:sz w:val="22"/>
          <w:szCs w:val="22"/>
          <w:u w:val="single"/>
        </w:rPr>
        <w:t>house” cost to respondents</w:t>
      </w:r>
      <w:r w:rsidR="008A2C3B">
        <w:rPr>
          <w:sz w:val="22"/>
          <w:szCs w:val="22"/>
        </w:rPr>
        <w:t xml:space="preserve">:  </w:t>
      </w:r>
      <w:r w:rsidRPr="00676E55">
        <w:rPr>
          <w:b/>
          <w:sz w:val="22"/>
          <w:szCs w:val="22"/>
        </w:rPr>
        <w:t>$</w:t>
      </w:r>
      <w:r w:rsidR="00AA7C27">
        <w:rPr>
          <w:b/>
          <w:sz w:val="22"/>
          <w:szCs w:val="22"/>
        </w:rPr>
        <w:t>32</w:t>
      </w:r>
      <w:r w:rsidR="00E96591">
        <w:rPr>
          <w:b/>
          <w:sz w:val="22"/>
          <w:szCs w:val="22"/>
        </w:rPr>
        <w:t>9,443.34.</w:t>
      </w:r>
    </w:p>
    <w:p w:rsidR="00B537CB" w:rsidRPr="00B81310" w:rsidP="00B537CB" w14:paraId="7DDF40AD" w14:textId="77777777">
      <w:pPr>
        <w:ind w:left="1260" w:hanging="540"/>
        <w:rPr>
          <w:sz w:val="22"/>
          <w:szCs w:val="22"/>
        </w:rPr>
      </w:pPr>
    </w:p>
    <w:p w:rsidR="00B537CB" w:rsidRPr="00B81310" w:rsidP="00B537CB" w14:paraId="78C12AF3" w14:textId="77777777">
      <w:pPr>
        <w:ind w:left="1080" w:hanging="360"/>
        <w:rPr>
          <w:sz w:val="22"/>
          <w:szCs w:val="22"/>
        </w:rPr>
      </w:pPr>
      <w:r w:rsidRPr="00B81310">
        <w:rPr>
          <w:sz w:val="22"/>
          <w:szCs w:val="22"/>
        </w:rPr>
        <w:t xml:space="preserve">(7) </w:t>
      </w:r>
      <w:r w:rsidRPr="00B81310">
        <w:rPr>
          <w:sz w:val="22"/>
          <w:szCs w:val="22"/>
          <w:u w:val="single"/>
        </w:rPr>
        <w:t>Explanation of calculation</w:t>
      </w:r>
      <w:r w:rsidRPr="00B81310">
        <w:rPr>
          <w:sz w:val="22"/>
          <w:szCs w:val="22"/>
        </w:rPr>
        <w:t xml:space="preserve">: </w:t>
      </w:r>
    </w:p>
    <w:p w:rsidR="00B537CB" w:rsidRPr="00B81310" w:rsidP="00B537CB" w14:paraId="2599A118" w14:textId="77777777">
      <w:pPr>
        <w:ind w:left="1080" w:hanging="360"/>
        <w:rPr>
          <w:sz w:val="22"/>
          <w:szCs w:val="22"/>
        </w:rPr>
      </w:pPr>
    </w:p>
    <w:p w:rsidR="00C72F92" w:rsidP="00B537CB" w14:paraId="11C5D017" w14:textId="77777777">
      <w:pPr>
        <w:ind w:left="1080"/>
        <w:rPr>
          <w:sz w:val="22"/>
          <w:szCs w:val="22"/>
        </w:rPr>
      </w:pPr>
      <w:r w:rsidRPr="00B81310">
        <w:rPr>
          <w:sz w:val="22"/>
          <w:szCs w:val="22"/>
        </w:rPr>
        <w:t xml:space="preserve">The Commission estimates that </w:t>
      </w:r>
      <w:r w:rsidR="003F6184">
        <w:rPr>
          <w:sz w:val="22"/>
          <w:szCs w:val="22"/>
        </w:rPr>
        <w:t xml:space="preserve">respondents </w:t>
      </w:r>
      <w:r w:rsidR="00761B3F">
        <w:rPr>
          <w:sz w:val="22"/>
          <w:szCs w:val="22"/>
        </w:rPr>
        <w:t>will use person</w:t>
      </w:r>
      <w:r w:rsidR="00793B0D">
        <w:rPr>
          <w:sz w:val="22"/>
          <w:szCs w:val="22"/>
        </w:rPr>
        <w:t>ne</w:t>
      </w:r>
      <w:r w:rsidR="00402EC9">
        <w:rPr>
          <w:sz w:val="22"/>
          <w:szCs w:val="22"/>
        </w:rPr>
        <w:t xml:space="preserve">l comparable in pay to a </w:t>
      </w:r>
    </w:p>
    <w:p w:rsidR="00B537CB" w:rsidRPr="00B81310" w:rsidP="00B537CB" w14:paraId="6CCCC8EF" w14:textId="305E2EC8">
      <w:pPr>
        <w:ind w:left="1080"/>
        <w:rPr>
          <w:sz w:val="22"/>
          <w:szCs w:val="22"/>
        </w:rPr>
      </w:pPr>
      <w:r>
        <w:rPr>
          <w:sz w:val="22"/>
          <w:szCs w:val="22"/>
        </w:rPr>
        <w:t>GS</w:t>
      </w:r>
      <w:r w:rsidR="00C72F92">
        <w:rPr>
          <w:sz w:val="22"/>
          <w:szCs w:val="22"/>
        </w:rPr>
        <w:t>-</w:t>
      </w:r>
      <w:r>
        <w:rPr>
          <w:sz w:val="22"/>
          <w:szCs w:val="22"/>
        </w:rPr>
        <w:t>1</w:t>
      </w:r>
      <w:r w:rsidR="003F7659">
        <w:rPr>
          <w:sz w:val="22"/>
          <w:szCs w:val="22"/>
        </w:rPr>
        <w:t>3</w:t>
      </w:r>
      <w:r>
        <w:rPr>
          <w:sz w:val="22"/>
          <w:szCs w:val="22"/>
        </w:rPr>
        <w:t>/</w:t>
      </w:r>
      <w:r w:rsidR="00793B0D">
        <w:rPr>
          <w:sz w:val="22"/>
          <w:szCs w:val="22"/>
        </w:rPr>
        <w:t xml:space="preserve">Step </w:t>
      </w:r>
      <w:r w:rsidR="00865177">
        <w:rPr>
          <w:sz w:val="22"/>
          <w:szCs w:val="22"/>
        </w:rPr>
        <w:t>5</w:t>
      </w:r>
      <w:r w:rsidR="00793B0D">
        <w:rPr>
          <w:sz w:val="22"/>
          <w:szCs w:val="22"/>
        </w:rPr>
        <w:t xml:space="preserve"> </w:t>
      </w:r>
      <w:r w:rsidR="00761B3F">
        <w:rPr>
          <w:sz w:val="22"/>
          <w:szCs w:val="22"/>
        </w:rPr>
        <w:t>employee, earning</w:t>
      </w:r>
      <w:r w:rsidR="00793B0D">
        <w:rPr>
          <w:sz w:val="22"/>
          <w:szCs w:val="22"/>
        </w:rPr>
        <w:t xml:space="preserve"> $</w:t>
      </w:r>
      <w:r w:rsidR="00AA7C27">
        <w:rPr>
          <w:sz w:val="22"/>
          <w:szCs w:val="22"/>
        </w:rPr>
        <w:t>6</w:t>
      </w:r>
      <w:r w:rsidR="00E96591">
        <w:rPr>
          <w:sz w:val="22"/>
          <w:szCs w:val="22"/>
        </w:rPr>
        <w:t>6.14</w:t>
      </w:r>
      <w:r w:rsidR="00DE3033">
        <w:rPr>
          <w:sz w:val="22"/>
          <w:szCs w:val="22"/>
        </w:rPr>
        <w:t xml:space="preserve"> </w:t>
      </w:r>
      <w:r w:rsidR="00793B0D">
        <w:rPr>
          <w:sz w:val="22"/>
          <w:szCs w:val="22"/>
        </w:rPr>
        <w:t xml:space="preserve">per </w:t>
      </w:r>
      <w:r w:rsidRPr="00B81310">
        <w:rPr>
          <w:sz w:val="22"/>
          <w:szCs w:val="22"/>
        </w:rPr>
        <w:t xml:space="preserve">hour. </w:t>
      </w:r>
    </w:p>
    <w:p w:rsidR="00B537CB" w:rsidRPr="00B81310" w:rsidP="00B537CB" w14:paraId="07457D14" w14:textId="77777777">
      <w:pPr>
        <w:ind w:left="1080"/>
        <w:rPr>
          <w:sz w:val="22"/>
          <w:szCs w:val="22"/>
        </w:rPr>
      </w:pPr>
    </w:p>
    <w:p w:rsidR="00D862A6" w:rsidRPr="000B217E" w:rsidP="000B217E" w14:paraId="0FDC0C4F" w14:textId="15CEDB47">
      <w:pPr>
        <w:ind w:left="1080"/>
        <w:rPr>
          <w:sz w:val="22"/>
          <w:szCs w:val="22"/>
        </w:rPr>
      </w:pPr>
      <w:r>
        <w:rPr>
          <w:sz w:val="22"/>
          <w:szCs w:val="22"/>
        </w:rPr>
        <w:t xml:space="preserve">4,982 </w:t>
      </w:r>
      <w:r w:rsidRPr="00ED0160" w:rsidR="00B537CB">
        <w:rPr>
          <w:sz w:val="22"/>
          <w:szCs w:val="22"/>
        </w:rPr>
        <w:t>hours/year x</w:t>
      </w:r>
      <w:r w:rsidR="004242F7">
        <w:rPr>
          <w:sz w:val="22"/>
          <w:szCs w:val="22"/>
        </w:rPr>
        <w:t xml:space="preserve"> </w:t>
      </w:r>
      <w:r w:rsidR="003F7659">
        <w:rPr>
          <w:sz w:val="22"/>
          <w:szCs w:val="22"/>
        </w:rPr>
        <w:t>$</w:t>
      </w:r>
      <w:r w:rsidR="00AA7C27">
        <w:rPr>
          <w:sz w:val="22"/>
          <w:szCs w:val="22"/>
        </w:rPr>
        <w:t>6</w:t>
      </w:r>
      <w:r w:rsidR="00E96591">
        <w:rPr>
          <w:sz w:val="22"/>
          <w:szCs w:val="22"/>
        </w:rPr>
        <w:t>6.14</w:t>
      </w:r>
      <w:r w:rsidRPr="00ED0160" w:rsidR="00B537CB">
        <w:rPr>
          <w:sz w:val="22"/>
          <w:szCs w:val="22"/>
        </w:rPr>
        <w:t>/hour =</w:t>
      </w:r>
      <w:r w:rsidR="00DE3033">
        <w:rPr>
          <w:sz w:val="22"/>
          <w:szCs w:val="22"/>
        </w:rPr>
        <w:t xml:space="preserve"> $</w:t>
      </w:r>
      <w:r w:rsidR="00AA7C27">
        <w:rPr>
          <w:sz w:val="22"/>
          <w:szCs w:val="22"/>
        </w:rPr>
        <w:t>32</w:t>
      </w:r>
      <w:r w:rsidR="00E96591">
        <w:rPr>
          <w:sz w:val="22"/>
          <w:szCs w:val="22"/>
        </w:rPr>
        <w:t>9</w:t>
      </w:r>
      <w:r w:rsidR="00AA7C27">
        <w:rPr>
          <w:sz w:val="22"/>
          <w:szCs w:val="22"/>
        </w:rPr>
        <w:t>,</w:t>
      </w:r>
      <w:r w:rsidR="00E96591">
        <w:rPr>
          <w:sz w:val="22"/>
          <w:szCs w:val="22"/>
        </w:rPr>
        <w:t>443.34.</w:t>
      </w:r>
    </w:p>
    <w:p w:rsidR="00D341F4" w:rsidP="00B537CB" w14:paraId="07D0F457" w14:textId="77777777">
      <w:pPr>
        <w:rPr>
          <w:b/>
          <w:sz w:val="22"/>
          <w:szCs w:val="22"/>
        </w:rPr>
      </w:pPr>
    </w:p>
    <w:p w:rsidR="00B537CB" w:rsidRPr="00B81310" w:rsidP="00B537CB" w14:paraId="763A6593" w14:textId="77777777">
      <w:pPr>
        <w:rPr>
          <w:sz w:val="22"/>
          <w:szCs w:val="22"/>
          <w:u w:val="single"/>
        </w:rPr>
      </w:pPr>
      <w:r>
        <w:rPr>
          <w:b/>
          <w:sz w:val="22"/>
          <w:szCs w:val="22"/>
        </w:rPr>
        <w:tab/>
      </w:r>
      <w:r w:rsidR="000B217E">
        <w:rPr>
          <w:b/>
          <w:sz w:val="22"/>
          <w:szCs w:val="22"/>
          <w:u w:val="single"/>
        </w:rPr>
        <w:t>B</w:t>
      </w:r>
      <w:r w:rsidRPr="0065199E">
        <w:rPr>
          <w:b/>
          <w:sz w:val="22"/>
          <w:szCs w:val="22"/>
          <w:u w:val="single"/>
        </w:rPr>
        <w:t>.</w:t>
      </w:r>
      <w:r>
        <w:rPr>
          <w:b/>
          <w:sz w:val="22"/>
          <w:szCs w:val="22"/>
          <w:u w:val="single"/>
        </w:rPr>
        <w:t xml:space="preserve">  </w:t>
      </w:r>
      <w:r w:rsidRPr="00B81310">
        <w:rPr>
          <w:b/>
          <w:sz w:val="22"/>
          <w:szCs w:val="22"/>
          <w:u w:val="single"/>
        </w:rPr>
        <w:t>Reporting Requirement of Supporting Materials for Intrastate Tariffs</w:t>
      </w:r>
    </w:p>
    <w:p w:rsidR="00B537CB" w:rsidRPr="00B81310" w:rsidP="00B537CB" w14:paraId="3957AC8B" w14:textId="77777777">
      <w:pPr>
        <w:rPr>
          <w:sz w:val="22"/>
          <w:szCs w:val="22"/>
        </w:rPr>
      </w:pPr>
    </w:p>
    <w:p w:rsidR="00B537CB" w:rsidRPr="00B81310" w:rsidP="00B537CB" w14:paraId="738318F3" w14:textId="77777777">
      <w:pPr>
        <w:ind w:firstLine="720"/>
        <w:rPr>
          <w:sz w:val="22"/>
          <w:szCs w:val="22"/>
        </w:rPr>
      </w:pPr>
      <w:r w:rsidRPr="00B81310">
        <w:rPr>
          <w:sz w:val="22"/>
          <w:szCs w:val="22"/>
        </w:rPr>
        <w:t xml:space="preserve">(1)   </w:t>
      </w:r>
      <w:r w:rsidRPr="00B81310">
        <w:rPr>
          <w:sz w:val="22"/>
          <w:szCs w:val="22"/>
          <w:u w:val="single"/>
        </w:rPr>
        <w:t>Number of respondents</w:t>
      </w:r>
      <w:r w:rsidRPr="00B81310">
        <w:rPr>
          <w:sz w:val="22"/>
          <w:szCs w:val="22"/>
        </w:rPr>
        <w:t xml:space="preserve">:  </w:t>
      </w:r>
      <w:r w:rsidRPr="00B81310" w:rsidR="00977533">
        <w:rPr>
          <w:sz w:val="22"/>
          <w:szCs w:val="22"/>
        </w:rPr>
        <w:t>2</w:t>
      </w:r>
      <w:r w:rsidRPr="00B81310">
        <w:rPr>
          <w:sz w:val="22"/>
          <w:szCs w:val="22"/>
        </w:rPr>
        <w:t>,</w:t>
      </w:r>
      <w:r w:rsidR="00310175">
        <w:rPr>
          <w:sz w:val="22"/>
          <w:szCs w:val="22"/>
        </w:rPr>
        <w:t>7</w:t>
      </w:r>
      <w:r w:rsidR="00DF117A">
        <w:rPr>
          <w:sz w:val="22"/>
          <w:szCs w:val="22"/>
        </w:rPr>
        <w:t>4</w:t>
      </w:r>
      <w:r w:rsidR="00CA11AD">
        <w:rPr>
          <w:sz w:val="22"/>
          <w:szCs w:val="22"/>
        </w:rPr>
        <w:t>7</w:t>
      </w:r>
      <w:r w:rsidR="00CE0298">
        <w:rPr>
          <w:sz w:val="22"/>
          <w:szCs w:val="22"/>
        </w:rPr>
        <w:t>.</w:t>
      </w:r>
      <w:r w:rsidRPr="009A0C4B" w:rsidR="009A0C4B">
        <w:rPr>
          <w:sz w:val="22"/>
          <w:szCs w:val="22"/>
        </w:rPr>
        <w:t xml:space="preserve"> </w:t>
      </w:r>
    </w:p>
    <w:p w:rsidR="00B537CB" w:rsidRPr="00B81310" w:rsidP="00B537CB" w14:paraId="076114EC" w14:textId="77777777">
      <w:pPr>
        <w:rPr>
          <w:sz w:val="22"/>
          <w:szCs w:val="22"/>
        </w:rPr>
      </w:pPr>
    </w:p>
    <w:p w:rsidR="00B537CB" w:rsidRPr="00B81310" w:rsidP="00B537CB" w14:paraId="326C51EA" w14:textId="77777777">
      <w:pPr>
        <w:ind w:firstLine="720"/>
        <w:rPr>
          <w:sz w:val="22"/>
          <w:szCs w:val="22"/>
        </w:rPr>
      </w:pPr>
      <w:r w:rsidRPr="00B81310">
        <w:rPr>
          <w:sz w:val="22"/>
          <w:szCs w:val="22"/>
        </w:rPr>
        <w:t xml:space="preserve">(2)   </w:t>
      </w:r>
      <w:r w:rsidRPr="00B81310">
        <w:rPr>
          <w:sz w:val="22"/>
          <w:szCs w:val="22"/>
          <w:u w:val="single"/>
        </w:rPr>
        <w:t>Frequency of response</w:t>
      </w:r>
      <w:r w:rsidR="003E6AAF">
        <w:rPr>
          <w:sz w:val="22"/>
          <w:szCs w:val="22"/>
        </w:rPr>
        <w:t>:  On</w:t>
      </w:r>
      <w:r w:rsidR="00293217">
        <w:rPr>
          <w:sz w:val="22"/>
          <w:szCs w:val="22"/>
        </w:rPr>
        <w:t>e-time, on</w:t>
      </w:r>
      <w:r w:rsidRPr="00B81310">
        <w:rPr>
          <w:sz w:val="22"/>
          <w:szCs w:val="22"/>
        </w:rPr>
        <w:t xml:space="preserve"> occasion</w:t>
      </w:r>
      <w:r w:rsidR="00293217">
        <w:rPr>
          <w:sz w:val="22"/>
          <w:szCs w:val="22"/>
        </w:rPr>
        <w:t>,</w:t>
      </w:r>
      <w:r w:rsidRPr="00B81310">
        <w:rPr>
          <w:sz w:val="22"/>
          <w:szCs w:val="22"/>
        </w:rPr>
        <w:t xml:space="preserve"> and annual reporting requirements. </w:t>
      </w:r>
    </w:p>
    <w:p w:rsidR="00B537CB" w:rsidRPr="00B81310" w:rsidP="00B537CB" w14:paraId="008F4FFC" w14:textId="77777777">
      <w:pPr>
        <w:rPr>
          <w:sz w:val="22"/>
          <w:szCs w:val="22"/>
        </w:rPr>
      </w:pPr>
    </w:p>
    <w:p w:rsidR="00B537CB" w:rsidRPr="001B7E4B" w:rsidP="00B537CB" w14:paraId="14FC1F16" w14:textId="77777777">
      <w:pPr>
        <w:rPr>
          <w:sz w:val="22"/>
          <w:szCs w:val="22"/>
        </w:rPr>
      </w:pPr>
      <w:r w:rsidRPr="001B7E4B">
        <w:rPr>
          <w:sz w:val="22"/>
          <w:szCs w:val="22"/>
        </w:rPr>
        <w:tab/>
        <w:t xml:space="preserve">(3)   </w:t>
      </w:r>
      <w:r w:rsidRPr="001B7E4B">
        <w:rPr>
          <w:sz w:val="22"/>
          <w:szCs w:val="22"/>
          <w:u w:val="single"/>
        </w:rPr>
        <w:t>Total number of responses annually</w:t>
      </w:r>
      <w:r w:rsidRPr="001B7E4B">
        <w:rPr>
          <w:sz w:val="22"/>
          <w:szCs w:val="22"/>
        </w:rPr>
        <w:t xml:space="preserve">:  </w:t>
      </w:r>
      <w:r w:rsidR="00DF117A">
        <w:rPr>
          <w:sz w:val="22"/>
          <w:szCs w:val="22"/>
        </w:rPr>
        <w:t>2,74</w:t>
      </w:r>
      <w:r w:rsidR="00CA11AD">
        <w:rPr>
          <w:sz w:val="22"/>
          <w:szCs w:val="22"/>
        </w:rPr>
        <w:t>7</w:t>
      </w:r>
      <w:r w:rsidR="00DF117A">
        <w:rPr>
          <w:sz w:val="22"/>
          <w:szCs w:val="22"/>
        </w:rPr>
        <w:t>.</w:t>
      </w:r>
    </w:p>
    <w:p w:rsidR="00B537CB" w:rsidRPr="00B81310" w:rsidP="00B537CB" w14:paraId="27414CBC" w14:textId="77777777">
      <w:pPr>
        <w:rPr>
          <w:sz w:val="22"/>
          <w:szCs w:val="22"/>
        </w:rPr>
      </w:pPr>
    </w:p>
    <w:p w:rsidR="00B537CB" w:rsidRPr="00B81310" w:rsidP="003D45B5" w14:paraId="0F29A10E" w14:textId="77777777">
      <w:pPr>
        <w:ind w:left="720"/>
        <w:rPr>
          <w:sz w:val="22"/>
          <w:szCs w:val="22"/>
        </w:rPr>
      </w:pPr>
      <w:r w:rsidRPr="00B81310">
        <w:rPr>
          <w:sz w:val="22"/>
          <w:szCs w:val="22"/>
        </w:rPr>
        <w:t xml:space="preserve">(4)   </w:t>
      </w:r>
      <w:r w:rsidRPr="00B81310">
        <w:rPr>
          <w:sz w:val="22"/>
          <w:szCs w:val="22"/>
          <w:u w:val="single"/>
        </w:rPr>
        <w:t>Estimated time per response</w:t>
      </w:r>
      <w:r w:rsidRPr="00B81310">
        <w:rPr>
          <w:sz w:val="22"/>
          <w:szCs w:val="22"/>
        </w:rPr>
        <w:t xml:space="preserve">:  </w:t>
      </w:r>
      <w:r w:rsidRPr="00B81310" w:rsidR="00977533">
        <w:rPr>
          <w:sz w:val="22"/>
          <w:szCs w:val="22"/>
        </w:rPr>
        <w:t>2</w:t>
      </w:r>
      <w:r w:rsidRPr="00B81310">
        <w:rPr>
          <w:sz w:val="22"/>
          <w:szCs w:val="22"/>
        </w:rPr>
        <w:t>0 hours.</w:t>
      </w:r>
      <w:r w:rsidRPr="00B81310" w:rsidR="00977533">
        <w:rPr>
          <w:sz w:val="22"/>
          <w:szCs w:val="22"/>
        </w:rPr>
        <w:t xml:space="preserve">  Without surveying the states, it is difficult to estimate the support burden for intrastate tariffs because we do not know the specific state requirements, which likely vary widely.  </w:t>
      </w:r>
    </w:p>
    <w:p w:rsidR="00B537CB" w:rsidRPr="00B81310" w:rsidP="00B537CB" w14:paraId="4B143C43" w14:textId="77777777">
      <w:pPr>
        <w:rPr>
          <w:sz w:val="22"/>
          <w:szCs w:val="22"/>
        </w:rPr>
      </w:pPr>
    </w:p>
    <w:p w:rsidR="00B537CB" w:rsidRPr="00494B28" w:rsidP="00B537CB" w14:paraId="6258B1F0" w14:textId="77777777">
      <w:pPr>
        <w:ind w:firstLine="720"/>
        <w:rPr>
          <w:b/>
          <w:sz w:val="22"/>
          <w:szCs w:val="22"/>
        </w:rPr>
      </w:pPr>
      <w:r w:rsidRPr="001B7E4B">
        <w:rPr>
          <w:sz w:val="22"/>
          <w:szCs w:val="22"/>
        </w:rPr>
        <w:t xml:space="preserve">(5)   </w:t>
      </w:r>
      <w:r w:rsidRPr="001B7E4B">
        <w:rPr>
          <w:sz w:val="22"/>
          <w:szCs w:val="22"/>
          <w:u w:val="single"/>
        </w:rPr>
        <w:t>Total annual burden</w:t>
      </w:r>
      <w:r w:rsidRPr="001B7E4B">
        <w:rPr>
          <w:sz w:val="22"/>
          <w:szCs w:val="22"/>
        </w:rPr>
        <w:t xml:space="preserve">: </w:t>
      </w:r>
      <w:r w:rsidR="00DF117A">
        <w:rPr>
          <w:sz w:val="22"/>
          <w:szCs w:val="22"/>
        </w:rPr>
        <w:t xml:space="preserve"> </w:t>
      </w:r>
      <w:r w:rsidR="005F5041">
        <w:rPr>
          <w:b/>
          <w:sz w:val="22"/>
          <w:szCs w:val="22"/>
        </w:rPr>
        <w:t>54,940</w:t>
      </w:r>
      <w:r w:rsidRPr="00494B28">
        <w:rPr>
          <w:b/>
          <w:sz w:val="22"/>
          <w:szCs w:val="22"/>
        </w:rPr>
        <w:t xml:space="preserve"> hours.</w:t>
      </w:r>
    </w:p>
    <w:p w:rsidR="00B537CB" w:rsidRPr="00B81310" w:rsidP="00B537CB" w14:paraId="7FAF3361" w14:textId="77777777">
      <w:pPr>
        <w:rPr>
          <w:sz w:val="22"/>
          <w:szCs w:val="22"/>
        </w:rPr>
      </w:pPr>
    </w:p>
    <w:p w:rsidR="00B537CB" w:rsidRPr="00B81310" w:rsidP="00B537CB" w14:paraId="7F52FF5A" w14:textId="77777777">
      <w:pPr>
        <w:ind w:left="1440"/>
        <w:rPr>
          <w:sz w:val="22"/>
          <w:szCs w:val="22"/>
        </w:rPr>
      </w:pPr>
      <w:r w:rsidRPr="00B81310">
        <w:rPr>
          <w:sz w:val="22"/>
          <w:szCs w:val="22"/>
        </w:rPr>
        <w:t xml:space="preserve">The Commission estimates that </w:t>
      </w:r>
      <w:r w:rsidR="00265034">
        <w:rPr>
          <w:sz w:val="22"/>
          <w:szCs w:val="22"/>
        </w:rPr>
        <w:t>2,74</w:t>
      </w:r>
      <w:r w:rsidR="00CA11AD">
        <w:rPr>
          <w:sz w:val="22"/>
          <w:szCs w:val="22"/>
        </w:rPr>
        <w:t>7</w:t>
      </w:r>
      <w:r w:rsidRPr="00B81310">
        <w:rPr>
          <w:sz w:val="22"/>
          <w:szCs w:val="22"/>
        </w:rPr>
        <w:t xml:space="preserve"> respondents will require </w:t>
      </w:r>
      <w:r w:rsidRPr="00B81310" w:rsidR="00977533">
        <w:rPr>
          <w:sz w:val="22"/>
          <w:szCs w:val="22"/>
        </w:rPr>
        <w:t>2</w:t>
      </w:r>
      <w:r w:rsidRPr="00B81310">
        <w:rPr>
          <w:sz w:val="22"/>
          <w:szCs w:val="22"/>
        </w:rPr>
        <w:t>0 hours of reporting time per filing.</w:t>
      </w:r>
    </w:p>
    <w:p w:rsidR="00B537CB" w:rsidRPr="00B81310" w:rsidP="00B537CB" w14:paraId="2E1B2E49" w14:textId="77777777">
      <w:pPr>
        <w:rPr>
          <w:sz w:val="22"/>
          <w:szCs w:val="22"/>
        </w:rPr>
      </w:pPr>
    </w:p>
    <w:p w:rsidR="00B537CB" w:rsidRPr="00B81310" w:rsidP="00B537CB" w14:paraId="63CB7378" w14:textId="77777777">
      <w:pPr>
        <w:ind w:left="1440"/>
        <w:rPr>
          <w:sz w:val="22"/>
          <w:szCs w:val="22"/>
        </w:rPr>
      </w:pPr>
      <w:r w:rsidRPr="00B81310">
        <w:rPr>
          <w:sz w:val="22"/>
          <w:szCs w:val="22"/>
        </w:rPr>
        <w:t>2,</w:t>
      </w:r>
      <w:r w:rsidR="00E8701D">
        <w:rPr>
          <w:sz w:val="22"/>
          <w:szCs w:val="22"/>
        </w:rPr>
        <w:t>7</w:t>
      </w:r>
      <w:r w:rsidR="00585D23">
        <w:rPr>
          <w:sz w:val="22"/>
          <w:szCs w:val="22"/>
        </w:rPr>
        <w:t>4</w:t>
      </w:r>
      <w:r w:rsidR="00CA11AD">
        <w:rPr>
          <w:sz w:val="22"/>
          <w:szCs w:val="22"/>
        </w:rPr>
        <w:t>7</w:t>
      </w:r>
      <w:r w:rsidR="00CE0298">
        <w:rPr>
          <w:sz w:val="22"/>
          <w:szCs w:val="22"/>
        </w:rPr>
        <w:t xml:space="preserve"> </w:t>
      </w:r>
      <w:r w:rsidRPr="00B81310">
        <w:rPr>
          <w:sz w:val="22"/>
          <w:szCs w:val="22"/>
        </w:rPr>
        <w:t xml:space="preserve">respondents x 20 hours per response x 1 response per year per respondent = </w:t>
      </w:r>
      <w:r w:rsidR="005F5041">
        <w:rPr>
          <w:sz w:val="22"/>
          <w:szCs w:val="22"/>
        </w:rPr>
        <w:t xml:space="preserve">54,940 </w:t>
      </w:r>
      <w:r w:rsidRPr="00B81310">
        <w:rPr>
          <w:sz w:val="22"/>
          <w:szCs w:val="22"/>
        </w:rPr>
        <w:t xml:space="preserve">hours. </w:t>
      </w:r>
    </w:p>
    <w:p w:rsidR="00B537CB" w:rsidRPr="00B81310" w:rsidP="00B537CB" w14:paraId="0F19B157" w14:textId="77777777">
      <w:pPr>
        <w:rPr>
          <w:sz w:val="22"/>
          <w:szCs w:val="22"/>
        </w:rPr>
      </w:pPr>
    </w:p>
    <w:p w:rsidR="00B537CB" w:rsidRPr="001B7E4B" w:rsidP="00B537CB" w14:paraId="67B51BE9" w14:textId="25D6D3C4">
      <w:pPr>
        <w:ind w:firstLine="720"/>
        <w:rPr>
          <w:sz w:val="22"/>
          <w:szCs w:val="22"/>
        </w:rPr>
      </w:pPr>
      <w:r w:rsidRPr="001B7E4B">
        <w:rPr>
          <w:sz w:val="22"/>
          <w:szCs w:val="22"/>
        </w:rPr>
        <w:t xml:space="preserve">(6)   </w:t>
      </w:r>
      <w:r w:rsidRPr="001B7E4B">
        <w:rPr>
          <w:sz w:val="22"/>
          <w:szCs w:val="22"/>
          <w:u w:val="single"/>
        </w:rPr>
        <w:t>Total estimate of “in</w:t>
      </w:r>
      <w:r w:rsidR="00BD15AC">
        <w:rPr>
          <w:sz w:val="22"/>
          <w:szCs w:val="22"/>
          <w:u w:val="single"/>
        </w:rPr>
        <w:t>-</w:t>
      </w:r>
      <w:r w:rsidRPr="001B7E4B">
        <w:rPr>
          <w:sz w:val="22"/>
          <w:szCs w:val="22"/>
          <w:u w:val="single"/>
        </w:rPr>
        <w:t>house” cost to respondents</w:t>
      </w:r>
      <w:r w:rsidRPr="001B7E4B">
        <w:rPr>
          <w:sz w:val="22"/>
          <w:szCs w:val="22"/>
        </w:rPr>
        <w:t xml:space="preserve">: </w:t>
      </w:r>
      <w:r w:rsidR="00DF117A">
        <w:rPr>
          <w:sz w:val="22"/>
          <w:szCs w:val="22"/>
        </w:rPr>
        <w:t xml:space="preserve"> </w:t>
      </w:r>
      <w:r w:rsidRPr="009541B0">
        <w:rPr>
          <w:b/>
          <w:sz w:val="22"/>
          <w:szCs w:val="22"/>
        </w:rPr>
        <w:t>$</w:t>
      </w:r>
      <w:r w:rsidR="00AA7C27">
        <w:rPr>
          <w:b/>
          <w:sz w:val="22"/>
          <w:szCs w:val="22"/>
        </w:rPr>
        <w:t>3,</w:t>
      </w:r>
      <w:r w:rsidR="00E96591">
        <w:rPr>
          <w:b/>
          <w:sz w:val="22"/>
          <w:szCs w:val="22"/>
        </w:rPr>
        <w:t>633,731.60</w:t>
      </w:r>
      <w:r w:rsidRPr="005F5041" w:rsidR="005F5041">
        <w:rPr>
          <w:b/>
          <w:sz w:val="22"/>
          <w:szCs w:val="22"/>
        </w:rPr>
        <w:t>.</w:t>
      </w:r>
    </w:p>
    <w:p w:rsidR="00B537CB" w:rsidRPr="00B81310" w:rsidP="00B537CB" w14:paraId="29FCBA86" w14:textId="77777777">
      <w:pPr>
        <w:rPr>
          <w:sz w:val="22"/>
          <w:szCs w:val="22"/>
        </w:rPr>
      </w:pPr>
    </w:p>
    <w:p w:rsidR="00B537CB" w:rsidRPr="00B81310" w:rsidP="00B537CB" w14:paraId="5F8C6A57" w14:textId="77777777">
      <w:pPr>
        <w:ind w:firstLine="720"/>
        <w:rPr>
          <w:sz w:val="22"/>
          <w:szCs w:val="22"/>
        </w:rPr>
      </w:pPr>
      <w:r w:rsidRPr="00B81310">
        <w:rPr>
          <w:sz w:val="22"/>
          <w:szCs w:val="22"/>
        </w:rPr>
        <w:t xml:space="preserve">(7)   </w:t>
      </w:r>
      <w:r w:rsidRPr="00B81310">
        <w:rPr>
          <w:sz w:val="22"/>
          <w:szCs w:val="22"/>
          <w:u w:val="single"/>
        </w:rPr>
        <w:t>Explanation of calculation</w:t>
      </w:r>
      <w:r w:rsidRPr="00B81310">
        <w:rPr>
          <w:sz w:val="22"/>
          <w:szCs w:val="22"/>
        </w:rPr>
        <w:t xml:space="preserve">:  </w:t>
      </w:r>
    </w:p>
    <w:p w:rsidR="00B537CB" w:rsidRPr="00B81310" w:rsidP="00B537CB" w14:paraId="28D86645" w14:textId="77777777">
      <w:pPr>
        <w:ind w:firstLine="720"/>
        <w:rPr>
          <w:sz w:val="22"/>
          <w:szCs w:val="22"/>
        </w:rPr>
      </w:pPr>
    </w:p>
    <w:p w:rsidR="00C72F92" w:rsidP="006318A9" w14:paraId="10D836AB" w14:textId="77777777">
      <w:pPr>
        <w:ind w:left="1080"/>
        <w:rPr>
          <w:sz w:val="22"/>
          <w:szCs w:val="22"/>
        </w:rPr>
      </w:pPr>
      <w:r w:rsidRPr="00B81310">
        <w:rPr>
          <w:sz w:val="22"/>
          <w:szCs w:val="22"/>
        </w:rPr>
        <w:t xml:space="preserve">The Commission estimates that </w:t>
      </w:r>
      <w:r>
        <w:rPr>
          <w:sz w:val="22"/>
          <w:szCs w:val="22"/>
        </w:rPr>
        <w:t>respondents will use personne</w:t>
      </w:r>
      <w:r w:rsidR="00402EC9">
        <w:rPr>
          <w:sz w:val="22"/>
          <w:szCs w:val="22"/>
        </w:rPr>
        <w:t xml:space="preserve">l comparable in pay to a </w:t>
      </w:r>
    </w:p>
    <w:p w:rsidR="006318A9" w:rsidRPr="00EB793F" w:rsidP="006318A9" w14:paraId="51B5EA2E" w14:textId="7787D79C">
      <w:pPr>
        <w:ind w:left="1080"/>
        <w:rPr>
          <w:sz w:val="22"/>
          <w:szCs w:val="22"/>
        </w:rPr>
      </w:pPr>
      <w:r>
        <w:rPr>
          <w:sz w:val="22"/>
          <w:szCs w:val="22"/>
        </w:rPr>
        <w:t>GS</w:t>
      </w:r>
      <w:r w:rsidR="00C72F92">
        <w:rPr>
          <w:sz w:val="22"/>
          <w:szCs w:val="22"/>
        </w:rPr>
        <w:t>-</w:t>
      </w:r>
      <w:r>
        <w:rPr>
          <w:sz w:val="22"/>
          <w:szCs w:val="22"/>
        </w:rPr>
        <w:t>1</w:t>
      </w:r>
      <w:r w:rsidR="009A6DDD">
        <w:rPr>
          <w:sz w:val="22"/>
          <w:szCs w:val="22"/>
        </w:rPr>
        <w:t>3</w:t>
      </w:r>
      <w:r>
        <w:rPr>
          <w:sz w:val="22"/>
          <w:szCs w:val="22"/>
        </w:rPr>
        <w:t xml:space="preserve">/Step </w:t>
      </w:r>
      <w:r w:rsidR="00865177">
        <w:rPr>
          <w:sz w:val="22"/>
          <w:szCs w:val="22"/>
        </w:rPr>
        <w:t xml:space="preserve">5 </w:t>
      </w:r>
      <w:r>
        <w:rPr>
          <w:sz w:val="22"/>
          <w:szCs w:val="22"/>
        </w:rPr>
        <w:t>employee, earning $</w:t>
      </w:r>
      <w:r w:rsidR="00AA7C27">
        <w:rPr>
          <w:sz w:val="22"/>
          <w:szCs w:val="22"/>
        </w:rPr>
        <w:t>6</w:t>
      </w:r>
      <w:r w:rsidR="00E96591">
        <w:rPr>
          <w:sz w:val="22"/>
          <w:szCs w:val="22"/>
        </w:rPr>
        <w:t>6.14</w:t>
      </w:r>
      <w:r w:rsidR="00A8199C">
        <w:rPr>
          <w:sz w:val="22"/>
          <w:szCs w:val="22"/>
        </w:rPr>
        <w:t xml:space="preserve"> </w:t>
      </w:r>
      <w:r>
        <w:rPr>
          <w:sz w:val="22"/>
          <w:szCs w:val="22"/>
        </w:rPr>
        <w:t xml:space="preserve">per </w:t>
      </w:r>
      <w:r w:rsidRPr="00B81310">
        <w:rPr>
          <w:sz w:val="22"/>
          <w:szCs w:val="22"/>
        </w:rPr>
        <w:t xml:space="preserve">hour. </w:t>
      </w:r>
    </w:p>
    <w:p w:rsidR="00152AA5" w:rsidRPr="00B81310" w:rsidP="005B00E6" w14:paraId="4AE5B90F" w14:textId="77777777">
      <w:pPr>
        <w:rPr>
          <w:sz w:val="22"/>
          <w:szCs w:val="22"/>
        </w:rPr>
      </w:pPr>
    </w:p>
    <w:p w:rsidR="00B537CB" w:rsidRPr="00B81310" w:rsidP="00B537CB" w14:paraId="69F93FD3" w14:textId="33521393">
      <w:pPr>
        <w:rPr>
          <w:sz w:val="22"/>
          <w:szCs w:val="22"/>
        </w:rPr>
      </w:pPr>
      <w:r>
        <w:rPr>
          <w:sz w:val="22"/>
          <w:szCs w:val="22"/>
        </w:rPr>
        <w:tab/>
      </w:r>
      <w:r w:rsidRPr="00B81310" w:rsidR="00977533">
        <w:rPr>
          <w:sz w:val="22"/>
          <w:szCs w:val="22"/>
        </w:rPr>
        <w:t>5</w:t>
      </w:r>
      <w:r w:rsidR="00265034">
        <w:rPr>
          <w:sz w:val="22"/>
          <w:szCs w:val="22"/>
        </w:rPr>
        <w:t>4,9</w:t>
      </w:r>
      <w:r w:rsidR="005F5041">
        <w:rPr>
          <w:sz w:val="22"/>
          <w:szCs w:val="22"/>
        </w:rPr>
        <w:t>40</w:t>
      </w:r>
      <w:r w:rsidRPr="00B81310">
        <w:rPr>
          <w:sz w:val="22"/>
          <w:szCs w:val="22"/>
        </w:rPr>
        <w:t xml:space="preserve"> hours x $</w:t>
      </w:r>
      <w:r w:rsidR="00AA7C27">
        <w:rPr>
          <w:sz w:val="22"/>
          <w:szCs w:val="22"/>
        </w:rPr>
        <w:t>6</w:t>
      </w:r>
      <w:r w:rsidR="00E96591">
        <w:rPr>
          <w:sz w:val="22"/>
          <w:szCs w:val="22"/>
        </w:rPr>
        <w:t>6.14</w:t>
      </w:r>
      <w:r w:rsidR="00A8199C">
        <w:rPr>
          <w:sz w:val="22"/>
          <w:szCs w:val="22"/>
        </w:rPr>
        <w:t xml:space="preserve"> </w:t>
      </w:r>
      <w:r w:rsidRPr="00B81310">
        <w:rPr>
          <w:sz w:val="22"/>
          <w:szCs w:val="22"/>
        </w:rPr>
        <w:t xml:space="preserve">per hour = </w:t>
      </w:r>
      <w:r w:rsidR="005F5041">
        <w:rPr>
          <w:sz w:val="22"/>
          <w:szCs w:val="22"/>
        </w:rPr>
        <w:t>$</w:t>
      </w:r>
      <w:r w:rsidR="00AA7C27">
        <w:rPr>
          <w:sz w:val="22"/>
          <w:szCs w:val="22"/>
        </w:rPr>
        <w:t>3,</w:t>
      </w:r>
      <w:r w:rsidR="00E96591">
        <w:rPr>
          <w:sz w:val="22"/>
          <w:szCs w:val="22"/>
        </w:rPr>
        <w:t>633,731.60</w:t>
      </w:r>
      <w:r w:rsidR="005F5041">
        <w:rPr>
          <w:sz w:val="22"/>
          <w:szCs w:val="22"/>
        </w:rPr>
        <w:t>.</w:t>
      </w:r>
    </w:p>
    <w:p w:rsidR="00B537CB" w:rsidRPr="00B81310" w:rsidP="00B537CB" w14:paraId="1A127784" w14:textId="77777777">
      <w:pPr>
        <w:rPr>
          <w:sz w:val="22"/>
          <w:szCs w:val="22"/>
        </w:rPr>
      </w:pPr>
    </w:p>
    <w:p w:rsidR="00EC7E7A" w:rsidRPr="00B81310" w:rsidP="00685217" w14:paraId="517FD214" w14:textId="77777777">
      <w:pPr>
        <w:ind w:firstLine="720"/>
        <w:rPr>
          <w:sz w:val="22"/>
          <w:szCs w:val="22"/>
          <w:u w:val="single"/>
        </w:rPr>
      </w:pPr>
      <w:r>
        <w:rPr>
          <w:b/>
          <w:sz w:val="22"/>
          <w:szCs w:val="22"/>
          <w:u w:val="single"/>
        </w:rPr>
        <w:t>C</w:t>
      </w:r>
      <w:r w:rsidRPr="00B81310">
        <w:rPr>
          <w:b/>
          <w:sz w:val="22"/>
          <w:szCs w:val="22"/>
          <w:u w:val="single"/>
        </w:rPr>
        <w:t xml:space="preserve">.  Certification Requirement </w:t>
      </w:r>
    </w:p>
    <w:p w:rsidR="00EC7E7A" w:rsidRPr="00B81310" w:rsidP="00EC7E7A" w14:paraId="2FAB1BEA" w14:textId="77777777">
      <w:pPr>
        <w:rPr>
          <w:sz w:val="22"/>
          <w:szCs w:val="22"/>
        </w:rPr>
      </w:pPr>
    </w:p>
    <w:p w:rsidR="00EC7E7A" w:rsidRPr="00685217" w:rsidP="00EC7E7A" w14:paraId="525AA0E5" w14:textId="34E4C118">
      <w:pPr>
        <w:ind w:firstLine="720"/>
        <w:rPr>
          <w:sz w:val="22"/>
          <w:szCs w:val="22"/>
        </w:rPr>
      </w:pPr>
      <w:r w:rsidRPr="00685217">
        <w:rPr>
          <w:sz w:val="22"/>
          <w:szCs w:val="22"/>
        </w:rPr>
        <w:t xml:space="preserve">(1)   </w:t>
      </w:r>
      <w:r w:rsidRPr="00685217">
        <w:rPr>
          <w:sz w:val="22"/>
          <w:szCs w:val="22"/>
          <w:u w:val="single"/>
        </w:rPr>
        <w:t>Number of respondents</w:t>
      </w:r>
      <w:r w:rsidRPr="00685217">
        <w:rPr>
          <w:sz w:val="22"/>
          <w:szCs w:val="22"/>
        </w:rPr>
        <w:t xml:space="preserve">:  </w:t>
      </w:r>
      <w:r w:rsidR="002C67DF">
        <w:rPr>
          <w:bCs/>
          <w:sz w:val="22"/>
          <w:szCs w:val="22"/>
        </w:rPr>
        <w:t>1,107</w:t>
      </w:r>
      <w:r w:rsidRPr="00CE56A7" w:rsidR="002C67DF">
        <w:rPr>
          <w:bCs/>
          <w:sz w:val="22"/>
          <w:szCs w:val="22"/>
        </w:rPr>
        <w:t xml:space="preserve"> </w:t>
      </w:r>
      <w:r w:rsidRPr="00CE56A7" w:rsidR="002D1754">
        <w:rPr>
          <w:bCs/>
          <w:sz w:val="22"/>
          <w:szCs w:val="22"/>
        </w:rPr>
        <w:t>incumbent LECs subject to rate-of-return regulation</w:t>
      </w:r>
      <w:r w:rsidR="00CE0298">
        <w:rPr>
          <w:b/>
          <w:sz w:val="22"/>
          <w:szCs w:val="22"/>
        </w:rPr>
        <w:t>.</w:t>
      </w:r>
    </w:p>
    <w:p w:rsidR="00EC7E7A" w:rsidRPr="00685217" w:rsidP="00EC7E7A" w14:paraId="79DB5691" w14:textId="77777777">
      <w:pPr>
        <w:rPr>
          <w:sz w:val="22"/>
          <w:szCs w:val="22"/>
        </w:rPr>
      </w:pPr>
    </w:p>
    <w:p w:rsidR="00EC7E7A" w:rsidRPr="00685217" w:rsidP="00EC7E7A" w14:paraId="6E94EFA9" w14:textId="77777777">
      <w:pPr>
        <w:ind w:firstLine="720"/>
        <w:rPr>
          <w:sz w:val="22"/>
          <w:szCs w:val="22"/>
        </w:rPr>
      </w:pPr>
      <w:r w:rsidRPr="00685217">
        <w:rPr>
          <w:sz w:val="22"/>
          <w:szCs w:val="22"/>
        </w:rPr>
        <w:t xml:space="preserve">(2)   </w:t>
      </w:r>
      <w:r w:rsidRPr="00685217">
        <w:rPr>
          <w:sz w:val="22"/>
          <w:szCs w:val="22"/>
          <w:u w:val="single"/>
        </w:rPr>
        <w:t>Frequency of response</w:t>
      </w:r>
      <w:r w:rsidR="00132045">
        <w:rPr>
          <w:sz w:val="22"/>
          <w:szCs w:val="22"/>
        </w:rPr>
        <w:t>:  Annual reporting requirement</w:t>
      </w:r>
      <w:r w:rsidR="002D1754">
        <w:rPr>
          <w:sz w:val="22"/>
          <w:szCs w:val="22"/>
        </w:rPr>
        <w:t xml:space="preserve"> per 47 CFR § 51.917(d), (f)</w:t>
      </w:r>
      <w:r w:rsidR="00132045">
        <w:rPr>
          <w:sz w:val="22"/>
          <w:szCs w:val="22"/>
        </w:rPr>
        <w:t>.</w:t>
      </w:r>
    </w:p>
    <w:p w:rsidR="00EC7E7A" w:rsidRPr="00685217" w:rsidP="00EC7E7A" w14:paraId="62BB1151" w14:textId="77777777">
      <w:pPr>
        <w:rPr>
          <w:sz w:val="22"/>
          <w:szCs w:val="22"/>
        </w:rPr>
      </w:pPr>
    </w:p>
    <w:p w:rsidR="00EC7E7A" w:rsidRPr="00685217" w:rsidP="00EC7E7A" w14:paraId="3D94320F" w14:textId="15BEBFF5">
      <w:pPr>
        <w:rPr>
          <w:sz w:val="22"/>
          <w:szCs w:val="22"/>
        </w:rPr>
      </w:pPr>
      <w:r w:rsidRPr="00685217">
        <w:rPr>
          <w:sz w:val="22"/>
          <w:szCs w:val="22"/>
        </w:rPr>
        <w:tab/>
        <w:t xml:space="preserve">(3)   </w:t>
      </w:r>
      <w:r w:rsidRPr="00685217">
        <w:rPr>
          <w:sz w:val="22"/>
          <w:szCs w:val="22"/>
          <w:u w:val="single"/>
        </w:rPr>
        <w:t>Total number of responses annually</w:t>
      </w:r>
      <w:r w:rsidR="0087001B">
        <w:rPr>
          <w:sz w:val="22"/>
          <w:szCs w:val="22"/>
        </w:rPr>
        <w:t xml:space="preserve">:  </w:t>
      </w:r>
      <w:r w:rsidR="002C67DF">
        <w:rPr>
          <w:sz w:val="22"/>
          <w:szCs w:val="22"/>
        </w:rPr>
        <w:t>1,107</w:t>
      </w:r>
      <w:r w:rsidR="00480DF0">
        <w:rPr>
          <w:sz w:val="22"/>
          <w:szCs w:val="22"/>
        </w:rPr>
        <w:t>.</w:t>
      </w:r>
    </w:p>
    <w:p w:rsidR="00EC7E7A" w:rsidRPr="00685217" w:rsidP="00EC7E7A" w14:paraId="795136EC" w14:textId="77777777">
      <w:pPr>
        <w:rPr>
          <w:sz w:val="22"/>
          <w:szCs w:val="22"/>
        </w:rPr>
      </w:pPr>
    </w:p>
    <w:p w:rsidR="00EC7E7A" w:rsidRPr="006354CC" w:rsidP="00EC7E7A" w14:paraId="3BB4F4E5" w14:textId="77777777">
      <w:pPr>
        <w:rPr>
          <w:sz w:val="22"/>
          <w:szCs w:val="22"/>
        </w:rPr>
      </w:pPr>
      <w:r w:rsidRPr="00685217">
        <w:rPr>
          <w:sz w:val="22"/>
          <w:szCs w:val="22"/>
        </w:rPr>
        <w:tab/>
        <w:t xml:space="preserve">(4)   </w:t>
      </w:r>
      <w:r w:rsidRPr="006354CC">
        <w:rPr>
          <w:sz w:val="22"/>
          <w:szCs w:val="22"/>
          <w:u w:val="single"/>
        </w:rPr>
        <w:t>Estimated time per response</w:t>
      </w:r>
      <w:r w:rsidRPr="006354CC">
        <w:rPr>
          <w:sz w:val="22"/>
          <w:szCs w:val="22"/>
        </w:rPr>
        <w:t>:  0.5 hours.</w:t>
      </w:r>
    </w:p>
    <w:p w:rsidR="00EC7E7A" w:rsidRPr="006354CC" w:rsidP="00EC7E7A" w14:paraId="2823C418" w14:textId="77777777">
      <w:pPr>
        <w:rPr>
          <w:sz w:val="22"/>
          <w:szCs w:val="22"/>
        </w:rPr>
      </w:pPr>
    </w:p>
    <w:p w:rsidR="00EC7E7A" w:rsidRPr="006354CC" w:rsidP="00EC7E7A" w14:paraId="7F268A75" w14:textId="57CF0EDF">
      <w:pPr>
        <w:ind w:firstLine="720"/>
        <w:rPr>
          <w:b/>
          <w:sz w:val="22"/>
          <w:szCs w:val="22"/>
        </w:rPr>
      </w:pPr>
      <w:r w:rsidRPr="006354CC">
        <w:rPr>
          <w:sz w:val="22"/>
          <w:szCs w:val="22"/>
        </w:rPr>
        <w:t xml:space="preserve">(5)   </w:t>
      </w:r>
      <w:r w:rsidRPr="006354CC">
        <w:rPr>
          <w:sz w:val="22"/>
          <w:szCs w:val="22"/>
          <w:u w:val="single"/>
        </w:rPr>
        <w:t>Total annual burden</w:t>
      </w:r>
      <w:r w:rsidRPr="006354CC">
        <w:rPr>
          <w:sz w:val="22"/>
          <w:szCs w:val="22"/>
        </w:rPr>
        <w:t xml:space="preserve">: </w:t>
      </w:r>
      <w:r w:rsidR="002F54D1">
        <w:rPr>
          <w:b/>
          <w:sz w:val="22"/>
          <w:szCs w:val="22"/>
        </w:rPr>
        <w:t>554</w:t>
      </w:r>
      <w:r w:rsidRPr="00BB7E40" w:rsidR="002F54D1">
        <w:rPr>
          <w:b/>
          <w:sz w:val="22"/>
          <w:szCs w:val="22"/>
        </w:rPr>
        <w:t xml:space="preserve"> </w:t>
      </w:r>
      <w:r w:rsidRPr="00BB7E40">
        <w:rPr>
          <w:b/>
          <w:sz w:val="22"/>
          <w:szCs w:val="22"/>
        </w:rPr>
        <w:t>hours</w:t>
      </w:r>
      <w:r w:rsidRPr="006354CC">
        <w:rPr>
          <w:b/>
          <w:sz w:val="22"/>
          <w:szCs w:val="22"/>
        </w:rPr>
        <w:t>.</w:t>
      </w:r>
    </w:p>
    <w:p w:rsidR="00EC7E7A" w:rsidRPr="006354CC" w:rsidP="00EC7E7A" w14:paraId="049A9E1F" w14:textId="77777777">
      <w:pPr>
        <w:rPr>
          <w:sz w:val="22"/>
          <w:szCs w:val="22"/>
        </w:rPr>
      </w:pPr>
    </w:p>
    <w:p w:rsidR="00EC7E7A" w:rsidRPr="006354CC" w:rsidP="00EC7E7A" w14:paraId="3AB0C93A" w14:textId="3F02B6E1">
      <w:pPr>
        <w:ind w:left="1440"/>
        <w:rPr>
          <w:sz w:val="22"/>
          <w:szCs w:val="22"/>
        </w:rPr>
      </w:pPr>
      <w:r w:rsidRPr="006354CC">
        <w:rPr>
          <w:sz w:val="22"/>
          <w:szCs w:val="22"/>
        </w:rPr>
        <w:t>The Commissi</w:t>
      </w:r>
      <w:r w:rsidR="00E64E05">
        <w:rPr>
          <w:sz w:val="22"/>
          <w:szCs w:val="22"/>
        </w:rPr>
        <w:t xml:space="preserve">on estimates that </w:t>
      </w:r>
      <w:r w:rsidR="007932EE">
        <w:rPr>
          <w:sz w:val="22"/>
          <w:szCs w:val="22"/>
        </w:rPr>
        <w:t>1,107</w:t>
      </w:r>
      <w:r w:rsidRPr="006354CC">
        <w:rPr>
          <w:sz w:val="22"/>
          <w:szCs w:val="22"/>
        </w:rPr>
        <w:t xml:space="preserve"> respondents will require 0.5 hours of reporting time per filing.</w:t>
      </w:r>
    </w:p>
    <w:p w:rsidR="00EC7E7A" w:rsidRPr="006354CC" w:rsidP="00EC7E7A" w14:paraId="2B24983A" w14:textId="77777777">
      <w:pPr>
        <w:rPr>
          <w:sz w:val="22"/>
          <w:szCs w:val="22"/>
        </w:rPr>
      </w:pPr>
    </w:p>
    <w:p w:rsidR="00EC7E7A" w:rsidRPr="006354CC" w:rsidP="00EC7E7A" w14:paraId="35F0C0F6" w14:textId="0E766A60">
      <w:pPr>
        <w:ind w:left="1440"/>
        <w:rPr>
          <w:sz w:val="22"/>
          <w:szCs w:val="22"/>
        </w:rPr>
      </w:pPr>
      <w:r>
        <w:rPr>
          <w:sz w:val="22"/>
          <w:szCs w:val="22"/>
        </w:rPr>
        <w:t>1,107</w:t>
      </w:r>
      <w:r w:rsidRPr="006354CC" w:rsidR="0036693B">
        <w:rPr>
          <w:sz w:val="22"/>
          <w:szCs w:val="22"/>
        </w:rPr>
        <w:t xml:space="preserve"> responde</w:t>
      </w:r>
      <w:r w:rsidR="0087001B">
        <w:rPr>
          <w:sz w:val="22"/>
          <w:szCs w:val="22"/>
        </w:rPr>
        <w:t>nts x 0.5 hours per response x 1</w:t>
      </w:r>
      <w:r w:rsidRPr="006354CC" w:rsidR="0036693B">
        <w:rPr>
          <w:sz w:val="22"/>
          <w:szCs w:val="22"/>
        </w:rPr>
        <w:t xml:space="preserve"> response </w:t>
      </w:r>
      <w:r w:rsidR="0087001B">
        <w:rPr>
          <w:sz w:val="22"/>
          <w:szCs w:val="22"/>
        </w:rPr>
        <w:t xml:space="preserve">per year per respondent = </w:t>
      </w:r>
      <w:r>
        <w:rPr>
          <w:sz w:val="22"/>
          <w:szCs w:val="22"/>
        </w:rPr>
        <w:t>554</w:t>
      </w:r>
      <w:r w:rsidR="00E13215">
        <w:rPr>
          <w:sz w:val="22"/>
          <w:szCs w:val="22"/>
        </w:rPr>
        <w:t xml:space="preserve"> (</w:t>
      </w:r>
      <w:r>
        <w:rPr>
          <w:sz w:val="22"/>
          <w:szCs w:val="22"/>
        </w:rPr>
        <w:t xml:space="preserve">553.5 </w:t>
      </w:r>
      <w:r w:rsidR="00E13215">
        <w:rPr>
          <w:sz w:val="22"/>
          <w:szCs w:val="22"/>
        </w:rPr>
        <w:t>rounded up).</w:t>
      </w:r>
    </w:p>
    <w:p w:rsidR="00EC7E7A" w:rsidRPr="006354CC" w:rsidP="00EC7E7A" w14:paraId="702779AD" w14:textId="77777777">
      <w:pPr>
        <w:rPr>
          <w:sz w:val="22"/>
          <w:szCs w:val="22"/>
        </w:rPr>
      </w:pPr>
    </w:p>
    <w:p w:rsidR="009D3465" w:rsidP="00D57071" w14:paraId="3573D9A9" w14:textId="595EC49D">
      <w:pPr>
        <w:ind w:firstLine="720"/>
        <w:rPr>
          <w:sz w:val="22"/>
          <w:szCs w:val="22"/>
        </w:rPr>
      </w:pPr>
      <w:r w:rsidRPr="006354CC">
        <w:rPr>
          <w:sz w:val="22"/>
          <w:szCs w:val="22"/>
        </w:rPr>
        <w:t xml:space="preserve">(6)   </w:t>
      </w:r>
      <w:r w:rsidRPr="006354CC">
        <w:rPr>
          <w:sz w:val="22"/>
          <w:szCs w:val="22"/>
          <w:u w:val="single"/>
        </w:rPr>
        <w:t>Total estimate of “in</w:t>
      </w:r>
      <w:r w:rsidRPr="006354CC" w:rsidR="00BD15AC">
        <w:rPr>
          <w:sz w:val="22"/>
          <w:szCs w:val="22"/>
          <w:u w:val="single"/>
        </w:rPr>
        <w:t>-</w:t>
      </w:r>
      <w:r w:rsidRPr="006354CC">
        <w:rPr>
          <w:sz w:val="22"/>
          <w:szCs w:val="22"/>
          <w:u w:val="single"/>
        </w:rPr>
        <w:t>house” cost to respondents</w:t>
      </w:r>
      <w:r w:rsidRPr="006354CC">
        <w:rPr>
          <w:sz w:val="22"/>
          <w:szCs w:val="22"/>
        </w:rPr>
        <w:t xml:space="preserve">:  </w:t>
      </w:r>
      <w:r w:rsidRPr="00DB5F48" w:rsidR="0087001B">
        <w:rPr>
          <w:b/>
          <w:sz w:val="22"/>
          <w:szCs w:val="22"/>
        </w:rPr>
        <w:t>$</w:t>
      </w:r>
      <w:r w:rsidR="00FF6F05">
        <w:rPr>
          <w:b/>
          <w:sz w:val="22"/>
          <w:szCs w:val="22"/>
        </w:rPr>
        <w:t>36,</w:t>
      </w:r>
      <w:r w:rsidR="009A4089">
        <w:rPr>
          <w:b/>
          <w:sz w:val="22"/>
          <w:szCs w:val="22"/>
        </w:rPr>
        <w:t>641.56</w:t>
      </w:r>
      <w:r w:rsidR="002C5588">
        <w:rPr>
          <w:b/>
          <w:sz w:val="22"/>
          <w:szCs w:val="22"/>
        </w:rPr>
        <w:t>.</w:t>
      </w:r>
    </w:p>
    <w:p w:rsidR="009D3465" w:rsidRPr="006354CC" w:rsidP="00EC7E7A" w14:paraId="3871ECF4" w14:textId="77777777">
      <w:pPr>
        <w:rPr>
          <w:sz w:val="22"/>
          <w:szCs w:val="22"/>
        </w:rPr>
      </w:pPr>
    </w:p>
    <w:p w:rsidR="00EC7E7A" w:rsidP="00EC7E7A" w14:paraId="059C2E33" w14:textId="77777777">
      <w:pPr>
        <w:ind w:firstLine="720"/>
        <w:rPr>
          <w:sz w:val="22"/>
          <w:szCs w:val="22"/>
        </w:rPr>
      </w:pPr>
      <w:r w:rsidRPr="006354CC">
        <w:rPr>
          <w:sz w:val="22"/>
          <w:szCs w:val="22"/>
        </w:rPr>
        <w:t xml:space="preserve">(7)   </w:t>
      </w:r>
      <w:r w:rsidRPr="006354CC">
        <w:rPr>
          <w:sz w:val="22"/>
          <w:szCs w:val="22"/>
          <w:u w:val="single"/>
        </w:rPr>
        <w:t>Explanation of calculation</w:t>
      </w:r>
      <w:r w:rsidRPr="006354CC">
        <w:rPr>
          <w:sz w:val="22"/>
          <w:szCs w:val="22"/>
        </w:rPr>
        <w:t xml:space="preserve">:  </w:t>
      </w:r>
    </w:p>
    <w:p w:rsidR="005B00E6" w:rsidRPr="006354CC" w:rsidP="00EC7E7A" w14:paraId="53A52109" w14:textId="77777777">
      <w:pPr>
        <w:ind w:firstLine="720"/>
        <w:rPr>
          <w:sz w:val="22"/>
          <w:szCs w:val="22"/>
        </w:rPr>
      </w:pPr>
    </w:p>
    <w:p w:rsidR="00C72F92" w:rsidP="005B00E6" w14:paraId="00F12D31" w14:textId="77777777">
      <w:pPr>
        <w:ind w:left="1080"/>
        <w:rPr>
          <w:sz w:val="22"/>
          <w:szCs w:val="22"/>
        </w:rPr>
      </w:pPr>
      <w:r w:rsidRPr="00B81310">
        <w:rPr>
          <w:sz w:val="22"/>
          <w:szCs w:val="22"/>
        </w:rPr>
        <w:t xml:space="preserve">The Commission estimates that </w:t>
      </w:r>
      <w:r>
        <w:rPr>
          <w:sz w:val="22"/>
          <w:szCs w:val="22"/>
        </w:rPr>
        <w:t>respondents will use personne</w:t>
      </w:r>
      <w:r w:rsidR="00402EC9">
        <w:rPr>
          <w:sz w:val="22"/>
          <w:szCs w:val="22"/>
        </w:rPr>
        <w:t xml:space="preserve">l comparable in pay to a </w:t>
      </w:r>
    </w:p>
    <w:p w:rsidR="00EC7E7A" w:rsidRPr="006354CC" w:rsidP="005B00E6" w14:paraId="3F5F58E3" w14:textId="3B7C2A27">
      <w:pPr>
        <w:ind w:left="1080"/>
        <w:rPr>
          <w:sz w:val="22"/>
          <w:szCs w:val="22"/>
        </w:rPr>
      </w:pPr>
      <w:r>
        <w:rPr>
          <w:sz w:val="22"/>
          <w:szCs w:val="22"/>
        </w:rPr>
        <w:t>GS</w:t>
      </w:r>
      <w:r w:rsidR="00C72F92">
        <w:rPr>
          <w:sz w:val="22"/>
          <w:szCs w:val="22"/>
        </w:rPr>
        <w:t>-</w:t>
      </w:r>
      <w:r>
        <w:rPr>
          <w:sz w:val="22"/>
          <w:szCs w:val="22"/>
        </w:rPr>
        <w:t>1</w:t>
      </w:r>
      <w:r w:rsidR="002C5588">
        <w:rPr>
          <w:sz w:val="22"/>
          <w:szCs w:val="22"/>
        </w:rPr>
        <w:t>3</w:t>
      </w:r>
      <w:r>
        <w:rPr>
          <w:sz w:val="22"/>
          <w:szCs w:val="22"/>
        </w:rPr>
        <w:t>/</w:t>
      </w:r>
      <w:r w:rsidR="005B00E6">
        <w:rPr>
          <w:sz w:val="22"/>
          <w:szCs w:val="22"/>
        </w:rPr>
        <w:t xml:space="preserve">Step </w:t>
      </w:r>
      <w:r w:rsidR="00865177">
        <w:rPr>
          <w:sz w:val="22"/>
          <w:szCs w:val="22"/>
        </w:rPr>
        <w:t xml:space="preserve">5 </w:t>
      </w:r>
      <w:r w:rsidR="005B00E6">
        <w:rPr>
          <w:sz w:val="22"/>
          <w:szCs w:val="22"/>
        </w:rPr>
        <w:t>employee, earning $</w:t>
      </w:r>
      <w:r w:rsidR="008C57A3">
        <w:rPr>
          <w:sz w:val="22"/>
          <w:szCs w:val="22"/>
        </w:rPr>
        <w:t>6</w:t>
      </w:r>
      <w:r w:rsidR="009A4089">
        <w:rPr>
          <w:sz w:val="22"/>
          <w:szCs w:val="22"/>
        </w:rPr>
        <w:t>6.14</w:t>
      </w:r>
      <w:r w:rsidR="002C5588">
        <w:rPr>
          <w:sz w:val="22"/>
          <w:szCs w:val="22"/>
        </w:rPr>
        <w:t xml:space="preserve"> </w:t>
      </w:r>
      <w:r w:rsidR="005B00E6">
        <w:rPr>
          <w:sz w:val="22"/>
          <w:szCs w:val="22"/>
        </w:rPr>
        <w:t xml:space="preserve">per </w:t>
      </w:r>
      <w:r w:rsidRPr="00B81310" w:rsidR="005B00E6">
        <w:rPr>
          <w:sz w:val="22"/>
          <w:szCs w:val="22"/>
        </w:rPr>
        <w:t xml:space="preserve">hour. </w:t>
      </w:r>
    </w:p>
    <w:p w:rsidR="00EC7E7A" w:rsidRPr="006354CC" w:rsidP="00EC7E7A" w14:paraId="47E1DD20" w14:textId="77777777">
      <w:pPr>
        <w:rPr>
          <w:sz w:val="22"/>
          <w:szCs w:val="22"/>
        </w:rPr>
      </w:pPr>
      <w:r>
        <w:rPr>
          <w:sz w:val="22"/>
          <w:szCs w:val="22"/>
        </w:rPr>
        <w:tab/>
      </w:r>
      <w:r>
        <w:rPr>
          <w:sz w:val="22"/>
          <w:szCs w:val="22"/>
        </w:rPr>
        <w:tab/>
      </w:r>
    </w:p>
    <w:p w:rsidR="00EC7E7A" w:rsidP="00EC7E7A" w14:paraId="3EECDFB4" w14:textId="62524DA0">
      <w:pPr>
        <w:rPr>
          <w:sz w:val="22"/>
          <w:szCs w:val="22"/>
        </w:rPr>
      </w:pPr>
      <w:r w:rsidRPr="006354CC">
        <w:rPr>
          <w:sz w:val="22"/>
          <w:szCs w:val="22"/>
        </w:rPr>
        <w:tab/>
      </w:r>
      <w:r w:rsidRPr="006354CC">
        <w:rPr>
          <w:sz w:val="22"/>
          <w:szCs w:val="22"/>
        </w:rPr>
        <w:tab/>
      </w:r>
      <w:r w:rsidR="002F54D1">
        <w:rPr>
          <w:sz w:val="22"/>
          <w:szCs w:val="22"/>
        </w:rPr>
        <w:t>554</w:t>
      </w:r>
      <w:r w:rsidRPr="006354CC" w:rsidR="002F54D1">
        <w:rPr>
          <w:sz w:val="22"/>
          <w:szCs w:val="22"/>
        </w:rPr>
        <w:t xml:space="preserve"> </w:t>
      </w:r>
      <w:r w:rsidRPr="006354CC">
        <w:rPr>
          <w:sz w:val="22"/>
          <w:szCs w:val="22"/>
        </w:rPr>
        <w:t>hours x $</w:t>
      </w:r>
      <w:r w:rsidR="009A4089">
        <w:rPr>
          <w:sz w:val="22"/>
          <w:szCs w:val="22"/>
        </w:rPr>
        <w:t>66.14</w:t>
      </w:r>
      <w:r w:rsidR="000E655D">
        <w:rPr>
          <w:sz w:val="22"/>
          <w:szCs w:val="22"/>
        </w:rPr>
        <w:t xml:space="preserve"> </w:t>
      </w:r>
      <w:r w:rsidRPr="006354CC">
        <w:rPr>
          <w:sz w:val="22"/>
          <w:szCs w:val="22"/>
        </w:rPr>
        <w:t>per hour = $</w:t>
      </w:r>
      <w:r w:rsidR="002F54D1">
        <w:rPr>
          <w:sz w:val="22"/>
          <w:szCs w:val="22"/>
        </w:rPr>
        <w:t>36,</w:t>
      </w:r>
      <w:r w:rsidR="009A4089">
        <w:rPr>
          <w:sz w:val="22"/>
          <w:szCs w:val="22"/>
        </w:rPr>
        <w:t>641.56</w:t>
      </w:r>
      <w:r w:rsidR="002C5588">
        <w:rPr>
          <w:sz w:val="22"/>
          <w:szCs w:val="22"/>
        </w:rPr>
        <w:t>.</w:t>
      </w:r>
    </w:p>
    <w:p w:rsidR="00A966AF" w:rsidP="00EC7E7A" w14:paraId="204ED662" w14:textId="77777777">
      <w:pPr>
        <w:rPr>
          <w:sz w:val="22"/>
          <w:szCs w:val="22"/>
        </w:rPr>
      </w:pPr>
    </w:p>
    <w:p w:rsidR="00EA120C" w:rsidP="00B537CB" w14:paraId="0B8326DA" w14:textId="77777777">
      <w:pPr>
        <w:rPr>
          <w:b/>
          <w:sz w:val="22"/>
          <w:szCs w:val="22"/>
        </w:rPr>
      </w:pPr>
    </w:p>
    <w:p w:rsidR="00FB4235" w:rsidRPr="007A6095" w:rsidP="00B537CB" w14:paraId="417623FB" w14:textId="77777777">
      <w:pPr>
        <w:rPr>
          <w:b/>
          <w:sz w:val="22"/>
          <w:szCs w:val="22"/>
        </w:rPr>
      </w:pPr>
      <w:r w:rsidRPr="007A6095">
        <w:rPr>
          <w:b/>
          <w:sz w:val="22"/>
          <w:szCs w:val="22"/>
        </w:rPr>
        <w:t>Total</w:t>
      </w:r>
      <w:r w:rsidR="003E4379">
        <w:rPr>
          <w:b/>
          <w:sz w:val="22"/>
          <w:szCs w:val="22"/>
        </w:rPr>
        <w:t xml:space="preserve"> R</w:t>
      </w:r>
      <w:r w:rsidRPr="007A6095" w:rsidR="0025712B">
        <w:rPr>
          <w:b/>
          <w:sz w:val="22"/>
          <w:szCs w:val="22"/>
        </w:rPr>
        <w:t xml:space="preserve">espondents: </w:t>
      </w:r>
      <w:r w:rsidR="00E71F17">
        <w:rPr>
          <w:b/>
          <w:sz w:val="22"/>
          <w:szCs w:val="22"/>
        </w:rPr>
        <w:t>2,747</w:t>
      </w:r>
      <w:r w:rsidR="00C66973">
        <w:rPr>
          <w:b/>
          <w:sz w:val="22"/>
          <w:szCs w:val="22"/>
        </w:rPr>
        <w:t>.</w:t>
      </w:r>
    </w:p>
    <w:p w:rsidR="00757B42" w:rsidRPr="007A6095" w:rsidP="00B537CB" w14:paraId="6C4F2328" w14:textId="77777777">
      <w:pPr>
        <w:rPr>
          <w:b/>
          <w:sz w:val="22"/>
          <w:szCs w:val="22"/>
        </w:rPr>
      </w:pPr>
    </w:p>
    <w:p w:rsidR="00F72580" w:rsidRPr="007A6095" w:rsidP="00B537CB" w14:paraId="3304A09B" w14:textId="4DB1A290">
      <w:pPr>
        <w:rPr>
          <w:b/>
          <w:sz w:val="22"/>
          <w:szCs w:val="22"/>
        </w:rPr>
      </w:pPr>
      <w:r w:rsidRPr="007A6095">
        <w:rPr>
          <w:b/>
          <w:sz w:val="22"/>
          <w:szCs w:val="22"/>
        </w:rPr>
        <w:t>Total Annual Responses:  9</w:t>
      </w:r>
      <w:r w:rsidR="00626EAA">
        <w:rPr>
          <w:b/>
          <w:sz w:val="22"/>
          <w:szCs w:val="22"/>
        </w:rPr>
        <w:t>4</w:t>
      </w:r>
      <w:r w:rsidR="00441C33">
        <w:rPr>
          <w:b/>
          <w:sz w:val="22"/>
          <w:szCs w:val="22"/>
        </w:rPr>
        <w:t xml:space="preserve"> </w:t>
      </w:r>
      <w:r w:rsidRPr="007A6095">
        <w:rPr>
          <w:b/>
          <w:sz w:val="22"/>
          <w:szCs w:val="22"/>
        </w:rPr>
        <w:t xml:space="preserve">+ </w:t>
      </w:r>
      <w:r w:rsidRPr="007A6095" w:rsidR="009B2DD9">
        <w:rPr>
          <w:b/>
          <w:sz w:val="22"/>
          <w:szCs w:val="22"/>
        </w:rPr>
        <w:t>2,</w:t>
      </w:r>
      <w:r w:rsidR="00666ABD">
        <w:rPr>
          <w:b/>
          <w:sz w:val="22"/>
          <w:szCs w:val="22"/>
        </w:rPr>
        <w:t>74</w:t>
      </w:r>
      <w:r w:rsidR="00CA11AD">
        <w:rPr>
          <w:b/>
          <w:sz w:val="22"/>
          <w:szCs w:val="22"/>
        </w:rPr>
        <w:t>7</w:t>
      </w:r>
      <w:r w:rsidRPr="007A6095" w:rsidR="009B2DD9">
        <w:rPr>
          <w:b/>
          <w:sz w:val="22"/>
          <w:szCs w:val="22"/>
        </w:rPr>
        <w:t xml:space="preserve"> + </w:t>
      </w:r>
      <w:r w:rsidR="00FF6F05">
        <w:rPr>
          <w:b/>
          <w:sz w:val="22"/>
          <w:szCs w:val="22"/>
        </w:rPr>
        <w:t>1,107</w:t>
      </w:r>
      <w:r w:rsidR="00D96759">
        <w:rPr>
          <w:b/>
          <w:sz w:val="22"/>
          <w:szCs w:val="22"/>
        </w:rPr>
        <w:t xml:space="preserve"> </w:t>
      </w:r>
      <w:r w:rsidRPr="007A6095" w:rsidR="007630A9">
        <w:rPr>
          <w:b/>
          <w:sz w:val="22"/>
          <w:szCs w:val="22"/>
        </w:rPr>
        <w:t xml:space="preserve">= </w:t>
      </w:r>
      <w:r w:rsidR="00FA1310">
        <w:rPr>
          <w:b/>
          <w:sz w:val="22"/>
          <w:szCs w:val="22"/>
        </w:rPr>
        <w:t xml:space="preserve"> </w:t>
      </w:r>
      <w:r w:rsidR="0084053F">
        <w:rPr>
          <w:b/>
          <w:sz w:val="22"/>
          <w:szCs w:val="22"/>
        </w:rPr>
        <w:t>3,948</w:t>
      </w:r>
      <w:r w:rsidR="005F5041">
        <w:rPr>
          <w:b/>
          <w:sz w:val="22"/>
          <w:szCs w:val="22"/>
        </w:rPr>
        <w:t xml:space="preserve"> </w:t>
      </w:r>
      <w:r w:rsidR="00F57804">
        <w:rPr>
          <w:b/>
          <w:sz w:val="22"/>
          <w:szCs w:val="22"/>
        </w:rPr>
        <w:t>responses.</w:t>
      </w:r>
    </w:p>
    <w:p w:rsidR="00F72580" w:rsidRPr="007A6095" w:rsidP="00B537CB" w14:paraId="53922383" w14:textId="77777777">
      <w:pPr>
        <w:rPr>
          <w:b/>
          <w:sz w:val="22"/>
          <w:szCs w:val="22"/>
        </w:rPr>
      </w:pPr>
    </w:p>
    <w:p w:rsidR="00CD45F0" w:rsidP="00B537CB" w14:paraId="28694430" w14:textId="22601923">
      <w:pPr>
        <w:rPr>
          <w:b/>
          <w:sz w:val="22"/>
          <w:szCs w:val="22"/>
        </w:rPr>
      </w:pPr>
      <w:r w:rsidRPr="007A6095">
        <w:rPr>
          <w:b/>
          <w:sz w:val="22"/>
          <w:szCs w:val="22"/>
        </w:rPr>
        <w:t xml:space="preserve">Total Annual </w:t>
      </w:r>
      <w:r w:rsidRPr="007A6095" w:rsidR="00494B28">
        <w:rPr>
          <w:b/>
          <w:sz w:val="22"/>
          <w:szCs w:val="22"/>
        </w:rPr>
        <w:t xml:space="preserve">Burden </w:t>
      </w:r>
      <w:r w:rsidRPr="007A6095">
        <w:rPr>
          <w:b/>
          <w:sz w:val="22"/>
          <w:szCs w:val="22"/>
        </w:rPr>
        <w:t>Hours</w:t>
      </w:r>
      <w:r w:rsidRPr="007A6095" w:rsidR="00494B28">
        <w:rPr>
          <w:b/>
          <w:sz w:val="22"/>
          <w:szCs w:val="22"/>
        </w:rPr>
        <w:t xml:space="preserve">:  </w:t>
      </w:r>
      <w:r w:rsidR="00C74625">
        <w:rPr>
          <w:b/>
          <w:sz w:val="22"/>
          <w:szCs w:val="22"/>
        </w:rPr>
        <w:t xml:space="preserve">4,982 </w:t>
      </w:r>
      <w:r w:rsidRPr="007A6095" w:rsidR="0006143F">
        <w:rPr>
          <w:b/>
          <w:sz w:val="22"/>
          <w:szCs w:val="22"/>
        </w:rPr>
        <w:t>+</w:t>
      </w:r>
      <w:r w:rsidRPr="00D57071" w:rsidR="00F514F2">
        <w:rPr>
          <w:b/>
          <w:sz w:val="22"/>
          <w:szCs w:val="22"/>
        </w:rPr>
        <w:t xml:space="preserve"> </w:t>
      </w:r>
      <w:r w:rsidR="00666ABD">
        <w:rPr>
          <w:b/>
          <w:sz w:val="22"/>
          <w:szCs w:val="22"/>
        </w:rPr>
        <w:t>54,9</w:t>
      </w:r>
      <w:r w:rsidR="005F5041">
        <w:rPr>
          <w:b/>
          <w:sz w:val="22"/>
          <w:szCs w:val="22"/>
        </w:rPr>
        <w:t>40</w:t>
      </w:r>
      <w:r w:rsidRPr="007A6095" w:rsidR="0087001B">
        <w:rPr>
          <w:b/>
          <w:sz w:val="22"/>
          <w:szCs w:val="22"/>
        </w:rPr>
        <w:t xml:space="preserve"> + </w:t>
      </w:r>
      <w:r w:rsidR="0084053F">
        <w:rPr>
          <w:b/>
          <w:sz w:val="22"/>
          <w:szCs w:val="22"/>
        </w:rPr>
        <w:t>554</w:t>
      </w:r>
      <w:r w:rsidRPr="007A6095" w:rsidR="0084053F">
        <w:rPr>
          <w:b/>
          <w:sz w:val="22"/>
          <w:szCs w:val="22"/>
        </w:rPr>
        <w:t xml:space="preserve"> </w:t>
      </w:r>
      <w:r w:rsidR="00666ABD">
        <w:rPr>
          <w:b/>
          <w:sz w:val="22"/>
          <w:szCs w:val="22"/>
        </w:rPr>
        <w:t>=</w:t>
      </w:r>
      <w:r w:rsidR="004A76C1">
        <w:rPr>
          <w:b/>
          <w:sz w:val="22"/>
          <w:szCs w:val="22"/>
        </w:rPr>
        <w:t xml:space="preserve"> </w:t>
      </w:r>
      <w:r w:rsidR="00C74625">
        <w:rPr>
          <w:b/>
          <w:sz w:val="22"/>
          <w:szCs w:val="22"/>
        </w:rPr>
        <w:t>60,</w:t>
      </w:r>
      <w:r w:rsidR="0084053F">
        <w:rPr>
          <w:b/>
          <w:sz w:val="22"/>
          <w:szCs w:val="22"/>
        </w:rPr>
        <w:t>476</w:t>
      </w:r>
      <w:r w:rsidR="00C74625">
        <w:rPr>
          <w:b/>
          <w:sz w:val="22"/>
          <w:szCs w:val="22"/>
        </w:rPr>
        <w:t>.</w:t>
      </w:r>
    </w:p>
    <w:p w:rsidR="00C3530B" w:rsidRPr="007A6095" w:rsidP="00B537CB" w14:paraId="6969B8FB" w14:textId="77777777">
      <w:pPr>
        <w:rPr>
          <w:b/>
          <w:sz w:val="22"/>
          <w:szCs w:val="22"/>
        </w:rPr>
      </w:pPr>
    </w:p>
    <w:p w:rsidR="00C3530B" w:rsidRPr="00F57804" w:rsidP="00C3530B" w14:paraId="17EA6355" w14:textId="65188A3E">
      <w:pPr>
        <w:rPr>
          <w:b/>
          <w:sz w:val="22"/>
          <w:szCs w:val="22"/>
        </w:rPr>
      </w:pPr>
      <w:r w:rsidRPr="007A6095">
        <w:rPr>
          <w:b/>
          <w:sz w:val="22"/>
          <w:szCs w:val="22"/>
        </w:rPr>
        <w:t xml:space="preserve">Total </w:t>
      </w:r>
      <w:r w:rsidRPr="007A6095" w:rsidR="00A87961">
        <w:rPr>
          <w:b/>
          <w:sz w:val="22"/>
          <w:szCs w:val="22"/>
        </w:rPr>
        <w:t>“</w:t>
      </w:r>
      <w:r w:rsidRPr="007A6095">
        <w:rPr>
          <w:b/>
          <w:sz w:val="22"/>
          <w:szCs w:val="22"/>
        </w:rPr>
        <w:t>in-house</w:t>
      </w:r>
      <w:r w:rsidRPr="007A6095" w:rsidR="00A87961">
        <w:rPr>
          <w:b/>
          <w:sz w:val="22"/>
          <w:szCs w:val="22"/>
        </w:rPr>
        <w:t>”</w:t>
      </w:r>
      <w:r w:rsidRPr="007A6095">
        <w:rPr>
          <w:b/>
          <w:sz w:val="22"/>
          <w:szCs w:val="22"/>
        </w:rPr>
        <w:t xml:space="preserve"> cost to Respondents:</w:t>
      </w:r>
      <w:r w:rsidRPr="007A6095" w:rsidR="002761BD">
        <w:rPr>
          <w:b/>
          <w:sz w:val="22"/>
          <w:szCs w:val="22"/>
        </w:rPr>
        <w:t xml:space="preserve">  </w:t>
      </w:r>
      <w:r w:rsidRPr="00F57804" w:rsidR="002761BD">
        <w:rPr>
          <w:b/>
          <w:sz w:val="22"/>
          <w:szCs w:val="22"/>
        </w:rPr>
        <w:t>$</w:t>
      </w:r>
      <w:r w:rsidR="009C6203">
        <w:rPr>
          <w:b/>
          <w:sz w:val="22"/>
          <w:szCs w:val="22"/>
        </w:rPr>
        <w:t>3</w:t>
      </w:r>
      <w:r w:rsidR="005F1A1B">
        <w:rPr>
          <w:b/>
          <w:sz w:val="22"/>
          <w:szCs w:val="22"/>
        </w:rPr>
        <w:t>29,443.34</w:t>
      </w:r>
      <w:r w:rsidR="002C5588">
        <w:rPr>
          <w:b/>
          <w:sz w:val="22"/>
          <w:szCs w:val="22"/>
        </w:rPr>
        <w:t xml:space="preserve"> </w:t>
      </w:r>
      <w:r w:rsidRPr="00F57804">
        <w:rPr>
          <w:b/>
          <w:sz w:val="22"/>
          <w:szCs w:val="22"/>
        </w:rPr>
        <w:t>+ $</w:t>
      </w:r>
      <w:r w:rsidR="009C6203">
        <w:rPr>
          <w:b/>
          <w:sz w:val="22"/>
          <w:szCs w:val="22"/>
        </w:rPr>
        <w:t>3,</w:t>
      </w:r>
      <w:r w:rsidR="005F1A1B">
        <w:rPr>
          <w:b/>
          <w:sz w:val="22"/>
          <w:szCs w:val="22"/>
        </w:rPr>
        <w:t>633,731.60</w:t>
      </w:r>
      <w:r w:rsidRPr="00F57804">
        <w:rPr>
          <w:b/>
          <w:sz w:val="22"/>
          <w:szCs w:val="22"/>
        </w:rPr>
        <w:t xml:space="preserve"> + $</w:t>
      </w:r>
      <w:r w:rsidR="007932EE">
        <w:rPr>
          <w:b/>
          <w:sz w:val="22"/>
          <w:szCs w:val="22"/>
        </w:rPr>
        <w:t>36,</w:t>
      </w:r>
      <w:r w:rsidR="005F1A1B">
        <w:rPr>
          <w:b/>
          <w:sz w:val="22"/>
          <w:szCs w:val="22"/>
        </w:rPr>
        <w:t>641.56</w:t>
      </w:r>
      <w:r w:rsidR="002C5588">
        <w:rPr>
          <w:b/>
          <w:sz w:val="22"/>
          <w:szCs w:val="22"/>
        </w:rPr>
        <w:t xml:space="preserve"> </w:t>
      </w:r>
      <w:r w:rsidRPr="00F57804">
        <w:rPr>
          <w:b/>
          <w:sz w:val="22"/>
          <w:szCs w:val="22"/>
        </w:rPr>
        <w:t xml:space="preserve">= </w:t>
      </w:r>
      <w:r w:rsidR="00F57804">
        <w:rPr>
          <w:b/>
          <w:sz w:val="22"/>
          <w:szCs w:val="22"/>
        </w:rPr>
        <w:t>$</w:t>
      </w:r>
      <w:r w:rsidRPr="007932EE" w:rsidR="007932EE">
        <w:rPr>
          <w:b/>
          <w:sz w:val="22"/>
          <w:szCs w:val="22"/>
        </w:rPr>
        <w:t>3,9</w:t>
      </w:r>
      <w:r w:rsidR="005F1A1B">
        <w:rPr>
          <w:b/>
          <w:sz w:val="22"/>
          <w:szCs w:val="22"/>
        </w:rPr>
        <w:t>99</w:t>
      </w:r>
      <w:r w:rsidRPr="007932EE" w:rsidR="007932EE">
        <w:rPr>
          <w:b/>
          <w:sz w:val="22"/>
          <w:szCs w:val="22"/>
        </w:rPr>
        <w:t>,</w:t>
      </w:r>
      <w:r w:rsidR="005F1A1B">
        <w:rPr>
          <w:b/>
          <w:sz w:val="22"/>
          <w:szCs w:val="22"/>
        </w:rPr>
        <w:t>816</w:t>
      </w:r>
      <w:r w:rsidRPr="007932EE" w:rsidR="007932EE">
        <w:rPr>
          <w:b/>
          <w:sz w:val="22"/>
          <w:szCs w:val="22"/>
        </w:rPr>
        <w:t>.</w:t>
      </w:r>
      <w:r w:rsidR="005F1A1B">
        <w:rPr>
          <w:b/>
          <w:sz w:val="22"/>
          <w:szCs w:val="22"/>
        </w:rPr>
        <w:t>50</w:t>
      </w:r>
      <w:r w:rsidR="00253A15">
        <w:rPr>
          <w:b/>
          <w:sz w:val="22"/>
          <w:szCs w:val="22"/>
        </w:rPr>
        <w:t>.</w:t>
      </w:r>
    </w:p>
    <w:p w:rsidR="00F72580" w:rsidRPr="00B81310" w:rsidP="00CF69BC" w14:paraId="15F167CF" w14:textId="77777777">
      <w:pPr>
        <w:rPr>
          <w:sz w:val="22"/>
          <w:szCs w:val="22"/>
        </w:rPr>
      </w:pPr>
    </w:p>
    <w:p w:rsidR="00B537CB" w:rsidRPr="00B81310" w:rsidP="00B537CB" w14:paraId="69281EF4" w14:textId="77777777">
      <w:pPr>
        <w:rPr>
          <w:sz w:val="22"/>
          <w:szCs w:val="22"/>
        </w:rPr>
      </w:pPr>
      <w:r w:rsidRPr="00B81310">
        <w:rPr>
          <w:sz w:val="22"/>
          <w:szCs w:val="22"/>
        </w:rPr>
        <w:t>13.</w:t>
      </w:r>
      <w:r w:rsidRPr="00B81310">
        <w:rPr>
          <w:sz w:val="22"/>
          <w:szCs w:val="22"/>
        </w:rPr>
        <w:tab/>
        <w:t xml:space="preserve">Estimated cost to the Respondent:  </w:t>
      </w:r>
      <w:r w:rsidR="00F72580">
        <w:rPr>
          <w:sz w:val="22"/>
          <w:szCs w:val="22"/>
        </w:rPr>
        <w:t>There are no</w:t>
      </w:r>
      <w:r w:rsidR="008B218B">
        <w:rPr>
          <w:sz w:val="22"/>
          <w:szCs w:val="22"/>
        </w:rPr>
        <w:t xml:space="preserve"> </w:t>
      </w:r>
      <w:r w:rsidR="00DF01AB">
        <w:rPr>
          <w:sz w:val="22"/>
          <w:szCs w:val="22"/>
        </w:rPr>
        <w:t xml:space="preserve">TRP </w:t>
      </w:r>
      <w:r w:rsidR="008B218B">
        <w:rPr>
          <w:sz w:val="22"/>
          <w:szCs w:val="22"/>
        </w:rPr>
        <w:t>filing c</w:t>
      </w:r>
      <w:r w:rsidR="00F72580">
        <w:rPr>
          <w:sz w:val="22"/>
          <w:szCs w:val="22"/>
        </w:rPr>
        <w:t>ost</w:t>
      </w:r>
      <w:r w:rsidR="002761BD">
        <w:rPr>
          <w:sz w:val="22"/>
          <w:szCs w:val="22"/>
        </w:rPr>
        <w:t>s</w:t>
      </w:r>
      <w:r w:rsidR="00F72580">
        <w:rPr>
          <w:sz w:val="22"/>
          <w:szCs w:val="22"/>
        </w:rPr>
        <w:t xml:space="preserve"> to the respondent</w:t>
      </w:r>
      <w:r w:rsidR="008B218B">
        <w:rPr>
          <w:sz w:val="22"/>
          <w:szCs w:val="22"/>
        </w:rPr>
        <w:t>s</w:t>
      </w:r>
      <w:r w:rsidR="00DF01AB">
        <w:rPr>
          <w:sz w:val="22"/>
          <w:szCs w:val="22"/>
        </w:rPr>
        <w:t xml:space="preserve">.  </w:t>
      </w:r>
    </w:p>
    <w:p w:rsidR="00B537CB" w:rsidRPr="00B81310" w:rsidP="00B537CB" w14:paraId="43385DAB" w14:textId="77777777">
      <w:pPr>
        <w:rPr>
          <w:sz w:val="22"/>
          <w:szCs w:val="22"/>
        </w:rPr>
      </w:pPr>
    </w:p>
    <w:p w:rsidR="00B537CB" w:rsidP="00B537CB" w14:paraId="646E3998" w14:textId="77777777">
      <w:pPr>
        <w:rPr>
          <w:sz w:val="22"/>
          <w:szCs w:val="22"/>
        </w:rPr>
      </w:pPr>
      <w:r w:rsidRPr="00B81310">
        <w:rPr>
          <w:sz w:val="22"/>
          <w:szCs w:val="22"/>
        </w:rPr>
        <w:t>14.</w:t>
      </w:r>
      <w:r w:rsidRPr="00B81310">
        <w:rPr>
          <w:sz w:val="22"/>
          <w:szCs w:val="22"/>
        </w:rPr>
        <w:tab/>
        <w:t xml:space="preserve">Estimated cost to the Commission:  </w:t>
      </w:r>
      <w:r w:rsidRPr="00B81310" w:rsidR="00612084">
        <w:rPr>
          <w:sz w:val="22"/>
          <w:szCs w:val="22"/>
        </w:rPr>
        <w:t>The cost of the certification review is encompassed in our current tariff review costs</w:t>
      </w:r>
      <w:r w:rsidRPr="00B81310">
        <w:rPr>
          <w:sz w:val="22"/>
          <w:szCs w:val="22"/>
        </w:rPr>
        <w:t>.</w:t>
      </w:r>
      <w:r w:rsidRPr="00B81310" w:rsidR="00977533">
        <w:rPr>
          <w:sz w:val="22"/>
          <w:szCs w:val="22"/>
        </w:rPr>
        <w:t xml:space="preserve">  </w:t>
      </w:r>
    </w:p>
    <w:p w:rsidR="0066146D" w:rsidRPr="0066146D" w:rsidP="00B537CB" w14:paraId="73A45934" w14:textId="77777777">
      <w:pPr>
        <w:rPr>
          <w:strike/>
          <w:sz w:val="22"/>
          <w:szCs w:val="22"/>
        </w:rPr>
      </w:pPr>
    </w:p>
    <w:p w:rsidR="00D23B02" w:rsidP="00D23B02" w14:paraId="5B5D965E" w14:textId="3BFECC2D">
      <w:pPr>
        <w:rPr>
          <w:sz w:val="22"/>
          <w:szCs w:val="22"/>
        </w:rPr>
      </w:pPr>
      <w:r w:rsidRPr="00B81310">
        <w:rPr>
          <w:sz w:val="22"/>
          <w:szCs w:val="22"/>
        </w:rPr>
        <w:t>15</w:t>
      </w:r>
      <w:bookmarkStart w:id="4" w:name="OLE_LINK3"/>
      <w:bookmarkStart w:id="5" w:name="OLE_LINK4"/>
      <w:r w:rsidR="00303EC8">
        <w:rPr>
          <w:sz w:val="22"/>
          <w:szCs w:val="22"/>
        </w:rPr>
        <w:t>.</w:t>
      </w:r>
      <w:r w:rsidR="00303EC8">
        <w:rPr>
          <w:sz w:val="22"/>
          <w:szCs w:val="22"/>
        </w:rPr>
        <w:tab/>
        <w:t>Since the last submission</w:t>
      </w:r>
      <w:r w:rsidR="005F1A1B">
        <w:rPr>
          <w:sz w:val="22"/>
          <w:szCs w:val="22"/>
        </w:rPr>
        <w:t xml:space="preserve"> to OMB</w:t>
      </w:r>
      <w:r w:rsidR="00303EC8">
        <w:rPr>
          <w:sz w:val="22"/>
          <w:szCs w:val="22"/>
        </w:rPr>
        <w:t>, t</w:t>
      </w:r>
      <w:r w:rsidR="00752344">
        <w:rPr>
          <w:sz w:val="22"/>
          <w:szCs w:val="22"/>
        </w:rPr>
        <w:t xml:space="preserve">he </w:t>
      </w:r>
      <w:r w:rsidR="001D0944">
        <w:rPr>
          <w:sz w:val="22"/>
          <w:szCs w:val="22"/>
        </w:rPr>
        <w:t xml:space="preserve">number of </w:t>
      </w:r>
      <w:r w:rsidR="00C66973">
        <w:rPr>
          <w:sz w:val="22"/>
          <w:szCs w:val="22"/>
        </w:rPr>
        <w:t xml:space="preserve">respondents for the </w:t>
      </w:r>
      <w:r w:rsidR="007932EE">
        <w:rPr>
          <w:sz w:val="22"/>
          <w:szCs w:val="22"/>
        </w:rPr>
        <w:t>certification</w:t>
      </w:r>
      <w:r w:rsidR="00C66973">
        <w:rPr>
          <w:sz w:val="22"/>
          <w:szCs w:val="22"/>
        </w:rPr>
        <w:t xml:space="preserve"> requirement decreased from </w:t>
      </w:r>
      <w:r w:rsidR="007932EE">
        <w:rPr>
          <w:sz w:val="22"/>
          <w:szCs w:val="22"/>
        </w:rPr>
        <w:t>1,307 to 1,107 (-200)</w:t>
      </w:r>
      <w:r>
        <w:rPr>
          <w:sz w:val="22"/>
          <w:szCs w:val="22"/>
        </w:rPr>
        <w:t xml:space="preserve">, as a result, this decreased the overall total number of responses  from 4,148 to 3,948 (-200) and </w:t>
      </w:r>
      <w:r w:rsidR="00C150C7">
        <w:rPr>
          <w:sz w:val="22"/>
          <w:szCs w:val="22"/>
        </w:rPr>
        <w:t xml:space="preserve">decreased the overall </w:t>
      </w:r>
      <w:r>
        <w:rPr>
          <w:sz w:val="22"/>
          <w:szCs w:val="22"/>
        </w:rPr>
        <w:t>total annual burden hours from 60,576 to 60,476</w:t>
      </w:r>
      <w:r w:rsidRPr="00D95294">
        <w:rPr>
          <w:sz w:val="22"/>
          <w:szCs w:val="22"/>
        </w:rPr>
        <w:t xml:space="preserve"> hours</w:t>
      </w:r>
      <w:r>
        <w:rPr>
          <w:sz w:val="22"/>
          <w:szCs w:val="22"/>
        </w:rPr>
        <w:t xml:space="preserve"> to 554 (-100)</w:t>
      </w:r>
      <w:r w:rsidR="00C150C7">
        <w:rPr>
          <w:sz w:val="22"/>
          <w:szCs w:val="22"/>
        </w:rPr>
        <w:t xml:space="preserve">. These adjustments/decreases are due to changes in </w:t>
      </w:r>
      <w:r w:rsidR="00012397">
        <w:rPr>
          <w:sz w:val="22"/>
          <w:szCs w:val="22"/>
        </w:rPr>
        <w:t xml:space="preserve">the </w:t>
      </w:r>
      <w:r w:rsidR="00C150C7">
        <w:rPr>
          <w:sz w:val="22"/>
          <w:szCs w:val="22"/>
        </w:rPr>
        <w:t xml:space="preserve">marketplace. </w:t>
      </w:r>
    </w:p>
    <w:p w:rsidR="00303EC8" w:rsidP="00035579" w14:paraId="0D239110" w14:textId="77777777">
      <w:pPr>
        <w:rPr>
          <w:sz w:val="22"/>
          <w:szCs w:val="22"/>
        </w:rPr>
      </w:pPr>
    </w:p>
    <w:p w:rsidR="00303EC8" w:rsidP="00035579" w14:paraId="2880CA6A" w14:textId="77777777">
      <w:pPr>
        <w:rPr>
          <w:sz w:val="22"/>
          <w:szCs w:val="22"/>
        </w:rPr>
      </w:pPr>
      <w:r>
        <w:rPr>
          <w:sz w:val="22"/>
          <w:szCs w:val="22"/>
        </w:rPr>
        <w:tab/>
        <w:t>There are no program changes.</w:t>
      </w:r>
      <w:r>
        <w:rPr>
          <w:sz w:val="22"/>
          <w:szCs w:val="22"/>
        </w:rPr>
        <w:tab/>
      </w:r>
    </w:p>
    <w:p w:rsidR="00D249EB" w:rsidP="00D57071" w14:paraId="6FE2066F" w14:textId="77777777"/>
    <w:bookmarkEnd w:id="4"/>
    <w:bookmarkEnd w:id="5"/>
    <w:p w:rsidR="00B537CB" w:rsidRPr="00B81310" w:rsidP="00B537CB" w14:paraId="4D1DBB49" w14:textId="77777777">
      <w:pPr>
        <w:rPr>
          <w:sz w:val="22"/>
          <w:szCs w:val="22"/>
        </w:rPr>
      </w:pPr>
      <w:r w:rsidRPr="00B81310">
        <w:rPr>
          <w:sz w:val="22"/>
          <w:szCs w:val="22"/>
        </w:rPr>
        <w:t>16.</w:t>
      </w:r>
      <w:r w:rsidRPr="00B81310">
        <w:rPr>
          <w:sz w:val="22"/>
          <w:szCs w:val="22"/>
        </w:rPr>
        <w:tab/>
        <w:t>The Commission does not anticipate that it will publish any of the information proposed to be collected as a result of the TRP.</w:t>
      </w:r>
    </w:p>
    <w:p w:rsidR="00B537CB" w:rsidRPr="00B81310" w:rsidP="00B537CB" w14:paraId="08A6B16B" w14:textId="77777777">
      <w:pPr>
        <w:rPr>
          <w:sz w:val="22"/>
          <w:szCs w:val="22"/>
        </w:rPr>
      </w:pPr>
    </w:p>
    <w:p w:rsidR="00B537CB" w:rsidRPr="00B81310" w:rsidP="00B537CB" w14:paraId="7DF11DCC" w14:textId="77777777">
      <w:pPr>
        <w:rPr>
          <w:sz w:val="22"/>
          <w:szCs w:val="22"/>
        </w:rPr>
      </w:pPr>
      <w:r w:rsidRPr="00B81310">
        <w:rPr>
          <w:sz w:val="22"/>
          <w:szCs w:val="22"/>
        </w:rPr>
        <w:t xml:space="preserve">17. </w:t>
      </w:r>
      <w:r w:rsidRPr="00B81310">
        <w:rPr>
          <w:sz w:val="22"/>
          <w:szCs w:val="22"/>
        </w:rPr>
        <w:tab/>
        <w:t>The Commission does not intend to seek approval not to display the</w:t>
      </w:r>
      <w:r w:rsidR="000D1120">
        <w:rPr>
          <w:sz w:val="22"/>
          <w:szCs w:val="22"/>
        </w:rPr>
        <w:t xml:space="preserve"> OMB </w:t>
      </w:r>
      <w:r w:rsidRPr="00B81310">
        <w:rPr>
          <w:sz w:val="22"/>
          <w:szCs w:val="22"/>
        </w:rPr>
        <w:t>expiration date for OMB approval of the information collected.</w:t>
      </w:r>
    </w:p>
    <w:p w:rsidR="00B537CB" w:rsidRPr="00B81310" w:rsidP="00B537CB" w14:paraId="261129B3" w14:textId="77777777">
      <w:pPr>
        <w:rPr>
          <w:sz w:val="22"/>
          <w:szCs w:val="22"/>
        </w:rPr>
      </w:pPr>
    </w:p>
    <w:p w:rsidR="0080499C" w:rsidRPr="00B81310" w:rsidP="00B537CB" w14:paraId="7B7984FA" w14:textId="77777777">
      <w:pPr>
        <w:rPr>
          <w:sz w:val="22"/>
          <w:szCs w:val="22"/>
        </w:rPr>
      </w:pPr>
      <w:r w:rsidRPr="00B81310">
        <w:rPr>
          <w:sz w:val="22"/>
          <w:szCs w:val="22"/>
        </w:rPr>
        <w:t>18.</w:t>
      </w:r>
      <w:r w:rsidRPr="00B81310">
        <w:rPr>
          <w:sz w:val="22"/>
          <w:szCs w:val="22"/>
        </w:rPr>
        <w:tab/>
      </w:r>
      <w:r w:rsidR="00C72F92">
        <w:rPr>
          <w:sz w:val="22"/>
          <w:szCs w:val="22"/>
        </w:rPr>
        <w:t>There are no exceptions to the Certification S</w:t>
      </w:r>
      <w:r w:rsidR="00725BC6">
        <w:rPr>
          <w:sz w:val="22"/>
          <w:szCs w:val="22"/>
        </w:rPr>
        <w:t>tatement.</w:t>
      </w:r>
    </w:p>
    <w:p w:rsidR="00B537CB" w:rsidRPr="00B81310" w:rsidP="00B537CB" w14:paraId="7FEF5990" w14:textId="77777777">
      <w:pPr>
        <w:rPr>
          <w:sz w:val="22"/>
          <w:szCs w:val="22"/>
        </w:rPr>
      </w:pPr>
    </w:p>
    <w:p w:rsidR="00B537CB" w:rsidP="00B537CB" w14:paraId="1C4BD523" w14:textId="77777777">
      <w:pPr>
        <w:rPr>
          <w:sz w:val="22"/>
          <w:szCs w:val="22"/>
        </w:rPr>
      </w:pPr>
      <w:r w:rsidRPr="00B81310">
        <w:rPr>
          <w:b/>
          <w:sz w:val="22"/>
          <w:szCs w:val="22"/>
        </w:rPr>
        <w:t xml:space="preserve">B. </w:t>
      </w:r>
      <w:r w:rsidRPr="00B81310">
        <w:rPr>
          <w:b/>
          <w:sz w:val="22"/>
          <w:szCs w:val="22"/>
        </w:rPr>
        <w:tab/>
      </w:r>
      <w:r w:rsidRPr="00B81310">
        <w:rPr>
          <w:b/>
          <w:sz w:val="22"/>
          <w:szCs w:val="22"/>
          <w:u w:val="single"/>
        </w:rPr>
        <w:t>Collections of Information Employing Statistical Methods:</w:t>
      </w:r>
      <w:r w:rsidRPr="00B81310">
        <w:rPr>
          <w:b/>
          <w:sz w:val="22"/>
          <w:szCs w:val="22"/>
        </w:rPr>
        <w:t xml:space="preserve">  </w:t>
      </w:r>
    </w:p>
    <w:p w:rsidR="00725BC6" w:rsidP="00B537CB" w14:paraId="243C61E1" w14:textId="77777777">
      <w:pPr>
        <w:rPr>
          <w:sz w:val="22"/>
          <w:szCs w:val="22"/>
        </w:rPr>
      </w:pPr>
    </w:p>
    <w:p w:rsidR="00725BC6" w:rsidRPr="00B81310" w:rsidP="00B537CB" w14:paraId="3B83B720" w14:textId="77777777">
      <w:pPr>
        <w:rPr>
          <w:sz w:val="22"/>
          <w:szCs w:val="22"/>
        </w:rPr>
      </w:pPr>
      <w:r>
        <w:rPr>
          <w:sz w:val="22"/>
          <w:szCs w:val="22"/>
        </w:rPr>
        <w:tab/>
        <w:t>This information collection does not employ any statistical methods.</w:t>
      </w:r>
    </w:p>
    <w:p w:rsidR="00B537CB" w:rsidRPr="00B81310" w:rsidP="00B537CB" w14:paraId="47151DEB" w14:textId="77777777">
      <w:pPr>
        <w:rPr>
          <w:sz w:val="22"/>
          <w:szCs w:val="22"/>
        </w:rPr>
      </w:pPr>
    </w:p>
    <w:sectPr w:rsidSect="00B537CB">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F83" w:rsidP="00B537CB" w14:paraId="070F419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3F83" w14:paraId="6F531D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F83" w:rsidP="00B537CB" w14:paraId="4166EC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48F8">
      <w:rPr>
        <w:rStyle w:val="PageNumber"/>
        <w:noProof/>
      </w:rPr>
      <w:t>2</w:t>
    </w:r>
    <w:r>
      <w:rPr>
        <w:rStyle w:val="PageNumber"/>
      </w:rPr>
      <w:fldChar w:fldCharType="end"/>
    </w:r>
  </w:p>
  <w:p w:rsidR="00DE3F83" w14:paraId="247D6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42B5" w14:paraId="4AEA0FB7" w14:textId="77777777">
      <w:r>
        <w:separator/>
      </w:r>
    </w:p>
  </w:footnote>
  <w:footnote w:type="continuationSeparator" w:id="1">
    <w:p w:rsidR="008F42B5" w14:paraId="43E8C599" w14:textId="77777777">
      <w:r>
        <w:continuationSeparator/>
      </w:r>
    </w:p>
  </w:footnote>
  <w:footnote w:id="2">
    <w:p w:rsidR="00DE3F83" w:rsidRPr="00170451" w:rsidP="0060416D" w14:paraId="1CA0B1EA"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170451">
        <w:rPr>
          <w:i/>
          <w:sz w:val="20"/>
          <w:szCs w:val="20"/>
        </w:rPr>
        <w:t xml:space="preserve">Connect America Fund et al., </w:t>
      </w:r>
      <w:r w:rsidRPr="00170451">
        <w:rPr>
          <w:sz w:val="20"/>
          <w:szCs w:val="20"/>
        </w:rPr>
        <w:t>WC Docket Nos. 10-90, 07-135, 05-337, 03-109, CC Docket Nos. 01-92, 96-45, GN Docket No. 09-51, WT Docket No. 10-208, Report and Order and Further Notice of Proposed Rulemakin</w:t>
      </w:r>
      <w:r w:rsidRPr="00170451">
        <w:rPr>
          <w:i/>
          <w:sz w:val="20"/>
          <w:szCs w:val="20"/>
        </w:rPr>
        <w:t>g</w:t>
      </w:r>
      <w:r w:rsidRPr="00170451">
        <w:rPr>
          <w:sz w:val="20"/>
          <w:szCs w:val="20"/>
        </w:rPr>
        <w:t>, 26 FCC Rcd 17663 (2011) (</w:t>
      </w:r>
      <w:r w:rsidRPr="00170451">
        <w:rPr>
          <w:i/>
          <w:sz w:val="20"/>
          <w:szCs w:val="20"/>
        </w:rPr>
        <w:t>USF/ICC Transformation Order</w:t>
      </w:r>
      <w:r w:rsidRPr="00170451">
        <w:rPr>
          <w:sz w:val="20"/>
          <w:szCs w:val="20"/>
        </w:rPr>
        <w:t>).</w:t>
      </w:r>
    </w:p>
  </w:footnote>
  <w:footnote w:id="3">
    <w:p w:rsidR="00884B80" w:rsidRPr="0060416D" w:rsidP="0060416D" w14:paraId="5BD61095"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170451">
        <w:rPr>
          <w:i/>
          <w:sz w:val="20"/>
          <w:szCs w:val="20"/>
        </w:rPr>
        <w:t>Connect America Fund et al</w:t>
      </w:r>
      <w:r w:rsidRPr="00170451">
        <w:rPr>
          <w:sz w:val="20"/>
          <w:szCs w:val="20"/>
        </w:rPr>
        <w:t>., WC Docket Nos. 10-90 and 14-58, CC Docket No. 01-92, Report and Order, Order and Order on Reconsideration, and Further Notice of Proposed Rulemaking, FCC 16-33 (adopted May 23, 2016)</w:t>
      </w:r>
      <w:r w:rsidRPr="00170451" w:rsidR="00E240DB">
        <w:rPr>
          <w:sz w:val="20"/>
          <w:szCs w:val="20"/>
        </w:rPr>
        <w:t xml:space="preserve"> </w:t>
      </w:r>
      <w:r w:rsidRPr="00170451">
        <w:rPr>
          <w:sz w:val="20"/>
          <w:szCs w:val="20"/>
        </w:rPr>
        <w:t>(</w:t>
      </w:r>
      <w:r w:rsidRPr="00170451">
        <w:rPr>
          <w:i/>
          <w:sz w:val="20"/>
          <w:szCs w:val="20"/>
        </w:rPr>
        <w:t>Rate-of-Return Order</w:t>
      </w:r>
      <w:r w:rsidRPr="00170451">
        <w:rPr>
          <w:sz w:val="20"/>
          <w:szCs w:val="20"/>
        </w:rPr>
        <w:t>).</w:t>
      </w:r>
    </w:p>
  </w:footnote>
  <w:footnote w:id="4">
    <w:p w:rsidR="00884B80" w:rsidRPr="00170451" w:rsidP="0060416D" w14:paraId="3E471545"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170451">
        <w:rPr>
          <w:i/>
          <w:sz w:val="20"/>
          <w:szCs w:val="20"/>
        </w:rPr>
        <w:t xml:space="preserve">Business Data Services in an Internet Protocol </w:t>
      </w:r>
      <w:r w:rsidRPr="00170451" w:rsidR="00E240DB">
        <w:rPr>
          <w:i/>
          <w:sz w:val="20"/>
          <w:szCs w:val="20"/>
        </w:rPr>
        <w:t>Environment</w:t>
      </w:r>
      <w:r w:rsidRPr="00170451" w:rsidR="00E240DB">
        <w:rPr>
          <w:sz w:val="20"/>
          <w:szCs w:val="20"/>
        </w:rPr>
        <w:t>, WC</w:t>
      </w:r>
      <w:r w:rsidRPr="00170451">
        <w:rPr>
          <w:sz w:val="20"/>
          <w:szCs w:val="20"/>
        </w:rPr>
        <w:t xml:space="preserve"> Docket No. 16-143 et al., Report and Order, Order, FCC 17-43 (adopted April 20, 2017) (</w:t>
      </w:r>
      <w:r w:rsidRPr="00170451" w:rsidR="00C72F5E">
        <w:rPr>
          <w:i/>
          <w:sz w:val="20"/>
          <w:szCs w:val="20"/>
        </w:rPr>
        <w:t>Business</w:t>
      </w:r>
      <w:r w:rsidRPr="00170451" w:rsidR="00C72F5E">
        <w:rPr>
          <w:sz w:val="20"/>
          <w:szCs w:val="20"/>
        </w:rPr>
        <w:t xml:space="preserve"> </w:t>
      </w:r>
      <w:r w:rsidRPr="00170451">
        <w:rPr>
          <w:i/>
          <w:sz w:val="20"/>
          <w:szCs w:val="20"/>
        </w:rPr>
        <w:t>D</w:t>
      </w:r>
      <w:r w:rsidRPr="00170451" w:rsidR="00C72F5E">
        <w:rPr>
          <w:i/>
          <w:sz w:val="20"/>
          <w:szCs w:val="20"/>
        </w:rPr>
        <w:t xml:space="preserve">ata </w:t>
      </w:r>
      <w:r w:rsidRPr="00170451">
        <w:rPr>
          <w:i/>
          <w:sz w:val="20"/>
          <w:szCs w:val="20"/>
        </w:rPr>
        <w:t>S</w:t>
      </w:r>
      <w:r w:rsidRPr="00170451" w:rsidR="00C72F5E">
        <w:rPr>
          <w:i/>
          <w:sz w:val="20"/>
          <w:szCs w:val="20"/>
        </w:rPr>
        <w:t>ervices</w:t>
      </w:r>
      <w:r w:rsidRPr="00170451">
        <w:rPr>
          <w:i/>
          <w:sz w:val="20"/>
          <w:szCs w:val="20"/>
        </w:rPr>
        <w:t xml:space="preserve"> Order</w:t>
      </w:r>
      <w:r w:rsidRPr="00170451">
        <w:rPr>
          <w:sz w:val="20"/>
          <w:szCs w:val="20"/>
        </w:rPr>
        <w:t>).</w:t>
      </w:r>
    </w:p>
  </w:footnote>
  <w:footnote w:id="5">
    <w:p w:rsidR="006D63F3" w:rsidRPr="0060416D" w:rsidP="00170451" w14:paraId="4807DC8C"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170451">
        <w:rPr>
          <w:i/>
          <w:sz w:val="20"/>
          <w:szCs w:val="20"/>
        </w:rPr>
        <w:t>Regulation of Business Data Services for Rate-of-Return Local Exchange Carriers et al.</w:t>
      </w:r>
      <w:r w:rsidRPr="0060416D">
        <w:rPr>
          <w:iCs/>
          <w:sz w:val="20"/>
          <w:szCs w:val="20"/>
        </w:rPr>
        <w:t xml:space="preserve">, WC Docket No. 17-144 et al., Report and Order, Second Further Notice of Proposed Rulemaking, and Further Notice of Proposed Rulemaking, </w:t>
      </w:r>
      <w:bookmarkStart w:id="0" w:name="_Hlk26541056"/>
      <w:r w:rsidRPr="0060416D">
        <w:rPr>
          <w:sz w:val="20"/>
          <w:szCs w:val="20"/>
        </w:rPr>
        <w:t xml:space="preserve">33 FCC Rcd </w:t>
      </w:r>
      <w:r w:rsidRPr="00170451">
        <w:rPr>
          <w:sz w:val="20"/>
          <w:szCs w:val="20"/>
        </w:rPr>
        <w:t xml:space="preserve">10403, </w:t>
      </w:r>
      <w:r w:rsidRPr="0060416D">
        <w:rPr>
          <w:sz w:val="20"/>
          <w:szCs w:val="20"/>
        </w:rPr>
        <w:t>10440</w:t>
      </w:r>
      <w:bookmarkEnd w:id="0"/>
      <w:r w:rsidRPr="0060416D">
        <w:rPr>
          <w:sz w:val="20"/>
          <w:szCs w:val="20"/>
        </w:rPr>
        <w:t>, para. 105</w:t>
      </w:r>
      <w:r w:rsidRPr="00170451">
        <w:rPr>
          <w:sz w:val="20"/>
          <w:szCs w:val="20"/>
        </w:rPr>
        <w:t xml:space="preserve"> (2018)</w:t>
      </w:r>
      <w:r w:rsidRPr="0060416D">
        <w:rPr>
          <w:sz w:val="20"/>
          <w:szCs w:val="20"/>
        </w:rPr>
        <w:t>.</w:t>
      </w:r>
    </w:p>
  </w:footnote>
  <w:footnote w:id="6">
    <w:p w:rsidR="00CD2F91" w:rsidRPr="0060416D" w:rsidP="0060416D" w14:paraId="70A4B096"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170451">
        <w:rPr>
          <w:sz w:val="20"/>
          <w:szCs w:val="20"/>
        </w:rPr>
        <w:t>47 CFR § 61.50(k)(3).</w:t>
      </w:r>
    </w:p>
  </w:footnote>
  <w:footnote w:id="7">
    <w:p w:rsidR="007A6B79" w:rsidRPr="0060416D" w:rsidP="0060416D" w14:paraId="79176080"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60416D">
        <w:rPr>
          <w:i/>
          <w:iCs/>
          <w:sz w:val="20"/>
          <w:szCs w:val="20"/>
        </w:rPr>
        <w:t>8YY Access Charge Reform</w:t>
      </w:r>
      <w:r w:rsidRPr="0060416D">
        <w:rPr>
          <w:sz w:val="20"/>
          <w:szCs w:val="20"/>
        </w:rPr>
        <w:t xml:space="preserve">, WC Docket No. 18-156, Report and Order, 35 FCC Rcd 11594, </w:t>
      </w:r>
      <w:r w:rsidRPr="00170451" w:rsidR="00D76577">
        <w:rPr>
          <w:sz w:val="20"/>
          <w:szCs w:val="20"/>
        </w:rPr>
        <w:t>11604-05, para. 25</w:t>
      </w:r>
      <w:r w:rsidRPr="0060416D">
        <w:rPr>
          <w:sz w:val="20"/>
          <w:szCs w:val="20"/>
        </w:rPr>
        <w:t>, (2020).</w:t>
      </w:r>
    </w:p>
  </w:footnote>
  <w:footnote w:id="8">
    <w:p w:rsidR="00093C16" w:rsidRPr="0060416D" w:rsidP="0060416D" w14:paraId="10DE1201" w14:textId="77777777">
      <w:pPr>
        <w:pStyle w:val="FootnoteText"/>
        <w:spacing w:after="120"/>
        <w:rPr>
          <w:sz w:val="20"/>
          <w:szCs w:val="20"/>
        </w:rPr>
      </w:pPr>
      <w:r w:rsidRPr="0060416D">
        <w:rPr>
          <w:rStyle w:val="FootnoteReference"/>
          <w:sz w:val="20"/>
          <w:szCs w:val="20"/>
        </w:rPr>
        <w:footnoteRef/>
      </w:r>
      <w:r w:rsidRPr="0060416D">
        <w:rPr>
          <w:sz w:val="20"/>
          <w:szCs w:val="20"/>
        </w:rPr>
        <w:t xml:space="preserve"> </w:t>
      </w:r>
      <w:r w:rsidRPr="00170451" w:rsidR="004569ED">
        <w:rPr>
          <w:i/>
          <w:iCs/>
          <w:sz w:val="20"/>
          <w:szCs w:val="20"/>
        </w:rPr>
        <w:t>Id</w:t>
      </w:r>
      <w:r w:rsidRPr="0060416D" w:rsidR="004569ED">
        <w:rPr>
          <w:sz w:val="20"/>
          <w:szCs w:val="20"/>
        </w:rPr>
        <w:t>.;</w:t>
      </w:r>
      <w:r w:rsidRPr="00170451" w:rsidR="004569ED">
        <w:rPr>
          <w:i/>
          <w:iCs/>
          <w:sz w:val="20"/>
          <w:szCs w:val="20"/>
        </w:rPr>
        <w:t xml:space="preserve"> </w:t>
      </w:r>
      <w:r w:rsidRPr="00170451" w:rsidR="004569ED">
        <w:rPr>
          <w:sz w:val="20"/>
          <w:szCs w:val="20"/>
        </w:rPr>
        <w:t>47 CFR §§ 51.907(i)-(k), 51.909(l)-(o).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F83" w:rsidP="00B537CB" w14:paraId="5D0B611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3F83" w14:paraId="189989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F83" w:rsidP="00B537CB" w14:paraId="5F98674F" w14:textId="77777777">
    <w:pPr>
      <w:pStyle w:val="Header"/>
      <w:framePr w:wrap="around" w:vAnchor="text" w:hAnchor="margin" w:xAlign="center" w:y="1"/>
      <w:rPr>
        <w:rStyle w:val="PageNumber"/>
      </w:rPr>
    </w:pPr>
  </w:p>
  <w:p w:rsidR="00DE3F83" w14:paraId="74C01E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F83" w:rsidP="00523CAB" w14:paraId="647FD5D4" w14:textId="77777777">
    <w:pPr>
      <w:rPr>
        <w:b/>
        <w:sz w:val="22"/>
        <w:szCs w:val="22"/>
      </w:rPr>
    </w:pPr>
    <w:r w:rsidRPr="002761BD">
      <w:rPr>
        <w:b/>
        <w:sz w:val="22"/>
        <w:szCs w:val="22"/>
      </w:rPr>
      <w:t>Part 61, Tariff Review Plan (TRP)</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B81310">
      <w:rPr>
        <w:b/>
        <w:sz w:val="22"/>
        <w:szCs w:val="22"/>
      </w:rPr>
      <w:t>3060-0400</w:t>
    </w:r>
    <w:r w:rsidR="00D12E6A">
      <w:rPr>
        <w:b/>
        <w:sz w:val="22"/>
        <w:szCs w:val="22"/>
      </w:rPr>
      <w:t xml:space="preserve"> </w:t>
    </w:r>
  </w:p>
  <w:p w:rsidR="00887590" w:rsidP="00523CAB" w14:paraId="173B0D58" w14:textId="20046EBA">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353211">
      <w:rPr>
        <w:b/>
        <w:sz w:val="22"/>
        <w:szCs w:val="22"/>
      </w:rPr>
      <w:tab/>
    </w:r>
    <w:r w:rsidR="006739D6">
      <w:rPr>
        <w:b/>
        <w:sz w:val="22"/>
        <w:szCs w:val="22"/>
      </w:rPr>
      <w:t xml:space="preserve">     Ma</w:t>
    </w:r>
    <w:r w:rsidR="005F1A1B">
      <w:rPr>
        <w:b/>
        <w:sz w:val="22"/>
        <w:szCs w:val="22"/>
      </w:rPr>
      <w:t>rch</w:t>
    </w:r>
    <w:r w:rsidR="006739D6">
      <w:rPr>
        <w:b/>
        <w:sz w:val="22"/>
        <w:szCs w:val="22"/>
      </w:rPr>
      <w:t xml:space="preserve"> </w:t>
    </w:r>
    <w:r w:rsidR="00215F2A">
      <w:rPr>
        <w:b/>
        <w:sz w:val="22"/>
        <w:szCs w:val="22"/>
      </w:rPr>
      <w:t>2026</w:t>
    </w:r>
  </w:p>
  <w:p w:rsidR="00887590" w:rsidRPr="00B81310" w:rsidP="00523CAB" w14:paraId="4F7BAEF3" w14:textId="77777777">
    <w:pPr>
      <w:rPr>
        <w:b/>
        <w:sz w:val="22"/>
        <w:szCs w:val="22"/>
      </w:rPr>
    </w:pPr>
  </w:p>
  <w:p w:rsidR="00DE3F83" w:rsidRPr="00523CAB" w:rsidP="00494B28" w14:paraId="56F39324" w14:textId="77777777">
    <w:pPr>
      <w:jc w:val="right"/>
      <w:rPr>
        <w:b/>
        <w:sz w:val="22"/>
        <w:szCs w:val="22"/>
      </w:rPr>
    </w:pPr>
    <w:r w:rsidRPr="00B81310">
      <w:rPr>
        <w:b/>
        <w:sz w:val="22"/>
        <w:szCs w:val="22"/>
      </w:rPr>
      <w:tab/>
    </w:r>
    <w:r w:rsidRPr="00B81310">
      <w:rPr>
        <w:b/>
        <w:sz w:val="22"/>
        <w:szCs w:val="22"/>
      </w:rPr>
      <w:tab/>
    </w:r>
    <w:r w:rsidRPr="00B81310">
      <w:rPr>
        <w:b/>
        <w:sz w:val="22"/>
        <w:szCs w:val="22"/>
      </w:rPr>
      <w:tab/>
    </w:r>
    <w:r w:rsidRPr="00B81310">
      <w:rPr>
        <w:b/>
        <w:sz w:val="22"/>
        <w:szCs w:val="22"/>
      </w:rPr>
      <w:tab/>
    </w:r>
    <w:r w:rsidRPr="00B81310">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50AD3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275E4A"/>
    <w:multiLevelType w:val="hybridMultilevel"/>
    <w:tmpl w:val="03F63FF2"/>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61749"/>
    <w:multiLevelType w:val="hybridMultilevel"/>
    <w:tmpl w:val="E21C0F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9C08BC"/>
    <w:multiLevelType w:val="hybridMultilevel"/>
    <w:tmpl w:val="B40CDE0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F36A46"/>
    <w:multiLevelType w:val="hybridMultilevel"/>
    <w:tmpl w:val="96BC38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F4447"/>
    <w:multiLevelType w:val="hybridMultilevel"/>
    <w:tmpl w:val="6A9ECD5E"/>
    <w:lvl w:ilvl="0">
      <w:start w:val="1"/>
      <w:numFmt w:val="upperLetter"/>
      <w:lvlText w:val="%1."/>
      <w:lvlJc w:val="left"/>
      <w:pPr>
        <w:tabs>
          <w:tab w:val="num" w:pos="1170"/>
        </w:tabs>
        <w:ind w:left="1170" w:hanging="720"/>
      </w:pPr>
      <w:rPr>
        <w:rFonts w:hint="default"/>
        <w:u w:val="none"/>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
    <w:nsid w:val="2777381B"/>
    <w:multiLevelType w:val="hybridMultilevel"/>
    <w:tmpl w:val="68920176"/>
    <w:lvl w:ilvl="0">
      <w:start w:val="1"/>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372C477A"/>
    <w:multiLevelType w:val="hybridMultilevel"/>
    <w:tmpl w:val="5DAAA8B0"/>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3E64E3"/>
    <w:multiLevelType w:val="hybridMultilevel"/>
    <w:tmpl w:val="91B8A5F4"/>
    <w:lvl w:ilvl="0">
      <w:start w:val="1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7E603A5"/>
    <w:multiLevelType w:val="hybridMultilevel"/>
    <w:tmpl w:val="C374BD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7C5687B"/>
    <w:multiLevelType w:val="hybridMultilevel"/>
    <w:tmpl w:val="41A6E7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105EAB"/>
    <w:multiLevelType w:val="hybridMultilevel"/>
    <w:tmpl w:val="F328F878"/>
    <w:lvl w:ilvl="0">
      <w:start w:val="15"/>
      <w:numFmt w:val="bullet"/>
      <w:lvlText w:val="-"/>
      <w:lvlJc w:val="left"/>
      <w:pPr>
        <w:ind w:left="1800" w:hanging="360"/>
      </w:pPr>
      <w:rPr>
        <w:rFonts w:ascii="Times New Roman" w:eastAsia="Times New Roman" w:hAnsi="Times New Roman"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A9F7117"/>
    <w:multiLevelType w:val="hybridMultilevel"/>
    <w:tmpl w:val="7F6CBE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6712305">
    <w:abstractNumId w:val="5"/>
  </w:num>
  <w:num w:numId="2" w16cid:durableId="966818157">
    <w:abstractNumId w:val="3"/>
  </w:num>
  <w:num w:numId="3" w16cid:durableId="514459053">
    <w:abstractNumId w:val="6"/>
  </w:num>
  <w:num w:numId="4" w16cid:durableId="1810977423">
    <w:abstractNumId w:val="0"/>
  </w:num>
  <w:num w:numId="5" w16cid:durableId="1944721132">
    <w:abstractNumId w:val="12"/>
  </w:num>
  <w:num w:numId="6" w16cid:durableId="175389586">
    <w:abstractNumId w:val="9"/>
  </w:num>
  <w:num w:numId="7" w16cid:durableId="582032670">
    <w:abstractNumId w:val="11"/>
  </w:num>
  <w:num w:numId="8" w16cid:durableId="925072905">
    <w:abstractNumId w:val="2"/>
  </w:num>
  <w:num w:numId="9" w16cid:durableId="2144620193">
    <w:abstractNumId w:val="10"/>
  </w:num>
  <w:num w:numId="10" w16cid:durableId="1325670114">
    <w:abstractNumId w:val="1"/>
  </w:num>
  <w:num w:numId="11" w16cid:durableId="193466564">
    <w:abstractNumId w:val="8"/>
  </w:num>
  <w:num w:numId="12" w16cid:durableId="1967349725">
    <w:abstractNumId w:val="4"/>
  </w:num>
  <w:num w:numId="13" w16cid:durableId="1699964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D0"/>
    <w:rsid w:val="00002381"/>
    <w:rsid w:val="000050A1"/>
    <w:rsid w:val="00005545"/>
    <w:rsid w:val="00006B75"/>
    <w:rsid w:val="00012397"/>
    <w:rsid w:val="000159ED"/>
    <w:rsid w:val="00015A33"/>
    <w:rsid w:val="000167C9"/>
    <w:rsid w:val="00021BDE"/>
    <w:rsid w:val="000239D8"/>
    <w:rsid w:val="000265D5"/>
    <w:rsid w:val="00030116"/>
    <w:rsid w:val="000339F7"/>
    <w:rsid w:val="0003460D"/>
    <w:rsid w:val="00035579"/>
    <w:rsid w:val="00035945"/>
    <w:rsid w:val="0004668C"/>
    <w:rsid w:val="000471FB"/>
    <w:rsid w:val="0005004A"/>
    <w:rsid w:val="000520C6"/>
    <w:rsid w:val="000542B7"/>
    <w:rsid w:val="00054B93"/>
    <w:rsid w:val="00060BB5"/>
    <w:rsid w:val="0006143F"/>
    <w:rsid w:val="000749D8"/>
    <w:rsid w:val="00084320"/>
    <w:rsid w:val="00093C16"/>
    <w:rsid w:val="00094CF9"/>
    <w:rsid w:val="000A1FC3"/>
    <w:rsid w:val="000A4348"/>
    <w:rsid w:val="000A5725"/>
    <w:rsid w:val="000A635C"/>
    <w:rsid w:val="000A6E01"/>
    <w:rsid w:val="000B0D39"/>
    <w:rsid w:val="000B217E"/>
    <w:rsid w:val="000B4A95"/>
    <w:rsid w:val="000B4F95"/>
    <w:rsid w:val="000C22F5"/>
    <w:rsid w:val="000D10F0"/>
    <w:rsid w:val="000D1120"/>
    <w:rsid w:val="000E2D6D"/>
    <w:rsid w:val="000E655D"/>
    <w:rsid w:val="000E6633"/>
    <w:rsid w:val="000F5509"/>
    <w:rsid w:val="000F7874"/>
    <w:rsid w:val="00104993"/>
    <w:rsid w:val="001106C7"/>
    <w:rsid w:val="00110F5D"/>
    <w:rsid w:val="0011288D"/>
    <w:rsid w:val="00113DA8"/>
    <w:rsid w:val="0011440B"/>
    <w:rsid w:val="001210DA"/>
    <w:rsid w:val="001318DF"/>
    <w:rsid w:val="00132045"/>
    <w:rsid w:val="00132901"/>
    <w:rsid w:val="00143D14"/>
    <w:rsid w:val="001459C9"/>
    <w:rsid w:val="001470A7"/>
    <w:rsid w:val="00152AA5"/>
    <w:rsid w:val="00160F86"/>
    <w:rsid w:val="001641B4"/>
    <w:rsid w:val="00170006"/>
    <w:rsid w:val="00170451"/>
    <w:rsid w:val="00171121"/>
    <w:rsid w:val="00172D04"/>
    <w:rsid w:val="00174049"/>
    <w:rsid w:val="00181896"/>
    <w:rsid w:val="0018214E"/>
    <w:rsid w:val="0018248E"/>
    <w:rsid w:val="00184171"/>
    <w:rsid w:val="0018546B"/>
    <w:rsid w:val="00191D7B"/>
    <w:rsid w:val="0019224F"/>
    <w:rsid w:val="001968A6"/>
    <w:rsid w:val="00196E22"/>
    <w:rsid w:val="00197DB7"/>
    <w:rsid w:val="001A3D5D"/>
    <w:rsid w:val="001A719B"/>
    <w:rsid w:val="001A71CF"/>
    <w:rsid w:val="001B0EF6"/>
    <w:rsid w:val="001B1DE3"/>
    <w:rsid w:val="001B2C60"/>
    <w:rsid w:val="001B521B"/>
    <w:rsid w:val="001B75D8"/>
    <w:rsid w:val="001B7E4B"/>
    <w:rsid w:val="001C2AEE"/>
    <w:rsid w:val="001C2B7E"/>
    <w:rsid w:val="001C52B3"/>
    <w:rsid w:val="001C5D7B"/>
    <w:rsid w:val="001C6D9C"/>
    <w:rsid w:val="001D0944"/>
    <w:rsid w:val="001E2448"/>
    <w:rsid w:val="001E3BC8"/>
    <w:rsid w:val="001E5C9A"/>
    <w:rsid w:val="001E7392"/>
    <w:rsid w:val="001F5F5F"/>
    <w:rsid w:val="001F7DFD"/>
    <w:rsid w:val="002034E1"/>
    <w:rsid w:val="00205680"/>
    <w:rsid w:val="00206410"/>
    <w:rsid w:val="0020676B"/>
    <w:rsid w:val="002106A4"/>
    <w:rsid w:val="0021327C"/>
    <w:rsid w:val="00215F2A"/>
    <w:rsid w:val="00217FCB"/>
    <w:rsid w:val="00222B15"/>
    <w:rsid w:val="00223B9F"/>
    <w:rsid w:val="00226FE1"/>
    <w:rsid w:val="002317AC"/>
    <w:rsid w:val="00232127"/>
    <w:rsid w:val="00236E23"/>
    <w:rsid w:val="0024059F"/>
    <w:rsid w:val="00244843"/>
    <w:rsid w:val="00251B51"/>
    <w:rsid w:val="00253A15"/>
    <w:rsid w:val="00255AFB"/>
    <w:rsid w:val="0025712B"/>
    <w:rsid w:val="00265034"/>
    <w:rsid w:val="002720B6"/>
    <w:rsid w:val="00273DE1"/>
    <w:rsid w:val="00275136"/>
    <w:rsid w:val="002761BD"/>
    <w:rsid w:val="0027680C"/>
    <w:rsid w:val="00276849"/>
    <w:rsid w:val="00277323"/>
    <w:rsid w:val="002776E1"/>
    <w:rsid w:val="002805FD"/>
    <w:rsid w:val="002818AA"/>
    <w:rsid w:val="00282419"/>
    <w:rsid w:val="00285F35"/>
    <w:rsid w:val="00291031"/>
    <w:rsid w:val="00292575"/>
    <w:rsid w:val="00293217"/>
    <w:rsid w:val="00293E40"/>
    <w:rsid w:val="0029744C"/>
    <w:rsid w:val="002A06C4"/>
    <w:rsid w:val="002A0E84"/>
    <w:rsid w:val="002A1AFA"/>
    <w:rsid w:val="002A21E9"/>
    <w:rsid w:val="002A4AFD"/>
    <w:rsid w:val="002A707F"/>
    <w:rsid w:val="002B073E"/>
    <w:rsid w:val="002B2E40"/>
    <w:rsid w:val="002B7C08"/>
    <w:rsid w:val="002C53E2"/>
    <w:rsid w:val="002C5588"/>
    <w:rsid w:val="002C5BBF"/>
    <w:rsid w:val="002C6121"/>
    <w:rsid w:val="002C67DF"/>
    <w:rsid w:val="002D1754"/>
    <w:rsid w:val="002D2232"/>
    <w:rsid w:val="002D29B9"/>
    <w:rsid w:val="002D415B"/>
    <w:rsid w:val="002D6A71"/>
    <w:rsid w:val="002E06B6"/>
    <w:rsid w:val="002E2A93"/>
    <w:rsid w:val="002E316C"/>
    <w:rsid w:val="002E7638"/>
    <w:rsid w:val="002F2C38"/>
    <w:rsid w:val="002F54D1"/>
    <w:rsid w:val="00300B26"/>
    <w:rsid w:val="00301608"/>
    <w:rsid w:val="003024BD"/>
    <w:rsid w:val="00303EC8"/>
    <w:rsid w:val="003040D4"/>
    <w:rsid w:val="00305D86"/>
    <w:rsid w:val="00310175"/>
    <w:rsid w:val="00311690"/>
    <w:rsid w:val="00315852"/>
    <w:rsid w:val="00317141"/>
    <w:rsid w:val="003214DC"/>
    <w:rsid w:val="0032722C"/>
    <w:rsid w:val="00332010"/>
    <w:rsid w:val="00340D0B"/>
    <w:rsid w:val="003435D9"/>
    <w:rsid w:val="00344AC0"/>
    <w:rsid w:val="003461DE"/>
    <w:rsid w:val="00353211"/>
    <w:rsid w:val="003639EF"/>
    <w:rsid w:val="0036693B"/>
    <w:rsid w:val="00374FD7"/>
    <w:rsid w:val="00376C2A"/>
    <w:rsid w:val="003874C8"/>
    <w:rsid w:val="003879E0"/>
    <w:rsid w:val="00390C55"/>
    <w:rsid w:val="0039132B"/>
    <w:rsid w:val="003A1E45"/>
    <w:rsid w:val="003A2D54"/>
    <w:rsid w:val="003A79DE"/>
    <w:rsid w:val="003B0684"/>
    <w:rsid w:val="003B1E1C"/>
    <w:rsid w:val="003B3B63"/>
    <w:rsid w:val="003B5842"/>
    <w:rsid w:val="003C3D2B"/>
    <w:rsid w:val="003D2BA7"/>
    <w:rsid w:val="003D4312"/>
    <w:rsid w:val="003D45B5"/>
    <w:rsid w:val="003D6003"/>
    <w:rsid w:val="003D6361"/>
    <w:rsid w:val="003D65BB"/>
    <w:rsid w:val="003D6909"/>
    <w:rsid w:val="003D7CAB"/>
    <w:rsid w:val="003E39E9"/>
    <w:rsid w:val="003E4379"/>
    <w:rsid w:val="003E53DA"/>
    <w:rsid w:val="003E6AAF"/>
    <w:rsid w:val="003F2CE9"/>
    <w:rsid w:val="003F5DF5"/>
    <w:rsid w:val="003F6184"/>
    <w:rsid w:val="003F7659"/>
    <w:rsid w:val="00401D07"/>
    <w:rsid w:val="00402EC9"/>
    <w:rsid w:val="0041417E"/>
    <w:rsid w:val="004219BA"/>
    <w:rsid w:val="00423EAF"/>
    <w:rsid w:val="004242F7"/>
    <w:rsid w:val="0042778E"/>
    <w:rsid w:val="004314E5"/>
    <w:rsid w:val="00440786"/>
    <w:rsid w:val="00440F13"/>
    <w:rsid w:val="00441C33"/>
    <w:rsid w:val="00443CE9"/>
    <w:rsid w:val="00443EAE"/>
    <w:rsid w:val="00446F40"/>
    <w:rsid w:val="0044709A"/>
    <w:rsid w:val="00453A36"/>
    <w:rsid w:val="00455348"/>
    <w:rsid w:val="004569ED"/>
    <w:rsid w:val="00457093"/>
    <w:rsid w:val="00462772"/>
    <w:rsid w:val="004635EB"/>
    <w:rsid w:val="00465EF1"/>
    <w:rsid w:val="00471164"/>
    <w:rsid w:val="00472B1F"/>
    <w:rsid w:val="00472F3E"/>
    <w:rsid w:val="004747E3"/>
    <w:rsid w:val="00474D8F"/>
    <w:rsid w:val="00480DF0"/>
    <w:rsid w:val="00482AE1"/>
    <w:rsid w:val="00482FB9"/>
    <w:rsid w:val="00484B9F"/>
    <w:rsid w:val="0049139F"/>
    <w:rsid w:val="00494B28"/>
    <w:rsid w:val="00495AF1"/>
    <w:rsid w:val="00497E32"/>
    <w:rsid w:val="004A2D29"/>
    <w:rsid w:val="004A5526"/>
    <w:rsid w:val="004A76C1"/>
    <w:rsid w:val="004B1DB6"/>
    <w:rsid w:val="004B2BAF"/>
    <w:rsid w:val="004B5154"/>
    <w:rsid w:val="004C1D13"/>
    <w:rsid w:val="004C4744"/>
    <w:rsid w:val="004C707C"/>
    <w:rsid w:val="004D16DC"/>
    <w:rsid w:val="004D228D"/>
    <w:rsid w:val="004E3D93"/>
    <w:rsid w:val="004E773D"/>
    <w:rsid w:val="004F07B1"/>
    <w:rsid w:val="004F3F25"/>
    <w:rsid w:val="004F5DDE"/>
    <w:rsid w:val="004F746F"/>
    <w:rsid w:val="00501389"/>
    <w:rsid w:val="005050B5"/>
    <w:rsid w:val="005108F3"/>
    <w:rsid w:val="00510A79"/>
    <w:rsid w:val="00511A08"/>
    <w:rsid w:val="00511B26"/>
    <w:rsid w:val="00514E31"/>
    <w:rsid w:val="00522A93"/>
    <w:rsid w:val="00523CAB"/>
    <w:rsid w:val="00525381"/>
    <w:rsid w:val="00525E57"/>
    <w:rsid w:val="00526DAE"/>
    <w:rsid w:val="00527FDF"/>
    <w:rsid w:val="00531FC6"/>
    <w:rsid w:val="00532871"/>
    <w:rsid w:val="00532A32"/>
    <w:rsid w:val="00537108"/>
    <w:rsid w:val="005376BF"/>
    <w:rsid w:val="00545504"/>
    <w:rsid w:val="00546278"/>
    <w:rsid w:val="00550D6F"/>
    <w:rsid w:val="00552267"/>
    <w:rsid w:val="00564AFB"/>
    <w:rsid w:val="00570462"/>
    <w:rsid w:val="005767CD"/>
    <w:rsid w:val="00581F32"/>
    <w:rsid w:val="00583727"/>
    <w:rsid w:val="00583A8C"/>
    <w:rsid w:val="00585D23"/>
    <w:rsid w:val="00586BF2"/>
    <w:rsid w:val="005908C4"/>
    <w:rsid w:val="005937CE"/>
    <w:rsid w:val="005961D1"/>
    <w:rsid w:val="005A0DC2"/>
    <w:rsid w:val="005A4419"/>
    <w:rsid w:val="005B00E6"/>
    <w:rsid w:val="005B132E"/>
    <w:rsid w:val="005B3F1B"/>
    <w:rsid w:val="005B793C"/>
    <w:rsid w:val="005C1FF6"/>
    <w:rsid w:val="005C2A23"/>
    <w:rsid w:val="005C2BD4"/>
    <w:rsid w:val="005C3425"/>
    <w:rsid w:val="005C3825"/>
    <w:rsid w:val="005C3A61"/>
    <w:rsid w:val="005C40F3"/>
    <w:rsid w:val="005C49EA"/>
    <w:rsid w:val="005C7D9C"/>
    <w:rsid w:val="005D0051"/>
    <w:rsid w:val="005D10DE"/>
    <w:rsid w:val="005D1BB5"/>
    <w:rsid w:val="005D7249"/>
    <w:rsid w:val="005E0433"/>
    <w:rsid w:val="005F1A1B"/>
    <w:rsid w:val="005F5041"/>
    <w:rsid w:val="005F71F6"/>
    <w:rsid w:val="005F7FF0"/>
    <w:rsid w:val="0060416D"/>
    <w:rsid w:val="006057BC"/>
    <w:rsid w:val="006058F4"/>
    <w:rsid w:val="00612084"/>
    <w:rsid w:val="00612458"/>
    <w:rsid w:val="00613C21"/>
    <w:rsid w:val="00615118"/>
    <w:rsid w:val="006155E6"/>
    <w:rsid w:val="00615729"/>
    <w:rsid w:val="00617CE1"/>
    <w:rsid w:val="006209D5"/>
    <w:rsid w:val="006226ED"/>
    <w:rsid w:val="00626EAA"/>
    <w:rsid w:val="00630446"/>
    <w:rsid w:val="006318A9"/>
    <w:rsid w:val="00632AE1"/>
    <w:rsid w:val="00633BF2"/>
    <w:rsid w:val="00633C7F"/>
    <w:rsid w:val="006354CC"/>
    <w:rsid w:val="00643C08"/>
    <w:rsid w:val="006445BA"/>
    <w:rsid w:val="006447DE"/>
    <w:rsid w:val="0065199E"/>
    <w:rsid w:val="006543E4"/>
    <w:rsid w:val="00660BE1"/>
    <w:rsid w:val="00661215"/>
    <w:rsid w:val="0066146D"/>
    <w:rsid w:val="006651E1"/>
    <w:rsid w:val="00666413"/>
    <w:rsid w:val="00666ABD"/>
    <w:rsid w:val="00667B06"/>
    <w:rsid w:val="0067128A"/>
    <w:rsid w:val="006739D6"/>
    <w:rsid w:val="0067695A"/>
    <w:rsid w:val="00676E55"/>
    <w:rsid w:val="00680FC9"/>
    <w:rsid w:val="00682D81"/>
    <w:rsid w:val="00683D00"/>
    <w:rsid w:val="00683D46"/>
    <w:rsid w:val="00685217"/>
    <w:rsid w:val="006867A4"/>
    <w:rsid w:val="0069249F"/>
    <w:rsid w:val="00692CD9"/>
    <w:rsid w:val="00694940"/>
    <w:rsid w:val="006967B0"/>
    <w:rsid w:val="006A059C"/>
    <w:rsid w:val="006A2B89"/>
    <w:rsid w:val="006A2E0A"/>
    <w:rsid w:val="006A66EB"/>
    <w:rsid w:val="006A7B51"/>
    <w:rsid w:val="006B1748"/>
    <w:rsid w:val="006B52C4"/>
    <w:rsid w:val="006B76FE"/>
    <w:rsid w:val="006C37BB"/>
    <w:rsid w:val="006D0182"/>
    <w:rsid w:val="006D3294"/>
    <w:rsid w:val="006D43E2"/>
    <w:rsid w:val="006D63F3"/>
    <w:rsid w:val="006E169D"/>
    <w:rsid w:val="006E16F9"/>
    <w:rsid w:val="006E3B2F"/>
    <w:rsid w:val="006F2D93"/>
    <w:rsid w:val="006F4AA9"/>
    <w:rsid w:val="00700F27"/>
    <w:rsid w:val="007225C4"/>
    <w:rsid w:val="007231E8"/>
    <w:rsid w:val="00725BC6"/>
    <w:rsid w:val="007314E8"/>
    <w:rsid w:val="00732496"/>
    <w:rsid w:val="007469A4"/>
    <w:rsid w:val="00752344"/>
    <w:rsid w:val="00753DD3"/>
    <w:rsid w:val="00757B42"/>
    <w:rsid w:val="00761B3F"/>
    <w:rsid w:val="007630A9"/>
    <w:rsid w:val="00763540"/>
    <w:rsid w:val="00765C80"/>
    <w:rsid w:val="00770981"/>
    <w:rsid w:val="0077314F"/>
    <w:rsid w:val="00773EB3"/>
    <w:rsid w:val="0077427A"/>
    <w:rsid w:val="007755FE"/>
    <w:rsid w:val="007932EE"/>
    <w:rsid w:val="00793B0D"/>
    <w:rsid w:val="00795078"/>
    <w:rsid w:val="007966C9"/>
    <w:rsid w:val="00797052"/>
    <w:rsid w:val="00797783"/>
    <w:rsid w:val="007A6095"/>
    <w:rsid w:val="007A6B79"/>
    <w:rsid w:val="007B10BC"/>
    <w:rsid w:val="007B4F7C"/>
    <w:rsid w:val="007B5FA0"/>
    <w:rsid w:val="007B6FCB"/>
    <w:rsid w:val="007B7F07"/>
    <w:rsid w:val="007C0BAC"/>
    <w:rsid w:val="007C1945"/>
    <w:rsid w:val="007C1C18"/>
    <w:rsid w:val="007C2796"/>
    <w:rsid w:val="007C562F"/>
    <w:rsid w:val="007E1C55"/>
    <w:rsid w:val="007F02C5"/>
    <w:rsid w:val="007F0381"/>
    <w:rsid w:val="007F07FA"/>
    <w:rsid w:val="007F11CB"/>
    <w:rsid w:val="007F3A5E"/>
    <w:rsid w:val="007F5A59"/>
    <w:rsid w:val="0080499C"/>
    <w:rsid w:val="00807ADB"/>
    <w:rsid w:val="00812702"/>
    <w:rsid w:val="00814F1E"/>
    <w:rsid w:val="008203B9"/>
    <w:rsid w:val="00820A74"/>
    <w:rsid w:val="00824431"/>
    <w:rsid w:val="00826DAC"/>
    <w:rsid w:val="008271AF"/>
    <w:rsid w:val="0083434E"/>
    <w:rsid w:val="00834B1E"/>
    <w:rsid w:val="0083636B"/>
    <w:rsid w:val="0084053F"/>
    <w:rsid w:val="00842DEE"/>
    <w:rsid w:val="00847304"/>
    <w:rsid w:val="0084736F"/>
    <w:rsid w:val="008519ED"/>
    <w:rsid w:val="00852670"/>
    <w:rsid w:val="0085563C"/>
    <w:rsid w:val="008561CE"/>
    <w:rsid w:val="00857337"/>
    <w:rsid w:val="00863BAE"/>
    <w:rsid w:val="00864937"/>
    <w:rsid w:val="00864A76"/>
    <w:rsid w:val="00865177"/>
    <w:rsid w:val="00865AF4"/>
    <w:rsid w:val="0086662F"/>
    <w:rsid w:val="0087001B"/>
    <w:rsid w:val="00870488"/>
    <w:rsid w:val="0087318B"/>
    <w:rsid w:val="00875D3B"/>
    <w:rsid w:val="008765DF"/>
    <w:rsid w:val="00876BD0"/>
    <w:rsid w:val="00882259"/>
    <w:rsid w:val="00884B80"/>
    <w:rsid w:val="00887590"/>
    <w:rsid w:val="0089582D"/>
    <w:rsid w:val="00896715"/>
    <w:rsid w:val="00897B8F"/>
    <w:rsid w:val="008A2C3B"/>
    <w:rsid w:val="008A4320"/>
    <w:rsid w:val="008A4A0D"/>
    <w:rsid w:val="008A5AC1"/>
    <w:rsid w:val="008B218B"/>
    <w:rsid w:val="008B7C29"/>
    <w:rsid w:val="008C57A3"/>
    <w:rsid w:val="008D1366"/>
    <w:rsid w:val="008D162A"/>
    <w:rsid w:val="008D5A54"/>
    <w:rsid w:val="008D786A"/>
    <w:rsid w:val="008E078E"/>
    <w:rsid w:val="008E19E0"/>
    <w:rsid w:val="008E6297"/>
    <w:rsid w:val="008E6866"/>
    <w:rsid w:val="008E7BB6"/>
    <w:rsid w:val="008F1458"/>
    <w:rsid w:val="008F1741"/>
    <w:rsid w:val="008F29AE"/>
    <w:rsid w:val="008F42B5"/>
    <w:rsid w:val="008F529C"/>
    <w:rsid w:val="008F7C20"/>
    <w:rsid w:val="00902575"/>
    <w:rsid w:val="009048F8"/>
    <w:rsid w:val="00905E3A"/>
    <w:rsid w:val="0090728C"/>
    <w:rsid w:val="00911CBB"/>
    <w:rsid w:val="009133EA"/>
    <w:rsid w:val="0091348F"/>
    <w:rsid w:val="009157F6"/>
    <w:rsid w:val="00917CA9"/>
    <w:rsid w:val="00921E60"/>
    <w:rsid w:val="009232EB"/>
    <w:rsid w:val="00926FEF"/>
    <w:rsid w:val="00931C15"/>
    <w:rsid w:val="00933A08"/>
    <w:rsid w:val="00943CEA"/>
    <w:rsid w:val="009457D2"/>
    <w:rsid w:val="0094590B"/>
    <w:rsid w:val="00951107"/>
    <w:rsid w:val="00951652"/>
    <w:rsid w:val="009518F3"/>
    <w:rsid w:val="00953951"/>
    <w:rsid w:val="009541B0"/>
    <w:rsid w:val="009548D8"/>
    <w:rsid w:val="0095629E"/>
    <w:rsid w:val="00957F85"/>
    <w:rsid w:val="009600E2"/>
    <w:rsid w:val="00961339"/>
    <w:rsid w:val="00961A3A"/>
    <w:rsid w:val="00964F85"/>
    <w:rsid w:val="009705A0"/>
    <w:rsid w:val="009715E3"/>
    <w:rsid w:val="009761B1"/>
    <w:rsid w:val="009772F5"/>
    <w:rsid w:val="00977533"/>
    <w:rsid w:val="009804BB"/>
    <w:rsid w:val="0098203B"/>
    <w:rsid w:val="00982D7D"/>
    <w:rsid w:val="00985823"/>
    <w:rsid w:val="009917C8"/>
    <w:rsid w:val="009957F0"/>
    <w:rsid w:val="0099592F"/>
    <w:rsid w:val="009A09EE"/>
    <w:rsid w:val="009A0C4B"/>
    <w:rsid w:val="009A3F1D"/>
    <w:rsid w:val="009A4089"/>
    <w:rsid w:val="009A6DDD"/>
    <w:rsid w:val="009A7810"/>
    <w:rsid w:val="009B17C0"/>
    <w:rsid w:val="009B23F6"/>
    <w:rsid w:val="009B2DD9"/>
    <w:rsid w:val="009B2F90"/>
    <w:rsid w:val="009B3C6B"/>
    <w:rsid w:val="009C15FE"/>
    <w:rsid w:val="009C169E"/>
    <w:rsid w:val="009C1F6D"/>
    <w:rsid w:val="009C2713"/>
    <w:rsid w:val="009C33E2"/>
    <w:rsid w:val="009C41FE"/>
    <w:rsid w:val="009C6203"/>
    <w:rsid w:val="009C79AA"/>
    <w:rsid w:val="009D0111"/>
    <w:rsid w:val="009D3465"/>
    <w:rsid w:val="009E0AA3"/>
    <w:rsid w:val="009E15A3"/>
    <w:rsid w:val="009E173E"/>
    <w:rsid w:val="009E2056"/>
    <w:rsid w:val="009E7747"/>
    <w:rsid w:val="009F0581"/>
    <w:rsid w:val="009F30E4"/>
    <w:rsid w:val="00A03D8C"/>
    <w:rsid w:val="00A04E3E"/>
    <w:rsid w:val="00A07E87"/>
    <w:rsid w:val="00A122E1"/>
    <w:rsid w:val="00A15C68"/>
    <w:rsid w:val="00A15D9C"/>
    <w:rsid w:val="00A20664"/>
    <w:rsid w:val="00A21303"/>
    <w:rsid w:val="00A23E4B"/>
    <w:rsid w:val="00A242FD"/>
    <w:rsid w:val="00A266BA"/>
    <w:rsid w:val="00A31CB5"/>
    <w:rsid w:val="00A3285B"/>
    <w:rsid w:val="00A342D4"/>
    <w:rsid w:val="00A35F92"/>
    <w:rsid w:val="00A400A6"/>
    <w:rsid w:val="00A448F8"/>
    <w:rsid w:val="00A449C2"/>
    <w:rsid w:val="00A5062B"/>
    <w:rsid w:val="00A52F31"/>
    <w:rsid w:val="00A62C0E"/>
    <w:rsid w:val="00A6721C"/>
    <w:rsid w:val="00A70848"/>
    <w:rsid w:val="00A70FE1"/>
    <w:rsid w:val="00A72D2E"/>
    <w:rsid w:val="00A772F4"/>
    <w:rsid w:val="00A80259"/>
    <w:rsid w:val="00A808E4"/>
    <w:rsid w:val="00A8199C"/>
    <w:rsid w:val="00A83A2D"/>
    <w:rsid w:val="00A853B8"/>
    <w:rsid w:val="00A86209"/>
    <w:rsid w:val="00A87961"/>
    <w:rsid w:val="00A909FE"/>
    <w:rsid w:val="00A94F08"/>
    <w:rsid w:val="00A966AF"/>
    <w:rsid w:val="00A97364"/>
    <w:rsid w:val="00A97389"/>
    <w:rsid w:val="00AA16F2"/>
    <w:rsid w:val="00AA3899"/>
    <w:rsid w:val="00AA465B"/>
    <w:rsid w:val="00AA555D"/>
    <w:rsid w:val="00AA6E4F"/>
    <w:rsid w:val="00AA7C27"/>
    <w:rsid w:val="00AB4BC5"/>
    <w:rsid w:val="00AB5F23"/>
    <w:rsid w:val="00AB6756"/>
    <w:rsid w:val="00AC1CE2"/>
    <w:rsid w:val="00AC58B8"/>
    <w:rsid w:val="00AC69F9"/>
    <w:rsid w:val="00AC79C3"/>
    <w:rsid w:val="00AD22EF"/>
    <w:rsid w:val="00AD33CE"/>
    <w:rsid w:val="00AD49D0"/>
    <w:rsid w:val="00AE22EC"/>
    <w:rsid w:val="00AE25BB"/>
    <w:rsid w:val="00AE7623"/>
    <w:rsid w:val="00B01254"/>
    <w:rsid w:val="00B02D39"/>
    <w:rsid w:val="00B044A1"/>
    <w:rsid w:val="00B05706"/>
    <w:rsid w:val="00B15249"/>
    <w:rsid w:val="00B1619D"/>
    <w:rsid w:val="00B27148"/>
    <w:rsid w:val="00B35596"/>
    <w:rsid w:val="00B35D3E"/>
    <w:rsid w:val="00B42B13"/>
    <w:rsid w:val="00B4337B"/>
    <w:rsid w:val="00B46B88"/>
    <w:rsid w:val="00B50BEE"/>
    <w:rsid w:val="00B53185"/>
    <w:rsid w:val="00B537CB"/>
    <w:rsid w:val="00B55152"/>
    <w:rsid w:val="00B6054B"/>
    <w:rsid w:val="00B6419A"/>
    <w:rsid w:val="00B64BD7"/>
    <w:rsid w:val="00B65FC9"/>
    <w:rsid w:val="00B662B9"/>
    <w:rsid w:val="00B70492"/>
    <w:rsid w:val="00B7193C"/>
    <w:rsid w:val="00B73C57"/>
    <w:rsid w:val="00B73EE2"/>
    <w:rsid w:val="00B7677B"/>
    <w:rsid w:val="00B81310"/>
    <w:rsid w:val="00B8382E"/>
    <w:rsid w:val="00B846EF"/>
    <w:rsid w:val="00B87F62"/>
    <w:rsid w:val="00BA1851"/>
    <w:rsid w:val="00BB299B"/>
    <w:rsid w:val="00BB43C2"/>
    <w:rsid w:val="00BB5B6B"/>
    <w:rsid w:val="00BB79B0"/>
    <w:rsid w:val="00BB7E40"/>
    <w:rsid w:val="00BC148E"/>
    <w:rsid w:val="00BC28DE"/>
    <w:rsid w:val="00BC4A67"/>
    <w:rsid w:val="00BC7C0C"/>
    <w:rsid w:val="00BD15AC"/>
    <w:rsid w:val="00BD23D4"/>
    <w:rsid w:val="00BD2F20"/>
    <w:rsid w:val="00BD3005"/>
    <w:rsid w:val="00BD7641"/>
    <w:rsid w:val="00BE2036"/>
    <w:rsid w:val="00BE543C"/>
    <w:rsid w:val="00BE60D0"/>
    <w:rsid w:val="00BF067A"/>
    <w:rsid w:val="00BF2A70"/>
    <w:rsid w:val="00BF79EB"/>
    <w:rsid w:val="00C01B9E"/>
    <w:rsid w:val="00C07E16"/>
    <w:rsid w:val="00C11CC5"/>
    <w:rsid w:val="00C150C7"/>
    <w:rsid w:val="00C1731B"/>
    <w:rsid w:val="00C25C99"/>
    <w:rsid w:val="00C27180"/>
    <w:rsid w:val="00C30340"/>
    <w:rsid w:val="00C30559"/>
    <w:rsid w:val="00C30A59"/>
    <w:rsid w:val="00C31E46"/>
    <w:rsid w:val="00C33A4E"/>
    <w:rsid w:val="00C33D8C"/>
    <w:rsid w:val="00C3530B"/>
    <w:rsid w:val="00C35476"/>
    <w:rsid w:val="00C43A42"/>
    <w:rsid w:val="00C46A0B"/>
    <w:rsid w:val="00C62D8B"/>
    <w:rsid w:val="00C63A1D"/>
    <w:rsid w:val="00C658FD"/>
    <w:rsid w:val="00C66973"/>
    <w:rsid w:val="00C72CB7"/>
    <w:rsid w:val="00C72F5E"/>
    <w:rsid w:val="00C72F92"/>
    <w:rsid w:val="00C73BD8"/>
    <w:rsid w:val="00C74625"/>
    <w:rsid w:val="00C81B89"/>
    <w:rsid w:val="00C87257"/>
    <w:rsid w:val="00C87FAC"/>
    <w:rsid w:val="00C906E6"/>
    <w:rsid w:val="00C91B3B"/>
    <w:rsid w:val="00C96132"/>
    <w:rsid w:val="00CA11AD"/>
    <w:rsid w:val="00CA4810"/>
    <w:rsid w:val="00CA72E0"/>
    <w:rsid w:val="00CB1485"/>
    <w:rsid w:val="00CB6F26"/>
    <w:rsid w:val="00CB754F"/>
    <w:rsid w:val="00CB7F65"/>
    <w:rsid w:val="00CC2AB2"/>
    <w:rsid w:val="00CC2D6E"/>
    <w:rsid w:val="00CC3CAB"/>
    <w:rsid w:val="00CC5649"/>
    <w:rsid w:val="00CC58D7"/>
    <w:rsid w:val="00CD2F91"/>
    <w:rsid w:val="00CD4414"/>
    <w:rsid w:val="00CD45F0"/>
    <w:rsid w:val="00CD6E55"/>
    <w:rsid w:val="00CE0298"/>
    <w:rsid w:val="00CE1D37"/>
    <w:rsid w:val="00CE2753"/>
    <w:rsid w:val="00CE3663"/>
    <w:rsid w:val="00CE56A7"/>
    <w:rsid w:val="00CE5888"/>
    <w:rsid w:val="00CE7F97"/>
    <w:rsid w:val="00CF13C6"/>
    <w:rsid w:val="00CF21D9"/>
    <w:rsid w:val="00CF2345"/>
    <w:rsid w:val="00CF63FD"/>
    <w:rsid w:val="00CF69BC"/>
    <w:rsid w:val="00D044D5"/>
    <w:rsid w:val="00D05216"/>
    <w:rsid w:val="00D0547E"/>
    <w:rsid w:val="00D06A80"/>
    <w:rsid w:val="00D117BD"/>
    <w:rsid w:val="00D12E6A"/>
    <w:rsid w:val="00D14C18"/>
    <w:rsid w:val="00D14CA7"/>
    <w:rsid w:val="00D16A78"/>
    <w:rsid w:val="00D21495"/>
    <w:rsid w:val="00D23B02"/>
    <w:rsid w:val="00D249EB"/>
    <w:rsid w:val="00D341F4"/>
    <w:rsid w:val="00D35A31"/>
    <w:rsid w:val="00D378B3"/>
    <w:rsid w:val="00D37C6A"/>
    <w:rsid w:val="00D417F2"/>
    <w:rsid w:val="00D471C8"/>
    <w:rsid w:val="00D555D5"/>
    <w:rsid w:val="00D57071"/>
    <w:rsid w:val="00D57E28"/>
    <w:rsid w:val="00D60424"/>
    <w:rsid w:val="00D6209D"/>
    <w:rsid w:val="00D645B1"/>
    <w:rsid w:val="00D670DB"/>
    <w:rsid w:val="00D70548"/>
    <w:rsid w:val="00D7406F"/>
    <w:rsid w:val="00D76577"/>
    <w:rsid w:val="00D76940"/>
    <w:rsid w:val="00D7726A"/>
    <w:rsid w:val="00D862A6"/>
    <w:rsid w:val="00D9521F"/>
    <w:rsid w:val="00D95294"/>
    <w:rsid w:val="00D96759"/>
    <w:rsid w:val="00D96B8B"/>
    <w:rsid w:val="00D974DE"/>
    <w:rsid w:val="00DA44BA"/>
    <w:rsid w:val="00DA5495"/>
    <w:rsid w:val="00DA5E31"/>
    <w:rsid w:val="00DB2F79"/>
    <w:rsid w:val="00DB42AE"/>
    <w:rsid w:val="00DB5F48"/>
    <w:rsid w:val="00DB75CC"/>
    <w:rsid w:val="00DC1C90"/>
    <w:rsid w:val="00DC3890"/>
    <w:rsid w:val="00DC4F84"/>
    <w:rsid w:val="00DD37B8"/>
    <w:rsid w:val="00DD3D0C"/>
    <w:rsid w:val="00DD513B"/>
    <w:rsid w:val="00DD5B36"/>
    <w:rsid w:val="00DD6C3A"/>
    <w:rsid w:val="00DE3033"/>
    <w:rsid w:val="00DE3F83"/>
    <w:rsid w:val="00DE44D2"/>
    <w:rsid w:val="00DF01AB"/>
    <w:rsid w:val="00DF0E25"/>
    <w:rsid w:val="00DF117A"/>
    <w:rsid w:val="00DF47AD"/>
    <w:rsid w:val="00DF4C7E"/>
    <w:rsid w:val="00DF4CBE"/>
    <w:rsid w:val="00E00695"/>
    <w:rsid w:val="00E0120F"/>
    <w:rsid w:val="00E02A3D"/>
    <w:rsid w:val="00E10016"/>
    <w:rsid w:val="00E101F7"/>
    <w:rsid w:val="00E113ED"/>
    <w:rsid w:val="00E11C6C"/>
    <w:rsid w:val="00E13215"/>
    <w:rsid w:val="00E230C8"/>
    <w:rsid w:val="00E23A31"/>
    <w:rsid w:val="00E240DB"/>
    <w:rsid w:val="00E24B23"/>
    <w:rsid w:val="00E302A2"/>
    <w:rsid w:val="00E30388"/>
    <w:rsid w:val="00E315E0"/>
    <w:rsid w:val="00E33023"/>
    <w:rsid w:val="00E3616A"/>
    <w:rsid w:val="00E477C7"/>
    <w:rsid w:val="00E529A0"/>
    <w:rsid w:val="00E538D7"/>
    <w:rsid w:val="00E54BD1"/>
    <w:rsid w:val="00E54E79"/>
    <w:rsid w:val="00E56060"/>
    <w:rsid w:val="00E57DBD"/>
    <w:rsid w:val="00E6083B"/>
    <w:rsid w:val="00E64E05"/>
    <w:rsid w:val="00E71F17"/>
    <w:rsid w:val="00E73808"/>
    <w:rsid w:val="00E7611F"/>
    <w:rsid w:val="00E80649"/>
    <w:rsid w:val="00E812EB"/>
    <w:rsid w:val="00E82852"/>
    <w:rsid w:val="00E86CCD"/>
    <w:rsid w:val="00E8701D"/>
    <w:rsid w:val="00E9611B"/>
    <w:rsid w:val="00E96591"/>
    <w:rsid w:val="00E97103"/>
    <w:rsid w:val="00EA0196"/>
    <w:rsid w:val="00EA120C"/>
    <w:rsid w:val="00EA1C1D"/>
    <w:rsid w:val="00EA240D"/>
    <w:rsid w:val="00EA5C7D"/>
    <w:rsid w:val="00EB793F"/>
    <w:rsid w:val="00EC1EDE"/>
    <w:rsid w:val="00EC7E7A"/>
    <w:rsid w:val="00ED0160"/>
    <w:rsid w:val="00ED4BD2"/>
    <w:rsid w:val="00ED6555"/>
    <w:rsid w:val="00ED70FC"/>
    <w:rsid w:val="00EE5D38"/>
    <w:rsid w:val="00EF36A2"/>
    <w:rsid w:val="00EF39CC"/>
    <w:rsid w:val="00F00265"/>
    <w:rsid w:val="00F040B9"/>
    <w:rsid w:val="00F068D2"/>
    <w:rsid w:val="00F07800"/>
    <w:rsid w:val="00F113CA"/>
    <w:rsid w:val="00F1143E"/>
    <w:rsid w:val="00F23601"/>
    <w:rsid w:val="00F25BEA"/>
    <w:rsid w:val="00F26BD7"/>
    <w:rsid w:val="00F33106"/>
    <w:rsid w:val="00F34E1C"/>
    <w:rsid w:val="00F37E01"/>
    <w:rsid w:val="00F41BDB"/>
    <w:rsid w:val="00F45952"/>
    <w:rsid w:val="00F5058D"/>
    <w:rsid w:val="00F50E38"/>
    <w:rsid w:val="00F514F2"/>
    <w:rsid w:val="00F520AE"/>
    <w:rsid w:val="00F5280E"/>
    <w:rsid w:val="00F57245"/>
    <w:rsid w:val="00F57804"/>
    <w:rsid w:val="00F6098A"/>
    <w:rsid w:val="00F63397"/>
    <w:rsid w:val="00F65599"/>
    <w:rsid w:val="00F71EA2"/>
    <w:rsid w:val="00F72580"/>
    <w:rsid w:val="00F73E8B"/>
    <w:rsid w:val="00F74131"/>
    <w:rsid w:val="00F75679"/>
    <w:rsid w:val="00F8416D"/>
    <w:rsid w:val="00F916F5"/>
    <w:rsid w:val="00F91AA6"/>
    <w:rsid w:val="00F928AA"/>
    <w:rsid w:val="00FA1310"/>
    <w:rsid w:val="00FA134B"/>
    <w:rsid w:val="00FA18B2"/>
    <w:rsid w:val="00FA44C3"/>
    <w:rsid w:val="00FA6449"/>
    <w:rsid w:val="00FB11A8"/>
    <w:rsid w:val="00FB4235"/>
    <w:rsid w:val="00FB5FE1"/>
    <w:rsid w:val="00FC1062"/>
    <w:rsid w:val="00FC3BA9"/>
    <w:rsid w:val="00FD205A"/>
    <w:rsid w:val="00FD2DAA"/>
    <w:rsid w:val="00FD385F"/>
    <w:rsid w:val="00FD4466"/>
    <w:rsid w:val="00FD52FA"/>
    <w:rsid w:val="00FE260B"/>
    <w:rsid w:val="00FE4F2E"/>
    <w:rsid w:val="00FE6578"/>
    <w:rsid w:val="00FE794A"/>
    <w:rsid w:val="00FF09F8"/>
    <w:rsid w:val="00FF225A"/>
    <w:rsid w:val="00FF5F87"/>
    <w:rsid w:val="00FF6C6A"/>
    <w:rsid w:val="00FF6F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366B6B"/>
  <w15:chartTrackingRefBased/>
  <w15:docId w15:val="{5C80C65F-4250-4F7C-BB84-A2D4C526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3E2"/>
    <w:rPr>
      <w:rFonts w:ascii="Tahoma" w:hAnsi="Tahoma" w:cs="Tahoma"/>
      <w:sz w:val="16"/>
      <w:szCs w:val="16"/>
    </w:rPr>
  </w:style>
  <w:style w:type="paragraph" w:styleId="HTMLPreformatted">
    <w:name w:val="HTML Preformatted"/>
    <w:basedOn w:val="Normal"/>
    <w:rsid w:val="00191FFE"/>
    <w:rPr>
      <w:rFonts w:ascii="Courier New" w:hAnsi="Courier New" w:cs="Courier New"/>
      <w:sz w:val="20"/>
    </w:rPr>
  </w:style>
  <w:style w:type="paragraph" w:styleId="Header">
    <w:name w:val="header"/>
    <w:basedOn w:val="Normal"/>
    <w:rsid w:val="00D74EBB"/>
    <w:pPr>
      <w:tabs>
        <w:tab w:val="center" w:pos="4320"/>
        <w:tab w:val="right" w:pos="8640"/>
      </w:tabs>
    </w:pPr>
  </w:style>
  <w:style w:type="character" w:styleId="PageNumber">
    <w:name w:val="page number"/>
    <w:basedOn w:val="DefaultParagraphFont"/>
    <w:rsid w:val="00D74EBB"/>
  </w:style>
  <w:style w:type="paragraph" w:styleId="FootnoteText">
    <w:name w:val="footnote text"/>
    <w:basedOn w:val="Normal"/>
    <w:link w:val="FootnoteTextChar"/>
    <w:uiPriority w:val="99"/>
    <w:rsid w:val="005135DF"/>
    <w:rPr>
      <w:szCs w:val="24"/>
    </w:rPr>
  </w:style>
  <w:style w:type="character" w:customStyle="1" w:styleId="FootnoteTextChar">
    <w:name w:val="Footnote Text Char"/>
    <w:link w:val="FootnoteText"/>
    <w:uiPriority w:val="99"/>
    <w:rsid w:val="005135DF"/>
    <w:rPr>
      <w:sz w:val="24"/>
      <w:szCs w:val="24"/>
    </w:rPr>
  </w:style>
  <w:style w:type="character" w:styleId="FootnoteReference">
    <w:name w:val="footnote reference"/>
    <w:aliases w:val="(NECG) Footnote Reference,Appel note de bas de p,FR,Footnote Reference/,Footnote Reference1,Style 12,Style 124,Style 13,Style 17,Style 3,Style 4,Style 6,Style 7,fr,o"/>
    <w:rsid w:val="005135DF"/>
    <w:rPr>
      <w:vertAlign w:val="superscript"/>
    </w:rPr>
  </w:style>
  <w:style w:type="paragraph" w:styleId="Footer">
    <w:name w:val="footer"/>
    <w:basedOn w:val="Normal"/>
    <w:rsid w:val="00C01751"/>
    <w:pPr>
      <w:tabs>
        <w:tab w:val="center" w:pos="4320"/>
        <w:tab w:val="right" w:pos="8640"/>
      </w:tabs>
    </w:pPr>
  </w:style>
  <w:style w:type="paragraph" w:customStyle="1" w:styleId="ParaNumCharChar">
    <w:name w:val="ParaNum Char Char"/>
    <w:basedOn w:val="Normal"/>
    <w:rsid w:val="00BF4167"/>
    <w:pPr>
      <w:tabs>
        <w:tab w:val="num" w:pos="360"/>
      </w:tabs>
      <w:autoSpaceDE w:val="0"/>
      <w:autoSpaceDN w:val="0"/>
      <w:adjustRightInd w:val="0"/>
      <w:spacing w:after="220"/>
    </w:pPr>
    <w:rPr>
      <w:kern w:val="28"/>
      <w:sz w:val="22"/>
      <w:szCs w:val="22"/>
    </w:rPr>
  </w:style>
  <w:style w:type="character" w:styleId="CommentReference">
    <w:name w:val="annotation reference"/>
    <w:rsid w:val="00523CAB"/>
    <w:rPr>
      <w:sz w:val="16"/>
      <w:szCs w:val="16"/>
    </w:rPr>
  </w:style>
  <w:style w:type="paragraph" w:styleId="CommentText">
    <w:name w:val="annotation text"/>
    <w:basedOn w:val="Normal"/>
    <w:link w:val="CommentTextChar"/>
    <w:rsid w:val="00523CAB"/>
    <w:rPr>
      <w:sz w:val="20"/>
    </w:rPr>
  </w:style>
  <w:style w:type="character" w:customStyle="1" w:styleId="CommentTextChar">
    <w:name w:val="Comment Text Char"/>
    <w:basedOn w:val="DefaultParagraphFont"/>
    <w:link w:val="CommentText"/>
    <w:rsid w:val="00523CAB"/>
  </w:style>
  <w:style w:type="paragraph" w:styleId="CommentSubject">
    <w:name w:val="annotation subject"/>
    <w:basedOn w:val="CommentText"/>
    <w:next w:val="CommentText"/>
    <w:link w:val="CommentSubjectChar"/>
    <w:rsid w:val="00523CAB"/>
    <w:rPr>
      <w:b/>
      <w:bCs/>
    </w:rPr>
  </w:style>
  <w:style w:type="character" w:customStyle="1" w:styleId="CommentSubjectChar">
    <w:name w:val="Comment Subject Char"/>
    <w:link w:val="CommentSubject"/>
    <w:rsid w:val="00523CAB"/>
    <w:rPr>
      <w:b/>
      <w:bCs/>
    </w:rPr>
  </w:style>
  <w:style w:type="paragraph" w:styleId="NormalWeb">
    <w:name w:val="Normal (Web)"/>
    <w:basedOn w:val="Normal"/>
    <w:uiPriority w:val="99"/>
    <w:unhideWhenUsed/>
    <w:rsid w:val="00CE1D37"/>
    <w:pPr>
      <w:spacing w:before="100" w:beforeAutospacing="1" w:after="100" w:afterAutospacing="1"/>
    </w:pPr>
    <w:rPr>
      <w:rFonts w:ascii="Times" w:hAnsi="Times"/>
      <w:sz w:val="20"/>
    </w:rPr>
  </w:style>
  <w:style w:type="paragraph" w:customStyle="1" w:styleId="MediumList1-Accent61">
    <w:name w:val="Medium List 1 - Accent 61"/>
    <w:basedOn w:val="Normal"/>
    <w:uiPriority w:val="34"/>
    <w:qFormat/>
    <w:rsid w:val="00273DE1"/>
    <w:pPr>
      <w:ind w:left="720"/>
    </w:pPr>
  </w:style>
  <w:style w:type="paragraph" w:customStyle="1" w:styleId="LightList-Accent51">
    <w:name w:val="Light List - Accent 51"/>
    <w:basedOn w:val="Normal"/>
    <w:uiPriority w:val="34"/>
    <w:qFormat/>
    <w:rsid w:val="00D249EB"/>
    <w:pPr>
      <w:ind w:left="720"/>
    </w:pPr>
  </w:style>
  <w:style w:type="paragraph" w:customStyle="1" w:styleId="DarkList-Accent31">
    <w:name w:val="Dark List - Accent 31"/>
    <w:hidden/>
    <w:uiPriority w:val="71"/>
    <w:rsid w:val="007A6095"/>
    <w:rPr>
      <w:sz w:val="24"/>
    </w:rPr>
  </w:style>
  <w:style w:type="paragraph" w:styleId="ListParagraph">
    <w:name w:val="List Paragraph"/>
    <w:basedOn w:val="Normal"/>
    <w:uiPriority w:val="99"/>
    <w:qFormat/>
    <w:rsid w:val="00847304"/>
    <w:pPr>
      <w:ind w:left="720"/>
    </w:pPr>
  </w:style>
  <w:style w:type="paragraph" w:styleId="Revision">
    <w:name w:val="Revision"/>
    <w:hidden/>
    <w:uiPriority w:val="99"/>
    <w:unhideWhenUsed/>
    <w:rsid w:val="001700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2CB4-96EF-4170-A2D7-AC715C8D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3060-0400</vt:lpstr>
    </vt:vector>
  </TitlesOfParts>
  <Company>Federal Communications Commission</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3060-0400</dc:title>
  <dc:creator>Pamela Arluk</dc:creator>
  <cp:lastModifiedBy>Nicole Ongele</cp:lastModifiedBy>
  <cp:revision>3</cp:revision>
  <cp:lastPrinted>2023-02-15T15:44:00Z</cp:lastPrinted>
  <dcterms:created xsi:type="dcterms:W3CDTF">2026-03-06T17:35:00Z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4AAA9mrMv1QjWAuw4R5jVz1+zLCHZU3MS9T6cl1tdWaIGYJt3lntZI9UzA==</vt:lpwstr>
  </property>
  <property fmtid="{D5CDD505-2E9C-101B-9397-08002B2CF9AE}" pid="3" name="MAIL_MSG_ID1">
    <vt:lpwstr>IFAAdg9u4s6HKdgxYNhzmpzZ99M0s9dY19Hqov6CeXM3+wUcvzzvl9hV//TF5ahrINeFwwyz56PAHpQ3
IscGeaogYfxRko/TmShF6g+F8asCFCxsK0ZeWBTFzhh3Bt05BhHyFz2309VD6pEDCM+hQhTK7Jh5
qc4t7gFHeKmiB4yeOs3cLzP4Jq+8vS4bXvOcUQBssc3wPH7rRkC/iic6HndBxWlIM+rW+R1+LIrK
oCuiqLA7DDF/uS4rq</vt:lpwstr>
  </property>
  <property fmtid="{D5CDD505-2E9C-101B-9397-08002B2CF9AE}" pid="4" name="MAIL_MSG_ID2">
    <vt:lpwstr>dZdUG930SGiEGhAJLzB10dH3cUNeC3ISdsshmZvgS34/9K+EZ6d45kggSqz
fC4nAFe7SAydiJ2X</vt:lpwstr>
  </property>
  <property fmtid="{D5CDD505-2E9C-101B-9397-08002B2CF9AE}" pid="5" name="RESPONSE_SENDER_NAME">
    <vt:lpwstr>sAAAb0xRtPDW5Uv89RczP4EqlxjihqNDWQKJ0XklV/OqvQk=</vt:lpwstr>
  </property>
</Properties>
</file>