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1A90" w:rsidRPr="00D807AF" w14:paraId="1F6FCFD3" w14:textId="77777777">
      <w:pPr>
        <w:pStyle w:val="Footer"/>
        <w:tabs>
          <w:tab w:val="clear" w:pos="4320"/>
          <w:tab w:val="center" w:pos="4680"/>
          <w:tab w:val="clear" w:pos="8640"/>
        </w:tabs>
        <w:jc w:val="center"/>
        <w:rPr>
          <w:rFonts w:ascii="Times New Roman" w:hAnsi="Times New Roman"/>
          <w:b/>
        </w:rPr>
      </w:pPr>
      <w:r w:rsidRPr="00D807AF">
        <w:rPr>
          <w:rFonts w:ascii="Times New Roman" w:hAnsi="Times New Roman"/>
          <w:b/>
        </w:rPr>
        <w:t>SUPPORTING STATEMENT</w:t>
      </w:r>
    </w:p>
    <w:p w:rsidR="00731A90" w:rsidRPr="00D807AF" w14:paraId="1F849AA3" w14:textId="77777777">
      <w:pPr>
        <w:tabs>
          <w:tab w:val="center" w:pos="4680"/>
        </w:tabs>
        <w:jc w:val="center"/>
        <w:rPr>
          <w:rFonts w:ascii="Times New Roman" w:hAnsi="Times New Roman"/>
          <w:b/>
        </w:rPr>
      </w:pPr>
      <w:r>
        <w:rPr>
          <w:rFonts w:ascii="Times New Roman" w:hAnsi="Times New Roman"/>
          <w:b/>
        </w:rPr>
        <w:t>Qualifications for Failed Bank Acquisitions</w:t>
      </w:r>
      <w:r w:rsidR="00AD4167">
        <w:rPr>
          <w:rFonts w:ascii="Times New Roman" w:hAnsi="Times New Roman"/>
          <w:b/>
        </w:rPr>
        <w:t xml:space="preserve"> </w:t>
      </w:r>
    </w:p>
    <w:p w:rsidR="00731A90" w:rsidRPr="00D807AF" w14:paraId="3D2D0F8B" w14:textId="77777777">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Pr="00D807AF" w:rsidR="0018551F">
        <w:rPr>
          <w:rFonts w:ascii="Times New Roman" w:hAnsi="Times New Roman"/>
          <w:b/>
        </w:rPr>
        <w:t>01</w:t>
      </w:r>
      <w:r w:rsidR="004762EA">
        <w:rPr>
          <w:rFonts w:ascii="Times New Roman" w:hAnsi="Times New Roman"/>
          <w:b/>
        </w:rPr>
        <w:t>69</w:t>
      </w:r>
      <w:r w:rsidRPr="00D807AF">
        <w:rPr>
          <w:rFonts w:ascii="Times New Roman" w:hAnsi="Times New Roman"/>
          <w:b/>
        </w:rPr>
        <w:t>)</w:t>
      </w:r>
    </w:p>
    <w:p w:rsidR="00731A90" w14:paraId="04BA2769" w14:textId="77777777">
      <w:pPr>
        <w:rPr>
          <w:rFonts w:ascii="Times New Roman" w:hAnsi="Times New Roman"/>
        </w:rPr>
      </w:pPr>
    </w:p>
    <w:p w:rsidR="00731A90" w14:paraId="74868770" w14:textId="77777777">
      <w:pPr>
        <w:rPr>
          <w:rFonts w:ascii="Times New Roman" w:hAnsi="Times New Roman"/>
          <w:u w:val="single"/>
        </w:rPr>
      </w:pPr>
      <w:r>
        <w:rPr>
          <w:rFonts w:ascii="Times New Roman" w:hAnsi="Times New Roman"/>
          <w:u w:val="single"/>
        </w:rPr>
        <w:t>INTRODUCTION</w:t>
      </w:r>
    </w:p>
    <w:p w:rsidR="00731A90" w14:paraId="6806B88A" w14:textId="77777777">
      <w:pPr>
        <w:rPr>
          <w:rFonts w:ascii="Times New Roman" w:hAnsi="Times New Roman"/>
          <w:u w:val="single"/>
        </w:rPr>
      </w:pPr>
    </w:p>
    <w:p w:rsidR="00DB04B6" w:rsidRPr="00DB04B6" w:rsidP="00DB04B6" w14:paraId="64E272DA" w14:textId="115E3B35">
      <w:pPr>
        <w:rPr>
          <w:rFonts w:ascii="Times New Roman" w:hAnsi="Times New Roman"/>
        </w:rPr>
      </w:pPr>
      <w:r>
        <w:rPr>
          <w:rFonts w:ascii="Times New Roman" w:hAnsi="Times New Roman"/>
        </w:rPr>
        <w:t xml:space="preserve">The </w:t>
      </w:r>
      <w:r w:rsidRPr="00A658D8" w:rsidR="0077603D">
        <w:rPr>
          <w:rFonts w:ascii="Times New Roman" w:hAnsi="Times New Roman"/>
          <w:szCs w:val="24"/>
        </w:rPr>
        <w:t xml:space="preserve">Federal Deposit Insurance Corporation (FDIC) </w:t>
      </w:r>
      <w:r w:rsidR="0077603D">
        <w:rPr>
          <w:rFonts w:ascii="Times New Roman" w:hAnsi="Times New Roman"/>
          <w:szCs w:val="24"/>
        </w:rPr>
        <w:t xml:space="preserve">is </w:t>
      </w:r>
      <w:r w:rsidRPr="00A658D8" w:rsidR="0077603D">
        <w:rPr>
          <w:rFonts w:ascii="Times New Roman" w:hAnsi="Times New Roman"/>
          <w:szCs w:val="24"/>
        </w:rPr>
        <w:t xml:space="preserve">requesting a three-year </w:t>
      </w:r>
      <w:r w:rsidR="00194EAD">
        <w:rPr>
          <w:rFonts w:ascii="Times New Roman" w:hAnsi="Times New Roman"/>
          <w:szCs w:val="24"/>
        </w:rPr>
        <w:t xml:space="preserve">extension without change </w:t>
      </w:r>
      <w:r w:rsidRPr="00A658D8" w:rsidR="0077603D">
        <w:rPr>
          <w:rFonts w:ascii="Times New Roman" w:hAnsi="Times New Roman"/>
          <w:szCs w:val="24"/>
        </w:rPr>
        <w:t xml:space="preserve">of the </w:t>
      </w:r>
      <w:r w:rsidRPr="00A658D8" w:rsidR="0077603D">
        <w:rPr>
          <w:rFonts w:ascii="Times New Roman" w:hAnsi="Times New Roman"/>
          <w:spacing w:val="-3"/>
          <w:szCs w:val="24"/>
        </w:rPr>
        <w:t xml:space="preserve">information collection </w:t>
      </w:r>
      <w:r w:rsidRPr="00A658D8" w:rsidR="0077603D">
        <w:rPr>
          <w:rFonts w:ascii="Times New Roman" w:hAnsi="Times New Roman"/>
          <w:color w:val="000000"/>
          <w:szCs w:val="24"/>
        </w:rPr>
        <w:t>titled, “</w:t>
      </w:r>
      <w:r w:rsidR="004762EA">
        <w:rPr>
          <w:rFonts w:ascii="Times New Roman" w:hAnsi="Times New Roman"/>
          <w:szCs w:val="24"/>
        </w:rPr>
        <w:t>Qualifications for Failed Bank Acquisitions</w:t>
      </w:r>
      <w:r w:rsidRPr="00A658D8" w:rsidR="0077603D">
        <w:rPr>
          <w:rFonts w:ascii="Times New Roman" w:hAnsi="Times New Roman"/>
          <w:szCs w:val="24"/>
        </w:rPr>
        <w:t>” (3064-01</w:t>
      </w:r>
      <w:r w:rsidR="004762EA">
        <w:rPr>
          <w:rFonts w:ascii="Times New Roman" w:hAnsi="Times New Roman"/>
          <w:szCs w:val="24"/>
        </w:rPr>
        <w:t>69).</w:t>
      </w:r>
      <w:r>
        <w:rPr>
          <w:rFonts w:ascii="Times New Roman" w:hAnsi="Times New Roman"/>
        </w:rPr>
        <w:t xml:space="preserve"> </w:t>
      </w:r>
      <w:r w:rsidR="004762EA">
        <w:rPr>
          <w:rFonts w:ascii="Times New Roman" w:hAnsi="Times New Roman"/>
          <w:color w:val="000000"/>
          <w:szCs w:val="24"/>
        </w:rPr>
        <w:t xml:space="preserve">The Policy Statement behind it provides guidance to private capital investors interested in acquiring failed insured depository institutions regarding the terms and conditions for such investments or acquisitions.  </w:t>
      </w:r>
      <w:r>
        <w:rPr>
          <w:rFonts w:ascii="Times New Roman" w:hAnsi="Times New Roman"/>
        </w:rPr>
        <w:t xml:space="preserve">This information collection expires on </w:t>
      </w:r>
      <w:r w:rsidR="00280425">
        <w:rPr>
          <w:rFonts w:ascii="Times New Roman" w:hAnsi="Times New Roman"/>
        </w:rPr>
        <w:t>February 28, 2026</w:t>
      </w:r>
      <w:r>
        <w:rPr>
          <w:rFonts w:ascii="Times New Roman" w:hAnsi="Times New Roman"/>
        </w:rPr>
        <w:t>.</w:t>
      </w:r>
      <w:r w:rsidR="0077603D">
        <w:rPr>
          <w:rFonts w:ascii="Times New Roman" w:hAnsi="Times New Roman"/>
        </w:rPr>
        <w:t xml:space="preserve">  </w:t>
      </w:r>
      <w:r w:rsidR="004762EA">
        <w:rPr>
          <w:rFonts w:ascii="Times New Roman" w:hAnsi="Times New Roman"/>
          <w:color w:val="000000"/>
          <w:szCs w:val="24"/>
        </w:rPr>
        <w:t xml:space="preserve">The information collected allows the FDIC to evaluate, among other things, whether such investors (and their related interests) could negatively </w:t>
      </w:r>
      <w:r w:rsidR="004762EA">
        <w:rPr>
          <w:rFonts w:ascii="Times New Roman" w:hAnsi="Times New Roman"/>
          <w:color w:val="000000"/>
          <w:szCs w:val="24"/>
        </w:rPr>
        <w:t>impact</w:t>
      </w:r>
      <w:r w:rsidR="004762EA">
        <w:rPr>
          <w:rFonts w:ascii="Times New Roman" w:hAnsi="Times New Roman"/>
          <w:color w:val="000000"/>
          <w:szCs w:val="24"/>
        </w:rPr>
        <w:t xml:space="preserve"> the Deposit Insurance Fund, increase resolution costs, or operate in a manner that </w:t>
      </w:r>
      <w:r w:rsidR="004762EA">
        <w:rPr>
          <w:rFonts w:ascii="Times New Roman" w:hAnsi="Times New Roman"/>
          <w:color w:val="000000"/>
          <w:szCs w:val="24"/>
        </w:rPr>
        <w:t>conflict</w:t>
      </w:r>
      <w:r w:rsidR="004762EA">
        <w:rPr>
          <w:rFonts w:ascii="Times New Roman" w:hAnsi="Times New Roman"/>
          <w:color w:val="000000"/>
          <w:szCs w:val="24"/>
        </w:rPr>
        <w:t xml:space="preserve"> with safety and soundness principles and compliance requirements.</w:t>
      </w:r>
      <w:r w:rsidRPr="00A658D8" w:rsidR="004762EA">
        <w:rPr>
          <w:rFonts w:ascii="Times New Roman" w:hAnsi="Times New Roman"/>
          <w:szCs w:val="24"/>
        </w:rPr>
        <w:t xml:space="preserve"> There</w:t>
      </w:r>
      <w:r w:rsidRPr="00A658D8" w:rsidR="0077603D">
        <w:rPr>
          <w:rFonts w:ascii="Times New Roman" w:hAnsi="Times New Roman"/>
          <w:spacing w:val="-6"/>
          <w:szCs w:val="24"/>
        </w:rPr>
        <w:t xml:space="preserve"> </w:t>
      </w:r>
      <w:r w:rsidRPr="00A658D8" w:rsidR="0077603D">
        <w:rPr>
          <w:rFonts w:ascii="Times New Roman" w:hAnsi="Times New Roman"/>
          <w:szCs w:val="24"/>
        </w:rPr>
        <w:t>is no change</w:t>
      </w:r>
      <w:r w:rsidRPr="00A658D8" w:rsidR="0077603D">
        <w:rPr>
          <w:rFonts w:ascii="Times New Roman" w:hAnsi="Times New Roman"/>
          <w:spacing w:val="-7"/>
          <w:szCs w:val="24"/>
        </w:rPr>
        <w:t xml:space="preserve"> </w:t>
      </w:r>
      <w:r w:rsidRPr="00A658D8" w:rsidR="0077603D">
        <w:rPr>
          <w:rFonts w:ascii="Times New Roman" w:hAnsi="Times New Roman"/>
          <w:szCs w:val="24"/>
        </w:rPr>
        <w:t>in</w:t>
      </w:r>
      <w:r w:rsidRPr="00A658D8" w:rsidR="0077603D">
        <w:rPr>
          <w:rFonts w:ascii="Times New Roman" w:hAnsi="Times New Roman"/>
          <w:spacing w:val="-2"/>
          <w:szCs w:val="24"/>
        </w:rPr>
        <w:t xml:space="preserve"> </w:t>
      </w:r>
      <w:r w:rsidRPr="00A658D8" w:rsidR="0077603D">
        <w:rPr>
          <w:rFonts w:ascii="Times New Roman" w:hAnsi="Times New Roman"/>
          <w:szCs w:val="24"/>
        </w:rPr>
        <w:t>the</w:t>
      </w:r>
      <w:r w:rsidRPr="00A658D8" w:rsidR="0077603D">
        <w:rPr>
          <w:rFonts w:ascii="Times New Roman" w:hAnsi="Times New Roman"/>
          <w:spacing w:val="-3"/>
          <w:szCs w:val="24"/>
        </w:rPr>
        <w:t xml:space="preserve"> </w:t>
      </w:r>
      <w:r w:rsidRPr="00A658D8" w:rsidR="0077603D">
        <w:rPr>
          <w:rFonts w:ascii="Times New Roman" w:hAnsi="Times New Roman"/>
          <w:spacing w:val="-2"/>
          <w:szCs w:val="24"/>
        </w:rPr>
        <w:t>m</w:t>
      </w:r>
      <w:r w:rsidRPr="00A658D8" w:rsidR="0077603D">
        <w:rPr>
          <w:rFonts w:ascii="Times New Roman" w:hAnsi="Times New Roman"/>
          <w:szCs w:val="24"/>
        </w:rPr>
        <w:t>ethod</w:t>
      </w:r>
      <w:r w:rsidRPr="00A658D8" w:rsidR="0077603D">
        <w:rPr>
          <w:rFonts w:ascii="Times New Roman" w:hAnsi="Times New Roman"/>
          <w:spacing w:val="-7"/>
          <w:szCs w:val="24"/>
        </w:rPr>
        <w:t xml:space="preserve"> </w:t>
      </w:r>
      <w:r w:rsidRPr="00A658D8" w:rsidR="0077603D">
        <w:rPr>
          <w:rFonts w:ascii="Times New Roman" w:hAnsi="Times New Roman"/>
          <w:szCs w:val="24"/>
        </w:rPr>
        <w:t>or substance</w:t>
      </w:r>
      <w:r w:rsidRPr="00A658D8" w:rsidR="0077603D">
        <w:rPr>
          <w:rFonts w:ascii="Times New Roman" w:hAnsi="Times New Roman"/>
          <w:spacing w:val="-9"/>
          <w:szCs w:val="24"/>
        </w:rPr>
        <w:t xml:space="preserve"> </w:t>
      </w:r>
      <w:r w:rsidRPr="00A658D8" w:rsidR="0077603D">
        <w:rPr>
          <w:rFonts w:ascii="Times New Roman" w:hAnsi="Times New Roman"/>
          <w:szCs w:val="24"/>
        </w:rPr>
        <w:t>of the</w:t>
      </w:r>
      <w:r w:rsidRPr="00A658D8" w:rsidR="0077603D">
        <w:rPr>
          <w:rFonts w:ascii="Times New Roman" w:hAnsi="Times New Roman"/>
          <w:spacing w:val="-3"/>
          <w:szCs w:val="24"/>
        </w:rPr>
        <w:t xml:space="preserve"> </w:t>
      </w:r>
      <w:r w:rsidRPr="00A658D8" w:rsidR="0077603D">
        <w:rPr>
          <w:rFonts w:ascii="Times New Roman" w:hAnsi="Times New Roman"/>
          <w:szCs w:val="24"/>
        </w:rPr>
        <w:t>collection.</w:t>
      </w:r>
    </w:p>
    <w:p w:rsidR="00DB04B6" w:rsidP="004D1876" w14:paraId="5E5D048A" w14:textId="77777777">
      <w:pPr>
        <w:rPr>
          <w:rFonts w:ascii="Times New Roman" w:hAnsi="Times New Roman"/>
        </w:rPr>
      </w:pPr>
    </w:p>
    <w:p w:rsidR="000C4B4F" w:rsidRPr="00194EAD" w:rsidP="000C4B4F" w14:paraId="3183F8D3" w14:textId="77777777">
      <w:pPr>
        <w:numPr>
          <w:ilvl w:val="0"/>
          <w:numId w:val="12"/>
        </w:numPr>
        <w:rPr>
          <w:rFonts w:ascii="Times New Roman" w:hAnsi="Times New Roman"/>
          <w:u w:val="single"/>
        </w:rPr>
      </w:pPr>
      <w:r>
        <w:rPr>
          <w:rFonts w:ascii="Times New Roman" w:hAnsi="Times New Roman"/>
          <w:u w:val="single"/>
        </w:rPr>
        <w:t>JUSTIFICATION</w:t>
      </w:r>
    </w:p>
    <w:p w:rsidR="00731A90" w14:paraId="2EED9690" w14:textId="77777777">
      <w:pPr>
        <w:rPr>
          <w:rFonts w:ascii="Times New Roman" w:hAnsi="Times New Roman"/>
        </w:rPr>
      </w:pPr>
    </w:p>
    <w:p w:rsidR="00731A90" w:rsidP="00DA5F2E" w14:paraId="6BB5D8F8" w14:textId="77777777">
      <w:pPr>
        <w:numPr>
          <w:ilvl w:val="0"/>
          <w:numId w:val="15"/>
        </w:numPr>
        <w:rPr>
          <w:rFonts w:ascii="Times New Roman" w:hAnsi="Times New Roman"/>
        </w:rPr>
      </w:pPr>
      <w:r w:rsidRPr="00B662BE">
        <w:rPr>
          <w:rFonts w:ascii="Times New Roman" w:hAnsi="Times New Roman"/>
          <w:bCs/>
          <w:szCs w:val="24"/>
          <w:u w:val="single"/>
        </w:rPr>
        <w:t>Circumstances that make the collection necessary:</w:t>
      </w:r>
    </w:p>
    <w:p w:rsidR="00731A90" w14:paraId="3A5186F3" w14:textId="77777777">
      <w:pPr>
        <w:ind w:firstLine="1440"/>
        <w:rPr>
          <w:rFonts w:ascii="Times New Roman" w:hAnsi="Times New Roman"/>
        </w:rPr>
      </w:pPr>
    </w:p>
    <w:p w:rsidR="009D2490" w:rsidP="009D2490" w14:paraId="3D13DC32" w14:textId="4FE732F7">
      <w:pPr>
        <w:ind w:left="1440"/>
        <w:rPr>
          <w:rFonts w:ascii="Times New Roman" w:hAnsi="Times New Roman"/>
        </w:rPr>
      </w:pPr>
      <w:r w:rsidRPr="00D42010">
        <w:rPr>
          <w:rFonts w:ascii="Times New Roman" w:hAnsi="Times New Roman"/>
        </w:rPr>
        <w:t>Section 6 of the Federal Deposit Insurance Act (FDI Act) requires the FDIC to consider statutory factors when reviewing an application for deposit insurance, including from private capital investors seeking to form a bank for the purpose of acquiring the assets and/or liabilities from failed banks in receivership. The FDIC reviews various elements of private capital investment structures and considers whether the investment structures raise potential safety and soundness considerations and risks to the Deposit Insurance Fund (DIF) as well as important issues with respect to their compliance with the requirements applied by the FDIC in its decision on the granting of deposit insurance.  The concerns center on the need for fully adequate capital, a source of financial and managerial strength for the depository institution, and the potential adverse effects of extensions of credit to affiliate</w:t>
      </w:r>
      <w:r>
        <w:rPr>
          <w:rFonts w:ascii="Times New Roman" w:hAnsi="Times New Roman"/>
        </w:rPr>
        <w:t>.</w:t>
      </w:r>
    </w:p>
    <w:p w:rsidR="00D42010" w:rsidRPr="00373ED8" w:rsidP="009D2490" w14:paraId="1A8BE3CF" w14:textId="77777777">
      <w:pPr>
        <w:ind w:left="1440"/>
        <w:rPr>
          <w:rFonts w:ascii="Times New Roman" w:hAnsi="Times New Roman"/>
        </w:rPr>
      </w:pPr>
    </w:p>
    <w:p w:rsidR="004D1876" w:rsidRPr="00373ED8" w:rsidP="00DA5F2E" w14:paraId="3DF340DB" w14:textId="77777777">
      <w:pPr>
        <w:numPr>
          <w:ilvl w:val="0"/>
          <w:numId w:val="15"/>
        </w:numPr>
        <w:tabs>
          <w:tab w:val="left" w:pos="-1440"/>
        </w:tabs>
        <w:rPr>
          <w:rFonts w:ascii="Times New Roman" w:hAnsi="Times New Roman"/>
        </w:rPr>
      </w:pPr>
      <w:r w:rsidRPr="00373ED8">
        <w:rPr>
          <w:rFonts w:ascii="Times New Roman" w:hAnsi="Times New Roman"/>
          <w:u w:val="single"/>
        </w:rPr>
        <w:t>Use of the information:</w:t>
      </w:r>
    </w:p>
    <w:p w:rsidR="004D1876" w:rsidRPr="00373ED8" w:rsidP="004D1876" w14:paraId="380BF178" w14:textId="77777777">
      <w:pPr>
        <w:ind w:left="1440"/>
        <w:rPr>
          <w:rFonts w:ascii="Times New Roman" w:hAnsi="Times New Roman"/>
        </w:rPr>
      </w:pPr>
    </w:p>
    <w:p w:rsidR="00DA5F2E" w:rsidP="00DA5F2E" w14:paraId="3D3B4F40" w14:textId="77777777">
      <w:pPr>
        <w:ind w:left="1440"/>
        <w:rPr>
          <w:rFonts w:ascii="Times New Roman" w:hAnsi="Times New Roman"/>
        </w:rPr>
      </w:pPr>
      <w:r>
        <w:rPr>
          <w:rFonts w:ascii="Times New Roman" w:hAnsi="Times New Roman"/>
        </w:rPr>
        <w:t xml:space="preserve">Information sought from </w:t>
      </w:r>
      <w:r w:rsidR="00B461A4">
        <w:rPr>
          <w:rFonts w:ascii="Times New Roman" w:hAnsi="Times New Roman"/>
        </w:rPr>
        <w:t xml:space="preserve">investors </w:t>
      </w:r>
      <w:r>
        <w:rPr>
          <w:rFonts w:ascii="Times New Roman" w:hAnsi="Times New Roman"/>
        </w:rPr>
        <w:t>and others described in the Policy Statement assists the FDIC in evaluating resolution alternatives and in providing prudent oversight of insured depository institutions to ensure that they do not pose unreasonable risks to the Deposit Insurance Fund when originally chartered or during their early, critical years of operation.</w:t>
      </w:r>
    </w:p>
    <w:p w:rsidR="00DA5F2E" w:rsidP="00DA5F2E" w14:paraId="275C2F1B" w14:textId="77777777">
      <w:pPr>
        <w:ind w:left="1440"/>
        <w:rPr>
          <w:rFonts w:ascii="Times New Roman" w:hAnsi="Times New Roman"/>
        </w:rPr>
      </w:pPr>
    </w:p>
    <w:p w:rsidR="00DA5F2E" w:rsidP="00DA5F2E" w14:paraId="1687E505" w14:textId="77777777">
      <w:pPr>
        <w:ind w:left="1440"/>
        <w:rPr>
          <w:rFonts w:ascii="Times New Roman" w:hAnsi="Times New Roman"/>
        </w:rPr>
      </w:pPr>
      <w:r>
        <w:rPr>
          <w:rFonts w:ascii="Times New Roman" w:hAnsi="Times New Roman"/>
        </w:rPr>
        <w:t xml:space="preserve">The FDIC’s information request requires </w:t>
      </w:r>
      <w:r w:rsidR="00B461A4">
        <w:rPr>
          <w:rFonts w:ascii="Times New Roman" w:hAnsi="Times New Roman"/>
        </w:rPr>
        <w:t>investors</w:t>
      </w:r>
      <w:r>
        <w:rPr>
          <w:rFonts w:ascii="Times New Roman" w:hAnsi="Times New Roman"/>
        </w:rPr>
        <w:t xml:space="preserve"> to provide regular reports that identify all known affiliates of the </w:t>
      </w:r>
      <w:r w:rsidR="00B461A4">
        <w:rPr>
          <w:rFonts w:ascii="Times New Roman" w:hAnsi="Times New Roman"/>
        </w:rPr>
        <w:t>investor</w:t>
      </w:r>
      <w:r>
        <w:rPr>
          <w:rFonts w:ascii="Times New Roman" w:hAnsi="Times New Roman"/>
        </w:rPr>
        <w:t xml:space="preserve"> and known “portfolio companies” in which the </w:t>
      </w:r>
      <w:r w:rsidR="00B461A4">
        <w:rPr>
          <w:rFonts w:ascii="Times New Roman" w:hAnsi="Times New Roman"/>
        </w:rPr>
        <w:t>investor</w:t>
      </w:r>
      <w:r>
        <w:rPr>
          <w:rFonts w:ascii="Times New Roman" w:hAnsi="Times New Roman"/>
        </w:rPr>
        <w:t xml:space="preserve"> or its affiliates owns more than 10% of the total voting equity; to maintain their books and records (or a duplicate thereof) in the United States if such </w:t>
      </w:r>
      <w:r w:rsidR="00B461A4">
        <w:rPr>
          <w:rFonts w:ascii="Times New Roman" w:hAnsi="Times New Roman"/>
        </w:rPr>
        <w:t>investors</w:t>
      </w:r>
      <w:r>
        <w:rPr>
          <w:rFonts w:ascii="Times New Roman" w:hAnsi="Times New Roman"/>
        </w:rPr>
        <w:t xml:space="preserve"> wish to be eligible to own a direct or indirect interest in an insured </w:t>
      </w:r>
      <w:r>
        <w:rPr>
          <w:rFonts w:ascii="Times New Roman" w:hAnsi="Times New Roman"/>
        </w:rPr>
        <w:t xml:space="preserve">depository institution; and to submit to the FDIC information about themselves and all entities in their ownership chain, including such information as the size of the capital fund or funds, its diversification, the return profile, the marketing documents, the management team, the business model and such other information as the FDIC determines to be necessary to ensure compliance by </w:t>
      </w:r>
      <w:r w:rsidR="00B461A4">
        <w:rPr>
          <w:rFonts w:ascii="Times New Roman" w:hAnsi="Times New Roman"/>
        </w:rPr>
        <w:t>investors</w:t>
      </w:r>
      <w:r>
        <w:rPr>
          <w:rFonts w:ascii="Times New Roman" w:hAnsi="Times New Roman"/>
        </w:rPr>
        <w:t xml:space="preserve"> with the Policy Statement.</w:t>
      </w:r>
    </w:p>
    <w:p w:rsidR="00DA5F2E" w:rsidP="00DA5F2E" w14:paraId="7669ABDB" w14:textId="77777777">
      <w:pPr>
        <w:ind w:left="1440"/>
        <w:rPr>
          <w:rFonts w:ascii="Times New Roman" w:hAnsi="Times New Roman"/>
        </w:rPr>
      </w:pPr>
    </w:p>
    <w:p w:rsidR="00DA5F2E" w:rsidP="00DA5F2E" w14:paraId="4EF2F5DB" w14:textId="77777777">
      <w:pPr>
        <w:ind w:left="1440"/>
        <w:rPr>
          <w:rFonts w:ascii="Times New Roman" w:hAnsi="Times New Roman"/>
        </w:rPr>
      </w:pPr>
      <w:r>
        <w:rPr>
          <w:rFonts w:ascii="Times New Roman" w:hAnsi="Times New Roman"/>
        </w:rPr>
        <w:t xml:space="preserve">The FDIC believes that this information can be provided by </w:t>
      </w:r>
      <w:r w:rsidR="00B461A4">
        <w:rPr>
          <w:rFonts w:ascii="Times New Roman" w:hAnsi="Times New Roman"/>
        </w:rPr>
        <w:t>investors</w:t>
      </w:r>
      <w:r>
        <w:rPr>
          <w:rFonts w:ascii="Times New Roman" w:hAnsi="Times New Roman"/>
        </w:rPr>
        <w:t xml:space="preserve"> without significantly deterring private capital investments in the deposit and other liabilities and assets associated with troubled insured depository institutions.  By identifying the information sought in its published Policy Statement, the FDIC intends to make an interested </w:t>
      </w:r>
      <w:r w:rsidR="00B461A4">
        <w:rPr>
          <w:rFonts w:ascii="Times New Roman" w:hAnsi="Times New Roman"/>
        </w:rPr>
        <w:t>investor</w:t>
      </w:r>
      <w:r>
        <w:rPr>
          <w:rFonts w:ascii="Times New Roman" w:hAnsi="Times New Roman"/>
        </w:rPr>
        <w:t xml:space="preserve"> aware of the information required by the FDIC and, and in so doing, make the </w:t>
      </w:r>
      <w:r w:rsidR="00B461A4">
        <w:rPr>
          <w:rFonts w:ascii="Times New Roman" w:hAnsi="Times New Roman"/>
        </w:rPr>
        <w:t>investor</w:t>
      </w:r>
      <w:r>
        <w:rPr>
          <w:rFonts w:ascii="Times New Roman" w:hAnsi="Times New Roman"/>
        </w:rPr>
        <w:t>’s investment decision a more informed one.</w:t>
      </w:r>
    </w:p>
    <w:p w:rsidR="004D1876" w:rsidP="004D1876" w14:paraId="59CEB1CB" w14:textId="77777777">
      <w:pPr>
        <w:ind w:left="2880"/>
        <w:rPr>
          <w:rFonts w:ascii="Times New Roman" w:hAnsi="Times New Roman"/>
        </w:rPr>
      </w:pPr>
    </w:p>
    <w:p w:rsidR="00731A90" w:rsidP="00DA5F2E" w14:paraId="69878D6A" w14:textId="77777777">
      <w:pPr>
        <w:numPr>
          <w:ilvl w:val="0"/>
          <w:numId w:val="15"/>
        </w:numPr>
        <w:rPr>
          <w:rFonts w:ascii="Times New Roman" w:hAnsi="Times New Roman"/>
        </w:rPr>
      </w:pPr>
      <w:r w:rsidRPr="00B662BE">
        <w:rPr>
          <w:rFonts w:ascii="Times New Roman" w:hAnsi="Times New Roman"/>
          <w:bCs/>
          <w:szCs w:val="24"/>
          <w:u w:val="single"/>
        </w:rPr>
        <w:t>Consideration of the use of improved information technology:</w:t>
      </w:r>
    </w:p>
    <w:p w:rsidR="00731A90" w14:paraId="1048FF17" w14:textId="77777777">
      <w:pPr>
        <w:rPr>
          <w:rFonts w:ascii="Times New Roman" w:hAnsi="Times New Roman"/>
        </w:rPr>
      </w:pPr>
    </w:p>
    <w:p w:rsidR="00DA5F2E" w:rsidP="00DA5F2E" w14:paraId="5B6ED83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r>
        <w:rPr>
          <w:rFonts w:ascii="Times New Roman" w:hAnsi="Times New Roman"/>
          <w:szCs w:val="24"/>
        </w:rPr>
        <w:t>Submission of periodic investor affiliate reports to insured depository institutions may be facilitated by whatever technology is mutually agreeable to investors and institutions.  Similarly, business books and records (or duplicates thereof) to be maintained in the U.S. by investors that own an interest in an insured depository institution and that employ ownership structures utilizing entities that are domiciled in bank secrecy jurisdictions may be maintained in the form and format typically utilized by such entities.  Finally, in making disclosures regarding the size of capital funds, diversification, return profile, marketing documents, the management team, and business models, investors subject to the policy statement may use technology to the extent feasible and appropriate to meet the disclosure requirements.</w:t>
      </w:r>
    </w:p>
    <w:p w:rsidR="0077603D" w:rsidP="00B26610" w14:paraId="4668AA8A" w14:textId="77777777">
      <w:pPr>
        <w:ind w:left="1440"/>
        <w:rPr>
          <w:rFonts w:ascii="Times New Roman" w:hAnsi="Times New Roman"/>
          <w:color w:val="000000"/>
          <w:szCs w:val="24"/>
        </w:rPr>
      </w:pPr>
    </w:p>
    <w:p w:rsidR="00731A90" w:rsidP="00DA5F2E" w14:paraId="386348B3" w14:textId="77777777">
      <w:pPr>
        <w:numPr>
          <w:ilvl w:val="0"/>
          <w:numId w:val="15"/>
        </w:numPr>
        <w:rPr>
          <w:rFonts w:ascii="Times New Roman" w:hAnsi="Times New Roman"/>
        </w:rPr>
      </w:pPr>
      <w:r>
        <w:rPr>
          <w:rFonts w:ascii="Times New Roman" w:hAnsi="Times New Roman"/>
          <w:u w:val="single"/>
        </w:rPr>
        <w:t>Efforts to identify duplication</w:t>
      </w:r>
      <w:r w:rsidR="008F53AC">
        <w:rPr>
          <w:rFonts w:ascii="Times New Roman" w:hAnsi="Times New Roman"/>
          <w:u w:val="single"/>
        </w:rPr>
        <w:t>:</w:t>
      </w:r>
    </w:p>
    <w:p w:rsidR="00731A90" w14:paraId="53E8C954" w14:textId="77777777">
      <w:pPr>
        <w:rPr>
          <w:rFonts w:ascii="Times New Roman" w:hAnsi="Times New Roman"/>
        </w:rPr>
      </w:pPr>
    </w:p>
    <w:p w:rsidR="00731A90" w:rsidP="00DA5F2E" w14:paraId="24806E3D" w14:textId="77777777">
      <w:pPr>
        <w:ind w:left="1440"/>
        <w:rPr>
          <w:rFonts w:ascii="Times New Roman" w:hAnsi="Times New Roman"/>
        </w:rPr>
      </w:pPr>
      <w:r>
        <w:rPr>
          <w:rFonts w:ascii="Times New Roman" w:hAnsi="Times New Roman"/>
          <w:color w:val="000000"/>
          <w:szCs w:val="24"/>
        </w:rPr>
        <w:t xml:space="preserve">The information </w:t>
      </w:r>
      <w:r>
        <w:rPr>
          <w:rFonts w:ascii="Times New Roman" w:hAnsi="Times New Roman"/>
          <w:color w:val="000000"/>
          <w:szCs w:val="24"/>
        </w:rPr>
        <w:t>collection</w:t>
      </w:r>
      <w:r>
        <w:rPr>
          <w:rFonts w:ascii="Times New Roman" w:hAnsi="Times New Roman"/>
          <w:color w:val="000000"/>
          <w:szCs w:val="24"/>
        </w:rPr>
        <w:t xml:space="preserve"> contained in the Policy Statement is </w:t>
      </w:r>
      <w:r>
        <w:rPr>
          <w:rFonts w:ascii="Times New Roman" w:hAnsi="Times New Roman"/>
        </w:rPr>
        <w:t>related to, but not duplicated by, other previously approved collections of information.</w:t>
      </w:r>
      <w:r>
        <w:rPr>
          <w:rFonts w:ascii="Times New Roman" w:hAnsi="Times New Roman"/>
          <w:color w:val="000000"/>
          <w:szCs w:val="24"/>
        </w:rPr>
        <w:t xml:space="preserve"> </w:t>
      </w:r>
      <w:r>
        <w:rPr>
          <w:rFonts w:ascii="Times New Roman" w:hAnsi="Times New Roman"/>
        </w:rPr>
        <w:t xml:space="preserve">It cannot be readily acquired from other sources.  </w:t>
      </w:r>
      <w:r>
        <w:rPr>
          <w:rFonts w:ascii="Times New Roman" w:hAnsi="Times New Roman"/>
        </w:rPr>
        <w:t>In order to</w:t>
      </w:r>
      <w:r>
        <w:rPr>
          <w:rFonts w:ascii="Times New Roman" w:hAnsi="Times New Roman"/>
        </w:rPr>
        <w:t xml:space="preserve"> provide clarity to affected information providers, the FDIC uses this information collection to specify the information required to be submitted by </w:t>
      </w:r>
      <w:r w:rsidR="00B461A4">
        <w:rPr>
          <w:rFonts w:ascii="Times New Roman" w:hAnsi="Times New Roman"/>
        </w:rPr>
        <w:t>investors</w:t>
      </w:r>
      <w:r>
        <w:rPr>
          <w:rFonts w:ascii="Times New Roman" w:hAnsi="Times New Roman"/>
        </w:rPr>
        <w:t xml:space="preserve"> subject to the Policy Statement.</w:t>
      </w:r>
    </w:p>
    <w:p w:rsidR="00C819C1" w:rsidP="00DA5F2E" w14:paraId="6E11E204" w14:textId="77777777">
      <w:pPr>
        <w:ind w:left="1440"/>
        <w:rPr>
          <w:rFonts w:ascii="Times New Roman" w:hAnsi="Times New Roman"/>
        </w:rPr>
      </w:pPr>
    </w:p>
    <w:p w:rsidR="00731A90" w:rsidP="00DA5F2E" w14:paraId="3F1894B6" w14:textId="77777777">
      <w:pPr>
        <w:numPr>
          <w:ilvl w:val="0"/>
          <w:numId w:val="15"/>
        </w:numPr>
        <w:rPr>
          <w:rFonts w:ascii="Times New Roman" w:hAnsi="Times New Roman"/>
          <w:u w:val="single"/>
        </w:rPr>
      </w:pPr>
      <w:r w:rsidRPr="008873E8">
        <w:rPr>
          <w:rFonts w:ascii="Times New Roman" w:hAnsi="Times New Roman"/>
          <w:bCs/>
          <w:szCs w:val="24"/>
          <w:u w:val="single"/>
        </w:rPr>
        <w:t>Methods used to minimize burden if the collection has a significant impact on a substantial number of small entities:</w:t>
      </w:r>
    </w:p>
    <w:p w:rsidR="00731A90" w14:paraId="2D0DDB44" w14:textId="77777777">
      <w:pPr>
        <w:ind w:left="1440"/>
        <w:rPr>
          <w:rFonts w:ascii="Times New Roman" w:hAnsi="Times New Roman"/>
        </w:rPr>
      </w:pPr>
    </w:p>
    <w:p w:rsidR="00714873" w:rsidP="00BF48CF" w14:paraId="07A18EAE" w14:textId="77777777">
      <w:pPr>
        <w:ind w:left="1440"/>
        <w:rPr>
          <w:rFonts w:ascii="Times New Roman" w:hAnsi="Times New Roman"/>
          <w:szCs w:val="24"/>
        </w:rPr>
      </w:pPr>
      <w:r>
        <w:rPr>
          <w:rFonts w:ascii="Times New Roman" w:hAnsi="Times New Roman"/>
          <w:szCs w:val="24"/>
        </w:rPr>
        <w:t xml:space="preserve">The information collected is the minimum necessary to ensure that the </w:t>
      </w:r>
      <w:r>
        <w:rPr>
          <w:rFonts w:ascii="Times New Roman" w:hAnsi="Times New Roman"/>
          <w:szCs w:val="24"/>
        </w:rPr>
        <w:t>acquisitions</w:t>
      </w:r>
      <w:r>
        <w:rPr>
          <w:rFonts w:ascii="Times New Roman" w:hAnsi="Times New Roman"/>
          <w:szCs w:val="24"/>
        </w:rPr>
        <w:t xml:space="preserve"> of failed institutions by private capital investors </w:t>
      </w:r>
      <w:r>
        <w:rPr>
          <w:rFonts w:ascii="Times New Roman" w:hAnsi="Times New Roman"/>
          <w:szCs w:val="24"/>
        </w:rPr>
        <w:t>do</w:t>
      </w:r>
      <w:r>
        <w:rPr>
          <w:rFonts w:ascii="Times New Roman" w:hAnsi="Times New Roman"/>
          <w:szCs w:val="24"/>
        </w:rPr>
        <w:t xml:space="preserve"> not raise safety and soundness issues, present a risk to the Deposit Insurance Fund, or increase resolution costs.  Small entities can choose whether to participate in the program.</w:t>
      </w:r>
    </w:p>
    <w:p w:rsidR="00DA5F2E" w:rsidP="00BF48CF" w14:paraId="5BEB6DEB" w14:textId="77777777">
      <w:pPr>
        <w:ind w:left="1440"/>
        <w:rPr>
          <w:rFonts w:ascii="Times New Roman" w:hAnsi="Times New Roman"/>
          <w:szCs w:val="24"/>
        </w:rPr>
      </w:pPr>
    </w:p>
    <w:p w:rsidR="00731A90" w:rsidP="00DA5F2E" w14:paraId="71E4BFDD" w14:textId="77777777">
      <w:pPr>
        <w:numPr>
          <w:ilvl w:val="0"/>
          <w:numId w:val="15"/>
        </w:numPr>
        <w:tabs>
          <w:tab w:val="left" w:pos="-1620"/>
        </w:tabs>
        <w:rPr>
          <w:rFonts w:ascii="Times New Roman" w:hAnsi="Times New Roman"/>
        </w:rPr>
      </w:pPr>
      <w:r w:rsidRPr="008873E8">
        <w:rPr>
          <w:rFonts w:ascii="Times New Roman" w:hAnsi="Times New Roman"/>
          <w:bCs/>
          <w:szCs w:val="24"/>
          <w:u w:val="single"/>
        </w:rPr>
        <w:t xml:space="preserve">Consequences to the Federal program if the collection were conducted less </w:t>
      </w:r>
      <w:r w:rsidRPr="008873E8">
        <w:rPr>
          <w:rFonts w:ascii="Times New Roman" w:hAnsi="Times New Roman"/>
          <w:bCs/>
          <w:szCs w:val="24"/>
          <w:u w:val="single"/>
        </w:rPr>
        <w:t>frequently:</w:t>
      </w:r>
    </w:p>
    <w:p w:rsidR="00731A90" w:rsidP="00BF48CF" w14:paraId="6FA165E9" w14:textId="77777777">
      <w:pPr>
        <w:ind w:left="1440"/>
        <w:rPr>
          <w:rFonts w:ascii="Times New Roman" w:hAnsi="Times New Roman"/>
        </w:rPr>
      </w:pPr>
    </w:p>
    <w:p w:rsidR="00731A90" w:rsidP="00DA5F2E" w14:paraId="1DCF99C0" w14:textId="77777777">
      <w:pPr>
        <w:widowControl/>
        <w:ind w:left="1440"/>
        <w:rPr>
          <w:rFonts w:ascii="Times New Roman" w:hAnsi="Times New Roman"/>
          <w:color w:val="000000"/>
          <w:szCs w:val="24"/>
        </w:rPr>
      </w:pPr>
      <w:r>
        <w:rPr>
          <w:rFonts w:ascii="Times New Roman" w:hAnsi="Times New Roman"/>
          <w:color w:val="000000"/>
          <w:szCs w:val="24"/>
        </w:rPr>
        <w:t xml:space="preserve">Absent the information sought by the FDIC, </w:t>
      </w:r>
      <w:r w:rsidR="00B461A4">
        <w:rPr>
          <w:rFonts w:ascii="Times New Roman" w:hAnsi="Times New Roman"/>
          <w:color w:val="000000"/>
          <w:szCs w:val="24"/>
        </w:rPr>
        <w:t>investors</w:t>
      </w:r>
      <w:r>
        <w:rPr>
          <w:rFonts w:ascii="Times New Roman" w:hAnsi="Times New Roman"/>
          <w:color w:val="000000"/>
          <w:szCs w:val="24"/>
        </w:rPr>
        <w:t xml:space="preserve"> with opaque organizational structures and their related business interests may adversely affect the Deposit Insurance Fund or resolution costs by compromising existing capital sources, utilizing unproven management, and engaging in risky business ventures.  The business and management interests of </w:t>
      </w:r>
      <w:r w:rsidR="00B461A4">
        <w:rPr>
          <w:rFonts w:ascii="Times New Roman" w:hAnsi="Times New Roman"/>
          <w:color w:val="000000"/>
          <w:szCs w:val="24"/>
        </w:rPr>
        <w:t>investors</w:t>
      </w:r>
      <w:r>
        <w:rPr>
          <w:rFonts w:ascii="Times New Roman" w:hAnsi="Times New Roman"/>
          <w:color w:val="000000"/>
          <w:szCs w:val="24"/>
        </w:rPr>
        <w:t xml:space="preserve"> and related parties often are subject to frequent change.  The FDIC believes that such fluctuations call for a more frequent reporting cycle to guard against loss to the Deposit Insurance Fund throughout the investment period.  Such factors may become more significant if the </w:t>
      </w:r>
      <w:r w:rsidR="00B461A4">
        <w:rPr>
          <w:rFonts w:ascii="Times New Roman" w:hAnsi="Times New Roman"/>
          <w:color w:val="000000"/>
          <w:szCs w:val="24"/>
        </w:rPr>
        <w:t>investor</w:t>
      </w:r>
      <w:r>
        <w:rPr>
          <w:rFonts w:ascii="Times New Roman" w:hAnsi="Times New Roman"/>
          <w:color w:val="000000"/>
          <w:szCs w:val="24"/>
        </w:rPr>
        <w:t xml:space="preserve"> or a related company is domiciled in a jurisdiction where the FDIC or other federal regulator may be unable to obtain ready access to needed records.  Requiring such records (or a duplicate of them) to be maintained in the </w:t>
      </w:r>
      <w:smartTag w:uri="urn:schemas-microsoft-com:office:smarttags" w:element="place">
        <w:smartTag w:uri="urn:schemas-microsoft-com:office:smarttags" w:element="PlaceName">
          <w:r>
            <w:rPr>
              <w:rFonts w:ascii="Times New Roman" w:hAnsi="Times New Roman"/>
              <w:color w:val="000000"/>
              <w:szCs w:val="24"/>
            </w:rPr>
            <w:t>United States</w:t>
          </w:r>
        </w:smartTag>
      </w:smartTag>
      <w:r>
        <w:rPr>
          <w:rFonts w:ascii="Times New Roman" w:hAnsi="Times New Roman"/>
          <w:color w:val="000000"/>
          <w:szCs w:val="24"/>
        </w:rPr>
        <w:t>, as mandated by the Policy Statement, is expected to mitigate these concerns.</w:t>
      </w:r>
    </w:p>
    <w:p w:rsidR="00DA5F2E" w:rsidP="00DA5F2E" w14:paraId="404A2933" w14:textId="77777777">
      <w:pPr>
        <w:widowControl/>
        <w:ind w:left="1440"/>
        <w:rPr>
          <w:rFonts w:ascii="Times New Roman" w:hAnsi="Times New Roman"/>
        </w:rPr>
      </w:pPr>
    </w:p>
    <w:p w:rsidR="00D807AF" w:rsidRPr="001F2A5D" w:rsidP="00DA5F2E" w14:paraId="781B6A2F" w14:textId="77777777">
      <w:pPr>
        <w:numPr>
          <w:ilvl w:val="0"/>
          <w:numId w:val="15"/>
        </w:numPr>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14:paraId="4EC5730D" w14:textId="77777777">
      <w:pPr>
        <w:rPr>
          <w:rFonts w:ascii="Times New Roman" w:hAnsi="Times New Roman"/>
        </w:rPr>
      </w:pPr>
    </w:p>
    <w:p w:rsidR="00DA5F2E" w:rsidP="00DA5F2E" w14:paraId="07DB9BCF" w14:textId="77777777">
      <w:pPr>
        <w:ind w:left="1440"/>
        <w:rPr>
          <w:rFonts w:ascii="Times New Roman" w:hAnsi="Times New Roman"/>
        </w:rPr>
      </w:pPr>
      <w:r>
        <w:rPr>
          <w:rFonts w:ascii="Times New Roman" w:hAnsi="Times New Roman"/>
        </w:rPr>
        <w:t xml:space="preserve">The Policy Statement requires </w:t>
      </w:r>
      <w:r w:rsidR="00B461A4">
        <w:rPr>
          <w:rFonts w:ascii="Times New Roman" w:hAnsi="Times New Roman"/>
        </w:rPr>
        <w:t>investor</w:t>
      </w:r>
      <w:r>
        <w:rPr>
          <w:rFonts w:ascii="Times New Roman" w:hAnsi="Times New Roman"/>
        </w:rPr>
        <w:t xml:space="preserve">(s) to provide “regular reports” to the acquired insured depository institution identifying all affiliates of such </w:t>
      </w:r>
      <w:r w:rsidR="00B461A4">
        <w:rPr>
          <w:rFonts w:ascii="Times New Roman" w:hAnsi="Times New Roman"/>
        </w:rPr>
        <w:t>investor</w:t>
      </w:r>
      <w:r>
        <w:rPr>
          <w:rFonts w:ascii="Times New Roman" w:hAnsi="Times New Roman"/>
        </w:rPr>
        <w:t xml:space="preserve">(s) and known portfolio companies in which the investors or their affiliates have invested.  For purposes of the Policy Statement, the term “affiliate” is defined as “any company in which the </w:t>
      </w:r>
      <w:r w:rsidR="00B461A4">
        <w:rPr>
          <w:rFonts w:ascii="Times New Roman" w:hAnsi="Times New Roman"/>
        </w:rPr>
        <w:t>investor</w:t>
      </w:r>
      <w:r>
        <w:rPr>
          <w:rFonts w:ascii="Times New Roman" w:hAnsi="Times New Roman"/>
        </w:rPr>
        <w:t xml:space="preserve"> owns, directly or indirectly, at least 10 percent of the equity of such company and has maintained such ownership </w:t>
      </w:r>
      <w:r>
        <w:rPr>
          <w:rFonts w:ascii="Times New Roman" w:hAnsi="Times New Roman"/>
          <w:i/>
        </w:rPr>
        <w:t>for at least 30 days.</w:t>
      </w:r>
      <w:r>
        <w:rPr>
          <w:rFonts w:ascii="Times New Roman" w:hAnsi="Times New Roman"/>
        </w:rPr>
        <w:t>”</w:t>
      </w:r>
      <w:r>
        <w:rPr>
          <w:rFonts w:ascii="Times New Roman" w:hAnsi="Times New Roman"/>
          <w:i/>
        </w:rPr>
        <w:t xml:space="preserve"> </w:t>
      </w:r>
      <w:r>
        <w:rPr>
          <w:rFonts w:ascii="Times New Roman" w:hAnsi="Times New Roman"/>
        </w:rPr>
        <w:t xml:space="preserve">(emphasis added)  </w:t>
      </w:r>
    </w:p>
    <w:p w:rsidR="00DA5F2E" w:rsidP="00DA5F2E" w14:paraId="0EF4FEC3" w14:textId="77777777">
      <w:pPr>
        <w:ind w:left="1440"/>
        <w:rPr>
          <w:rFonts w:ascii="Times New Roman" w:hAnsi="Times New Roman"/>
        </w:rPr>
      </w:pPr>
    </w:p>
    <w:p w:rsidR="00DA5F2E" w:rsidP="00DA5F2E" w14:paraId="67DE38E8" w14:textId="77777777">
      <w:pPr>
        <w:ind w:left="1440"/>
        <w:rPr>
          <w:rFonts w:ascii="Times New Roman" w:hAnsi="Times New Roman"/>
          <w:color w:val="000000"/>
          <w:szCs w:val="24"/>
        </w:rPr>
      </w:pPr>
      <w:r>
        <w:rPr>
          <w:rFonts w:ascii="Times New Roman" w:hAnsi="Times New Roman"/>
        </w:rPr>
        <w:t xml:space="preserve">In including this 30-day requirement in the definition of “affiliate” in the Policy Statement, the FDIC signals its understanding of the common industry practice for an </w:t>
      </w:r>
      <w:r w:rsidR="00B461A4">
        <w:rPr>
          <w:rFonts w:ascii="Times New Roman" w:hAnsi="Times New Roman"/>
        </w:rPr>
        <w:t>investor</w:t>
      </w:r>
      <w:r>
        <w:rPr>
          <w:rFonts w:ascii="Times New Roman" w:hAnsi="Times New Roman"/>
        </w:rPr>
        <w:t xml:space="preserve"> to frequently alter its investment</w:t>
      </w:r>
      <w:r>
        <w:rPr>
          <w:rFonts w:ascii="Times New Roman" w:hAnsi="Times New Roman"/>
          <w:color w:val="000000"/>
          <w:szCs w:val="24"/>
        </w:rPr>
        <w:t xml:space="preserve"> mix.  If the FDIC required less frequent reporting, the Deposit Insurance Fund could be adversely </w:t>
      </w:r>
      <w:r>
        <w:rPr>
          <w:rFonts w:ascii="Times New Roman" w:hAnsi="Times New Roman"/>
          <w:color w:val="000000"/>
          <w:szCs w:val="24"/>
        </w:rPr>
        <w:t>affected</w:t>
      </w:r>
      <w:r>
        <w:rPr>
          <w:rFonts w:ascii="Times New Roman" w:hAnsi="Times New Roman"/>
          <w:color w:val="000000"/>
          <w:szCs w:val="24"/>
        </w:rPr>
        <w:t xml:space="preserve"> and the </w:t>
      </w:r>
      <w:r w:rsidR="00B461A4">
        <w:rPr>
          <w:rFonts w:ascii="Times New Roman" w:hAnsi="Times New Roman"/>
          <w:color w:val="000000"/>
          <w:szCs w:val="24"/>
        </w:rPr>
        <w:t>investor</w:t>
      </w:r>
      <w:r>
        <w:rPr>
          <w:rFonts w:ascii="Times New Roman" w:hAnsi="Times New Roman"/>
          <w:color w:val="000000"/>
          <w:szCs w:val="24"/>
        </w:rPr>
        <w:t xml:space="preserve"> could have disposed of its interest in the offending investment before the FDIC became aware of potential risk to the Deposit Insurance Fund.  The FDIC believes that a monthly reporting cycle for this information could offer significant protection against loss to the Deposit Insurance Fund.</w:t>
      </w:r>
    </w:p>
    <w:p w:rsidR="0077603D" w:rsidRPr="001F2A5D" w:rsidP="00D807AF" w14:paraId="533A13B7" w14:textId="77777777">
      <w:pPr>
        <w:pStyle w:val="BodyTextIndent"/>
        <w:ind w:left="1440"/>
        <w:rPr>
          <w:szCs w:val="24"/>
        </w:rPr>
      </w:pPr>
      <w:r>
        <w:rPr>
          <w:szCs w:val="24"/>
        </w:rPr>
        <w:br w:type="page"/>
      </w:r>
    </w:p>
    <w:p w:rsidR="006B4033" w:rsidP="006B4033" w14:paraId="761341D9" w14:textId="77777777">
      <w:pPr>
        <w:rPr>
          <w:rFonts w:ascii="Times New Roman" w:hAnsi="Times New Roman"/>
        </w:rPr>
      </w:pPr>
    </w:p>
    <w:p w:rsidR="00D807AF" w:rsidRPr="001F2A5D" w:rsidP="006B4033" w14:paraId="5BD21106" w14:textId="77777777">
      <w:pPr>
        <w:numPr>
          <w:ilvl w:val="0"/>
          <w:numId w:val="15"/>
        </w:numPr>
        <w:rPr>
          <w:rFonts w:ascii="Times New Roman" w:hAnsi="Times New Roman"/>
          <w:szCs w:val="24"/>
        </w:rPr>
      </w:pPr>
      <w:r w:rsidRPr="008873E8">
        <w:rPr>
          <w:rFonts w:ascii="Times New Roman" w:hAnsi="Times New Roman"/>
          <w:bCs/>
          <w:szCs w:val="24"/>
          <w:u w:val="single"/>
        </w:rPr>
        <w:t xml:space="preserve">Efforts to consult with </w:t>
      </w:r>
      <w:r w:rsidRPr="008873E8">
        <w:rPr>
          <w:rFonts w:ascii="Times New Roman" w:hAnsi="Times New Roman"/>
          <w:bCs/>
          <w:szCs w:val="24"/>
          <w:u w:val="single"/>
        </w:rPr>
        <w:t>persons</w:t>
      </w:r>
      <w:r w:rsidRPr="008873E8">
        <w:rPr>
          <w:rFonts w:ascii="Times New Roman" w:hAnsi="Times New Roman"/>
          <w:bCs/>
          <w:szCs w:val="24"/>
          <w:u w:val="single"/>
        </w:rPr>
        <w:t xml:space="preserve"> outside the agency:</w:t>
      </w:r>
    </w:p>
    <w:p w:rsidR="00731A90" w:rsidP="00D807AF" w14:paraId="24E4024D" w14:textId="77777777">
      <w:pPr>
        <w:ind w:firstLine="720"/>
        <w:rPr>
          <w:rFonts w:ascii="Times New Roman" w:hAnsi="Times New Roman"/>
        </w:rPr>
      </w:pPr>
    </w:p>
    <w:p w:rsidR="00731A90" w:rsidP="00DB04B6" w14:paraId="5A3905C2" w14:textId="5EFA76CC">
      <w:pPr>
        <w:widowControl/>
        <w:autoSpaceDE w:val="0"/>
        <w:autoSpaceDN w:val="0"/>
        <w:adjustRightInd w:val="0"/>
        <w:ind w:left="1440"/>
        <w:rPr>
          <w:rFonts w:ascii="Times New Roman" w:eastAsia="Calibri" w:hAnsi="Times New Roman"/>
          <w:snapToGrid/>
          <w:szCs w:val="24"/>
        </w:rPr>
      </w:pPr>
      <w:r>
        <w:rPr>
          <w:rFonts w:ascii="Times New Roman" w:hAnsi="Times New Roman"/>
        </w:rPr>
        <w:t xml:space="preserve">On </w:t>
      </w:r>
      <w:r w:rsidR="00280425">
        <w:rPr>
          <w:rFonts w:ascii="Times New Roman" w:hAnsi="Times New Roman"/>
          <w:szCs w:val="24"/>
        </w:rPr>
        <w:t>August 1, 2025</w:t>
      </w:r>
      <w:r>
        <w:rPr>
          <w:rFonts w:ascii="Times New Roman" w:hAnsi="Times New Roman"/>
          <w:szCs w:val="24"/>
        </w:rPr>
        <w:t xml:space="preserve">, the FDIC published a </w:t>
      </w:r>
      <w:r>
        <w:rPr>
          <w:rFonts w:ascii="Times New Roman" w:hAnsi="Times New Roman"/>
          <w:szCs w:val="24"/>
          <w:u w:val="single"/>
        </w:rPr>
        <w:t>Federal Register</w:t>
      </w:r>
      <w:r>
        <w:rPr>
          <w:rFonts w:ascii="Times New Roman" w:hAnsi="Times New Roman"/>
          <w:szCs w:val="24"/>
        </w:rPr>
        <w:t xml:space="preserve"> notice proposing to </w:t>
      </w:r>
      <w:r w:rsidR="00280425">
        <w:rPr>
          <w:rFonts w:ascii="Times New Roman" w:hAnsi="Times New Roman"/>
          <w:szCs w:val="24"/>
        </w:rPr>
        <w:t>renew</w:t>
      </w:r>
      <w:r>
        <w:rPr>
          <w:rFonts w:ascii="Times New Roman" w:hAnsi="Times New Roman"/>
          <w:szCs w:val="24"/>
        </w:rPr>
        <w:t xml:space="preserve"> the Qualifications for Failed Bank Acquisitions exi</w:t>
      </w:r>
      <w:r w:rsidR="00805063">
        <w:rPr>
          <w:rFonts w:ascii="Times New Roman" w:hAnsi="Times New Roman"/>
          <w:szCs w:val="24"/>
        </w:rPr>
        <w:t>sting information collection (</w:t>
      </w:r>
      <w:r w:rsidR="00280425">
        <w:rPr>
          <w:rFonts w:ascii="Times New Roman" w:hAnsi="Times New Roman"/>
          <w:szCs w:val="24"/>
        </w:rPr>
        <w:t>90</w:t>
      </w:r>
      <w:r w:rsidRPr="006A0452">
        <w:rPr>
          <w:rFonts w:ascii="Times New Roman" w:hAnsi="Times New Roman"/>
          <w:szCs w:val="24"/>
        </w:rPr>
        <w:t xml:space="preserve"> FR </w:t>
      </w:r>
      <w:r w:rsidR="00280425">
        <w:rPr>
          <w:rFonts w:ascii="Times New Roman" w:hAnsi="Times New Roman"/>
          <w:szCs w:val="24"/>
        </w:rPr>
        <w:t>38652</w:t>
      </w:r>
      <w:r>
        <w:rPr>
          <w:rFonts w:ascii="Times New Roman" w:hAnsi="Times New Roman"/>
          <w:szCs w:val="24"/>
        </w:rPr>
        <w:t xml:space="preserve">). </w:t>
      </w:r>
      <w:r w:rsidR="00805063">
        <w:rPr>
          <w:rFonts w:ascii="Times New Roman" w:hAnsi="Times New Roman"/>
          <w:szCs w:val="24"/>
        </w:rPr>
        <w:t>No comments were received</w:t>
      </w:r>
      <w:r w:rsidR="000C2A5A">
        <w:rPr>
          <w:rFonts w:ascii="Times New Roman" w:hAnsi="Times New Roman"/>
          <w:szCs w:val="24"/>
        </w:rPr>
        <w:t xml:space="preserve">. </w:t>
      </w:r>
      <w:r>
        <w:rPr>
          <w:rFonts w:ascii="Times New Roman" w:hAnsi="Times New Roman"/>
          <w:szCs w:val="24"/>
        </w:rPr>
        <w:t xml:space="preserve"> </w:t>
      </w:r>
    </w:p>
    <w:p w:rsidR="001E004B" w:rsidP="00DB04B6" w14:paraId="589ECFBF" w14:textId="77777777">
      <w:pPr>
        <w:widowControl/>
        <w:autoSpaceDE w:val="0"/>
        <w:autoSpaceDN w:val="0"/>
        <w:adjustRightInd w:val="0"/>
        <w:ind w:left="1440"/>
        <w:rPr>
          <w:rFonts w:ascii="Times New Roman" w:hAnsi="Times New Roman"/>
        </w:rPr>
      </w:pPr>
    </w:p>
    <w:p w:rsidR="00D807AF" w:rsidRPr="001F2A5D" w:rsidP="006B4033" w14:paraId="5F94BE48" w14:textId="77777777">
      <w:pPr>
        <w:numPr>
          <w:ilvl w:val="0"/>
          <w:numId w:val="15"/>
        </w:numPr>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14:paraId="6854BF93" w14:textId="77777777">
      <w:pPr>
        <w:rPr>
          <w:rFonts w:ascii="Times New Roman" w:hAnsi="Times New Roman"/>
        </w:rPr>
      </w:pPr>
    </w:p>
    <w:p w:rsidR="00731A90" w14:paraId="16464811" w14:textId="77777777">
      <w:pPr>
        <w:ind w:left="1440"/>
        <w:rPr>
          <w:rFonts w:ascii="Times New Roman" w:hAnsi="Times New Roman"/>
        </w:rPr>
      </w:pPr>
      <w:r>
        <w:rPr>
          <w:rFonts w:ascii="Times New Roman" w:hAnsi="Times New Roman"/>
        </w:rPr>
        <w:t xml:space="preserve">None. </w:t>
      </w:r>
    </w:p>
    <w:p w:rsidR="00731A90" w14:paraId="2147699A" w14:textId="77777777">
      <w:pPr>
        <w:rPr>
          <w:rFonts w:ascii="Times New Roman" w:hAnsi="Times New Roman"/>
        </w:rPr>
      </w:pPr>
    </w:p>
    <w:p w:rsidR="00731A90" w:rsidP="006B4033" w14:paraId="4BAAFFFA" w14:textId="77777777">
      <w:pPr>
        <w:numPr>
          <w:ilvl w:val="0"/>
          <w:numId w:val="15"/>
        </w:numPr>
        <w:rPr>
          <w:rFonts w:ascii="Times New Roman" w:hAnsi="Times New Roman"/>
        </w:rPr>
      </w:pPr>
      <w:r w:rsidRPr="00647F97">
        <w:rPr>
          <w:rFonts w:ascii="Times New Roman TUR" w:hAnsi="Times New Roman TUR" w:cs="Times New Roman TUR"/>
          <w:bCs/>
          <w:u w:val="single"/>
        </w:rPr>
        <w:t>Any assurance of confidentiality:</w:t>
      </w:r>
    </w:p>
    <w:p w:rsidR="00731A90" w14:paraId="7A2AFB26" w14:textId="77777777">
      <w:pPr>
        <w:rPr>
          <w:rFonts w:ascii="Times New Roman" w:hAnsi="Times New Roman"/>
        </w:rPr>
      </w:pPr>
    </w:p>
    <w:p w:rsidR="006B4033" w:rsidP="00C426CF" w14:paraId="5DF1DF22" w14:textId="77777777">
      <w:pPr>
        <w:widowControl/>
        <w:tabs>
          <w:tab w:val="left" w:pos="432"/>
          <w:tab w:val="left" w:pos="1530"/>
          <w:tab w:val="left" w:pos="1728"/>
          <w:tab w:val="left" w:pos="4176"/>
        </w:tabs>
        <w:ind w:left="1440"/>
        <w:rPr>
          <w:rFonts w:ascii="Times New Roman" w:hAnsi="Times New Roman"/>
          <w:color w:val="000000"/>
          <w:szCs w:val="24"/>
        </w:rPr>
      </w:pPr>
      <w:r>
        <w:rPr>
          <w:rFonts w:ascii="Times New Roman" w:hAnsi="Times New Roman"/>
          <w:color w:val="000000"/>
          <w:szCs w:val="24"/>
        </w:rPr>
        <w:t>Information will be kept private to the extent allowed by law.</w:t>
      </w:r>
    </w:p>
    <w:p w:rsidR="00E5596D" w:rsidRPr="00E5596D" w14:paraId="2309FEC9" w14:textId="77777777">
      <w:pPr>
        <w:rPr>
          <w:rFonts w:ascii="Times New Roman" w:hAnsi="Times New Roman"/>
        </w:rPr>
      </w:pPr>
    </w:p>
    <w:p w:rsidR="00731A90" w:rsidP="006B4033" w14:paraId="518019EB" w14:textId="77777777">
      <w:pPr>
        <w:numPr>
          <w:ilvl w:val="0"/>
          <w:numId w:val="15"/>
        </w:numPr>
        <w:rPr>
          <w:rFonts w:ascii="Times New Roman" w:hAnsi="Times New Roman"/>
        </w:rPr>
      </w:pPr>
      <w:r w:rsidRPr="00647F97">
        <w:rPr>
          <w:rFonts w:ascii="Times New Roman TUR" w:hAnsi="Times New Roman TUR" w:cs="Times New Roman TUR"/>
          <w:bCs/>
          <w:u w:val="single"/>
        </w:rPr>
        <w:t>Justification for questions of a sensitive nature:</w:t>
      </w:r>
    </w:p>
    <w:p w:rsidR="00731A90" w14:paraId="3A6F2F5A" w14:textId="77777777">
      <w:pPr>
        <w:rPr>
          <w:rFonts w:ascii="Times New Roman" w:hAnsi="Times New Roman"/>
        </w:rPr>
      </w:pPr>
    </w:p>
    <w:p w:rsidR="009E7B87" w:rsidP="009E7B87" w14:paraId="56786783" w14:textId="77777777">
      <w:pPr>
        <w:ind w:left="1440"/>
        <w:rPr>
          <w:rFonts w:ascii="Times New Roman" w:hAnsi="Times New Roman"/>
          <w:color w:val="000000"/>
          <w:szCs w:val="24"/>
        </w:rPr>
      </w:pPr>
      <w:r>
        <w:rPr>
          <w:rFonts w:ascii="Times New Roman" w:hAnsi="Times New Roman"/>
          <w:color w:val="000000"/>
          <w:szCs w:val="24"/>
        </w:rPr>
        <w:t>No information of a sensitive nature is requested.</w:t>
      </w:r>
    </w:p>
    <w:p w:rsidR="006B4033" w:rsidP="009E7B87" w14:paraId="6427E1EE" w14:textId="77777777">
      <w:pPr>
        <w:ind w:left="1440"/>
        <w:rPr>
          <w:rFonts w:ascii="Times New Roman" w:hAnsi="Times New Roman"/>
        </w:rPr>
      </w:pPr>
    </w:p>
    <w:p w:rsidR="00731A90" w:rsidP="006B4033" w14:paraId="69136364" w14:textId="77777777">
      <w:pPr>
        <w:numPr>
          <w:ilvl w:val="0"/>
          <w:numId w:val="15"/>
        </w:numPr>
        <w:rPr>
          <w:rFonts w:ascii="Times New Roman" w:hAnsi="Times New Roman"/>
          <w:szCs w:val="24"/>
          <w:u w:val="single"/>
        </w:rPr>
      </w:pPr>
      <w:r w:rsidRPr="008F53AC">
        <w:rPr>
          <w:rFonts w:ascii="Times New Roman" w:hAnsi="Times New Roman"/>
          <w:szCs w:val="24"/>
          <w:u w:val="single"/>
        </w:rPr>
        <w:t>Estimate of hour burden including annualized hourly costs:</w:t>
      </w:r>
    </w:p>
    <w:p w:rsidR="009778B4" w14:paraId="27D8DDCE" w14:textId="77777777">
      <w:pPr>
        <w:ind w:firstLine="720"/>
        <w:rPr>
          <w:rFonts w:ascii="Times New Roman" w:hAnsi="Times New Roman"/>
          <w:szCs w:val="24"/>
          <w:u w:val="single"/>
        </w:rPr>
      </w:pPr>
    </w:p>
    <w:p w:rsidR="009778B4" w:rsidRPr="00AF79FB" w:rsidP="009778B4" w14:paraId="45C1DF95" w14:textId="77777777">
      <w:pPr>
        <w:ind w:left="1080"/>
        <w:rPr>
          <w:rFonts w:ascii="Times New Roman" w:hAnsi="Times New Roman"/>
          <w:i/>
          <w:szCs w:val="24"/>
        </w:rPr>
      </w:pPr>
      <w:r w:rsidRPr="00AF79FB">
        <w:rPr>
          <w:rFonts w:ascii="Times New Roman" w:hAnsi="Times New Roman"/>
          <w:i/>
          <w:szCs w:val="24"/>
        </w:rPr>
        <w:t>Estimated Annual Burden</w:t>
      </w:r>
    </w:p>
    <w:p w:rsidR="005D2FE1" w14:paraId="39AB365D" w14:textId="77777777">
      <w:pPr>
        <w:ind w:firstLine="720"/>
        <w:rPr>
          <w:rFonts w:ascii="Times New Roman" w:hAnsi="Times New Roman"/>
        </w:rPr>
      </w:pPr>
    </w:p>
    <w:tbl>
      <w:tblPr>
        <w:tblStyle w:val="TableGrid2"/>
        <w:tblW w:w="10635" w:type="dxa"/>
        <w:tblInd w:w="-635" w:type="dxa"/>
        <w:tblLook w:val="04A0"/>
      </w:tblPr>
      <w:tblGrid>
        <w:gridCol w:w="4416"/>
        <w:gridCol w:w="1452"/>
        <w:gridCol w:w="1313"/>
        <w:gridCol w:w="1229"/>
        <w:gridCol w:w="1050"/>
        <w:gridCol w:w="1175"/>
      </w:tblGrid>
      <w:tr w14:paraId="1ECFF137" w14:textId="77777777" w:rsidTr="00073813">
        <w:tblPrEx>
          <w:tblW w:w="10635" w:type="dxa"/>
          <w:tblInd w:w="-635" w:type="dxa"/>
          <w:tblLook w:val="04A0"/>
        </w:tblPrEx>
        <w:trPr>
          <w:trHeight w:val="360"/>
        </w:trPr>
        <w:tc>
          <w:tcPr>
            <w:tcW w:w="10635" w:type="dxa"/>
            <w:gridSpan w:val="6"/>
            <w:hideMark/>
          </w:tcPr>
          <w:p w:rsidR="00B6699D" w:rsidRPr="00B6699D" w:rsidP="00B6699D" w14:paraId="01FB3FEC" w14:textId="4EA8F2DB">
            <w:pPr>
              <w:widowControl/>
              <w:jc w:val="center"/>
              <w:rPr>
                <w:rFonts w:ascii="Times New Roman" w:hAnsi="Times New Roman"/>
                <w:snapToGrid/>
                <w:color w:val="000000"/>
                <w:szCs w:val="24"/>
              </w:rPr>
            </w:pPr>
            <w:r w:rsidRPr="00B6699D">
              <w:rPr>
                <w:rFonts w:ascii="Times New Roman" w:hAnsi="Times New Roman"/>
                <w:snapToGrid/>
                <w:color w:val="000000"/>
                <w:szCs w:val="24"/>
              </w:rPr>
              <w:t xml:space="preserve"> Summary of Estimated Annual Burden (OMB No. 3064-0169)</w:t>
            </w:r>
          </w:p>
        </w:tc>
      </w:tr>
      <w:tr w14:paraId="668B1730" w14:textId="77777777" w:rsidTr="00073813">
        <w:tblPrEx>
          <w:tblW w:w="10635" w:type="dxa"/>
          <w:tblInd w:w="-635" w:type="dxa"/>
          <w:tblLook w:val="04A0"/>
        </w:tblPrEx>
        <w:trPr>
          <w:trHeight w:val="1140"/>
        </w:trPr>
        <w:tc>
          <w:tcPr>
            <w:tcW w:w="4416" w:type="dxa"/>
            <w:hideMark/>
          </w:tcPr>
          <w:p w:rsidR="00B6699D" w:rsidRPr="00B6699D" w:rsidP="00B6699D" w14:paraId="2A659277" w14:textId="77777777">
            <w:pPr>
              <w:widowControl/>
              <w:rPr>
                <w:rFonts w:ascii="Times New Roman" w:hAnsi="Times New Roman"/>
                <w:snapToGrid/>
                <w:color w:val="000000"/>
                <w:sz w:val="20"/>
              </w:rPr>
            </w:pPr>
            <w:r w:rsidRPr="00B6699D">
              <w:rPr>
                <w:rFonts w:ascii="Times New Roman" w:hAnsi="Times New Roman"/>
                <w:snapToGrid/>
                <w:color w:val="000000"/>
                <w:sz w:val="20"/>
              </w:rPr>
              <w:t>Information Collection (IC) (Obligation to Respond)</w:t>
            </w:r>
          </w:p>
        </w:tc>
        <w:tc>
          <w:tcPr>
            <w:tcW w:w="1477" w:type="dxa"/>
            <w:hideMark/>
          </w:tcPr>
          <w:p w:rsidR="00B6699D" w:rsidRPr="00B6699D" w:rsidP="00B6699D" w14:paraId="15B0B4A7" w14:textId="77777777">
            <w:pPr>
              <w:widowControl/>
              <w:jc w:val="center"/>
              <w:rPr>
                <w:rFonts w:ascii="Times New Roman" w:hAnsi="Times New Roman"/>
                <w:snapToGrid/>
                <w:color w:val="000000"/>
                <w:sz w:val="20"/>
              </w:rPr>
            </w:pPr>
            <w:r w:rsidRPr="00B6699D">
              <w:rPr>
                <w:rFonts w:ascii="Times New Roman" w:hAnsi="Times New Roman"/>
                <w:snapToGrid/>
                <w:color w:val="000000"/>
                <w:sz w:val="20"/>
              </w:rPr>
              <w:t>Type of Burden</w:t>
            </w:r>
            <w:r w:rsidRPr="00B6699D">
              <w:rPr>
                <w:rFonts w:ascii="Times New Roman" w:hAnsi="Times New Roman"/>
                <w:snapToGrid/>
                <w:color w:val="000000"/>
                <w:sz w:val="20"/>
              </w:rPr>
              <w:br/>
              <w:t>(Frequency of Response)</w:t>
            </w:r>
          </w:p>
        </w:tc>
        <w:tc>
          <w:tcPr>
            <w:tcW w:w="1313" w:type="dxa"/>
            <w:hideMark/>
          </w:tcPr>
          <w:p w:rsidR="00B6699D" w:rsidRPr="00B6699D" w:rsidP="00B6699D" w14:paraId="370F20D8" w14:textId="77777777">
            <w:pPr>
              <w:widowControl/>
              <w:jc w:val="center"/>
              <w:rPr>
                <w:rFonts w:ascii="Times New Roman" w:hAnsi="Times New Roman"/>
                <w:snapToGrid/>
                <w:color w:val="000000"/>
                <w:sz w:val="20"/>
              </w:rPr>
            </w:pPr>
            <w:r w:rsidRPr="00B6699D">
              <w:rPr>
                <w:rFonts w:ascii="Times New Roman" w:hAnsi="Times New Roman"/>
                <w:snapToGrid/>
                <w:color w:val="000000"/>
                <w:sz w:val="20"/>
              </w:rPr>
              <w:t xml:space="preserve"> Number of Respondents</w:t>
            </w:r>
          </w:p>
        </w:tc>
        <w:tc>
          <w:tcPr>
            <w:tcW w:w="1229" w:type="dxa"/>
            <w:hideMark/>
          </w:tcPr>
          <w:p w:rsidR="00B6699D" w:rsidRPr="00B6699D" w:rsidP="00B6699D" w14:paraId="5A6BBE75" w14:textId="77777777">
            <w:pPr>
              <w:widowControl/>
              <w:jc w:val="center"/>
              <w:rPr>
                <w:rFonts w:ascii="Times New Roman" w:hAnsi="Times New Roman"/>
                <w:snapToGrid/>
                <w:color w:val="000000"/>
                <w:sz w:val="20"/>
              </w:rPr>
            </w:pPr>
            <w:r w:rsidRPr="00B6699D">
              <w:rPr>
                <w:rFonts w:ascii="Times New Roman" w:hAnsi="Times New Roman"/>
                <w:snapToGrid/>
                <w:color w:val="000000"/>
                <w:sz w:val="20"/>
              </w:rPr>
              <w:t xml:space="preserve"> Number of Responses per Respondent</w:t>
            </w:r>
          </w:p>
        </w:tc>
        <w:tc>
          <w:tcPr>
            <w:tcW w:w="1025" w:type="dxa"/>
            <w:hideMark/>
          </w:tcPr>
          <w:p w:rsidR="00B6699D" w:rsidRPr="00B6699D" w:rsidP="00B6699D" w14:paraId="72766CFC" w14:textId="77777777">
            <w:pPr>
              <w:widowControl/>
              <w:jc w:val="center"/>
              <w:rPr>
                <w:rFonts w:ascii="Times New Roman" w:hAnsi="Times New Roman"/>
                <w:snapToGrid/>
                <w:color w:val="000000"/>
                <w:sz w:val="20"/>
              </w:rPr>
            </w:pPr>
            <w:r w:rsidRPr="00B6699D">
              <w:rPr>
                <w:rFonts w:ascii="Times New Roman" w:hAnsi="Times New Roman"/>
                <w:snapToGrid/>
                <w:color w:val="000000"/>
                <w:sz w:val="20"/>
              </w:rPr>
              <w:t>Average Time per Response (HH:MM)</w:t>
            </w:r>
          </w:p>
        </w:tc>
        <w:tc>
          <w:tcPr>
            <w:tcW w:w="1175" w:type="dxa"/>
            <w:hideMark/>
          </w:tcPr>
          <w:p w:rsidR="00B6699D" w:rsidRPr="00B6699D" w:rsidP="00B6699D" w14:paraId="4440019F" w14:textId="77777777">
            <w:pPr>
              <w:widowControl/>
              <w:jc w:val="center"/>
              <w:rPr>
                <w:rFonts w:ascii="Times New Roman" w:hAnsi="Times New Roman"/>
                <w:snapToGrid/>
                <w:color w:val="000000"/>
                <w:sz w:val="20"/>
              </w:rPr>
            </w:pPr>
            <w:r w:rsidRPr="00B6699D">
              <w:rPr>
                <w:rFonts w:ascii="Times New Roman" w:hAnsi="Times New Roman"/>
                <w:snapToGrid/>
                <w:color w:val="000000"/>
                <w:sz w:val="20"/>
              </w:rPr>
              <w:t>Annual Burden (Hours)</w:t>
            </w:r>
          </w:p>
        </w:tc>
      </w:tr>
      <w:tr w14:paraId="5D82FC24" w14:textId="77777777" w:rsidTr="00073813">
        <w:tblPrEx>
          <w:tblW w:w="10635" w:type="dxa"/>
          <w:tblInd w:w="-635" w:type="dxa"/>
          <w:tblLook w:val="04A0"/>
        </w:tblPrEx>
        <w:trPr>
          <w:trHeight w:val="825"/>
        </w:trPr>
        <w:tc>
          <w:tcPr>
            <w:tcW w:w="4416" w:type="dxa"/>
            <w:noWrap/>
            <w:hideMark/>
          </w:tcPr>
          <w:p w:rsidR="00B6699D" w:rsidRPr="00B6699D" w:rsidP="00B6699D" w14:paraId="010571E5" w14:textId="77777777">
            <w:pPr>
              <w:widowControl/>
              <w:rPr>
                <w:rFonts w:ascii="Times New Roman" w:hAnsi="Times New Roman"/>
                <w:snapToGrid/>
                <w:color w:val="000000"/>
                <w:sz w:val="20"/>
              </w:rPr>
            </w:pPr>
            <w:r w:rsidRPr="00B6699D">
              <w:rPr>
                <w:rFonts w:ascii="Times New Roman" w:hAnsi="Times New Roman"/>
                <w:snapToGrid/>
                <w:color w:val="000000"/>
                <w:sz w:val="20"/>
              </w:rPr>
              <w:t>1. Section D – Investor Reports on Affiliates (RTOB)</w:t>
            </w:r>
          </w:p>
        </w:tc>
        <w:tc>
          <w:tcPr>
            <w:tcW w:w="1477" w:type="dxa"/>
            <w:hideMark/>
          </w:tcPr>
          <w:p w:rsidR="00B6699D" w:rsidRPr="00B6699D" w:rsidP="00B6699D" w14:paraId="48EF0F6B" w14:textId="77777777">
            <w:pPr>
              <w:widowControl/>
              <w:rPr>
                <w:rFonts w:ascii="Times New Roman" w:hAnsi="Times New Roman"/>
                <w:snapToGrid/>
                <w:color w:val="000000"/>
                <w:sz w:val="20"/>
              </w:rPr>
            </w:pPr>
            <w:r w:rsidRPr="00B6699D">
              <w:rPr>
                <w:rFonts w:ascii="Times New Roman" w:hAnsi="Times New Roman"/>
                <w:snapToGrid/>
                <w:color w:val="000000"/>
                <w:sz w:val="20"/>
              </w:rPr>
              <w:t>Third-Party Disclosure</w:t>
            </w:r>
            <w:r w:rsidRPr="00B6699D">
              <w:rPr>
                <w:rFonts w:ascii="Times New Roman" w:hAnsi="Times New Roman"/>
                <w:snapToGrid/>
                <w:color w:val="000000"/>
                <w:sz w:val="20"/>
              </w:rPr>
              <w:br/>
              <w:t>(Annual)</w:t>
            </w:r>
          </w:p>
        </w:tc>
        <w:tc>
          <w:tcPr>
            <w:tcW w:w="1313" w:type="dxa"/>
            <w:noWrap/>
            <w:hideMark/>
          </w:tcPr>
          <w:p w:rsidR="00B6699D" w:rsidRPr="00B6699D" w:rsidP="00B6699D" w14:paraId="162F62AD"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3</w:t>
            </w:r>
          </w:p>
        </w:tc>
        <w:tc>
          <w:tcPr>
            <w:tcW w:w="1229" w:type="dxa"/>
            <w:noWrap/>
            <w:hideMark/>
          </w:tcPr>
          <w:p w:rsidR="00B6699D" w:rsidRPr="00B6699D" w:rsidP="00B6699D" w14:paraId="32E94DE1"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12</w:t>
            </w:r>
          </w:p>
        </w:tc>
        <w:tc>
          <w:tcPr>
            <w:tcW w:w="1025" w:type="dxa"/>
            <w:hideMark/>
          </w:tcPr>
          <w:p w:rsidR="00B6699D" w:rsidRPr="00B6699D" w:rsidP="00B6699D" w14:paraId="3B5D9212"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2:00</w:t>
            </w:r>
          </w:p>
        </w:tc>
        <w:tc>
          <w:tcPr>
            <w:tcW w:w="1175" w:type="dxa"/>
            <w:noWrap/>
            <w:hideMark/>
          </w:tcPr>
          <w:p w:rsidR="00B6699D" w:rsidRPr="00B6699D" w:rsidP="00B6699D" w14:paraId="0FB99482"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72</w:t>
            </w:r>
          </w:p>
        </w:tc>
      </w:tr>
      <w:tr w14:paraId="0E4ABE7C" w14:textId="77777777" w:rsidTr="00073813">
        <w:tblPrEx>
          <w:tblW w:w="10635" w:type="dxa"/>
          <w:tblInd w:w="-635" w:type="dxa"/>
          <w:tblLook w:val="04A0"/>
        </w:tblPrEx>
        <w:trPr>
          <w:trHeight w:val="825"/>
        </w:trPr>
        <w:tc>
          <w:tcPr>
            <w:tcW w:w="4416" w:type="dxa"/>
            <w:noWrap/>
            <w:hideMark/>
          </w:tcPr>
          <w:p w:rsidR="00B6699D" w:rsidRPr="00B6699D" w:rsidP="00B6699D" w14:paraId="050FE4C5" w14:textId="77777777">
            <w:pPr>
              <w:widowControl/>
              <w:rPr>
                <w:rFonts w:ascii="Times New Roman" w:hAnsi="Times New Roman"/>
                <w:snapToGrid/>
                <w:color w:val="000000"/>
                <w:sz w:val="20"/>
              </w:rPr>
            </w:pPr>
            <w:r w:rsidRPr="00B6699D">
              <w:rPr>
                <w:rFonts w:ascii="Times New Roman" w:hAnsi="Times New Roman"/>
                <w:snapToGrid/>
                <w:color w:val="000000"/>
                <w:sz w:val="20"/>
              </w:rPr>
              <w:t>2. Section E – Maintenance of Business Books and Records (RTOB)</w:t>
            </w:r>
          </w:p>
        </w:tc>
        <w:tc>
          <w:tcPr>
            <w:tcW w:w="1477" w:type="dxa"/>
            <w:hideMark/>
          </w:tcPr>
          <w:p w:rsidR="00B6699D" w:rsidRPr="00B6699D" w:rsidP="00B6699D" w14:paraId="4DC81E6D" w14:textId="77777777">
            <w:pPr>
              <w:widowControl/>
              <w:rPr>
                <w:rFonts w:ascii="Times New Roman" w:hAnsi="Times New Roman"/>
                <w:snapToGrid/>
                <w:color w:val="000000"/>
                <w:sz w:val="20"/>
              </w:rPr>
            </w:pPr>
            <w:r w:rsidRPr="00B6699D">
              <w:rPr>
                <w:rFonts w:ascii="Times New Roman" w:hAnsi="Times New Roman"/>
                <w:snapToGrid/>
                <w:color w:val="000000"/>
                <w:sz w:val="20"/>
              </w:rPr>
              <w:t>Recordkeeping</w:t>
            </w:r>
            <w:r w:rsidRPr="00B6699D">
              <w:rPr>
                <w:rFonts w:ascii="Times New Roman" w:hAnsi="Times New Roman"/>
                <w:snapToGrid/>
                <w:color w:val="000000"/>
                <w:sz w:val="20"/>
              </w:rPr>
              <w:br/>
              <w:t>(Annual)</w:t>
            </w:r>
          </w:p>
        </w:tc>
        <w:tc>
          <w:tcPr>
            <w:tcW w:w="1313" w:type="dxa"/>
            <w:noWrap/>
            <w:hideMark/>
          </w:tcPr>
          <w:p w:rsidR="00B6699D" w:rsidRPr="00B6699D" w:rsidP="00B6699D" w14:paraId="114412AB"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3</w:t>
            </w:r>
          </w:p>
        </w:tc>
        <w:tc>
          <w:tcPr>
            <w:tcW w:w="1229" w:type="dxa"/>
            <w:noWrap/>
            <w:hideMark/>
          </w:tcPr>
          <w:p w:rsidR="00B6699D" w:rsidRPr="00B6699D" w:rsidP="00B6699D" w14:paraId="7B8CE024"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4</w:t>
            </w:r>
          </w:p>
        </w:tc>
        <w:tc>
          <w:tcPr>
            <w:tcW w:w="1025" w:type="dxa"/>
            <w:hideMark/>
          </w:tcPr>
          <w:p w:rsidR="00B6699D" w:rsidRPr="00B6699D" w:rsidP="00B6699D" w14:paraId="667FC3DB"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2:00</w:t>
            </w:r>
          </w:p>
        </w:tc>
        <w:tc>
          <w:tcPr>
            <w:tcW w:w="1175" w:type="dxa"/>
            <w:noWrap/>
            <w:hideMark/>
          </w:tcPr>
          <w:p w:rsidR="00B6699D" w:rsidRPr="00B6699D" w:rsidP="00B6699D" w14:paraId="4E898F49"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24</w:t>
            </w:r>
          </w:p>
        </w:tc>
      </w:tr>
      <w:tr w14:paraId="666C3BCC" w14:textId="77777777" w:rsidTr="00073813">
        <w:tblPrEx>
          <w:tblW w:w="10635" w:type="dxa"/>
          <w:tblInd w:w="-635" w:type="dxa"/>
          <w:tblLook w:val="04A0"/>
        </w:tblPrEx>
        <w:trPr>
          <w:trHeight w:val="960"/>
        </w:trPr>
        <w:tc>
          <w:tcPr>
            <w:tcW w:w="4416" w:type="dxa"/>
            <w:noWrap/>
            <w:hideMark/>
          </w:tcPr>
          <w:p w:rsidR="00B6699D" w:rsidRPr="00B6699D" w:rsidP="00B6699D" w14:paraId="647A6227" w14:textId="77777777">
            <w:pPr>
              <w:widowControl/>
              <w:rPr>
                <w:rFonts w:ascii="Times New Roman" w:hAnsi="Times New Roman"/>
                <w:snapToGrid/>
                <w:color w:val="000000"/>
                <w:sz w:val="20"/>
              </w:rPr>
            </w:pPr>
            <w:r w:rsidRPr="00B6699D">
              <w:rPr>
                <w:rFonts w:ascii="Times New Roman" w:hAnsi="Times New Roman"/>
                <w:snapToGrid/>
                <w:color w:val="000000"/>
                <w:sz w:val="20"/>
              </w:rPr>
              <w:t>3. Section I – Disclosures Regarding Investors and Entities in Ownership Chain (RTOB)</w:t>
            </w:r>
          </w:p>
        </w:tc>
        <w:tc>
          <w:tcPr>
            <w:tcW w:w="1477" w:type="dxa"/>
            <w:hideMark/>
          </w:tcPr>
          <w:p w:rsidR="00B6699D" w:rsidRPr="00B6699D" w:rsidP="00B6699D" w14:paraId="46145A78" w14:textId="77777777">
            <w:pPr>
              <w:widowControl/>
              <w:rPr>
                <w:rFonts w:ascii="Times New Roman" w:hAnsi="Times New Roman"/>
                <w:snapToGrid/>
                <w:color w:val="000000"/>
                <w:sz w:val="20"/>
              </w:rPr>
            </w:pPr>
            <w:r w:rsidRPr="00B6699D">
              <w:rPr>
                <w:rFonts w:ascii="Times New Roman" w:hAnsi="Times New Roman"/>
                <w:snapToGrid/>
                <w:color w:val="000000"/>
                <w:sz w:val="20"/>
              </w:rPr>
              <w:t>Reporting</w:t>
            </w:r>
            <w:r w:rsidRPr="00B6699D">
              <w:rPr>
                <w:rFonts w:ascii="Times New Roman" w:hAnsi="Times New Roman"/>
                <w:snapToGrid/>
                <w:color w:val="000000"/>
                <w:sz w:val="20"/>
              </w:rPr>
              <w:br/>
              <w:t>(On occasion)</w:t>
            </w:r>
          </w:p>
        </w:tc>
        <w:tc>
          <w:tcPr>
            <w:tcW w:w="1313" w:type="dxa"/>
            <w:noWrap/>
            <w:hideMark/>
          </w:tcPr>
          <w:p w:rsidR="00B6699D" w:rsidRPr="00B6699D" w:rsidP="00B6699D" w14:paraId="15DF8171"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1</w:t>
            </w:r>
          </w:p>
        </w:tc>
        <w:tc>
          <w:tcPr>
            <w:tcW w:w="1229" w:type="dxa"/>
            <w:noWrap/>
            <w:hideMark/>
          </w:tcPr>
          <w:p w:rsidR="00B6699D" w:rsidRPr="00B6699D" w:rsidP="00B6699D" w14:paraId="3A758958"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1</w:t>
            </w:r>
          </w:p>
        </w:tc>
        <w:tc>
          <w:tcPr>
            <w:tcW w:w="1025" w:type="dxa"/>
            <w:hideMark/>
          </w:tcPr>
          <w:p w:rsidR="00B6699D" w:rsidRPr="00B6699D" w:rsidP="00B6699D" w14:paraId="4A22BEC6"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4:00</w:t>
            </w:r>
          </w:p>
        </w:tc>
        <w:tc>
          <w:tcPr>
            <w:tcW w:w="1175" w:type="dxa"/>
            <w:noWrap/>
            <w:hideMark/>
          </w:tcPr>
          <w:p w:rsidR="00B6699D" w:rsidRPr="00B6699D" w:rsidP="00B6699D" w14:paraId="31FD888C" w14:textId="77777777">
            <w:pPr>
              <w:widowControl/>
              <w:jc w:val="right"/>
              <w:rPr>
                <w:rFonts w:ascii="Times New Roman" w:hAnsi="Times New Roman"/>
                <w:snapToGrid/>
                <w:color w:val="000000"/>
                <w:sz w:val="20"/>
              </w:rPr>
            </w:pPr>
            <w:r w:rsidRPr="00B6699D">
              <w:rPr>
                <w:rFonts w:ascii="Times New Roman" w:hAnsi="Times New Roman"/>
                <w:snapToGrid/>
                <w:color w:val="000000"/>
                <w:sz w:val="20"/>
              </w:rPr>
              <w:t>4</w:t>
            </w:r>
          </w:p>
        </w:tc>
      </w:tr>
      <w:tr w14:paraId="29AB80AA" w14:textId="77777777" w:rsidTr="00073813">
        <w:tblPrEx>
          <w:tblW w:w="10635" w:type="dxa"/>
          <w:tblInd w:w="-635" w:type="dxa"/>
          <w:tblLook w:val="04A0"/>
        </w:tblPrEx>
        <w:trPr>
          <w:trHeight w:val="300"/>
        </w:trPr>
        <w:tc>
          <w:tcPr>
            <w:tcW w:w="9460" w:type="dxa"/>
            <w:gridSpan w:val="5"/>
            <w:noWrap/>
            <w:hideMark/>
          </w:tcPr>
          <w:p w:rsidR="00B6699D" w:rsidRPr="00B6699D" w:rsidP="00B6699D" w14:paraId="613EF240" w14:textId="77777777">
            <w:pPr>
              <w:widowControl/>
              <w:jc w:val="right"/>
              <w:rPr>
                <w:rFonts w:ascii="Times New Roman" w:hAnsi="Times New Roman"/>
                <w:b/>
                <w:bCs/>
                <w:i/>
                <w:iCs/>
                <w:snapToGrid/>
                <w:color w:val="000000"/>
                <w:sz w:val="22"/>
              </w:rPr>
            </w:pPr>
            <w:r w:rsidRPr="00B6699D">
              <w:rPr>
                <w:rFonts w:ascii="Times New Roman" w:hAnsi="Times New Roman"/>
                <w:b/>
                <w:bCs/>
                <w:i/>
                <w:iCs/>
                <w:snapToGrid/>
                <w:color w:val="000000"/>
                <w:sz w:val="22"/>
              </w:rPr>
              <w:t>Total Annual Burden (Hours):</w:t>
            </w:r>
          </w:p>
        </w:tc>
        <w:tc>
          <w:tcPr>
            <w:tcW w:w="1175" w:type="dxa"/>
            <w:noWrap/>
            <w:hideMark/>
          </w:tcPr>
          <w:p w:rsidR="00B6699D" w:rsidRPr="00B6699D" w:rsidP="00B6699D" w14:paraId="46E065BB" w14:textId="77777777">
            <w:pPr>
              <w:widowControl/>
              <w:jc w:val="right"/>
              <w:rPr>
                <w:rFonts w:ascii="Times New Roman" w:hAnsi="Times New Roman"/>
                <w:b/>
                <w:bCs/>
                <w:i/>
                <w:iCs/>
                <w:snapToGrid/>
                <w:color w:val="000000"/>
                <w:sz w:val="22"/>
              </w:rPr>
            </w:pPr>
            <w:r w:rsidRPr="00B6699D">
              <w:rPr>
                <w:rFonts w:ascii="Times New Roman" w:hAnsi="Times New Roman"/>
                <w:b/>
                <w:bCs/>
                <w:i/>
                <w:iCs/>
                <w:snapToGrid/>
                <w:color w:val="000000"/>
                <w:sz w:val="22"/>
              </w:rPr>
              <w:t>100</w:t>
            </w:r>
          </w:p>
        </w:tc>
      </w:tr>
      <w:tr w14:paraId="7C0277D7" w14:textId="77777777" w:rsidTr="00073813">
        <w:tblPrEx>
          <w:tblW w:w="10635" w:type="dxa"/>
          <w:tblInd w:w="-635" w:type="dxa"/>
          <w:tblLook w:val="04A0"/>
        </w:tblPrEx>
        <w:trPr>
          <w:trHeight w:val="252"/>
        </w:trPr>
        <w:tc>
          <w:tcPr>
            <w:tcW w:w="10635" w:type="dxa"/>
            <w:gridSpan w:val="6"/>
            <w:noWrap/>
            <w:hideMark/>
          </w:tcPr>
          <w:p w:rsidR="00B6699D" w:rsidRPr="00B6699D" w:rsidP="00B6699D" w14:paraId="3373C968" w14:textId="77777777">
            <w:pPr>
              <w:widowControl/>
              <w:rPr>
                <w:rFonts w:ascii="Times New Roman" w:hAnsi="Times New Roman"/>
                <w:snapToGrid/>
                <w:color w:val="000000"/>
                <w:sz w:val="18"/>
                <w:szCs w:val="18"/>
              </w:rPr>
            </w:pPr>
            <w:r w:rsidRPr="00B6699D">
              <w:rPr>
                <w:rFonts w:ascii="Times New Roman" w:hAnsi="Times New Roman"/>
                <w:snapToGrid/>
                <w:color w:val="000000"/>
                <w:sz w:val="18"/>
                <w:szCs w:val="18"/>
              </w:rPr>
              <w:t>Source: FDIC.</w:t>
            </w:r>
          </w:p>
        </w:tc>
      </w:tr>
      <w:tr w14:paraId="23BFC5FC" w14:textId="77777777" w:rsidTr="00073813">
        <w:tblPrEx>
          <w:tblW w:w="10635" w:type="dxa"/>
          <w:tblInd w:w="-635" w:type="dxa"/>
          <w:tblLook w:val="04A0"/>
        </w:tblPrEx>
        <w:trPr>
          <w:trHeight w:val="349"/>
        </w:trPr>
        <w:tc>
          <w:tcPr>
            <w:tcW w:w="10635" w:type="dxa"/>
            <w:gridSpan w:val="6"/>
            <w:hideMark/>
          </w:tcPr>
          <w:p w:rsidR="00B6699D" w:rsidRPr="00B6699D" w:rsidP="00B6699D" w14:paraId="629FB3C0" w14:textId="2BA9AD31">
            <w:pPr>
              <w:widowControl/>
              <w:rPr>
                <w:rFonts w:ascii="Times New Roman" w:hAnsi="Times New Roman"/>
                <w:snapToGrid/>
                <w:color w:val="000000"/>
                <w:sz w:val="18"/>
                <w:szCs w:val="18"/>
              </w:rPr>
            </w:pPr>
            <w:r w:rsidRPr="002132B6">
              <w:rPr>
                <w:rFonts w:ascii="Times New Roman" w:hAnsi="Times New Roman"/>
                <w:snapToGrid/>
                <w:color w:val="000000"/>
                <w:sz w:val="18"/>
                <w:szCs w:val="18"/>
              </w:rPr>
              <w:t>RTOB = Required to Obtain Benefit.</w:t>
            </w:r>
          </w:p>
        </w:tc>
      </w:tr>
    </w:tbl>
    <w:p w:rsidR="00C426CF" w:rsidP="00CF552E" w14:paraId="725A903E" w14:textId="77777777">
      <w:pPr>
        <w:rPr>
          <w:rFonts w:ascii="Times New Roman" w:hAnsi="Times New Roman"/>
        </w:rPr>
      </w:pPr>
    </w:p>
    <w:p w:rsidR="00B6699D" w14:paraId="175C9F60" w14:textId="2765FDD4">
      <w:pPr>
        <w:widowControl/>
        <w:rPr>
          <w:rFonts w:ascii="Times New Roman" w:hAnsi="Times New Roman"/>
        </w:rPr>
      </w:pPr>
      <w:r>
        <w:rPr>
          <w:rFonts w:ascii="Times New Roman" w:hAnsi="Times New Roman"/>
        </w:rPr>
        <w:br w:type="page"/>
      </w:r>
    </w:p>
    <w:p w:rsidR="00C426CF" w:rsidP="00CF552E" w14:paraId="0EC77D5E" w14:textId="77777777">
      <w:pPr>
        <w:rPr>
          <w:rFonts w:ascii="Times New Roman" w:hAnsi="Times New Roman"/>
        </w:rPr>
      </w:pPr>
    </w:p>
    <w:p w:rsidR="00C96990" w:rsidP="00B6699D" w14:paraId="575ADB4C" w14:textId="77777777">
      <w:pPr>
        <w:ind w:left="720"/>
        <w:rPr>
          <w:rFonts w:ascii="Times New Roman" w:hAnsi="Times New Roman"/>
        </w:rPr>
      </w:pPr>
      <w:r>
        <w:rPr>
          <w:rFonts w:ascii="Times New Roman" w:hAnsi="Times New Roman"/>
        </w:rPr>
        <w:t xml:space="preserve">Annualized </w:t>
      </w:r>
      <w:r w:rsidRPr="00635FAE">
        <w:rPr>
          <w:rFonts w:ascii="Times New Roman" w:hAnsi="Times New Roman"/>
        </w:rPr>
        <w:t>Cost of Internal Hourly Burden:</w:t>
      </w:r>
    </w:p>
    <w:p w:rsidR="00C96990" w:rsidRPr="009778B4" w:rsidP="00C96990" w14:paraId="539BE001" w14:textId="77777777">
      <w:pPr>
        <w:widowControl/>
        <w:tabs>
          <w:tab w:val="left" w:pos="1440"/>
          <w:tab w:val="left" w:pos="5040"/>
        </w:tabs>
        <w:ind w:left="1440"/>
        <w:rPr>
          <w:rFonts w:ascii="Times New Roman" w:hAnsi="Times New Roman"/>
          <w:snapToGrid/>
          <w:sz w:val="32"/>
          <w:szCs w:val="24"/>
        </w:rPr>
      </w:pPr>
    </w:p>
    <w:p w:rsidR="002847B4" w:rsidP="00B733BC" w14:paraId="1DED67B3" w14:textId="77777777">
      <w:pPr>
        <w:widowControl/>
        <w:tabs>
          <w:tab w:val="left" w:pos="1440"/>
          <w:tab w:val="left" w:pos="5040"/>
        </w:tabs>
        <w:ind w:left="720"/>
        <w:rPr>
          <w:rFonts w:ascii="Times New Roman" w:hAnsi="Times New Roman"/>
        </w:rPr>
      </w:pPr>
      <w:r>
        <w:rPr>
          <w:rFonts w:ascii="Times New Roman" w:hAnsi="Times New Roman"/>
        </w:rPr>
        <w:t>The estimated labor cost is calculated as follows:</w:t>
      </w:r>
    </w:p>
    <w:p w:rsidR="00805063" w:rsidP="00B733BC" w14:paraId="37AFEFA1" w14:textId="77777777">
      <w:pPr>
        <w:widowControl/>
        <w:tabs>
          <w:tab w:val="left" w:pos="1440"/>
          <w:tab w:val="left" w:pos="5040"/>
        </w:tabs>
        <w:ind w:left="720"/>
        <w:rPr>
          <w:rStyle w:val="documentbody1"/>
          <w:color w:val="000000"/>
          <w:sz w:val="24"/>
          <w:szCs w:val="24"/>
          <w:u w:val="single"/>
        </w:rPr>
      </w:pPr>
    </w:p>
    <w:tbl>
      <w:tblPr>
        <w:tblW w:w="10902" w:type="dxa"/>
        <w:tblInd w:w="-640" w:type="dxa"/>
        <w:tblCellMar>
          <w:top w:w="15" w:type="dxa"/>
        </w:tblCellMar>
        <w:tblLook w:val="04A0"/>
      </w:tblPr>
      <w:tblGrid>
        <w:gridCol w:w="2640"/>
        <w:gridCol w:w="825"/>
        <w:gridCol w:w="1000"/>
        <w:gridCol w:w="1000"/>
        <w:gridCol w:w="900"/>
        <w:gridCol w:w="1000"/>
        <w:gridCol w:w="1000"/>
        <w:gridCol w:w="900"/>
        <w:gridCol w:w="1415"/>
        <w:gridCol w:w="223"/>
      </w:tblGrid>
      <w:tr w14:paraId="1FC274DE" w14:textId="77777777" w:rsidTr="00C92D65">
        <w:tblPrEx>
          <w:tblW w:w="10902" w:type="dxa"/>
          <w:tblInd w:w="-640" w:type="dxa"/>
          <w:tblCellMar>
            <w:top w:w="15" w:type="dxa"/>
          </w:tblCellMar>
          <w:tblLook w:val="04A0"/>
        </w:tblPrEx>
        <w:trPr>
          <w:gridAfter w:val="1"/>
          <w:wAfter w:w="223" w:type="dxa"/>
          <w:trHeight w:val="338"/>
        </w:trPr>
        <w:tc>
          <w:tcPr>
            <w:tcW w:w="10679" w:type="dxa"/>
            <w:gridSpan w:val="9"/>
            <w:tcBorders>
              <w:top w:val="single" w:sz="8" w:space="0" w:color="auto"/>
              <w:left w:val="single" w:sz="8" w:space="0" w:color="auto"/>
              <w:bottom w:val="single" w:sz="8" w:space="0" w:color="auto"/>
              <w:right w:val="single" w:sz="8" w:space="0" w:color="auto"/>
            </w:tcBorders>
            <w:noWrap/>
            <w:vAlign w:val="bottom"/>
            <w:hideMark/>
          </w:tcPr>
          <w:p w:rsidR="004F6DAA" w:rsidRPr="004F6DAA" w:rsidP="004F6DAA" w14:paraId="4C2AC488" w14:textId="3DEA886F">
            <w:pPr>
              <w:widowControl/>
              <w:jc w:val="center"/>
              <w:rPr>
                <w:rFonts w:ascii="Times New Roman" w:hAnsi="Times New Roman"/>
                <w:snapToGrid/>
                <w:color w:val="000000"/>
                <w:szCs w:val="24"/>
              </w:rPr>
            </w:pPr>
            <w:r w:rsidRPr="004F6DAA">
              <w:rPr>
                <w:rFonts w:ascii="Times New Roman" w:hAnsi="Times New Roman"/>
                <w:snapToGrid/>
                <w:color w:val="000000"/>
                <w:szCs w:val="24"/>
              </w:rPr>
              <w:t>Summary of Hourly Burden Cost Estimate (OMB No. 3064-0169)</w:t>
            </w:r>
          </w:p>
        </w:tc>
      </w:tr>
      <w:tr w14:paraId="634948AF" w14:textId="77777777" w:rsidTr="00C92D65">
        <w:tblPrEx>
          <w:tblW w:w="10902" w:type="dxa"/>
          <w:tblInd w:w="-640" w:type="dxa"/>
          <w:tblCellMar>
            <w:top w:w="15" w:type="dxa"/>
          </w:tblCellMar>
          <w:tblLook w:val="04A0"/>
        </w:tblPrEx>
        <w:trPr>
          <w:gridAfter w:val="1"/>
          <w:wAfter w:w="223" w:type="dxa"/>
          <w:trHeight w:val="563"/>
        </w:trPr>
        <w:tc>
          <w:tcPr>
            <w:tcW w:w="2666" w:type="dxa"/>
            <w:vMerge w:val="restart"/>
            <w:tcBorders>
              <w:top w:val="nil"/>
              <w:left w:val="single" w:sz="8" w:space="0" w:color="auto"/>
              <w:bottom w:val="single" w:sz="8" w:space="0" w:color="auto"/>
              <w:right w:val="single" w:sz="8" w:space="0" w:color="auto"/>
            </w:tcBorders>
            <w:vAlign w:val="center"/>
            <w:hideMark/>
          </w:tcPr>
          <w:p w:rsidR="004F6DAA" w:rsidRPr="004F6DAA" w:rsidP="004F6DAA" w14:paraId="020A2BDD" w14:textId="77777777">
            <w:pPr>
              <w:widowControl/>
              <w:rPr>
                <w:rFonts w:ascii="Times New Roman" w:hAnsi="Times New Roman"/>
                <w:snapToGrid/>
                <w:color w:val="000000"/>
                <w:sz w:val="20"/>
              </w:rPr>
            </w:pPr>
            <w:r w:rsidRPr="004F6DAA">
              <w:rPr>
                <w:rFonts w:ascii="Times New Roman" w:hAnsi="Times New Roman"/>
                <w:snapToGrid/>
                <w:color w:val="000000"/>
                <w:sz w:val="20"/>
              </w:rPr>
              <w:t xml:space="preserve">Information Collection (IC) (Obligation to Respond) </w:t>
            </w:r>
          </w:p>
        </w:tc>
        <w:tc>
          <w:tcPr>
            <w:tcW w:w="825" w:type="dxa"/>
            <w:vMerge w:val="restart"/>
            <w:tcBorders>
              <w:top w:val="nil"/>
              <w:left w:val="single" w:sz="8" w:space="0" w:color="auto"/>
              <w:bottom w:val="single" w:sz="8" w:space="0" w:color="auto"/>
              <w:right w:val="single" w:sz="8" w:space="0" w:color="auto"/>
            </w:tcBorders>
            <w:vAlign w:val="center"/>
            <w:hideMark/>
          </w:tcPr>
          <w:p w:rsidR="004F6DAA" w:rsidRPr="004F6DAA" w:rsidP="004F6DAA" w14:paraId="5B416E23"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 xml:space="preserve">Hourly Weight </w:t>
            </w:r>
            <w:r w:rsidRPr="004F6DAA">
              <w:rPr>
                <w:rFonts w:ascii="Times New Roman" w:hAnsi="Times New Roman"/>
                <w:snapToGrid/>
                <w:color w:val="000000"/>
                <w:sz w:val="20"/>
              </w:rPr>
              <w:br/>
              <w:t>(%)</w:t>
            </w:r>
          </w:p>
        </w:tc>
        <w:tc>
          <w:tcPr>
            <w:tcW w:w="5736"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4F6DAA" w:rsidRPr="004F6DAA" w:rsidP="004F6DAA" w14:paraId="782B1F0A"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 xml:space="preserve">Percentage Shares of Hours Spent by and </w:t>
            </w:r>
            <w:r w:rsidRPr="004F6DAA">
              <w:rPr>
                <w:rFonts w:ascii="Times New Roman" w:hAnsi="Times New Roman"/>
                <w:snapToGrid/>
                <w:color w:val="000000"/>
                <w:sz w:val="20"/>
              </w:rPr>
              <w:br/>
              <w:t xml:space="preserve">Hourly Compensation Rates for each Occupation Group </w:t>
            </w:r>
            <w:r w:rsidRPr="004F6DAA">
              <w:rPr>
                <w:rFonts w:ascii="Times New Roman" w:hAnsi="Times New Roman"/>
                <w:snapToGrid/>
                <w:color w:val="000000"/>
                <w:sz w:val="20"/>
              </w:rPr>
              <w:br/>
              <w:t>(by Collection)</w:t>
            </w:r>
          </w:p>
        </w:tc>
        <w:tc>
          <w:tcPr>
            <w:tcW w:w="1452" w:type="dxa"/>
            <w:vMerge w:val="restart"/>
            <w:tcBorders>
              <w:top w:val="nil"/>
              <w:left w:val="single" w:sz="8" w:space="0" w:color="auto"/>
              <w:bottom w:val="single" w:sz="8" w:space="0" w:color="auto"/>
              <w:right w:val="single" w:sz="8" w:space="0" w:color="auto"/>
            </w:tcBorders>
            <w:vAlign w:val="center"/>
            <w:hideMark/>
          </w:tcPr>
          <w:p w:rsidR="004F6DAA" w:rsidRPr="004F6DAA" w:rsidP="004F6DAA" w14:paraId="2952A9D0"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Estimated Hourly Compensation Rate</w:t>
            </w:r>
          </w:p>
        </w:tc>
      </w:tr>
      <w:tr w14:paraId="057B56CD" w14:textId="77777777" w:rsidTr="00C92D65">
        <w:tblPrEx>
          <w:tblW w:w="10902" w:type="dxa"/>
          <w:tblInd w:w="-640" w:type="dxa"/>
          <w:tblCellMar>
            <w:top w:w="15" w:type="dxa"/>
          </w:tblCellMar>
          <w:tblLook w:val="04A0"/>
        </w:tblPrEx>
        <w:trPr>
          <w:trHeight w:val="811"/>
        </w:trPr>
        <w:tc>
          <w:tcPr>
            <w:tcW w:w="2666" w:type="dxa"/>
            <w:vMerge/>
            <w:tcBorders>
              <w:top w:val="nil"/>
              <w:left w:val="single" w:sz="8" w:space="0" w:color="auto"/>
              <w:bottom w:val="single" w:sz="8" w:space="0" w:color="auto"/>
              <w:right w:val="single" w:sz="8" w:space="0" w:color="auto"/>
            </w:tcBorders>
            <w:vAlign w:val="center"/>
            <w:hideMark/>
          </w:tcPr>
          <w:p w:rsidR="004F6DAA" w:rsidRPr="004F6DAA" w:rsidP="004F6DAA" w14:paraId="0D763D4A" w14:textId="77777777">
            <w:pPr>
              <w:widowControl/>
              <w:rPr>
                <w:rFonts w:ascii="Times New Roman" w:hAnsi="Times New Roman"/>
                <w:snapToGrid/>
                <w:color w:val="000000"/>
                <w:sz w:val="20"/>
              </w:rPr>
            </w:pPr>
          </w:p>
        </w:tc>
        <w:tc>
          <w:tcPr>
            <w:tcW w:w="825" w:type="dxa"/>
            <w:vMerge/>
            <w:tcBorders>
              <w:top w:val="nil"/>
              <w:left w:val="single" w:sz="8" w:space="0" w:color="auto"/>
              <w:bottom w:val="single" w:sz="8" w:space="0" w:color="auto"/>
              <w:right w:val="single" w:sz="8" w:space="0" w:color="auto"/>
            </w:tcBorders>
            <w:vAlign w:val="center"/>
            <w:hideMark/>
          </w:tcPr>
          <w:p w:rsidR="004F6DAA" w:rsidRPr="004F6DAA" w:rsidP="004F6DAA" w14:paraId="0C19FFF3" w14:textId="77777777">
            <w:pPr>
              <w:widowControl/>
              <w:rPr>
                <w:rFonts w:ascii="Times New Roman" w:hAnsi="Times New Roman"/>
                <w:snapToGrid/>
                <w:color w:val="000000"/>
                <w:sz w:val="20"/>
              </w:rPr>
            </w:pPr>
          </w:p>
        </w:tc>
        <w:tc>
          <w:tcPr>
            <w:tcW w:w="5736" w:type="dxa"/>
            <w:gridSpan w:val="6"/>
            <w:vMerge/>
            <w:tcBorders>
              <w:top w:val="single" w:sz="8" w:space="0" w:color="auto"/>
              <w:left w:val="single" w:sz="8" w:space="0" w:color="auto"/>
              <w:bottom w:val="single" w:sz="8" w:space="0" w:color="auto"/>
              <w:right w:val="single" w:sz="8" w:space="0" w:color="auto"/>
            </w:tcBorders>
            <w:vAlign w:val="center"/>
            <w:hideMark/>
          </w:tcPr>
          <w:p w:rsidR="004F6DAA" w:rsidRPr="004F6DAA" w:rsidP="004F6DAA" w14:paraId="5C7CCC5E" w14:textId="77777777">
            <w:pPr>
              <w:widowControl/>
              <w:rPr>
                <w:rFonts w:ascii="Times New Roman" w:hAnsi="Times New Roman"/>
                <w:snapToGrid/>
                <w:color w:val="000000"/>
                <w:sz w:val="20"/>
              </w:rPr>
            </w:pPr>
          </w:p>
        </w:tc>
        <w:tc>
          <w:tcPr>
            <w:tcW w:w="1452" w:type="dxa"/>
            <w:vMerge/>
            <w:tcBorders>
              <w:top w:val="nil"/>
              <w:left w:val="single" w:sz="8" w:space="0" w:color="auto"/>
              <w:bottom w:val="single" w:sz="8" w:space="0" w:color="auto"/>
              <w:right w:val="single" w:sz="8" w:space="0" w:color="auto"/>
            </w:tcBorders>
            <w:vAlign w:val="center"/>
            <w:hideMark/>
          </w:tcPr>
          <w:p w:rsidR="004F6DAA" w:rsidRPr="004F6DAA" w:rsidP="004F6DAA" w14:paraId="3AB909BE" w14:textId="77777777">
            <w:pPr>
              <w:widowControl/>
              <w:rPr>
                <w:rFonts w:ascii="Times New Roman" w:hAnsi="Times New Roman"/>
                <w:snapToGrid/>
                <w:color w:val="000000"/>
                <w:sz w:val="20"/>
              </w:rPr>
            </w:pPr>
          </w:p>
        </w:tc>
        <w:tc>
          <w:tcPr>
            <w:tcW w:w="223" w:type="dxa"/>
            <w:tcBorders>
              <w:top w:val="nil"/>
              <w:left w:val="nil"/>
              <w:bottom w:val="nil"/>
              <w:right w:val="nil"/>
            </w:tcBorders>
            <w:noWrap/>
            <w:vAlign w:val="bottom"/>
            <w:hideMark/>
          </w:tcPr>
          <w:p w:rsidR="004F6DAA" w:rsidRPr="004F6DAA" w:rsidP="004F6DAA" w14:paraId="67B77E76" w14:textId="77777777">
            <w:pPr>
              <w:widowControl/>
              <w:jc w:val="center"/>
              <w:rPr>
                <w:rFonts w:ascii="Times New Roman" w:hAnsi="Times New Roman"/>
                <w:snapToGrid/>
                <w:color w:val="000000"/>
                <w:sz w:val="20"/>
              </w:rPr>
            </w:pPr>
          </w:p>
        </w:tc>
      </w:tr>
      <w:tr w14:paraId="4B79C859" w14:textId="77777777" w:rsidTr="00C92D65">
        <w:tblPrEx>
          <w:tblW w:w="10902" w:type="dxa"/>
          <w:tblInd w:w="-640" w:type="dxa"/>
          <w:tblCellMar>
            <w:top w:w="15" w:type="dxa"/>
          </w:tblCellMar>
          <w:tblLook w:val="04A0"/>
        </w:tblPrEx>
        <w:trPr>
          <w:trHeight w:val="338"/>
        </w:trPr>
        <w:tc>
          <w:tcPr>
            <w:tcW w:w="2666" w:type="dxa"/>
            <w:vMerge/>
            <w:tcBorders>
              <w:top w:val="nil"/>
              <w:left w:val="single" w:sz="8" w:space="0" w:color="auto"/>
              <w:bottom w:val="single" w:sz="8" w:space="0" w:color="auto"/>
              <w:right w:val="single" w:sz="8" w:space="0" w:color="auto"/>
            </w:tcBorders>
            <w:vAlign w:val="center"/>
            <w:hideMark/>
          </w:tcPr>
          <w:p w:rsidR="004F6DAA" w:rsidRPr="004F6DAA" w:rsidP="004F6DAA" w14:paraId="67BDB975" w14:textId="77777777">
            <w:pPr>
              <w:widowControl/>
              <w:rPr>
                <w:rFonts w:ascii="Times New Roman" w:hAnsi="Times New Roman"/>
                <w:snapToGrid/>
                <w:color w:val="000000"/>
                <w:sz w:val="20"/>
              </w:rPr>
            </w:pPr>
          </w:p>
        </w:tc>
        <w:tc>
          <w:tcPr>
            <w:tcW w:w="825" w:type="dxa"/>
            <w:vMerge/>
            <w:tcBorders>
              <w:top w:val="nil"/>
              <w:left w:val="single" w:sz="8" w:space="0" w:color="auto"/>
              <w:bottom w:val="single" w:sz="8" w:space="0" w:color="auto"/>
              <w:right w:val="single" w:sz="8" w:space="0" w:color="auto"/>
            </w:tcBorders>
            <w:vAlign w:val="center"/>
            <w:hideMark/>
          </w:tcPr>
          <w:p w:rsidR="004F6DAA" w:rsidRPr="004F6DAA" w:rsidP="004F6DAA" w14:paraId="7480A62D" w14:textId="77777777">
            <w:pPr>
              <w:widowControl/>
              <w:rPr>
                <w:rFonts w:ascii="Times New Roman" w:hAnsi="Times New Roman"/>
                <w:snapToGrid/>
                <w:color w:val="000000"/>
                <w:sz w:val="20"/>
              </w:rPr>
            </w:pPr>
          </w:p>
        </w:tc>
        <w:tc>
          <w:tcPr>
            <w:tcW w:w="989" w:type="dxa"/>
            <w:vMerge w:val="restart"/>
            <w:tcBorders>
              <w:top w:val="nil"/>
              <w:left w:val="single" w:sz="8" w:space="0" w:color="auto"/>
              <w:bottom w:val="single" w:sz="8" w:space="0" w:color="auto"/>
              <w:right w:val="single" w:sz="8" w:space="0" w:color="auto"/>
            </w:tcBorders>
            <w:vAlign w:val="center"/>
            <w:hideMark/>
          </w:tcPr>
          <w:p w:rsidR="004F6DAA" w:rsidRPr="004F6DAA" w:rsidP="004F6DAA" w14:paraId="0674030A"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Exec. &amp; Mgr.      ($159.03)</w:t>
            </w:r>
          </w:p>
        </w:tc>
        <w:tc>
          <w:tcPr>
            <w:tcW w:w="989" w:type="dxa"/>
            <w:vMerge w:val="restart"/>
            <w:tcBorders>
              <w:top w:val="nil"/>
              <w:left w:val="single" w:sz="8" w:space="0" w:color="auto"/>
              <w:bottom w:val="single" w:sz="8" w:space="0" w:color="auto"/>
              <w:right w:val="single" w:sz="8" w:space="0" w:color="auto"/>
            </w:tcBorders>
            <w:vAlign w:val="center"/>
            <w:hideMark/>
          </w:tcPr>
          <w:p w:rsidR="004F6DAA" w:rsidRPr="004F6DAA" w:rsidP="004F6DAA" w14:paraId="2BA53F52"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Lawyer</w:t>
            </w:r>
            <w:r w:rsidRPr="004F6DAA">
              <w:rPr>
                <w:rFonts w:ascii="Times New Roman" w:hAnsi="Times New Roman"/>
                <w:snapToGrid/>
                <w:color w:val="000000"/>
                <w:sz w:val="20"/>
              </w:rPr>
              <w:t xml:space="preserve">   (</w:t>
            </w:r>
            <w:r w:rsidRPr="004F6DAA">
              <w:rPr>
                <w:rFonts w:ascii="Times New Roman" w:hAnsi="Times New Roman"/>
                <w:snapToGrid/>
                <w:color w:val="000000"/>
                <w:sz w:val="20"/>
              </w:rPr>
              <w:t>$179.36)</w:t>
            </w:r>
          </w:p>
        </w:tc>
        <w:tc>
          <w:tcPr>
            <w:tcW w:w="888" w:type="dxa"/>
            <w:vMerge w:val="restart"/>
            <w:tcBorders>
              <w:top w:val="nil"/>
              <w:left w:val="single" w:sz="8" w:space="0" w:color="auto"/>
              <w:bottom w:val="single" w:sz="8" w:space="0" w:color="auto"/>
              <w:right w:val="single" w:sz="8" w:space="0" w:color="auto"/>
            </w:tcBorders>
            <w:vAlign w:val="center"/>
            <w:hideMark/>
          </w:tcPr>
          <w:p w:rsidR="004F6DAA" w:rsidRPr="004F6DAA" w:rsidP="004F6DAA" w14:paraId="7D7AF877"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Compl</w:t>
            </w:r>
            <w:r w:rsidRPr="004F6DAA">
              <w:rPr>
                <w:rFonts w:ascii="Times New Roman" w:hAnsi="Times New Roman"/>
                <w:snapToGrid/>
                <w:color w:val="000000"/>
                <w:sz w:val="20"/>
              </w:rPr>
              <w:t>. Ofc.   ($80.68)</w:t>
            </w:r>
          </w:p>
        </w:tc>
        <w:tc>
          <w:tcPr>
            <w:tcW w:w="989" w:type="dxa"/>
            <w:vMerge w:val="restart"/>
            <w:tcBorders>
              <w:top w:val="nil"/>
              <w:left w:val="single" w:sz="8" w:space="0" w:color="auto"/>
              <w:bottom w:val="single" w:sz="8" w:space="0" w:color="auto"/>
              <w:right w:val="single" w:sz="8" w:space="0" w:color="auto"/>
            </w:tcBorders>
            <w:vAlign w:val="center"/>
            <w:hideMark/>
          </w:tcPr>
          <w:p w:rsidR="004F6DAA" w:rsidRPr="004F6DAA" w:rsidP="004F6DAA" w14:paraId="719AD89A"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 xml:space="preserve">IT </w:t>
            </w:r>
            <w:r w:rsidRPr="004F6DAA">
              <w:rPr>
                <w:rFonts w:ascii="Times New Roman" w:hAnsi="Times New Roman"/>
                <w:snapToGrid/>
                <w:color w:val="000000"/>
                <w:sz w:val="20"/>
              </w:rPr>
              <w:t xml:space="preserve">   (</w:t>
            </w:r>
            <w:r w:rsidRPr="004F6DAA">
              <w:rPr>
                <w:rFonts w:ascii="Times New Roman" w:hAnsi="Times New Roman"/>
                <w:snapToGrid/>
                <w:color w:val="000000"/>
                <w:sz w:val="20"/>
              </w:rPr>
              <w:t>$116.37)</w:t>
            </w:r>
          </w:p>
        </w:tc>
        <w:tc>
          <w:tcPr>
            <w:tcW w:w="989" w:type="dxa"/>
            <w:vMerge w:val="restart"/>
            <w:tcBorders>
              <w:top w:val="nil"/>
              <w:left w:val="single" w:sz="8" w:space="0" w:color="auto"/>
              <w:bottom w:val="single" w:sz="8" w:space="0" w:color="auto"/>
              <w:right w:val="single" w:sz="8" w:space="0" w:color="auto"/>
            </w:tcBorders>
            <w:vAlign w:val="center"/>
            <w:hideMark/>
          </w:tcPr>
          <w:p w:rsidR="004F6DAA" w:rsidRPr="004F6DAA" w:rsidP="004F6DAA" w14:paraId="5C747106"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 xml:space="preserve">Fin. </w:t>
            </w:r>
            <w:r w:rsidRPr="004F6DAA">
              <w:rPr>
                <w:rFonts w:ascii="Times New Roman" w:hAnsi="Times New Roman"/>
                <w:snapToGrid/>
                <w:color w:val="000000"/>
                <w:sz w:val="20"/>
              </w:rPr>
              <w:t>Anlst</w:t>
            </w:r>
            <w:r w:rsidRPr="004F6DAA">
              <w:rPr>
                <w:rFonts w:ascii="Times New Roman" w:hAnsi="Times New Roman"/>
                <w:snapToGrid/>
                <w:color w:val="000000"/>
                <w:sz w:val="20"/>
              </w:rPr>
              <w:t>.    ($101.18)</w:t>
            </w:r>
          </w:p>
        </w:tc>
        <w:tc>
          <w:tcPr>
            <w:tcW w:w="892" w:type="dxa"/>
            <w:vMerge w:val="restart"/>
            <w:tcBorders>
              <w:top w:val="nil"/>
              <w:left w:val="single" w:sz="8" w:space="0" w:color="auto"/>
              <w:bottom w:val="single" w:sz="8" w:space="0" w:color="auto"/>
              <w:right w:val="single" w:sz="8" w:space="0" w:color="auto"/>
            </w:tcBorders>
            <w:vAlign w:val="center"/>
            <w:hideMark/>
          </w:tcPr>
          <w:p w:rsidR="004F6DAA" w:rsidRPr="004F6DAA" w:rsidP="004F6DAA" w14:paraId="7A20CE5D"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 xml:space="preserve">Clerical </w:t>
            </w:r>
            <w:r w:rsidRPr="004F6DAA">
              <w:rPr>
                <w:rFonts w:ascii="Times New Roman" w:hAnsi="Times New Roman"/>
                <w:snapToGrid/>
                <w:color w:val="000000"/>
                <w:sz w:val="20"/>
              </w:rPr>
              <w:t xml:space="preserve">   (</w:t>
            </w:r>
            <w:r w:rsidRPr="004F6DAA">
              <w:rPr>
                <w:rFonts w:ascii="Times New Roman" w:hAnsi="Times New Roman"/>
                <w:snapToGrid/>
                <w:color w:val="000000"/>
                <w:sz w:val="20"/>
              </w:rPr>
              <w:t>$42.51)</w:t>
            </w:r>
          </w:p>
        </w:tc>
        <w:tc>
          <w:tcPr>
            <w:tcW w:w="1452" w:type="dxa"/>
            <w:vMerge/>
            <w:tcBorders>
              <w:top w:val="nil"/>
              <w:left w:val="single" w:sz="8" w:space="0" w:color="auto"/>
              <w:bottom w:val="single" w:sz="8" w:space="0" w:color="auto"/>
              <w:right w:val="single" w:sz="8" w:space="0" w:color="auto"/>
            </w:tcBorders>
            <w:vAlign w:val="center"/>
            <w:hideMark/>
          </w:tcPr>
          <w:p w:rsidR="004F6DAA" w:rsidRPr="004F6DAA" w:rsidP="004F6DAA" w14:paraId="5799C829" w14:textId="77777777">
            <w:pPr>
              <w:widowControl/>
              <w:rPr>
                <w:rFonts w:ascii="Times New Roman" w:hAnsi="Times New Roman"/>
                <w:snapToGrid/>
                <w:color w:val="000000"/>
                <w:sz w:val="20"/>
              </w:rPr>
            </w:pPr>
          </w:p>
        </w:tc>
        <w:tc>
          <w:tcPr>
            <w:tcW w:w="223" w:type="dxa"/>
            <w:vAlign w:val="center"/>
            <w:hideMark/>
          </w:tcPr>
          <w:p w:rsidR="004F6DAA" w:rsidRPr="004F6DAA" w:rsidP="004F6DAA" w14:paraId="41A0A8D5" w14:textId="77777777">
            <w:pPr>
              <w:widowControl/>
              <w:rPr>
                <w:rFonts w:ascii="Times New Roman" w:hAnsi="Times New Roman"/>
                <w:snapToGrid/>
                <w:sz w:val="20"/>
              </w:rPr>
            </w:pPr>
          </w:p>
        </w:tc>
      </w:tr>
      <w:tr w14:paraId="36AF6D26" w14:textId="77777777" w:rsidTr="00C92D65">
        <w:tblPrEx>
          <w:tblW w:w="10902" w:type="dxa"/>
          <w:tblInd w:w="-640" w:type="dxa"/>
          <w:tblCellMar>
            <w:top w:w="15" w:type="dxa"/>
          </w:tblCellMar>
          <w:tblLook w:val="04A0"/>
        </w:tblPrEx>
        <w:trPr>
          <w:trHeight w:val="1071"/>
        </w:trPr>
        <w:tc>
          <w:tcPr>
            <w:tcW w:w="2666" w:type="dxa"/>
            <w:vMerge/>
            <w:tcBorders>
              <w:top w:val="nil"/>
              <w:left w:val="single" w:sz="8" w:space="0" w:color="auto"/>
              <w:bottom w:val="single" w:sz="8" w:space="0" w:color="auto"/>
              <w:right w:val="single" w:sz="8" w:space="0" w:color="auto"/>
            </w:tcBorders>
            <w:vAlign w:val="center"/>
            <w:hideMark/>
          </w:tcPr>
          <w:p w:rsidR="004F6DAA" w:rsidRPr="004F6DAA" w:rsidP="004F6DAA" w14:paraId="1A07D76D" w14:textId="77777777">
            <w:pPr>
              <w:widowControl/>
              <w:rPr>
                <w:rFonts w:ascii="Times New Roman" w:hAnsi="Times New Roman"/>
                <w:snapToGrid/>
                <w:color w:val="000000"/>
                <w:sz w:val="20"/>
              </w:rPr>
            </w:pPr>
          </w:p>
        </w:tc>
        <w:tc>
          <w:tcPr>
            <w:tcW w:w="825" w:type="dxa"/>
            <w:vMerge/>
            <w:tcBorders>
              <w:top w:val="nil"/>
              <w:left w:val="single" w:sz="8" w:space="0" w:color="auto"/>
              <w:bottom w:val="single" w:sz="8" w:space="0" w:color="auto"/>
              <w:right w:val="single" w:sz="8" w:space="0" w:color="auto"/>
            </w:tcBorders>
            <w:vAlign w:val="center"/>
            <w:hideMark/>
          </w:tcPr>
          <w:p w:rsidR="004F6DAA" w:rsidRPr="004F6DAA" w:rsidP="004F6DAA" w14:paraId="39E022F3" w14:textId="77777777">
            <w:pPr>
              <w:widowControl/>
              <w:rPr>
                <w:rFonts w:ascii="Times New Roman" w:hAnsi="Times New Roman"/>
                <w:snapToGrid/>
                <w:color w:val="000000"/>
                <w:sz w:val="20"/>
              </w:rPr>
            </w:pPr>
          </w:p>
        </w:tc>
        <w:tc>
          <w:tcPr>
            <w:tcW w:w="989" w:type="dxa"/>
            <w:vMerge/>
            <w:tcBorders>
              <w:top w:val="nil"/>
              <w:left w:val="single" w:sz="8" w:space="0" w:color="auto"/>
              <w:bottom w:val="single" w:sz="8" w:space="0" w:color="auto"/>
              <w:right w:val="single" w:sz="8" w:space="0" w:color="auto"/>
            </w:tcBorders>
            <w:vAlign w:val="center"/>
            <w:hideMark/>
          </w:tcPr>
          <w:p w:rsidR="004F6DAA" w:rsidRPr="004F6DAA" w:rsidP="004F6DAA" w14:paraId="66A9A083" w14:textId="77777777">
            <w:pPr>
              <w:widowControl/>
              <w:rPr>
                <w:rFonts w:ascii="Times New Roman" w:hAnsi="Times New Roman"/>
                <w:snapToGrid/>
                <w:color w:val="000000"/>
                <w:sz w:val="20"/>
              </w:rPr>
            </w:pPr>
          </w:p>
        </w:tc>
        <w:tc>
          <w:tcPr>
            <w:tcW w:w="989" w:type="dxa"/>
            <w:vMerge/>
            <w:tcBorders>
              <w:top w:val="nil"/>
              <w:left w:val="single" w:sz="8" w:space="0" w:color="auto"/>
              <w:bottom w:val="single" w:sz="8" w:space="0" w:color="auto"/>
              <w:right w:val="single" w:sz="8" w:space="0" w:color="auto"/>
            </w:tcBorders>
            <w:vAlign w:val="center"/>
            <w:hideMark/>
          </w:tcPr>
          <w:p w:rsidR="004F6DAA" w:rsidRPr="004F6DAA" w:rsidP="004F6DAA" w14:paraId="147FB26F" w14:textId="77777777">
            <w:pPr>
              <w:widowControl/>
              <w:rPr>
                <w:rFonts w:ascii="Times New Roman" w:hAnsi="Times New Roman"/>
                <w:snapToGrid/>
                <w:color w:val="000000"/>
                <w:sz w:val="20"/>
              </w:rPr>
            </w:pPr>
          </w:p>
        </w:tc>
        <w:tc>
          <w:tcPr>
            <w:tcW w:w="888" w:type="dxa"/>
            <w:vMerge/>
            <w:tcBorders>
              <w:top w:val="nil"/>
              <w:left w:val="single" w:sz="8" w:space="0" w:color="auto"/>
              <w:bottom w:val="single" w:sz="8" w:space="0" w:color="auto"/>
              <w:right w:val="single" w:sz="8" w:space="0" w:color="auto"/>
            </w:tcBorders>
            <w:vAlign w:val="center"/>
            <w:hideMark/>
          </w:tcPr>
          <w:p w:rsidR="004F6DAA" w:rsidRPr="004F6DAA" w:rsidP="004F6DAA" w14:paraId="01ED14EF" w14:textId="77777777">
            <w:pPr>
              <w:widowControl/>
              <w:rPr>
                <w:rFonts w:ascii="Times New Roman" w:hAnsi="Times New Roman"/>
                <w:snapToGrid/>
                <w:color w:val="000000"/>
                <w:sz w:val="20"/>
              </w:rPr>
            </w:pPr>
          </w:p>
        </w:tc>
        <w:tc>
          <w:tcPr>
            <w:tcW w:w="989" w:type="dxa"/>
            <w:vMerge/>
            <w:tcBorders>
              <w:top w:val="nil"/>
              <w:left w:val="single" w:sz="8" w:space="0" w:color="auto"/>
              <w:bottom w:val="single" w:sz="8" w:space="0" w:color="auto"/>
              <w:right w:val="single" w:sz="8" w:space="0" w:color="auto"/>
            </w:tcBorders>
            <w:vAlign w:val="center"/>
            <w:hideMark/>
          </w:tcPr>
          <w:p w:rsidR="004F6DAA" w:rsidRPr="004F6DAA" w:rsidP="004F6DAA" w14:paraId="7F48C8AC" w14:textId="77777777">
            <w:pPr>
              <w:widowControl/>
              <w:rPr>
                <w:rFonts w:ascii="Times New Roman" w:hAnsi="Times New Roman"/>
                <w:snapToGrid/>
                <w:color w:val="000000"/>
                <w:sz w:val="20"/>
              </w:rPr>
            </w:pPr>
          </w:p>
        </w:tc>
        <w:tc>
          <w:tcPr>
            <w:tcW w:w="989" w:type="dxa"/>
            <w:vMerge/>
            <w:tcBorders>
              <w:top w:val="nil"/>
              <w:left w:val="single" w:sz="8" w:space="0" w:color="auto"/>
              <w:bottom w:val="single" w:sz="8" w:space="0" w:color="auto"/>
              <w:right w:val="single" w:sz="8" w:space="0" w:color="auto"/>
            </w:tcBorders>
            <w:vAlign w:val="center"/>
            <w:hideMark/>
          </w:tcPr>
          <w:p w:rsidR="004F6DAA" w:rsidRPr="004F6DAA" w:rsidP="004F6DAA" w14:paraId="26476301" w14:textId="77777777">
            <w:pPr>
              <w:widowControl/>
              <w:rPr>
                <w:rFonts w:ascii="Times New Roman" w:hAnsi="Times New Roman"/>
                <w:snapToGrid/>
                <w:color w:val="000000"/>
                <w:sz w:val="20"/>
              </w:rPr>
            </w:pPr>
          </w:p>
        </w:tc>
        <w:tc>
          <w:tcPr>
            <w:tcW w:w="892" w:type="dxa"/>
            <w:vMerge/>
            <w:tcBorders>
              <w:top w:val="nil"/>
              <w:left w:val="single" w:sz="8" w:space="0" w:color="auto"/>
              <w:bottom w:val="single" w:sz="8" w:space="0" w:color="auto"/>
              <w:right w:val="single" w:sz="8" w:space="0" w:color="auto"/>
            </w:tcBorders>
            <w:vAlign w:val="center"/>
            <w:hideMark/>
          </w:tcPr>
          <w:p w:rsidR="004F6DAA" w:rsidRPr="004F6DAA" w:rsidP="004F6DAA" w14:paraId="1BADD2CA" w14:textId="77777777">
            <w:pPr>
              <w:widowControl/>
              <w:rPr>
                <w:rFonts w:ascii="Times New Roman" w:hAnsi="Times New Roman"/>
                <w:snapToGrid/>
                <w:color w:val="000000"/>
                <w:sz w:val="20"/>
              </w:rPr>
            </w:pPr>
          </w:p>
        </w:tc>
        <w:tc>
          <w:tcPr>
            <w:tcW w:w="1452" w:type="dxa"/>
            <w:vMerge/>
            <w:tcBorders>
              <w:top w:val="nil"/>
              <w:left w:val="single" w:sz="8" w:space="0" w:color="auto"/>
              <w:bottom w:val="single" w:sz="8" w:space="0" w:color="auto"/>
              <w:right w:val="single" w:sz="8" w:space="0" w:color="auto"/>
            </w:tcBorders>
            <w:vAlign w:val="center"/>
            <w:hideMark/>
          </w:tcPr>
          <w:p w:rsidR="004F6DAA" w:rsidRPr="004F6DAA" w:rsidP="004F6DAA" w14:paraId="767C5669" w14:textId="77777777">
            <w:pPr>
              <w:widowControl/>
              <w:rPr>
                <w:rFonts w:ascii="Times New Roman" w:hAnsi="Times New Roman"/>
                <w:snapToGrid/>
                <w:color w:val="000000"/>
                <w:sz w:val="20"/>
              </w:rPr>
            </w:pPr>
          </w:p>
        </w:tc>
        <w:tc>
          <w:tcPr>
            <w:tcW w:w="223" w:type="dxa"/>
            <w:tcBorders>
              <w:top w:val="nil"/>
              <w:left w:val="nil"/>
              <w:bottom w:val="nil"/>
              <w:right w:val="nil"/>
            </w:tcBorders>
            <w:noWrap/>
            <w:vAlign w:val="bottom"/>
            <w:hideMark/>
          </w:tcPr>
          <w:p w:rsidR="004F6DAA" w:rsidRPr="004F6DAA" w:rsidP="004F6DAA" w14:paraId="1B0C01D8" w14:textId="77777777">
            <w:pPr>
              <w:widowControl/>
              <w:jc w:val="center"/>
              <w:rPr>
                <w:rFonts w:ascii="Times New Roman" w:hAnsi="Times New Roman"/>
                <w:snapToGrid/>
                <w:color w:val="000000"/>
                <w:sz w:val="20"/>
              </w:rPr>
            </w:pPr>
          </w:p>
        </w:tc>
      </w:tr>
      <w:tr w14:paraId="1A94BF0E" w14:textId="77777777" w:rsidTr="00C92D65">
        <w:tblPrEx>
          <w:tblW w:w="10902" w:type="dxa"/>
          <w:tblInd w:w="-640" w:type="dxa"/>
          <w:tblCellMar>
            <w:top w:w="15" w:type="dxa"/>
          </w:tblCellMar>
          <w:tblLook w:val="04A0"/>
        </w:tblPrEx>
        <w:trPr>
          <w:trHeight w:val="775"/>
        </w:trPr>
        <w:tc>
          <w:tcPr>
            <w:tcW w:w="2666" w:type="dxa"/>
            <w:tcBorders>
              <w:top w:val="nil"/>
              <w:left w:val="single" w:sz="8" w:space="0" w:color="auto"/>
              <w:bottom w:val="single" w:sz="8" w:space="0" w:color="auto"/>
              <w:right w:val="single" w:sz="8" w:space="0" w:color="auto"/>
            </w:tcBorders>
            <w:vAlign w:val="center"/>
            <w:hideMark/>
          </w:tcPr>
          <w:p w:rsidR="004F6DAA" w:rsidRPr="004F6DAA" w:rsidP="004F6DAA" w14:paraId="02FB0EB2" w14:textId="77777777">
            <w:pPr>
              <w:widowControl/>
              <w:rPr>
                <w:rFonts w:ascii="Times New Roman" w:hAnsi="Times New Roman"/>
                <w:snapToGrid/>
                <w:color w:val="000000"/>
                <w:sz w:val="20"/>
              </w:rPr>
            </w:pPr>
            <w:r w:rsidRPr="004F6DAA">
              <w:rPr>
                <w:rFonts w:ascii="Times New Roman" w:hAnsi="Times New Roman"/>
                <w:snapToGrid/>
                <w:color w:val="000000"/>
                <w:sz w:val="20"/>
              </w:rPr>
              <w:t>1. Section D – Investor Reports on Affiliates (RTOB)</w:t>
            </w:r>
          </w:p>
        </w:tc>
        <w:tc>
          <w:tcPr>
            <w:tcW w:w="825" w:type="dxa"/>
            <w:tcBorders>
              <w:top w:val="nil"/>
              <w:left w:val="nil"/>
              <w:bottom w:val="single" w:sz="8" w:space="0" w:color="auto"/>
              <w:right w:val="single" w:sz="8" w:space="0" w:color="auto"/>
            </w:tcBorders>
            <w:vAlign w:val="center"/>
            <w:hideMark/>
          </w:tcPr>
          <w:p w:rsidR="004F6DAA" w:rsidRPr="004F6DAA" w:rsidP="004F6DAA" w14:paraId="746F6581"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72.00</w:t>
            </w:r>
          </w:p>
        </w:tc>
        <w:tc>
          <w:tcPr>
            <w:tcW w:w="989" w:type="dxa"/>
            <w:tcBorders>
              <w:top w:val="nil"/>
              <w:left w:val="nil"/>
              <w:bottom w:val="single" w:sz="8" w:space="0" w:color="auto"/>
              <w:right w:val="single" w:sz="8" w:space="0" w:color="auto"/>
            </w:tcBorders>
            <w:vAlign w:val="center"/>
            <w:hideMark/>
          </w:tcPr>
          <w:p w:rsidR="004F6DAA" w:rsidRPr="004F6DAA" w:rsidP="004F6DAA" w14:paraId="7095F176"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5</w:t>
            </w:r>
          </w:p>
        </w:tc>
        <w:tc>
          <w:tcPr>
            <w:tcW w:w="989" w:type="dxa"/>
            <w:tcBorders>
              <w:top w:val="nil"/>
              <w:left w:val="nil"/>
              <w:bottom w:val="single" w:sz="8" w:space="0" w:color="auto"/>
              <w:right w:val="single" w:sz="8" w:space="0" w:color="auto"/>
            </w:tcBorders>
            <w:vAlign w:val="center"/>
            <w:hideMark/>
          </w:tcPr>
          <w:p w:rsidR="004F6DAA" w:rsidRPr="004F6DAA" w:rsidP="004F6DAA" w14:paraId="435D267E"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10</w:t>
            </w:r>
          </w:p>
        </w:tc>
        <w:tc>
          <w:tcPr>
            <w:tcW w:w="888" w:type="dxa"/>
            <w:tcBorders>
              <w:top w:val="nil"/>
              <w:left w:val="nil"/>
              <w:bottom w:val="single" w:sz="8" w:space="0" w:color="auto"/>
              <w:right w:val="single" w:sz="8" w:space="0" w:color="auto"/>
            </w:tcBorders>
            <w:vAlign w:val="center"/>
            <w:hideMark/>
          </w:tcPr>
          <w:p w:rsidR="004F6DAA" w:rsidRPr="004F6DAA" w:rsidP="004F6DAA" w14:paraId="679A7588"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80</w:t>
            </w:r>
          </w:p>
        </w:tc>
        <w:tc>
          <w:tcPr>
            <w:tcW w:w="989" w:type="dxa"/>
            <w:tcBorders>
              <w:top w:val="nil"/>
              <w:left w:val="nil"/>
              <w:bottom w:val="single" w:sz="8" w:space="0" w:color="auto"/>
              <w:right w:val="single" w:sz="8" w:space="0" w:color="auto"/>
            </w:tcBorders>
            <w:vAlign w:val="center"/>
            <w:hideMark/>
          </w:tcPr>
          <w:p w:rsidR="004F6DAA" w:rsidRPr="004F6DAA" w:rsidP="004F6DAA" w14:paraId="2B9BC05E"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0</w:t>
            </w:r>
          </w:p>
        </w:tc>
        <w:tc>
          <w:tcPr>
            <w:tcW w:w="989" w:type="dxa"/>
            <w:tcBorders>
              <w:top w:val="nil"/>
              <w:left w:val="nil"/>
              <w:bottom w:val="single" w:sz="8" w:space="0" w:color="auto"/>
              <w:right w:val="single" w:sz="8" w:space="0" w:color="auto"/>
            </w:tcBorders>
            <w:vAlign w:val="center"/>
            <w:hideMark/>
          </w:tcPr>
          <w:p w:rsidR="004F6DAA" w:rsidRPr="004F6DAA" w:rsidP="004F6DAA" w14:paraId="112FA773"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0</w:t>
            </w:r>
          </w:p>
        </w:tc>
        <w:tc>
          <w:tcPr>
            <w:tcW w:w="892" w:type="dxa"/>
            <w:tcBorders>
              <w:top w:val="nil"/>
              <w:left w:val="nil"/>
              <w:bottom w:val="single" w:sz="8" w:space="0" w:color="auto"/>
              <w:right w:val="single" w:sz="8" w:space="0" w:color="auto"/>
            </w:tcBorders>
            <w:vAlign w:val="center"/>
            <w:hideMark/>
          </w:tcPr>
          <w:p w:rsidR="004F6DAA" w:rsidRPr="004F6DAA" w:rsidP="004F6DAA" w14:paraId="6C379D53"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5</w:t>
            </w:r>
          </w:p>
        </w:tc>
        <w:tc>
          <w:tcPr>
            <w:tcW w:w="1452" w:type="dxa"/>
            <w:tcBorders>
              <w:top w:val="nil"/>
              <w:left w:val="nil"/>
              <w:bottom w:val="single" w:sz="8" w:space="0" w:color="auto"/>
              <w:right w:val="single" w:sz="8" w:space="0" w:color="auto"/>
            </w:tcBorders>
            <w:vAlign w:val="center"/>
            <w:hideMark/>
          </w:tcPr>
          <w:p w:rsidR="004F6DAA" w:rsidRPr="004F6DAA" w:rsidP="004F6DAA" w14:paraId="2C9B5BFC" w14:textId="77777777">
            <w:pPr>
              <w:widowControl/>
              <w:ind w:firstLine="200" w:firstLineChars="100"/>
              <w:jc w:val="right"/>
              <w:rPr>
                <w:rFonts w:ascii="Times New Roman" w:hAnsi="Times New Roman"/>
                <w:snapToGrid/>
                <w:color w:val="000000"/>
                <w:sz w:val="20"/>
              </w:rPr>
            </w:pPr>
            <w:r w:rsidRPr="004F6DAA">
              <w:rPr>
                <w:rFonts w:ascii="Times New Roman" w:hAnsi="Times New Roman"/>
                <w:snapToGrid/>
                <w:color w:val="000000"/>
                <w:sz w:val="20"/>
              </w:rPr>
              <w:t xml:space="preserve">$92.56 </w:t>
            </w:r>
          </w:p>
        </w:tc>
        <w:tc>
          <w:tcPr>
            <w:tcW w:w="223" w:type="dxa"/>
            <w:vAlign w:val="center"/>
            <w:hideMark/>
          </w:tcPr>
          <w:p w:rsidR="004F6DAA" w:rsidRPr="004F6DAA" w:rsidP="004F6DAA" w14:paraId="5F249C80" w14:textId="77777777">
            <w:pPr>
              <w:widowControl/>
              <w:rPr>
                <w:rFonts w:ascii="Times New Roman" w:hAnsi="Times New Roman"/>
                <w:snapToGrid/>
                <w:sz w:val="20"/>
              </w:rPr>
            </w:pPr>
          </w:p>
        </w:tc>
      </w:tr>
      <w:tr w14:paraId="5FE7C8F2" w14:textId="77777777" w:rsidTr="00C92D65">
        <w:tblPrEx>
          <w:tblW w:w="10902" w:type="dxa"/>
          <w:tblInd w:w="-640" w:type="dxa"/>
          <w:tblCellMar>
            <w:top w:w="15" w:type="dxa"/>
          </w:tblCellMar>
          <w:tblLook w:val="04A0"/>
        </w:tblPrEx>
        <w:trPr>
          <w:trHeight w:val="775"/>
        </w:trPr>
        <w:tc>
          <w:tcPr>
            <w:tcW w:w="2666" w:type="dxa"/>
            <w:tcBorders>
              <w:top w:val="nil"/>
              <w:left w:val="single" w:sz="8" w:space="0" w:color="auto"/>
              <w:bottom w:val="single" w:sz="8" w:space="0" w:color="auto"/>
              <w:right w:val="single" w:sz="8" w:space="0" w:color="auto"/>
            </w:tcBorders>
            <w:vAlign w:val="center"/>
            <w:hideMark/>
          </w:tcPr>
          <w:p w:rsidR="004F6DAA" w:rsidRPr="004F6DAA" w:rsidP="004F6DAA" w14:paraId="57724CC8" w14:textId="77777777">
            <w:pPr>
              <w:widowControl/>
              <w:rPr>
                <w:rFonts w:ascii="Times New Roman" w:hAnsi="Times New Roman"/>
                <w:snapToGrid/>
                <w:color w:val="000000"/>
                <w:sz w:val="20"/>
              </w:rPr>
            </w:pPr>
            <w:r w:rsidRPr="004F6DAA">
              <w:rPr>
                <w:rFonts w:ascii="Times New Roman" w:hAnsi="Times New Roman"/>
                <w:snapToGrid/>
                <w:color w:val="000000"/>
                <w:sz w:val="20"/>
              </w:rPr>
              <w:t>2. Section E – Maintenance of Business Books and Records (RTOB)</w:t>
            </w:r>
          </w:p>
        </w:tc>
        <w:tc>
          <w:tcPr>
            <w:tcW w:w="825" w:type="dxa"/>
            <w:tcBorders>
              <w:top w:val="nil"/>
              <w:left w:val="nil"/>
              <w:bottom w:val="single" w:sz="8" w:space="0" w:color="auto"/>
              <w:right w:val="single" w:sz="8" w:space="0" w:color="auto"/>
            </w:tcBorders>
            <w:vAlign w:val="center"/>
            <w:hideMark/>
          </w:tcPr>
          <w:p w:rsidR="004F6DAA" w:rsidRPr="004F6DAA" w:rsidP="004F6DAA" w14:paraId="56F8868C"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24.00</w:t>
            </w:r>
          </w:p>
        </w:tc>
        <w:tc>
          <w:tcPr>
            <w:tcW w:w="989" w:type="dxa"/>
            <w:tcBorders>
              <w:top w:val="nil"/>
              <w:left w:val="nil"/>
              <w:bottom w:val="single" w:sz="8" w:space="0" w:color="auto"/>
              <w:right w:val="single" w:sz="8" w:space="0" w:color="auto"/>
            </w:tcBorders>
            <w:vAlign w:val="center"/>
            <w:hideMark/>
          </w:tcPr>
          <w:p w:rsidR="004F6DAA" w:rsidRPr="004F6DAA" w:rsidP="004F6DAA" w14:paraId="174E864C"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5</w:t>
            </w:r>
          </w:p>
        </w:tc>
        <w:tc>
          <w:tcPr>
            <w:tcW w:w="989" w:type="dxa"/>
            <w:tcBorders>
              <w:top w:val="nil"/>
              <w:left w:val="nil"/>
              <w:bottom w:val="single" w:sz="8" w:space="0" w:color="auto"/>
              <w:right w:val="single" w:sz="8" w:space="0" w:color="auto"/>
            </w:tcBorders>
            <w:vAlign w:val="center"/>
            <w:hideMark/>
          </w:tcPr>
          <w:p w:rsidR="004F6DAA" w:rsidRPr="004F6DAA" w:rsidP="004F6DAA" w14:paraId="3A82D87E"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10</w:t>
            </w:r>
          </w:p>
        </w:tc>
        <w:tc>
          <w:tcPr>
            <w:tcW w:w="888" w:type="dxa"/>
            <w:tcBorders>
              <w:top w:val="nil"/>
              <w:left w:val="nil"/>
              <w:bottom w:val="single" w:sz="8" w:space="0" w:color="auto"/>
              <w:right w:val="single" w:sz="8" w:space="0" w:color="auto"/>
            </w:tcBorders>
            <w:vAlign w:val="center"/>
            <w:hideMark/>
          </w:tcPr>
          <w:p w:rsidR="004F6DAA" w:rsidRPr="004F6DAA" w:rsidP="004F6DAA" w14:paraId="48B82D2B"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80</w:t>
            </w:r>
          </w:p>
        </w:tc>
        <w:tc>
          <w:tcPr>
            <w:tcW w:w="989" w:type="dxa"/>
            <w:tcBorders>
              <w:top w:val="nil"/>
              <w:left w:val="nil"/>
              <w:bottom w:val="single" w:sz="8" w:space="0" w:color="auto"/>
              <w:right w:val="single" w:sz="8" w:space="0" w:color="auto"/>
            </w:tcBorders>
            <w:vAlign w:val="center"/>
            <w:hideMark/>
          </w:tcPr>
          <w:p w:rsidR="004F6DAA" w:rsidRPr="004F6DAA" w:rsidP="004F6DAA" w14:paraId="5CA9AAD4"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0</w:t>
            </w:r>
          </w:p>
        </w:tc>
        <w:tc>
          <w:tcPr>
            <w:tcW w:w="989" w:type="dxa"/>
            <w:tcBorders>
              <w:top w:val="nil"/>
              <w:left w:val="nil"/>
              <w:bottom w:val="single" w:sz="8" w:space="0" w:color="auto"/>
              <w:right w:val="single" w:sz="8" w:space="0" w:color="auto"/>
            </w:tcBorders>
            <w:vAlign w:val="center"/>
            <w:hideMark/>
          </w:tcPr>
          <w:p w:rsidR="004F6DAA" w:rsidRPr="004F6DAA" w:rsidP="004F6DAA" w14:paraId="740B698B"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0</w:t>
            </w:r>
          </w:p>
        </w:tc>
        <w:tc>
          <w:tcPr>
            <w:tcW w:w="892" w:type="dxa"/>
            <w:tcBorders>
              <w:top w:val="nil"/>
              <w:left w:val="nil"/>
              <w:bottom w:val="single" w:sz="8" w:space="0" w:color="auto"/>
              <w:right w:val="single" w:sz="8" w:space="0" w:color="auto"/>
            </w:tcBorders>
            <w:vAlign w:val="center"/>
            <w:hideMark/>
          </w:tcPr>
          <w:p w:rsidR="004F6DAA" w:rsidRPr="004F6DAA" w:rsidP="004F6DAA" w14:paraId="74DCF43A"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5</w:t>
            </w:r>
          </w:p>
        </w:tc>
        <w:tc>
          <w:tcPr>
            <w:tcW w:w="1452" w:type="dxa"/>
            <w:tcBorders>
              <w:top w:val="nil"/>
              <w:left w:val="nil"/>
              <w:bottom w:val="single" w:sz="8" w:space="0" w:color="auto"/>
              <w:right w:val="single" w:sz="8" w:space="0" w:color="auto"/>
            </w:tcBorders>
            <w:vAlign w:val="center"/>
            <w:hideMark/>
          </w:tcPr>
          <w:p w:rsidR="004F6DAA" w:rsidRPr="004F6DAA" w:rsidP="004F6DAA" w14:paraId="5B92434A" w14:textId="77777777">
            <w:pPr>
              <w:widowControl/>
              <w:ind w:firstLine="200" w:firstLineChars="100"/>
              <w:jc w:val="right"/>
              <w:rPr>
                <w:rFonts w:ascii="Times New Roman" w:hAnsi="Times New Roman"/>
                <w:snapToGrid/>
                <w:color w:val="000000"/>
                <w:sz w:val="20"/>
              </w:rPr>
            </w:pPr>
            <w:r w:rsidRPr="004F6DAA">
              <w:rPr>
                <w:rFonts w:ascii="Times New Roman" w:hAnsi="Times New Roman"/>
                <w:snapToGrid/>
                <w:color w:val="000000"/>
                <w:sz w:val="20"/>
              </w:rPr>
              <w:t xml:space="preserve">$92.56 </w:t>
            </w:r>
          </w:p>
        </w:tc>
        <w:tc>
          <w:tcPr>
            <w:tcW w:w="223" w:type="dxa"/>
            <w:vAlign w:val="center"/>
            <w:hideMark/>
          </w:tcPr>
          <w:p w:rsidR="004F6DAA" w:rsidRPr="004F6DAA" w:rsidP="004F6DAA" w14:paraId="152C4F38" w14:textId="77777777">
            <w:pPr>
              <w:widowControl/>
              <w:rPr>
                <w:rFonts w:ascii="Times New Roman" w:hAnsi="Times New Roman"/>
                <w:snapToGrid/>
                <w:sz w:val="20"/>
              </w:rPr>
            </w:pPr>
          </w:p>
        </w:tc>
      </w:tr>
      <w:tr w14:paraId="4C344067" w14:textId="77777777" w:rsidTr="00C92D65">
        <w:tblPrEx>
          <w:tblW w:w="10902" w:type="dxa"/>
          <w:tblInd w:w="-640" w:type="dxa"/>
          <w:tblCellMar>
            <w:top w:w="15" w:type="dxa"/>
          </w:tblCellMar>
          <w:tblLook w:val="04A0"/>
        </w:tblPrEx>
        <w:trPr>
          <w:trHeight w:val="902"/>
        </w:trPr>
        <w:tc>
          <w:tcPr>
            <w:tcW w:w="2666" w:type="dxa"/>
            <w:tcBorders>
              <w:top w:val="nil"/>
              <w:left w:val="single" w:sz="8" w:space="0" w:color="auto"/>
              <w:bottom w:val="single" w:sz="8" w:space="0" w:color="auto"/>
              <w:right w:val="single" w:sz="8" w:space="0" w:color="auto"/>
            </w:tcBorders>
            <w:vAlign w:val="center"/>
            <w:hideMark/>
          </w:tcPr>
          <w:p w:rsidR="004F6DAA" w:rsidRPr="004F6DAA" w:rsidP="004F6DAA" w14:paraId="5A14CF31" w14:textId="77777777">
            <w:pPr>
              <w:widowControl/>
              <w:rPr>
                <w:rFonts w:ascii="Times New Roman" w:hAnsi="Times New Roman"/>
                <w:snapToGrid/>
                <w:color w:val="000000"/>
                <w:sz w:val="20"/>
              </w:rPr>
            </w:pPr>
            <w:r w:rsidRPr="004F6DAA">
              <w:rPr>
                <w:rFonts w:ascii="Times New Roman" w:hAnsi="Times New Roman"/>
                <w:snapToGrid/>
                <w:color w:val="000000"/>
                <w:sz w:val="20"/>
              </w:rPr>
              <w:t>3. Section I – Disclosures Regarding Investors and Entities in Ownership Chain (RTOB)</w:t>
            </w:r>
          </w:p>
        </w:tc>
        <w:tc>
          <w:tcPr>
            <w:tcW w:w="825" w:type="dxa"/>
            <w:tcBorders>
              <w:top w:val="nil"/>
              <w:left w:val="nil"/>
              <w:bottom w:val="single" w:sz="8" w:space="0" w:color="auto"/>
              <w:right w:val="single" w:sz="8" w:space="0" w:color="auto"/>
            </w:tcBorders>
            <w:vAlign w:val="center"/>
            <w:hideMark/>
          </w:tcPr>
          <w:p w:rsidR="004F6DAA" w:rsidRPr="004F6DAA" w:rsidP="004F6DAA" w14:paraId="6B5D7E7D"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4.00</w:t>
            </w:r>
          </w:p>
        </w:tc>
        <w:tc>
          <w:tcPr>
            <w:tcW w:w="989" w:type="dxa"/>
            <w:tcBorders>
              <w:top w:val="nil"/>
              <w:left w:val="nil"/>
              <w:bottom w:val="single" w:sz="8" w:space="0" w:color="auto"/>
              <w:right w:val="single" w:sz="8" w:space="0" w:color="auto"/>
            </w:tcBorders>
            <w:vAlign w:val="center"/>
            <w:hideMark/>
          </w:tcPr>
          <w:p w:rsidR="004F6DAA" w:rsidRPr="004F6DAA" w:rsidP="004F6DAA" w14:paraId="7CCA6CA1"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5</w:t>
            </w:r>
          </w:p>
        </w:tc>
        <w:tc>
          <w:tcPr>
            <w:tcW w:w="989" w:type="dxa"/>
            <w:tcBorders>
              <w:top w:val="nil"/>
              <w:left w:val="nil"/>
              <w:bottom w:val="single" w:sz="8" w:space="0" w:color="auto"/>
              <w:right w:val="single" w:sz="8" w:space="0" w:color="auto"/>
            </w:tcBorders>
            <w:vAlign w:val="center"/>
            <w:hideMark/>
          </w:tcPr>
          <w:p w:rsidR="004F6DAA" w:rsidRPr="004F6DAA" w:rsidP="004F6DAA" w14:paraId="7CB659FD"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10</w:t>
            </w:r>
          </w:p>
        </w:tc>
        <w:tc>
          <w:tcPr>
            <w:tcW w:w="888" w:type="dxa"/>
            <w:tcBorders>
              <w:top w:val="nil"/>
              <w:left w:val="nil"/>
              <w:bottom w:val="single" w:sz="8" w:space="0" w:color="auto"/>
              <w:right w:val="single" w:sz="8" w:space="0" w:color="auto"/>
            </w:tcBorders>
            <w:vAlign w:val="center"/>
            <w:hideMark/>
          </w:tcPr>
          <w:p w:rsidR="004F6DAA" w:rsidRPr="004F6DAA" w:rsidP="004F6DAA" w14:paraId="7AA748B3"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80</w:t>
            </w:r>
          </w:p>
        </w:tc>
        <w:tc>
          <w:tcPr>
            <w:tcW w:w="989" w:type="dxa"/>
            <w:tcBorders>
              <w:top w:val="nil"/>
              <w:left w:val="nil"/>
              <w:bottom w:val="single" w:sz="8" w:space="0" w:color="auto"/>
              <w:right w:val="single" w:sz="8" w:space="0" w:color="auto"/>
            </w:tcBorders>
            <w:vAlign w:val="center"/>
            <w:hideMark/>
          </w:tcPr>
          <w:p w:rsidR="004F6DAA" w:rsidRPr="004F6DAA" w:rsidP="004F6DAA" w14:paraId="7E9CFCBA"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0</w:t>
            </w:r>
          </w:p>
        </w:tc>
        <w:tc>
          <w:tcPr>
            <w:tcW w:w="989" w:type="dxa"/>
            <w:tcBorders>
              <w:top w:val="nil"/>
              <w:left w:val="nil"/>
              <w:bottom w:val="single" w:sz="8" w:space="0" w:color="auto"/>
              <w:right w:val="single" w:sz="8" w:space="0" w:color="auto"/>
            </w:tcBorders>
            <w:vAlign w:val="center"/>
            <w:hideMark/>
          </w:tcPr>
          <w:p w:rsidR="004F6DAA" w:rsidRPr="004F6DAA" w:rsidP="004F6DAA" w14:paraId="67985597"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0</w:t>
            </w:r>
          </w:p>
        </w:tc>
        <w:tc>
          <w:tcPr>
            <w:tcW w:w="892" w:type="dxa"/>
            <w:tcBorders>
              <w:top w:val="nil"/>
              <w:left w:val="nil"/>
              <w:bottom w:val="single" w:sz="8" w:space="0" w:color="auto"/>
              <w:right w:val="single" w:sz="8" w:space="0" w:color="auto"/>
            </w:tcBorders>
            <w:vAlign w:val="center"/>
            <w:hideMark/>
          </w:tcPr>
          <w:p w:rsidR="004F6DAA" w:rsidRPr="004F6DAA" w:rsidP="004F6DAA" w14:paraId="5A1882F5" w14:textId="77777777">
            <w:pPr>
              <w:widowControl/>
              <w:jc w:val="center"/>
              <w:rPr>
                <w:rFonts w:ascii="Times New Roman" w:hAnsi="Times New Roman"/>
                <w:snapToGrid/>
                <w:color w:val="000000"/>
                <w:sz w:val="20"/>
              </w:rPr>
            </w:pPr>
            <w:r w:rsidRPr="004F6DAA">
              <w:rPr>
                <w:rFonts w:ascii="Times New Roman" w:hAnsi="Times New Roman"/>
                <w:snapToGrid/>
                <w:color w:val="000000"/>
                <w:sz w:val="20"/>
              </w:rPr>
              <w:t>5</w:t>
            </w:r>
          </w:p>
        </w:tc>
        <w:tc>
          <w:tcPr>
            <w:tcW w:w="1452" w:type="dxa"/>
            <w:tcBorders>
              <w:top w:val="nil"/>
              <w:left w:val="nil"/>
              <w:bottom w:val="single" w:sz="8" w:space="0" w:color="auto"/>
              <w:right w:val="single" w:sz="8" w:space="0" w:color="auto"/>
            </w:tcBorders>
            <w:vAlign w:val="center"/>
            <w:hideMark/>
          </w:tcPr>
          <w:p w:rsidR="004F6DAA" w:rsidRPr="004F6DAA" w:rsidP="004F6DAA" w14:paraId="7964C991" w14:textId="77777777">
            <w:pPr>
              <w:widowControl/>
              <w:ind w:firstLine="200" w:firstLineChars="100"/>
              <w:jc w:val="right"/>
              <w:rPr>
                <w:rFonts w:ascii="Times New Roman" w:hAnsi="Times New Roman"/>
                <w:snapToGrid/>
                <w:color w:val="000000"/>
                <w:sz w:val="20"/>
              </w:rPr>
            </w:pPr>
            <w:r w:rsidRPr="004F6DAA">
              <w:rPr>
                <w:rFonts w:ascii="Times New Roman" w:hAnsi="Times New Roman"/>
                <w:snapToGrid/>
                <w:color w:val="000000"/>
                <w:sz w:val="20"/>
              </w:rPr>
              <w:t xml:space="preserve">$92.56 </w:t>
            </w:r>
          </w:p>
        </w:tc>
        <w:tc>
          <w:tcPr>
            <w:tcW w:w="223" w:type="dxa"/>
            <w:vAlign w:val="center"/>
            <w:hideMark/>
          </w:tcPr>
          <w:p w:rsidR="004F6DAA" w:rsidRPr="004F6DAA" w:rsidP="004F6DAA" w14:paraId="2A95B457" w14:textId="77777777">
            <w:pPr>
              <w:widowControl/>
              <w:rPr>
                <w:rFonts w:ascii="Times New Roman" w:hAnsi="Times New Roman"/>
                <w:snapToGrid/>
                <w:sz w:val="20"/>
              </w:rPr>
            </w:pPr>
          </w:p>
        </w:tc>
      </w:tr>
      <w:tr w14:paraId="47F26C15" w14:textId="77777777" w:rsidTr="00C92D65">
        <w:tblPrEx>
          <w:tblW w:w="10902" w:type="dxa"/>
          <w:tblInd w:w="-640" w:type="dxa"/>
          <w:tblCellMar>
            <w:top w:w="15" w:type="dxa"/>
          </w:tblCellMar>
          <w:tblLook w:val="04A0"/>
        </w:tblPrEx>
        <w:trPr>
          <w:trHeight w:val="281"/>
        </w:trPr>
        <w:tc>
          <w:tcPr>
            <w:tcW w:w="9227" w:type="dxa"/>
            <w:gridSpan w:val="8"/>
            <w:tcBorders>
              <w:top w:val="single" w:sz="8" w:space="0" w:color="auto"/>
              <w:left w:val="single" w:sz="8" w:space="0" w:color="auto"/>
              <w:bottom w:val="single" w:sz="8" w:space="0" w:color="auto"/>
              <w:right w:val="single" w:sz="8" w:space="0" w:color="auto"/>
            </w:tcBorders>
            <w:vAlign w:val="center"/>
            <w:hideMark/>
          </w:tcPr>
          <w:p w:rsidR="004F6DAA" w:rsidRPr="004F6DAA" w:rsidP="004F6DAA" w14:paraId="0B977E3F" w14:textId="77777777">
            <w:pPr>
              <w:widowControl/>
              <w:jc w:val="right"/>
              <w:rPr>
                <w:rFonts w:ascii="Times New Roman" w:hAnsi="Times New Roman"/>
                <w:b/>
                <w:bCs/>
                <w:i/>
                <w:iCs/>
                <w:snapToGrid/>
                <w:color w:val="000000"/>
                <w:sz w:val="22"/>
                <w:szCs w:val="22"/>
              </w:rPr>
            </w:pPr>
            <w:r w:rsidRPr="004F6DAA">
              <w:rPr>
                <w:rFonts w:ascii="Times New Roman" w:hAnsi="Times New Roman"/>
                <w:b/>
                <w:bCs/>
                <w:i/>
                <w:iCs/>
                <w:snapToGrid/>
                <w:color w:val="000000"/>
                <w:sz w:val="22"/>
                <w:szCs w:val="22"/>
              </w:rPr>
              <w:t>Weighted Average Hourly Compensation Rate:</w:t>
            </w:r>
          </w:p>
        </w:tc>
        <w:tc>
          <w:tcPr>
            <w:tcW w:w="1452" w:type="dxa"/>
            <w:tcBorders>
              <w:top w:val="nil"/>
              <w:left w:val="nil"/>
              <w:bottom w:val="single" w:sz="8" w:space="0" w:color="auto"/>
              <w:right w:val="single" w:sz="8" w:space="0" w:color="auto"/>
            </w:tcBorders>
            <w:vAlign w:val="center"/>
            <w:hideMark/>
          </w:tcPr>
          <w:p w:rsidR="004F6DAA" w:rsidRPr="004F6DAA" w:rsidP="004F6DAA" w14:paraId="4DD2EDA9" w14:textId="77777777">
            <w:pPr>
              <w:widowControl/>
              <w:ind w:firstLine="220" w:firstLineChars="100"/>
              <w:jc w:val="right"/>
              <w:rPr>
                <w:rFonts w:ascii="Times New Roman" w:hAnsi="Times New Roman"/>
                <w:b/>
                <w:bCs/>
                <w:i/>
                <w:iCs/>
                <w:snapToGrid/>
                <w:color w:val="000000"/>
                <w:sz w:val="22"/>
                <w:szCs w:val="22"/>
              </w:rPr>
            </w:pPr>
            <w:r w:rsidRPr="004F6DAA">
              <w:rPr>
                <w:rFonts w:ascii="Times New Roman" w:hAnsi="Times New Roman"/>
                <w:b/>
                <w:bCs/>
                <w:i/>
                <w:iCs/>
                <w:snapToGrid/>
                <w:color w:val="000000"/>
                <w:sz w:val="22"/>
                <w:szCs w:val="22"/>
              </w:rPr>
              <w:t xml:space="preserve">$92.56 </w:t>
            </w:r>
          </w:p>
        </w:tc>
        <w:tc>
          <w:tcPr>
            <w:tcW w:w="223" w:type="dxa"/>
            <w:vAlign w:val="center"/>
            <w:hideMark/>
          </w:tcPr>
          <w:p w:rsidR="004F6DAA" w:rsidRPr="004F6DAA" w:rsidP="004F6DAA" w14:paraId="2FF43DC5" w14:textId="77777777">
            <w:pPr>
              <w:widowControl/>
              <w:rPr>
                <w:rFonts w:ascii="Times New Roman" w:hAnsi="Times New Roman"/>
                <w:snapToGrid/>
                <w:sz w:val="20"/>
              </w:rPr>
            </w:pPr>
          </w:p>
        </w:tc>
      </w:tr>
      <w:tr w14:paraId="29B98220" w14:textId="77777777" w:rsidTr="00C92D65">
        <w:tblPrEx>
          <w:tblW w:w="10902" w:type="dxa"/>
          <w:tblInd w:w="-640" w:type="dxa"/>
          <w:tblCellMar>
            <w:top w:w="15" w:type="dxa"/>
          </w:tblCellMar>
          <w:tblLook w:val="04A0"/>
        </w:tblPrEx>
        <w:trPr>
          <w:trHeight w:val="236"/>
        </w:trPr>
        <w:tc>
          <w:tcPr>
            <w:tcW w:w="10679" w:type="dxa"/>
            <w:gridSpan w:val="9"/>
            <w:vMerge w:val="restart"/>
            <w:tcBorders>
              <w:top w:val="single" w:sz="8" w:space="0" w:color="auto"/>
              <w:left w:val="single" w:sz="8" w:space="0" w:color="auto"/>
              <w:bottom w:val="single" w:sz="4" w:space="0" w:color="auto"/>
              <w:right w:val="single" w:sz="8" w:space="0" w:color="000000"/>
            </w:tcBorders>
            <w:vAlign w:val="center"/>
            <w:hideMark/>
          </w:tcPr>
          <w:p w:rsidR="004F6DAA" w:rsidRPr="002132B6" w:rsidP="004F6DAA" w14:paraId="3A294057" w14:textId="77777777">
            <w:pPr>
              <w:widowControl/>
              <w:rPr>
                <w:rFonts w:ascii="Times New Roman" w:hAnsi="Times New Roman"/>
                <w:snapToGrid/>
                <w:color w:val="000000"/>
                <w:sz w:val="18"/>
                <w:szCs w:val="18"/>
              </w:rPr>
            </w:pPr>
            <w:r w:rsidRPr="004F6DAA">
              <w:rPr>
                <w:rFonts w:ascii="Times New Roman" w:hAnsi="Times New Roman"/>
                <w:snapToGrid/>
                <w:color w:val="000000"/>
                <w:sz w:val="18"/>
                <w:szCs w:val="18"/>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March 2025). Standard Occupational Classification (SOC) Codes: Exec. And </w:t>
            </w:r>
            <w:r w:rsidRPr="004F6DAA">
              <w:rPr>
                <w:rFonts w:ascii="Times New Roman" w:hAnsi="Times New Roman"/>
                <w:snapToGrid/>
                <w:color w:val="000000"/>
                <w:sz w:val="18"/>
                <w:szCs w:val="18"/>
              </w:rPr>
              <w:t>Mgr</w:t>
            </w:r>
            <w:r w:rsidRPr="004F6DAA">
              <w:rPr>
                <w:rFonts w:ascii="Times New Roman" w:hAnsi="Times New Roman"/>
                <w:snapToGrid/>
                <w:color w:val="000000"/>
                <w:sz w:val="18"/>
                <w:szCs w:val="18"/>
              </w:rPr>
              <w:t xml:space="preserve"> = 11-0000 Management Occupations; Lawyer = 23-0000 Legal Occupations; </w:t>
            </w:r>
            <w:r w:rsidRPr="004F6DAA">
              <w:rPr>
                <w:rFonts w:ascii="Times New Roman" w:hAnsi="Times New Roman"/>
                <w:snapToGrid/>
                <w:color w:val="000000"/>
                <w:sz w:val="18"/>
                <w:szCs w:val="18"/>
              </w:rPr>
              <w:t>Compl</w:t>
            </w:r>
            <w:r w:rsidRPr="004F6DAA">
              <w:rPr>
                <w:rFonts w:ascii="Times New Roman" w:hAnsi="Times New Roman"/>
                <w:snapToGrid/>
                <w:color w:val="000000"/>
                <w:sz w:val="18"/>
                <w:szCs w:val="18"/>
              </w:rPr>
              <w:t xml:space="preserve">. Ofc. = 13-1040 Compliance Officers; IT = 15-0000 Computer and Mathematical Occupations; Fin. </w:t>
            </w:r>
            <w:r w:rsidRPr="004F6DAA">
              <w:rPr>
                <w:rFonts w:ascii="Times New Roman" w:hAnsi="Times New Roman"/>
                <w:snapToGrid/>
                <w:color w:val="000000"/>
                <w:sz w:val="18"/>
                <w:szCs w:val="18"/>
              </w:rPr>
              <w:t>Anlst</w:t>
            </w:r>
            <w:r w:rsidRPr="004F6DAA">
              <w:rPr>
                <w:rFonts w:ascii="Times New Roman" w:hAnsi="Times New Roman"/>
                <w:snapToGrid/>
                <w:color w:val="000000"/>
                <w:sz w:val="18"/>
                <w:szCs w:val="18"/>
              </w:rPr>
              <w:t xml:space="preserve">. = 13-2051 Financial and Investment Analysts; Clerical = 43-0000 Office and Administrative Support Occupations. </w:t>
            </w:r>
          </w:p>
          <w:p w:rsidR="00C92D65" w:rsidRPr="002132B6" w:rsidP="004F6DAA" w14:paraId="07D244ED" w14:textId="77777777">
            <w:pPr>
              <w:widowControl/>
              <w:rPr>
                <w:rFonts w:ascii="Times New Roman" w:hAnsi="Times New Roman"/>
                <w:snapToGrid/>
                <w:color w:val="000000"/>
                <w:sz w:val="18"/>
                <w:szCs w:val="18"/>
              </w:rPr>
            </w:pPr>
          </w:p>
          <w:p w:rsidR="00C92D65" w:rsidRPr="004F6DAA" w:rsidP="00C92D65" w14:paraId="2F8FF339" w14:textId="77777777">
            <w:pPr>
              <w:widowControl/>
              <w:rPr>
                <w:rFonts w:ascii="Times New Roman" w:hAnsi="Times New Roman"/>
                <w:snapToGrid/>
                <w:color w:val="000000"/>
                <w:sz w:val="18"/>
                <w:szCs w:val="18"/>
              </w:rPr>
            </w:pPr>
            <w:r w:rsidRPr="004F6DAA">
              <w:rPr>
                <w:rFonts w:ascii="Times New Roman" w:hAnsi="Times New Roman"/>
                <w:snapToGrid/>
                <w:color w:val="000000"/>
                <w:sz w:val="18"/>
                <w:szCs w:val="18"/>
              </w:rPr>
              <w:t>Note: RTOB = Required to Obtain Benefit.</w:t>
            </w:r>
          </w:p>
          <w:p w:rsidR="00C92D65" w:rsidRPr="004F6DAA" w:rsidP="004F6DAA" w14:paraId="7D01225B" w14:textId="77777777">
            <w:pPr>
              <w:widowControl/>
              <w:rPr>
                <w:rFonts w:ascii="Times New Roman" w:hAnsi="Times New Roman"/>
                <w:snapToGrid/>
                <w:color w:val="000000"/>
                <w:sz w:val="18"/>
                <w:szCs w:val="18"/>
              </w:rPr>
            </w:pPr>
          </w:p>
          <w:p w:rsidR="004F6DAA" w:rsidRPr="004F6DAA" w:rsidP="004F6DAA" w14:paraId="5B9613DC" w14:textId="77777777">
            <w:pPr>
              <w:suppressAutoHyphens/>
              <w:autoSpaceDE w:val="0"/>
              <w:autoSpaceDN w:val="0"/>
              <w:spacing w:after="120" w:line="260" w:lineRule="exact"/>
              <w:ind w:right="-86"/>
              <w:rPr>
                <w:rFonts w:ascii="Times New Roman" w:eastAsia="Source Sans Pro" w:hAnsi="Times New Roman"/>
                <w:snapToGrid/>
                <w:sz w:val="20"/>
              </w:rPr>
            </w:pPr>
          </w:p>
        </w:tc>
        <w:tc>
          <w:tcPr>
            <w:tcW w:w="223" w:type="dxa"/>
            <w:vAlign w:val="center"/>
            <w:hideMark/>
          </w:tcPr>
          <w:p w:rsidR="004F6DAA" w:rsidRPr="004F6DAA" w:rsidP="004F6DAA" w14:paraId="2784B8FD" w14:textId="77777777">
            <w:pPr>
              <w:widowControl/>
              <w:rPr>
                <w:rFonts w:ascii="Times New Roman" w:hAnsi="Times New Roman"/>
                <w:snapToGrid/>
                <w:sz w:val="20"/>
              </w:rPr>
            </w:pPr>
          </w:p>
        </w:tc>
      </w:tr>
      <w:tr w14:paraId="1FC82102" w14:textId="77777777" w:rsidTr="00C92D65">
        <w:tblPrEx>
          <w:tblW w:w="10902" w:type="dxa"/>
          <w:tblInd w:w="-640" w:type="dxa"/>
          <w:tblCellMar>
            <w:top w:w="15" w:type="dxa"/>
          </w:tblCellMar>
          <w:tblLook w:val="04A0"/>
        </w:tblPrEx>
        <w:trPr>
          <w:trHeight w:val="271"/>
        </w:trPr>
        <w:tc>
          <w:tcPr>
            <w:tcW w:w="10679" w:type="dxa"/>
            <w:gridSpan w:val="9"/>
            <w:vMerge/>
            <w:tcBorders>
              <w:top w:val="single" w:sz="8" w:space="0" w:color="auto"/>
              <w:left w:val="single" w:sz="8" w:space="0" w:color="auto"/>
              <w:bottom w:val="single" w:sz="4" w:space="0" w:color="auto"/>
              <w:right w:val="single" w:sz="8" w:space="0" w:color="000000"/>
            </w:tcBorders>
            <w:vAlign w:val="center"/>
            <w:hideMark/>
          </w:tcPr>
          <w:p w:rsidR="004F6DAA" w:rsidRPr="004F6DAA" w:rsidP="004F6DAA" w14:paraId="4CC1D2A7" w14:textId="77777777">
            <w:pPr>
              <w:widowControl/>
              <w:rPr>
                <w:rFonts w:ascii="Times New Roman" w:hAnsi="Times New Roman"/>
                <w:snapToGrid/>
                <w:color w:val="000000"/>
                <w:sz w:val="18"/>
                <w:szCs w:val="18"/>
              </w:rPr>
            </w:pPr>
          </w:p>
        </w:tc>
        <w:tc>
          <w:tcPr>
            <w:tcW w:w="223" w:type="dxa"/>
            <w:tcBorders>
              <w:top w:val="nil"/>
              <w:left w:val="nil"/>
              <w:bottom w:val="nil"/>
              <w:right w:val="nil"/>
            </w:tcBorders>
            <w:noWrap/>
            <w:vAlign w:val="bottom"/>
            <w:hideMark/>
          </w:tcPr>
          <w:p w:rsidR="004F6DAA" w:rsidRPr="004F6DAA" w:rsidP="004F6DAA" w14:paraId="42BB2004" w14:textId="77777777">
            <w:pPr>
              <w:widowControl/>
              <w:rPr>
                <w:rFonts w:ascii="Times New Roman" w:hAnsi="Times New Roman"/>
                <w:snapToGrid/>
                <w:color w:val="000000"/>
                <w:sz w:val="18"/>
                <w:szCs w:val="18"/>
              </w:rPr>
            </w:pPr>
          </w:p>
        </w:tc>
      </w:tr>
      <w:tr w14:paraId="0A86892D" w14:textId="77777777" w:rsidTr="00C92D65">
        <w:tblPrEx>
          <w:tblW w:w="10902" w:type="dxa"/>
          <w:tblInd w:w="-640" w:type="dxa"/>
          <w:tblCellMar>
            <w:top w:w="15" w:type="dxa"/>
          </w:tblCellMar>
          <w:tblLook w:val="04A0"/>
        </w:tblPrEx>
        <w:trPr>
          <w:trHeight w:val="281"/>
        </w:trPr>
        <w:tc>
          <w:tcPr>
            <w:tcW w:w="10679" w:type="dxa"/>
            <w:gridSpan w:val="9"/>
            <w:vMerge/>
            <w:tcBorders>
              <w:top w:val="single" w:sz="8" w:space="0" w:color="auto"/>
              <w:left w:val="single" w:sz="8" w:space="0" w:color="auto"/>
              <w:bottom w:val="single" w:sz="4" w:space="0" w:color="auto"/>
              <w:right w:val="single" w:sz="8" w:space="0" w:color="000000"/>
            </w:tcBorders>
            <w:vAlign w:val="center"/>
            <w:hideMark/>
          </w:tcPr>
          <w:p w:rsidR="004F6DAA" w:rsidRPr="004F6DAA" w:rsidP="004F6DAA" w14:paraId="5BA6FE40" w14:textId="77777777">
            <w:pPr>
              <w:widowControl/>
              <w:rPr>
                <w:rFonts w:ascii="Times New Roman" w:hAnsi="Times New Roman"/>
                <w:snapToGrid/>
                <w:color w:val="000000"/>
                <w:sz w:val="18"/>
                <w:szCs w:val="18"/>
              </w:rPr>
            </w:pPr>
          </w:p>
        </w:tc>
        <w:tc>
          <w:tcPr>
            <w:tcW w:w="223" w:type="dxa"/>
            <w:tcBorders>
              <w:top w:val="nil"/>
              <w:left w:val="nil"/>
              <w:bottom w:val="nil"/>
              <w:right w:val="nil"/>
            </w:tcBorders>
            <w:noWrap/>
            <w:vAlign w:val="bottom"/>
            <w:hideMark/>
          </w:tcPr>
          <w:p w:rsidR="004F6DAA" w:rsidRPr="004F6DAA" w:rsidP="004F6DAA" w14:paraId="3074C3C1" w14:textId="77777777">
            <w:pPr>
              <w:widowControl/>
              <w:rPr>
                <w:rFonts w:ascii="Times New Roman" w:hAnsi="Times New Roman"/>
                <w:snapToGrid/>
                <w:sz w:val="20"/>
              </w:rPr>
            </w:pPr>
          </w:p>
        </w:tc>
      </w:tr>
      <w:tr w14:paraId="1BD636D7" w14:textId="77777777" w:rsidTr="00C92D65">
        <w:tblPrEx>
          <w:tblW w:w="10902" w:type="dxa"/>
          <w:tblInd w:w="-640" w:type="dxa"/>
          <w:tblCellMar>
            <w:top w:w="15" w:type="dxa"/>
          </w:tblCellMar>
          <w:tblLook w:val="04A0"/>
        </w:tblPrEx>
        <w:trPr>
          <w:trHeight w:val="293"/>
        </w:trPr>
        <w:tc>
          <w:tcPr>
            <w:tcW w:w="10679" w:type="dxa"/>
            <w:gridSpan w:val="9"/>
            <w:vMerge/>
            <w:tcBorders>
              <w:top w:val="single" w:sz="8" w:space="0" w:color="auto"/>
              <w:left w:val="single" w:sz="8" w:space="0" w:color="auto"/>
              <w:bottom w:val="single" w:sz="4" w:space="0" w:color="auto"/>
              <w:right w:val="single" w:sz="8" w:space="0" w:color="000000"/>
            </w:tcBorders>
            <w:vAlign w:val="center"/>
            <w:hideMark/>
          </w:tcPr>
          <w:p w:rsidR="004F6DAA" w:rsidRPr="004F6DAA" w:rsidP="004F6DAA" w14:paraId="66493074" w14:textId="77777777">
            <w:pPr>
              <w:widowControl/>
              <w:rPr>
                <w:rFonts w:ascii="Times New Roman" w:hAnsi="Times New Roman"/>
                <w:snapToGrid/>
                <w:color w:val="000000"/>
                <w:sz w:val="18"/>
                <w:szCs w:val="18"/>
              </w:rPr>
            </w:pPr>
          </w:p>
        </w:tc>
        <w:tc>
          <w:tcPr>
            <w:tcW w:w="223" w:type="dxa"/>
            <w:tcBorders>
              <w:top w:val="nil"/>
              <w:left w:val="nil"/>
              <w:bottom w:val="nil"/>
              <w:right w:val="nil"/>
            </w:tcBorders>
            <w:noWrap/>
            <w:vAlign w:val="bottom"/>
            <w:hideMark/>
          </w:tcPr>
          <w:p w:rsidR="004F6DAA" w:rsidRPr="004F6DAA" w:rsidP="004F6DAA" w14:paraId="20D4B952" w14:textId="77777777">
            <w:pPr>
              <w:widowControl/>
              <w:rPr>
                <w:rFonts w:ascii="Times New Roman" w:hAnsi="Times New Roman"/>
                <w:snapToGrid/>
                <w:sz w:val="20"/>
              </w:rPr>
            </w:pPr>
          </w:p>
        </w:tc>
      </w:tr>
    </w:tbl>
    <w:p w:rsidR="00805063" w:rsidP="00805063" w14:paraId="3383D504" w14:textId="77777777">
      <w:pPr>
        <w:pStyle w:val="CommentText"/>
        <w:rPr>
          <w:rStyle w:val="documentbody1"/>
          <w:color w:val="000000"/>
          <w:sz w:val="24"/>
          <w:szCs w:val="24"/>
          <w:u w:val="single"/>
        </w:rPr>
      </w:pPr>
    </w:p>
    <w:tbl>
      <w:tblPr>
        <w:tblW w:w="10710" w:type="dxa"/>
        <w:tblInd w:w="-640" w:type="dxa"/>
        <w:tblLook w:val="04A0"/>
      </w:tblPr>
      <w:tblGrid>
        <w:gridCol w:w="2980"/>
        <w:gridCol w:w="2544"/>
        <w:gridCol w:w="2486"/>
        <w:gridCol w:w="2700"/>
      </w:tblGrid>
      <w:tr w14:paraId="41198FD7" w14:textId="77777777" w:rsidTr="0054060A">
        <w:tblPrEx>
          <w:tblW w:w="10710" w:type="dxa"/>
          <w:tblInd w:w="-640" w:type="dxa"/>
          <w:tblLook w:val="04A0"/>
        </w:tblPrEx>
        <w:trPr>
          <w:trHeight w:val="360"/>
        </w:trPr>
        <w:tc>
          <w:tcPr>
            <w:tcW w:w="10710" w:type="dxa"/>
            <w:gridSpan w:val="4"/>
            <w:tcBorders>
              <w:top w:val="single" w:sz="8" w:space="0" w:color="auto"/>
              <w:left w:val="single" w:sz="8" w:space="0" w:color="auto"/>
              <w:bottom w:val="single" w:sz="8" w:space="0" w:color="auto"/>
              <w:right w:val="single" w:sz="8" w:space="0" w:color="000000"/>
            </w:tcBorders>
            <w:noWrap/>
            <w:vAlign w:val="center"/>
            <w:hideMark/>
          </w:tcPr>
          <w:p w:rsidR="0054060A" w:rsidRPr="0054060A" w:rsidP="0054060A" w14:paraId="1F6D59C5" w14:textId="2B32F620">
            <w:pPr>
              <w:widowControl/>
              <w:jc w:val="center"/>
              <w:rPr>
                <w:rFonts w:ascii="Times New Roman" w:hAnsi="Times New Roman"/>
                <w:snapToGrid/>
                <w:color w:val="000000"/>
                <w:szCs w:val="24"/>
              </w:rPr>
            </w:pPr>
            <w:r w:rsidRPr="0054060A">
              <w:rPr>
                <w:rFonts w:ascii="Times New Roman" w:hAnsi="Times New Roman"/>
                <w:snapToGrid/>
                <w:color w:val="000000"/>
                <w:szCs w:val="24"/>
              </w:rPr>
              <w:t>Total Estimated Cost Burden (OMB No. 3064-0169)</w:t>
            </w:r>
          </w:p>
        </w:tc>
      </w:tr>
      <w:tr w14:paraId="0664CF06" w14:textId="77777777" w:rsidTr="0054060A">
        <w:tblPrEx>
          <w:tblW w:w="10710" w:type="dxa"/>
          <w:tblInd w:w="-640" w:type="dxa"/>
          <w:tblLook w:val="04A0"/>
        </w:tblPrEx>
        <w:trPr>
          <w:trHeight w:val="600"/>
        </w:trPr>
        <w:tc>
          <w:tcPr>
            <w:tcW w:w="2980" w:type="dxa"/>
            <w:tcBorders>
              <w:top w:val="nil"/>
              <w:left w:val="single" w:sz="8" w:space="0" w:color="auto"/>
              <w:bottom w:val="single" w:sz="8" w:space="0" w:color="auto"/>
              <w:right w:val="single" w:sz="8" w:space="0" w:color="auto"/>
            </w:tcBorders>
            <w:vAlign w:val="center"/>
            <w:hideMark/>
          </w:tcPr>
          <w:p w:rsidR="0054060A" w:rsidRPr="0054060A" w:rsidP="0054060A" w14:paraId="0CB00A91" w14:textId="77777777">
            <w:pPr>
              <w:widowControl/>
              <w:rPr>
                <w:rFonts w:ascii="Times New Roman" w:hAnsi="Times New Roman"/>
                <w:snapToGrid/>
                <w:color w:val="000000"/>
                <w:sz w:val="20"/>
              </w:rPr>
            </w:pPr>
            <w:r w:rsidRPr="0054060A">
              <w:rPr>
                <w:rFonts w:ascii="Times New Roman" w:hAnsi="Times New Roman"/>
                <w:snapToGrid/>
                <w:color w:val="000000"/>
                <w:sz w:val="20"/>
              </w:rPr>
              <w:t>Information Collection Request</w:t>
            </w:r>
          </w:p>
        </w:tc>
        <w:tc>
          <w:tcPr>
            <w:tcW w:w="2544" w:type="dxa"/>
            <w:tcBorders>
              <w:top w:val="nil"/>
              <w:left w:val="nil"/>
              <w:bottom w:val="single" w:sz="8" w:space="0" w:color="auto"/>
              <w:right w:val="single" w:sz="8" w:space="0" w:color="auto"/>
            </w:tcBorders>
            <w:vAlign w:val="center"/>
            <w:hideMark/>
          </w:tcPr>
          <w:p w:rsidR="0054060A" w:rsidRPr="0054060A" w:rsidP="0054060A" w14:paraId="58921FE3" w14:textId="77777777">
            <w:pPr>
              <w:widowControl/>
              <w:jc w:val="center"/>
              <w:rPr>
                <w:rFonts w:ascii="Times New Roman" w:hAnsi="Times New Roman"/>
                <w:snapToGrid/>
                <w:color w:val="000000"/>
                <w:sz w:val="20"/>
              </w:rPr>
            </w:pPr>
            <w:r w:rsidRPr="0054060A">
              <w:rPr>
                <w:rFonts w:ascii="Times New Roman" w:hAnsi="Times New Roman"/>
                <w:snapToGrid/>
                <w:color w:val="000000"/>
                <w:sz w:val="20"/>
              </w:rPr>
              <w:t>Annual Burden (Hours)</w:t>
            </w:r>
          </w:p>
        </w:tc>
        <w:tc>
          <w:tcPr>
            <w:tcW w:w="2486" w:type="dxa"/>
            <w:tcBorders>
              <w:top w:val="nil"/>
              <w:left w:val="nil"/>
              <w:bottom w:val="single" w:sz="8" w:space="0" w:color="auto"/>
              <w:right w:val="single" w:sz="8" w:space="0" w:color="auto"/>
            </w:tcBorders>
            <w:vAlign w:val="center"/>
            <w:hideMark/>
          </w:tcPr>
          <w:p w:rsidR="0054060A" w:rsidRPr="0054060A" w:rsidP="0054060A" w14:paraId="78DE1EAE" w14:textId="77777777">
            <w:pPr>
              <w:widowControl/>
              <w:jc w:val="center"/>
              <w:rPr>
                <w:rFonts w:ascii="Times New Roman" w:hAnsi="Times New Roman"/>
                <w:snapToGrid/>
                <w:color w:val="000000"/>
                <w:sz w:val="20"/>
              </w:rPr>
            </w:pPr>
            <w:r w:rsidRPr="0054060A">
              <w:rPr>
                <w:rFonts w:ascii="Times New Roman" w:hAnsi="Times New Roman"/>
                <w:snapToGrid/>
                <w:color w:val="000000"/>
                <w:sz w:val="20"/>
              </w:rPr>
              <w:t>Weighted Average Hourly Compensation Rate</w:t>
            </w:r>
          </w:p>
        </w:tc>
        <w:tc>
          <w:tcPr>
            <w:tcW w:w="2700" w:type="dxa"/>
            <w:tcBorders>
              <w:top w:val="nil"/>
              <w:left w:val="nil"/>
              <w:bottom w:val="single" w:sz="8" w:space="0" w:color="auto"/>
              <w:right w:val="single" w:sz="8" w:space="0" w:color="auto"/>
            </w:tcBorders>
            <w:vAlign w:val="center"/>
            <w:hideMark/>
          </w:tcPr>
          <w:p w:rsidR="0054060A" w:rsidRPr="0054060A" w:rsidP="0054060A" w14:paraId="7C4BE388" w14:textId="77777777">
            <w:pPr>
              <w:widowControl/>
              <w:jc w:val="center"/>
              <w:rPr>
                <w:rFonts w:ascii="Times New Roman" w:hAnsi="Times New Roman"/>
                <w:snapToGrid/>
                <w:color w:val="000000"/>
                <w:sz w:val="20"/>
              </w:rPr>
            </w:pPr>
            <w:r w:rsidRPr="0054060A">
              <w:rPr>
                <w:rFonts w:ascii="Times New Roman" w:hAnsi="Times New Roman"/>
                <w:snapToGrid/>
                <w:color w:val="000000"/>
                <w:sz w:val="20"/>
              </w:rPr>
              <w:t>Annual Respondent Cost</w:t>
            </w:r>
          </w:p>
        </w:tc>
      </w:tr>
      <w:tr w14:paraId="015270C6" w14:textId="77777777" w:rsidTr="0054060A">
        <w:tblPrEx>
          <w:tblW w:w="10710" w:type="dxa"/>
          <w:tblInd w:w="-640" w:type="dxa"/>
          <w:tblLook w:val="04A0"/>
        </w:tblPrEx>
        <w:trPr>
          <w:trHeight w:val="863"/>
        </w:trPr>
        <w:tc>
          <w:tcPr>
            <w:tcW w:w="2980" w:type="dxa"/>
            <w:tcBorders>
              <w:top w:val="nil"/>
              <w:left w:val="single" w:sz="8" w:space="0" w:color="auto"/>
              <w:bottom w:val="single" w:sz="8" w:space="0" w:color="auto"/>
              <w:right w:val="single" w:sz="8" w:space="0" w:color="auto"/>
            </w:tcBorders>
            <w:vAlign w:val="center"/>
            <w:hideMark/>
          </w:tcPr>
          <w:p w:rsidR="0054060A" w:rsidRPr="0054060A" w:rsidP="0054060A" w14:paraId="6466BAF8" w14:textId="77777777">
            <w:pPr>
              <w:widowControl/>
              <w:rPr>
                <w:rFonts w:ascii="Times New Roman" w:hAnsi="Times New Roman"/>
                <w:snapToGrid/>
                <w:color w:val="000000"/>
                <w:sz w:val="20"/>
              </w:rPr>
            </w:pPr>
            <w:r w:rsidRPr="0054060A">
              <w:rPr>
                <w:rFonts w:ascii="Times New Roman" w:hAnsi="Times New Roman"/>
                <w:snapToGrid/>
                <w:color w:val="000000"/>
                <w:sz w:val="20"/>
              </w:rPr>
              <w:t>Qualifications for Failed Bank Acquisitions</w:t>
            </w:r>
          </w:p>
        </w:tc>
        <w:tc>
          <w:tcPr>
            <w:tcW w:w="2544" w:type="dxa"/>
            <w:tcBorders>
              <w:top w:val="nil"/>
              <w:left w:val="nil"/>
              <w:bottom w:val="single" w:sz="8" w:space="0" w:color="auto"/>
              <w:right w:val="single" w:sz="8" w:space="0" w:color="auto"/>
            </w:tcBorders>
            <w:noWrap/>
            <w:vAlign w:val="center"/>
            <w:hideMark/>
          </w:tcPr>
          <w:p w:rsidR="0054060A" w:rsidRPr="0054060A" w:rsidP="0054060A" w14:paraId="541FB939" w14:textId="77777777">
            <w:pPr>
              <w:widowControl/>
              <w:ind w:firstLine="400" w:firstLineChars="200"/>
              <w:jc w:val="right"/>
              <w:rPr>
                <w:rFonts w:ascii="Times New Roman" w:hAnsi="Times New Roman"/>
                <w:snapToGrid/>
                <w:color w:val="000000"/>
                <w:sz w:val="20"/>
              </w:rPr>
            </w:pPr>
            <w:r w:rsidRPr="0054060A">
              <w:rPr>
                <w:rFonts w:ascii="Times New Roman" w:hAnsi="Times New Roman"/>
                <w:snapToGrid/>
                <w:color w:val="000000"/>
                <w:sz w:val="20"/>
              </w:rPr>
              <w:t xml:space="preserve">                                       100 </w:t>
            </w:r>
          </w:p>
        </w:tc>
        <w:tc>
          <w:tcPr>
            <w:tcW w:w="2486" w:type="dxa"/>
            <w:tcBorders>
              <w:top w:val="nil"/>
              <w:left w:val="nil"/>
              <w:bottom w:val="single" w:sz="8" w:space="0" w:color="auto"/>
              <w:right w:val="single" w:sz="8" w:space="0" w:color="auto"/>
            </w:tcBorders>
            <w:noWrap/>
            <w:vAlign w:val="center"/>
            <w:hideMark/>
          </w:tcPr>
          <w:p w:rsidR="0054060A" w:rsidRPr="0054060A" w:rsidP="0054060A" w14:paraId="6011A695" w14:textId="77777777">
            <w:pPr>
              <w:widowControl/>
              <w:ind w:firstLine="200" w:firstLineChars="100"/>
              <w:jc w:val="right"/>
              <w:rPr>
                <w:rFonts w:ascii="Times New Roman" w:hAnsi="Times New Roman"/>
                <w:snapToGrid/>
                <w:color w:val="000000"/>
                <w:sz w:val="20"/>
              </w:rPr>
            </w:pPr>
            <w:r w:rsidRPr="0054060A">
              <w:rPr>
                <w:rFonts w:ascii="Times New Roman" w:hAnsi="Times New Roman"/>
                <w:snapToGrid/>
                <w:color w:val="000000"/>
                <w:sz w:val="20"/>
              </w:rPr>
              <w:t>$92.56</w:t>
            </w:r>
          </w:p>
        </w:tc>
        <w:tc>
          <w:tcPr>
            <w:tcW w:w="2700" w:type="dxa"/>
            <w:tcBorders>
              <w:top w:val="nil"/>
              <w:left w:val="nil"/>
              <w:bottom w:val="single" w:sz="8" w:space="0" w:color="auto"/>
              <w:right w:val="single" w:sz="8" w:space="0" w:color="auto"/>
            </w:tcBorders>
            <w:noWrap/>
            <w:vAlign w:val="center"/>
            <w:hideMark/>
          </w:tcPr>
          <w:p w:rsidR="0054060A" w:rsidRPr="0054060A" w:rsidP="0054060A" w14:paraId="20308B08" w14:textId="77777777">
            <w:pPr>
              <w:widowControl/>
              <w:ind w:firstLine="200" w:firstLineChars="100"/>
              <w:jc w:val="right"/>
              <w:rPr>
                <w:rFonts w:ascii="Times New Roman" w:hAnsi="Times New Roman"/>
                <w:snapToGrid/>
                <w:color w:val="000000"/>
                <w:sz w:val="20"/>
              </w:rPr>
            </w:pPr>
            <w:r w:rsidRPr="0054060A">
              <w:rPr>
                <w:rFonts w:ascii="Times New Roman" w:hAnsi="Times New Roman"/>
                <w:snapToGrid/>
                <w:color w:val="000000"/>
                <w:sz w:val="20"/>
              </w:rPr>
              <w:t>$9,256</w:t>
            </w:r>
          </w:p>
        </w:tc>
      </w:tr>
      <w:tr w14:paraId="591370CC" w14:textId="77777777" w:rsidTr="0054060A">
        <w:tblPrEx>
          <w:tblW w:w="10710" w:type="dxa"/>
          <w:tblInd w:w="-640" w:type="dxa"/>
          <w:tblLook w:val="04A0"/>
        </w:tblPrEx>
        <w:trPr>
          <w:trHeight w:val="360"/>
        </w:trPr>
        <w:tc>
          <w:tcPr>
            <w:tcW w:w="801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54060A" w:rsidRPr="0054060A" w:rsidP="0054060A" w14:paraId="52BD1E9D" w14:textId="77777777">
            <w:pPr>
              <w:widowControl/>
              <w:jc w:val="right"/>
              <w:rPr>
                <w:rFonts w:ascii="Times New Roman" w:hAnsi="Times New Roman"/>
                <w:b/>
                <w:bCs/>
                <w:i/>
                <w:iCs/>
                <w:snapToGrid/>
                <w:color w:val="000000"/>
                <w:sz w:val="22"/>
                <w:szCs w:val="22"/>
              </w:rPr>
            </w:pPr>
            <w:r w:rsidRPr="0054060A">
              <w:rPr>
                <w:rFonts w:ascii="Times New Roman" w:hAnsi="Times New Roman"/>
                <w:b/>
                <w:bCs/>
                <w:i/>
                <w:iCs/>
                <w:snapToGrid/>
                <w:color w:val="000000"/>
                <w:sz w:val="22"/>
                <w:szCs w:val="22"/>
              </w:rPr>
              <w:t>Total Annual Respondent Cost:</w:t>
            </w:r>
          </w:p>
        </w:tc>
        <w:tc>
          <w:tcPr>
            <w:tcW w:w="2700" w:type="dxa"/>
            <w:tcBorders>
              <w:top w:val="nil"/>
              <w:left w:val="nil"/>
              <w:bottom w:val="single" w:sz="8" w:space="0" w:color="auto"/>
              <w:right w:val="single" w:sz="8" w:space="0" w:color="auto"/>
            </w:tcBorders>
            <w:shd w:val="clear" w:color="000000" w:fill="FFFFFF"/>
            <w:vAlign w:val="center"/>
            <w:hideMark/>
          </w:tcPr>
          <w:p w:rsidR="0054060A" w:rsidRPr="0054060A" w:rsidP="0054060A" w14:paraId="3C4C6034" w14:textId="77777777">
            <w:pPr>
              <w:widowControl/>
              <w:ind w:firstLine="220" w:firstLineChars="100"/>
              <w:jc w:val="right"/>
              <w:rPr>
                <w:rFonts w:ascii="Times New Roman" w:hAnsi="Times New Roman"/>
                <w:b/>
                <w:bCs/>
                <w:i/>
                <w:iCs/>
                <w:snapToGrid/>
                <w:color w:val="000000"/>
                <w:sz w:val="22"/>
                <w:szCs w:val="22"/>
              </w:rPr>
            </w:pPr>
            <w:r w:rsidRPr="0054060A">
              <w:rPr>
                <w:rFonts w:ascii="Times New Roman" w:hAnsi="Times New Roman"/>
                <w:b/>
                <w:bCs/>
                <w:i/>
                <w:iCs/>
                <w:snapToGrid/>
                <w:color w:val="000000"/>
                <w:sz w:val="22"/>
                <w:szCs w:val="22"/>
              </w:rPr>
              <w:t xml:space="preserve">$9,256 </w:t>
            </w:r>
          </w:p>
        </w:tc>
      </w:tr>
      <w:tr w14:paraId="4880CBC8" w14:textId="77777777" w:rsidTr="0054060A">
        <w:tblPrEx>
          <w:tblW w:w="10710" w:type="dxa"/>
          <w:tblInd w:w="-640" w:type="dxa"/>
          <w:tblLook w:val="04A0"/>
        </w:tblPrEx>
        <w:trPr>
          <w:trHeight w:val="160"/>
        </w:trPr>
        <w:tc>
          <w:tcPr>
            <w:tcW w:w="10710" w:type="dxa"/>
            <w:gridSpan w:val="4"/>
            <w:tcBorders>
              <w:top w:val="single" w:sz="8" w:space="0" w:color="auto"/>
              <w:left w:val="single" w:sz="8" w:space="0" w:color="auto"/>
              <w:bottom w:val="single" w:sz="8" w:space="0" w:color="auto"/>
              <w:right w:val="single" w:sz="8" w:space="0" w:color="000000"/>
            </w:tcBorders>
            <w:noWrap/>
            <w:hideMark/>
          </w:tcPr>
          <w:p w:rsidR="0054060A" w:rsidRPr="0054060A" w:rsidP="0054060A" w14:paraId="59DB2E01" w14:textId="77777777">
            <w:pPr>
              <w:widowControl/>
              <w:rPr>
                <w:rFonts w:ascii="Times New Roman" w:hAnsi="Times New Roman"/>
                <w:snapToGrid/>
                <w:color w:val="000000"/>
                <w:sz w:val="18"/>
                <w:szCs w:val="18"/>
              </w:rPr>
            </w:pPr>
            <w:r w:rsidRPr="0054060A">
              <w:rPr>
                <w:rFonts w:ascii="Times New Roman" w:hAnsi="Times New Roman"/>
                <w:snapToGrid/>
                <w:color w:val="000000"/>
                <w:sz w:val="18"/>
                <w:szCs w:val="18"/>
              </w:rPr>
              <w:t>Source: FDIC.</w:t>
            </w:r>
          </w:p>
        </w:tc>
      </w:tr>
    </w:tbl>
    <w:p w:rsidR="0054060A" w:rsidP="00805063" w14:paraId="31EA3E1D" w14:textId="77777777">
      <w:pPr>
        <w:pStyle w:val="CommentText"/>
        <w:rPr>
          <w:rStyle w:val="documentbody1"/>
          <w:color w:val="000000"/>
          <w:sz w:val="24"/>
          <w:szCs w:val="24"/>
          <w:u w:val="single"/>
        </w:rPr>
      </w:pPr>
    </w:p>
    <w:p w:rsidR="009778B4" w:rsidRPr="00BA19E0" w:rsidP="00497E0B" w14:paraId="1DC7CA54" w14:textId="77777777">
      <w:pPr>
        <w:pStyle w:val="CommentText"/>
        <w:ind w:left="1440"/>
        <w:rPr>
          <w:rStyle w:val="documentbody1"/>
          <w:color w:val="000000"/>
          <w:sz w:val="24"/>
          <w:szCs w:val="24"/>
          <w:u w:val="single"/>
        </w:rPr>
      </w:pPr>
    </w:p>
    <w:p w:rsidR="009F4532" w:rsidRPr="001F2A5D" w:rsidP="00B415D0" w14:paraId="14A9BC8E" w14:textId="77777777">
      <w:pPr>
        <w:numPr>
          <w:ilvl w:val="0"/>
          <w:numId w:val="15"/>
        </w:numPr>
        <w:outlineLvl w:val="0"/>
        <w:rPr>
          <w:rFonts w:ascii="Times New Roman" w:hAnsi="Times New Roman"/>
          <w:szCs w:val="24"/>
          <w:u w:val="single"/>
        </w:rPr>
      </w:pPr>
      <w:r w:rsidRPr="009E60FB">
        <w:rPr>
          <w:rFonts w:ascii="Times New Roman" w:hAnsi="Times New Roman"/>
          <w:bCs/>
          <w:szCs w:val="24"/>
          <w:u w:val="single"/>
        </w:rPr>
        <w:t xml:space="preserve">Estimate of start-up costs </w:t>
      </w:r>
      <w:r w:rsidRPr="009E60FB">
        <w:rPr>
          <w:rFonts w:ascii="Times New Roman" w:hAnsi="Times New Roman"/>
          <w:bCs/>
          <w:szCs w:val="24"/>
          <w:u w:val="single"/>
        </w:rPr>
        <w:t>to</w:t>
      </w:r>
      <w:r w:rsidRPr="009E60FB">
        <w:rPr>
          <w:rFonts w:ascii="Times New Roman" w:hAnsi="Times New Roman"/>
          <w:bCs/>
          <w:szCs w:val="24"/>
          <w:u w:val="single"/>
        </w:rPr>
        <w:t xml:space="preserve"> respondents:</w:t>
      </w:r>
    </w:p>
    <w:p w:rsidR="00731A90" w14:paraId="4EB3445D" w14:textId="77777777">
      <w:pPr>
        <w:rPr>
          <w:rFonts w:ascii="Times New Roman" w:hAnsi="Times New Roman"/>
        </w:rPr>
      </w:pPr>
    </w:p>
    <w:p w:rsidR="00731A90" w:rsidP="00B415D0" w14:paraId="4E528724" w14:textId="77777777">
      <w:pPr>
        <w:ind w:left="1440"/>
        <w:rPr>
          <w:rFonts w:ascii="Times New Roman" w:hAnsi="Times New Roman"/>
        </w:rPr>
      </w:pPr>
      <w:r>
        <w:rPr>
          <w:rFonts w:ascii="Times New Roman" w:hAnsi="Times New Roman"/>
        </w:rPr>
        <w:t>None.</w:t>
      </w:r>
    </w:p>
    <w:p w:rsidR="00B415D0" w14:paraId="4F17445F" w14:textId="77777777">
      <w:pPr>
        <w:rPr>
          <w:rFonts w:ascii="Times New Roman" w:hAnsi="Times New Roman"/>
        </w:rPr>
      </w:pPr>
    </w:p>
    <w:p w:rsidR="00731A90" w:rsidP="00B415D0" w14:paraId="4AA6D79D" w14:textId="77777777">
      <w:pPr>
        <w:numPr>
          <w:ilvl w:val="0"/>
          <w:numId w:val="15"/>
        </w:numPr>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14:paraId="7DAA7979" w14:textId="77777777">
      <w:pPr>
        <w:ind w:firstLine="720"/>
        <w:rPr>
          <w:rFonts w:ascii="Times New Roman" w:hAnsi="Times New Roman"/>
        </w:rPr>
      </w:pPr>
    </w:p>
    <w:p w:rsidR="007E3A41" w:rsidP="007E3A41" w14:paraId="10031630" w14:textId="77777777">
      <w:pPr>
        <w:ind w:left="720" w:firstLine="720"/>
        <w:rPr>
          <w:rFonts w:ascii="Times New Roman" w:hAnsi="Times New Roman"/>
        </w:rPr>
      </w:pPr>
      <w:r>
        <w:rPr>
          <w:rFonts w:ascii="Times New Roman" w:hAnsi="Times New Roman"/>
        </w:rPr>
        <w:t>None</w:t>
      </w:r>
      <w:r w:rsidR="0077603D">
        <w:rPr>
          <w:rFonts w:ascii="Times New Roman" w:hAnsi="Times New Roman"/>
        </w:rPr>
        <w:t>.</w:t>
      </w:r>
    </w:p>
    <w:p w:rsidR="00B415D0" w:rsidP="00B415D0" w14:paraId="6176F365" w14:textId="77777777">
      <w:pPr>
        <w:outlineLvl w:val="0"/>
        <w:rPr>
          <w:rFonts w:ascii="Times New Roman" w:hAnsi="Times New Roman"/>
        </w:rPr>
      </w:pPr>
    </w:p>
    <w:p w:rsidR="009F4532" w:rsidRPr="001F2A5D" w:rsidP="00B415D0" w14:paraId="2B64603B" w14:textId="77777777">
      <w:pPr>
        <w:numPr>
          <w:ilvl w:val="0"/>
          <w:numId w:val="15"/>
        </w:numPr>
        <w:outlineLvl w:val="0"/>
        <w:rPr>
          <w:rFonts w:ascii="Times New Roman" w:hAnsi="Times New Roman"/>
          <w:szCs w:val="24"/>
        </w:rPr>
      </w:pPr>
      <w:r w:rsidRPr="009E60FB">
        <w:rPr>
          <w:rFonts w:ascii="Times New Roman" w:hAnsi="Times New Roman"/>
          <w:szCs w:val="24"/>
          <w:u w:val="single"/>
        </w:rPr>
        <w:t>Analysis of change in burden:</w:t>
      </w:r>
    </w:p>
    <w:p w:rsidR="00731A90" w14:paraId="44CC788C" w14:textId="77777777">
      <w:pPr>
        <w:ind w:firstLine="720"/>
        <w:rPr>
          <w:rFonts w:ascii="Times New Roman" w:hAnsi="Times New Roman"/>
        </w:rPr>
      </w:pPr>
    </w:p>
    <w:p w:rsidR="0077603D" w:rsidP="00DB04B6" w14:paraId="733966C7" w14:textId="5A680A20">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1440" w:right="0"/>
      </w:pPr>
      <w:r>
        <w:rPr>
          <w:snapToGrid/>
          <w:szCs w:val="24"/>
        </w:rPr>
        <w:t xml:space="preserve">There is no change in the method or substance of the collection. </w:t>
      </w:r>
      <w:r w:rsidR="00130A10">
        <w:rPr>
          <w:snapToGrid/>
          <w:szCs w:val="24"/>
        </w:rPr>
        <w:t>The es</w:t>
      </w:r>
      <w:r w:rsidR="00B2645D">
        <w:rPr>
          <w:snapToGrid/>
          <w:szCs w:val="24"/>
        </w:rPr>
        <w:t>timated annual burden hours remain unchanged at 100 hours, consistent with the 2023 renewal</w:t>
      </w:r>
      <w:r w:rsidR="003C2CA0">
        <w:rPr>
          <w:snapToGrid/>
          <w:szCs w:val="24"/>
        </w:rPr>
        <w:t>. Therefore, there is no change in burden associated with this information collection.</w:t>
      </w:r>
      <w:r>
        <w:rPr>
          <w:snapToGrid/>
          <w:szCs w:val="24"/>
        </w:rPr>
        <w:t xml:space="preserve"> </w:t>
      </w:r>
    </w:p>
    <w:p w:rsidR="004B7B90" w14:paraId="7C28CAEA" w14:textId="77777777">
      <w:pPr>
        <w:rPr>
          <w:rFonts w:ascii="Times New Roman" w:hAnsi="Times New Roman"/>
        </w:rPr>
      </w:pPr>
    </w:p>
    <w:p w:rsidR="009F4532" w:rsidRPr="001F2A5D" w:rsidP="00B415D0" w14:paraId="43FD5F21" w14:textId="77777777">
      <w:pPr>
        <w:numPr>
          <w:ilvl w:val="0"/>
          <w:numId w:val="15"/>
        </w:numPr>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14:paraId="6A375305" w14:textId="77777777">
      <w:pPr>
        <w:rPr>
          <w:rFonts w:ascii="Times New Roman" w:hAnsi="Times New Roman"/>
        </w:rPr>
      </w:pPr>
    </w:p>
    <w:p w:rsidR="00731A90" w14:paraId="6778E571" w14:textId="77777777">
      <w:pPr>
        <w:ind w:left="1440"/>
        <w:rPr>
          <w:rFonts w:ascii="Times New Roman" w:hAnsi="Times New Roman"/>
        </w:rPr>
      </w:pPr>
      <w:r>
        <w:rPr>
          <w:rFonts w:ascii="Times New Roman" w:hAnsi="Times New Roman"/>
        </w:rPr>
        <w:t>The result of this collection will not be published for statistical use.</w:t>
      </w:r>
    </w:p>
    <w:p w:rsidR="00C426CF" w14:paraId="4044F119" w14:textId="77777777">
      <w:pPr>
        <w:rPr>
          <w:rFonts w:ascii="Times New Roman" w:hAnsi="Times New Roman"/>
        </w:rPr>
      </w:pPr>
    </w:p>
    <w:p w:rsidR="00731A90" w:rsidP="00B415D0" w14:paraId="2FE21271" w14:textId="77777777">
      <w:pPr>
        <w:numPr>
          <w:ilvl w:val="0"/>
          <w:numId w:val="15"/>
        </w:numPr>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14:paraId="0EEA4209" w14:textId="77777777">
      <w:pPr>
        <w:rPr>
          <w:rFonts w:ascii="Times New Roman" w:hAnsi="Times New Roman"/>
        </w:rPr>
      </w:pPr>
    </w:p>
    <w:p w:rsidR="00731A90" w14:paraId="4BF40399" w14:textId="77777777">
      <w:pPr>
        <w:ind w:left="1440"/>
        <w:rPr>
          <w:rFonts w:ascii="Times New Roman" w:hAnsi="Times New Roman"/>
        </w:rPr>
      </w:pPr>
      <w:r>
        <w:rPr>
          <w:rFonts w:ascii="Times New Roman" w:hAnsi="Times New Roman"/>
        </w:rPr>
        <w:t>Not applicable.</w:t>
      </w:r>
    </w:p>
    <w:p w:rsidR="00731A90" w14:paraId="6B3AE47D" w14:textId="77777777">
      <w:pPr>
        <w:rPr>
          <w:rFonts w:ascii="Times New Roman" w:hAnsi="Times New Roman"/>
        </w:rPr>
      </w:pPr>
    </w:p>
    <w:p w:rsidR="00731A90" w:rsidP="00B415D0" w14:paraId="4D5C7C6E" w14:textId="77777777">
      <w:pPr>
        <w:numPr>
          <w:ilvl w:val="0"/>
          <w:numId w:val="15"/>
        </w:numPr>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14:paraId="701E6CE3" w14:textId="77777777">
      <w:pPr>
        <w:rPr>
          <w:rFonts w:ascii="Times New Roman" w:hAnsi="Times New Roman"/>
        </w:rPr>
      </w:pPr>
    </w:p>
    <w:p w:rsidR="00731A90" w14:paraId="5A443401" w14:textId="77777777">
      <w:pPr>
        <w:ind w:left="1440"/>
        <w:rPr>
          <w:rFonts w:ascii="Times New Roman" w:hAnsi="Times New Roman"/>
        </w:rPr>
      </w:pPr>
      <w:r>
        <w:rPr>
          <w:rFonts w:ascii="Times New Roman" w:hAnsi="Times New Roman"/>
        </w:rPr>
        <w:t>None.</w:t>
      </w:r>
    </w:p>
    <w:p w:rsidR="00731A90" w14:paraId="058BE7CE" w14:textId="77777777">
      <w:pPr>
        <w:rPr>
          <w:rFonts w:ascii="Times New Roman" w:hAnsi="Times New Roman"/>
        </w:rPr>
      </w:pPr>
    </w:p>
    <w:p w:rsidR="00731A90" w14:paraId="63486A5A" w14:textId="77777777">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14:paraId="6C24F874" w14:textId="77777777">
      <w:pPr>
        <w:rPr>
          <w:rFonts w:ascii="Times New Roman" w:hAnsi="Times New Roman"/>
          <w:u w:val="single"/>
        </w:rPr>
      </w:pPr>
    </w:p>
    <w:p w:rsidR="00731A90" w14:paraId="615C5A59" w14:textId="77777777">
      <w:pPr>
        <w:ind w:left="720"/>
        <w:rPr>
          <w:rFonts w:ascii="Times New Roman" w:hAnsi="Times New Roman"/>
        </w:rPr>
      </w:pPr>
      <w:r>
        <w:rPr>
          <w:rFonts w:ascii="Times New Roman" w:hAnsi="Times New Roman"/>
        </w:rPr>
        <w:t>Not Applicable</w:t>
      </w:r>
      <w:r w:rsidR="00DB04B6">
        <w:rPr>
          <w:rFonts w:ascii="Times New Roman" w:hAnsi="Times New Roman"/>
        </w:rPr>
        <w:t>.</w:t>
      </w:r>
    </w:p>
    <w:p w:rsidR="00731A90" w14:paraId="2F02EADD" w14:textId="77777777">
      <w:pPr>
        <w:rPr>
          <w:rFonts w:ascii="Times New Roman" w:hAnsi="Times New Roman"/>
        </w:rPr>
      </w:pPr>
    </w:p>
    <w:p w:rsidR="00731A90" w14:paraId="1DF8F4A8" w14:textId="77777777">
      <w:pPr>
        <w:rPr>
          <w:rFonts w:ascii="Times New Roman" w:hAnsi="Times New Roman"/>
        </w:rPr>
      </w:pPr>
    </w:p>
    <w:p w:rsidR="00731A90" w14:paraId="72CE98BC" w14:textId="77777777">
      <w:pPr>
        <w:rPr>
          <w:rFonts w:ascii="Times New Roman" w:hAnsi="Times New Roman"/>
        </w:rPr>
      </w:pPr>
    </w:p>
    <w:p w:rsidR="00731A90" w14:paraId="7AC65DFA" w14:textId="77777777"/>
    <w:sectPr>
      <w:footerReference w:type="default" r:id="rId5"/>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UR">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F33" w14:paraId="43B7EC82" w14:textId="77777777">
    <w:pPr>
      <w:spacing w:line="240" w:lineRule="exact"/>
    </w:pPr>
  </w:p>
  <w:p w:rsidR="00782F33" w14:paraId="01F903E2"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461A4">
      <w:rPr>
        <w:rFonts w:ascii="Times New Roman" w:hAnsi="Times New Roman"/>
        <w:noProof/>
      </w:rPr>
      <w:t>1</w:t>
    </w:r>
    <w:r>
      <w:rPr>
        <w:rFonts w:ascii="Times New Roman" w:hAnsi="Times New Roman"/>
      </w:rPr>
      <w:fldChar w:fldCharType="end"/>
    </w:r>
  </w:p>
  <w:p w:rsidR="00782F33" w14:paraId="4916A19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94C82"/>
    <w:multiLevelType w:val="hybridMultilevel"/>
    <w:tmpl w:val="715AEDDE"/>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147137"/>
    <w:multiLevelType w:val="hybridMultilevel"/>
    <w:tmpl w:val="2126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BA5A7B"/>
    <w:multiLevelType w:val="hybridMultilevel"/>
    <w:tmpl w:val="60586F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4">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5">
    <w:nsid w:val="1D3943A5"/>
    <w:multiLevelType w:val="multilevel"/>
    <w:tmpl w:val="A0E4C0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C30C12"/>
    <w:multiLevelType w:val="hybridMultilevel"/>
    <w:tmpl w:val="668219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BD0B0B"/>
    <w:multiLevelType w:val="hybridMultilevel"/>
    <w:tmpl w:val="AAFCF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8">
    <w:nsid w:val="51D231EC"/>
    <w:multiLevelType w:val="hybridMultilevel"/>
    <w:tmpl w:val="38080B4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10">
    <w:nsid w:val="5ABF20BD"/>
    <w:multiLevelType w:val="singleLevel"/>
    <w:tmpl w:val="6A5EFD16"/>
    <w:lvl w:ilvl="0">
      <w:start w:val="1"/>
      <w:numFmt w:val="decimal"/>
      <w:lvlText w:val="(%1)"/>
      <w:lvlJc w:val="left"/>
      <w:pPr>
        <w:tabs>
          <w:tab w:val="num" w:pos="360"/>
        </w:tabs>
        <w:ind w:left="360" w:hanging="360"/>
      </w:pPr>
      <w:rPr>
        <w:rFonts w:hint="default"/>
      </w:rPr>
    </w:lvl>
  </w:abstractNum>
  <w:abstractNum w:abstractNumId="11">
    <w:nsid w:val="618C7D97"/>
    <w:multiLevelType w:val="hybridMultilevel"/>
    <w:tmpl w:val="CC7C56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49039DB"/>
    <w:multiLevelType w:val="multilevel"/>
    <w:tmpl w:val="A0E4C0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B4B3676"/>
    <w:multiLevelType w:val="hybridMultilevel"/>
    <w:tmpl w:val="0C6CEE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D2C5665"/>
    <w:multiLevelType w:val="hybridMultilevel"/>
    <w:tmpl w:val="823CA48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hint="default"/>
      </w:rPr>
    </w:lvl>
    <w:lvl w:ilvl="8" w:tentative="1">
      <w:start w:val="1"/>
      <w:numFmt w:val="bullet"/>
      <w:lvlText w:val=""/>
      <w:lvlJc w:val="left"/>
      <w:pPr>
        <w:ind w:left="7470" w:hanging="360"/>
      </w:pPr>
      <w:rPr>
        <w:rFonts w:ascii="Wingdings" w:hAnsi="Wingdings" w:hint="default"/>
      </w:rPr>
    </w:lvl>
  </w:abstractNum>
  <w:num w:numId="1" w16cid:durableId="1400904910">
    <w:abstractNumId w:val="9"/>
  </w:num>
  <w:num w:numId="2" w16cid:durableId="1088888036">
    <w:abstractNumId w:val="3"/>
  </w:num>
  <w:num w:numId="3" w16cid:durableId="1680698758">
    <w:abstractNumId w:val="4"/>
  </w:num>
  <w:num w:numId="4" w16cid:durableId="1028022078">
    <w:abstractNumId w:val="1"/>
  </w:num>
  <w:num w:numId="5" w16cid:durableId="1041175383">
    <w:abstractNumId w:val="14"/>
  </w:num>
  <w:num w:numId="6" w16cid:durableId="1143162150">
    <w:abstractNumId w:val="11"/>
  </w:num>
  <w:num w:numId="7" w16cid:durableId="2028750395">
    <w:abstractNumId w:val="7"/>
  </w:num>
  <w:num w:numId="8" w16cid:durableId="535894166">
    <w:abstractNumId w:val="8"/>
  </w:num>
  <w:num w:numId="9" w16cid:durableId="123890540">
    <w:abstractNumId w:val="13"/>
  </w:num>
  <w:num w:numId="10" w16cid:durableId="719208935">
    <w:abstractNumId w:val="6"/>
  </w:num>
  <w:num w:numId="11" w16cid:durableId="875118995">
    <w:abstractNumId w:val="10"/>
  </w:num>
  <w:num w:numId="12" w16cid:durableId="427118282">
    <w:abstractNumId w:val="0"/>
  </w:num>
  <w:num w:numId="13" w16cid:durableId="97335325">
    <w:abstractNumId w:val="5"/>
  </w:num>
  <w:num w:numId="14" w16cid:durableId="927812754">
    <w:abstractNumId w:val="12"/>
  </w:num>
  <w:num w:numId="15" w16cid:durableId="165290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296C"/>
    <w:rsid w:val="00022D1D"/>
    <w:rsid w:val="0003174D"/>
    <w:rsid w:val="000712DC"/>
    <w:rsid w:val="000C2A5A"/>
    <w:rsid w:val="000C4B4F"/>
    <w:rsid w:val="000C5523"/>
    <w:rsid w:val="000D7176"/>
    <w:rsid w:val="000F2AA1"/>
    <w:rsid w:val="00130A10"/>
    <w:rsid w:val="00173189"/>
    <w:rsid w:val="0018551F"/>
    <w:rsid w:val="00194EAD"/>
    <w:rsid w:val="00195400"/>
    <w:rsid w:val="001A10B6"/>
    <w:rsid w:val="001C4726"/>
    <w:rsid w:val="001D433C"/>
    <w:rsid w:val="001D7BBE"/>
    <w:rsid w:val="001E004B"/>
    <w:rsid w:val="001F2A5D"/>
    <w:rsid w:val="002132B6"/>
    <w:rsid w:val="0024688B"/>
    <w:rsid w:val="00280425"/>
    <w:rsid w:val="002847B4"/>
    <w:rsid w:val="0029442A"/>
    <w:rsid w:val="002C4EB8"/>
    <w:rsid w:val="002D58BF"/>
    <w:rsid w:val="00324E6B"/>
    <w:rsid w:val="00373ED8"/>
    <w:rsid w:val="003A1EC4"/>
    <w:rsid w:val="003C2CA0"/>
    <w:rsid w:val="003C37B8"/>
    <w:rsid w:val="00401A8A"/>
    <w:rsid w:val="00414D83"/>
    <w:rsid w:val="00462F60"/>
    <w:rsid w:val="004762EA"/>
    <w:rsid w:val="004813F3"/>
    <w:rsid w:val="00497E0B"/>
    <w:rsid w:val="004B7B90"/>
    <w:rsid w:val="004C4367"/>
    <w:rsid w:val="004D1876"/>
    <w:rsid w:val="004D2C96"/>
    <w:rsid w:val="004D6D84"/>
    <w:rsid w:val="004E7B81"/>
    <w:rsid w:val="004F18BA"/>
    <w:rsid w:val="004F4474"/>
    <w:rsid w:val="004F6DAA"/>
    <w:rsid w:val="00503AAC"/>
    <w:rsid w:val="0054060A"/>
    <w:rsid w:val="00565D70"/>
    <w:rsid w:val="00570C88"/>
    <w:rsid w:val="00574D7A"/>
    <w:rsid w:val="005C25BB"/>
    <w:rsid w:val="005D2FE1"/>
    <w:rsid w:val="005F15BB"/>
    <w:rsid w:val="00606638"/>
    <w:rsid w:val="0061500B"/>
    <w:rsid w:val="00635FAE"/>
    <w:rsid w:val="00647F97"/>
    <w:rsid w:val="00652F4C"/>
    <w:rsid w:val="00692309"/>
    <w:rsid w:val="00697A37"/>
    <w:rsid w:val="006A0452"/>
    <w:rsid w:val="006A13B2"/>
    <w:rsid w:val="006A6ED5"/>
    <w:rsid w:val="006A7DD6"/>
    <w:rsid w:val="006B4033"/>
    <w:rsid w:val="006B4247"/>
    <w:rsid w:val="006D6B34"/>
    <w:rsid w:val="006E11B2"/>
    <w:rsid w:val="00714873"/>
    <w:rsid w:val="00723A34"/>
    <w:rsid w:val="00727480"/>
    <w:rsid w:val="00731A90"/>
    <w:rsid w:val="0077603D"/>
    <w:rsid w:val="007820A6"/>
    <w:rsid w:val="00782F33"/>
    <w:rsid w:val="007844D0"/>
    <w:rsid w:val="00784EE8"/>
    <w:rsid w:val="007B274F"/>
    <w:rsid w:val="007C6837"/>
    <w:rsid w:val="007D1404"/>
    <w:rsid w:val="007E3A41"/>
    <w:rsid w:val="007F2127"/>
    <w:rsid w:val="00805063"/>
    <w:rsid w:val="00805511"/>
    <w:rsid w:val="00807C1A"/>
    <w:rsid w:val="00817925"/>
    <w:rsid w:val="0086426A"/>
    <w:rsid w:val="00876F23"/>
    <w:rsid w:val="008873E8"/>
    <w:rsid w:val="008E7700"/>
    <w:rsid w:val="008F188A"/>
    <w:rsid w:val="008F53AC"/>
    <w:rsid w:val="009243AA"/>
    <w:rsid w:val="009260D5"/>
    <w:rsid w:val="00967A7E"/>
    <w:rsid w:val="009778B4"/>
    <w:rsid w:val="0099128A"/>
    <w:rsid w:val="00994D3E"/>
    <w:rsid w:val="009A6AB2"/>
    <w:rsid w:val="009B6429"/>
    <w:rsid w:val="009D03FF"/>
    <w:rsid w:val="009D2490"/>
    <w:rsid w:val="009E60FB"/>
    <w:rsid w:val="009E7B87"/>
    <w:rsid w:val="009F4532"/>
    <w:rsid w:val="00A3070A"/>
    <w:rsid w:val="00A63E49"/>
    <w:rsid w:val="00A658D8"/>
    <w:rsid w:val="00A700DA"/>
    <w:rsid w:val="00AA35E1"/>
    <w:rsid w:val="00AD251A"/>
    <w:rsid w:val="00AD2B69"/>
    <w:rsid w:val="00AD4167"/>
    <w:rsid w:val="00AF26B4"/>
    <w:rsid w:val="00AF79FB"/>
    <w:rsid w:val="00B0375D"/>
    <w:rsid w:val="00B14298"/>
    <w:rsid w:val="00B2622D"/>
    <w:rsid w:val="00B2645D"/>
    <w:rsid w:val="00B26610"/>
    <w:rsid w:val="00B415D0"/>
    <w:rsid w:val="00B461A4"/>
    <w:rsid w:val="00B46EDD"/>
    <w:rsid w:val="00B662BE"/>
    <w:rsid w:val="00B6699D"/>
    <w:rsid w:val="00B723D8"/>
    <w:rsid w:val="00B733BC"/>
    <w:rsid w:val="00B81846"/>
    <w:rsid w:val="00B92CD6"/>
    <w:rsid w:val="00BA19E0"/>
    <w:rsid w:val="00BA29C4"/>
    <w:rsid w:val="00BC5E05"/>
    <w:rsid w:val="00BD18FD"/>
    <w:rsid w:val="00BF402A"/>
    <w:rsid w:val="00BF48CF"/>
    <w:rsid w:val="00C2499A"/>
    <w:rsid w:val="00C2633A"/>
    <w:rsid w:val="00C426CF"/>
    <w:rsid w:val="00C46EA0"/>
    <w:rsid w:val="00C51500"/>
    <w:rsid w:val="00C56B13"/>
    <w:rsid w:val="00C619A3"/>
    <w:rsid w:val="00C63DA5"/>
    <w:rsid w:val="00C806D4"/>
    <w:rsid w:val="00C819C1"/>
    <w:rsid w:val="00C92D65"/>
    <w:rsid w:val="00C96990"/>
    <w:rsid w:val="00CA6A95"/>
    <w:rsid w:val="00CF552E"/>
    <w:rsid w:val="00D10113"/>
    <w:rsid w:val="00D42010"/>
    <w:rsid w:val="00D664A3"/>
    <w:rsid w:val="00D72F2E"/>
    <w:rsid w:val="00D807AF"/>
    <w:rsid w:val="00D84F14"/>
    <w:rsid w:val="00DA5F2E"/>
    <w:rsid w:val="00DB04B6"/>
    <w:rsid w:val="00E26D96"/>
    <w:rsid w:val="00E418F7"/>
    <w:rsid w:val="00E47BDF"/>
    <w:rsid w:val="00E5596D"/>
    <w:rsid w:val="00E72F1F"/>
    <w:rsid w:val="00F80067"/>
    <w:rsid w:val="00F81839"/>
    <w:rsid w:val="00F965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2A3AA4"/>
  <w15:chartTrackingRefBased/>
  <w15:docId w15:val="{D2A01700-A71B-4B88-88F3-8F78D311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9,Times 10 Point,Voetnootverwijzing,fr,note TESI"/>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ootnote Text Char Char Char Char Char,Footnote Text Char Char Char Char Char Char Char Char Char Char Char Char Char Char Char Char Char Char,Footnote Text Char1 Char Char Char,fn Char"/>
    <w:basedOn w:val="Normal"/>
    <w:link w:val="FootnoteTextChar1"/>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ootnote Text Char Char Char Char Char Char,Footnote Text Char Char Char Char Char Char Char Char Char Char Char Char Char Char Char Char Char Char Char,fn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
    <w:name w:val="Body Text"/>
    <w:basedOn w:val="Normal"/>
    <w:link w:val="BodyTextChar"/>
    <w:rsid w:val="0077603D"/>
    <w:pPr>
      <w:spacing w:after="120"/>
    </w:pPr>
  </w:style>
  <w:style w:type="character" w:customStyle="1" w:styleId="BodyTextChar">
    <w:name w:val="Body Text Char"/>
    <w:link w:val="BodyText"/>
    <w:rsid w:val="0077603D"/>
    <w:rPr>
      <w:rFonts w:ascii="Courier" w:hAnsi="Courier"/>
      <w:snapToGrid w:val="0"/>
      <w:sz w:val="24"/>
    </w:rPr>
  </w:style>
  <w:style w:type="table" w:customStyle="1" w:styleId="TableGrid2">
    <w:name w:val="Table Grid2"/>
    <w:basedOn w:val="TableNormal"/>
    <w:next w:val="TableGrid"/>
    <w:uiPriority w:val="39"/>
    <w:rsid w:val="00B6699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E7B8-81BE-48D4-A5B5-25F323E2055D}">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2</cp:revision>
  <dcterms:created xsi:type="dcterms:W3CDTF">2026-02-03T21:59:00Z</dcterms:created>
  <dcterms:modified xsi:type="dcterms:W3CDTF">2026-02-03T21:59:00Z</dcterms:modified>
</cp:coreProperties>
</file>