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1A90" w:rsidRPr="00D807AF" w14:paraId="41D1F02C" w14:textId="71B3FDDC">
      <w:pPr>
        <w:pStyle w:val="Footer"/>
        <w:tabs>
          <w:tab w:val="clear" w:pos="4320"/>
          <w:tab w:val="center" w:pos="4680"/>
          <w:tab w:val="clear" w:pos="8640"/>
        </w:tabs>
        <w:jc w:val="center"/>
        <w:rPr>
          <w:rFonts w:ascii="Times New Roman" w:hAnsi="Times New Roman"/>
          <w:b/>
        </w:rPr>
      </w:pPr>
      <w:r w:rsidRPr="00D807AF">
        <w:rPr>
          <w:rFonts w:ascii="Times New Roman" w:hAnsi="Times New Roman"/>
          <w:b/>
        </w:rPr>
        <w:t>SUPPORTING STATEMENT</w:t>
      </w:r>
    </w:p>
    <w:p w:rsidR="00731A90" w:rsidRPr="00D807AF" w14:paraId="2DF79D8E" w14:textId="77777777">
      <w:pPr>
        <w:tabs>
          <w:tab w:val="center" w:pos="4680"/>
        </w:tabs>
        <w:jc w:val="center"/>
        <w:rPr>
          <w:rFonts w:ascii="Times New Roman" w:hAnsi="Times New Roman"/>
          <w:b/>
        </w:rPr>
      </w:pPr>
      <w:r>
        <w:rPr>
          <w:rFonts w:ascii="Times New Roman" w:hAnsi="Times New Roman"/>
          <w:b/>
        </w:rPr>
        <w:t>Reporting Requirements for Registered Transfer Agents</w:t>
      </w:r>
    </w:p>
    <w:p w:rsidR="00731A90" w:rsidRPr="00D807AF" w14:paraId="0F6414B3" w14:textId="77777777">
      <w:pPr>
        <w:tabs>
          <w:tab w:val="center" w:pos="4680"/>
        </w:tabs>
        <w:jc w:val="center"/>
        <w:rPr>
          <w:rFonts w:ascii="Times New Roman" w:hAnsi="Times New Roman"/>
          <w:b/>
        </w:rPr>
      </w:pPr>
      <w:r w:rsidRPr="00D807AF">
        <w:rPr>
          <w:rFonts w:ascii="Times New Roman" w:hAnsi="Times New Roman"/>
          <w:b/>
        </w:rPr>
        <w:t>(</w:t>
      </w:r>
      <w:r w:rsidR="00D807AF">
        <w:rPr>
          <w:rFonts w:ascii="Times New Roman" w:hAnsi="Times New Roman"/>
          <w:b/>
        </w:rPr>
        <w:t xml:space="preserve">OMB Control No. </w:t>
      </w:r>
      <w:r w:rsidRPr="00D807AF">
        <w:rPr>
          <w:rFonts w:ascii="Times New Roman" w:hAnsi="Times New Roman"/>
          <w:b/>
        </w:rPr>
        <w:t>3064-</w:t>
      </w:r>
      <w:r w:rsidRPr="00D807AF" w:rsidR="00BA7EBA">
        <w:rPr>
          <w:rFonts w:ascii="Times New Roman" w:hAnsi="Times New Roman"/>
          <w:b/>
        </w:rPr>
        <w:t>0</w:t>
      </w:r>
      <w:r w:rsidR="00BA7EBA">
        <w:rPr>
          <w:rFonts w:ascii="Times New Roman" w:hAnsi="Times New Roman"/>
          <w:b/>
        </w:rPr>
        <w:t>026</w:t>
      </w:r>
      <w:r w:rsidRPr="00D807AF">
        <w:rPr>
          <w:rFonts w:ascii="Times New Roman" w:hAnsi="Times New Roman"/>
          <w:b/>
        </w:rPr>
        <w:t>)</w:t>
      </w:r>
    </w:p>
    <w:p w:rsidR="00731A90" w14:paraId="0D7ACEC7" w14:textId="77777777">
      <w:pPr>
        <w:rPr>
          <w:rFonts w:ascii="Times New Roman" w:hAnsi="Times New Roman"/>
        </w:rPr>
      </w:pPr>
    </w:p>
    <w:p w:rsidR="00731A90" w14:paraId="3B5B612A" w14:textId="77777777">
      <w:pPr>
        <w:rPr>
          <w:rFonts w:ascii="Times New Roman" w:hAnsi="Times New Roman"/>
          <w:u w:val="single"/>
        </w:rPr>
      </w:pPr>
      <w:r>
        <w:rPr>
          <w:rFonts w:ascii="Times New Roman" w:hAnsi="Times New Roman"/>
          <w:u w:val="single"/>
        </w:rPr>
        <w:t>INTRODUCTION</w:t>
      </w:r>
    </w:p>
    <w:p w:rsidR="00731A90" w14:paraId="3BAB5CED" w14:textId="77777777">
      <w:pPr>
        <w:rPr>
          <w:rFonts w:ascii="Times New Roman" w:hAnsi="Times New Roman"/>
          <w:u w:val="single"/>
        </w:rPr>
      </w:pPr>
    </w:p>
    <w:p w:rsidR="00927E84" w:rsidRPr="00927E84" w:rsidP="00927E84" w14:paraId="0833101A" w14:textId="18E0298E">
      <w:pPr>
        <w:widowControl/>
        <w:rPr>
          <w:rFonts w:ascii="Times New Roman" w:hAnsi="Times New Roman"/>
          <w:color w:val="000000"/>
        </w:rPr>
      </w:pPr>
      <w:r w:rsidRPr="00794E47">
        <w:rPr>
          <w:rFonts w:ascii="Times New Roman" w:hAnsi="Times New Roman"/>
        </w:rPr>
        <w:t xml:space="preserve">The Federal Deposit Insurance Corporation (FDIC) is requesting a three-year renewal of the information collection titled, “Transfer Agent Registration and Amendment Form” (3064-0026). The information collection is used by insured </w:t>
      </w:r>
      <w:r w:rsidRPr="00794E47">
        <w:rPr>
          <w:rFonts w:ascii="Times New Roman" w:hAnsi="Times New Roman"/>
        </w:rPr>
        <w:t>nonmember</w:t>
      </w:r>
      <w:r w:rsidRPr="00794E47">
        <w:rPr>
          <w:rFonts w:ascii="Times New Roman" w:hAnsi="Times New Roman"/>
        </w:rPr>
        <w:t xml:space="preserve"> banks and their direct subsidiaries to register with the FDIC as transfer agents, as required by the Securities and Exchange Act of 1934. This information collection expires on </w:t>
      </w:r>
      <w:r w:rsidR="00D37648">
        <w:rPr>
          <w:rFonts w:ascii="Times New Roman" w:hAnsi="Times New Roman"/>
        </w:rPr>
        <w:t>February 28, 2026</w:t>
      </w:r>
      <w:r w:rsidRPr="00794E47">
        <w:rPr>
          <w:rFonts w:ascii="Times New Roman" w:hAnsi="Times New Roman"/>
        </w:rPr>
        <w:t xml:space="preserve">.  </w:t>
      </w:r>
    </w:p>
    <w:p w:rsidR="00927E84" w:rsidRPr="00602CF2" w:rsidP="00602CF2" w14:paraId="29FD67A6" w14:textId="77777777">
      <w:pPr>
        <w:widowControl/>
        <w:rPr>
          <w:rFonts w:ascii="Times New Roman" w:hAnsi="Times New Roman"/>
          <w:color w:val="000000"/>
        </w:rPr>
      </w:pPr>
    </w:p>
    <w:p w:rsidR="00DB04B6" w:rsidP="004D1876" w14:paraId="797E199A" w14:textId="77777777">
      <w:pPr>
        <w:rPr>
          <w:rFonts w:ascii="Times New Roman" w:hAnsi="Times New Roman"/>
        </w:rPr>
      </w:pPr>
    </w:p>
    <w:p w:rsidR="00731A90" w:rsidP="000C4B4F" w14:paraId="75A92207" w14:textId="77777777">
      <w:pPr>
        <w:numPr>
          <w:ilvl w:val="0"/>
          <w:numId w:val="12"/>
        </w:numPr>
        <w:rPr>
          <w:rFonts w:ascii="Times New Roman" w:hAnsi="Times New Roman"/>
          <w:u w:val="single"/>
        </w:rPr>
      </w:pPr>
      <w:r>
        <w:rPr>
          <w:rFonts w:ascii="Times New Roman" w:hAnsi="Times New Roman"/>
          <w:u w:val="single"/>
        </w:rPr>
        <w:t>JUSTIFICATION</w:t>
      </w:r>
    </w:p>
    <w:p w:rsidR="000C4B4F" w:rsidP="000C4B4F" w14:paraId="748B54C2" w14:textId="77777777">
      <w:pPr>
        <w:rPr>
          <w:rFonts w:ascii="Times New Roman" w:hAnsi="Times New Roman"/>
          <w:u w:val="single"/>
        </w:rPr>
      </w:pPr>
    </w:p>
    <w:p w:rsidR="00731A90" w14:paraId="203F9E2D" w14:textId="77777777">
      <w:pPr>
        <w:rPr>
          <w:rFonts w:ascii="Times New Roman" w:hAnsi="Times New Roman"/>
        </w:rPr>
      </w:pPr>
    </w:p>
    <w:p w:rsidR="00731A90" w:rsidP="00DA5F2E" w14:paraId="43A3D606" w14:textId="77777777">
      <w:pPr>
        <w:numPr>
          <w:ilvl w:val="0"/>
          <w:numId w:val="15"/>
        </w:numPr>
        <w:rPr>
          <w:rFonts w:ascii="Times New Roman" w:hAnsi="Times New Roman"/>
        </w:rPr>
      </w:pPr>
      <w:r w:rsidRPr="00B662BE">
        <w:rPr>
          <w:rFonts w:ascii="Times New Roman" w:hAnsi="Times New Roman"/>
          <w:bCs/>
          <w:szCs w:val="24"/>
          <w:u w:val="single"/>
        </w:rPr>
        <w:t>Circumstances that make the collection necessary:</w:t>
      </w:r>
    </w:p>
    <w:p w:rsidR="00731A90" w14:paraId="7F568E6D" w14:textId="77777777">
      <w:pPr>
        <w:ind w:firstLine="1440"/>
        <w:rPr>
          <w:rFonts w:ascii="Times New Roman" w:hAnsi="Times New Roman"/>
        </w:rPr>
      </w:pPr>
    </w:p>
    <w:p w:rsidR="00BA7EBA" w:rsidRPr="00BA7EBA" w:rsidP="00BA7EBA" w14:paraId="36A2DB2B" w14:textId="77777777">
      <w:pPr>
        <w:ind w:left="1440"/>
        <w:rPr>
          <w:rFonts w:ascii="Times New Roman" w:hAnsi="Times New Roman"/>
        </w:rPr>
      </w:pPr>
      <w:r w:rsidRPr="00BA7EBA">
        <w:rPr>
          <w:rFonts w:ascii="Times New Roman" w:hAnsi="Times New Roman"/>
        </w:rPr>
        <w:t>Under Section 17A(c)(1) of the Securities Exchange Act of 1934 (15 USC 78q-1 (c)(1)), it is unlawful for any transfer agent to perform any transfer agent function with respect to any qualifying security unless that transfer agent is registered with its appropriate regulatory agency.  A "qualifying security" is any security registered under Section 12 of the Act.</w:t>
      </w:r>
    </w:p>
    <w:p w:rsidR="00BA7EBA" w:rsidRPr="00BA7EBA" w:rsidP="00BA7EBA" w14:paraId="20BEC5EF" w14:textId="77777777">
      <w:pPr>
        <w:ind w:left="1440"/>
        <w:rPr>
          <w:rFonts w:ascii="Times New Roman" w:hAnsi="Times New Roman"/>
        </w:rPr>
      </w:pPr>
    </w:p>
    <w:p w:rsidR="009D2490" w:rsidP="00BA7EBA" w14:paraId="51BC15F9" w14:textId="52D9125C">
      <w:pPr>
        <w:ind w:left="1440"/>
        <w:rPr>
          <w:rFonts w:ascii="Times New Roman" w:hAnsi="Times New Roman"/>
        </w:rPr>
      </w:pPr>
      <w:r w:rsidRPr="00BA7EBA">
        <w:rPr>
          <w:rFonts w:ascii="Times New Roman" w:hAnsi="Times New Roman"/>
        </w:rPr>
        <w:t>Before an insured nonmember bank and its direct subsidiaries may perform any transfer agent function for a qualifying security, it must register on Form TA-1 with the FDIC and its registration must become effective.  Section 341.3 of FDIC's regulations (12 CFR 341) governs this registration of transfer agents.  Section 341.4 of that regulation requires that within 60 calendar days following the date on which any information reported on Form TA-1 becomes inaccurate, misleading or incomplete, the registrant shall file an amendment on Form TA-1 correcting the inaccurate, misleading or incomplete information.</w:t>
      </w:r>
      <w:r w:rsidR="00CF04ED">
        <w:rPr>
          <w:rFonts w:ascii="Times New Roman" w:hAnsi="Times New Roman"/>
        </w:rPr>
        <w:t xml:space="preserve"> </w:t>
      </w:r>
      <w:r w:rsidRPr="00927E84" w:rsidR="00CF04ED">
        <w:rPr>
          <w:rFonts w:ascii="Times New Roman" w:hAnsi="Times New Roman"/>
          <w:bCs/>
        </w:rPr>
        <w:t xml:space="preserve">Under 12 CFR 341.5, transfer agents that are registered with the FDIC are required to deregister when they cease to operate as transfer agents.  The deregistration process involves submitting form TA-W to the FDIC.  </w:t>
      </w:r>
    </w:p>
    <w:p w:rsidR="00927E84" w:rsidP="00BA7EBA" w14:paraId="37A3DB7B" w14:textId="77777777">
      <w:pPr>
        <w:ind w:left="1440"/>
        <w:rPr>
          <w:rFonts w:ascii="Times New Roman" w:hAnsi="Times New Roman"/>
        </w:rPr>
      </w:pPr>
    </w:p>
    <w:p w:rsidR="00602CF2" w:rsidRPr="00373ED8" w:rsidP="009D2490" w14:paraId="27A39FEE" w14:textId="77777777">
      <w:pPr>
        <w:ind w:left="1440"/>
        <w:rPr>
          <w:rFonts w:ascii="Times New Roman" w:hAnsi="Times New Roman"/>
        </w:rPr>
      </w:pPr>
    </w:p>
    <w:p w:rsidR="004D1876" w:rsidRPr="00BA7EBA" w:rsidP="00DA5F2E" w14:paraId="4B3B3FE2" w14:textId="77777777">
      <w:pPr>
        <w:numPr>
          <w:ilvl w:val="0"/>
          <w:numId w:val="15"/>
        </w:numPr>
        <w:tabs>
          <w:tab w:val="left" w:pos="-1440"/>
        </w:tabs>
        <w:rPr>
          <w:rFonts w:ascii="Times New Roman" w:hAnsi="Times New Roman"/>
        </w:rPr>
      </w:pPr>
      <w:r w:rsidRPr="00373ED8">
        <w:rPr>
          <w:rFonts w:ascii="Times New Roman" w:hAnsi="Times New Roman"/>
          <w:u w:val="single"/>
        </w:rPr>
        <w:t>Use of the information:</w:t>
      </w:r>
    </w:p>
    <w:p w:rsidR="00BA7EBA" w:rsidRPr="00373ED8" w:rsidP="00BA7EBA" w14:paraId="3B0E9373" w14:textId="77777777">
      <w:pPr>
        <w:tabs>
          <w:tab w:val="left" w:pos="-1440"/>
        </w:tabs>
        <w:ind w:left="1440"/>
        <w:rPr>
          <w:rFonts w:ascii="Times New Roman" w:hAnsi="Times New Roman"/>
        </w:rPr>
      </w:pPr>
    </w:p>
    <w:p w:rsidR="00602CF2" w:rsidP="00BA7EBA" w14:paraId="393B6E28" w14:textId="77777777">
      <w:pPr>
        <w:ind w:left="1440"/>
        <w:rPr>
          <w:rFonts w:ascii="Times New Roman" w:hAnsi="Times New Roman"/>
        </w:rPr>
      </w:pPr>
      <w:r w:rsidRPr="00BA7EBA">
        <w:rPr>
          <w:rFonts w:ascii="Times New Roman" w:hAnsi="Times New Roman"/>
        </w:rPr>
        <w:t xml:space="preserve">The information on the Form TA-1 is used by the FDIC to register each transfer agent as required by the Securities Exchange Act.  The form is reviewed for completeness.  If approved, the information from the Form TA-1 is entered into an automated file.  If the FDIC has questions about the acceptability of the prospective transfer agent the application may be denied or postponed depending on the nature of the issues involved.  The registration becomes effective 30 days after the date an application on form TA-1 is filed unless the FDIC accelerates, </w:t>
      </w:r>
      <w:r w:rsidRPr="00BA7EBA">
        <w:rPr>
          <w:rFonts w:ascii="Times New Roman" w:hAnsi="Times New Roman"/>
        </w:rPr>
        <w:t>denies or postpones such registration in accordance with section 17A(c) of the Act.</w:t>
      </w:r>
      <w:r w:rsidR="006F3000">
        <w:rPr>
          <w:rFonts w:ascii="Times New Roman" w:hAnsi="Times New Roman"/>
        </w:rPr>
        <w:t xml:space="preserve">  The information collected on form TA-W is used by FDIC</w:t>
      </w:r>
      <w:r w:rsidR="00F73DD8">
        <w:rPr>
          <w:rFonts w:ascii="Times New Roman" w:hAnsi="Times New Roman"/>
        </w:rPr>
        <w:t xml:space="preserve"> to process </w:t>
      </w:r>
      <w:r w:rsidR="006F3000">
        <w:rPr>
          <w:rFonts w:ascii="Times New Roman" w:hAnsi="Times New Roman"/>
        </w:rPr>
        <w:t>de-registration of a previously-registered transfer agent.</w:t>
      </w:r>
    </w:p>
    <w:p w:rsidR="00BA7EBA" w:rsidP="00BA7EBA" w14:paraId="37FDC408" w14:textId="77777777">
      <w:pPr>
        <w:ind w:left="1440"/>
        <w:rPr>
          <w:rFonts w:ascii="Times New Roman" w:hAnsi="Times New Roman"/>
        </w:rPr>
      </w:pPr>
    </w:p>
    <w:p w:rsidR="00731A90" w:rsidP="00DA5F2E" w14:paraId="1D563608" w14:textId="77777777">
      <w:pPr>
        <w:numPr>
          <w:ilvl w:val="0"/>
          <w:numId w:val="15"/>
        </w:numPr>
        <w:rPr>
          <w:rFonts w:ascii="Times New Roman" w:hAnsi="Times New Roman"/>
        </w:rPr>
      </w:pPr>
      <w:r w:rsidRPr="00B662BE">
        <w:rPr>
          <w:rFonts w:ascii="Times New Roman" w:hAnsi="Times New Roman"/>
          <w:bCs/>
          <w:szCs w:val="24"/>
          <w:u w:val="single"/>
        </w:rPr>
        <w:t>Consideration of the use of improved information technology:</w:t>
      </w:r>
    </w:p>
    <w:p w:rsidR="00731A90" w14:paraId="0F63A38E" w14:textId="77777777">
      <w:pPr>
        <w:rPr>
          <w:rFonts w:ascii="Times New Roman" w:hAnsi="Times New Roman"/>
        </w:rPr>
      </w:pPr>
    </w:p>
    <w:p w:rsidR="00BA7EBA" w:rsidRPr="00BA7EBA" w:rsidP="00BA7EBA" w14:paraId="7C863F78" w14:textId="77777777">
      <w:pPr>
        <w:ind w:left="1440"/>
        <w:rPr>
          <w:rFonts w:ascii="Times New Roman" w:hAnsi="Times New Roman"/>
        </w:rPr>
      </w:pPr>
      <w:r w:rsidRPr="00BA7EBA">
        <w:rPr>
          <w:rFonts w:ascii="Times New Roman" w:hAnsi="Times New Roman"/>
        </w:rPr>
        <w:t>The form is available on the FDIC and Federal Financial Institutio</w:t>
      </w:r>
      <w:r w:rsidR="006F3000">
        <w:rPr>
          <w:rFonts w:ascii="Times New Roman" w:hAnsi="Times New Roman"/>
        </w:rPr>
        <w:t>ns Examination Council websites.  It can be electronically filled-in but must be signed and submitted on paper.</w:t>
      </w:r>
    </w:p>
    <w:p w:rsidR="00602CF2" w:rsidP="00B26610" w14:paraId="453DEA56" w14:textId="77777777">
      <w:pPr>
        <w:ind w:left="1440"/>
        <w:rPr>
          <w:rFonts w:ascii="Times New Roman" w:hAnsi="Times New Roman"/>
          <w:color w:val="000000"/>
          <w:szCs w:val="24"/>
        </w:rPr>
      </w:pPr>
    </w:p>
    <w:p w:rsidR="00731A90" w:rsidP="00DA5F2E" w14:paraId="7353B5F0" w14:textId="77777777">
      <w:pPr>
        <w:numPr>
          <w:ilvl w:val="0"/>
          <w:numId w:val="15"/>
        </w:numPr>
        <w:rPr>
          <w:rFonts w:ascii="Times New Roman" w:hAnsi="Times New Roman"/>
        </w:rPr>
      </w:pPr>
      <w:r>
        <w:rPr>
          <w:rFonts w:ascii="Times New Roman" w:hAnsi="Times New Roman"/>
          <w:u w:val="single"/>
        </w:rPr>
        <w:t>Efforts to identify duplication</w:t>
      </w:r>
      <w:r w:rsidR="008F53AC">
        <w:rPr>
          <w:rFonts w:ascii="Times New Roman" w:hAnsi="Times New Roman"/>
          <w:u w:val="single"/>
        </w:rPr>
        <w:t>:</w:t>
      </w:r>
    </w:p>
    <w:p w:rsidR="00731A90" w14:paraId="6D77AA13" w14:textId="77777777">
      <w:pPr>
        <w:rPr>
          <w:rFonts w:ascii="Times New Roman" w:hAnsi="Times New Roman"/>
        </w:rPr>
      </w:pPr>
    </w:p>
    <w:p w:rsidR="00602CF2" w:rsidP="00DA5F2E" w14:paraId="22C49EB4" w14:textId="77777777">
      <w:pPr>
        <w:ind w:left="1440"/>
        <w:rPr>
          <w:rFonts w:ascii="Times New Roman" w:hAnsi="Times New Roman"/>
          <w:color w:val="000000"/>
          <w:szCs w:val="24"/>
        </w:rPr>
      </w:pPr>
      <w:r w:rsidRPr="00BA7EBA">
        <w:rPr>
          <w:rFonts w:ascii="Times New Roman" w:hAnsi="Times New Roman"/>
          <w:color w:val="000000"/>
          <w:szCs w:val="24"/>
        </w:rPr>
        <w:t>The information collected on the Form TA-1 does not duplicate other information available within the FDIC or within other government agencies.  Each of the Federal bank regulatory agencies uses the same Form TA-1</w:t>
      </w:r>
      <w:r w:rsidR="006F3000">
        <w:rPr>
          <w:rFonts w:ascii="Times New Roman" w:hAnsi="Times New Roman"/>
          <w:color w:val="000000"/>
          <w:szCs w:val="24"/>
        </w:rPr>
        <w:t>and form TA-W</w:t>
      </w:r>
      <w:r w:rsidRPr="00BA7EBA">
        <w:rPr>
          <w:rFonts w:ascii="Times New Roman" w:hAnsi="Times New Roman"/>
          <w:color w:val="000000"/>
          <w:szCs w:val="24"/>
        </w:rPr>
        <w:t xml:space="preserve"> to collect the information from the banks they regulate.  The Federal bank regulatory agencies submit copies of the filings to the SEC on behalf of their registrants to satisfy requirements of the Act.</w:t>
      </w:r>
    </w:p>
    <w:p w:rsidR="00BA7EBA" w:rsidP="00BA7EBA" w14:paraId="6C092658" w14:textId="77777777">
      <w:pPr>
        <w:rPr>
          <w:rFonts w:ascii="Times New Roman" w:hAnsi="Times New Roman"/>
        </w:rPr>
      </w:pPr>
    </w:p>
    <w:p w:rsidR="00731A90" w:rsidP="00DA5F2E" w14:paraId="3610FEB2" w14:textId="77777777">
      <w:pPr>
        <w:numPr>
          <w:ilvl w:val="0"/>
          <w:numId w:val="15"/>
        </w:numPr>
        <w:rPr>
          <w:rFonts w:ascii="Times New Roman" w:hAnsi="Times New Roman"/>
          <w:u w:val="single"/>
        </w:rPr>
      </w:pPr>
      <w:r w:rsidRPr="008873E8">
        <w:rPr>
          <w:rFonts w:ascii="Times New Roman" w:hAnsi="Times New Roman"/>
          <w:bCs/>
          <w:szCs w:val="24"/>
          <w:u w:val="single"/>
        </w:rPr>
        <w:t>Methods used to minimize burden if the collection has a significant impact on a substantial number of small entities:</w:t>
      </w:r>
    </w:p>
    <w:p w:rsidR="00731A90" w14:paraId="4507CEE7" w14:textId="77777777">
      <w:pPr>
        <w:ind w:left="1440"/>
        <w:rPr>
          <w:rFonts w:ascii="Times New Roman" w:hAnsi="Times New Roman"/>
        </w:rPr>
      </w:pPr>
    </w:p>
    <w:p w:rsidR="00DA5F2E" w:rsidP="00BF48CF" w14:paraId="57993E65" w14:textId="49075BF4">
      <w:pPr>
        <w:ind w:left="1440"/>
        <w:rPr>
          <w:rFonts w:ascii="Times New Roman" w:hAnsi="Times New Roman"/>
        </w:rPr>
      </w:pPr>
      <w:r w:rsidRPr="0005397F">
        <w:rPr>
          <w:rFonts w:ascii="Times New Roman" w:hAnsi="Times New Roman"/>
        </w:rPr>
        <w:t>All banks, regardless of size, are required to submit the identical application Form</w:t>
      </w:r>
      <w:r w:rsidR="003E1200">
        <w:rPr>
          <w:rFonts w:ascii="Times New Roman" w:hAnsi="Times New Roman"/>
        </w:rPr>
        <w:t xml:space="preserve">s </w:t>
      </w:r>
      <w:r w:rsidRPr="0005397F">
        <w:rPr>
          <w:rFonts w:ascii="Times New Roman" w:hAnsi="Times New Roman"/>
        </w:rPr>
        <w:t>TA-</w:t>
      </w:r>
      <w:r w:rsidRPr="0005397F" w:rsidR="003E1200">
        <w:rPr>
          <w:rFonts w:ascii="Times New Roman" w:hAnsi="Times New Roman"/>
        </w:rPr>
        <w:t>1</w:t>
      </w:r>
      <w:r w:rsidR="003E1200">
        <w:rPr>
          <w:rFonts w:ascii="Times New Roman" w:hAnsi="Times New Roman"/>
        </w:rPr>
        <w:t xml:space="preserve"> </w:t>
      </w:r>
      <w:r w:rsidRPr="0005397F" w:rsidR="003E1200">
        <w:rPr>
          <w:rFonts w:ascii="Times New Roman" w:hAnsi="Times New Roman"/>
        </w:rPr>
        <w:t>to</w:t>
      </w:r>
      <w:r w:rsidRPr="0005397F">
        <w:rPr>
          <w:rFonts w:ascii="Times New Roman" w:hAnsi="Times New Roman"/>
        </w:rPr>
        <w:t xml:space="preserve"> become registered as transfer agents for qualifying securities</w:t>
      </w:r>
      <w:r w:rsidR="003E1200">
        <w:rPr>
          <w:rFonts w:ascii="Times New Roman" w:hAnsi="Times New Roman"/>
        </w:rPr>
        <w:t xml:space="preserve"> and Form TA-W to de-register as such</w:t>
      </w:r>
      <w:r w:rsidRPr="0005397F">
        <w:rPr>
          <w:rFonts w:ascii="Times New Roman" w:hAnsi="Times New Roman"/>
        </w:rPr>
        <w:t>.  The information requested on the form</w:t>
      </w:r>
      <w:r w:rsidR="003E1200">
        <w:rPr>
          <w:rFonts w:ascii="Times New Roman" w:hAnsi="Times New Roman"/>
        </w:rPr>
        <w:t>s</w:t>
      </w:r>
      <w:r w:rsidRPr="0005397F">
        <w:rPr>
          <w:rFonts w:ascii="Times New Roman" w:hAnsi="Times New Roman"/>
        </w:rPr>
        <w:t xml:space="preserve"> is considered to be the </w:t>
      </w:r>
      <w:r w:rsidRPr="0005397F" w:rsidR="00AE1BD5">
        <w:rPr>
          <w:rFonts w:ascii="Times New Roman" w:hAnsi="Times New Roman"/>
        </w:rPr>
        <w:t>minimum</w:t>
      </w:r>
      <w:r w:rsidRPr="0005397F">
        <w:rPr>
          <w:rFonts w:ascii="Times New Roman" w:hAnsi="Times New Roman"/>
        </w:rPr>
        <w:t xml:space="preserve"> needed by the FDIC and the SEC to identify and register an applicant.</w:t>
      </w:r>
      <w:r w:rsidR="003E1200">
        <w:rPr>
          <w:rFonts w:ascii="Times New Roman" w:hAnsi="Times New Roman"/>
        </w:rPr>
        <w:t xml:space="preserve">   </w:t>
      </w:r>
    </w:p>
    <w:p w:rsidR="0005397F" w:rsidP="00BF48CF" w14:paraId="2CFB97A9" w14:textId="77777777">
      <w:pPr>
        <w:ind w:left="1440"/>
        <w:rPr>
          <w:rFonts w:ascii="Times New Roman" w:hAnsi="Times New Roman"/>
          <w:szCs w:val="24"/>
        </w:rPr>
      </w:pPr>
    </w:p>
    <w:p w:rsidR="00731A90" w:rsidP="00DA5F2E" w14:paraId="4AF6089C" w14:textId="77777777">
      <w:pPr>
        <w:numPr>
          <w:ilvl w:val="0"/>
          <w:numId w:val="15"/>
        </w:numPr>
        <w:tabs>
          <w:tab w:val="left" w:pos="-1620"/>
        </w:tabs>
        <w:rPr>
          <w:rFonts w:ascii="Times New Roman" w:hAnsi="Times New Roman"/>
        </w:rPr>
      </w:pPr>
      <w:r w:rsidRPr="008873E8">
        <w:rPr>
          <w:rFonts w:ascii="Times New Roman" w:hAnsi="Times New Roman"/>
          <w:bCs/>
          <w:szCs w:val="24"/>
          <w:u w:val="single"/>
        </w:rPr>
        <w:t>Consequences to the Federal program if the collection were conducted less frequently:</w:t>
      </w:r>
    </w:p>
    <w:p w:rsidR="00731A90" w:rsidP="00BF48CF" w14:paraId="5BB516D2" w14:textId="77777777">
      <w:pPr>
        <w:ind w:left="1440"/>
        <w:rPr>
          <w:rFonts w:ascii="Times New Roman" w:hAnsi="Times New Roman"/>
        </w:rPr>
      </w:pPr>
    </w:p>
    <w:p w:rsidR="0005397F" w:rsidRPr="0005397F" w:rsidP="0005397F" w14:paraId="4D396170" w14:textId="77777777">
      <w:pPr>
        <w:widowControl/>
        <w:ind w:left="1440"/>
        <w:rPr>
          <w:rFonts w:ascii="Times New Roman" w:hAnsi="Times New Roman"/>
        </w:rPr>
      </w:pPr>
      <w:r>
        <w:rPr>
          <w:rFonts w:ascii="Times New Roman" w:hAnsi="Times New Roman"/>
        </w:rPr>
        <w:t xml:space="preserve">The information is </w:t>
      </w:r>
      <w:r w:rsidRPr="0005397F">
        <w:rPr>
          <w:rFonts w:ascii="Times New Roman" w:hAnsi="Times New Roman"/>
        </w:rPr>
        <w:t xml:space="preserve">collected </w:t>
      </w:r>
      <w:r>
        <w:rPr>
          <w:rFonts w:ascii="Times New Roman" w:hAnsi="Times New Roman"/>
        </w:rPr>
        <w:t>on-occasion.  A bank prepares and submits</w:t>
      </w:r>
      <w:r w:rsidRPr="0005397F">
        <w:rPr>
          <w:rFonts w:ascii="Times New Roman" w:hAnsi="Times New Roman"/>
        </w:rPr>
        <w:t xml:space="preserve"> Form TA-1 only when it seeks to serve as a transfer agent or when it is amending a previously submitted form.</w:t>
      </w:r>
      <w:r>
        <w:rPr>
          <w:rFonts w:ascii="Times New Roman" w:hAnsi="Times New Roman"/>
        </w:rPr>
        <w:t xml:space="preserve">  Form TA-W is only submitted when a respondent wishes to no longer act as a transfer agent.</w:t>
      </w:r>
    </w:p>
    <w:p w:rsidR="00DA5F2E" w:rsidP="00DA5F2E" w14:paraId="2D5BD5CA" w14:textId="77777777">
      <w:pPr>
        <w:widowControl/>
        <w:ind w:left="1440"/>
        <w:rPr>
          <w:rFonts w:ascii="Times New Roman" w:hAnsi="Times New Roman"/>
        </w:rPr>
      </w:pPr>
    </w:p>
    <w:p w:rsidR="00D807AF" w:rsidRPr="001F2A5D" w:rsidP="00DA5F2E" w14:paraId="37256087" w14:textId="77777777">
      <w:pPr>
        <w:numPr>
          <w:ilvl w:val="0"/>
          <w:numId w:val="15"/>
        </w:numPr>
        <w:rPr>
          <w:rFonts w:ascii="Times New Roman" w:hAnsi="Times New Roman"/>
          <w:szCs w:val="24"/>
        </w:rPr>
      </w:pPr>
      <w:r w:rsidRPr="008873E8">
        <w:rPr>
          <w:rFonts w:ascii="Times New Roman" w:hAnsi="Times New Roman"/>
          <w:bCs/>
          <w:szCs w:val="24"/>
          <w:u w:val="single"/>
        </w:rPr>
        <w:t>Special circumstances necessitating collection inconsistent with 5 CFR Part 1320.5(d)(2):</w:t>
      </w:r>
      <w:r>
        <w:rPr>
          <w:rFonts w:ascii="Times New Roman" w:hAnsi="Times New Roman"/>
          <w:bCs/>
          <w:szCs w:val="24"/>
          <w:u w:val="single"/>
        </w:rPr>
        <w:t xml:space="preserve"> </w:t>
      </w:r>
    </w:p>
    <w:p w:rsidR="00731A90" w14:paraId="2FF4F316" w14:textId="77777777">
      <w:pPr>
        <w:rPr>
          <w:rFonts w:ascii="Times New Roman" w:hAnsi="Times New Roman"/>
        </w:rPr>
      </w:pPr>
    </w:p>
    <w:p w:rsidR="00BE6ED9" w:rsidRPr="0011503E" w:rsidP="0005397F" w14:paraId="631E56E0"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rPr>
      </w:pPr>
      <w:r w:rsidRPr="00712682">
        <w:rPr>
          <w:rFonts w:ascii="Times New Roman" w:hAnsi="Times New Roman"/>
        </w:rPr>
        <w:t>None. This information collection is conducted in accordance with the guidelines in 5 CFR 1320.5(d)(2).</w:t>
      </w:r>
    </w:p>
    <w:p w:rsidR="006B4033" w:rsidP="006B4033" w14:paraId="1DF7BEF2" w14:textId="77777777">
      <w:pPr>
        <w:rPr>
          <w:rFonts w:ascii="Times New Roman" w:hAnsi="Times New Roman"/>
        </w:rPr>
      </w:pPr>
    </w:p>
    <w:p w:rsidR="00D807AF" w:rsidRPr="001F2A5D" w:rsidP="006B4033" w14:paraId="44650F26" w14:textId="77777777">
      <w:pPr>
        <w:numPr>
          <w:ilvl w:val="0"/>
          <w:numId w:val="15"/>
        </w:numPr>
        <w:rPr>
          <w:rFonts w:ascii="Times New Roman" w:hAnsi="Times New Roman"/>
          <w:szCs w:val="24"/>
        </w:rPr>
      </w:pPr>
      <w:r w:rsidRPr="008873E8">
        <w:rPr>
          <w:rFonts w:ascii="Times New Roman" w:hAnsi="Times New Roman"/>
          <w:bCs/>
          <w:szCs w:val="24"/>
          <w:u w:val="single"/>
        </w:rPr>
        <w:t>Efforts to consult with persons outside the agency:</w:t>
      </w:r>
    </w:p>
    <w:p w:rsidR="00731A90" w:rsidP="00D807AF" w14:paraId="7402F859" w14:textId="77777777">
      <w:pPr>
        <w:ind w:firstLine="720"/>
        <w:rPr>
          <w:rFonts w:ascii="Times New Roman" w:hAnsi="Times New Roman"/>
        </w:rPr>
      </w:pPr>
    </w:p>
    <w:p w:rsidR="00015EBD" w:rsidP="00015EBD" w14:paraId="30FE5C7A" w14:textId="7406DF5A">
      <w:pPr>
        <w:widowControl/>
        <w:autoSpaceDE w:val="0"/>
        <w:autoSpaceDN w:val="0"/>
        <w:adjustRightInd w:val="0"/>
        <w:ind w:left="1440"/>
        <w:rPr>
          <w:rFonts w:ascii="Times New Roman" w:eastAsia="Calibri" w:hAnsi="Times New Roman"/>
          <w:snapToGrid/>
          <w:szCs w:val="24"/>
        </w:rPr>
      </w:pPr>
      <w:r w:rsidRPr="004170C7">
        <w:rPr>
          <w:rFonts w:ascii="Times New Roman" w:eastAsia="Calibri" w:hAnsi="Times New Roman"/>
          <w:snapToGrid/>
          <w:szCs w:val="24"/>
        </w:rPr>
        <w:t>A 60-day Federal Register notice seeking public comment was published on June 23, 2025 (90 FR 26584).  No comments were received</w:t>
      </w:r>
      <w:r w:rsidRPr="007E5FB2" w:rsidR="0021131F">
        <w:rPr>
          <w:rFonts w:ascii="Times New Roman" w:hAnsi="Times New Roman"/>
          <w:iCs/>
          <w:szCs w:val="24"/>
        </w:rPr>
        <w:t>.</w:t>
      </w:r>
      <w:r w:rsidRPr="000712DC" w:rsidR="0021131F">
        <w:rPr>
          <w:rFonts w:ascii="Times New Roman" w:eastAsia="Calibri" w:hAnsi="Times New Roman"/>
          <w:snapToGrid/>
          <w:szCs w:val="24"/>
        </w:rPr>
        <w:t xml:space="preserve"> </w:t>
      </w:r>
    </w:p>
    <w:p w:rsidR="00015EBD" w:rsidP="00015EBD" w14:paraId="292E8EC3" w14:textId="77777777">
      <w:pPr>
        <w:widowControl/>
        <w:autoSpaceDE w:val="0"/>
        <w:autoSpaceDN w:val="0"/>
        <w:adjustRightInd w:val="0"/>
        <w:ind w:left="1440"/>
        <w:rPr>
          <w:rFonts w:ascii="Times New Roman" w:eastAsia="Calibri" w:hAnsi="Times New Roman"/>
          <w:snapToGrid/>
          <w:szCs w:val="24"/>
        </w:rPr>
      </w:pPr>
    </w:p>
    <w:p w:rsidR="00D807AF" w:rsidRPr="001F2A5D" w:rsidP="00015EBD" w14:paraId="7A278B87" w14:textId="77777777">
      <w:pPr>
        <w:widowControl/>
        <w:numPr>
          <w:ilvl w:val="0"/>
          <w:numId w:val="15"/>
        </w:numPr>
        <w:autoSpaceDE w:val="0"/>
        <w:autoSpaceDN w:val="0"/>
        <w:adjustRightInd w:val="0"/>
        <w:rPr>
          <w:rFonts w:ascii="Times New Roman" w:hAnsi="Times New Roman"/>
          <w:szCs w:val="24"/>
        </w:rPr>
      </w:pPr>
      <w:r w:rsidRPr="001F2A5D">
        <w:rPr>
          <w:rFonts w:ascii="Times New Roman" w:hAnsi="Times New Roman"/>
          <w:szCs w:val="24"/>
          <w:u w:val="single"/>
        </w:rPr>
        <w:t>Payment</w:t>
      </w:r>
      <w:r>
        <w:rPr>
          <w:rFonts w:ascii="Times New Roman" w:hAnsi="Times New Roman"/>
          <w:szCs w:val="24"/>
          <w:u w:val="single"/>
        </w:rPr>
        <w:t>s</w:t>
      </w:r>
      <w:r w:rsidRPr="001F2A5D">
        <w:rPr>
          <w:rFonts w:ascii="Times New Roman" w:hAnsi="Times New Roman"/>
          <w:szCs w:val="24"/>
          <w:u w:val="single"/>
        </w:rPr>
        <w:t xml:space="preserve"> or </w:t>
      </w:r>
      <w:r>
        <w:rPr>
          <w:rFonts w:ascii="Times New Roman" w:hAnsi="Times New Roman"/>
          <w:szCs w:val="24"/>
          <w:u w:val="single"/>
        </w:rPr>
        <w:t>g</w:t>
      </w:r>
      <w:r w:rsidRPr="001F2A5D">
        <w:rPr>
          <w:rFonts w:ascii="Times New Roman" w:hAnsi="Times New Roman"/>
          <w:szCs w:val="24"/>
          <w:u w:val="single"/>
        </w:rPr>
        <w:t>ift</w:t>
      </w:r>
      <w:r>
        <w:rPr>
          <w:rFonts w:ascii="Times New Roman" w:hAnsi="Times New Roman"/>
          <w:szCs w:val="24"/>
          <w:u w:val="single"/>
        </w:rPr>
        <w:t>s</w:t>
      </w:r>
      <w:r w:rsidRPr="001F2A5D">
        <w:rPr>
          <w:rFonts w:ascii="Times New Roman" w:hAnsi="Times New Roman"/>
          <w:szCs w:val="24"/>
          <w:u w:val="single"/>
        </w:rPr>
        <w:t xml:space="preserve"> to </w:t>
      </w:r>
      <w:r>
        <w:rPr>
          <w:rFonts w:ascii="Times New Roman" w:hAnsi="Times New Roman"/>
          <w:szCs w:val="24"/>
          <w:u w:val="single"/>
        </w:rPr>
        <w:t>r</w:t>
      </w:r>
      <w:r w:rsidRPr="001F2A5D">
        <w:rPr>
          <w:rFonts w:ascii="Times New Roman" w:hAnsi="Times New Roman"/>
          <w:szCs w:val="24"/>
          <w:u w:val="single"/>
        </w:rPr>
        <w:t>espondents</w:t>
      </w:r>
      <w:r>
        <w:rPr>
          <w:rFonts w:ascii="Times New Roman" w:hAnsi="Times New Roman"/>
          <w:szCs w:val="24"/>
          <w:u w:val="single"/>
        </w:rPr>
        <w:t>:</w:t>
      </w:r>
    </w:p>
    <w:p w:rsidR="00731A90" w14:paraId="5A20BF30" w14:textId="77777777">
      <w:pPr>
        <w:rPr>
          <w:rFonts w:ascii="Times New Roman" w:hAnsi="Times New Roman"/>
        </w:rPr>
      </w:pPr>
    </w:p>
    <w:p w:rsidR="00731A90" w:rsidP="0005397F" w14:paraId="35538C19" w14:textId="77777777">
      <w:pPr>
        <w:ind w:left="1440"/>
        <w:rPr>
          <w:rFonts w:ascii="Times New Roman" w:hAnsi="Times New Roman"/>
        </w:rPr>
      </w:pPr>
      <w:r>
        <w:rPr>
          <w:rFonts w:ascii="Times New Roman" w:hAnsi="Times New Roman"/>
        </w:rPr>
        <w:t>None.</w:t>
      </w:r>
    </w:p>
    <w:p w:rsidR="0089553C" w:rsidP="0005397F" w14:paraId="613277FE" w14:textId="77777777">
      <w:pPr>
        <w:ind w:left="1440"/>
        <w:rPr>
          <w:rFonts w:ascii="Times New Roman" w:hAnsi="Times New Roman"/>
        </w:rPr>
      </w:pPr>
    </w:p>
    <w:p w:rsidR="00731A90" w:rsidRPr="0005397F" w:rsidP="006B4033" w14:paraId="68322E1A" w14:textId="77777777">
      <w:pPr>
        <w:numPr>
          <w:ilvl w:val="0"/>
          <w:numId w:val="15"/>
        </w:numPr>
        <w:rPr>
          <w:rFonts w:ascii="Times New Roman" w:hAnsi="Times New Roman"/>
        </w:rPr>
      </w:pPr>
      <w:r w:rsidRPr="00647F97">
        <w:rPr>
          <w:rFonts w:ascii="Times New Roman TUR" w:hAnsi="Times New Roman TUR" w:cs="Times New Roman TUR"/>
          <w:bCs/>
          <w:u w:val="single"/>
        </w:rPr>
        <w:t>Any assurance of confidentiality:</w:t>
      </w:r>
    </w:p>
    <w:p w:rsidR="0005397F" w:rsidP="0005397F" w14:paraId="681F8BB0" w14:textId="77777777">
      <w:pPr>
        <w:ind w:left="1440"/>
        <w:rPr>
          <w:rFonts w:ascii="Times New Roman" w:hAnsi="Times New Roman"/>
        </w:rPr>
      </w:pPr>
    </w:p>
    <w:p w:rsidR="00E5596D" w:rsidP="0005397F" w14:paraId="1D3EBC86" w14:textId="77777777">
      <w:pPr>
        <w:ind w:left="1440"/>
        <w:rPr>
          <w:rFonts w:ascii="Times New Roman" w:hAnsi="Times New Roman"/>
        </w:rPr>
      </w:pPr>
      <w:r>
        <w:rPr>
          <w:rFonts w:ascii="Times New Roman" w:hAnsi="Times New Roman"/>
        </w:rPr>
        <w:t xml:space="preserve">Information will be kept private to the extent allowed by law.  </w:t>
      </w:r>
      <w:r w:rsidRPr="0005397F" w:rsidR="0005397F">
        <w:rPr>
          <w:rFonts w:ascii="Times New Roman" w:hAnsi="Times New Roman"/>
        </w:rPr>
        <w:t>A notice is contained in the instructions for use of Form TA-1 informing applicants for registration as a transfer agent that the information supplied on the form will be available for inspection by any interested person.</w:t>
      </w:r>
    </w:p>
    <w:p w:rsidR="0005397F" w:rsidRPr="00E5596D" w:rsidP="0005397F" w14:paraId="0AD33581" w14:textId="77777777">
      <w:pPr>
        <w:rPr>
          <w:rFonts w:ascii="Times New Roman" w:hAnsi="Times New Roman"/>
        </w:rPr>
      </w:pPr>
    </w:p>
    <w:p w:rsidR="00731A90" w:rsidP="006B4033" w14:paraId="63B83AA7" w14:textId="77777777">
      <w:pPr>
        <w:numPr>
          <w:ilvl w:val="0"/>
          <w:numId w:val="15"/>
        </w:numPr>
        <w:rPr>
          <w:rFonts w:ascii="Times New Roman" w:hAnsi="Times New Roman"/>
        </w:rPr>
      </w:pPr>
      <w:r w:rsidRPr="00647F97">
        <w:rPr>
          <w:rFonts w:ascii="Times New Roman TUR" w:hAnsi="Times New Roman TUR" w:cs="Times New Roman TUR"/>
          <w:bCs/>
          <w:u w:val="single"/>
        </w:rPr>
        <w:t>Justification for questions of a sensitive nature:</w:t>
      </w:r>
    </w:p>
    <w:p w:rsidR="00731A90" w14:paraId="2DAEF9A0" w14:textId="77777777">
      <w:pPr>
        <w:rPr>
          <w:rFonts w:ascii="Times New Roman" w:hAnsi="Times New Roman"/>
        </w:rPr>
      </w:pPr>
    </w:p>
    <w:p w:rsidR="009E7B87" w:rsidP="009E7B87" w14:paraId="2CAB4A9D" w14:textId="77777777">
      <w:pPr>
        <w:ind w:left="1440"/>
        <w:rPr>
          <w:rFonts w:ascii="Times New Roman" w:hAnsi="Times New Roman"/>
          <w:color w:val="000000"/>
          <w:szCs w:val="24"/>
        </w:rPr>
      </w:pPr>
      <w:r>
        <w:rPr>
          <w:rFonts w:ascii="Times New Roman" w:hAnsi="Times New Roman"/>
          <w:color w:val="000000"/>
          <w:szCs w:val="24"/>
        </w:rPr>
        <w:t>No information of a sensitive nature is requested.</w:t>
      </w:r>
    </w:p>
    <w:p w:rsidR="006B4033" w:rsidP="009E7B87" w14:paraId="425A3A8F" w14:textId="77777777">
      <w:pPr>
        <w:ind w:left="1440"/>
        <w:rPr>
          <w:rFonts w:ascii="Times New Roman" w:hAnsi="Times New Roman"/>
        </w:rPr>
      </w:pPr>
    </w:p>
    <w:p w:rsidR="00731A90" w:rsidP="006B4033" w14:paraId="1A854B68" w14:textId="77777777">
      <w:pPr>
        <w:numPr>
          <w:ilvl w:val="0"/>
          <w:numId w:val="15"/>
        </w:numPr>
        <w:rPr>
          <w:rFonts w:ascii="Times New Roman" w:hAnsi="Times New Roman"/>
          <w:szCs w:val="24"/>
          <w:u w:val="single"/>
        </w:rPr>
      </w:pPr>
      <w:r w:rsidRPr="008F53AC">
        <w:rPr>
          <w:rFonts w:ascii="Times New Roman" w:hAnsi="Times New Roman"/>
          <w:szCs w:val="24"/>
          <w:u w:val="single"/>
        </w:rPr>
        <w:t>Estimate of hour burden including annualized hourly costs:</w:t>
      </w:r>
    </w:p>
    <w:tbl>
      <w:tblPr>
        <w:tblpPr w:leftFromText="180" w:rightFromText="180" w:vertAnchor="text" w:horzAnchor="margin" w:tblpY="425"/>
        <w:tblW w:w="9876" w:type="dxa"/>
        <w:tblCellMar>
          <w:top w:w="15" w:type="dxa"/>
        </w:tblCellMar>
        <w:tblLook w:val="04A0"/>
      </w:tblPr>
      <w:tblGrid>
        <w:gridCol w:w="2279"/>
        <w:gridCol w:w="1702"/>
        <w:gridCol w:w="1520"/>
        <w:gridCol w:w="1765"/>
        <w:gridCol w:w="1183"/>
        <w:gridCol w:w="1190"/>
        <w:gridCol w:w="237"/>
      </w:tblGrid>
      <w:tr w14:paraId="1BDE3B69" w14:textId="77777777" w:rsidTr="00C57217">
        <w:tblPrEx>
          <w:tblW w:w="9876" w:type="dxa"/>
          <w:tblCellMar>
            <w:top w:w="15" w:type="dxa"/>
          </w:tblCellMar>
          <w:tblLook w:val="04A0"/>
        </w:tblPrEx>
        <w:trPr>
          <w:gridAfter w:val="1"/>
          <w:wAfter w:w="237" w:type="dxa"/>
          <w:trHeight w:val="360"/>
        </w:trPr>
        <w:tc>
          <w:tcPr>
            <w:tcW w:w="9639" w:type="dxa"/>
            <w:gridSpan w:val="6"/>
            <w:tcBorders>
              <w:top w:val="single" w:sz="8" w:space="0" w:color="auto"/>
              <w:left w:val="single" w:sz="8" w:space="0" w:color="auto"/>
              <w:bottom w:val="single" w:sz="8" w:space="0" w:color="auto"/>
              <w:right w:val="single" w:sz="8" w:space="0" w:color="000000"/>
            </w:tcBorders>
            <w:vAlign w:val="center"/>
            <w:hideMark/>
          </w:tcPr>
          <w:p w:rsidR="00C57217" w:rsidRPr="00FF1645" w:rsidP="00C57217" w14:paraId="3A9C5E66" w14:textId="437D971C">
            <w:pPr>
              <w:keepNext/>
              <w:keepLines/>
              <w:jc w:val="center"/>
              <w:rPr>
                <w:rFonts w:ascii="Source Sans Pro" w:hAnsi="Source Sans Pro" w:cs="Calibri"/>
                <w:color w:val="000000"/>
                <w:sz w:val="22"/>
                <w:szCs w:val="22"/>
              </w:rPr>
            </w:pPr>
            <w:r>
              <w:rPr>
                <w:rFonts w:ascii="Source Sans Pro" w:hAnsi="Source Sans Pro" w:cs="Calibri"/>
                <w:color w:val="000000"/>
                <w:sz w:val="22"/>
                <w:szCs w:val="22"/>
              </w:rPr>
              <w:t>S</w:t>
            </w:r>
            <w:r w:rsidRPr="00FF1645">
              <w:rPr>
                <w:rFonts w:ascii="Source Sans Pro" w:hAnsi="Source Sans Pro" w:cs="Calibri"/>
                <w:color w:val="000000"/>
                <w:sz w:val="22"/>
                <w:szCs w:val="22"/>
              </w:rPr>
              <w:t>ummary of Estimated Annual Burden (OMB No. 3064-0026)</w:t>
            </w:r>
          </w:p>
        </w:tc>
      </w:tr>
      <w:tr w14:paraId="14253D09" w14:textId="77777777" w:rsidTr="00C57217">
        <w:tblPrEx>
          <w:tblW w:w="9876" w:type="dxa"/>
          <w:tblCellMar>
            <w:top w:w="15" w:type="dxa"/>
          </w:tblCellMar>
          <w:tblLook w:val="04A0"/>
        </w:tblPrEx>
        <w:trPr>
          <w:gridAfter w:val="1"/>
          <w:wAfter w:w="240" w:type="dxa"/>
          <w:trHeight w:val="1142"/>
        </w:trPr>
        <w:tc>
          <w:tcPr>
            <w:tcW w:w="2279" w:type="dxa"/>
            <w:tcBorders>
              <w:top w:val="nil"/>
              <w:left w:val="single" w:sz="8" w:space="0" w:color="auto"/>
              <w:bottom w:val="single" w:sz="8" w:space="0" w:color="auto"/>
              <w:right w:val="single" w:sz="8" w:space="0" w:color="auto"/>
            </w:tcBorders>
            <w:vAlign w:val="center"/>
            <w:hideMark/>
          </w:tcPr>
          <w:p w:rsidR="00C57217" w:rsidRPr="00FF1645" w:rsidP="00C57217" w14:paraId="3799E225" w14:textId="77777777">
            <w:pPr>
              <w:keepNext/>
              <w:keepLines/>
              <w:rPr>
                <w:rFonts w:ascii="Source Sans Pro" w:hAnsi="Source Sans Pro" w:cs="Calibri"/>
                <w:color w:val="000000"/>
                <w:sz w:val="22"/>
                <w:szCs w:val="22"/>
              </w:rPr>
            </w:pPr>
            <w:r w:rsidRPr="00FF1645">
              <w:rPr>
                <w:rFonts w:ascii="Source Sans Pro" w:hAnsi="Source Sans Pro" w:cs="Calibri"/>
                <w:color w:val="000000"/>
                <w:sz w:val="22"/>
                <w:szCs w:val="22"/>
              </w:rPr>
              <w:t>Information Collection (IC) (Obligation to Respond)</w:t>
            </w:r>
          </w:p>
        </w:tc>
        <w:tc>
          <w:tcPr>
            <w:tcW w:w="1702" w:type="dxa"/>
            <w:tcBorders>
              <w:top w:val="nil"/>
              <w:left w:val="nil"/>
              <w:bottom w:val="single" w:sz="8" w:space="0" w:color="auto"/>
              <w:right w:val="single" w:sz="8" w:space="0" w:color="auto"/>
            </w:tcBorders>
            <w:vAlign w:val="center"/>
            <w:hideMark/>
          </w:tcPr>
          <w:p w:rsidR="00C57217" w:rsidRPr="00FF1645" w:rsidP="00C57217" w14:paraId="2585655B" w14:textId="77777777">
            <w:pPr>
              <w:keepNext/>
              <w:keepLines/>
              <w:jc w:val="center"/>
              <w:rPr>
                <w:rFonts w:ascii="Source Sans Pro" w:hAnsi="Source Sans Pro" w:cs="Calibri"/>
                <w:color w:val="000000"/>
                <w:sz w:val="22"/>
                <w:szCs w:val="22"/>
              </w:rPr>
            </w:pPr>
            <w:r w:rsidRPr="00FF1645">
              <w:rPr>
                <w:rFonts w:ascii="Source Sans Pro" w:hAnsi="Source Sans Pro" w:cs="Calibri"/>
                <w:color w:val="000000"/>
                <w:sz w:val="22"/>
                <w:szCs w:val="22"/>
              </w:rPr>
              <w:t>Type of Burden</w:t>
            </w:r>
            <w:r w:rsidRPr="00FF1645">
              <w:rPr>
                <w:rFonts w:ascii="Source Sans Pro" w:hAnsi="Source Sans Pro" w:cs="Calibri"/>
                <w:color w:val="000000"/>
                <w:sz w:val="22"/>
                <w:szCs w:val="22"/>
              </w:rPr>
              <w:br/>
              <w:t>(Frequency of Response)</w:t>
            </w:r>
          </w:p>
        </w:tc>
        <w:tc>
          <w:tcPr>
            <w:tcW w:w="1520" w:type="dxa"/>
            <w:tcBorders>
              <w:top w:val="nil"/>
              <w:left w:val="nil"/>
              <w:bottom w:val="single" w:sz="8" w:space="0" w:color="auto"/>
              <w:right w:val="single" w:sz="8" w:space="0" w:color="auto"/>
            </w:tcBorders>
            <w:vAlign w:val="center"/>
            <w:hideMark/>
          </w:tcPr>
          <w:p w:rsidR="00C57217" w:rsidRPr="00FF1645" w:rsidP="00C57217" w14:paraId="098E2B94" w14:textId="77777777">
            <w:pPr>
              <w:keepNext/>
              <w:keepLines/>
              <w:jc w:val="center"/>
              <w:rPr>
                <w:rFonts w:ascii="Source Sans Pro" w:hAnsi="Source Sans Pro" w:cs="Calibri"/>
                <w:color w:val="000000"/>
                <w:sz w:val="22"/>
                <w:szCs w:val="22"/>
              </w:rPr>
            </w:pPr>
            <w:r w:rsidRPr="00FF1645">
              <w:rPr>
                <w:rFonts w:ascii="Source Sans Pro" w:hAnsi="Source Sans Pro" w:cs="Calibri"/>
                <w:color w:val="000000"/>
                <w:sz w:val="22"/>
                <w:szCs w:val="22"/>
              </w:rPr>
              <w:t xml:space="preserve"> Number of Respondents</w:t>
            </w:r>
          </w:p>
        </w:tc>
        <w:tc>
          <w:tcPr>
            <w:tcW w:w="1765" w:type="dxa"/>
            <w:tcBorders>
              <w:top w:val="nil"/>
              <w:left w:val="nil"/>
              <w:bottom w:val="single" w:sz="8" w:space="0" w:color="auto"/>
              <w:right w:val="single" w:sz="8" w:space="0" w:color="auto"/>
            </w:tcBorders>
            <w:vAlign w:val="center"/>
            <w:hideMark/>
          </w:tcPr>
          <w:p w:rsidR="00C57217" w:rsidRPr="00FF1645" w:rsidP="00C57217" w14:paraId="2E2A863D" w14:textId="77777777">
            <w:pPr>
              <w:keepNext/>
              <w:keepLines/>
              <w:jc w:val="center"/>
              <w:rPr>
                <w:rFonts w:ascii="Source Sans Pro" w:hAnsi="Source Sans Pro" w:cs="Calibri"/>
                <w:color w:val="000000"/>
                <w:sz w:val="22"/>
                <w:szCs w:val="22"/>
              </w:rPr>
            </w:pPr>
            <w:r w:rsidRPr="00FF1645">
              <w:rPr>
                <w:rFonts w:ascii="Source Sans Pro" w:hAnsi="Source Sans Pro" w:cs="Calibri"/>
                <w:color w:val="000000"/>
                <w:sz w:val="22"/>
                <w:szCs w:val="22"/>
              </w:rPr>
              <w:t xml:space="preserve"> Number of Responses per Respondent</w:t>
            </w:r>
          </w:p>
        </w:tc>
        <w:tc>
          <w:tcPr>
            <w:tcW w:w="1181" w:type="dxa"/>
            <w:tcBorders>
              <w:top w:val="nil"/>
              <w:left w:val="nil"/>
              <w:bottom w:val="single" w:sz="8" w:space="0" w:color="auto"/>
              <w:right w:val="single" w:sz="8" w:space="0" w:color="auto"/>
            </w:tcBorders>
            <w:vAlign w:val="center"/>
            <w:hideMark/>
          </w:tcPr>
          <w:p w:rsidR="00C57217" w:rsidRPr="00FF1645" w:rsidP="00C57217" w14:paraId="306C91DA" w14:textId="77777777">
            <w:pPr>
              <w:keepNext/>
              <w:keepLines/>
              <w:jc w:val="center"/>
              <w:rPr>
                <w:rFonts w:ascii="Source Sans Pro" w:hAnsi="Source Sans Pro" w:cs="Calibri"/>
                <w:color w:val="000000"/>
                <w:sz w:val="22"/>
                <w:szCs w:val="22"/>
              </w:rPr>
            </w:pPr>
            <w:r w:rsidRPr="00FF1645">
              <w:rPr>
                <w:rFonts w:ascii="Source Sans Pro" w:hAnsi="Source Sans Pro" w:cs="Calibri"/>
                <w:color w:val="000000"/>
                <w:sz w:val="22"/>
                <w:szCs w:val="22"/>
              </w:rPr>
              <w:t>Average Time per Response (HH:MM)</w:t>
            </w:r>
          </w:p>
        </w:tc>
        <w:tc>
          <w:tcPr>
            <w:tcW w:w="1189" w:type="dxa"/>
            <w:tcBorders>
              <w:top w:val="nil"/>
              <w:left w:val="nil"/>
              <w:bottom w:val="single" w:sz="8" w:space="0" w:color="auto"/>
              <w:right w:val="single" w:sz="8" w:space="0" w:color="auto"/>
            </w:tcBorders>
            <w:vAlign w:val="center"/>
            <w:hideMark/>
          </w:tcPr>
          <w:p w:rsidR="00C57217" w:rsidRPr="00FF1645" w:rsidP="00C57217" w14:paraId="50241ACE" w14:textId="77777777">
            <w:pPr>
              <w:keepNext/>
              <w:keepLines/>
              <w:jc w:val="center"/>
              <w:rPr>
                <w:rFonts w:ascii="Source Sans Pro" w:hAnsi="Source Sans Pro" w:cs="Calibri"/>
                <w:color w:val="000000"/>
                <w:sz w:val="22"/>
                <w:szCs w:val="22"/>
              </w:rPr>
            </w:pPr>
            <w:r w:rsidRPr="00FF1645">
              <w:rPr>
                <w:rFonts w:ascii="Source Sans Pro" w:hAnsi="Source Sans Pro" w:cs="Calibri"/>
                <w:color w:val="000000"/>
                <w:sz w:val="22"/>
                <w:szCs w:val="22"/>
              </w:rPr>
              <w:t>Annual Burden (Hours)</w:t>
            </w:r>
          </w:p>
        </w:tc>
      </w:tr>
      <w:tr w14:paraId="67EA3D7E" w14:textId="77777777" w:rsidTr="00C57217">
        <w:tblPrEx>
          <w:tblW w:w="9876" w:type="dxa"/>
          <w:tblCellMar>
            <w:top w:w="15" w:type="dxa"/>
          </w:tblCellMar>
          <w:tblLook w:val="04A0"/>
        </w:tblPrEx>
        <w:trPr>
          <w:gridAfter w:val="1"/>
          <w:wAfter w:w="240" w:type="dxa"/>
          <w:trHeight w:val="826"/>
        </w:trPr>
        <w:tc>
          <w:tcPr>
            <w:tcW w:w="2279" w:type="dxa"/>
            <w:tcBorders>
              <w:top w:val="nil"/>
              <w:left w:val="single" w:sz="8" w:space="0" w:color="auto"/>
              <w:bottom w:val="single" w:sz="8" w:space="0" w:color="auto"/>
              <w:right w:val="single" w:sz="8" w:space="0" w:color="auto"/>
            </w:tcBorders>
            <w:vAlign w:val="center"/>
            <w:hideMark/>
          </w:tcPr>
          <w:p w:rsidR="00C57217" w:rsidRPr="00FF1645" w:rsidP="00C57217" w14:paraId="73A340D5" w14:textId="77777777">
            <w:pPr>
              <w:keepNext/>
              <w:keepLines/>
              <w:rPr>
                <w:rFonts w:ascii="Source Sans Pro" w:hAnsi="Source Sans Pro" w:cs="Calibri"/>
                <w:color w:val="000000"/>
                <w:sz w:val="22"/>
                <w:szCs w:val="22"/>
              </w:rPr>
            </w:pPr>
            <w:r w:rsidRPr="00FF1645">
              <w:rPr>
                <w:rFonts w:ascii="Source Sans Pro" w:hAnsi="Source Sans Pro" w:cs="Calibri"/>
                <w:color w:val="000000"/>
                <w:sz w:val="22"/>
                <w:szCs w:val="22"/>
              </w:rPr>
              <w:t>1. Transfer Agent Registration,</w:t>
            </w:r>
            <w:r w:rsidRPr="00FF1645">
              <w:rPr>
                <w:rFonts w:ascii="Source Sans Pro" w:hAnsi="Source Sans Pro" w:cs="Calibri"/>
                <w:color w:val="000000"/>
                <w:sz w:val="22"/>
                <w:szCs w:val="22"/>
              </w:rPr>
              <w:br/>
              <w:t>12 CFR 341.3 (Mandatory)</w:t>
            </w:r>
          </w:p>
        </w:tc>
        <w:tc>
          <w:tcPr>
            <w:tcW w:w="1702" w:type="dxa"/>
            <w:tcBorders>
              <w:top w:val="nil"/>
              <w:left w:val="nil"/>
              <w:bottom w:val="single" w:sz="8" w:space="0" w:color="auto"/>
              <w:right w:val="single" w:sz="8" w:space="0" w:color="auto"/>
            </w:tcBorders>
            <w:vAlign w:val="center"/>
            <w:hideMark/>
          </w:tcPr>
          <w:p w:rsidR="00C57217" w:rsidRPr="00FF1645" w:rsidP="00C57217" w14:paraId="58FB1EEB" w14:textId="77777777">
            <w:pPr>
              <w:keepNext/>
              <w:keepLines/>
              <w:jc w:val="center"/>
              <w:rPr>
                <w:rFonts w:ascii="Source Sans Pro" w:hAnsi="Source Sans Pro" w:cs="Calibri"/>
                <w:color w:val="000000"/>
                <w:sz w:val="22"/>
                <w:szCs w:val="22"/>
              </w:rPr>
            </w:pPr>
            <w:r w:rsidRPr="00FF1645">
              <w:rPr>
                <w:rFonts w:ascii="Source Sans Pro" w:hAnsi="Source Sans Pro" w:cs="Calibri"/>
                <w:color w:val="000000"/>
                <w:sz w:val="22"/>
                <w:szCs w:val="22"/>
              </w:rPr>
              <w:t>Reporting (Occasional)</w:t>
            </w:r>
          </w:p>
        </w:tc>
        <w:tc>
          <w:tcPr>
            <w:tcW w:w="1520" w:type="dxa"/>
            <w:tcBorders>
              <w:top w:val="nil"/>
              <w:left w:val="nil"/>
              <w:bottom w:val="single" w:sz="8" w:space="0" w:color="auto"/>
              <w:right w:val="single" w:sz="8" w:space="0" w:color="auto"/>
            </w:tcBorders>
            <w:noWrap/>
            <w:vAlign w:val="center"/>
            <w:hideMark/>
          </w:tcPr>
          <w:p w:rsidR="00C57217" w:rsidRPr="00FF1645" w:rsidP="00C57217" w14:paraId="34DDFACF"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1</w:t>
            </w:r>
          </w:p>
        </w:tc>
        <w:tc>
          <w:tcPr>
            <w:tcW w:w="1765" w:type="dxa"/>
            <w:tcBorders>
              <w:top w:val="nil"/>
              <w:left w:val="nil"/>
              <w:bottom w:val="single" w:sz="8" w:space="0" w:color="auto"/>
              <w:right w:val="single" w:sz="8" w:space="0" w:color="auto"/>
            </w:tcBorders>
            <w:noWrap/>
            <w:vAlign w:val="center"/>
            <w:hideMark/>
          </w:tcPr>
          <w:p w:rsidR="00C57217" w:rsidRPr="00FF1645" w:rsidP="00C57217" w14:paraId="42EB9E15"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1</w:t>
            </w:r>
          </w:p>
        </w:tc>
        <w:tc>
          <w:tcPr>
            <w:tcW w:w="1181" w:type="dxa"/>
            <w:tcBorders>
              <w:top w:val="nil"/>
              <w:left w:val="nil"/>
              <w:bottom w:val="single" w:sz="8" w:space="0" w:color="auto"/>
              <w:right w:val="nil"/>
            </w:tcBorders>
            <w:vAlign w:val="center"/>
            <w:hideMark/>
          </w:tcPr>
          <w:p w:rsidR="00C57217" w:rsidRPr="00FF1645" w:rsidP="00C57217" w14:paraId="641C5F06"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01:15</w:t>
            </w:r>
          </w:p>
        </w:tc>
        <w:tc>
          <w:tcPr>
            <w:tcW w:w="1189" w:type="dxa"/>
            <w:tcBorders>
              <w:top w:val="nil"/>
              <w:left w:val="single" w:sz="8" w:space="0" w:color="auto"/>
              <w:bottom w:val="single" w:sz="8" w:space="0" w:color="auto"/>
              <w:right w:val="single" w:sz="8" w:space="0" w:color="auto"/>
            </w:tcBorders>
            <w:noWrap/>
            <w:vAlign w:val="center"/>
            <w:hideMark/>
          </w:tcPr>
          <w:p w:rsidR="00C57217" w:rsidRPr="00FF1645" w:rsidP="00C57217" w14:paraId="2F764964"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1</w:t>
            </w:r>
          </w:p>
        </w:tc>
      </w:tr>
      <w:tr w14:paraId="0E8C6F63" w14:textId="77777777" w:rsidTr="00C57217">
        <w:tblPrEx>
          <w:tblW w:w="9876" w:type="dxa"/>
          <w:tblCellMar>
            <w:top w:w="15" w:type="dxa"/>
          </w:tblCellMar>
          <w:tblLook w:val="04A0"/>
        </w:tblPrEx>
        <w:trPr>
          <w:gridAfter w:val="1"/>
          <w:wAfter w:w="240" w:type="dxa"/>
          <w:trHeight w:val="826"/>
        </w:trPr>
        <w:tc>
          <w:tcPr>
            <w:tcW w:w="2279" w:type="dxa"/>
            <w:tcBorders>
              <w:top w:val="nil"/>
              <w:left w:val="single" w:sz="8" w:space="0" w:color="auto"/>
              <w:bottom w:val="single" w:sz="8" w:space="0" w:color="auto"/>
              <w:right w:val="single" w:sz="8" w:space="0" w:color="auto"/>
            </w:tcBorders>
            <w:vAlign w:val="center"/>
            <w:hideMark/>
          </w:tcPr>
          <w:p w:rsidR="00C57217" w:rsidRPr="00FF1645" w:rsidP="00C57217" w14:paraId="20460582" w14:textId="77777777">
            <w:pPr>
              <w:keepNext/>
              <w:keepLines/>
              <w:rPr>
                <w:rFonts w:ascii="Source Sans Pro" w:hAnsi="Source Sans Pro" w:cs="Calibri"/>
                <w:color w:val="000000"/>
                <w:sz w:val="22"/>
                <w:szCs w:val="22"/>
              </w:rPr>
            </w:pPr>
            <w:r w:rsidRPr="00FF1645">
              <w:rPr>
                <w:rFonts w:ascii="Source Sans Pro" w:hAnsi="Source Sans Pro" w:cs="Calibri"/>
                <w:color w:val="000000"/>
                <w:sz w:val="22"/>
                <w:szCs w:val="22"/>
              </w:rPr>
              <w:t>2. Transfer Agent Amendment,</w:t>
            </w:r>
            <w:r w:rsidRPr="00FF1645">
              <w:rPr>
                <w:rFonts w:ascii="Source Sans Pro" w:hAnsi="Source Sans Pro" w:cs="Calibri"/>
                <w:color w:val="000000"/>
                <w:sz w:val="22"/>
                <w:szCs w:val="22"/>
              </w:rPr>
              <w:br/>
              <w:t>12 CFR 341.4 (Mandatory)</w:t>
            </w:r>
          </w:p>
        </w:tc>
        <w:tc>
          <w:tcPr>
            <w:tcW w:w="1702" w:type="dxa"/>
            <w:tcBorders>
              <w:top w:val="nil"/>
              <w:left w:val="nil"/>
              <w:bottom w:val="single" w:sz="8" w:space="0" w:color="auto"/>
              <w:right w:val="single" w:sz="8" w:space="0" w:color="auto"/>
            </w:tcBorders>
            <w:vAlign w:val="center"/>
            <w:hideMark/>
          </w:tcPr>
          <w:p w:rsidR="00C57217" w:rsidRPr="00FF1645" w:rsidP="00C57217" w14:paraId="394E13EF" w14:textId="77777777">
            <w:pPr>
              <w:keepNext/>
              <w:keepLines/>
              <w:jc w:val="center"/>
              <w:rPr>
                <w:rFonts w:ascii="Source Sans Pro" w:hAnsi="Source Sans Pro" w:cs="Calibri"/>
                <w:color w:val="000000"/>
                <w:sz w:val="22"/>
                <w:szCs w:val="22"/>
              </w:rPr>
            </w:pPr>
            <w:r w:rsidRPr="00FF1645">
              <w:rPr>
                <w:rFonts w:ascii="Source Sans Pro" w:hAnsi="Source Sans Pro" w:cs="Calibri"/>
                <w:color w:val="000000"/>
                <w:sz w:val="22"/>
                <w:szCs w:val="22"/>
              </w:rPr>
              <w:t>Reporting (Occasional)</w:t>
            </w:r>
          </w:p>
        </w:tc>
        <w:tc>
          <w:tcPr>
            <w:tcW w:w="1520" w:type="dxa"/>
            <w:tcBorders>
              <w:top w:val="nil"/>
              <w:left w:val="nil"/>
              <w:bottom w:val="single" w:sz="8" w:space="0" w:color="auto"/>
              <w:right w:val="single" w:sz="8" w:space="0" w:color="auto"/>
            </w:tcBorders>
            <w:noWrap/>
            <w:vAlign w:val="center"/>
            <w:hideMark/>
          </w:tcPr>
          <w:p w:rsidR="00C57217" w:rsidRPr="00FF1645" w:rsidP="00C57217" w14:paraId="035F8B26"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1</w:t>
            </w:r>
          </w:p>
        </w:tc>
        <w:tc>
          <w:tcPr>
            <w:tcW w:w="1765" w:type="dxa"/>
            <w:tcBorders>
              <w:top w:val="nil"/>
              <w:left w:val="nil"/>
              <w:bottom w:val="single" w:sz="8" w:space="0" w:color="auto"/>
              <w:right w:val="single" w:sz="8" w:space="0" w:color="auto"/>
            </w:tcBorders>
            <w:noWrap/>
            <w:vAlign w:val="center"/>
            <w:hideMark/>
          </w:tcPr>
          <w:p w:rsidR="00C57217" w:rsidRPr="00FF1645" w:rsidP="00C57217" w14:paraId="0369E3AF"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1</w:t>
            </w:r>
          </w:p>
        </w:tc>
        <w:tc>
          <w:tcPr>
            <w:tcW w:w="1181" w:type="dxa"/>
            <w:tcBorders>
              <w:top w:val="nil"/>
              <w:left w:val="nil"/>
              <w:bottom w:val="single" w:sz="8" w:space="0" w:color="auto"/>
              <w:right w:val="nil"/>
            </w:tcBorders>
            <w:vAlign w:val="center"/>
            <w:hideMark/>
          </w:tcPr>
          <w:p w:rsidR="00C57217" w:rsidRPr="00FF1645" w:rsidP="00C57217" w14:paraId="105070DE"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00:10</w:t>
            </w:r>
          </w:p>
        </w:tc>
        <w:tc>
          <w:tcPr>
            <w:tcW w:w="1189" w:type="dxa"/>
            <w:tcBorders>
              <w:top w:val="nil"/>
              <w:left w:val="single" w:sz="8" w:space="0" w:color="auto"/>
              <w:bottom w:val="single" w:sz="8" w:space="0" w:color="auto"/>
              <w:right w:val="single" w:sz="8" w:space="0" w:color="auto"/>
            </w:tcBorders>
            <w:noWrap/>
            <w:vAlign w:val="center"/>
            <w:hideMark/>
          </w:tcPr>
          <w:p w:rsidR="00C57217" w:rsidRPr="00FF1645" w:rsidP="00C57217" w14:paraId="7906A247"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0</w:t>
            </w:r>
          </w:p>
        </w:tc>
      </w:tr>
      <w:tr w14:paraId="1333CC86" w14:textId="77777777" w:rsidTr="00C57217">
        <w:tblPrEx>
          <w:tblW w:w="9876" w:type="dxa"/>
          <w:tblCellMar>
            <w:top w:w="15" w:type="dxa"/>
          </w:tblCellMar>
          <w:tblLook w:val="04A0"/>
        </w:tblPrEx>
        <w:trPr>
          <w:gridAfter w:val="1"/>
          <w:wAfter w:w="240" w:type="dxa"/>
          <w:trHeight w:val="961"/>
        </w:trPr>
        <w:tc>
          <w:tcPr>
            <w:tcW w:w="2279" w:type="dxa"/>
            <w:tcBorders>
              <w:top w:val="nil"/>
              <w:left w:val="single" w:sz="8" w:space="0" w:color="auto"/>
              <w:bottom w:val="single" w:sz="8" w:space="0" w:color="auto"/>
              <w:right w:val="single" w:sz="8" w:space="0" w:color="auto"/>
            </w:tcBorders>
            <w:vAlign w:val="center"/>
            <w:hideMark/>
          </w:tcPr>
          <w:p w:rsidR="00C57217" w:rsidRPr="00FF1645" w:rsidP="00C57217" w14:paraId="3C99EA87" w14:textId="77777777">
            <w:pPr>
              <w:keepNext/>
              <w:keepLines/>
              <w:rPr>
                <w:rFonts w:ascii="Source Sans Pro" w:hAnsi="Source Sans Pro" w:cs="Calibri"/>
                <w:color w:val="000000"/>
                <w:sz w:val="22"/>
                <w:szCs w:val="22"/>
              </w:rPr>
            </w:pPr>
            <w:r w:rsidRPr="00FF1645">
              <w:rPr>
                <w:rFonts w:ascii="Source Sans Pro" w:hAnsi="Source Sans Pro" w:cs="Calibri"/>
                <w:color w:val="000000"/>
                <w:sz w:val="22"/>
                <w:szCs w:val="22"/>
              </w:rPr>
              <w:t>3. Transfer Agent Deregistration,</w:t>
            </w:r>
            <w:r w:rsidRPr="00FF1645">
              <w:rPr>
                <w:rFonts w:ascii="Source Sans Pro" w:hAnsi="Source Sans Pro" w:cs="Calibri"/>
                <w:color w:val="000000"/>
                <w:sz w:val="22"/>
                <w:szCs w:val="22"/>
              </w:rPr>
              <w:br/>
              <w:t>12 CFR 341.5 (Mandatory)</w:t>
            </w:r>
          </w:p>
        </w:tc>
        <w:tc>
          <w:tcPr>
            <w:tcW w:w="1702" w:type="dxa"/>
            <w:tcBorders>
              <w:top w:val="nil"/>
              <w:left w:val="nil"/>
              <w:bottom w:val="single" w:sz="8" w:space="0" w:color="auto"/>
              <w:right w:val="single" w:sz="8" w:space="0" w:color="auto"/>
            </w:tcBorders>
            <w:vAlign w:val="center"/>
            <w:hideMark/>
          </w:tcPr>
          <w:p w:rsidR="00C57217" w:rsidRPr="00FF1645" w:rsidP="00C57217" w14:paraId="77C71468" w14:textId="77777777">
            <w:pPr>
              <w:keepNext/>
              <w:keepLines/>
              <w:jc w:val="center"/>
              <w:rPr>
                <w:rFonts w:ascii="Source Sans Pro" w:hAnsi="Source Sans Pro" w:cs="Calibri"/>
                <w:color w:val="000000"/>
                <w:sz w:val="22"/>
                <w:szCs w:val="22"/>
              </w:rPr>
            </w:pPr>
            <w:r w:rsidRPr="00FF1645">
              <w:rPr>
                <w:rFonts w:ascii="Source Sans Pro" w:hAnsi="Source Sans Pro" w:cs="Calibri"/>
                <w:color w:val="000000"/>
                <w:sz w:val="22"/>
                <w:szCs w:val="22"/>
              </w:rPr>
              <w:t>Reporting (Occasional)</w:t>
            </w:r>
          </w:p>
        </w:tc>
        <w:tc>
          <w:tcPr>
            <w:tcW w:w="1520" w:type="dxa"/>
            <w:tcBorders>
              <w:top w:val="nil"/>
              <w:left w:val="nil"/>
              <w:bottom w:val="single" w:sz="8" w:space="0" w:color="auto"/>
              <w:right w:val="single" w:sz="8" w:space="0" w:color="auto"/>
            </w:tcBorders>
            <w:noWrap/>
            <w:vAlign w:val="center"/>
            <w:hideMark/>
          </w:tcPr>
          <w:p w:rsidR="00C57217" w:rsidRPr="00FF1645" w:rsidP="00C57217" w14:paraId="2B66D20B"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1</w:t>
            </w:r>
          </w:p>
        </w:tc>
        <w:tc>
          <w:tcPr>
            <w:tcW w:w="1765" w:type="dxa"/>
            <w:tcBorders>
              <w:top w:val="nil"/>
              <w:left w:val="nil"/>
              <w:bottom w:val="single" w:sz="8" w:space="0" w:color="auto"/>
              <w:right w:val="single" w:sz="8" w:space="0" w:color="auto"/>
            </w:tcBorders>
            <w:noWrap/>
            <w:vAlign w:val="center"/>
            <w:hideMark/>
          </w:tcPr>
          <w:p w:rsidR="00C57217" w:rsidRPr="00FF1645" w:rsidP="00C57217" w14:paraId="2294B801"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1</w:t>
            </w:r>
          </w:p>
        </w:tc>
        <w:tc>
          <w:tcPr>
            <w:tcW w:w="1181" w:type="dxa"/>
            <w:tcBorders>
              <w:top w:val="nil"/>
              <w:left w:val="nil"/>
              <w:bottom w:val="single" w:sz="8" w:space="0" w:color="auto"/>
              <w:right w:val="nil"/>
            </w:tcBorders>
            <w:vAlign w:val="center"/>
            <w:hideMark/>
          </w:tcPr>
          <w:p w:rsidR="00C57217" w:rsidRPr="00FF1645" w:rsidP="00C57217" w14:paraId="3E63C732"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00:25</w:t>
            </w:r>
          </w:p>
        </w:tc>
        <w:tc>
          <w:tcPr>
            <w:tcW w:w="1189" w:type="dxa"/>
            <w:tcBorders>
              <w:top w:val="nil"/>
              <w:left w:val="single" w:sz="8" w:space="0" w:color="auto"/>
              <w:bottom w:val="single" w:sz="8" w:space="0" w:color="auto"/>
              <w:right w:val="single" w:sz="8" w:space="0" w:color="auto"/>
            </w:tcBorders>
            <w:noWrap/>
            <w:vAlign w:val="center"/>
            <w:hideMark/>
          </w:tcPr>
          <w:p w:rsidR="00C57217" w:rsidRPr="00FF1645" w:rsidP="00C57217" w14:paraId="14DD91EC" w14:textId="77777777">
            <w:pPr>
              <w:keepNext/>
              <w:keepLines/>
              <w:jc w:val="right"/>
              <w:rPr>
                <w:rFonts w:ascii="Source Sans Pro" w:hAnsi="Source Sans Pro" w:cs="Calibri"/>
                <w:color w:val="000000"/>
                <w:sz w:val="22"/>
                <w:szCs w:val="22"/>
              </w:rPr>
            </w:pPr>
            <w:r w:rsidRPr="00FF1645">
              <w:rPr>
                <w:rFonts w:ascii="Source Sans Pro" w:hAnsi="Source Sans Pro" w:cs="Calibri"/>
                <w:color w:val="000000"/>
                <w:sz w:val="22"/>
                <w:szCs w:val="22"/>
              </w:rPr>
              <w:t>0</w:t>
            </w:r>
          </w:p>
        </w:tc>
      </w:tr>
      <w:tr w14:paraId="673BF962" w14:textId="77777777" w:rsidTr="00C57217">
        <w:tblPrEx>
          <w:tblW w:w="9876" w:type="dxa"/>
          <w:tblCellMar>
            <w:top w:w="15" w:type="dxa"/>
          </w:tblCellMar>
          <w:tblLook w:val="04A0"/>
        </w:tblPrEx>
        <w:trPr>
          <w:gridAfter w:val="1"/>
          <w:wAfter w:w="238" w:type="dxa"/>
          <w:trHeight w:val="300"/>
        </w:trPr>
        <w:tc>
          <w:tcPr>
            <w:tcW w:w="8449"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C57217" w:rsidRPr="00FF1645" w:rsidP="00C57217" w14:paraId="4539F696" w14:textId="77777777">
            <w:pPr>
              <w:keepNext/>
              <w:keepLines/>
              <w:jc w:val="right"/>
              <w:rPr>
                <w:rFonts w:ascii="Source Sans Pro" w:hAnsi="Source Sans Pro" w:cs="Calibri"/>
                <w:b/>
                <w:bCs/>
                <w:i/>
                <w:iCs/>
                <w:color w:val="000000"/>
                <w:sz w:val="22"/>
                <w:szCs w:val="22"/>
              </w:rPr>
            </w:pPr>
            <w:r w:rsidRPr="00FF1645">
              <w:rPr>
                <w:rFonts w:ascii="Source Sans Pro" w:hAnsi="Source Sans Pro" w:cs="Calibri"/>
                <w:b/>
                <w:bCs/>
                <w:i/>
                <w:iCs/>
                <w:color w:val="000000"/>
                <w:sz w:val="22"/>
                <w:szCs w:val="22"/>
              </w:rPr>
              <w:t>Total Annual Burden (Hours):</w:t>
            </w:r>
          </w:p>
        </w:tc>
        <w:tc>
          <w:tcPr>
            <w:tcW w:w="1189" w:type="dxa"/>
            <w:tcBorders>
              <w:top w:val="nil"/>
              <w:left w:val="nil"/>
              <w:bottom w:val="single" w:sz="8" w:space="0" w:color="auto"/>
              <w:right w:val="single" w:sz="8" w:space="0" w:color="auto"/>
            </w:tcBorders>
            <w:noWrap/>
            <w:vAlign w:val="bottom"/>
            <w:hideMark/>
          </w:tcPr>
          <w:p w:rsidR="00C57217" w:rsidRPr="00FF1645" w:rsidP="00C57217" w14:paraId="5BB5C463" w14:textId="77777777">
            <w:pPr>
              <w:keepNext/>
              <w:keepLines/>
              <w:jc w:val="right"/>
              <w:rPr>
                <w:rFonts w:ascii="Source Sans Pro" w:hAnsi="Source Sans Pro" w:cs="Calibri"/>
                <w:b/>
                <w:bCs/>
                <w:i/>
                <w:iCs/>
                <w:color w:val="000000"/>
                <w:sz w:val="22"/>
                <w:szCs w:val="22"/>
              </w:rPr>
            </w:pPr>
            <w:r w:rsidRPr="00FF1645">
              <w:rPr>
                <w:rFonts w:ascii="Source Sans Pro" w:hAnsi="Source Sans Pro" w:cs="Calibri"/>
                <w:b/>
                <w:bCs/>
                <w:i/>
                <w:iCs/>
                <w:color w:val="000000"/>
                <w:sz w:val="22"/>
                <w:szCs w:val="22"/>
              </w:rPr>
              <w:t>1</w:t>
            </w:r>
          </w:p>
        </w:tc>
      </w:tr>
      <w:tr w14:paraId="26F2A021" w14:textId="77777777" w:rsidTr="00C57217">
        <w:tblPrEx>
          <w:tblW w:w="9876" w:type="dxa"/>
          <w:tblCellMar>
            <w:top w:w="15" w:type="dxa"/>
          </w:tblCellMar>
          <w:tblLook w:val="04A0"/>
        </w:tblPrEx>
        <w:trPr>
          <w:gridAfter w:val="1"/>
          <w:wAfter w:w="237" w:type="dxa"/>
          <w:trHeight w:val="252"/>
        </w:trPr>
        <w:tc>
          <w:tcPr>
            <w:tcW w:w="9639" w:type="dxa"/>
            <w:gridSpan w:val="6"/>
            <w:tcBorders>
              <w:top w:val="single" w:sz="8" w:space="0" w:color="auto"/>
              <w:left w:val="single" w:sz="8" w:space="0" w:color="auto"/>
              <w:bottom w:val="nil"/>
              <w:right w:val="single" w:sz="8" w:space="0" w:color="000000"/>
            </w:tcBorders>
            <w:noWrap/>
            <w:hideMark/>
          </w:tcPr>
          <w:p w:rsidR="00C57217" w:rsidRPr="00FF1645" w:rsidP="00C57217" w14:paraId="02DB0244" w14:textId="77777777">
            <w:pPr>
              <w:keepNext/>
              <w:keepLines/>
              <w:rPr>
                <w:rFonts w:ascii="Source Sans Pro" w:hAnsi="Source Sans Pro" w:cs="Calibri"/>
                <w:color w:val="000000"/>
                <w:sz w:val="22"/>
                <w:szCs w:val="22"/>
              </w:rPr>
            </w:pPr>
            <w:r w:rsidRPr="00FF1645">
              <w:rPr>
                <w:rFonts w:ascii="Source Sans Pro" w:hAnsi="Source Sans Pro" w:cs="Calibri"/>
                <w:color w:val="000000"/>
                <w:sz w:val="22"/>
                <w:szCs w:val="22"/>
              </w:rPr>
              <w:t>Source: FDIC.</w:t>
            </w:r>
          </w:p>
        </w:tc>
      </w:tr>
      <w:tr w14:paraId="26938D27" w14:textId="77777777" w:rsidTr="00C57217">
        <w:tblPrEx>
          <w:tblW w:w="9876" w:type="dxa"/>
          <w:tblCellMar>
            <w:top w:w="15" w:type="dxa"/>
          </w:tblCellMar>
          <w:tblLook w:val="04A0"/>
        </w:tblPrEx>
        <w:trPr>
          <w:gridAfter w:val="1"/>
          <w:wAfter w:w="237" w:type="dxa"/>
          <w:trHeight w:val="458"/>
        </w:trPr>
        <w:tc>
          <w:tcPr>
            <w:tcW w:w="9639" w:type="dxa"/>
            <w:gridSpan w:val="6"/>
            <w:vMerge w:val="restart"/>
            <w:tcBorders>
              <w:top w:val="nil"/>
              <w:left w:val="single" w:sz="8" w:space="0" w:color="auto"/>
              <w:bottom w:val="single" w:sz="8" w:space="0" w:color="000000"/>
              <w:right w:val="single" w:sz="8" w:space="0" w:color="000000"/>
            </w:tcBorders>
            <w:vAlign w:val="center"/>
            <w:hideMark/>
          </w:tcPr>
          <w:p w:rsidR="00C57217" w:rsidRPr="00FF1645" w:rsidP="00C57217" w14:paraId="44F5D906" w14:textId="77777777">
            <w:pPr>
              <w:keepNext/>
              <w:keepLines/>
              <w:rPr>
                <w:rFonts w:ascii="Source Sans Pro" w:hAnsi="Source Sans Pro" w:cs="Calibri"/>
                <w:color w:val="000000"/>
                <w:sz w:val="22"/>
                <w:szCs w:val="22"/>
              </w:rPr>
            </w:pPr>
            <w:r w:rsidRPr="00FF1645">
              <w:rPr>
                <w:rFonts w:ascii="Source Sans Pro" w:hAnsi="Source Sans Pro" w:cs="Calibri"/>
                <w:color w:val="000000"/>
                <w:sz w:val="22"/>
                <w:szCs w:val="22"/>
              </w:rPr>
              <w:t>Note: The estimated annual IC time burden is the product, rounded to the nearest hour, of the estimated annual number of responses and the estimated time per response for a given IC. The estimated annual number of responses is the product, rounded to the nearest whole number, of the estimated annual number of respondents and the estimated annual number of responses per respondent. This methodology ensures the estimated annual burdens in the table are consistent with the values recorded in OMB’s consolidated information system.</w:t>
            </w:r>
          </w:p>
        </w:tc>
      </w:tr>
      <w:tr w14:paraId="184D2769" w14:textId="77777777" w:rsidTr="00C57217">
        <w:tblPrEx>
          <w:tblW w:w="9876" w:type="dxa"/>
          <w:tblCellMar>
            <w:top w:w="15" w:type="dxa"/>
          </w:tblCellMar>
          <w:tblLook w:val="04A0"/>
        </w:tblPrEx>
        <w:trPr>
          <w:trHeight w:val="300"/>
        </w:trPr>
        <w:tc>
          <w:tcPr>
            <w:tcW w:w="9639" w:type="dxa"/>
            <w:gridSpan w:val="6"/>
            <w:vMerge/>
            <w:tcBorders>
              <w:top w:val="nil"/>
              <w:left w:val="single" w:sz="8" w:space="0" w:color="auto"/>
              <w:bottom w:val="single" w:sz="8" w:space="0" w:color="000000"/>
              <w:right w:val="single" w:sz="8" w:space="0" w:color="000000"/>
            </w:tcBorders>
            <w:vAlign w:val="center"/>
            <w:hideMark/>
          </w:tcPr>
          <w:p w:rsidR="00C57217" w:rsidRPr="00FF1645" w:rsidP="00C57217" w14:paraId="059AE012" w14:textId="77777777">
            <w:pPr>
              <w:keepNext/>
              <w:keepLines/>
              <w:rPr>
                <w:rFonts w:ascii="Source Sans Pro" w:hAnsi="Source Sans Pro" w:cs="Calibri"/>
                <w:color w:val="000000"/>
                <w:sz w:val="22"/>
                <w:szCs w:val="22"/>
              </w:rPr>
            </w:pPr>
          </w:p>
        </w:tc>
        <w:tc>
          <w:tcPr>
            <w:tcW w:w="237" w:type="dxa"/>
            <w:tcBorders>
              <w:top w:val="nil"/>
              <w:left w:val="nil"/>
              <w:bottom w:val="nil"/>
              <w:right w:val="nil"/>
            </w:tcBorders>
            <w:noWrap/>
            <w:vAlign w:val="bottom"/>
            <w:hideMark/>
          </w:tcPr>
          <w:p w:rsidR="00C57217" w:rsidRPr="00FF1645" w:rsidP="00C57217" w14:paraId="2192D048" w14:textId="77777777">
            <w:pPr>
              <w:keepNext/>
              <w:keepLines/>
              <w:rPr>
                <w:rFonts w:ascii="Source Sans Pro" w:hAnsi="Source Sans Pro" w:cs="Calibri"/>
                <w:color w:val="000000"/>
                <w:sz w:val="22"/>
                <w:szCs w:val="22"/>
              </w:rPr>
            </w:pPr>
          </w:p>
        </w:tc>
      </w:tr>
      <w:tr w14:paraId="4566D584" w14:textId="77777777" w:rsidTr="00C57217">
        <w:tblPrEx>
          <w:tblW w:w="9876" w:type="dxa"/>
          <w:tblCellMar>
            <w:top w:w="15" w:type="dxa"/>
          </w:tblCellMar>
          <w:tblLook w:val="04A0"/>
        </w:tblPrEx>
        <w:trPr>
          <w:trHeight w:val="312"/>
        </w:trPr>
        <w:tc>
          <w:tcPr>
            <w:tcW w:w="9639" w:type="dxa"/>
            <w:gridSpan w:val="6"/>
            <w:vMerge/>
            <w:tcBorders>
              <w:top w:val="nil"/>
              <w:left w:val="single" w:sz="8" w:space="0" w:color="auto"/>
              <w:bottom w:val="single" w:sz="8" w:space="0" w:color="000000"/>
              <w:right w:val="single" w:sz="8" w:space="0" w:color="000000"/>
            </w:tcBorders>
            <w:vAlign w:val="center"/>
            <w:hideMark/>
          </w:tcPr>
          <w:p w:rsidR="00C57217" w:rsidRPr="00FF1645" w:rsidP="00C57217" w14:paraId="62EDA509" w14:textId="77777777">
            <w:pPr>
              <w:keepNext/>
              <w:keepLines/>
              <w:rPr>
                <w:rFonts w:ascii="Source Sans Pro" w:hAnsi="Source Sans Pro" w:cs="Calibri"/>
                <w:color w:val="000000"/>
                <w:sz w:val="22"/>
                <w:szCs w:val="22"/>
              </w:rPr>
            </w:pPr>
          </w:p>
        </w:tc>
        <w:tc>
          <w:tcPr>
            <w:tcW w:w="237" w:type="dxa"/>
            <w:tcBorders>
              <w:top w:val="nil"/>
              <w:left w:val="nil"/>
              <w:bottom w:val="nil"/>
              <w:right w:val="nil"/>
            </w:tcBorders>
            <w:noWrap/>
            <w:vAlign w:val="bottom"/>
            <w:hideMark/>
          </w:tcPr>
          <w:p w:rsidR="00C57217" w:rsidRPr="00FF1645" w:rsidP="00C57217" w14:paraId="51E12575" w14:textId="77777777">
            <w:pPr>
              <w:keepNext/>
              <w:keepLines/>
              <w:rPr>
                <w:rFonts w:ascii="Times New Roman" w:hAnsi="Times New Roman"/>
                <w:sz w:val="22"/>
                <w:szCs w:val="22"/>
              </w:rPr>
            </w:pPr>
          </w:p>
        </w:tc>
      </w:tr>
      <w:tr w14:paraId="37793233" w14:textId="77777777" w:rsidTr="00C57217">
        <w:tblPrEx>
          <w:tblW w:w="9876" w:type="dxa"/>
          <w:tblCellMar>
            <w:top w:w="15" w:type="dxa"/>
          </w:tblCellMar>
          <w:tblLook w:val="04A0"/>
        </w:tblPrEx>
        <w:trPr>
          <w:trHeight w:val="349"/>
        </w:trPr>
        <w:tc>
          <w:tcPr>
            <w:tcW w:w="9639" w:type="dxa"/>
            <w:gridSpan w:val="6"/>
            <w:vMerge/>
            <w:tcBorders>
              <w:top w:val="nil"/>
              <w:left w:val="single" w:sz="8" w:space="0" w:color="auto"/>
              <w:bottom w:val="single" w:sz="8" w:space="0" w:color="000000"/>
              <w:right w:val="single" w:sz="8" w:space="0" w:color="000000"/>
            </w:tcBorders>
            <w:vAlign w:val="center"/>
            <w:hideMark/>
          </w:tcPr>
          <w:p w:rsidR="00C57217" w:rsidRPr="00FF1645" w:rsidP="00C57217" w14:paraId="151A04E5" w14:textId="77777777">
            <w:pPr>
              <w:keepNext/>
              <w:keepLines/>
              <w:rPr>
                <w:rFonts w:ascii="Source Sans Pro" w:hAnsi="Source Sans Pro" w:cs="Calibri"/>
                <w:color w:val="000000"/>
                <w:sz w:val="22"/>
                <w:szCs w:val="22"/>
              </w:rPr>
            </w:pPr>
          </w:p>
        </w:tc>
        <w:tc>
          <w:tcPr>
            <w:tcW w:w="237" w:type="dxa"/>
            <w:tcBorders>
              <w:top w:val="nil"/>
              <w:left w:val="nil"/>
              <w:bottom w:val="nil"/>
              <w:right w:val="nil"/>
            </w:tcBorders>
            <w:noWrap/>
            <w:vAlign w:val="bottom"/>
            <w:hideMark/>
          </w:tcPr>
          <w:p w:rsidR="00C57217" w:rsidRPr="00FF1645" w:rsidP="00C57217" w14:paraId="223A73CD" w14:textId="77777777">
            <w:pPr>
              <w:keepNext/>
              <w:keepLines/>
              <w:rPr>
                <w:rFonts w:ascii="Times New Roman" w:hAnsi="Times New Roman"/>
                <w:sz w:val="22"/>
                <w:szCs w:val="22"/>
              </w:rPr>
            </w:pPr>
          </w:p>
        </w:tc>
      </w:tr>
    </w:tbl>
    <w:p w:rsidR="00DA025B" w14:paraId="06AA84E4" w14:textId="77777777">
      <w:pPr>
        <w:ind w:firstLine="720"/>
        <w:rPr>
          <w:rFonts w:ascii="Times New Roman" w:hAnsi="Times New Roman"/>
          <w:i/>
          <w:szCs w:val="24"/>
        </w:rPr>
      </w:pPr>
    </w:p>
    <w:p w:rsidR="00C57217" w14:paraId="5227D1C2" w14:textId="77777777">
      <w:pPr>
        <w:ind w:firstLine="720"/>
        <w:rPr>
          <w:rFonts w:ascii="Times New Roman" w:hAnsi="Times New Roman"/>
          <w:i/>
          <w:szCs w:val="24"/>
        </w:rPr>
      </w:pPr>
    </w:p>
    <w:p w:rsidR="002847B4" w:rsidP="005A4D4B" w14:paraId="32A98F30" w14:textId="77777777">
      <w:pPr>
        <w:pStyle w:val="Footer"/>
        <w:rPr>
          <w:rFonts w:ascii="Times New Roman" w:hAnsi="Times New Roman"/>
        </w:rPr>
      </w:pPr>
      <w:r>
        <w:rPr>
          <w:rFonts w:ascii="Times New Roman" w:hAnsi="Times New Roman"/>
        </w:rPr>
        <w:t>The estimated labor cost is calculated as follows:</w:t>
      </w:r>
    </w:p>
    <w:p w:rsidR="00F96342" w:rsidP="005A4D4B" w14:paraId="2DE70612" w14:textId="77777777">
      <w:pPr>
        <w:pStyle w:val="Footer"/>
        <w:rPr>
          <w:rStyle w:val="documentbody1"/>
          <w:color w:val="000000"/>
          <w:sz w:val="24"/>
          <w:szCs w:val="24"/>
          <w:u w:val="single"/>
        </w:rPr>
      </w:pPr>
    </w:p>
    <w:tbl>
      <w:tblPr>
        <w:tblW w:w="10016" w:type="dxa"/>
        <w:tblCellMar>
          <w:top w:w="15" w:type="dxa"/>
        </w:tblCellMar>
        <w:tblLook w:val="04A0"/>
      </w:tblPr>
      <w:tblGrid>
        <w:gridCol w:w="1593"/>
        <w:gridCol w:w="858"/>
        <w:gridCol w:w="1061"/>
        <w:gridCol w:w="1061"/>
        <w:gridCol w:w="878"/>
        <w:gridCol w:w="951"/>
        <w:gridCol w:w="1061"/>
        <w:gridCol w:w="951"/>
        <w:gridCol w:w="1566"/>
        <w:gridCol w:w="222"/>
      </w:tblGrid>
      <w:tr w14:paraId="0D967A3B" w14:textId="77777777" w:rsidTr="003E3993">
        <w:tblPrEx>
          <w:tblW w:w="10016" w:type="dxa"/>
          <w:tblCellMar>
            <w:top w:w="15" w:type="dxa"/>
          </w:tblCellMar>
          <w:tblLook w:val="04A0"/>
        </w:tblPrEx>
        <w:trPr>
          <w:gridAfter w:val="1"/>
          <w:wAfter w:w="36" w:type="dxa"/>
          <w:trHeight w:val="360"/>
        </w:trPr>
        <w:tc>
          <w:tcPr>
            <w:tcW w:w="9980" w:type="dxa"/>
            <w:gridSpan w:val="9"/>
            <w:tcBorders>
              <w:top w:val="single" w:sz="8" w:space="0" w:color="auto"/>
              <w:left w:val="single" w:sz="8" w:space="0" w:color="auto"/>
              <w:bottom w:val="single" w:sz="8" w:space="0" w:color="auto"/>
              <w:right w:val="single" w:sz="8" w:space="0" w:color="auto"/>
            </w:tcBorders>
            <w:noWrap/>
            <w:vAlign w:val="bottom"/>
            <w:hideMark/>
          </w:tcPr>
          <w:p w:rsidR="00ED4E2C" w:rsidRPr="005D2C0C" w:rsidP="003E3993" w14:paraId="22E02FCC" w14:textId="6F0E2686">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Summary of Hourly Burden Cost Estimate (OMB No. 3064-0026)</w:t>
            </w:r>
          </w:p>
        </w:tc>
      </w:tr>
      <w:tr w14:paraId="21EC58BD" w14:textId="77777777" w:rsidTr="003E3993">
        <w:tblPrEx>
          <w:tblW w:w="10016" w:type="dxa"/>
          <w:tblCellMar>
            <w:top w:w="15" w:type="dxa"/>
          </w:tblCellMar>
          <w:tblLook w:val="04A0"/>
        </w:tblPrEx>
        <w:trPr>
          <w:gridAfter w:val="1"/>
          <w:wAfter w:w="36" w:type="dxa"/>
          <w:trHeight w:val="600"/>
        </w:trPr>
        <w:tc>
          <w:tcPr>
            <w:tcW w:w="270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60DBEA18"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 xml:space="preserve">Information Collection (IC) (Obligation to Respond) </w:t>
            </w:r>
          </w:p>
        </w:tc>
        <w:tc>
          <w:tcPr>
            <w:tcW w:w="84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6FB0918D"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 xml:space="preserve">Hourly Weight </w:t>
            </w:r>
            <w:r w:rsidRPr="005D2C0C">
              <w:rPr>
                <w:rFonts w:ascii="Source Sans Pro" w:hAnsi="Source Sans Pro" w:cs="Calibri"/>
                <w:color w:val="000000"/>
                <w:sz w:val="22"/>
                <w:szCs w:val="22"/>
              </w:rPr>
              <w:br/>
              <w:t>(%)</w:t>
            </w:r>
          </w:p>
        </w:tc>
        <w:tc>
          <w:tcPr>
            <w:tcW w:w="5080" w:type="dxa"/>
            <w:gridSpan w:val="6"/>
            <w:vMerge w:val="restart"/>
            <w:tcBorders>
              <w:top w:val="single" w:sz="8" w:space="0" w:color="auto"/>
              <w:left w:val="single" w:sz="8" w:space="0" w:color="auto"/>
              <w:bottom w:val="single" w:sz="8" w:space="0" w:color="auto"/>
              <w:right w:val="single" w:sz="8" w:space="0" w:color="auto"/>
            </w:tcBorders>
            <w:vAlign w:val="center"/>
            <w:hideMark/>
          </w:tcPr>
          <w:p w:rsidR="00ED4E2C" w:rsidRPr="005D2C0C" w:rsidP="003E3993" w14:paraId="63CCD192"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 xml:space="preserve">Percentage Shares of Hours Spent by and </w:t>
            </w:r>
            <w:r w:rsidRPr="005D2C0C">
              <w:rPr>
                <w:rFonts w:ascii="Source Sans Pro" w:hAnsi="Source Sans Pro" w:cs="Calibri"/>
                <w:color w:val="000000"/>
                <w:sz w:val="22"/>
                <w:szCs w:val="22"/>
              </w:rPr>
              <w:br/>
              <w:t xml:space="preserve">Hourly Compensation Rates for each Occupation Group </w:t>
            </w:r>
            <w:r w:rsidRPr="005D2C0C">
              <w:rPr>
                <w:rFonts w:ascii="Source Sans Pro" w:hAnsi="Source Sans Pro" w:cs="Calibri"/>
                <w:color w:val="000000"/>
                <w:sz w:val="22"/>
                <w:szCs w:val="22"/>
              </w:rPr>
              <w:br/>
              <w:t>(by Collection)</w:t>
            </w:r>
          </w:p>
        </w:tc>
        <w:tc>
          <w:tcPr>
            <w:tcW w:w="136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4390B7EA"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Estimated Hourly Compensation Rate</w:t>
            </w:r>
          </w:p>
        </w:tc>
      </w:tr>
      <w:tr w14:paraId="7FA7EBD6" w14:textId="77777777" w:rsidTr="003E3993">
        <w:tblPrEx>
          <w:tblW w:w="10016" w:type="dxa"/>
          <w:tblCellMar>
            <w:top w:w="15" w:type="dxa"/>
          </w:tblCellMar>
          <w:tblLook w:val="04A0"/>
        </w:tblPrEx>
        <w:trPr>
          <w:trHeight w:val="863"/>
        </w:trPr>
        <w:tc>
          <w:tcPr>
            <w:tcW w:w="2700" w:type="dxa"/>
            <w:vMerge/>
            <w:tcBorders>
              <w:top w:val="nil"/>
              <w:left w:val="single" w:sz="8" w:space="0" w:color="auto"/>
              <w:bottom w:val="single" w:sz="8" w:space="0" w:color="auto"/>
              <w:right w:val="single" w:sz="8" w:space="0" w:color="auto"/>
            </w:tcBorders>
            <w:vAlign w:val="center"/>
            <w:hideMark/>
          </w:tcPr>
          <w:p w:rsidR="00ED4E2C" w:rsidRPr="005D2C0C" w:rsidP="003E3993" w14:paraId="0314FE24" w14:textId="77777777">
            <w:pPr>
              <w:keepNext/>
              <w:keepLines/>
              <w:rPr>
                <w:rFonts w:ascii="Source Sans Pro" w:hAnsi="Source Sans Pro" w:cs="Calibri"/>
                <w:color w:val="000000"/>
                <w:sz w:val="22"/>
                <w:szCs w:val="22"/>
              </w:rPr>
            </w:pPr>
          </w:p>
        </w:tc>
        <w:tc>
          <w:tcPr>
            <w:tcW w:w="840" w:type="dxa"/>
            <w:vMerge/>
            <w:tcBorders>
              <w:top w:val="nil"/>
              <w:left w:val="single" w:sz="8" w:space="0" w:color="auto"/>
              <w:bottom w:val="single" w:sz="8" w:space="0" w:color="auto"/>
              <w:right w:val="single" w:sz="8" w:space="0" w:color="auto"/>
            </w:tcBorders>
            <w:vAlign w:val="center"/>
            <w:hideMark/>
          </w:tcPr>
          <w:p w:rsidR="00ED4E2C" w:rsidRPr="005D2C0C" w:rsidP="003E3993" w14:paraId="57665663" w14:textId="77777777">
            <w:pPr>
              <w:keepNext/>
              <w:keepLines/>
              <w:rPr>
                <w:rFonts w:ascii="Source Sans Pro" w:hAnsi="Source Sans Pro" w:cs="Calibri"/>
                <w:color w:val="000000"/>
                <w:sz w:val="22"/>
                <w:szCs w:val="22"/>
              </w:rPr>
            </w:pPr>
          </w:p>
        </w:tc>
        <w:tc>
          <w:tcPr>
            <w:tcW w:w="5080" w:type="dxa"/>
            <w:gridSpan w:val="6"/>
            <w:vMerge/>
            <w:tcBorders>
              <w:top w:val="single" w:sz="8" w:space="0" w:color="auto"/>
              <w:left w:val="single" w:sz="8" w:space="0" w:color="auto"/>
              <w:bottom w:val="single" w:sz="8" w:space="0" w:color="auto"/>
              <w:right w:val="single" w:sz="8" w:space="0" w:color="auto"/>
            </w:tcBorders>
            <w:vAlign w:val="center"/>
            <w:hideMark/>
          </w:tcPr>
          <w:p w:rsidR="00ED4E2C" w:rsidRPr="005D2C0C" w:rsidP="003E3993" w14:paraId="0C0CED5C" w14:textId="77777777">
            <w:pPr>
              <w:keepNext/>
              <w:keepLines/>
              <w:rPr>
                <w:rFonts w:ascii="Source Sans Pro" w:hAnsi="Source Sans Pro" w:cs="Calibri"/>
                <w:color w:val="000000"/>
                <w:sz w:val="22"/>
                <w:szCs w:val="22"/>
              </w:rPr>
            </w:pPr>
          </w:p>
        </w:tc>
        <w:tc>
          <w:tcPr>
            <w:tcW w:w="1360" w:type="dxa"/>
            <w:vMerge/>
            <w:tcBorders>
              <w:top w:val="nil"/>
              <w:left w:val="single" w:sz="8" w:space="0" w:color="auto"/>
              <w:bottom w:val="single" w:sz="8" w:space="0" w:color="auto"/>
              <w:right w:val="single" w:sz="8" w:space="0" w:color="auto"/>
            </w:tcBorders>
            <w:vAlign w:val="center"/>
            <w:hideMark/>
          </w:tcPr>
          <w:p w:rsidR="00ED4E2C" w:rsidRPr="005D2C0C" w:rsidP="003E3993" w14:paraId="66FAA149" w14:textId="77777777">
            <w:pPr>
              <w:keepNext/>
              <w:keepLines/>
              <w:rPr>
                <w:rFonts w:ascii="Source Sans Pro" w:hAnsi="Source Sans Pro" w:cs="Calibri"/>
                <w:color w:val="000000"/>
                <w:sz w:val="22"/>
                <w:szCs w:val="22"/>
              </w:rPr>
            </w:pPr>
          </w:p>
        </w:tc>
        <w:tc>
          <w:tcPr>
            <w:tcW w:w="36" w:type="dxa"/>
            <w:tcBorders>
              <w:top w:val="nil"/>
              <w:left w:val="nil"/>
              <w:bottom w:val="nil"/>
              <w:right w:val="nil"/>
            </w:tcBorders>
            <w:noWrap/>
            <w:vAlign w:val="bottom"/>
            <w:hideMark/>
          </w:tcPr>
          <w:p w:rsidR="00ED4E2C" w:rsidRPr="005D2C0C" w:rsidP="003E3993" w14:paraId="380A5692" w14:textId="77777777">
            <w:pPr>
              <w:keepNext/>
              <w:keepLines/>
              <w:jc w:val="center"/>
              <w:rPr>
                <w:rFonts w:ascii="Source Sans Pro" w:hAnsi="Source Sans Pro" w:cs="Calibri"/>
                <w:color w:val="000000"/>
                <w:sz w:val="22"/>
                <w:szCs w:val="22"/>
              </w:rPr>
            </w:pPr>
          </w:p>
        </w:tc>
      </w:tr>
      <w:tr w14:paraId="799A69D1" w14:textId="77777777" w:rsidTr="003E3993">
        <w:tblPrEx>
          <w:tblW w:w="10016" w:type="dxa"/>
          <w:tblCellMar>
            <w:top w:w="15" w:type="dxa"/>
          </w:tblCellMar>
          <w:tblLook w:val="04A0"/>
        </w:tblPrEx>
        <w:trPr>
          <w:trHeight w:val="360"/>
        </w:trPr>
        <w:tc>
          <w:tcPr>
            <w:tcW w:w="2700" w:type="dxa"/>
            <w:vMerge/>
            <w:tcBorders>
              <w:top w:val="nil"/>
              <w:left w:val="single" w:sz="8" w:space="0" w:color="auto"/>
              <w:bottom w:val="single" w:sz="8" w:space="0" w:color="auto"/>
              <w:right w:val="single" w:sz="8" w:space="0" w:color="auto"/>
            </w:tcBorders>
            <w:vAlign w:val="center"/>
            <w:hideMark/>
          </w:tcPr>
          <w:p w:rsidR="00ED4E2C" w:rsidRPr="005D2C0C" w:rsidP="003E3993" w14:paraId="680F77E9" w14:textId="77777777">
            <w:pPr>
              <w:keepNext/>
              <w:keepLines/>
              <w:rPr>
                <w:rFonts w:ascii="Source Sans Pro" w:hAnsi="Source Sans Pro" w:cs="Calibri"/>
                <w:color w:val="000000"/>
                <w:sz w:val="22"/>
                <w:szCs w:val="22"/>
              </w:rPr>
            </w:pPr>
          </w:p>
        </w:tc>
        <w:tc>
          <w:tcPr>
            <w:tcW w:w="840" w:type="dxa"/>
            <w:vMerge/>
            <w:tcBorders>
              <w:top w:val="nil"/>
              <w:left w:val="single" w:sz="8" w:space="0" w:color="auto"/>
              <w:bottom w:val="single" w:sz="8" w:space="0" w:color="auto"/>
              <w:right w:val="single" w:sz="8" w:space="0" w:color="auto"/>
            </w:tcBorders>
            <w:vAlign w:val="center"/>
            <w:hideMark/>
          </w:tcPr>
          <w:p w:rsidR="00ED4E2C" w:rsidRPr="005D2C0C" w:rsidP="003E3993" w14:paraId="3478198F" w14:textId="77777777">
            <w:pPr>
              <w:keepNext/>
              <w:keepLines/>
              <w:rPr>
                <w:rFonts w:ascii="Source Sans Pro" w:hAnsi="Source Sans Pro" w:cs="Calibri"/>
                <w:color w:val="000000"/>
                <w:sz w:val="22"/>
                <w:szCs w:val="22"/>
              </w:rPr>
            </w:pPr>
          </w:p>
        </w:tc>
        <w:tc>
          <w:tcPr>
            <w:tcW w:w="90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7E795CB6"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Exec. &amp; Mgr.      ($149.41)</w:t>
            </w:r>
          </w:p>
        </w:tc>
        <w:tc>
          <w:tcPr>
            <w:tcW w:w="82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10E6A330"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Lawyer</w:t>
            </w:r>
            <w:r w:rsidRPr="005D2C0C">
              <w:rPr>
                <w:rFonts w:ascii="Source Sans Pro" w:hAnsi="Source Sans Pro" w:cs="Calibri"/>
                <w:color w:val="000000"/>
                <w:sz w:val="22"/>
                <w:szCs w:val="22"/>
              </w:rPr>
              <w:t xml:space="preserve">   (</w:t>
            </w:r>
            <w:r w:rsidRPr="005D2C0C">
              <w:rPr>
                <w:rFonts w:ascii="Source Sans Pro" w:hAnsi="Source Sans Pro" w:cs="Calibri"/>
                <w:color w:val="000000"/>
                <w:sz w:val="22"/>
                <w:szCs w:val="22"/>
              </w:rPr>
              <w:t>$186.16)</w:t>
            </w:r>
          </w:p>
        </w:tc>
        <w:tc>
          <w:tcPr>
            <w:tcW w:w="88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7B0F1FA8"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Compl</w:t>
            </w:r>
            <w:r w:rsidRPr="005D2C0C">
              <w:rPr>
                <w:rFonts w:ascii="Source Sans Pro" w:hAnsi="Source Sans Pro" w:cs="Calibri"/>
                <w:color w:val="000000"/>
                <w:sz w:val="22"/>
                <w:szCs w:val="22"/>
              </w:rPr>
              <w:t>. Ofc.   ($78.8)</w:t>
            </w:r>
          </w:p>
        </w:tc>
        <w:tc>
          <w:tcPr>
            <w:tcW w:w="76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0E3E6B37"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 xml:space="preserve">IT </w:t>
            </w:r>
            <w:r w:rsidRPr="005D2C0C">
              <w:rPr>
                <w:rFonts w:ascii="Source Sans Pro" w:hAnsi="Source Sans Pro" w:cs="Calibri"/>
                <w:color w:val="000000"/>
                <w:sz w:val="22"/>
                <w:szCs w:val="22"/>
              </w:rPr>
              <w:t xml:space="preserve">   (</w:t>
            </w:r>
            <w:r w:rsidRPr="005D2C0C">
              <w:rPr>
                <w:rFonts w:ascii="Source Sans Pro" w:hAnsi="Source Sans Pro" w:cs="Calibri"/>
                <w:color w:val="000000"/>
                <w:sz w:val="22"/>
                <w:szCs w:val="22"/>
              </w:rPr>
              <w:t>$113.4)</w:t>
            </w:r>
          </w:p>
        </w:tc>
        <w:tc>
          <w:tcPr>
            <w:tcW w:w="94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0BA3E823"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 xml:space="preserve">Fin. </w:t>
            </w:r>
            <w:r w:rsidRPr="005D2C0C">
              <w:rPr>
                <w:rFonts w:ascii="Source Sans Pro" w:hAnsi="Source Sans Pro" w:cs="Calibri"/>
                <w:color w:val="000000"/>
                <w:sz w:val="22"/>
                <w:szCs w:val="22"/>
              </w:rPr>
              <w:t>Anlst</w:t>
            </w:r>
            <w:r w:rsidRPr="005D2C0C">
              <w:rPr>
                <w:rFonts w:ascii="Source Sans Pro" w:hAnsi="Source Sans Pro" w:cs="Calibri"/>
                <w:color w:val="000000"/>
                <w:sz w:val="22"/>
                <w:szCs w:val="22"/>
              </w:rPr>
              <w:t>.    ($102.54)</w:t>
            </w:r>
          </w:p>
        </w:tc>
        <w:tc>
          <w:tcPr>
            <w:tcW w:w="780" w:type="dxa"/>
            <w:vMerge w:val="restart"/>
            <w:tcBorders>
              <w:top w:val="nil"/>
              <w:left w:val="single" w:sz="8" w:space="0" w:color="auto"/>
              <w:bottom w:val="single" w:sz="8" w:space="0" w:color="auto"/>
              <w:right w:val="single" w:sz="8" w:space="0" w:color="auto"/>
            </w:tcBorders>
            <w:vAlign w:val="center"/>
            <w:hideMark/>
          </w:tcPr>
          <w:p w:rsidR="00ED4E2C" w:rsidRPr="005D2C0C" w:rsidP="003E3993" w14:paraId="2A0D414F"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 xml:space="preserve">Clerical </w:t>
            </w:r>
            <w:r w:rsidRPr="005D2C0C">
              <w:rPr>
                <w:rFonts w:ascii="Source Sans Pro" w:hAnsi="Source Sans Pro" w:cs="Calibri"/>
                <w:color w:val="000000"/>
                <w:sz w:val="22"/>
                <w:szCs w:val="22"/>
              </w:rPr>
              <w:t xml:space="preserve">   (</w:t>
            </w:r>
            <w:r w:rsidRPr="005D2C0C">
              <w:rPr>
                <w:rFonts w:ascii="Source Sans Pro" w:hAnsi="Source Sans Pro" w:cs="Calibri"/>
                <w:color w:val="000000"/>
                <w:sz w:val="22"/>
                <w:szCs w:val="22"/>
              </w:rPr>
              <w:t>$40.28)</w:t>
            </w:r>
          </w:p>
        </w:tc>
        <w:tc>
          <w:tcPr>
            <w:tcW w:w="1360" w:type="dxa"/>
            <w:vMerge/>
            <w:tcBorders>
              <w:top w:val="nil"/>
              <w:left w:val="single" w:sz="8" w:space="0" w:color="auto"/>
              <w:bottom w:val="single" w:sz="8" w:space="0" w:color="auto"/>
              <w:right w:val="single" w:sz="8" w:space="0" w:color="auto"/>
            </w:tcBorders>
            <w:vAlign w:val="center"/>
            <w:hideMark/>
          </w:tcPr>
          <w:p w:rsidR="00ED4E2C" w:rsidRPr="005D2C0C" w:rsidP="003E3993" w14:paraId="598F4F2F" w14:textId="77777777">
            <w:pPr>
              <w:keepNext/>
              <w:keepLines/>
              <w:rPr>
                <w:rFonts w:ascii="Source Sans Pro" w:hAnsi="Source Sans Pro" w:cs="Calibri"/>
                <w:color w:val="000000"/>
                <w:sz w:val="22"/>
                <w:szCs w:val="22"/>
              </w:rPr>
            </w:pPr>
          </w:p>
        </w:tc>
        <w:tc>
          <w:tcPr>
            <w:tcW w:w="36" w:type="dxa"/>
            <w:vAlign w:val="center"/>
            <w:hideMark/>
          </w:tcPr>
          <w:p w:rsidR="00ED4E2C" w:rsidRPr="005D2C0C" w:rsidP="003E3993" w14:paraId="69DDB5F5" w14:textId="77777777">
            <w:pPr>
              <w:keepNext/>
              <w:keepLines/>
              <w:rPr>
                <w:rFonts w:ascii="Source Sans Pro" w:hAnsi="Source Sans Pro"/>
                <w:sz w:val="22"/>
                <w:szCs w:val="22"/>
              </w:rPr>
            </w:pPr>
          </w:p>
        </w:tc>
      </w:tr>
      <w:tr w14:paraId="34FC7E68" w14:textId="77777777" w:rsidTr="003E3993">
        <w:tblPrEx>
          <w:tblW w:w="10016" w:type="dxa"/>
          <w:tblCellMar>
            <w:top w:w="15" w:type="dxa"/>
          </w:tblCellMar>
          <w:tblLook w:val="04A0"/>
        </w:tblPrEx>
        <w:trPr>
          <w:trHeight w:val="1140"/>
        </w:trPr>
        <w:tc>
          <w:tcPr>
            <w:tcW w:w="2700" w:type="dxa"/>
            <w:vMerge/>
            <w:tcBorders>
              <w:top w:val="nil"/>
              <w:left w:val="single" w:sz="8" w:space="0" w:color="auto"/>
              <w:bottom w:val="single" w:sz="8" w:space="0" w:color="auto"/>
              <w:right w:val="single" w:sz="8" w:space="0" w:color="auto"/>
            </w:tcBorders>
            <w:vAlign w:val="center"/>
            <w:hideMark/>
          </w:tcPr>
          <w:p w:rsidR="00ED4E2C" w:rsidRPr="005D2C0C" w:rsidP="003E3993" w14:paraId="33DA73C2" w14:textId="77777777">
            <w:pPr>
              <w:keepNext/>
              <w:keepLines/>
              <w:rPr>
                <w:rFonts w:ascii="Source Sans Pro" w:hAnsi="Source Sans Pro" w:cs="Calibri"/>
                <w:color w:val="000000"/>
                <w:sz w:val="22"/>
                <w:szCs w:val="22"/>
              </w:rPr>
            </w:pPr>
          </w:p>
        </w:tc>
        <w:tc>
          <w:tcPr>
            <w:tcW w:w="840" w:type="dxa"/>
            <w:vMerge/>
            <w:tcBorders>
              <w:top w:val="nil"/>
              <w:left w:val="single" w:sz="8" w:space="0" w:color="auto"/>
              <w:bottom w:val="single" w:sz="8" w:space="0" w:color="auto"/>
              <w:right w:val="single" w:sz="8" w:space="0" w:color="auto"/>
            </w:tcBorders>
            <w:vAlign w:val="center"/>
            <w:hideMark/>
          </w:tcPr>
          <w:p w:rsidR="00ED4E2C" w:rsidRPr="005D2C0C" w:rsidP="003E3993" w14:paraId="5E97A4A1" w14:textId="77777777">
            <w:pPr>
              <w:keepNext/>
              <w:keepLines/>
              <w:rPr>
                <w:rFonts w:ascii="Source Sans Pro" w:hAnsi="Source Sans Pro" w:cs="Calibri"/>
                <w:color w:val="000000"/>
                <w:sz w:val="22"/>
                <w:szCs w:val="22"/>
              </w:rPr>
            </w:pPr>
          </w:p>
        </w:tc>
        <w:tc>
          <w:tcPr>
            <w:tcW w:w="900" w:type="dxa"/>
            <w:vMerge/>
            <w:tcBorders>
              <w:top w:val="nil"/>
              <w:left w:val="single" w:sz="8" w:space="0" w:color="auto"/>
              <w:bottom w:val="single" w:sz="8" w:space="0" w:color="auto"/>
              <w:right w:val="single" w:sz="8" w:space="0" w:color="auto"/>
            </w:tcBorders>
            <w:vAlign w:val="center"/>
            <w:hideMark/>
          </w:tcPr>
          <w:p w:rsidR="00ED4E2C" w:rsidRPr="005D2C0C" w:rsidP="003E3993" w14:paraId="7A939571" w14:textId="77777777">
            <w:pPr>
              <w:keepNext/>
              <w:keepLines/>
              <w:rPr>
                <w:rFonts w:ascii="Source Sans Pro" w:hAnsi="Source Sans Pro" w:cs="Calibri"/>
                <w:color w:val="000000"/>
                <w:sz w:val="22"/>
                <w:szCs w:val="22"/>
              </w:rPr>
            </w:pPr>
          </w:p>
        </w:tc>
        <w:tc>
          <w:tcPr>
            <w:tcW w:w="820" w:type="dxa"/>
            <w:vMerge/>
            <w:tcBorders>
              <w:top w:val="nil"/>
              <w:left w:val="single" w:sz="8" w:space="0" w:color="auto"/>
              <w:bottom w:val="single" w:sz="8" w:space="0" w:color="auto"/>
              <w:right w:val="single" w:sz="8" w:space="0" w:color="auto"/>
            </w:tcBorders>
            <w:vAlign w:val="center"/>
            <w:hideMark/>
          </w:tcPr>
          <w:p w:rsidR="00ED4E2C" w:rsidRPr="005D2C0C" w:rsidP="003E3993" w14:paraId="0AD911E8" w14:textId="77777777">
            <w:pPr>
              <w:keepNext/>
              <w:keepLines/>
              <w:rPr>
                <w:rFonts w:ascii="Source Sans Pro" w:hAnsi="Source Sans Pro" w:cs="Calibri"/>
                <w:color w:val="000000"/>
                <w:sz w:val="22"/>
                <w:szCs w:val="22"/>
              </w:rPr>
            </w:pPr>
          </w:p>
        </w:tc>
        <w:tc>
          <w:tcPr>
            <w:tcW w:w="880" w:type="dxa"/>
            <w:vMerge/>
            <w:tcBorders>
              <w:top w:val="nil"/>
              <w:left w:val="single" w:sz="8" w:space="0" w:color="auto"/>
              <w:bottom w:val="single" w:sz="8" w:space="0" w:color="auto"/>
              <w:right w:val="single" w:sz="8" w:space="0" w:color="auto"/>
            </w:tcBorders>
            <w:vAlign w:val="center"/>
            <w:hideMark/>
          </w:tcPr>
          <w:p w:rsidR="00ED4E2C" w:rsidRPr="005D2C0C" w:rsidP="003E3993" w14:paraId="44909C84" w14:textId="77777777">
            <w:pPr>
              <w:keepNext/>
              <w:keepLines/>
              <w:rPr>
                <w:rFonts w:ascii="Source Sans Pro" w:hAnsi="Source Sans Pro" w:cs="Calibri"/>
                <w:color w:val="000000"/>
                <w:sz w:val="22"/>
                <w:szCs w:val="22"/>
              </w:rPr>
            </w:pPr>
          </w:p>
        </w:tc>
        <w:tc>
          <w:tcPr>
            <w:tcW w:w="760" w:type="dxa"/>
            <w:vMerge/>
            <w:tcBorders>
              <w:top w:val="nil"/>
              <w:left w:val="single" w:sz="8" w:space="0" w:color="auto"/>
              <w:bottom w:val="single" w:sz="8" w:space="0" w:color="auto"/>
              <w:right w:val="single" w:sz="8" w:space="0" w:color="auto"/>
            </w:tcBorders>
            <w:vAlign w:val="center"/>
            <w:hideMark/>
          </w:tcPr>
          <w:p w:rsidR="00ED4E2C" w:rsidRPr="005D2C0C" w:rsidP="003E3993" w14:paraId="7AD1465F" w14:textId="77777777">
            <w:pPr>
              <w:keepNext/>
              <w:keepLines/>
              <w:rPr>
                <w:rFonts w:ascii="Source Sans Pro" w:hAnsi="Source Sans Pro" w:cs="Calibri"/>
                <w:color w:val="000000"/>
                <w:sz w:val="22"/>
                <w:szCs w:val="22"/>
              </w:rPr>
            </w:pPr>
          </w:p>
        </w:tc>
        <w:tc>
          <w:tcPr>
            <w:tcW w:w="940" w:type="dxa"/>
            <w:vMerge/>
            <w:tcBorders>
              <w:top w:val="nil"/>
              <w:left w:val="single" w:sz="8" w:space="0" w:color="auto"/>
              <w:bottom w:val="single" w:sz="8" w:space="0" w:color="auto"/>
              <w:right w:val="single" w:sz="8" w:space="0" w:color="auto"/>
            </w:tcBorders>
            <w:vAlign w:val="center"/>
            <w:hideMark/>
          </w:tcPr>
          <w:p w:rsidR="00ED4E2C" w:rsidRPr="005D2C0C" w:rsidP="003E3993" w14:paraId="4985A339" w14:textId="77777777">
            <w:pPr>
              <w:keepNext/>
              <w:keepLines/>
              <w:rPr>
                <w:rFonts w:ascii="Source Sans Pro" w:hAnsi="Source Sans Pro" w:cs="Calibri"/>
                <w:color w:val="000000"/>
                <w:sz w:val="22"/>
                <w:szCs w:val="22"/>
              </w:rPr>
            </w:pPr>
          </w:p>
        </w:tc>
        <w:tc>
          <w:tcPr>
            <w:tcW w:w="780" w:type="dxa"/>
            <w:vMerge/>
            <w:tcBorders>
              <w:top w:val="nil"/>
              <w:left w:val="single" w:sz="8" w:space="0" w:color="auto"/>
              <w:bottom w:val="single" w:sz="8" w:space="0" w:color="auto"/>
              <w:right w:val="single" w:sz="8" w:space="0" w:color="auto"/>
            </w:tcBorders>
            <w:vAlign w:val="center"/>
            <w:hideMark/>
          </w:tcPr>
          <w:p w:rsidR="00ED4E2C" w:rsidRPr="005D2C0C" w:rsidP="003E3993" w14:paraId="26D38D29" w14:textId="77777777">
            <w:pPr>
              <w:keepNext/>
              <w:keepLines/>
              <w:rPr>
                <w:rFonts w:ascii="Source Sans Pro" w:hAnsi="Source Sans Pro" w:cs="Calibri"/>
                <w:color w:val="000000"/>
                <w:sz w:val="22"/>
                <w:szCs w:val="22"/>
              </w:rPr>
            </w:pPr>
          </w:p>
        </w:tc>
        <w:tc>
          <w:tcPr>
            <w:tcW w:w="1360" w:type="dxa"/>
            <w:vMerge/>
            <w:tcBorders>
              <w:top w:val="nil"/>
              <w:left w:val="single" w:sz="8" w:space="0" w:color="auto"/>
              <w:bottom w:val="single" w:sz="8" w:space="0" w:color="auto"/>
              <w:right w:val="single" w:sz="8" w:space="0" w:color="auto"/>
            </w:tcBorders>
            <w:vAlign w:val="center"/>
            <w:hideMark/>
          </w:tcPr>
          <w:p w:rsidR="00ED4E2C" w:rsidRPr="005D2C0C" w:rsidP="003E3993" w14:paraId="1CDB345D" w14:textId="77777777">
            <w:pPr>
              <w:keepNext/>
              <w:keepLines/>
              <w:rPr>
                <w:rFonts w:ascii="Source Sans Pro" w:hAnsi="Source Sans Pro" w:cs="Calibri"/>
                <w:color w:val="000000"/>
                <w:sz w:val="22"/>
                <w:szCs w:val="22"/>
              </w:rPr>
            </w:pPr>
          </w:p>
        </w:tc>
        <w:tc>
          <w:tcPr>
            <w:tcW w:w="36" w:type="dxa"/>
            <w:tcBorders>
              <w:top w:val="nil"/>
              <w:left w:val="nil"/>
              <w:bottom w:val="nil"/>
              <w:right w:val="nil"/>
            </w:tcBorders>
            <w:noWrap/>
            <w:vAlign w:val="bottom"/>
            <w:hideMark/>
          </w:tcPr>
          <w:p w:rsidR="00ED4E2C" w:rsidRPr="005D2C0C" w:rsidP="003E3993" w14:paraId="20749ECA" w14:textId="77777777">
            <w:pPr>
              <w:keepNext/>
              <w:keepLines/>
              <w:jc w:val="center"/>
              <w:rPr>
                <w:rFonts w:ascii="Source Sans Pro" w:hAnsi="Source Sans Pro" w:cs="Calibri"/>
                <w:color w:val="000000"/>
                <w:sz w:val="22"/>
                <w:szCs w:val="22"/>
              </w:rPr>
            </w:pPr>
          </w:p>
        </w:tc>
      </w:tr>
      <w:tr w14:paraId="726917B7" w14:textId="77777777" w:rsidTr="003E3993">
        <w:tblPrEx>
          <w:tblW w:w="10016" w:type="dxa"/>
          <w:tblCellMar>
            <w:top w:w="15" w:type="dxa"/>
          </w:tblCellMar>
          <w:tblLook w:val="04A0"/>
        </w:tblPrEx>
        <w:trPr>
          <w:trHeight w:val="825"/>
        </w:trPr>
        <w:tc>
          <w:tcPr>
            <w:tcW w:w="2700" w:type="dxa"/>
            <w:tcBorders>
              <w:top w:val="nil"/>
              <w:left w:val="single" w:sz="8" w:space="0" w:color="auto"/>
              <w:bottom w:val="single" w:sz="8" w:space="0" w:color="auto"/>
              <w:right w:val="single" w:sz="8" w:space="0" w:color="auto"/>
            </w:tcBorders>
            <w:vAlign w:val="center"/>
            <w:hideMark/>
          </w:tcPr>
          <w:p w:rsidR="00ED4E2C" w:rsidRPr="005D2C0C" w:rsidP="003E3993" w14:paraId="558A1926"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1. Transfer Agent Registration,</w:t>
            </w:r>
            <w:r w:rsidRPr="005D2C0C">
              <w:rPr>
                <w:rFonts w:ascii="Source Sans Pro" w:hAnsi="Source Sans Pro" w:cs="Calibri"/>
                <w:color w:val="000000"/>
                <w:sz w:val="22"/>
                <w:szCs w:val="22"/>
              </w:rPr>
              <w:br/>
              <w:t>12 CFR 341.3 (Mandatory)</w:t>
            </w:r>
          </w:p>
        </w:tc>
        <w:tc>
          <w:tcPr>
            <w:tcW w:w="840" w:type="dxa"/>
            <w:tcBorders>
              <w:top w:val="nil"/>
              <w:left w:val="nil"/>
              <w:bottom w:val="single" w:sz="8" w:space="0" w:color="auto"/>
              <w:right w:val="single" w:sz="8" w:space="0" w:color="auto"/>
            </w:tcBorders>
            <w:vAlign w:val="center"/>
            <w:hideMark/>
          </w:tcPr>
          <w:p w:rsidR="00ED4E2C" w:rsidRPr="005D2C0C" w:rsidP="003E3993" w14:paraId="2DF39794"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100.00</w:t>
            </w:r>
          </w:p>
        </w:tc>
        <w:tc>
          <w:tcPr>
            <w:tcW w:w="900" w:type="dxa"/>
            <w:tcBorders>
              <w:top w:val="nil"/>
              <w:left w:val="nil"/>
              <w:bottom w:val="single" w:sz="8" w:space="0" w:color="auto"/>
              <w:right w:val="single" w:sz="8" w:space="0" w:color="auto"/>
            </w:tcBorders>
            <w:vAlign w:val="center"/>
            <w:hideMark/>
          </w:tcPr>
          <w:p w:rsidR="00ED4E2C" w:rsidRPr="005D2C0C" w:rsidP="003E3993" w14:paraId="750ADB42"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10</w:t>
            </w:r>
          </w:p>
        </w:tc>
        <w:tc>
          <w:tcPr>
            <w:tcW w:w="820" w:type="dxa"/>
            <w:tcBorders>
              <w:top w:val="nil"/>
              <w:left w:val="nil"/>
              <w:bottom w:val="single" w:sz="8" w:space="0" w:color="auto"/>
              <w:right w:val="single" w:sz="8" w:space="0" w:color="auto"/>
            </w:tcBorders>
            <w:vAlign w:val="center"/>
            <w:hideMark/>
          </w:tcPr>
          <w:p w:rsidR="00ED4E2C" w:rsidRPr="005D2C0C" w:rsidP="003E3993" w14:paraId="3C8A72A8"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880" w:type="dxa"/>
            <w:tcBorders>
              <w:top w:val="nil"/>
              <w:left w:val="nil"/>
              <w:bottom w:val="single" w:sz="8" w:space="0" w:color="auto"/>
              <w:right w:val="single" w:sz="8" w:space="0" w:color="auto"/>
            </w:tcBorders>
            <w:vAlign w:val="center"/>
            <w:hideMark/>
          </w:tcPr>
          <w:p w:rsidR="00ED4E2C" w:rsidRPr="005D2C0C" w:rsidP="003E3993" w14:paraId="265D5E4A"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30</w:t>
            </w:r>
          </w:p>
        </w:tc>
        <w:tc>
          <w:tcPr>
            <w:tcW w:w="760" w:type="dxa"/>
            <w:tcBorders>
              <w:top w:val="nil"/>
              <w:left w:val="nil"/>
              <w:bottom w:val="single" w:sz="8" w:space="0" w:color="auto"/>
              <w:right w:val="single" w:sz="8" w:space="0" w:color="auto"/>
            </w:tcBorders>
            <w:vAlign w:val="center"/>
            <w:hideMark/>
          </w:tcPr>
          <w:p w:rsidR="00ED4E2C" w:rsidRPr="005D2C0C" w:rsidP="003E3993" w14:paraId="66F70CC1"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940" w:type="dxa"/>
            <w:tcBorders>
              <w:top w:val="nil"/>
              <w:left w:val="nil"/>
              <w:bottom w:val="single" w:sz="8" w:space="0" w:color="auto"/>
              <w:right w:val="single" w:sz="8" w:space="0" w:color="auto"/>
            </w:tcBorders>
            <w:vAlign w:val="center"/>
            <w:hideMark/>
          </w:tcPr>
          <w:p w:rsidR="00ED4E2C" w:rsidRPr="005D2C0C" w:rsidP="003E3993" w14:paraId="2EB13A15"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780" w:type="dxa"/>
            <w:tcBorders>
              <w:top w:val="nil"/>
              <w:left w:val="nil"/>
              <w:bottom w:val="single" w:sz="8" w:space="0" w:color="auto"/>
              <w:right w:val="single" w:sz="8" w:space="0" w:color="auto"/>
            </w:tcBorders>
            <w:vAlign w:val="center"/>
            <w:hideMark/>
          </w:tcPr>
          <w:p w:rsidR="00ED4E2C" w:rsidRPr="005D2C0C" w:rsidP="003E3993" w14:paraId="600DF5AB"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60</w:t>
            </w:r>
          </w:p>
        </w:tc>
        <w:tc>
          <w:tcPr>
            <w:tcW w:w="1360" w:type="dxa"/>
            <w:tcBorders>
              <w:top w:val="nil"/>
              <w:left w:val="nil"/>
              <w:bottom w:val="single" w:sz="8" w:space="0" w:color="auto"/>
              <w:right w:val="single" w:sz="8" w:space="0" w:color="auto"/>
            </w:tcBorders>
            <w:vAlign w:val="center"/>
            <w:hideMark/>
          </w:tcPr>
          <w:p w:rsidR="00ED4E2C" w:rsidRPr="005D2C0C" w:rsidP="003E3993" w14:paraId="12968A40" w14:textId="77777777">
            <w:pPr>
              <w:keepNext/>
              <w:keepLines/>
              <w:ind w:firstLine="220" w:firstLineChars="100"/>
              <w:jc w:val="right"/>
              <w:rPr>
                <w:rFonts w:ascii="Source Sans Pro" w:hAnsi="Source Sans Pro" w:cs="Calibri"/>
                <w:color w:val="000000"/>
                <w:sz w:val="22"/>
                <w:szCs w:val="22"/>
              </w:rPr>
            </w:pPr>
            <w:r w:rsidRPr="005D2C0C">
              <w:rPr>
                <w:rFonts w:ascii="Source Sans Pro" w:hAnsi="Source Sans Pro" w:cs="Calibri"/>
                <w:color w:val="000000"/>
                <w:sz w:val="22"/>
                <w:szCs w:val="22"/>
              </w:rPr>
              <w:t xml:space="preserve">$62.75 </w:t>
            </w:r>
          </w:p>
        </w:tc>
        <w:tc>
          <w:tcPr>
            <w:tcW w:w="36" w:type="dxa"/>
            <w:vAlign w:val="center"/>
            <w:hideMark/>
          </w:tcPr>
          <w:p w:rsidR="00ED4E2C" w:rsidRPr="005D2C0C" w:rsidP="003E3993" w14:paraId="344266A8" w14:textId="77777777">
            <w:pPr>
              <w:keepNext/>
              <w:keepLines/>
              <w:rPr>
                <w:rFonts w:ascii="Source Sans Pro" w:hAnsi="Source Sans Pro"/>
                <w:sz w:val="22"/>
                <w:szCs w:val="22"/>
              </w:rPr>
            </w:pPr>
          </w:p>
        </w:tc>
      </w:tr>
      <w:tr w14:paraId="412AF6E1" w14:textId="77777777" w:rsidTr="003E3993">
        <w:tblPrEx>
          <w:tblW w:w="10016" w:type="dxa"/>
          <w:tblCellMar>
            <w:top w:w="15" w:type="dxa"/>
          </w:tblCellMar>
          <w:tblLook w:val="04A0"/>
        </w:tblPrEx>
        <w:trPr>
          <w:trHeight w:val="825"/>
        </w:trPr>
        <w:tc>
          <w:tcPr>
            <w:tcW w:w="2700" w:type="dxa"/>
            <w:tcBorders>
              <w:top w:val="nil"/>
              <w:left w:val="single" w:sz="8" w:space="0" w:color="auto"/>
              <w:bottom w:val="single" w:sz="8" w:space="0" w:color="auto"/>
              <w:right w:val="single" w:sz="8" w:space="0" w:color="auto"/>
            </w:tcBorders>
            <w:vAlign w:val="center"/>
            <w:hideMark/>
          </w:tcPr>
          <w:p w:rsidR="00ED4E2C" w:rsidRPr="005D2C0C" w:rsidP="003E3993" w14:paraId="44BFBBC5"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2. Transfer Agent Amendment,</w:t>
            </w:r>
            <w:r w:rsidRPr="005D2C0C">
              <w:rPr>
                <w:rFonts w:ascii="Source Sans Pro" w:hAnsi="Source Sans Pro" w:cs="Calibri"/>
                <w:color w:val="000000"/>
                <w:sz w:val="22"/>
                <w:szCs w:val="22"/>
              </w:rPr>
              <w:br/>
              <w:t>12 CFR 341.4 (Mandatory)</w:t>
            </w:r>
          </w:p>
        </w:tc>
        <w:tc>
          <w:tcPr>
            <w:tcW w:w="840" w:type="dxa"/>
            <w:tcBorders>
              <w:top w:val="nil"/>
              <w:left w:val="nil"/>
              <w:bottom w:val="single" w:sz="8" w:space="0" w:color="auto"/>
              <w:right w:val="single" w:sz="8" w:space="0" w:color="auto"/>
            </w:tcBorders>
            <w:vAlign w:val="center"/>
            <w:hideMark/>
          </w:tcPr>
          <w:p w:rsidR="00ED4E2C" w:rsidRPr="005D2C0C" w:rsidP="003E3993" w14:paraId="0A934AD0"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0.00</w:t>
            </w:r>
          </w:p>
        </w:tc>
        <w:tc>
          <w:tcPr>
            <w:tcW w:w="900" w:type="dxa"/>
            <w:tcBorders>
              <w:top w:val="nil"/>
              <w:left w:val="nil"/>
              <w:bottom w:val="single" w:sz="8" w:space="0" w:color="auto"/>
              <w:right w:val="single" w:sz="8" w:space="0" w:color="auto"/>
            </w:tcBorders>
            <w:vAlign w:val="center"/>
            <w:hideMark/>
          </w:tcPr>
          <w:p w:rsidR="00ED4E2C" w:rsidRPr="005D2C0C" w:rsidP="003E3993" w14:paraId="4FA9C3A9"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10</w:t>
            </w:r>
          </w:p>
        </w:tc>
        <w:tc>
          <w:tcPr>
            <w:tcW w:w="820" w:type="dxa"/>
            <w:tcBorders>
              <w:top w:val="nil"/>
              <w:left w:val="nil"/>
              <w:bottom w:val="single" w:sz="8" w:space="0" w:color="auto"/>
              <w:right w:val="single" w:sz="8" w:space="0" w:color="auto"/>
            </w:tcBorders>
            <w:vAlign w:val="center"/>
            <w:hideMark/>
          </w:tcPr>
          <w:p w:rsidR="00ED4E2C" w:rsidRPr="005D2C0C" w:rsidP="003E3993" w14:paraId="3EC409C7"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880" w:type="dxa"/>
            <w:tcBorders>
              <w:top w:val="nil"/>
              <w:left w:val="nil"/>
              <w:bottom w:val="single" w:sz="8" w:space="0" w:color="auto"/>
              <w:right w:val="single" w:sz="8" w:space="0" w:color="auto"/>
            </w:tcBorders>
            <w:vAlign w:val="center"/>
            <w:hideMark/>
          </w:tcPr>
          <w:p w:rsidR="00ED4E2C" w:rsidRPr="005D2C0C" w:rsidP="003E3993" w14:paraId="01B7F9E7"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30</w:t>
            </w:r>
          </w:p>
        </w:tc>
        <w:tc>
          <w:tcPr>
            <w:tcW w:w="760" w:type="dxa"/>
            <w:tcBorders>
              <w:top w:val="nil"/>
              <w:left w:val="nil"/>
              <w:bottom w:val="single" w:sz="8" w:space="0" w:color="auto"/>
              <w:right w:val="single" w:sz="8" w:space="0" w:color="auto"/>
            </w:tcBorders>
            <w:vAlign w:val="center"/>
            <w:hideMark/>
          </w:tcPr>
          <w:p w:rsidR="00ED4E2C" w:rsidRPr="005D2C0C" w:rsidP="003E3993" w14:paraId="09FAC7E5"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940" w:type="dxa"/>
            <w:tcBorders>
              <w:top w:val="nil"/>
              <w:left w:val="nil"/>
              <w:bottom w:val="single" w:sz="8" w:space="0" w:color="auto"/>
              <w:right w:val="single" w:sz="8" w:space="0" w:color="auto"/>
            </w:tcBorders>
            <w:vAlign w:val="center"/>
            <w:hideMark/>
          </w:tcPr>
          <w:p w:rsidR="00ED4E2C" w:rsidRPr="005D2C0C" w:rsidP="003E3993" w14:paraId="74D35FC7"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780" w:type="dxa"/>
            <w:tcBorders>
              <w:top w:val="nil"/>
              <w:left w:val="nil"/>
              <w:bottom w:val="single" w:sz="8" w:space="0" w:color="auto"/>
              <w:right w:val="single" w:sz="8" w:space="0" w:color="auto"/>
            </w:tcBorders>
            <w:vAlign w:val="center"/>
            <w:hideMark/>
          </w:tcPr>
          <w:p w:rsidR="00ED4E2C" w:rsidRPr="005D2C0C" w:rsidP="003E3993" w14:paraId="6C0E3FFB"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60</w:t>
            </w:r>
          </w:p>
        </w:tc>
        <w:tc>
          <w:tcPr>
            <w:tcW w:w="1360" w:type="dxa"/>
            <w:tcBorders>
              <w:top w:val="nil"/>
              <w:left w:val="nil"/>
              <w:bottom w:val="single" w:sz="8" w:space="0" w:color="auto"/>
              <w:right w:val="single" w:sz="8" w:space="0" w:color="auto"/>
            </w:tcBorders>
            <w:vAlign w:val="center"/>
            <w:hideMark/>
          </w:tcPr>
          <w:p w:rsidR="00ED4E2C" w:rsidRPr="005D2C0C" w:rsidP="003E3993" w14:paraId="79B9640F" w14:textId="77777777">
            <w:pPr>
              <w:keepNext/>
              <w:keepLines/>
              <w:ind w:firstLine="220" w:firstLineChars="100"/>
              <w:jc w:val="right"/>
              <w:rPr>
                <w:rFonts w:ascii="Source Sans Pro" w:hAnsi="Source Sans Pro" w:cs="Calibri"/>
                <w:color w:val="000000"/>
                <w:sz w:val="22"/>
                <w:szCs w:val="22"/>
              </w:rPr>
            </w:pPr>
            <w:r w:rsidRPr="005D2C0C">
              <w:rPr>
                <w:rFonts w:ascii="Source Sans Pro" w:hAnsi="Source Sans Pro" w:cs="Calibri"/>
                <w:color w:val="000000"/>
                <w:sz w:val="22"/>
                <w:szCs w:val="22"/>
              </w:rPr>
              <w:t xml:space="preserve">$62.75 </w:t>
            </w:r>
          </w:p>
        </w:tc>
        <w:tc>
          <w:tcPr>
            <w:tcW w:w="36" w:type="dxa"/>
            <w:vAlign w:val="center"/>
            <w:hideMark/>
          </w:tcPr>
          <w:p w:rsidR="00ED4E2C" w:rsidRPr="005D2C0C" w:rsidP="003E3993" w14:paraId="58409898" w14:textId="77777777">
            <w:pPr>
              <w:keepNext/>
              <w:keepLines/>
              <w:rPr>
                <w:rFonts w:ascii="Source Sans Pro" w:hAnsi="Source Sans Pro"/>
                <w:sz w:val="22"/>
                <w:szCs w:val="22"/>
              </w:rPr>
            </w:pPr>
          </w:p>
        </w:tc>
      </w:tr>
      <w:tr w14:paraId="38B5EC33" w14:textId="77777777" w:rsidTr="003E3993">
        <w:tblPrEx>
          <w:tblW w:w="10016" w:type="dxa"/>
          <w:tblCellMar>
            <w:top w:w="15" w:type="dxa"/>
          </w:tblCellMar>
          <w:tblLook w:val="04A0"/>
        </w:tblPrEx>
        <w:trPr>
          <w:trHeight w:val="960"/>
        </w:trPr>
        <w:tc>
          <w:tcPr>
            <w:tcW w:w="2700" w:type="dxa"/>
            <w:tcBorders>
              <w:top w:val="nil"/>
              <w:left w:val="single" w:sz="8" w:space="0" w:color="auto"/>
              <w:bottom w:val="single" w:sz="8" w:space="0" w:color="auto"/>
              <w:right w:val="single" w:sz="8" w:space="0" w:color="auto"/>
            </w:tcBorders>
            <w:vAlign w:val="center"/>
            <w:hideMark/>
          </w:tcPr>
          <w:p w:rsidR="00ED4E2C" w:rsidRPr="005D2C0C" w:rsidP="003E3993" w14:paraId="284DF2A7"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3. Transfer Agent Deregistration,</w:t>
            </w:r>
            <w:r w:rsidRPr="005D2C0C">
              <w:rPr>
                <w:rFonts w:ascii="Source Sans Pro" w:hAnsi="Source Sans Pro" w:cs="Calibri"/>
                <w:color w:val="000000"/>
                <w:sz w:val="22"/>
                <w:szCs w:val="22"/>
              </w:rPr>
              <w:br/>
              <w:t>12 CFR 341.5 (Mandatory)</w:t>
            </w:r>
          </w:p>
        </w:tc>
        <w:tc>
          <w:tcPr>
            <w:tcW w:w="840" w:type="dxa"/>
            <w:tcBorders>
              <w:top w:val="nil"/>
              <w:left w:val="nil"/>
              <w:bottom w:val="single" w:sz="8" w:space="0" w:color="auto"/>
              <w:right w:val="single" w:sz="8" w:space="0" w:color="auto"/>
            </w:tcBorders>
            <w:vAlign w:val="center"/>
            <w:hideMark/>
          </w:tcPr>
          <w:p w:rsidR="00ED4E2C" w:rsidRPr="005D2C0C" w:rsidP="003E3993" w14:paraId="5162AD22"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0.00</w:t>
            </w:r>
          </w:p>
        </w:tc>
        <w:tc>
          <w:tcPr>
            <w:tcW w:w="900" w:type="dxa"/>
            <w:tcBorders>
              <w:top w:val="nil"/>
              <w:left w:val="nil"/>
              <w:bottom w:val="single" w:sz="8" w:space="0" w:color="auto"/>
              <w:right w:val="single" w:sz="8" w:space="0" w:color="auto"/>
            </w:tcBorders>
            <w:vAlign w:val="center"/>
            <w:hideMark/>
          </w:tcPr>
          <w:p w:rsidR="00ED4E2C" w:rsidRPr="005D2C0C" w:rsidP="003E3993" w14:paraId="5198E198"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10</w:t>
            </w:r>
          </w:p>
        </w:tc>
        <w:tc>
          <w:tcPr>
            <w:tcW w:w="820" w:type="dxa"/>
            <w:tcBorders>
              <w:top w:val="nil"/>
              <w:left w:val="nil"/>
              <w:bottom w:val="single" w:sz="8" w:space="0" w:color="auto"/>
              <w:right w:val="single" w:sz="8" w:space="0" w:color="auto"/>
            </w:tcBorders>
            <w:vAlign w:val="center"/>
            <w:hideMark/>
          </w:tcPr>
          <w:p w:rsidR="00ED4E2C" w:rsidRPr="005D2C0C" w:rsidP="003E3993" w14:paraId="711361CD"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880" w:type="dxa"/>
            <w:tcBorders>
              <w:top w:val="nil"/>
              <w:left w:val="nil"/>
              <w:bottom w:val="single" w:sz="8" w:space="0" w:color="auto"/>
              <w:right w:val="single" w:sz="8" w:space="0" w:color="auto"/>
            </w:tcBorders>
            <w:vAlign w:val="center"/>
            <w:hideMark/>
          </w:tcPr>
          <w:p w:rsidR="00ED4E2C" w:rsidRPr="005D2C0C" w:rsidP="003E3993" w14:paraId="0F9BF0A8"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30</w:t>
            </w:r>
          </w:p>
        </w:tc>
        <w:tc>
          <w:tcPr>
            <w:tcW w:w="760" w:type="dxa"/>
            <w:tcBorders>
              <w:top w:val="nil"/>
              <w:left w:val="nil"/>
              <w:bottom w:val="single" w:sz="8" w:space="0" w:color="auto"/>
              <w:right w:val="single" w:sz="8" w:space="0" w:color="auto"/>
            </w:tcBorders>
            <w:vAlign w:val="center"/>
            <w:hideMark/>
          </w:tcPr>
          <w:p w:rsidR="00ED4E2C" w:rsidRPr="005D2C0C" w:rsidP="003E3993" w14:paraId="6C6C282F"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940" w:type="dxa"/>
            <w:tcBorders>
              <w:top w:val="nil"/>
              <w:left w:val="nil"/>
              <w:bottom w:val="single" w:sz="8" w:space="0" w:color="auto"/>
              <w:right w:val="single" w:sz="8" w:space="0" w:color="auto"/>
            </w:tcBorders>
            <w:vAlign w:val="center"/>
            <w:hideMark/>
          </w:tcPr>
          <w:p w:rsidR="00ED4E2C" w:rsidRPr="005D2C0C" w:rsidP="003E3993" w14:paraId="0C4E7409"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0</w:t>
            </w:r>
          </w:p>
        </w:tc>
        <w:tc>
          <w:tcPr>
            <w:tcW w:w="780" w:type="dxa"/>
            <w:tcBorders>
              <w:top w:val="nil"/>
              <w:left w:val="nil"/>
              <w:bottom w:val="single" w:sz="8" w:space="0" w:color="auto"/>
              <w:right w:val="single" w:sz="8" w:space="0" w:color="auto"/>
            </w:tcBorders>
            <w:vAlign w:val="center"/>
            <w:hideMark/>
          </w:tcPr>
          <w:p w:rsidR="00ED4E2C" w:rsidRPr="005D2C0C" w:rsidP="003E3993" w14:paraId="38C6328B"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60</w:t>
            </w:r>
          </w:p>
        </w:tc>
        <w:tc>
          <w:tcPr>
            <w:tcW w:w="1360" w:type="dxa"/>
            <w:tcBorders>
              <w:top w:val="nil"/>
              <w:left w:val="nil"/>
              <w:bottom w:val="single" w:sz="8" w:space="0" w:color="auto"/>
              <w:right w:val="single" w:sz="8" w:space="0" w:color="auto"/>
            </w:tcBorders>
            <w:vAlign w:val="center"/>
            <w:hideMark/>
          </w:tcPr>
          <w:p w:rsidR="00ED4E2C" w:rsidRPr="005D2C0C" w:rsidP="003E3993" w14:paraId="268DDDF5" w14:textId="77777777">
            <w:pPr>
              <w:keepNext/>
              <w:keepLines/>
              <w:ind w:firstLine="220" w:firstLineChars="100"/>
              <w:jc w:val="right"/>
              <w:rPr>
                <w:rFonts w:ascii="Source Sans Pro" w:hAnsi="Source Sans Pro" w:cs="Calibri"/>
                <w:color w:val="000000"/>
                <w:sz w:val="22"/>
                <w:szCs w:val="22"/>
              </w:rPr>
            </w:pPr>
            <w:r w:rsidRPr="005D2C0C">
              <w:rPr>
                <w:rFonts w:ascii="Source Sans Pro" w:hAnsi="Source Sans Pro" w:cs="Calibri"/>
                <w:color w:val="000000"/>
                <w:sz w:val="22"/>
                <w:szCs w:val="22"/>
              </w:rPr>
              <w:t xml:space="preserve">$62.75 </w:t>
            </w:r>
          </w:p>
        </w:tc>
        <w:tc>
          <w:tcPr>
            <w:tcW w:w="36" w:type="dxa"/>
            <w:vAlign w:val="center"/>
            <w:hideMark/>
          </w:tcPr>
          <w:p w:rsidR="00ED4E2C" w:rsidRPr="005D2C0C" w:rsidP="003E3993" w14:paraId="2B88C337" w14:textId="77777777">
            <w:pPr>
              <w:keepNext/>
              <w:keepLines/>
              <w:rPr>
                <w:rFonts w:ascii="Source Sans Pro" w:hAnsi="Source Sans Pro"/>
                <w:sz w:val="22"/>
                <w:szCs w:val="22"/>
              </w:rPr>
            </w:pPr>
          </w:p>
        </w:tc>
      </w:tr>
      <w:tr w14:paraId="2B35543B" w14:textId="77777777" w:rsidTr="003E3993">
        <w:tblPrEx>
          <w:tblW w:w="10016" w:type="dxa"/>
          <w:tblCellMar>
            <w:top w:w="15" w:type="dxa"/>
          </w:tblCellMar>
          <w:tblLook w:val="04A0"/>
        </w:tblPrEx>
        <w:trPr>
          <w:trHeight w:val="300"/>
        </w:trPr>
        <w:tc>
          <w:tcPr>
            <w:tcW w:w="8620" w:type="dxa"/>
            <w:gridSpan w:val="8"/>
            <w:tcBorders>
              <w:top w:val="single" w:sz="8" w:space="0" w:color="auto"/>
              <w:left w:val="single" w:sz="8" w:space="0" w:color="auto"/>
              <w:bottom w:val="nil"/>
              <w:right w:val="single" w:sz="8" w:space="0" w:color="auto"/>
            </w:tcBorders>
            <w:vAlign w:val="center"/>
            <w:hideMark/>
          </w:tcPr>
          <w:p w:rsidR="00ED4E2C" w:rsidRPr="005D2C0C" w:rsidP="003E3993" w14:paraId="3633247D" w14:textId="77777777">
            <w:pPr>
              <w:keepNext/>
              <w:keepLines/>
              <w:jc w:val="right"/>
              <w:rPr>
                <w:rFonts w:ascii="Source Sans Pro" w:hAnsi="Source Sans Pro" w:cs="Calibri"/>
                <w:b/>
                <w:bCs/>
                <w:i/>
                <w:iCs/>
                <w:color w:val="000000"/>
                <w:sz w:val="22"/>
                <w:szCs w:val="22"/>
              </w:rPr>
            </w:pPr>
            <w:r w:rsidRPr="005D2C0C">
              <w:rPr>
                <w:rFonts w:ascii="Source Sans Pro" w:hAnsi="Source Sans Pro" w:cs="Calibri"/>
                <w:b/>
                <w:bCs/>
                <w:i/>
                <w:iCs/>
                <w:color w:val="000000"/>
                <w:sz w:val="22"/>
                <w:szCs w:val="22"/>
              </w:rPr>
              <w:t>Weighted Average Hourly Compensation Rate:</w:t>
            </w:r>
          </w:p>
        </w:tc>
        <w:tc>
          <w:tcPr>
            <w:tcW w:w="1360" w:type="dxa"/>
            <w:tcBorders>
              <w:top w:val="nil"/>
              <w:left w:val="nil"/>
              <w:bottom w:val="nil"/>
              <w:right w:val="single" w:sz="8" w:space="0" w:color="auto"/>
            </w:tcBorders>
            <w:vAlign w:val="center"/>
            <w:hideMark/>
          </w:tcPr>
          <w:p w:rsidR="00ED4E2C" w:rsidRPr="005D2C0C" w:rsidP="003E3993" w14:paraId="630B9F95" w14:textId="77777777">
            <w:pPr>
              <w:keepNext/>
              <w:keepLines/>
              <w:ind w:firstLine="220" w:firstLineChars="100"/>
              <w:jc w:val="right"/>
              <w:rPr>
                <w:rFonts w:ascii="Source Sans Pro" w:hAnsi="Source Sans Pro" w:cs="Calibri"/>
                <w:b/>
                <w:bCs/>
                <w:i/>
                <w:iCs/>
                <w:color w:val="000000"/>
                <w:sz w:val="22"/>
                <w:szCs w:val="22"/>
              </w:rPr>
            </w:pPr>
            <w:r w:rsidRPr="005D2C0C">
              <w:rPr>
                <w:rFonts w:ascii="Source Sans Pro" w:hAnsi="Source Sans Pro" w:cs="Calibri"/>
                <w:b/>
                <w:bCs/>
                <w:i/>
                <w:iCs/>
                <w:color w:val="000000"/>
                <w:sz w:val="22"/>
                <w:szCs w:val="22"/>
              </w:rPr>
              <w:t xml:space="preserve">$62.75 </w:t>
            </w:r>
          </w:p>
        </w:tc>
        <w:tc>
          <w:tcPr>
            <w:tcW w:w="36" w:type="dxa"/>
            <w:vAlign w:val="center"/>
            <w:hideMark/>
          </w:tcPr>
          <w:p w:rsidR="00ED4E2C" w:rsidRPr="005D2C0C" w:rsidP="003E3993" w14:paraId="4FF5FE9B" w14:textId="77777777">
            <w:pPr>
              <w:keepNext/>
              <w:keepLines/>
              <w:rPr>
                <w:rFonts w:ascii="Source Sans Pro" w:hAnsi="Source Sans Pro"/>
                <w:sz w:val="22"/>
                <w:szCs w:val="22"/>
              </w:rPr>
            </w:pPr>
          </w:p>
        </w:tc>
      </w:tr>
      <w:tr w14:paraId="6D6AEE52" w14:textId="77777777" w:rsidTr="003E3993">
        <w:tblPrEx>
          <w:tblW w:w="10016" w:type="dxa"/>
          <w:tblCellMar>
            <w:top w:w="15" w:type="dxa"/>
          </w:tblCellMar>
          <w:tblLook w:val="04A0"/>
        </w:tblPrEx>
        <w:trPr>
          <w:trHeight w:val="252"/>
        </w:trPr>
        <w:tc>
          <w:tcPr>
            <w:tcW w:w="9980" w:type="dxa"/>
            <w:gridSpan w:val="9"/>
            <w:vMerge w:val="restart"/>
            <w:tcBorders>
              <w:top w:val="single" w:sz="8" w:space="0" w:color="auto"/>
              <w:left w:val="single" w:sz="8" w:space="0" w:color="auto"/>
              <w:bottom w:val="nil"/>
              <w:right w:val="single" w:sz="8" w:space="0" w:color="000000"/>
            </w:tcBorders>
            <w:vAlign w:val="center"/>
            <w:hideMark/>
          </w:tcPr>
          <w:p w:rsidR="00ED4E2C" w:rsidRPr="005D2C0C" w:rsidP="003E3993" w14:paraId="37ED1FB2"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 xml:space="preserve">Source: Bureau of Labor Statistics: 'National Industry-Specific Occupational Employment and Wage Estimates: Industry: Credit Intermediation and Related Activities (5221 And 5223 only)' (May 2023), Employer Cost of Employee Compensation (March 2023), and Employment Cost Index (March 2023 and December 2024). Standard Occupational Classification (SOC) Codes: Exec. And </w:t>
            </w:r>
            <w:r w:rsidRPr="005D2C0C">
              <w:rPr>
                <w:rFonts w:ascii="Source Sans Pro" w:hAnsi="Source Sans Pro" w:cs="Calibri"/>
                <w:color w:val="000000"/>
                <w:sz w:val="22"/>
                <w:szCs w:val="22"/>
              </w:rPr>
              <w:t>Mgr</w:t>
            </w:r>
            <w:r w:rsidRPr="005D2C0C">
              <w:rPr>
                <w:rFonts w:ascii="Source Sans Pro" w:hAnsi="Source Sans Pro" w:cs="Calibri"/>
                <w:color w:val="000000"/>
                <w:sz w:val="22"/>
                <w:szCs w:val="22"/>
              </w:rPr>
              <w:t xml:space="preserve"> = 11-0000 Management Occupations; Lawyer = 23-0000 Legal Occupations; </w:t>
            </w:r>
            <w:r w:rsidRPr="005D2C0C">
              <w:rPr>
                <w:rFonts w:ascii="Source Sans Pro" w:hAnsi="Source Sans Pro" w:cs="Calibri"/>
                <w:color w:val="000000"/>
                <w:sz w:val="22"/>
                <w:szCs w:val="22"/>
              </w:rPr>
              <w:t>Compl</w:t>
            </w:r>
            <w:r w:rsidRPr="005D2C0C">
              <w:rPr>
                <w:rFonts w:ascii="Source Sans Pro" w:hAnsi="Source Sans Pro" w:cs="Calibri"/>
                <w:color w:val="000000"/>
                <w:sz w:val="22"/>
                <w:szCs w:val="22"/>
              </w:rPr>
              <w:t xml:space="preserve">. Ofc. = 13-1040 Compliance Officers; IT = 15-0000 Computer and Mathematical Occupations; Fin. </w:t>
            </w:r>
            <w:r w:rsidRPr="005D2C0C">
              <w:rPr>
                <w:rFonts w:ascii="Source Sans Pro" w:hAnsi="Source Sans Pro" w:cs="Calibri"/>
                <w:color w:val="000000"/>
                <w:sz w:val="22"/>
                <w:szCs w:val="22"/>
              </w:rPr>
              <w:t>Anlst</w:t>
            </w:r>
            <w:r w:rsidRPr="005D2C0C">
              <w:rPr>
                <w:rFonts w:ascii="Source Sans Pro" w:hAnsi="Source Sans Pro" w:cs="Calibri"/>
                <w:color w:val="000000"/>
                <w:sz w:val="22"/>
                <w:szCs w:val="22"/>
              </w:rPr>
              <w:t xml:space="preserve">. = 13-2051 Financial and Investment Analysts; Clerical = 43-0000 Office and Administrative Support Occupations. </w:t>
            </w:r>
          </w:p>
        </w:tc>
        <w:tc>
          <w:tcPr>
            <w:tcW w:w="36" w:type="dxa"/>
            <w:vAlign w:val="center"/>
            <w:hideMark/>
          </w:tcPr>
          <w:p w:rsidR="00ED4E2C" w:rsidRPr="005D2C0C" w:rsidP="003E3993" w14:paraId="1EE5B55A" w14:textId="77777777">
            <w:pPr>
              <w:keepNext/>
              <w:keepLines/>
              <w:rPr>
                <w:rFonts w:ascii="Source Sans Pro" w:hAnsi="Source Sans Pro"/>
                <w:sz w:val="22"/>
                <w:szCs w:val="22"/>
              </w:rPr>
            </w:pPr>
          </w:p>
        </w:tc>
      </w:tr>
      <w:tr w14:paraId="5F9E69C1" w14:textId="77777777" w:rsidTr="003E3993">
        <w:tblPrEx>
          <w:tblW w:w="10016" w:type="dxa"/>
          <w:tblCellMar>
            <w:top w:w="15" w:type="dxa"/>
          </w:tblCellMar>
          <w:tblLook w:val="04A0"/>
        </w:tblPrEx>
        <w:trPr>
          <w:trHeight w:val="289"/>
        </w:trPr>
        <w:tc>
          <w:tcPr>
            <w:tcW w:w="9980" w:type="dxa"/>
            <w:gridSpan w:val="9"/>
            <w:vMerge/>
            <w:tcBorders>
              <w:top w:val="single" w:sz="8" w:space="0" w:color="auto"/>
              <w:left w:val="single" w:sz="8" w:space="0" w:color="auto"/>
              <w:bottom w:val="nil"/>
              <w:right w:val="single" w:sz="8" w:space="0" w:color="000000"/>
            </w:tcBorders>
            <w:vAlign w:val="center"/>
            <w:hideMark/>
          </w:tcPr>
          <w:p w:rsidR="00ED4E2C" w:rsidRPr="005D2C0C" w:rsidP="003E3993" w14:paraId="3A45BB92" w14:textId="77777777">
            <w:pPr>
              <w:keepNext/>
              <w:keepLines/>
              <w:rPr>
                <w:rFonts w:ascii="Source Sans Pro" w:hAnsi="Source Sans Pro" w:cs="Calibri"/>
                <w:color w:val="000000"/>
                <w:sz w:val="22"/>
                <w:szCs w:val="22"/>
              </w:rPr>
            </w:pPr>
          </w:p>
        </w:tc>
        <w:tc>
          <w:tcPr>
            <w:tcW w:w="36" w:type="dxa"/>
            <w:tcBorders>
              <w:top w:val="nil"/>
              <w:left w:val="nil"/>
              <w:bottom w:val="nil"/>
              <w:right w:val="nil"/>
            </w:tcBorders>
            <w:noWrap/>
            <w:vAlign w:val="bottom"/>
            <w:hideMark/>
          </w:tcPr>
          <w:p w:rsidR="00ED4E2C" w:rsidRPr="005D2C0C" w:rsidP="003E3993" w14:paraId="2039AC94" w14:textId="77777777">
            <w:pPr>
              <w:keepNext/>
              <w:keepLines/>
              <w:rPr>
                <w:rFonts w:ascii="Source Sans Pro" w:hAnsi="Source Sans Pro" w:cs="Calibri"/>
                <w:color w:val="000000"/>
                <w:sz w:val="22"/>
                <w:szCs w:val="22"/>
              </w:rPr>
            </w:pPr>
          </w:p>
        </w:tc>
      </w:tr>
      <w:tr w14:paraId="55FFCFAC" w14:textId="77777777" w:rsidTr="003E3993">
        <w:tblPrEx>
          <w:tblW w:w="10016" w:type="dxa"/>
          <w:tblCellMar>
            <w:top w:w="15" w:type="dxa"/>
          </w:tblCellMar>
          <w:tblLook w:val="04A0"/>
        </w:tblPrEx>
        <w:trPr>
          <w:trHeight w:val="300"/>
        </w:trPr>
        <w:tc>
          <w:tcPr>
            <w:tcW w:w="9980" w:type="dxa"/>
            <w:gridSpan w:val="9"/>
            <w:vMerge/>
            <w:tcBorders>
              <w:top w:val="single" w:sz="8" w:space="0" w:color="auto"/>
              <w:left w:val="single" w:sz="8" w:space="0" w:color="auto"/>
              <w:bottom w:val="nil"/>
              <w:right w:val="single" w:sz="8" w:space="0" w:color="000000"/>
            </w:tcBorders>
            <w:vAlign w:val="center"/>
            <w:hideMark/>
          </w:tcPr>
          <w:p w:rsidR="00ED4E2C" w:rsidRPr="005D2C0C" w:rsidP="003E3993" w14:paraId="5B4BEF99" w14:textId="77777777">
            <w:pPr>
              <w:keepNext/>
              <w:keepLines/>
              <w:rPr>
                <w:rFonts w:ascii="Source Sans Pro" w:hAnsi="Source Sans Pro" w:cs="Calibri"/>
                <w:color w:val="000000"/>
                <w:sz w:val="22"/>
                <w:szCs w:val="22"/>
              </w:rPr>
            </w:pPr>
          </w:p>
        </w:tc>
        <w:tc>
          <w:tcPr>
            <w:tcW w:w="36" w:type="dxa"/>
            <w:tcBorders>
              <w:top w:val="nil"/>
              <w:left w:val="nil"/>
              <w:bottom w:val="nil"/>
              <w:right w:val="nil"/>
            </w:tcBorders>
            <w:noWrap/>
            <w:vAlign w:val="bottom"/>
            <w:hideMark/>
          </w:tcPr>
          <w:p w:rsidR="00ED4E2C" w:rsidRPr="005D2C0C" w:rsidP="003E3993" w14:paraId="0B339C4C" w14:textId="77777777">
            <w:pPr>
              <w:keepNext/>
              <w:keepLines/>
              <w:rPr>
                <w:rFonts w:ascii="Source Sans Pro" w:hAnsi="Source Sans Pro"/>
                <w:sz w:val="22"/>
                <w:szCs w:val="22"/>
              </w:rPr>
            </w:pPr>
          </w:p>
        </w:tc>
      </w:tr>
      <w:tr w14:paraId="51CBDD18" w14:textId="77777777" w:rsidTr="003E3993">
        <w:tblPrEx>
          <w:tblW w:w="10016" w:type="dxa"/>
          <w:tblCellMar>
            <w:top w:w="15" w:type="dxa"/>
          </w:tblCellMar>
          <w:tblLook w:val="04A0"/>
        </w:tblPrEx>
        <w:trPr>
          <w:trHeight w:val="312"/>
        </w:trPr>
        <w:tc>
          <w:tcPr>
            <w:tcW w:w="9980" w:type="dxa"/>
            <w:gridSpan w:val="9"/>
            <w:vMerge/>
            <w:tcBorders>
              <w:top w:val="single" w:sz="8" w:space="0" w:color="auto"/>
              <w:left w:val="single" w:sz="8" w:space="0" w:color="auto"/>
              <w:bottom w:val="nil"/>
              <w:right w:val="single" w:sz="8" w:space="0" w:color="000000"/>
            </w:tcBorders>
            <w:vAlign w:val="center"/>
            <w:hideMark/>
          </w:tcPr>
          <w:p w:rsidR="00ED4E2C" w:rsidRPr="005D2C0C" w:rsidP="003E3993" w14:paraId="51CEDEF0" w14:textId="77777777">
            <w:pPr>
              <w:keepNext/>
              <w:keepLines/>
              <w:rPr>
                <w:rFonts w:ascii="Source Sans Pro" w:hAnsi="Source Sans Pro" w:cs="Calibri"/>
                <w:color w:val="000000"/>
                <w:sz w:val="22"/>
                <w:szCs w:val="22"/>
              </w:rPr>
            </w:pPr>
          </w:p>
        </w:tc>
        <w:tc>
          <w:tcPr>
            <w:tcW w:w="36" w:type="dxa"/>
            <w:tcBorders>
              <w:top w:val="nil"/>
              <w:left w:val="nil"/>
              <w:bottom w:val="nil"/>
              <w:right w:val="nil"/>
            </w:tcBorders>
            <w:noWrap/>
            <w:vAlign w:val="bottom"/>
            <w:hideMark/>
          </w:tcPr>
          <w:p w:rsidR="00ED4E2C" w:rsidRPr="005D2C0C" w:rsidP="003E3993" w14:paraId="084B74C8" w14:textId="77777777">
            <w:pPr>
              <w:keepNext/>
              <w:keepLines/>
              <w:rPr>
                <w:rFonts w:ascii="Source Sans Pro" w:hAnsi="Source Sans Pro"/>
                <w:sz w:val="22"/>
                <w:szCs w:val="22"/>
              </w:rPr>
            </w:pPr>
          </w:p>
        </w:tc>
      </w:tr>
      <w:tr w14:paraId="085B0F59" w14:textId="77777777" w:rsidTr="003E3993">
        <w:tblPrEx>
          <w:tblW w:w="10016" w:type="dxa"/>
          <w:tblCellMar>
            <w:top w:w="15" w:type="dxa"/>
          </w:tblCellMar>
          <w:tblLook w:val="04A0"/>
        </w:tblPrEx>
        <w:trPr>
          <w:trHeight w:val="349"/>
        </w:trPr>
        <w:tc>
          <w:tcPr>
            <w:tcW w:w="9980" w:type="dxa"/>
            <w:gridSpan w:val="9"/>
            <w:vMerge w:val="restart"/>
            <w:tcBorders>
              <w:top w:val="nil"/>
              <w:left w:val="single" w:sz="8" w:space="0" w:color="auto"/>
              <w:bottom w:val="single" w:sz="8" w:space="0" w:color="auto"/>
              <w:right w:val="single" w:sz="8" w:space="0" w:color="auto"/>
            </w:tcBorders>
            <w:vAlign w:val="center"/>
            <w:hideMark/>
          </w:tcPr>
          <w:p w:rsidR="00ED4E2C" w:rsidRPr="005D2C0C" w:rsidP="003E3993" w14:paraId="14EDC3A7"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36" w:type="dxa"/>
            <w:vAlign w:val="center"/>
            <w:hideMark/>
          </w:tcPr>
          <w:p w:rsidR="00ED4E2C" w:rsidRPr="005D2C0C" w:rsidP="003E3993" w14:paraId="0077A0A8" w14:textId="77777777">
            <w:pPr>
              <w:keepNext/>
              <w:keepLines/>
              <w:rPr>
                <w:rFonts w:ascii="Source Sans Pro" w:hAnsi="Source Sans Pro"/>
                <w:sz w:val="22"/>
                <w:szCs w:val="22"/>
              </w:rPr>
            </w:pPr>
          </w:p>
        </w:tc>
      </w:tr>
      <w:tr w14:paraId="2A3F1270" w14:textId="77777777" w:rsidTr="003E3993">
        <w:tblPrEx>
          <w:tblW w:w="10016" w:type="dxa"/>
          <w:tblCellMar>
            <w:top w:w="15" w:type="dxa"/>
          </w:tblCellMar>
          <w:tblLook w:val="04A0"/>
        </w:tblPrEx>
        <w:trPr>
          <w:trHeight w:val="289"/>
        </w:trPr>
        <w:tc>
          <w:tcPr>
            <w:tcW w:w="9980" w:type="dxa"/>
            <w:gridSpan w:val="9"/>
            <w:vMerge/>
            <w:tcBorders>
              <w:top w:val="nil"/>
              <w:left w:val="single" w:sz="8" w:space="0" w:color="auto"/>
              <w:bottom w:val="single" w:sz="8" w:space="0" w:color="auto"/>
              <w:right w:val="single" w:sz="8" w:space="0" w:color="auto"/>
            </w:tcBorders>
            <w:vAlign w:val="center"/>
            <w:hideMark/>
          </w:tcPr>
          <w:p w:rsidR="00ED4E2C" w:rsidRPr="005D2C0C" w:rsidP="003E3993" w14:paraId="2868734B" w14:textId="77777777">
            <w:pPr>
              <w:keepNext/>
              <w:keepLines/>
              <w:rPr>
                <w:rFonts w:ascii="Source Sans Pro" w:hAnsi="Source Sans Pro" w:cs="Calibri"/>
                <w:color w:val="000000"/>
                <w:sz w:val="22"/>
                <w:szCs w:val="22"/>
              </w:rPr>
            </w:pPr>
          </w:p>
        </w:tc>
        <w:tc>
          <w:tcPr>
            <w:tcW w:w="36" w:type="dxa"/>
            <w:tcBorders>
              <w:top w:val="nil"/>
              <w:left w:val="nil"/>
              <w:bottom w:val="nil"/>
              <w:right w:val="nil"/>
            </w:tcBorders>
            <w:noWrap/>
            <w:vAlign w:val="bottom"/>
            <w:hideMark/>
          </w:tcPr>
          <w:p w:rsidR="00ED4E2C" w:rsidRPr="005D2C0C" w:rsidP="003E3993" w14:paraId="4A1BDECC" w14:textId="77777777">
            <w:pPr>
              <w:keepNext/>
              <w:keepLines/>
              <w:rPr>
                <w:rFonts w:ascii="Source Sans Pro" w:hAnsi="Source Sans Pro" w:cs="Calibri"/>
                <w:color w:val="000000"/>
                <w:sz w:val="22"/>
                <w:szCs w:val="22"/>
              </w:rPr>
            </w:pPr>
          </w:p>
        </w:tc>
      </w:tr>
      <w:tr w14:paraId="3D0441B8" w14:textId="77777777" w:rsidTr="003E3993">
        <w:tblPrEx>
          <w:tblW w:w="10016" w:type="dxa"/>
          <w:tblCellMar>
            <w:top w:w="15" w:type="dxa"/>
          </w:tblCellMar>
          <w:tblLook w:val="04A0"/>
        </w:tblPrEx>
        <w:trPr>
          <w:trHeight w:val="289"/>
        </w:trPr>
        <w:tc>
          <w:tcPr>
            <w:tcW w:w="9980" w:type="dxa"/>
            <w:gridSpan w:val="9"/>
            <w:vMerge/>
            <w:tcBorders>
              <w:top w:val="nil"/>
              <w:left w:val="single" w:sz="8" w:space="0" w:color="auto"/>
              <w:bottom w:val="single" w:sz="8" w:space="0" w:color="auto"/>
              <w:right w:val="single" w:sz="8" w:space="0" w:color="auto"/>
            </w:tcBorders>
            <w:vAlign w:val="center"/>
            <w:hideMark/>
          </w:tcPr>
          <w:p w:rsidR="00ED4E2C" w:rsidRPr="005D2C0C" w:rsidP="003E3993" w14:paraId="50B31812" w14:textId="77777777">
            <w:pPr>
              <w:keepNext/>
              <w:keepLines/>
              <w:rPr>
                <w:rFonts w:ascii="Source Sans Pro" w:hAnsi="Source Sans Pro" w:cs="Calibri"/>
                <w:color w:val="000000"/>
                <w:sz w:val="22"/>
                <w:szCs w:val="22"/>
              </w:rPr>
            </w:pPr>
          </w:p>
        </w:tc>
        <w:tc>
          <w:tcPr>
            <w:tcW w:w="36" w:type="dxa"/>
            <w:tcBorders>
              <w:top w:val="nil"/>
              <w:left w:val="nil"/>
              <w:bottom w:val="nil"/>
              <w:right w:val="nil"/>
            </w:tcBorders>
            <w:noWrap/>
            <w:vAlign w:val="bottom"/>
            <w:hideMark/>
          </w:tcPr>
          <w:p w:rsidR="00ED4E2C" w:rsidRPr="005D2C0C" w:rsidP="003E3993" w14:paraId="01AF4C06" w14:textId="77777777">
            <w:pPr>
              <w:keepNext/>
              <w:keepLines/>
              <w:rPr>
                <w:rFonts w:ascii="Source Sans Pro" w:hAnsi="Source Sans Pro"/>
                <w:sz w:val="22"/>
                <w:szCs w:val="22"/>
              </w:rPr>
            </w:pPr>
          </w:p>
        </w:tc>
      </w:tr>
      <w:tr w14:paraId="011670D4" w14:textId="77777777" w:rsidTr="003E3993">
        <w:tblPrEx>
          <w:tblW w:w="10016" w:type="dxa"/>
          <w:tblCellMar>
            <w:top w:w="15" w:type="dxa"/>
          </w:tblCellMar>
          <w:tblLook w:val="04A0"/>
        </w:tblPrEx>
        <w:trPr>
          <w:trHeight w:val="315"/>
        </w:trPr>
        <w:tc>
          <w:tcPr>
            <w:tcW w:w="9980" w:type="dxa"/>
            <w:gridSpan w:val="9"/>
            <w:vMerge/>
            <w:tcBorders>
              <w:top w:val="nil"/>
              <w:left w:val="single" w:sz="8" w:space="0" w:color="auto"/>
              <w:bottom w:val="single" w:sz="8" w:space="0" w:color="auto"/>
              <w:right w:val="single" w:sz="8" w:space="0" w:color="auto"/>
            </w:tcBorders>
            <w:vAlign w:val="center"/>
            <w:hideMark/>
          </w:tcPr>
          <w:p w:rsidR="00ED4E2C" w:rsidRPr="005D2C0C" w:rsidP="003E3993" w14:paraId="675A0AE2" w14:textId="77777777">
            <w:pPr>
              <w:keepNext/>
              <w:keepLines/>
              <w:rPr>
                <w:rFonts w:ascii="Source Sans Pro" w:hAnsi="Source Sans Pro" w:cs="Calibri"/>
                <w:color w:val="000000"/>
                <w:sz w:val="22"/>
                <w:szCs w:val="22"/>
              </w:rPr>
            </w:pPr>
          </w:p>
        </w:tc>
        <w:tc>
          <w:tcPr>
            <w:tcW w:w="36" w:type="dxa"/>
            <w:tcBorders>
              <w:top w:val="nil"/>
              <w:left w:val="nil"/>
              <w:bottom w:val="nil"/>
              <w:right w:val="nil"/>
            </w:tcBorders>
            <w:noWrap/>
            <w:vAlign w:val="bottom"/>
            <w:hideMark/>
          </w:tcPr>
          <w:p w:rsidR="00ED4E2C" w:rsidRPr="005D2C0C" w:rsidP="003E3993" w14:paraId="0460652F" w14:textId="77777777">
            <w:pPr>
              <w:keepNext/>
              <w:keepLines/>
              <w:rPr>
                <w:rFonts w:ascii="Source Sans Pro" w:hAnsi="Source Sans Pro"/>
                <w:sz w:val="22"/>
                <w:szCs w:val="22"/>
              </w:rPr>
            </w:pPr>
          </w:p>
        </w:tc>
      </w:tr>
    </w:tbl>
    <w:p w:rsidR="00CF552E" w:rsidP="00B81846" w14:paraId="70AFA2F9" w14:textId="77777777">
      <w:pPr>
        <w:pStyle w:val="CommentText"/>
        <w:rPr>
          <w:rStyle w:val="documentbody1"/>
          <w:color w:val="000000"/>
          <w:sz w:val="24"/>
          <w:szCs w:val="24"/>
          <w:u w:val="single"/>
        </w:rPr>
      </w:pPr>
    </w:p>
    <w:p w:rsidR="009D03FF" w:rsidP="00F96342" w14:paraId="1D0C0E7D" w14:textId="77777777">
      <w:pPr>
        <w:pStyle w:val="CommentText"/>
        <w:rPr>
          <w:rStyle w:val="documentbody1"/>
          <w:color w:val="000000"/>
          <w:sz w:val="24"/>
          <w:szCs w:val="24"/>
          <w:u w:val="single"/>
        </w:rPr>
      </w:pPr>
    </w:p>
    <w:tbl>
      <w:tblPr>
        <w:tblW w:w="9994" w:type="dxa"/>
        <w:tblLook w:val="04A0"/>
      </w:tblPr>
      <w:tblGrid>
        <w:gridCol w:w="2235"/>
        <w:gridCol w:w="2393"/>
        <w:gridCol w:w="3282"/>
        <w:gridCol w:w="2084"/>
      </w:tblGrid>
      <w:tr w14:paraId="3AFFAA06" w14:textId="77777777" w:rsidTr="00C03368">
        <w:tblPrEx>
          <w:tblW w:w="9994" w:type="dxa"/>
          <w:tblLook w:val="04A0"/>
        </w:tblPrEx>
        <w:trPr>
          <w:trHeight w:val="370"/>
        </w:trPr>
        <w:tc>
          <w:tcPr>
            <w:tcW w:w="9994" w:type="dxa"/>
            <w:gridSpan w:val="4"/>
            <w:tcBorders>
              <w:top w:val="single" w:sz="8" w:space="0" w:color="auto"/>
              <w:left w:val="single" w:sz="8" w:space="0" w:color="auto"/>
              <w:bottom w:val="single" w:sz="8" w:space="0" w:color="auto"/>
              <w:right w:val="single" w:sz="8" w:space="0" w:color="000000"/>
            </w:tcBorders>
            <w:noWrap/>
            <w:vAlign w:val="center"/>
            <w:hideMark/>
          </w:tcPr>
          <w:p w:rsidR="00C03368" w:rsidRPr="005D2C0C" w:rsidP="003E3993" w14:paraId="64CA2BD0" w14:textId="5D323F6A">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Total Estimated Cost Burden (OMB No. 3064-0026)</w:t>
            </w:r>
          </w:p>
        </w:tc>
      </w:tr>
      <w:tr w14:paraId="53BA6658" w14:textId="77777777" w:rsidTr="00C03368">
        <w:tblPrEx>
          <w:tblW w:w="9994" w:type="dxa"/>
          <w:tblLook w:val="04A0"/>
        </w:tblPrEx>
        <w:trPr>
          <w:trHeight w:val="618"/>
        </w:trPr>
        <w:tc>
          <w:tcPr>
            <w:tcW w:w="2235" w:type="dxa"/>
            <w:tcBorders>
              <w:top w:val="nil"/>
              <w:left w:val="single" w:sz="8" w:space="0" w:color="auto"/>
              <w:bottom w:val="single" w:sz="8" w:space="0" w:color="auto"/>
              <w:right w:val="single" w:sz="8" w:space="0" w:color="auto"/>
            </w:tcBorders>
            <w:vAlign w:val="center"/>
            <w:hideMark/>
          </w:tcPr>
          <w:p w:rsidR="00C03368" w:rsidRPr="005D2C0C" w:rsidP="003E3993" w14:paraId="7D2A6B63"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Information Collection Request</w:t>
            </w:r>
          </w:p>
        </w:tc>
        <w:tc>
          <w:tcPr>
            <w:tcW w:w="2393" w:type="dxa"/>
            <w:tcBorders>
              <w:top w:val="nil"/>
              <w:left w:val="nil"/>
              <w:bottom w:val="single" w:sz="8" w:space="0" w:color="auto"/>
              <w:right w:val="single" w:sz="8" w:space="0" w:color="auto"/>
            </w:tcBorders>
            <w:vAlign w:val="center"/>
            <w:hideMark/>
          </w:tcPr>
          <w:p w:rsidR="00C03368" w:rsidRPr="005D2C0C" w:rsidP="003E3993" w14:paraId="5F66B28B"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Annual Burden (Hours)</w:t>
            </w:r>
          </w:p>
        </w:tc>
        <w:tc>
          <w:tcPr>
            <w:tcW w:w="3282" w:type="dxa"/>
            <w:tcBorders>
              <w:top w:val="nil"/>
              <w:left w:val="nil"/>
              <w:bottom w:val="single" w:sz="8" w:space="0" w:color="auto"/>
              <w:right w:val="single" w:sz="8" w:space="0" w:color="auto"/>
            </w:tcBorders>
            <w:vAlign w:val="center"/>
            <w:hideMark/>
          </w:tcPr>
          <w:p w:rsidR="00C03368" w:rsidRPr="005D2C0C" w:rsidP="003E3993" w14:paraId="01DC68D3"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Weighted Average Hourly Compensation Rate</w:t>
            </w:r>
          </w:p>
        </w:tc>
        <w:tc>
          <w:tcPr>
            <w:tcW w:w="2083" w:type="dxa"/>
            <w:tcBorders>
              <w:top w:val="nil"/>
              <w:left w:val="nil"/>
              <w:bottom w:val="single" w:sz="8" w:space="0" w:color="auto"/>
              <w:right w:val="single" w:sz="8" w:space="0" w:color="auto"/>
            </w:tcBorders>
            <w:vAlign w:val="center"/>
            <w:hideMark/>
          </w:tcPr>
          <w:p w:rsidR="00C03368" w:rsidRPr="005D2C0C" w:rsidP="003E3993" w14:paraId="7FAE1075" w14:textId="77777777">
            <w:pPr>
              <w:keepNext/>
              <w:keepLines/>
              <w:jc w:val="center"/>
              <w:rPr>
                <w:rFonts w:ascii="Source Sans Pro" w:hAnsi="Source Sans Pro" w:cs="Calibri"/>
                <w:color w:val="000000"/>
                <w:sz w:val="22"/>
                <w:szCs w:val="22"/>
              </w:rPr>
            </w:pPr>
            <w:r w:rsidRPr="005D2C0C">
              <w:rPr>
                <w:rFonts w:ascii="Source Sans Pro" w:hAnsi="Source Sans Pro" w:cs="Calibri"/>
                <w:color w:val="000000"/>
                <w:sz w:val="22"/>
                <w:szCs w:val="22"/>
              </w:rPr>
              <w:t>Annual Respondent Cost</w:t>
            </w:r>
          </w:p>
        </w:tc>
      </w:tr>
      <w:tr w14:paraId="65A0D7D3" w14:textId="77777777" w:rsidTr="00C03368">
        <w:tblPrEx>
          <w:tblW w:w="9994" w:type="dxa"/>
          <w:tblLook w:val="04A0"/>
        </w:tblPrEx>
        <w:trPr>
          <w:trHeight w:val="891"/>
        </w:trPr>
        <w:tc>
          <w:tcPr>
            <w:tcW w:w="2235" w:type="dxa"/>
            <w:tcBorders>
              <w:top w:val="nil"/>
              <w:left w:val="single" w:sz="8" w:space="0" w:color="auto"/>
              <w:bottom w:val="single" w:sz="8" w:space="0" w:color="auto"/>
              <w:right w:val="single" w:sz="8" w:space="0" w:color="auto"/>
            </w:tcBorders>
            <w:vAlign w:val="center"/>
            <w:hideMark/>
          </w:tcPr>
          <w:p w:rsidR="00C03368" w:rsidRPr="005D2C0C" w:rsidP="003E3993" w14:paraId="30F528E5"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Reporting Requirements for Transfer Agents</w:t>
            </w:r>
          </w:p>
        </w:tc>
        <w:tc>
          <w:tcPr>
            <w:tcW w:w="2393" w:type="dxa"/>
            <w:tcBorders>
              <w:top w:val="nil"/>
              <w:left w:val="nil"/>
              <w:bottom w:val="single" w:sz="8" w:space="0" w:color="auto"/>
              <w:right w:val="single" w:sz="8" w:space="0" w:color="auto"/>
            </w:tcBorders>
            <w:noWrap/>
            <w:vAlign w:val="center"/>
            <w:hideMark/>
          </w:tcPr>
          <w:p w:rsidR="00C03368" w:rsidRPr="005D2C0C" w:rsidP="003E3993" w14:paraId="482E9462" w14:textId="77777777">
            <w:pPr>
              <w:keepNext/>
              <w:keepLines/>
              <w:ind w:firstLine="440" w:firstLineChars="200"/>
              <w:jc w:val="right"/>
              <w:rPr>
                <w:rFonts w:ascii="Source Sans Pro" w:hAnsi="Source Sans Pro" w:cs="Calibri"/>
                <w:color w:val="000000"/>
                <w:sz w:val="22"/>
                <w:szCs w:val="22"/>
              </w:rPr>
            </w:pPr>
            <w:r w:rsidRPr="005D2C0C">
              <w:rPr>
                <w:rFonts w:ascii="Source Sans Pro" w:hAnsi="Source Sans Pro" w:cs="Calibri"/>
                <w:color w:val="000000"/>
                <w:sz w:val="22"/>
                <w:szCs w:val="22"/>
              </w:rPr>
              <w:t xml:space="preserve">                                           1 </w:t>
            </w:r>
          </w:p>
        </w:tc>
        <w:tc>
          <w:tcPr>
            <w:tcW w:w="3282" w:type="dxa"/>
            <w:tcBorders>
              <w:top w:val="nil"/>
              <w:left w:val="nil"/>
              <w:bottom w:val="single" w:sz="8" w:space="0" w:color="auto"/>
              <w:right w:val="single" w:sz="8" w:space="0" w:color="auto"/>
            </w:tcBorders>
            <w:noWrap/>
            <w:vAlign w:val="center"/>
            <w:hideMark/>
          </w:tcPr>
          <w:p w:rsidR="00C03368" w:rsidRPr="005D2C0C" w:rsidP="003E3993" w14:paraId="3DFF6079" w14:textId="77777777">
            <w:pPr>
              <w:keepNext/>
              <w:keepLines/>
              <w:ind w:firstLine="220" w:firstLineChars="100"/>
              <w:jc w:val="right"/>
              <w:rPr>
                <w:rFonts w:ascii="Source Sans Pro" w:hAnsi="Source Sans Pro" w:cs="Calibri"/>
                <w:color w:val="000000"/>
                <w:sz w:val="22"/>
                <w:szCs w:val="22"/>
              </w:rPr>
            </w:pPr>
            <w:r w:rsidRPr="005D2C0C">
              <w:rPr>
                <w:rFonts w:ascii="Source Sans Pro" w:hAnsi="Source Sans Pro" w:cs="Calibri"/>
                <w:color w:val="000000"/>
                <w:sz w:val="22"/>
                <w:szCs w:val="22"/>
              </w:rPr>
              <w:t>$62.75</w:t>
            </w:r>
          </w:p>
        </w:tc>
        <w:tc>
          <w:tcPr>
            <w:tcW w:w="2083" w:type="dxa"/>
            <w:tcBorders>
              <w:top w:val="nil"/>
              <w:left w:val="nil"/>
              <w:bottom w:val="single" w:sz="8" w:space="0" w:color="auto"/>
              <w:right w:val="single" w:sz="8" w:space="0" w:color="auto"/>
            </w:tcBorders>
            <w:noWrap/>
            <w:vAlign w:val="center"/>
            <w:hideMark/>
          </w:tcPr>
          <w:p w:rsidR="00C03368" w:rsidRPr="005D2C0C" w:rsidP="003E3993" w14:paraId="0924D8E1" w14:textId="77777777">
            <w:pPr>
              <w:keepNext/>
              <w:keepLines/>
              <w:ind w:firstLine="220" w:firstLineChars="100"/>
              <w:jc w:val="right"/>
              <w:rPr>
                <w:rFonts w:ascii="Source Sans Pro" w:hAnsi="Source Sans Pro" w:cs="Calibri"/>
                <w:color w:val="000000"/>
                <w:sz w:val="22"/>
                <w:szCs w:val="22"/>
              </w:rPr>
            </w:pPr>
            <w:r w:rsidRPr="005D2C0C">
              <w:rPr>
                <w:rFonts w:ascii="Source Sans Pro" w:hAnsi="Source Sans Pro" w:cs="Calibri"/>
                <w:color w:val="000000"/>
                <w:sz w:val="22"/>
                <w:szCs w:val="22"/>
              </w:rPr>
              <w:t>$63</w:t>
            </w:r>
          </w:p>
        </w:tc>
      </w:tr>
      <w:tr w14:paraId="68DA04DA" w14:textId="77777777" w:rsidTr="00C03368">
        <w:tblPrEx>
          <w:tblW w:w="9994" w:type="dxa"/>
          <w:tblLook w:val="04A0"/>
        </w:tblPrEx>
        <w:trPr>
          <w:trHeight w:val="370"/>
        </w:trPr>
        <w:tc>
          <w:tcPr>
            <w:tcW w:w="791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C03368" w:rsidRPr="005D2C0C" w:rsidP="003E3993" w14:paraId="66849A4F" w14:textId="77777777">
            <w:pPr>
              <w:keepNext/>
              <w:keepLines/>
              <w:jc w:val="right"/>
              <w:rPr>
                <w:rFonts w:ascii="Source Sans Pro" w:hAnsi="Source Sans Pro" w:cs="Calibri"/>
                <w:b/>
                <w:bCs/>
                <w:i/>
                <w:iCs/>
                <w:color w:val="000000"/>
                <w:sz w:val="22"/>
                <w:szCs w:val="22"/>
              </w:rPr>
            </w:pPr>
            <w:r w:rsidRPr="005D2C0C">
              <w:rPr>
                <w:rFonts w:ascii="Source Sans Pro" w:hAnsi="Source Sans Pro" w:cs="Calibri"/>
                <w:b/>
                <w:bCs/>
                <w:i/>
                <w:iCs/>
                <w:color w:val="000000"/>
                <w:sz w:val="22"/>
                <w:szCs w:val="22"/>
              </w:rPr>
              <w:t>Total Annual Respondent Cost:</w:t>
            </w:r>
          </w:p>
        </w:tc>
        <w:tc>
          <w:tcPr>
            <w:tcW w:w="2083" w:type="dxa"/>
            <w:tcBorders>
              <w:top w:val="nil"/>
              <w:left w:val="nil"/>
              <w:bottom w:val="single" w:sz="8" w:space="0" w:color="auto"/>
              <w:right w:val="single" w:sz="8" w:space="0" w:color="auto"/>
            </w:tcBorders>
            <w:shd w:val="clear" w:color="000000" w:fill="FFFFFF"/>
            <w:vAlign w:val="center"/>
            <w:hideMark/>
          </w:tcPr>
          <w:p w:rsidR="00C03368" w:rsidRPr="005D2C0C" w:rsidP="003E3993" w14:paraId="0820AEAE" w14:textId="77777777">
            <w:pPr>
              <w:keepNext/>
              <w:keepLines/>
              <w:ind w:firstLine="220" w:firstLineChars="100"/>
              <w:jc w:val="right"/>
              <w:rPr>
                <w:rFonts w:ascii="Source Sans Pro" w:hAnsi="Source Sans Pro" w:cs="Calibri"/>
                <w:b/>
                <w:bCs/>
                <w:i/>
                <w:iCs/>
                <w:color w:val="000000"/>
                <w:sz w:val="22"/>
                <w:szCs w:val="22"/>
              </w:rPr>
            </w:pPr>
            <w:r w:rsidRPr="005D2C0C">
              <w:rPr>
                <w:rFonts w:ascii="Source Sans Pro" w:hAnsi="Source Sans Pro" w:cs="Calibri"/>
                <w:b/>
                <w:bCs/>
                <w:i/>
                <w:iCs/>
                <w:color w:val="000000"/>
                <w:sz w:val="22"/>
                <w:szCs w:val="22"/>
              </w:rPr>
              <w:t xml:space="preserve">$63 </w:t>
            </w:r>
          </w:p>
        </w:tc>
      </w:tr>
      <w:tr w14:paraId="03D4F926" w14:textId="77777777" w:rsidTr="00C03368">
        <w:tblPrEx>
          <w:tblW w:w="9994" w:type="dxa"/>
          <w:tblLook w:val="04A0"/>
        </w:tblPrEx>
        <w:trPr>
          <w:trHeight w:val="424"/>
        </w:trPr>
        <w:tc>
          <w:tcPr>
            <w:tcW w:w="9994" w:type="dxa"/>
            <w:gridSpan w:val="4"/>
            <w:tcBorders>
              <w:top w:val="single" w:sz="8" w:space="0" w:color="auto"/>
              <w:left w:val="single" w:sz="8" w:space="0" w:color="auto"/>
              <w:bottom w:val="single" w:sz="8" w:space="0" w:color="auto"/>
              <w:right w:val="single" w:sz="8" w:space="0" w:color="000000"/>
            </w:tcBorders>
            <w:noWrap/>
            <w:hideMark/>
          </w:tcPr>
          <w:p w:rsidR="00C03368" w:rsidRPr="005D2C0C" w:rsidP="003E3993" w14:paraId="0EF90F84" w14:textId="77777777">
            <w:pPr>
              <w:keepNext/>
              <w:keepLines/>
              <w:rPr>
                <w:rFonts w:ascii="Source Sans Pro" w:hAnsi="Source Sans Pro" w:cs="Calibri"/>
                <w:color w:val="000000"/>
                <w:sz w:val="22"/>
                <w:szCs w:val="22"/>
              </w:rPr>
            </w:pPr>
            <w:r w:rsidRPr="005D2C0C">
              <w:rPr>
                <w:rFonts w:ascii="Source Sans Pro" w:hAnsi="Source Sans Pro" w:cs="Calibri"/>
                <w:color w:val="000000"/>
                <w:sz w:val="22"/>
                <w:szCs w:val="22"/>
              </w:rPr>
              <w:t>Source: FDIC.</w:t>
            </w:r>
          </w:p>
        </w:tc>
      </w:tr>
    </w:tbl>
    <w:p w:rsidR="009778B4" w:rsidRPr="00BA19E0" w:rsidP="00497E0B" w14:paraId="498F298C" w14:textId="77777777">
      <w:pPr>
        <w:pStyle w:val="CommentText"/>
        <w:ind w:left="1440"/>
        <w:rPr>
          <w:rStyle w:val="documentbody1"/>
          <w:color w:val="000000"/>
          <w:sz w:val="24"/>
          <w:szCs w:val="24"/>
          <w:u w:val="single"/>
        </w:rPr>
      </w:pPr>
    </w:p>
    <w:p w:rsidR="009F4532" w:rsidRPr="001F2A5D" w:rsidP="00B415D0" w14:paraId="1439B6B4" w14:textId="77777777">
      <w:pPr>
        <w:numPr>
          <w:ilvl w:val="0"/>
          <w:numId w:val="15"/>
        </w:numPr>
        <w:outlineLvl w:val="0"/>
        <w:rPr>
          <w:rFonts w:ascii="Times New Roman" w:hAnsi="Times New Roman"/>
          <w:szCs w:val="24"/>
          <w:u w:val="single"/>
        </w:rPr>
      </w:pPr>
      <w:r w:rsidRPr="009E60FB">
        <w:rPr>
          <w:rFonts w:ascii="Times New Roman" w:hAnsi="Times New Roman"/>
          <w:bCs/>
          <w:szCs w:val="24"/>
          <w:u w:val="single"/>
        </w:rPr>
        <w:t>Estimate of start-up costs to respondents:</w:t>
      </w:r>
    </w:p>
    <w:p w:rsidR="00731A90" w14:paraId="0522DEE0" w14:textId="77777777">
      <w:pPr>
        <w:rPr>
          <w:rFonts w:ascii="Times New Roman" w:hAnsi="Times New Roman"/>
        </w:rPr>
      </w:pPr>
    </w:p>
    <w:p w:rsidR="008D7920" w:rsidRPr="008D7920" w:rsidP="008D7920" w14:paraId="25CCF5CB" w14:textId="77777777">
      <w:pPr>
        <w:widowControl/>
        <w:tabs>
          <w:tab w:val="left" w:pos="432"/>
          <w:tab w:val="left" w:pos="1296"/>
          <w:tab w:val="left" w:pos="1728"/>
          <w:tab w:val="left" w:pos="4176"/>
        </w:tabs>
        <w:ind w:left="1296"/>
        <w:rPr>
          <w:rFonts w:ascii="Times New Roman" w:hAnsi="Times New Roman"/>
          <w:color w:val="000000"/>
        </w:rPr>
      </w:pPr>
      <w:r>
        <w:rPr>
          <w:rFonts w:ascii="Times New Roman" w:hAnsi="Times New Roman"/>
          <w:szCs w:val="24"/>
        </w:rPr>
        <w:t xml:space="preserve"> None</w:t>
      </w:r>
      <w:r w:rsidRPr="008D7920">
        <w:rPr>
          <w:rFonts w:ascii="Times New Roman" w:hAnsi="Times New Roman"/>
          <w:szCs w:val="24"/>
        </w:rPr>
        <w:t>.</w:t>
      </w:r>
    </w:p>
    <w:p w:rsidR="00B415D0" w14:paraId="42FE2BFC" w14:textId="77777777">
      <w:pPr>
        <w:rPr>
          <w:rFonts w:ascii="Times New Roman" w:hAnsi="Times New Roman"/>
        </w:rPr>
      </w:pPr>
    </w:p>
    <w:p w:rsidR="00731A90" w:rsidP="00B415D0" w14:paraId="2BEA4814" w14:textId="77777777">
      <w:pPr>
        <w:numPr>
          <w:ilvl w:val="0"/>
          <w:numId w:val="15"/>
        </w:numPr>
        <w:rPr>
          <w:rFonts w:ascii="Times New Roman" w:hAnsi="Times New Roman"/>
          <w:bCs/>
          <w:szCs w:val="24"/>
          <w:u w:val="single"/>
        </w:rPr>
      </w:pPr>
      <w:r w:rsidRPr="009E60FB">
        <w:rPr>
          <w:rFonts w:ascii="Times New Roman" w:hAnsi="Times New Roman"/>
          <w:bCs/>
          <w:szCs w:val="24"/>
          <w:u w:val="single"/>
        </w:rPr>
        <w:t>Estimate of annualized costs to the government:</w:t>
      </w:r>
    </w:p>
    <w:p w:rsidR="009F4532" w:rsidP="009F4532" w14:paraId="55DBDF76" w14:textId="77777777">
      <w:pPr>
        <w:ind w:firstLine="720"/>
        <w:rPr>
          <w:rFonts w:ascii="Times New Roman" w:hAnsi="Times New Roman"/>
        </w:rPr>
      </w:pPr>
    </w:p>
    <w:p w:rsidR="007E3A41" w:rsidP="007E3A41" w14:paraId="6F18948C" w14:textId="77777777">
      <w:pPr>
        <w:ind w:left="720" w:firstLine="720"/>
        <w:rPr>
          <w:rFonts w:ascii="Times New Roman" w:hAnsi="Times New Roman"/>
        </w:rPr>
      </w:pPr>
      <w:r>
        <w:rPr>
          <w:rFonts w:ascii="Times New Roman" w:hAnsi="Times New Roman"/>
        </w:rPr>
        <w:t>None</w:t>
      </w:r>
      <w:r w:rsidR="0077603D">
        <w:rPr>
          <w:rFonts w:ascii="Times New Roman" w:hAnsi="Times New Roman"/>
        </w:rPr>
        <w:t>.</w:t>
      </w:r>
    </w:p>
    <w:p w:rsidR="00B415D0" w:rsidP="00B415D0" w14:paraId="1D07A12B" w14:textId="77777777">
      <w:pPr>
        <w:outlineLvl w:val="0"/>
        <w:rPr>
          <w:rFonts w:ascii="Times New Roman" w:hAnsi="Times New Roman"/>
        </w:rPr>
      </w:pPr>
    </w:p>
    <w:p w:rsidR="009F4532" w:rsidRPr="001F2A5D" w:rsidP="00B415D0" w14:paraId="48BEAE16" w14:textId="77777777">
      <w:pPr>
        <w:numPr>
          <w:ilvl w:val="0"/>
          <w:numId w:val="15"/>
        </w:numPr>
        <w:outlineLvl w:val="0"/>
        <w:rPr>
          <w:rFonts w:ascii="Times New Roman" w:hAnsi="Times New Roman"/>
          <w:szCs w:val="24"/>
        </w:rPr>
      </w:pPr>
      <w:r w:rsidRPr="009E60FB">
        <w:rPr>
          <w:rFonts w:ascii="Times New Roman" w:hAnsi="Times New Roman"/>
          <w:szCs w:val="24"/>
          <w:u w:val="single"/>
        </w:rPr>
        <w:t>Analysis of change in burden:</w:t>
      </w:r>
    </w:p>
    <w:p w:rsidR="00731A90" w14:paraId="56295610" w14:textId="77777777">
      <w:pPr>
        <w:ind w:firstLine="720"/>
        <w:rPr>
          <w:rFonts w:ascii="Times New Roman" w:hAnsi="Times New Roman"/>
        </w:rPr>
      </w:pPr>
    </w:p>
    <w:p w:rsidR="0077603D" w:rsidP="00DB04B6" w14:paraId="0AD77603" w14:textId="77777777">
      <w:pPr>
        <w:pStyle w:val="BlockText"/>
        <w:tabs>
          <w:tab w:val="clear" w:pos="-240"/>
          <w:tab w:val="left" w:pos="360"/>
          <w:tab w:val="clear" w:pos="480"/>
          <w:tab w:val="clear" w:pos="1080"/>
          <w:tab w:val="clear" w:pos="1680"/>
          <w:tab w:val="clear" w:pos="2280"/>
          <w:tab w:val="clear" w:pos="2880"/>
          <w:tab w:val="clear" w:pos="3600"/>
          <w:tab w:val="clear" w:pos="4320"/>
          <w:tab w:val="clear" w:pos="5040"/>
          <w:tab w:val="clear" w:pos="5760"/>
          <w:tab w:val="clear" w:pos="6480"/>
          <w:tab w:val="clear" w:pos="7200"/>
          <w:tab w:val="clear" w:pos="7920"/>
        </w:tabs>
        <w:ind w:left="1440" w:right="0"/>
      </w:pPr>
      <w:r>
        <w:rPr>
          <w:snapToGrid/>
          <w:szCs w:val="24"/>
        </w:rPr>
        <w:t xml:space="preserve">There is no change in the method or substance </w:t>
      </w:r>
      <w:r w:rsidR="00F96342">
        <w:rPr>
          <w:snapToGrid/>
          <w:szCs w:val="24"/>
        </w:rPr>
        <w:t>of this information collection.  Burden has not changed.</w:t>
      </w:r>
    </w:p>
    <w:p w:rsidR="004B7B90" w14:paraId="06D70E89" w14:textId="77777777">
      <w:pPr>
        <w:rPr>
          <w:rFonts w:ascii="Times New Roman" w:hAnsi="Times New Roman"/>
        </w:rPr>
      </w:pPr>
    </w:p>
    <w:p w:rsidR="009F4532" w:rsidRPr="00656548" w:rsidP="00B415D0" w14:paraId="03554F27" w14:textId="77777777">
      <w:pPr>
        <w:numPr>
          <w:ilvl w:val="0"/>
          <w:numId w:val="15"/>
        </w:numPr>
        <w:outlineLvl w:val="0"/>
        <w:rPr>
          <w:rFonts w:ascii="Times New Roman" w:hAnsi="Times New Roman"/>
          <w:szCs w:val="24"/>
        </w:rPr>
      </w:pPr>
      <w:r w:rsidRPr="00E47BDF">
        <w:rPr>
          <w:rFonts w:ascii="Times New Roman" w:hAnsi="Times New Roman"/>
          <w:szCs w:val="24"/>
          <w:u w:val="single"/>
        </w:rPr>
        <w:t>Information regarding collections whose results</w:t>
      </w:r>
      <w:r w:rsidRPr="006A7DD6">
        <w:rPr>
          <w:rFonts w:ascii="Times New Roman" w:hAnsi="Times New Roman"/>
          <w:szCs w:val="24"/>
          <w:u w:val="single"/>
        </w:rPr>
        <w:t xml:space="preserve"> are planned to be published for statistical use:</w:t>
      </w:r>
    </w:p>
    <w:p w:rsidR="00656548" w:rsidP="00656548" w14:paraId="7ACA332D" w14:textId="77777777">
      <w:pPr>
        <w:outlineLvl w:val="0"/>
        <w:rPr>
          <w:rFonts w:ascii="Times New Roman" w:hAnsi="Times New Roman"/>
          <w:szCs w:val="24"/>
          <w:u w:val="single"/>
        </w:rPr>
      </w:pPr>
    </w:p>
    <w:p w:rsidR="00656548" w:rsidRPr="00656548" w:rsidP="00656548" w14:paraId="3A1A4567" w14:textId="77777777">
      <w:pPr>
        <w:ind w:left="1440"/>
        <w:outlineLvl w:val="0"/>
        <w:rPr>
          <w:rFonts w:ascii="Times New Roman" w:hAnsi="Times New Roman"/>
          <w:szCs w:val="24"/>
        </w:rPr>
      </w:pPr>
      <w:r>
        <w:rPr>
          <w:rFonts w:ascii="Times New Roman" w:hAnsi="Times New Roman"/>
          <w:szCs w:val="24"/>
        </w:rPr>
        <w:t>The results of this collection will not be published for statistical use.</w:t>
      </w:r>
    </w:p>
    <w:p w:rsidR="00731A90" w14:paraId="1CE55B29" w14:textId="77777777">
      <w:pPr>
        <w:rPr>
          <w:rFonts w:ascii="Times New Roman" w:hAnsi="Times New Roman"/>
        </w:rPr>
      </w:pPr>
    </w:p>
    <w:p w:rsidR="00731A90" w:rsidP="00B415D0" w14:paraId="25E6E619" w14:textId="77777777">
      <w:pPr>
        <w:numPr>
          <w:ilvl w:val="0"/>
          <w:numId w:val="15"/>
        </w:numPr>
        <w:rPr>
          <w:rFonts w:ascii="Times New Roman" w:hAnsi="Times New Roman"/>
        </w:rPr>
      </w:pPr>
      <w:r w:rsidRPr="009E60FB">
        <w:rPr>
          <w:rFonts w:ascii="Times New Roman" w:hAnsi="Times New Roman"/>
          <w:szCs w:val="24"/>
          <w:u w:val="single"/>
        </w:rPr>
        <w:t>Display of expiration date</w:t>
      </w:r>
      <w:r>
        <w:rPr>
          <w:rFonts w:ascii="Times New Roman" w:hAnsi="Times New Roman"/>
          <w:szCs w:val="24"/>
          <w:u w:val="single"/>
        </w:rPr>
        <w:t>:</w:t>
      </w:r>
    </w:p>
    <w:p w:rsidR="00731A90" w14:paraId="26161B62" w14:textId="77777777">
      <w:pPr>
        <w:rPr>
          <w:rFonts w:ascii="Times New Roman" w:hAnsi="Times New Roman"/>
        </w:rPr>
      </w:pPr>
    </w:p>
    <w:p w:rsidR="00731A90" w14:paraId="39255153" w14:textId="77777777">
      <w:pPr>
        <w:ind w:left="1440"/>
        <w:rPr>
          <w:rFonts w:ascii="Times New Roman" w:hAnsi="Times New Roman"/>
        </w:rPr>
      </w:pPr>
      <w:r>
        <w:rPr>
          <w:rFonts w:ascii="Times New Roman" w:hAnsi="Times New Roman"/>
        </w:rPr>
        <w:t>Not applicable.</w:t>
      </w:r>
    </w:p>
    <w:p w:rsidR="00731A90" w14:paraId="67ADA502" w14:textId="77777777">
      <w:pPr>
        <w:rPr>
          <w:rFonts w:ascii="Times New Roman" w:hAnsi="Times New Roman"/>
        </w:rPr>
      </w:pPr>
    </w:p>
    <w:p w:rsidR="00731A90" w:rsidP="00B415D0" w14:paraId="0BA01EFD" w14:textId="77777777">
      <w:pPr>
        <w:numPr>
          <w:ilvl w:val="0"/>
          <w:numId w:val="15"/>
        </w:numPr>
        <w:rPr>
          <w:rFonts w:ascii="Times New Roman" w:hAnsi="Times New Roman"/>
        </w:rPr>
      </w:pPr>
      <w:r>
        <w:rPr>
          <w:rFonts w:ascii="Times New Roman" w:hAnsi="Times New Roman"/>
          <w:u w:val="single"/>
        </w:rPr>
        <w:t>Exceptions to Certification</w:t>
      </w:r>
      <w:r>
        <w:rPr>
          <w:rFonts w:ascii="Times New Roman" w:hAnsi="Times New Roman"/>
        </w:rPr>
        <w:t xml:space="preserve">  </w:t>
      </w:r>
    </w:p>
    <w:p w:rsidR="00731A90" w14:paraId="18D17A8C" w14:textId="77777777">
      <w:pPr>
        <w:rPr>
          <w:rFonts w:ascii="Times New Roman" w:hAnsi="Times New Roman"/>
        </w:rPr>
      </w:pPr>
    </w:p>
    <w:p w:rsidR="00731A90" w14:paraId="37570DE6" w14:textId="77777777">
      <w:pPr>
        <w:ind w:left="1440"/>
        <w:rPr>
          <w:rFonts w:ascii="Times New Roman" w:hAnsi="Times New Roman"/>
        </w:rPr>
      </w:pPr>
      <w:r>
        <w:rPr>
          <w:rFonts w:ascii="Times New Roman" w:hAnsi="Times New Roman"/>
        </w:rPr>
        <w:t>None.</w:t>
      </w:r>
    </w:p>
    <w:p w:rsidR="00731A90" w14:paraId="21BCFD82" w14:textId="77777777">
      <w:pPr>
        <w:rPr>
          <w:rFonts w:ascii="Times New Roman" w:hAnsi="Times New Roman"/>
        </w:rPr>
      </w:pPr>
    </w:p>
    <w:p w:rsidR="00731A90" w14:paraId="6A562C9B" w14:textId="77777777">
      <w:pPr>
        <w:numPr>
          <w:ilvl w:val="0"/>
          <w:numId w:val="3"/>
        </w:numPr>
        <w:rPr>
          <w:rFonts w:ascii="Times New Roman" w:hAnsi="Times New Roman"/>
          <w:u w:val="single"/>
        </w:rPr>
      </w:pPr>
      <w:r w:rsidRPr="001F2A5D">
        <w:rPr>
          <w:rFonts w:ascii="Times New Roman" w:hAnsi="Times New Roman"/>
          <w:szCs w:val="24"/>
          <w:u w:val="single"/>
        </w:rPr>
        <w:t>Collection of Information Employing Statistical Methods</w:t>
      </w:r>
      <w:r>
        <w:rPr>
          <w:rFonts w:ascii="Times New Roman" w:hAnsi="Times New Roman"/>
          <w:u w:val="single"/>
        </w:rPr>
        <w:t xml:space="preserve"> </w:t>
      </w:r>
    </w:p>
    <w:p w:rsidR="00731A90" w14:paraId="06FA21FC" w14:textId="77777777">
      <w:pPr>
        <w:rPr>
          <w:rFonts w:ascii="Times New Roman" w:hAnsi="Times New Roman"/>
          <w:u w:val="single"/>
        </w:rPr>
      </w:pPr>
    </w:p>
    <w:p w:rsidR="00731A90" w14:paraId="44F674B2" w14:textId="77777777">
      <w:pPr>
        <w:ind w:left="720"/>
        <w:rPr>
          <w:rFonts w:ascii="Times New Roman" w:hAnsi="Times New Roman"/>
        </w:rPr>
      </w:pPr>
      <w:r>
        <w:rPr>
          <w:rFonts w:ascii="Times New Roman" w:hAnsi="Times New Roman"/>
        </w:rPr>
        <w:t>Not Applicable</w:t>
      </w:r>
      <w:r w:rsidR="00DB04B6">
        <w:rPr>
          <w:rFonts w:ascii="Times New Roman" w:hAnsi="Times New Roman"/>
        </w:rPr>
        <w:t>.</w:t>
      </w:r>
    </w:p>
    <w:p w:rsidR="00731A90" w14:paraId="3DE7BAB0" w14:textId="77777777">
      <w:pPr>
        <w:rPr>
          <w:rFonts w:ascii="Times New Roman" w:hAnsi="Times New Roman"/>
        </w:rPr>
      </w:pPr>
    </w:p>
    <w:p w:rsidR="00731A90" w14:paraId="7DF1CC99" w14:textId="77777777">
      <w:pPr>
        <w:rPr>
          <w:rFonts w:ascii="Times New Roman" w:hAnsi="Times New Roman"/>
        </w:rPr>
      </w:pPr>
    </w:p>
    <w:p w:rsidR="00731A90" w14:paraId="4043018B" w14:textId="77777777">
      <w:pPr>
        <w:rPr>
          <w:rFonts w:ascii="Times New Roman" w:hAnsi="Times New Roman"/>
        </w:rPr>
      </w:pPr>
    </w:p>
    <w:p w:rsidR="00731A90" w14:paraId="659F03FD" w14:textId="77777777"/>
    <w:sectPr>
      <w:footerReference w:type="default" r:id="rId5"/>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TUR">
    <w:altName w:val="Sylfaen"/>
    <w:charset w:val="00"/>
    <w:family w:val="roman"/>
    <w:pitch w:val="variable"/>
    <w:sig w:usb0="00000000" w:usb1="C0007841"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2F33" w14:paraId="2C330E75" w14:textId="77777777">
    <w:pPr>
      <w:spacing w:line="240" w:lineRule="exact"/>
    </w:pPr>
  </w:p>
  <w:p w:rsidR="00782F33" w14:paraId="3DBE59FF" w14:textId="7777777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046E01">
      <w:rPr>
        <w:rFonts w:ascii="Times New Roman" w:hAnsi="Times New Roman"/>
        <w:noProof/>
      </w:rPr>
      <w:t>1</w:t>
    </w:r>
    <w:r>
      <w:rPr>
        <w:rFonts w:ascii="Times New Roman" w:hAnsi="Times New Roman"/>
      </w:rPr>
      <w:fldChar w:fldCharType="end"/>
    </w:r>
  </w:p>
  <w:p w:rsidR="00782F33" w14:paraId="4A8F6E0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94C82"/>
    <w:multiLevelType w:val="hybridMultilevel"/>
    <w:tmpl w:val="715AEDDE"/>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147137"/>
    <w:multiLevelType w:val="hybridMultilevel"/>
    <w:tmpl w:val="21262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BA5A7B"/>
    <w:multiLevelType w:val="hybridMultilevel"/>
    <w:tmpl w:val="E51027D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D90D6B"/>
    <w:multiLevelType w:val="singleLevel"/>
    <w:tmpl w:val="0310F3F2"/>
    <w:lvl w:ilvl="0">
      <w:start w:val="5"/>
      <w:numFmt w:val="decimal"/>
      <w:lvlText w:val="%1."/>
      <w:lvlJc w:val="left"/>
      <w:pPr>
        <w:tabs>
          <w:tab w:val="num" w:pos="1080"/>
        </w:tabs>
        <w:ind w:left="1080" w:hanging="360"/>
      </w:pPr>
      <w:rPr>
        <w:rFonts w:hint="default"/>
        <w:u w:val="none"/>
      </w:rPr>
    </w:lvl>
  </w:abstractNum>
  <w:abstractNum w:abstractNumId="4">
    <w:nsid w:val="1C4943B0"/>
    <w:multiLevelType w:val="singleLevel"/>
    <w:tmpl w:val="D0143ED4"/>
    <w:lvl w:ilvl="0">
      <w:start w:val="2"/>
      <w:numFmt w:val="upperLetter"/>
      <w:lvlText w:val="%1."/>
      <w:lvlJc w:val="left"/>
      <w:pPr>
        <w:tabs>
          <w:tab w:val="num" w:pos="720"/>
        </w:tabs>
        <w:ind w:left="720" w:hanging="720"/>
      </w:pPr>
      <w:rPr>
        <w:rFonts w:hint="default"/>
        <w:u w:val="none"/>
      </w:rPr>
    </w:lvl>
  </w:abstractNum>
  <w:abstractNum w:abstractNumId="5">
    <w:nsid w:val="1D3943A5"/>
    <w:multiLevelType w:val="multilevel"/>
    <w:tmpl w:val="A0E4C0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7C30C12"/>
    <w:multiLevelType w:val="hybridMultilevel"/>
    <w:tmpl w:val="668219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7BD0B0B"/>
    <w:multiLevelType w:val="hybridMultilevel"/>
    <w:tmpl w:val="AAFCFEC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8">
    <w:nsid w:val="51D231EC"/>
    <w:multiLevelType w:val="hybridMultilevel"/>
    <w:tmpl w:val="38080B4A"/>
    <w:lvl w:ilvl="0">
      <w:start w:val="1"/>
      <w:numFmt w:val="upp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9">
    <w:nsid w:val="52AE2A1D"/>
    <w:multiLevelType w:val="singleLevel"/>
    <w:tmpl w:val="C816AFFE"/>
    <w:lvl w:ilvl="0">
      <w:start w:val="5"/>
      <w:numFmt w:val="decimal"/>
      <w:lvlText w:val="%1."/>
      <w:lvlJc w:val="left"/>
      <w:pPr>
        <w:tabs>
          <w:tab w:val="num" w:pos="2160"/>
        </w:tabs>
        <w:ind w:left="2160" w:hanging="720"/>
      </w:pPr>
      <w:rPr>
        <w:rFonts w:hint="default"/>
        <w:u w:val="none"/>
      </w:rPr>
    </w:lvl>
  </w:abstractNum>
  <w:abstractNum w:abstractNumId="10">
    <w:nsid w:val="5ABF20BD"/>
    <w:multiLevelType w:val="singleLevel"/>
    <w:tmpl w:val="6A5EFD16"/>
    <w:lvl w:ilvl="0">
      <w:start w:val="1"/>
      <w:numFmt w:val="decimal"/>
      <w:lvlText w:val="(%1)"/>
      <w:lvlJc w:val="left"/>
      <w:pPr>
        <w:tabs>
          <w:tab w:val="num" w:pos="360"/>
        </w:tabs>
        <w:ind w:left="360" w:hanging="360"/>
      </w:pPr>
      <w:rPr>
        <w:rFonts w:hint="default"/>
      </w:rPr>
    </w:lvl>
  </w:abstractNum>
  <w:abstractNum w:abstractNumId="11">
    <w:nsid w:val="618C7D97"/>
    <w:multiLevelType w:val="hybridMultilevel"/>
    <w:tmpl w:val="CC7C56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49039DB"/>
    <w:multiLevelType w:val="multilevel"/>
    <w:tmpl w:val="A0E4C03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B4B3676"/>
    <w:multiLevelType w:val="hybridMultilevel"/>
    <w:tmpl w:val="0C6CEE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D2C5665"/>
    <w:multiLevelType w:val="hybridMultilevel"/>
    <w:tmpl w:val="823CA48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hint="default"/>
      </w:rPr>
    </w:lvl>
    <w:lvl w:ilvl="8" w:tentative="1">
      <w:start w:val="1"/>
      <w:numFmt w:val="bullet"/>
      <w:lvlText w:val=""/>
      <w:lvlJc w:val="left"/>
      <w:pPr>
        <w:ind w:left="7470" w:hanging="360"/>
      </w:pPr>
      <w:rPr>
        <w:rFonts w:ascii="Wingdings" w:hAnsi="Wingdings" w:hint="default"/>
      </w:rPr>
    </w:lvl>
  </w:abstractNum>
  <w:num w:numId="1" w16cid:durableId="33969529">
    <w:abstractNumId w:val="9"/>
  </w:num>
  <w:num w:numId="2" w16cid:durableId="472254039">
    <w:abstractNumId w:val="3"/>
  </w:num>
  <w:num w:numId="3" w16cid:durableId="1411807563">
    <w:abstractNumId w:val="4"/>
  </w:num>
  <w:num w:numId="4" w16cid:durableId="2014792791">
    <w:abstractNumId w:val="1"/>
  </w:num>
  <w:num w:numId="5" w16cid:durableId="1726875682">
    <w:abstractNumId w:val="14"/>
  </w:num>
  <w:num w:numId="6" w16cid:durableId="1211772395">
    <w:abstractNumId w:val="11"/>
  </w:num>
  <w:num w:numId="7" w16cid:durableId="2105571455">
    <w:abstractNumId w:val="7"/>
  </w:num>
  <w:num w:numId="8" w16cid:durableId="1455636402">
    <w:abstractNumId w:val="8"/>
  </w:num>
  <w:num w:numId="9" w16cid:durableId="1726563947">
    <w:abstractNumId w:val="13"/>
  </w:num>
  <w:num w:numId="10" w16cid:durableId="881674324">
    <w:abstractNumId w:val="6"/>
  </w:num>
  <w:num w:numId="11" w16cid:durableId="1263535612">
    <w:abstractNumId w:val="10"/>
  </w:num>
  <w:num w:numId="12" w16cid:durableId="800684159">
    <w:abstractNumId w:val="0"/>
  </w:num>
  <w:num w:numId="13" w16cid:durableId="303119490">
    <w:abstractNumId w:val="5"/>
  </w:num>
  <w:num w:numId="14" w16cid:durableId="1341928499">
    <w:abstractNumId w:val="12"/>
  </w:num>
  <w:num w:numId="15" w16cid:durableId="995916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4B2D"/>
    <w:rsid w:val="00015EBD"/>
    <w:rsid w:val="0003174D"/>
    <w:rsid w:val="00046E01"/>
    <w:rsid w:val="0005397F"/>
    <w:rsid w:val="000712DC"/>
    <w:rsid w:val="000C4B4F"/>
    <w:rsid w:val="000C5523"/>
    <w:rsid w:val="000D7176"/>
    <w:rsid w:val="0011503E"/>
    <w:rsid w:val="00173189"/>
    <w:rsid w:val="0018551F"/>
    <w:rsid w:val="00195400"/>
    <w:rsid w:val="001A10B6"/>
    <w:rsid w:val="001C2114"/>
    <w:rsid w:val="001C4726"/>
    <w:rsid w:val="001D433C"/>
    <w:rsid w:val="001D7BBE"/>
    <w:rsid w:val="001E004B"/>
    <w:rsid w:val="001F2A5D"/>
    <w:rsid w:val="001F3396"/>
    <w:rsid w:val="001F39C9"/>
    <w:rsid w:val="0021131F"/>
    <w:rsid w:val="0024688B"/>
    <w:rsid w:val="002847B4"/>
    <w:rsid w:val="0029442A"/>
    <w:rsid w:val="002D58BF"/>
    <w:rsid w:val="00324E6B"/>
    <w:rsid w:val="003278F4"/>
    <w:rsid w:val="00373ED8"/>
    <w:rsid w:val="003857F7"/>
    <w:rsid w:val="003B7A7F"/>
    <w:rsid w:val="003C37B8"/>
    <w:rsid w:val="003E1200"/>
    <w:rsid w:val="003E3993"/>
    <w:rsid w:val="00401A8A"/>
    <w:rsid w:val="0040640F"/>
    <w:rsid w:val="00414101"/>
    <w:rsid w:val="00414D83"/>
    <w:rsid w:val="004170C7"/>
    <w:rsid w:val="00462F60"/>
    <w:rsid w:val="004762EA"/>
    <w:rsid w:val="00497E0B"/>
    <w:rsid w:val="004B7B90"/>
    <w:rsid w:val="004C4367"/>
    <w:rsid w:val="004D1876"/>
    <w:rsid w:val="004D6D84"/>
    <w:rsid w:val="004E7AF3"/>
    <w:rsid w:val="004E7B81"/>
    <w:rsid w:val="004F4474"/>
    <w:rsid w:val="00503AAC"/>
    <w:rsid w:val="00534EC5"/>
    <w:rsid w:val="00565D70"/>
    <w:rsid w:val="00570C88"/>
    <w:rsid w:val="00574D7A"/>
    <w:rsid w:val="005A4D4B"/>
    <w:rsid w:val="005A6A96"/>
    <w:rsid w:val="005D2C0C"/>
    <w:rsid w:val="005D2FE1"/>
    <w:rsid w:val="005F15BB"/>
    <w:rsid w:val="00602CF2"/>
    <w:rsid w:val="00606638"/>
    <w:rsid w:val="0061500B"/>
    <w:rsid w:val="00635FAE"/>
    <w:rsid w:val="00640F68"/>
    <w:rsid w:val="00647F97"/>
    <w:rsid w:val="00652F4C"/>
    <w:rsid w:val="00656548"/>
    <w:rsid w:val="00692309"/>
    <w:rsid w:val="00697A37"/>
    <w:rsid w:val="006A13B2"/>
    <w:rsid w:val="006A7DD6"/>
    <w:rsid w:val="006B4033"/>
    <w:rsid w:val="006B4247"/>
    <w:rsid w:val="006D6B34"/>
    <w:rsid w:val="006E11B2"/>
    <w:rsid w:val="006F3000"/>
    <w:rsid w:val="00712682"/>
    <w:rsid w:val="00713A31"/>
    <w:rsid w:val="00714873"/>
    <w:rsid w:val="00723A34"/>
    <w:rsid w:val="00727480"/>
    <w:rsid w:val="00731A90"/>
    <w:rsid w:val="0077603D"/>
    <w:rsid w:val="00782F33"/>
    <w:rsid w:val="007844D0"/>
    <w:rsid w:val="00784EE8"/>
    <w:rsid w:val="00793277"/>
    <w:rsid w:val="00794E47"/>
    <w:rsid w:val="007B274F"/>
    <w:rsid w:val="007B2ABC"/>
    <w:rsid w:val="007C6837"/>
    <w:rsid w:val="007D1404"/>
    <w:rsid w:val="007E3A41"/>
    <w:rsid w:val="007E5FB2"/>
    <w:rsid w:val="007F2127"/>
    <w:rsid w:val="00805511"/>
    <w:rsid w:val="00807C1A"/>
    <w:rsid w:val="008164C7"/>
    <w:rsid w:val="00817925"/>
    <w:rsid w:val="00821EB5"/>
    <w:rsid w:val="0084552F"/>
    <w:rsid w:val="0086426A"/>
    <w:rsid w:val="00876F23"/>
    <w:rsid w:val="00885D3D"/>
    <w:rsid w:val="008873E8"/>
    <w:rsid w:val="00894601"/>
    <w:rsid w:val="0089553C"/>
    <w:rsid w:val="008B1202"/>
    <w:rsid w:val="008D4612"/>
    <w:rsid w:val="008D7920"/>
    <w:rsid w:val="008F53AC"/>
    <w:rsid w:val="00927E84"/>
    <w:rsid w:val="009427FF"/>
    <w:rsid w:val="00967A7E"/>
    <w:rsid w:val="009778B4"/>
    <w:rsid w:val="0099128A"/>
    <w:rsid w:val="00994D3E"/>
    <w:rsid w:val="009A17DB"/>
    <w:rsid w:val="009A6AB2"/>
    <w:rsid w:val="009B59C0"/>
    <w:rsid w:val="009B6429"/>
    <w:rsid w:val="009D03FF"/>
    <w:rsid w:val="009D2490"/>
    <w:rsid w:val="009E60FB"/>
    <w:rsid w:val="009E7B87"/>
    <w:rsid w:val="009F4532"/>
    <w:rsid w:val="00A52DBA"/>
    <w:rsid w:val="00A63E49"/>
    <w:rsid w:val="00A658D8"/>
    <w:rsid w:val="00A700DA"/>
    <w:rsid w:val="00AA35E1"/>
    <w:rsid w:val="00AD251A"/>
    <w:rsid w:val="00AD2B69"/>
    <w:rsid w:val="00AD4167"/>
    <w:rsid w:val="00AE1BD5"/>
    <w:rsid w:val="00AF79FB"/>
    <w:rsid w:val="00B0375D"/>
    <w:rsid w:val="00B10B89"/>
    <w:rsid w:val="00B26610"/>
    <w:rsid w:val="00B415D0"/>
    <w:rsid w:val="00B46EDD"/>
    <w:rsid w:val="00B662BE"/>
    <w:rsid w:val="00B723D8"/>
    <w:rsid w:val="00B733BC"/>
    <w:rsid w:val="00B81846"/>
    <w:rsid w:val="00B92CD6"/>
    <w:rsid w:val="00BA19E0"/>
    <w:rsid w:val="00BA29C4"/>
    <w:rsid w:val="00BA7EBA"/>
    <w:rsid w:val="00BC5E05"/>
    <w:rsid w:val="00BD1294"/>
    <w:rsid w:val="00BD18FD"/>
    <w:rsid w:val="00BE6ED9"/>
    <w:rsid w:val="00BF402A"/>
    <w:rsid w:val="00BF48CF"/>
    <w:rsid w:val="00C03368"/>
    <w:rsid w:val="00C2633A"/>
    <w:rsid w:val="00C46EA0"/>
    <w:rsid w:val="00C51500"/>
    <w:rsid w:val="00C56B13"/>
    <w:rsid w:val="00C57217"/>
    <w:rsid w:val="00C806D4"/>
    <w:rsid w:val="00C96990"/>
    <w:rsid w:val="00CA6A95"/>
    <w:rsid w:val="00CA7FE2"/>
    <w:rsid w:val="00CC3F8A"/>
    <w:rsid w:val="00CF04ED"/>
    <w:rsid w:val="00CF552E"/>
    <w:rsid w:val="00D10113"/>
    <w:rsid w:val="00D25841"/>
    <w:rsid w:val="00D37648"/>
    <w:rsid w:val="00D664A3"/>
    <w:rsid w:val="00D807AF"/>
    <w:rsid w:val="00D93866"/>
    <w:rsid w:val="00DA025B"/>
    <w:rsid w:val="00DA0EE4"/>
    <w:rsid w:val="00DA5F2E"/>
    <w:rsid w:val="00DB04B6"/>
    <w:rsid w:val="00E0112B"/>
    <w:rsid w:val="00E02B58"/>
    <w:rsid w:val="00E26D96"/>
    <w:rsid w:val="00E410C0"/>
    <w:rsid w:val="00E47BDF"/>
    <w:rsid w:val="00E5596D"/>
    <w:rsid w:val="00E72F1F"/>
    <w:rsid w:val="00EB131A"/>
    <w:rsid w:val="00ED4524"/>
    <w:rsid w:val="00ED4E2C"/>
    <w:rsid w:val="00F10B49"/>
    <w:rsid w:val="00F24BF7"/>
    <w:rsid w:val="00F31498"/>
    <w:rsid w:val="00F3253F"/>
    <w:rsid w:val="00F602C0"/>
    <w:rsid w:val="00F73DD8"/>
    <w:rsid w:val="00F80067"/>
    <w:rsid w:val="00F844D6"/>
    <w:rsid w:val="00F96342"/>
    <w:rsid w:val="00F9659A"/>
    <w:rsid w:val="00FE3820"/>
    <w:rsid w:val="00FF16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795CDD"/>
  <w15:chartTrackingRefBased/>
  <w15:docId w15:val="{2C903A0C-50EC-4721-BC8D-A0599F80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9,Times 10 Point,Voetnootverwijzing,fr,note TESI"/>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ootnote Text Char,Footnote Text Char Char Char,Footnote Text Char Char Char Char Char,Footnote Text Char Char Char Char Char Char Char Char Char Char Char Char Char Char Char Char Char Char,Footnote Text Char1 Char Char Char,fn Char"/>
    <w:basedOn w:val="Normal"/>
    <w:link w:val="FootnoteTextChar1"/>
    <w:rsid w:val="004D1876"/>
    <w:pPr>
      <w:widowControl/>
    </w:pPr>
    <w:rPr>
      <w:rFonts w:ascii="Times New Roman" w:hAnsi="Times New Roman"/>
      <w:snapToGrid/>
      <w:sz w:val="20"/>
    </w:rPr>
  </w:style>
  <w:style w:type="character" w:customStyle="1" w:styleId="FootnoteTextChar1">
    <w:name w:val="Footnote Text Char1"/>
    <w:aliases w:val="Footnote Text Char Char,Footnote Text Char Char Char Char,Footnote Text Char Char Char Char Char Char,Footnote Text Char Char Char Char Char Char Char Char Char Char Char Char Char Char Char Char Char Char Char,fn Char Char"/>
    <w:link w:val="FootnoteText"/>
    <w:semiHidden/>
    <w:locked/>
    <w:rsid w:val="004D1876"/>
    <w:rPr>
      <w:lang w:val="en-US" w:eastAsia="en-US" w:bidi="ar-SA"/>
    </w:rPr>
  </w:style>
  <w:style w:type="paragraph" w:styleId="NormalWeb">
    <w:name w:val="Normal (Web)"/>
    <w:basedOn w:val="Normal"/>
    <w:rsid w:val="004D1876"/>
    <w:pPr>
      <w:widowControl/>
      <w:spacing w:before="100" w:beforeAutospacing="1" w:after="100" w:afterAutospacing="1"/>
    </w:pPr>
    <w:rPr>
      <w:rFonts w:ascii="Times New Roman" w:hAnsi="Times New Roman"/>
      <w:snapToGrid/>
      <w:szCs w:val="24"/>
    </w:rPr>
  </w:style>
  <w:style w:type="paragraph" w:styleId="NoSpacing">
    <w:name w:val="No Spacing"/>
    <w:qFormat/>
    <w:rsid w:val="004D1876"/>
    <w:rPr>
      <w:rFonts w:ascii="Calibri" w:hAnsi="Calibri"/>
      <w:sz w:val="22"/>
      <w:szCs w:val="22"/>
    </w:rPr>
  </w:style>
  <w:style w:type="paragraph" w:styleId="ListParagraph">
    <w:name w:val="List Paragraph"/>
    <w:basedOn w:val="Normal"/>
    <w:qFormat/>
    <w:rsid w:val="004D1876"/>
    <w:pPr>
      <w:widowControl/>
      <w:ind w:left="720"/>
      <w:contextualSpacing/>
    </w:pPr>
    <w:rPr>
      <w:rFonts w:ascii="Times New Roman" w:hAnsi="Times New Roman"/>
      <w:snapToGrid/>
      <w:szCs w:val="22"/>
    </w:rPr>
  </w:style>
  <w:style w:type="paragraph" w:styleId="CommentText">
    <w:name w:val="annotation text"/>
    <w:basedOn w:val="Normal"/>
    <w:link w:val="CommentTextChar"/>
    <w:rsid w:val="005D2FE1"/>
    <w:pPr>
      <w:widowControl/>
    </w:pPr>
    <w:rPr>
      <w:rFonts w:ascii="Times New Roman" w:hAnsi="Times New Roman"/>
      <w:snapToGrid/>
      <w:sz w:val="20"/>
    </w:rPr>
  </w:style>
  <w:style w:type="character" w:styleId="CommentReference">
    <w:name w:val="annotation reference"/>
    <w:rsid w:val="005D2FE1"/>
    <w:rPr>
      <w:rFonts w:ascii="Times New Roman" w:hAnsi="Times New Roman" w:cs="Times New Roman"/>
      <w:sz w:val="16"/>
    </w:rPr>
  </w:style>
  <w:style w:type="character" w:customStyle="1" w:styleId="CommentTextChar">
    <w:name w:val="Comment Text Char"/>
    <w:link w:val="CommentText"/>
    <w:locked/>
    <w:rsid w:val="005D2FE1"/>
    <w:rPr>
      <w:lang w:val="en-US" w:eastAsia="en-US" w:bidi="ar-SA"/>
    </w:rPr>
  </w:style>
  <w:style w:type="character" w:customStyle="1" w:styleId="documentbody1">
    <w:name w:val="documentbody1"/>
    <w:rsid w:val="005D2FE1"/>
    <w:rPr>
      <w:rFonts w:ascii="Verdana" w:hAnsi="Verdana"/>
      <w:sz w:val="19"/>
    </w:rPr>
  </w:style>
  <w:style w:type="paragraph" w:styleId="CommentSubject">
    <w:name w:val="annotation subject"/>
    <w:basedOn w:val="CommentText"/>
    <w:next w:val="CommentText"/>
    <w:link w:val="CommentSubjectChar"/>
    <w:rsid w:val="00C46EA0"/>
    <w:pPr>
      <w:widowControl w:val="0"/>
    </w:pPr>
    <w:rPr>
      <w:rFonts w:ascii="Courier" w:hAnsi="Courier"/>
      <w:b/>
      <w:bCs/>
      <w:snapToGrid w:val="0"/>
    </w:rPr>
  </w:style>
  <w:style w:type="character" w:customStyle="1" w:styleId="CommentSubjectChar">
    <w:name w:val="Comment Subject Char"/>
    <w:link w:val="CommentSubject"/>
    <w:rsid w:val="00C46EA0"/>
    <w:rPr>
      <w:rFonts w:ascii="Courier" w:hAnsi="Courier"/>
      <w:b/>
      <w:bCs/>
      <w:snapToGrid w:val="0"/>
      <w:lang w:val="en-US" w:eastAsia="en-US" w:bidi="ar-SA"/>
    </w:rPr>
  </w:style>
  <w:style w:type="table" w:customStyle="1" w:styleId="TableGrid1">
    <w:name w:val="Table Grid1"/>
    <w:basedOn w:val="TableNormal"/>
    <w:next w:val="TableGrid"/>
    <w:uiPriority w:val="59"/>
    <w:rsid w:val="002847B4"/>
    <w:pPr>
      <w:jc w:val="both"/>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8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47B4"/>
    <w:rPr>
      <w:rFonts w:ascii="Courier" w:hAnsi="Courier"/>
      <w:snapToGrid w:val="0"/>
      <w:sz w:val="24"/>
    </w:rPr>
  </w:style>
  <w:style w:type="paragraph" w:styleId="BodyTextIndent">
    <w:name w:val="Body Text Indent"/>
    <w:basedOn w:val="Normal"/>
    <w:link w:val="BodyTextIndentChar"/>
    <w:rsid w:val="00D807AF"/>
    <w:pPr>
      <w:ind w:left="720"/>
    </w:pPr>
    <w:rPr>
      <w:rFonts w:ascii="Times New Roman" w:hAnsi="Times New Roman"/>
    </w:rPr>
  </w:style>
  <w:style w:type="character" w:customStyle="1" w:styleId="BodyTextIndentChar">
    <w:name w:val="Body Text Indent Char"/>
    <w:link w:val="BodyTextIndent"/>
    <w:rsid w:val="00D807AF"/>
    <w:rPr>
      <w:snapToGrid w:val="0"/>
      <w:sz w:val="24"/>
    </w:rPr>
  </w:style>
  <w:style w:type="paragraph" w:styleId="BlockText">
    <w:name w:val="Block Text"/>
    <w:basedOn w:val="Normal"/>
    <w:rsid w:val="00DB04B6"/>
    <w:pPr>
      <w:widowControl/>
      <w:tabs>
        <w:tab w:val="left" w:pos="-240"/>
        <w:tab w:val="left" w:pos="480"/>
        <w:tab w:val="left" w:pos="1080"/>
        <w:tab w:val="left" w:pos="1680"/>
        <w:tab w:val="left" w:pos="2280"/>
        <w:tab w:val="left" w:pos="2880"/>
        <w:tab w:val="left" w:pos="3600"/>
        <w:tab w:val="left" w:pos="4320"/>
        <w:tab w:val="left" w:pos="5040"/>
        <w:tab w:val="left" w:pos="5760"/>
        <w:tab w:val="right" w:pos="6480"/>
        <w:tab w:val="left" w:pos="7200"/>
        <w:tab w:val="left" w:pos="7920"/>
      </w:tabs>
      <w:ind w:left="1080" w:right="960"/>
    </w:pPr>
    <w:rPr>
      <w:rFonts w:ascii="Times New Roman" w:hAnsi="Times New Roman"/>
    </w:rPr>
  </w:style>
  <w:style w:type="paragraph" w:styleId="BodyText">
    <w:name w:val="Body Text"/>
    <w:basedOn w:val="Normal"/>
    <w:link w:val="BodyTextChar"/>
    <w:rsid w:val="0077603D"/>
    <w:pPr>
      <w:spacing w:after="120"/>
    </w:pPr>
  </w:style>
  <w:style w:type="character" w:customStyle="1" w:styleId="BodyTextChar">
    <w:name w:val="Body Text Char"/>
    <w:link w:val="BodyText"/>
    <w:rsid w:val="0077603D"/>
    <w:rPr>
      <w:rFonts w:ascii="Courier" w:hAnsi="Courier"/>
      <w:snapToGrid w:val="0"/>
      <w:sz w:val="24"/>
    </w:rPr>
  </w:style>
  <w:style w:type="paragraph" w:customStyle="1" w:styleId="psection-2">
    <w:name w:val="psection-2"/>
    <w:basedOn w:val="Normal"/>
    <w:rsid w:val="00DA0EE4"/>
    <w:pPr>
      <w:widowControl/>
      <w:spacing w:before="100" w:beforeAutospacing="1" w:after="100" w:afterAutospacing="1"/>
    </w:pPr>
    <w:rPr>
      <w:rFonts w:ascii="Times New Roman" w:hAnsi="Times New Roman"/>
      <w:snapToGrid/>
      <w:szCs w:val="24"/>
    </w:rPr>
  </w:style>
  <w:style w:type="character" w:customStyle="1" w:styleId="enumxml">
    <w:name w:val="enumxml"/>
    <w:rsid w:val="00DA0EE4"/>
  </w:style>
  <w:style w:type="character" w:styleId="Hyperlink">
    <w:name w:val="Hyperlink"/>
    <w:uiPriority w:val="99"/>
    <w:unhideWhenUsed/>
    <w:rsid w:val="00DA0EE4"/>
    <w:rPr>
      <w:color w:val="0000FF"/>
      <w:u w:val="single"/>
    </w:rPr>
  </w:style>
  <w:style w:type="paragraph" w:customStyle="1" w:styleId="psection-3">
    <w:name w:val="psection-3"/>
    <w:basedOn w:val="Normal"/>
    <w:rsid w:val="00DA0EE4"/>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F7128-2D27-4F29-99FD-93CE487558E6}">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Meiers, Robert M.</cp:lastModifiedBy>
  <cp:revision>2</cp:revision>
  <dcterms:created xsi:type="dcterms:W3CDTF">2026-02-19T18:34:00Z</dcterms:created>
  <dcterms:modified xsi:type="dcterms:W3CDTF">2026-02-19T18:34:00Z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d264a42c-64c2-4b22-831c-4b37165c77b4</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2025-04-14T13:58:19Z</vt:lpwstr>
  </property>
  <property fmtid="{D5CDD505-2E9C-101B-9397-08002B2CF9AE}" pid="8" name="MSIP_Label_3be8ab8c-433c-4394-a4fb-cd2d5c4d0a5e_SiteId">
    <vt:lpwstr>26c83bc9-31c1-4d77-a523-0816095aba31</vt:lpwstr>
  </property>
  <property fmtid="{D5CDD505-2E9C-101B-9397-08002B2CF9AE}" pid="9" name="MSIP_Label_3be8ab8c-433c-4394-a4fb-cd2d5c4d0a5e_Tag">
    <vt:lpwstr>10, 0, 1, 1</vt:lpwstr>
  </property>
</Properties>
</file>