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3A58" w:rsidP="00A076F6" w14:paraId="58F49946" w14:textId="77777777">
      <w:pPr>
        <w:tabs>
          <w:tab w:val="center" w:pos="4680"/>
        </w:tabs>
        <w:jc w:val="center"/>
        <w:rPr>
          <w:rFonts w:ascii="Times New Roman TUR" w:hAnsi="Times New Roman TUR" w:cs="Times New Roman TUR"/>
          <w:bCs/>
          <w:caps/>
        </w:rPr>
      </w:pPr>
      <w:r w:rsidRPr="00A83B4A">
        <w:rPr>
          <w:rFonts w:ascii="Times New Roman TUR" w:hAnsi="Times New Roman TUR" w:cs="Times New Roman TUR"/>
          <w:bCs/>
          <w:caps/>
        </w:rPr>
        <w:t xml:space="preserve">Supporting Statement </w:t>
      </w:r>
    </w:p>
    <w:p w:rsidR="00A83B4A" w:rsidRPr="00A83B4A" w:rsidP="00A076F6" w14:paraId="3AA9018D" w14:textId="77777777">
      <w:pPr>
        <w:tabs>
          <w:tab w:val="center" w:pos="4680"/>
        </w:tabs>
        <w:jc w:val="center"/>
        <w:rPr>
          <w:rFonts w:ascii="Times New Roman TUR" w:hAnsi="Times New Roman TUR" w:cs="Times New Roman TUR"/>
          <w:bCs/>
          <w:caps/>
        </w:rPr>
      </w:pPr>
    </w:p>
    <w:p w:rsidR="00112CE4" w:rsidP="00A076F6" w14:paraId="00AD4004" w14:textId="77777777">
      <w:pPr>
        <w:tabs>
          <w:tab w:val="center" w:pos="4680"/>
        </w:tabs>
        <w:jc w:val="center"/>
        <w:rPr>
          <w:rFonts w:ascii="Times New Roman TUR" w:hAnsi="Times New Roman TUR" w:cs="Times New Roman TUR"/>
          <w:bCs/>
        </w:rPr>
      </w:pPr>
      <w:r>
        <w:rPr>
          <w:rFonts w:ascii="Times New Roman TUR" w:hAnsi="Times New Roman TUR" w:cs="Times New Roman TUR"/>
          <w:bCs/>
        </w:rPr>
        <w:t>Stress Testing Recordkeeping and Reporting</w:t>
      </w:r>
    </w:p>
    <w:p w:rsidR="00022C7E" w:rsidRPr="00647F97" w:rsidP="00A076F6" w14:paraId="117D7900" w14:textId="77777777">
      <w:pPr>
        <w:tabs>
          <w:tab w:val="center" w:pos="4680"/>
        </w:tabs>
        <w:jc w:val="center"/>
        <w:rPr>
          <w:rFonts w:ascii="Times New Roman TUR" w:hAnsi="Times New Roman TUR" w:cs="Times New Roman TUR"/>
          <w:bCs/>
        </w:rPr>
      </w:pPr>
      <w:r w:rsidRPr="00647F97">
        <w:rPr>
          <w:rFonts w:ascii="Times New Roman TUR" w:hAnsi="Times New Roman TUR" w:cs="Times New Roman TUR"/>
          <w:bCs/>
        </w:rPr>
        <w:t>OMB Control No.</w:t>
      </w:r>
      <w:r w:rsidRPr="00647F97" w:rsidR="00F964BD">
        <w:rPr>
          <w:rFonts w:ascii="Times New Roman TUR" w:hAnsi="Times New Roman TUR" w:cs="Times New Roman TUR"/>
          <w:bCs/>
        </w:rPr>
        <w:t xml:space="preserve"> 3064-</w:t>
      </w:r>
      <w:r w:rsidRPr="00647F97" w:rsidR="004A6242">
        <w:rPr>
          <w:rFonts w:ascii="Times New Roman TUR" w:hAnsi="Times New Roman TUR" w:cs="Times New Roman TUR"/>
          <w:bCs/>
        </w:rPr>
        <w:t>0189</w:t>
      </w:r>
      <w:r w:rsidRPr="00647F97">
        <w:rPr>
          <w:rFonts w:ascii="Times New Roman TUR" w:hAnsi="Times New Roman TUR" w:cs="Times New Roman TUR"/>
          <w:bCs/>
        </w:rPr>
        <w:t xml:space="preserve"> </w:t>
      </w:r>
    </w:p>
    <w:p w:rsidR="00933A58" w:rsidRPr="000E6251" w:rsidP="00A076F6" w14:paraId="1597BA8A" w14:textId="77777777">
      <w:pPr>
        <w:pStyle w:val="Footer"/>
        <w:tabs>
          <w:tab w:val="clear" w:pos="4320"/>
          <w:tab w:val="clear" w:pos="8640"/>
        </w:tabs>
        <w:rPr>
          <w:rFonts w:ascii="Times New Roman TUR" w:hAnsi="Times New Roman TUR" w:cs="Times New Roman TUR"/>
        </w:rPr>
      </w:pPr>
    </w:p>
    <w:p w:rsidR="00933A58" w:rsidRPr="00647F97" w:rsidP="00A076F6" w14:paraId="78DBEE53" w14:textId="77777777">
      <w:pPr>
        <w:pStyle w:val="Footer"/>
        <w:tabs>
          <w:tab w:val="clear" w:pos="4320"/>
          <w:tab w:val="clear" w:pos="8640"/>
        </w:tabs>
        <w:rPr>
          <w:rFonts w:ascii="Times New Roman TUR" w:hAnsi="Times New Roman TUR" w:cs="Times New Roman TUR"/>
        </w:rPr>
      </w:pPr>
    </w:p>
    <w:p w:rsidR="0078042F" w:rsidRPr="0078042F" w:rsidP="0078042F" w14:paraId="2852D27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TUR" w:hAnsi="Times New Roman TUR" w:cs="Times New Roman TUR"/>
          <w:bCs/>
          <w:u w:val="single"/>
        </w:rPr>
      </w:pPr>
      <w:r>
        <w:rPr>
          <w:snapToGrid w:val="0"/>
        </w:rPr>
        <w:tab/>
      </w:r>
      <w:r w:rsidRPr="0078042F">
        <w:rPr>
          <w:snapToGrid w:val="0"/>
          <w:u w:val="single"/>
        </w:rPr>
        <w:t>INTRODUCTION</w:t>
      </w:r>
    </w:p>
    <w:p w:rsidR="00933A58" w:rsidRPr="00647F97" w:rsidP="00A076F6" w14:paraId="0C60D51B" w14:textId="77777777">
      <w:pPr>
        <w:rPr>
          <w:rFonts w:ascii="Times New Roman TUR" w:hAnsi="Times New Roman TUR" w:cs="Times New Roman TUR"/>
          <w:bCs/>
        </w:rPr>
      </w:pPr>
    </w:p>
    <w:p w:rsidR="007942BA" w:rsidRPr="007942BA" w:rsidP="007942BA" w14:paraId="79DC3749" w14:textId="66DABE73">
      <w:pPr>
        <w:ind w:left="720"/>
      </w:pPr>
      <w:r w:rsidRPr="007942BA">
        <w:t xml:space="preserve">The Federal Deposit Insurance Corporation (FDIC) is requesting a three-year extension, without change, of the </w:t>
      </w:r>
      <w:r>
        <w:t xml:space="preserve">Stress Testing Recordkeeping and Reporting </w:t>
      </w:r>
      <w:r w:rsidRPr="007942BA">
        <w:t xml:space="preserve">information collection </w:t>
      </w:r>
      <w:r>
        <w:t>(OMB No. 3064-0189</w:t>
      </w:r>
      <w:r w:rsidRPr="007942BA">
        <w:t xml:space="preserve">).  </w:t>
      </w:r>
      <w:r>
        <w:t>This ICR contains information collections (ICs) corresponding to regulatory requirements for mandatory stress testing for FDIC-supervised insured depository institutions (IDIs) with average total consolidated assets exceeding $250 billion (covered banks)</w:t>
      </w:r>
      <w:r>
        <w:rPr>
          <w:rStyle w:val="FootnoteReference"/>
        </w:rPr>
        <w:footnoteReference w:id="2"/>
      </w:r>
      <w:r>
        <w:t>, as well as guidance for voluntary stress testing for FDIC-supervised IDIs with total consolidated assets exceeding $10 billion</w:t>
      </w:r>
      <w:r>
        <w:rPr>
          <w:rStyle w:val="FootnoteReference"/>
        </w:rPr>
        <w:footnoteReference w:id="3"/>
      </w:r>
      <w:r>
        <w:t xml:space="preserve">. </w:t>
      </w:r>
      <w:r w:rsidRPr="007942BA">
        <w:t xml:space="preserve">The current clearance for the collection expires on </w:t>
      </w:r>
      <w:r w:rsidR="00952ABD">
        <w:t>February</w:t>
      </w:r>
      <w:r w:rsidR="00EA2DF9">
        <w:t xml:space="preserve"> 28, 2026</w:t>
      </w:r>
      <w:r w:rsidRPr="007942BA">
        <w:t>.</w:t>
      </w:r>
    </w:p>
    <w:p w:rsidR="0078042F" w:rsidP="0078042F" w14:paraId="1041DA7E" w14:textId="77777777">
      <w:pPr>
        <w:ind w:firstLine="720"/>
      </w:pPr>
    </w:p>
    <w:p w:rsidR="004A6242" w:rsidP="0078042F" w14:paraId="4967C7B3" w14:textId="77777777">
      <w:pPr>
        <w:ind w:firstLine="720"/>
        <w:rPr>
          <w:rFonts w:ascii="Times New Roman TUR" w:hAnsi="Times New Roman TUR" w:cs="Times New Roman TUR"/>
          <w:bCs/>
        </w:rPr>
      </w:pPr>
      <w:r>
        <w:t>A.</w:t>
      </w:r>
      <w:r>
        <w:tab/>
      </w:r>
      <w:r>
        <w:rPr>
          <w:u w:val="single"/>
        </w:rPr>
        <w:t>JUSTIFICATION</w:t>
      </w:r>
    </w:p>
    <w:p w:rsidR="0078042F" w:rsidRPr="00647F97" w:rsidP="00A076F6" w14:paraId="2D64F326" w14:textId="77777777">
      <w:pPr>
        <w:rPr>
          <w:rFonts w:ascii="Times New Roman TUR" w:hAnsi="Times New Roman TUR" w:cs="Times New Roman TUR"/>
          <w:bCs/>
        </w:rPr>
      </w:pPr>
    </w:p>
    <w:p w:rsidR="00933A58" w:rsidRPr="00647F97" w:rsidP="0078042F" w14:paraId="14D0B979" w14:textId="77777777">
      <w:pPr>
        <w:ind w:firstLine="720"/>
        <w:rPr>
          <w:rFonts w:ascii="Times New Roman TUR" w:hAnsi="Times New Roman TUR" w:cs="Times New Roman TUR"/>
          <w:bCs/>
          <w:u w:val="single"/>
        </w:rPr>
      </w:pPr>
      <w:r w:rsidRPr="00647F97">
        <w:rPr>
          <w:rFonts w:ascii="Times New Roman TUR" w:hAnsi="Times New Roman TUR" w:cs="Times New Roman TUR"/>
          <w:bCs/>
        </w:rPr>
        <w:t>1.</w:t>
      </w:r>
      <w:r w:rsidRPr="00647F97">
        <w:rPr>
          <w:rFonts w:ascii="Times New Roman TUR" w:hAnsi="Times New Roman TUR" w:cs="Times New Roman TUR"/>
          <w:bCs/>
        </w:rPr>
        <w:tab/>
      </w:r>
      <w:r w:rsidRPr="00647F97">
        <w:rPr>
          <w:rFonts w:ascii="Times New Roman TUR" w:hAnsi="Times New Roman TUR" w:cs="Times New Roman TUR"/>
          <w:bCs/>
          <w:u w:val="single"/>
        </w:rPr>
        <w:t>Circumstances that make the collection necessary:</w:t>
      </w:r>
    </w:p>
    <w:p w:rsidR="00500C85" w:rsidRPr="000E6251" w:rsidP="009B2B1B" w14:paraId="26680112" w14:textId="77777777"/>
    <w:p w:rsidR="00F92960" w:rsidRPr="00F92960" w:rsidP="00F92960" w14:paraId="7EFDC629" w14:textId="77777777">
      <w:pPr>
        <w:ind w:left="720"/>
        <w:rPr>
          <w:szCs w:val="24"/>
          <w:lang w:bidi="en-US"/>
        </w:rPr>
      </w:pPr>
      <w:r w:rsidRPr="00F92960">
        <w:rPr>
          <w:szCs w:val="24"/>
          <w:lang w:bidi="en-US"/>
        </w:rPr>
        <w:t>Section 165(i)(2) of the Dodd-Frank Act requires each primary Federal regulator to issue consistent and comparable regulations to: (1) ensure that certain financial companies conduct stress tests; (2) establish the form and content of the required reports of such stress tests, and (3) require companies to publish a summary of the stress test results. As originally enacted, section 165(i)(2)(C) applied to all IDIs with average total consolidated assets of $10 billion or greater, required such IDIs to conduct</w:t>
      </w:r>
      <w:r w:rsidRPr="00F92960">
        <w:rPr>
          <w:szCs w:val="24"/>
          <w:lang w:bidi="en-US"/>
        </w:rPr>
        <w:t xml:space="preserve"> annual stress tests, and required the use of three scenarios: baseline, adverse, and severely adverse. Consistent with the requirements of section 165(i)(2)(C), as originally enacted, the FDIC published its Final Rule implementing Section 165(i)(2) on October 15, 2012.</w:t>
      </w:r>
      <w:r>
        <w:rPr>
          <w:szCs w:val="24"/>
          <w:vertAlign w:val="superscript"/>
          <w:lang w:bidi="en-US"/>
        </w:rPr>
        <w:footnoteReference w:id="4"/>
      </w:r>
      <w:r w:rsidRPr="00F92960">
        <w:rPr>
          <w:szCs w:val="24"/>
          <w:lang w:bidi="en-US"/>
        </w:rPr>
        <w:t xml:space="preserve"> The requirements under Part 325 applied to FDIC-supervised IDIs with average total consolidated assets of $10 billion or greater.</w:t>
      </w:r>
    </w:p>
    <w:p w:rsidR="00F92960" w:rsidRPr="00F92960" w:rsidP="00F92960" w14:paraId="68A7FCB1" w14:textId="77777777">
      <w:pPr>
        <w:ind w:left="720"/>
        <w:rPr>
          <w:szCs w:val="24"/>
          <w:lang w:bidi="en-US"/>
        </w:rPr>
      </w:pPr>
    </w:p>
    <w:p w:rsidR="00F92960" w:rsidRPr="00F92960" w:rsidP="00F92960" w14:paraId="0F95FE6D" w14:textId="77777777">
      <w:pPr>
        <w:ind w:left="720"/>
        <w:rPr>
          <w:szCs w:val="24"/>
          <w:lang w:bidi="en-US"/>
        </w:rPr>
      </w:pPr>
      <w:r w:rsidRPr="00F92960">
        <w:rPr>
          <w:szCs w:val="24"/>
          <w:lang w:bidi="en-US"/>
        </w:rPr>
        <w:t>The Economic Growth, Regulatory Relief, and Consumer Protection Act (EGRRCPA), enacted on May 24, 2018, amended certain aspects of the company-run stress-testing requirements in section 165(i)(2) of the Dodd-Frank Act.  Specifically, section 401 of EGRRCPA raises the minimum asset threshold from $10 billion</w:t>
      </w:r>
      <w:r>
        <w:rPr>
          <w:szCs w:val="24"/>
          <w:vertAlign w:val="superscript"/>
          <w:lang w:bidi="en-US"/>
        </w:rPr>
        <w:footnoteReference w:id="5"/>
      </w:r>
      <w:r w:rsidRPr="00F92960">
        <w:rPr>
          <w:szCs w:val="24"/>
          <w:lang w:bidi="en-US"/>
        </w:rPr>
        <w:t xml:space="preserve"> to $250 billion</w:t>
      </w:r>
      <w:r>
        <w:rPr>
          <w:szCs w:val="24"/>
          <w:vertAlign w:val="superscript"/>
          <w:lang w:bidi="en-US"/>
        </w:rPr>
        <w:footnoteReference w:id="6"/>
      </w:r>
      <w:r w:rsidRPr="00F92960">
        <w:rPr>
          <w:szCs w:val="24"/>
          <w:lang w:bidi="en-US"/>
        </w:rPr>
        <w:t xml:space="preserve">; </w:t>
      </w:r>
      <w:r w:rsidRPr="00F92960">
        <w:rPr>
          <w:szCs w:val="24"/>
          <w:lang w:bidi="en-US"/>
        </w:rPr>
        <w:t xml:space="preserve">replaces the requirement for covered banks to conduct stress tests “annually” with the requirement to conduct stress tests “periodically;” and no longer requires the “adverse” stress-testing scenario, thus reducing the number of required stress test scenarios from three to two. EGRRCPA also </w:t>
      </w:r>
      <w:r w:rsidR="008D6FD4">
        <w:rPr>
          <w:szCs w:val="24"/>
          <w:lang w:bidi="en-US"/>
        </w:rPr>
        <w:t>made</w:t>
      </w:r>
      <w:r w:rsidRPr="00F92960">
        <w:rPr>
          <w:szCs w:val="24"/>
          <w:lang w:bidi="en-US"/>
        </w:rPr>
        <w:t xml:space="preserve"> certain conforming and technical changes that were previously included in an April 2018 notice of proposed rulemaking</w:t>
      </w:r>
      <w:r>
        <w:rPr>
          <w:szCs w:val="24"/>
          <w:vertAlign w:val="superscript"/>
          <w:lang w:bidi="en-US"/>
        </w:rPr>
        <w:footnoteReference w:id="7"/>
      </w:r>
      <w:r w:rsidRPr="00F92960">
        <w:rPr>
          <w:szCs w:val="24"/>
          <w:lang w:bidi="en-US"/>
        </w:rPr>
        <w:t xml:space="preserve"> that was superseded, in part, by the enactment of EGRRCPA. The EGRRCPA amendments to the section 165(i)(2) stress testing requirements became effective eighteen months after enactment. </w:t>
      </w:r>
    </w:p>
    <w:p w:rsidR="00F92960" w:rsidRPr="00F92960" w:rsidP="00F92960" w14:paraId="084E5333" w14:textId="77777777">
      <w:pPr>
        <w:ind w:left="720"/>
        <w:rPr>
          <w:szCs w:val="24"/>
          <w:lang w:bidi="en-US"/>
        </w:rPr>
      </w:pPr>
    </w:p>
    <w:p w:rsidR="00F92960" w:rsidRPr="00F92960" w:rsidP="00F92960" w14:paraId="3FDA7676" w14:textId="77777777">
      <w:pPr>
        <w:ind w:left="720"/>
        <w:rPr>
          <w:szCs w:val="24"/>
          <w:lang w:bidi="en-US"/>
        </w:rPr>
      </w:pPr>
      <w:r w:rsidRPr="00F92960">
        <w:rPr>
          <w:szCs w:val="24"/>
          <w:lang w:bidi="en-US"/>
        </w:rPr>
        <w:t>The FDIC’s Final Rule</w:t>
      </w:r>
      <w:r>
        <w:rPr>
          <w:szCs w:val="24"/>
          <w:vertAlign w:val="superscript"/>
          <w:lang w:bidi="en-US"/>
        </w:rPr>
        <w:footnoteReference w:id="8"/>
      </w:r>
      <w:r w:rsidRPr="00F92960">
        <w:rPr>
          <w:szCs w:val="24"/>
          <w:lang w:bidi="en-US"/>
        </w:rPr>
        <w:t xml:space="preserve"> implementing EGRRCPA specified that, in light of the frequency change from “annually” to “periodically,” stress tests would be conducted biennially, unless the covered bank is consolidated under a bank holding company that is required by Federal Reserve Board to conduct annual stress tests, in which case such IDI subsidiaries are also to conduct annual stress tests.</w:t>
      </w:r>
      <w:r>
        <w:rPr>
          <w:szCs w:val="24"/>
          <w:vertAlign w:val="superscript"/>
          <w:lang w:bidi="en-US"/>
        </w:rPr>
        <w:footnoteReference w:id="9"/>
      </w:r>
      <w:r w:rsidRPr="00F92960">
        <w:rPr>
          <w:szCs w:val="24"/>
          <w:lang w:bidi="en-US"/>
        </w:rPr>
        <w:t xml:space="preserve"> </w:t>
      </w:r>
    </w:p>
    <w:p w:rsidR="00B171C1" w:rsidP="00B171C1" w14:paraId="3AFF69C7" w14:textId="77777777">
      <w:pPr>
        <w:ind w:left="720"/>
        <w:rPr>
          <w:szCs w:val="24"/>
        </w:rPr>
      </w:pPr>
    </w:p>
    <w:p w:rsidR="00D80356" w:rsidRPr="00386D03" w:rsidP="00386D03" w14:paraId="7389DA1F" w14:textId="77777777">
      <w:pPr>
        <w:ind w:left="720"/>
        <w:rPr>
          <w:szCs w:val="24"/>
        </w:rPr>
      </w:pPr>
      <w:r w:rsidRPr="00B171C1">
        <w:rPr>
          <w:szCs w:val="24"/>
        </w:rPr>
        <w:t xml:space="preserve"> </w:t>
      </w:r>
    </w:p>
    <w:p w:rsidR="00933A58" w:rsidRPr="00647F97" w:rsidP="00112CE4" w14:paraId="0A81C782" w14:textId="77777777">
      <w:pPr>
        <w:keepLines/>
        <w:widowControl w:val="0"/>
        <w:ind w:firstLine="720"/>
        <w:rPr>
          <w:rFonts w:ascii="Times New Roman TUR" w:hAnsi="Times New Roman TUR" w:cs="Times New Roman TUR"/>
          <w:bCs/>
          <w:u w:val="single"/>
        </w:rPr>
      </w:pPr>
      <w:r w:rsidRPr="00647F97">
        <w:rPr>
          <w:rFonts w:ascii="Times New Roman TUR" w:hAnsi="Times New Roman TUR" w:cs="Times New Roman TUR"/>
          <w:bCs/>
        </w:rPr>
        <w:t>2.</w:t>
      </w:r>
      <w:r w:rsidRPr="00647F97">
        <w:rPr>
          <w:rFonts w:ascii="Times New Roman TUR" w:hAnsi="Times New Roman TUR" w:cs="Times New Roman TUR"/>
          <w:bCs/>
        </w:rPr>
        <w:tab/>
      </w:r>
      <w:r w:rsidRPr="00647F97">
        <w:rPr>
          <w:rFonts w:ascii="Times New Roman TUR" w:hAnsi="Times New Roman TUR" w:cs="Times New Roman TUR"/>
          <w:bCs/>
          <w:u w:val="single"/>
        </w:rPr>
        <w:t>Use of the information:</w:t>
      </w:r>
    </w:p>
    <w:p w:rsidR="009B2B1B" w:rsidRPr="00647F97" w:rsidP="00A076F6" w14:paraId="2FCF7D9A" w14:textId="77777777">
      <w:pPr>
        <w:rPr>
          <w:rFonts w:ascii="Times New Roman TUR" w:hAnsi="Times New Roman TUR" w:cs="Times New Roman TUR"/>
          <w:bCs/>
          <w:u w:val="single"/>
        </w:rPr>
      </w:pPr>
    </w:p>
    <w:p w:rsidR="008D6FD4" w:rsidRPr="008D6FD4" w:rsidP="008D6FD4" w14:paraId="46123956" w14:textId="77777777">
      <w:pPr>
        <w:pStyle w:val="ListParagraph"/>
        <w:rPr>
          <w:lang w:bidi="en-US"/>
        </w:rPr>
      </w:pPr>
      <w:r w:rsidRPr="008D6FD4">
        <w:rPr>
          <w:lang w:bidi="en-US"/>
        </w:rPr>
        <w:t>The aspects of Part 325 that constitute an information collection are those that require a banking organization to (i) file stress test reports to be filed periodically with the FDIC and the Board of Governors of the Federal Reserve System (the Board) in the time, manner, and form specified by the FDIC (12 CFR Part 325.6); (ii) establish and maintain a system of controls, oversight, and documentation, including policies and procedures that describe the covered bank’s stress test practices and methodologies,</w:t>
      </w:r>
      <w:r w:rsidRPr="008D6FD4">
        <w:rPr>
          <w:lang w:bidi="en-US"/>
        </w:rPr>
        <w:t xml:space="preserve"> as well as processes for updating such bank’s stress test practices, as well as specific calculations that must be made by the banking organization during its stress tests (12 CFR Part 325.5); and (iii) publish a summary of the results of its stress tests (12 CFR Part 325.7).</w:t>
      </w:r>
    </w:p>
    <w:p w:rsidR="008D6FD4" w:rsidP="006017E5" w14:paraId="442E8184" w14:textId="77777777">
      <w:pPr>
        <w:pStyle w:val="ListParagraph"/>
        <w:rPr>
          <w:rFonts w:eastAsia="Times New Roman"/>
          <w:szCs w:val="20"/>
        </w:rPr>
      </w:pPr>
    </w:p>
    <w:p w:rsidR="006017E5" w:rsidRPr="00F259F4" w:rsidP="006017E5" w14:paraId="472B86A9" w14:textId="77777777">
      <w:pPr>
        <w:pStyle w:val="ListParagraph"/>
      </w:pPr>
      <w:r w:rsidRPr="0010214F">
        <w:rPr>
          <w:rFonts w:eastAsia="Times New Roman"/>
          <w:szCs w:val="20"/>
        </w:rPr>
        <w:t>Consistent with past practice, the FDIC intends to use the data collected to assess the reasonableness of the stress test results of covered banks and to provide forward-looking information to the FDIC regarding a covered institution's capital adequacy.  The FDIC also may use the results of the stress tests to determine whether additional analytical techniques and exercises could be appropriate to identify, measure, and monitor risks at the covered bank.  The stress test results are expected to support ongo</w:t>
      </w:r>
      <w:r w:rsidRPr="0010214F">
        <w:rPr>
          <w:rFonts w:eastAsia="Times New Roman"/>
          <w:szCs w:val="20"/>
        </w:rPr>
        <w:t>ing improvement in a covered bank's stress testing practices with respect to its internal assessments of capital adequacy and overall capital planning.</w:t>
      </w:r>
    </w:p>
    <w:p w:rsidR="00933A58" w:rsidRPr="00647F97" w:rsidP="00A076F6" w14:paraId="6BD9D5D6" w14:textId="77777777">
      <w:pPr>
        <w:rPr>
          <w:rFonts w:ascii="Times New Roman TUR" w:hAnsi="Times New Roman TUR" w:cs="Times New Roman TUR"/>
          <w:bCs/>
        </w:rPr>
      </w:pPr>
    </w:p>
    <w:p w:rsidR="00933A58" w:rsidRPr="00647F97" w:rsidP="0078042F" w14:paraId="1EED67C8" w14:textId="77777777">
      <w:pPr>
        <w:ind w:firstLine="720"/>
        <w:rPr>
          <w:rFonts w:ascii="Times New Roman TUR" w:hAnsi="Times New Roman TUR" w:cs="Times New Roman TUR"/>
          <w:bCs/>
        </w:rPr>
      </w:pPr>
      <w:r w:rsidRPr="00647F97">
        <w:rPr>
          <w:rFonts w:ascii="Times New Roman TUR" w:hAnsi="Times New Roman TUR" w:cs="Times New Roman TUR"/>
          <w:bCs/>
        </w:rPr>
        <w:t>3.</w:t>
      </w:r>
      <w:r w:rsidRPr="00647F97">
        <w:rPr>
          <w:rFonts w:ascii="Times New Roman TUR" w:hAnsi="Times New Roman TUR" w:cs="Times New Roman TUR"/>
          <w:bCs/>
        </w:rPr>
        <w:tab/>
      </w:r>
      <w:r w:rsidRPr="00647F97">
        <w:rPr>
          <w:rFonts w:ascii="Times New Roman TUR" w:hAnsi="Times New Roman TUR" w:cs="Times New Roman TUR"/>
          <w:bCs/>
          <w:u w:val="single"/>
        </w:rPr>
        <w:t>Consideration of the use of improved information technology:</w:t>
      </w:r>
    </w:p>
    <w:p w:rsidR="00CF148C" w:rsidP="00C63904" w14:paraId="14B33302" w14:textId="77777777">
      <w:pPr>
        <w:pStyle w:val="BodyText"/>
        <w:ind w:left="720"/>
        <w:rPr>
          <w:iCs/>
          <w:szCs w:val="24"/>
        </w:rPr>
      </w:pPr>
    </w:p>
    <w:p w:rsidR="009E5753" w:rsidRPr="00647F97" w:rsidP="00C63904" w14:paraId="39B894EA" w14:textId="77777777">
      <w:pPr>
        <w:pStyle w:val="BodyText"/>
        <w:ind w:left="720"/>
        <w:rPr>
          <w:iCs/>
          <w:szCs w:val="24"/>
        </w:rPr>
      </w:pPr>
      <w:r w:rsidRPr="00647F97">
        <w:rPr>
          <w:iCs/>
          <w:szCs w:val="24"/>
        </w:rPr>
        <w:t xml:space="preserve">Covered banks may use any information technology that permits review by </w:t>
      </w:r>
      <w:r w:rsidRPr="00647F97" w:rsidR="00377CF9">
        <w:rPr>
          <w:iCs/>
          <w:szCs w:val="24"/>
        </w:rPr>
        <w:t>FDIC</w:t>
      </w:r>
      <w:r w:rsidRPr="00647F97">
        <w:rPr>
          <w:iCs/>
          <w:szCs w:val="24"/>
        </w:rPr>
        <w:t xml:space="preserve"> examiners</w:t>
      </w:r>
      <w:r w:rsidRPr="00647F97" w:rsidR="00C63904">
        <w:rPr>
          <w:iCs/>
          <w:szCs w:val="24"/>
        </w:rPr>
        <w:t xml:space="preserve"> and meets the requirements of the </w:t>
      </w:r>
      <w:r w:rsidRPr="00647F97" w:rsidR="00296F2E">
        <w:rPr>
          <w:iCs/>
          <w:szCs w:val="24"/>
        </w:rPr>
        <w:t>collection</w:t>
      </w:r>
      <w:r w:rsidRPr="00647F97">
        <w:rPr>
          <w:iCs/>
          <w:szCs w:val="24"/>
        </w:rPr>
        <w:t>.</w:t>
      </w:r>
    </w:p>
    <w:p w:rsidR="00933A58" w:rsidRPr="00647F97" w:rsidP="00A076F6" w14:paraId="7935AFE5" w14:textId="77777777"/>
    <w:p w:rsidR="00933A58" w:rsidRPr="00647F97" w:rsidP="0078042F" w14:paraId="1BA9CAB2" w14:textId="77777777">
      <w:pPr>
        <w:ind w:firstLine="720"/>
        <w:rPr>
          <w:rFonts w:ascii="Times New Roman TUR" w:hAnsi="Times New Roman TUR" w:cs="Times New Roman TUR"/>
          <w:bCs/>
        </w:rPr>
      </w:pPr>
      <w:r w:rsidRPr="00647F97">
        <w:rPr>
          <w:rFonts w:ascii="Times New Roman TUR" w:hAnsi="Times New Roman TUR" w:cs="Times New Roman TUR"/>
          <w:bCs/>
        </w:rPr>
        <w:t>4.</w:t>
      </w:r>
      <w:r w:rsidRPr="00647F97">
        <w:rPr>
          <w:rFonts w:ascii="Times New Roman TUR" w:hAnsi="Times New Roman TUR" w:cs="Times New Roman TUR"/>
          <w:bCs/>
        </w:rPr>
        <w:tab/>
      </w:r>
      <w:r w:rsidRPr="00647F97">
        <w:rPr>
          <w:rFonts w:ascii="Times New Roman TUR" w:hAnsi="Times New Roman TUR" w:cs="Times New Roman TUR"/>
          <w:bCs/>
          <w:u w:val="single"/>
        </w:rPr>
        <w:t>Efforts to identify duplication:</w:t>
      </w:r>
    </w:p>
    <w:p w:rsidR="00933A58" w:rsidRPr="00647F97" w:rsidP="00A076F6" w14:paraId="5BD1D4B8" w14:textId="77777777">
      <w:pPr>
        <w:rPr>
          <w:rFonts w:ascii="Times New Roman TUR" w:hAnsi="Times New Roman TUR" w:cs="Times New Roman TUR"/>
          <w:bCs/>
        </w:rPr>
      </w:pPr>
    </w:p>
    <w:p w:rsidR="009E5753" w:rsidRPr="000E6251" w:rsidP="009E5753" w14:paraId="1BDA90AE" w14:textId="77777777">
      <w:pPr>
        <w:ind w:firstLine="720"/>
        <w:rPr>
          <w:szCs w:val="24"/>
        </w:rPr>
      </w:pPr>
      <w:r w:rsidRPr="000E6251">
        <w:rPr>
          <w:szCs w:val="24"/>
        </w:rPr>
        <w:t>The information required is unique.  It is not duplicated elsewhere.</w:t>
      </w:r>
    </w:p>
    <w:p w:rsidR="00933A58" w:rsidRPr="00647F97" w:rsidP="00A076F6" w14:paraId="2AED2407" w14:textId="77777777">
      <w:pPr>
        <w:rPr>
          <w:rFonts w:ascii="Times New Roman TUR" w:hAnsi="Times New Roman TUR" w:cs="Times New Roman TUR"/>
          <w:bCs/>
        </w:rPr>
      </w:pPr>
    </w:p>
    <w:p w:rsidR="00933A58" w:rsidRPr="00647F97" w:rsidP="0078042F" w14:paraId="668BD896" w14:textId="77777777">
      <w:pPr>
        <w:ind w:left="1440" w:hanging="720"/>
        <w:rPr>
          <w:rFonts w:ascii="Times New Roman TUR" w:hAnsi="Times New Roman TUR" w:cs="Times New Roman TUR"/>
          <w:bCs/>
        </w:rPr>
      </w:pPr>
      <w:r w:rsidRPr="00647F97">
        <w:rPr>
          <w:rFonts w:ascii="Times New Roman TUR" w:hAnsi="Times New Roman TUR" w:cs="Times New Roman TUR"/>
          <w:bCs/>
        </w:rPr>
        <w:t>5.</w:t>
      </w:r>
      <w:r w:rsidRPr="00647F97">
        <w:rPr>
          <w:rFonts w:ascii="Times New Roman TUR" w:hAnsi="Times New Roman TUR" w:cs="Times New Roman TUR"/>
          <w:bCs/>
        </w:rPr>
        <w:tab/>
      </w:r>
      <w:r w:rsidRPr="00647F97">
        <w:rPr>
          <w:rFonts w:ascii="Times New Roman TUR" w:hAnsi="Times New Roman TUR" w:cs="Times New Roman TUR"/>
          <w:bCs/>
          <w:u w:val="single"/>
        </w:rPr>
        <w:t xml:space="preserve">Methods used to minimize burden if the collection has a significant impact on </w:t>
      </w:r>
      <w:r w:rsidR="006017E5">
        <w:rPr>
          <w:rFonts w:ascii="Times New Roman TUR" w:hAnsi="Times New Roman TUR" w:cs="Times New Roman TUR"/>
          <w:bCs/>
          <w:u w:val="single"/>
        </w:rPr>
        <w:t xml:space="preserve">a </w:t>
      </w:r>
      <w:r w:rsidRPr="00647F97">
        <w:rPr>
          <w:rFonts w:ascii="Times New Roman TUR" w:hAnsi="Times New Roman TUR" w:cs="Times New Roman TUR"/>
          <w:bCs/>
          <w:u w:val="single"/>
        </w:rPr>
        <w:t>substantial number of small entities:</w:t>
      </w:r>
    </w:p>
    <w:p w:rsidR="00933A58" w:rsidRPr="00647F97" w:rsidP="00A076F6" w14:paraId="1E00ED9A" w14:textId="77777777">
      <w:pPr>
        <w:rPr>
          <w:rFonts w:ascii="Times New Roman TUR" w:hAnsi="Times New Roman TUR" w:cs="Times New Roman TUR"/>
          <w:bCs/>
        </w:rPr>
      </w:pPr>
    </w:p>
    <w:p w:rsidR="00933A58" w:rsidP="00112CE4" w14:paraId="24A7F122" w14:textId="77777777">
      <w:pPr>
        <w:ind w:left="720"/>
        <w:outlineLvl w:val="0"/>
        <w:rPr>
          <w:szCs w:val="24"/>
        </w:rPr>
      </w:pPr>
      <w:r w:rsidRPr="000E6251">
        <w:rPr>
          <w:szCs w:val="24"/>
        </w:rPr>
        <w:t xml:space="preserve">The information collection </w:t>
      </w:r>
      <w:r w:rsidR="00112CE4">
        <w:rPr>
          <w:szCs w:val="24"/>
        </w:rPr>
        <w:t xml:space="preserve">under </w:t>
      </w:r>
      <w:r w:rsidRPr="00B171C1" w:rsidR="00112CE4">
        <w:rPr>
          <w:szCs w:val="24"/>
        </w:rPr>
        <w:t xml:space="preserve">12 CFR Part 325 </w:t>
      </w:r>
      <w:r w:rsidRPr="000E6251">
        <w:rPr>
          <w:szCs w:val="24"/>
        </w:rPr>
        <w:t>affects only large institutions</w:t>
      </w:r>
      <w:r w:rsidRPr="000E6251" w:rsidR="00EF6569">
        <w:rPr>
          <w:szCs w:val="24"/>
        </w:rPr>
        <w:t xml:space="preserve"> that</w:t>
      </w:r>
      <w:r w:rsidRPr="006017E5" w:rsidR="00A453BE">
        <w:rPr>
          <w:szCs w:val="24"/>
        </w:rPr>
        <w:t xml:space="preserve"> have</w:t>
      </w:r>
      <w:r w:rsidRPr="006017E5" w:rsidR="00EF6569">
        <w:rPr>
          <w:szCs w:val="24"/>
        </w:rPr>
        <w:t xml:space="preserve"> </w:t>
      </w:r>
      <w:r w:rsidRPr="006017E5" w:rsidR="005C71CA">
        <w:rPr>
          <w:szCs w:val="24"/>
        </w:rPr>
        <w:t>more than</w:t>
      </w:r>
      <w:r w:rsidRPr="006017E5" w:rsidR="00AD4EF2">
        <w:rPr>
          <w:szCs w:val="24"/>
        </w:rPr>
        <w:t xml:space="preserve"> </w:t>
      </w:r>
      <w:r w:rsidRPr="006017E5" w:rsidR="00707528">
        <w:rPr>
          <w:szCs w:val="24"/>
        </w:rPr>
        <w:t>$</w:t>
      </w:r>
      <w:r w:rsidR="00CE0F25">
        <w:rPr>
          <w:szCs w:val="24"/>
        </w:rPr>
        <w:t>2</w:t>
      </w:r>
      <w:r w:rsidRPr="006017E5" w:rsidR="00707528">
        <w:rPr>
          <w:szCs w:val="24"/>
        </w:rPr>
        <w:t xml:space="preserve">50 billion </w:t>
      </w:r>
      <w:r w:rsidRPr="00647F97" w:rsidR="00EF6569">
        <w:rPr>
          <w:szCs w:val="24"/>
        </w:rPr>
        <w:t>in</w:t>
      </w:r>
      <w:r w:rsidRPr="00647F97" w:rsidR="0067732E">
        <w:rPr>
          <w:szCs w:val="24"/>
        </w:rPr>
        <w:t xml:space="preserve"> total</w:t>
      </w:r>
      <w:r w:rsidRPr="00647F97" w:rsidR="00EF6569">
        <w:rPr>
          <w:szCs w:val="24"/>
        </w:rPr>
        <w:t xml:space="preserve"> consolidated assets</w:t>
      </w:r>
      <w:r w:rsidRPr="00647F97">
        <w:rPr>
          <w:szCs w:val="24"/>
        </w:rPr>
        <w:t>.</w:t>
      </w:r>
      <w:r w:rsidR="00112CE4">
        <w:rPr>
          <w:szCs w:val="24"/>
        </w:rPr>
        <w:t xml:space="preserve">  Likewise, the Supervisory Guidance on Stress Testing applies to </w:t>
      </w:r>
      <w:r w:rsidR="0000145D">
        <w:rPr>
          <w:szCs w:val="24"/>
        </w:rPr>
        <w:t>large institutions that have more than $10 Billion in total consolidated assets. The information collection</w:t>
      </w:r>
      <w:r w:rsidRPr="00647F97" w:rsidR="0000145D">
        <w:rPr>
          <w:szCs w:val="24"/>
        </w:rPr>
        <w:t xml:space="preserve"> therefore does not have a significant impact on a substantial number of small entities</w:t>
      </w:r>
      <w:r w:rsidR="0000145D">
        <w:rPr>
          <w:szCs w:val="24"/>
        </w:rPr>
        <w:t>.</w:t>
      </w:r>
    </w:p>
    <w:p w:rsidR="0000145D" w:rsidRPr="00112CE4" w:rsidP="00112CE4" w14:paraId="59DA6411" w14:textId="77777777">
      <w:pPr>
        <w:ind w:left="720"/>
        <w:outlineLvl w:val="0"/>
        <w:rPr>
          <w:szCs w:val="24"/>
        </w:rPr>
      </w:pPr>
    </w:p>
    <w:p w:rsidR="00933A58" w:rsidRPr="00647F97" w:rsidP="0078042F" w14:paraId="2A3DBB4A" w14:textId="77777777">
      <w:pPr>
        <w:ind w:left="1440" w:hanging="720"/>
        <w:rPr>
          <w:rFonts w:ascii="Times New Roman TUR" w:hAnsi="Times New Roman TUR" w:cs="Times New Roman TUR"/>
          <w:bCs/>
        </w:rPr>
      </w:pPr>
      <w:r w:rsidRPr="00647F97">
        <w:rPr>
          <w:rFonts w:ascii="Times New Roman TUR" w:hAnsi="Times New Roman TUR" w:cs="Times New Roman TUR"/>
          <w:bCs/>
        </w:rPr>
        <w:t>6.</w:t>
      </w:r>
      <w:r w:rsidRPr="00647F97">
        <w:rPr>
          <w:rFonts w:ascii="Times New Roman TUR" w:hAnsi="Times New Roman TUR" w:cs="Times New Roman TUR"/>
          <w:bCs/>
        </w:rPr>
        <w:tab/>
      </w:r>
      <w:r w:rsidRPr="00647F97">
        <w:rPr>
          <w:rFonts w:ascii="Times New Roman TUR" w:hAnsi="Times New Roman TUR" w:cs="Times New Roman TUR"/>
          <w:bCs/>
          <w:u w:val="single"/>
        </w:rPr>
        <w:t>Consequences to the Federal program if the collection were conducted less frequently:</w:t>
      </w:r>
    </w:p>
    <w:p w:rsidR="00933A58" w:rsidRPr="00647F97" w:rsidP="00A076F6" w14:paraId="1D46DAEE" w14:textId="77777777">
      <w:pPr>
        <w:rPr>
          <w:rFonts w:ascii="Times New Roman TUR" w:hAnsi="Times New Roman TUR" w:cs="Times New Roman TUR"/>
          <w:bCs/>
        </w:rPr>
      </w:pPr>
    </w:p>
    <w:p w:rsidR="00933A58" w:rsidRPr="00647F97" w:rsidP="00C63904" w14:paraId="42499628" w14:textId="77777777">
      <w:pPr>
        <w:ind w:left="720"/>
        <w:rPr>
          <w:szCs w:val="24"/>
        </w:rPr>
      </w:pPr>
      <w:r>
        <w:rPr>
          <w:szCs w:val="24"/>
        </w:rPr>
        <w:t>Congress, by statute, has determined that this information is to be collected</w:t>
      </w:r>
      <w:r w:rsidRPr="006017E5" w:rsidR="000106C8">
        <w:rPr>
          <w:szCs w:val="24"/>
        </w:rPr>
        <w:t xml:space="preserve"> </w:t>
      </w:r>
      <w:r w:rsidR="00CE0F25">
        <w:rPr>
          <w:szCs w:val="24"/>
        </w:rPr>
        <w:t>periodically</w:t>
      </w:r>
      <w:r w:rsidRPr="006017E5" w:rsidR="000106C8">
        <w:rPr>
          <w:szCs w:val="24"/>
        </w:rPr>
        <w:t xml:space="preserve">.  </w:t>
      </w:r>
      <w:r w:rsidRPr="00647F97" w:rsidR="000106C8">
        <w:rPr>
          <w:szCs w:val="24"/>
        </w:rPr>
        <w:t xml:space="preserve">Conducting the collection </w:t>
      </w:r>
      <w:r w:rsidRPr="00647F97" w:rsidR="009E5753">
        <w:rPr>
          <w:szCs w:val="24"/>
        </w:rPr>
        <w:t xml:space="preserve">less frequently would </w:t>
      </w:r>
      <w:r w:rsidRPr="00647F97" w:rsidR="00D430B8">
        <w:rPr>
          <w:szCs w:val="24"/>
        </w:rPr>
        <w:t xml:space="preserve">potentially </w:t>
      </w:r>
      <w:r w:rsidRPr="00647F97" w:rsidR="009E5753">
        <w:rPr>
          <w:szCs w:val="24"/>
        </w:rPr>
        <w:t>present safety and soundness risks</w:t>
      </w:r>
      <w:r w:rsidRPr="00647F97" w:rsidR="00D430B8">
        <w:rPr>
          <w:szCs w:val="24"/>
        </w:rPr>
        <w:t xml:space="preserve"> to those entities otherwise subject to testing</w:t>
      </w:r>
      <w:r w:rsidRPr="00647F97" w:rsidR="009E5753">
        <w:rPr>
          <w:szCs w:val="24"/>
        </w:rPr>
        <w:t>.</w:t>
      </w:r>
      <w:r w:rsidR="0000145D">
        <w:rPr>
          <w:szCs w:val="24"/>
        </w:rPr>
        <w:t xml:space="preserve">  The Supervisory Guidance on Stress Testing is voluntary and is intended to be consistent with sound industry practices.</w:t>
      </w:r>
    </w:p>
    <w:p w:rsidR="009E5753" w:rsidRPr="00647F97" w:rsidP="00A076F6" w14:paraId="1C125121" w14:textId="77777777">
      <w:pPr>
        <w:rPr>
          <w:rFonts w:ascii="Times New Roman TUR" w:hAnsi="Times New Roman TUR" w:cs="Times New Roman TUR"/>
        </w:rPr>
      </w:pPr>
    </w:p>
    <w:p w:rsidR="00933A58" w:rsidRPr="00647F97" w:rsidP="0078042F" w14:paraId="05BF153E" w14:textId="77777777">
      <w:pPr>
        <w:ind w:left="1440" w:hanging="720"/>
        <w:rPr>
          <w:rFonts w:ascii="Times New Roman TUR" w:hAnsi="Times New Roman TUR" w:cs="Times New Roman TUR"/>
          <w:bCs/>
        </w:rPr>
      </w:pPr>
      <w:r w:rsidRPr="00647F97">
        <w:rPr>
          <w:rFonts w:ascii="Times New Roman TUR" w:hAnsi="Times New Roman TUR" w:cs="Times New Roman TUR"/>
          <w:bCs/>
        </w:rPr>
        <w:t>7.</w:t>
      </w:r>
      <w:r w:rsidRPr="00647F97">
        <w:rPr>
          <w:rFonts w:ascii="Times New Roman TUR" w:hAnsi="Times New Roman TUR" w:cs="Times New Roman TUR"/>
          <w:bCs/>
        </w:rPr>
        <w:tab/>
      </w:r>
      <w:r w:rsidRPr="00647F97">
        <w:rPr>
          <w:rFonts w:ascii="Times New Roman TUR" w:hAnsi="Times New Roman TUR" w:cs="Times New Roman TUR"/>
          <w:bCs/>
          <w:u w:val="single"/>
        </w:rPr>
        <w:t>Special circumstances necessitating collection inconsistent with 5 CFR Part 1320</w:t>
      </w:r>
      <w:r w:rsidR="0078042F">
        <w:rPr>
          <w:rFonts w:ascii="Times New Roman TUR" w:hAnsi="Times New Roman TUR" w:cs="Times New Roman TUR"/>
          <w:bCs/>
          <w:u w:val="single"/>
        </w:rPr>
        <w:t>.5(d)(2)</w:t>
      </w:r>
      <w:r w:rsidRPr="00647F97">
        <w:rPr>
          <w:rFonts w:ascii="Times New Roman TUR" w:hAnsi="Times New Roman TUR" w:cs="Times New Roman TUR"/>
          <w:bCs/>
          <w:u w:val="single"/>
        </w:rPr>
        <w:t>:</w:t>
      </w:r>
    </w:p>
    <w:p w:rsidR="00933A58" w:rsidRPr="00647F97" w:rsidP="00A076F6" w14:paraId="0E9E8C1F" w14:textId="77777777">
      <w:pPr>
        <w:rPr>
          <w:rFonts w:ascii="Times New Roman TUR" w:hAnsi="Times New Roman TUR" w:cs="Times New Roman TUR"/>
          <w:bCs/>
        </w:rPr>
      </w:pPr>
    </w:p>
    <w:p w:rsidR="0078042F" w:rsidRPr="0078042F" w:rsidP="0078042F" w14:paraId="73723542" w14:textId="77777777">
      <w:pPr>
        <w:ind w:left="720"/>
        <w:rPr>
          <w:rFonts w:ascii="Times New Roman TUR" w:hAnsi="Times New Roman TUR" w:cs="Times New Roman TUR"/>
        </w:rPr>
      </w:pPr>
      <w:r w:rsidRPr="0078042F">
        <w:rPr>
          <w:rFonts w:ascii="Times New Roman TUR" w:hAnsi="Times New Roman TUR" w:cs="Times New Roman TUR"/>
        </w:rPr>
        <w:t>There are no special circumstances. This information collection is conducted in accordance with the guidelines in 5 CFR 1320.5(d)(2).</w:t>
      </w:r>
    </w:p>
    <w:p w:rsidR="00933A58" w:rsidRPr="00647F97" w:rsidP="00A076F6" w14:paraId="7F72276C" w14:textId="77777777">
      <w:pPr>
        <w:rPr>
          <w:rFonts w:ascii="Times New Roman TUR" w:hAnsi="Times New Roman TUR" w:cs="Times New Roman TUR"/>
        </w:rPr>
      </w:pPr>
    </w:p>
    <w:p w:rsidR="00933A58" w:rsidRPr="00647F97" w:rsidP="0078042F" w14:paraId="595F6394" w14:textId="77777777">
      <w:pPr>
        <w:ind w:firstLine="720"/>
        <w:rPr>
          <w:rFonts w:ascii="Times New Roman TUR" w:hAnsi="Times New Roman TUR" w:cs="Times New Roman TUR"/>
          <w:bCs/>
          <w:u w:val="single"/>
        </w:rPr>
      </w:pPr>
      <w:r w:rsidRPr="00647F97">
        <w:rPr>
          <w:rFonts w:ascii="Times New Roman TUR" w:hAnsi="Times New Roman TUR" w:cs="Times New Roman TUR"/>
          <w:bCs/>
        </w:rPr>
        <w:t>8.</w:t>
      </w:r>
      <w:r w:rsidRPr="00647F97">
        <w:rPr>
          <w:rFonts w:ascii="Times New Roman TUR" w:hAnsi="Times New Roman TUR" w:cs="Times New Roman TUR"/>
          <w:bCs/>
        </w:rPr>
        <w:tab/>
      </w:r>
      <w:r w:rsidRPr="00647F97">
        <w:rPr>
          <w:rFonts w:ascii="Times New Roman TUR" w:hAnsi="Times New Roman TUR" w:cs="Times New Roman TUR"/>
          <w:bCs/>
          <w:u w:val="single"/>
        </w:rPr>
        <w:t>Efforts to consult with persons outside the agency:</w:t>
      </w:r>
    </w:p>
    <w:p w:rsidR="00E1128A" w:rsidRPr="00647F97" w:rsidP="00A076F6" w14:paraId="3B7BFCA8" w14:textId="77777777">
      <w:pPr>
        <w:rPr>
          <w:rFonts w:ascii="Times New Roman TUR" w:hAnsi="Times New Roman TUR" w:cs="Times New Roman TUR"/>
          <w:bCs/>
        </w:rPr>
      </w:pPr>
    </w:p>
    <w:p w:rsidR="003F3F41" w:rsidRPr="00D80356" w:rsidP="0000145D" w14:paraId="1E989558" w14:textId="6B395DB1">
      <w:pPr>
        <w:spacing w:after="200"/>
        <w:ind w:left="720"/>
        <w:contextualSpacing/>
        <w:rPr>
          <w:rFonts w:eastAsia="Calibri"/>
          <w:szCs w:val="24"/>
        </w:rPr>
      </w:pPr>
      <w:r>
        <w:rPr>
          <w:rFonts w:eastAsia="Calibri"/>
          <w:szCs w:val="24"/>
        </w:rPr>
        <w:t xml:space="preserve"> </w:t>
      </w:r>
      <w:r w:rsidRPr="008D6FD4" w:rsidR="008D6FD4">
        <w:rPr>
          <w:rFonts w:eastAsia="Calibri"/>
          <w:szCs w:val="24"/>
        </w:rPr>
        <w:t xml:space="preserve">On </w:t>
      </w:r>
      <w:r w:rsidR="007E688D">
        <w:rPr>
          <w:rFonts w:eastAsia="Calibri"/>
          <w:szCs w:val="24"/>
        </w:rPr>
        <w:t>July</w:t>
      </w:r>
      <w:r w:rsidR="00294EAD">
        <w:rPr>
          <w:rFonts w:eastAsia="Calibri"/>
          <w:szCs w:val="24"/>
        </w:rPr>
        <w:t xml:space="preserve"> 30</w:t>
      </w:r>
      <w:r w:rsidRPr="008D6FD4" w:rsidR="008D6FD4">
        <w:rPr>
          <w:rFonts w:eastAsia="Calibri"/>
          <w:szCs w:val="24"/>
        </w:rPr>
        <w:t>,</w:t>
      </w:r>
      <w:r w:rsidR="00294EAD">
        <w:rPr>
          <w:rFonts w:eastAsia="Calibri"/>
          <w:szCs w:val="24"/>
        </w:rPr>
        <w:t xml:space="preserve"> </w:t>
      </w:r>
      <w:r w:rsidR="00294EAD">
        <w:rPr>
          <w:rFonts w:eastAsia="Calibri"/>
          <w:szCs w:val="24"/>
        </w:rPr>
        <w:t>2025</w:t>
      </w:r>
      <w:r w:rsidRPr="008D6FD4" w:rsidR="008D6FD4">
        <w:rPr>
          <w:rFonts w:eastAsia="Calibri"/>
          <w:szCs w:val="24"/>
        </w:rPr>
        <w:t xml:space="preserve"> FDIC published a Federal Register notice seeking public comment for a 60-day period (</w:t>
      </w:r>
      <w:r w:rsidR="00294EAD">
        <w:rPr>
          <w:rFonts w:eastAsia="Calibri"/>
          <w:szCs w:val="24"/>
        </w:rPr>
        <w:t>90</w:t>
      </w:r>
      <w:r w:rsidRPr="008D6FD4" w:rsidR="008D6FD4">
        <w:rPr>
          <w:rFonts w:eastAsia="Calibri"/>
          <w:szCs w:val="24"/>
        </w:rPr>
        <w:t xml:space="preserve"> FR </w:t>
      </w:r>
      <w:r w:rsidR="00294EAD">
        <w:rPr>
          <w:rFonts w:eastAsia="Calibri"/>
          <w:szCs w:val="24"/>
        </w:rPr>
        <w:t>35860</w:t>
      </w:r>
      <w:r w:rsidRPr="008D6FD4" w:rsidR="008D6FD4">
        <w:rPr>
          <w:rFonts w:eastAsia="Calibri"/>
          <w:szCs w:val="24"/>
        </w:rPr>
        <w:t xml:space="preserve">).  No comments were received. </w:t>
      </w:r>
      <w:r w:rsidRPr="00D80356" w:rsidR="00D80356">
        <w:rPr>
          <w:rFonts w:eastAsia="Calibri"/>
          <w:szCs w:val="24"/>
        </w:rPr>
        <w:t xml:space="preserve">  </w:t>
      </w:r>
    </w:p>
    <w:p w:rsidR="003F3F41" w:rsidRPr="00647F97" w:rsidP="00EF6569" w14:paraId="5EA6226A" w14:textId="77777777">
      <w:pPr>
        <w:keepNext/>
        <w:ind w:firstLine="720"/>
      </w:pPr>
    </w:p>
    <w:p w:rsidR="00933A58" w:rsidRPr="00647F97" w:rsidP="0078042F" w14:paraId="2683275C" w14:textId="77777777">
      <w:pPr>
        <w:ind w:firstLine="720"/>
        <w:rPr>
          <w:rFonts w:ascii="Times New Roman TUR" w:hAnsi="Times New Roman TUR" w:cs="Times New Roman TUR"/>
          <w:bCs/>
        </w:rPr>
      </w:pPr>
      <w:r w:rsidRPr="00647F97">
        <w:rPr>
          <w:rFonts w:ascii="Times New Roman TUR" w:hAnsi="Times New Roman TUR" w:cs="Times New Roman TUR"/>
          <w:bCs/>
        </w:rPr>
        <w:t>9.</w:t>
      </w:r>
      <w:r w:rsidRPr="00647F97">
        <w:rPr>
          <w:rFonts w:ascii="Times New Roman TUR" w:hAnsi="Times New Roman TUR" w:cs="Times New Roman TUR"/>
          <w:bCs/>
        </w:rPr>
        <w:tab/>
      </w:r>
      <w:r w:rsidRPr="0078042F" w:rsidR="0078042F">
        <w:rPr>
          <w:rFonts w:ascii="Times New Roman TUR" w:hAnsi="Times New Roman TUR" w:cs="Times New Roman TUR"/>
          <w:bCs/>
          <w:u w:val="single"/>
        </w:rPr>
        <w:t>Payment or Gift to Respondents</w:t>
      </w:r>
      <w:r w:rsidRPr="00647F97">
        <w:rPr>
          <w:rFonts w:ascii="Times New Roman TUR" w:hAnsi="Times New Roman TUR" w:cs="Times New Roman TUR"/>
          <w:bCs/>
        </w:rPr>
        <w:t>:</w:t>
      </w:r>
    </w:p>
    <w:p w:rsidR="00933A58" w:rsidRPr="000E6251" w:rsidP="00A076F6" w14:paraId="1089A8A6" w14:textId="77777777">
      <w:pPr>
        <w:rPr>
          <w:rFonts w:ascii="Times New Roman TUR" w:hAnsi="Times New Roman TUR" w:cs="Times New Roman TUR"/>
        </w:rPr>
      </w:pPr>
    </w:p>
    <w:p w:rsidR="00933A58" w:rsidRPr="006017E5" w:rsidP="009E5753" w14:paraId="0C17B2F0" w14:textId="77777777">
      <w:pPr>
        <w:ind w:firstLine="720"/>
        <w:rPr>
          <w:rFonts w:ascii="Times New Roman TUR" w:hAnsi="Times New Roman TUR" w:cs="Times New Roman TUR"/>
        </w:rPr>
      </w:pPr>
      <w:r w:rsidRPr="006017E5">
        <w:rPr>
          <w:rFonts w:ascii="Times New Roman TUR" w:hAnsi="Times New Roman TUR" w:cs="Times New Roman TUR"/>
        </w:rPr>
        <w:t>There is no payment to respondents.</w:t>
      </w:r>
    </w:p>
    <w:p w:rsidR="00933A58" w:rsidRPr="00647F97" w:rsidP="00A076F6" w14:paraId="0438515F" w14:textId="77777777">
      <w:pPr>
        <w:rPr>
          <w:rFonts w:ascii="Times New Roman TUR" w:hAnsi="Times New Roman TUR" w:cs="Times New Roman TUR"/>
          <w:bCs/>
        </w:rPr>
      </w:pPr>
    </w:p>
    <w:p w:rsidR="00933A58" w:rsidRPr="00647F97" w:rsidP="004323FB" w14:paraId="7F96551E" w14:textId="77777777">
      <w:pPr>
        <w:ind w:firstLine="720"/>
        <w:rPr>
          <w:rFonts w:ascii="Times New Roman TUR" w:hAnsi="Times New Roman TUR" w:cs="Times New Roman TUR"/>
          <w:bCs/>
          <w:u w:val="single"/>
        </w:rPr>
      </w:pPr>
      <w:r w:rsidRPr="00647F97">
        <w:rPr>
          <w:rFonts w:ascii="Times New Roman TUR" w:hAnsi="Times New Roman TUR" w:cs="Times New Roman TUR"/>
          <w:bCs/>
        </w:rPr>
        <w:t>10.</w:t>
      </w:r>
      <w:r w:rsidRPr="00647F97">
        <w:rPr>
          <w:rFonts w:ascii="Times New Roman TUR" w:hAnsi="Times New Roman TUR" w:cs="Times New Roman TUR"/>
          <w:bCs/>
        </w:rPr>
        <w:tab/>
      </w:r>
      <w:r w:rsidRPr="00647F97">
        <w:rPr>
          <w:rFonts w:ascii="Times New Roman TUR" w:hAnsi="Times New Roman TUR" w:cs="Times New Roman TUR"/>
          <w:bCs/>
          <w:u w:val="single"/>
        </w:rPr>
        <w:t>Any assurance of confidentiality:</w:t>
      </w:r>
    </w:p>
    <w:p w:rsidR="002E62E5" w:rsidRPr="00647F97" w:rsidP="00A076F6" w14:paraId="454C5529" w14:textId="77777777">
      <w:pPr>
        <w:rPr>
          <w:rFonts w:ascii="Times New Roman TUR" w:hAnsi="Times New Roman TUR" w:cs="Times New Roman TUR"/>
          <w:bCs/>
        </w:rPr>
      </w:pPr>
    </w:p>
    <w:p w:rsidR="00933A58" w:rsidRPr="00647F97" w:rsidP="00C63904" w14:paraId="1C6BEA13" w14:textId="77777777">
      <w:pPr>
        <w:ind w:left="720"/>
        <w:rPr>
          <w:rFonts w:ascii="Times New Roman TUR" w:hAnsi="Times New Roman TUR" w:cs="Times New Roman TUR"/>
          <w:bCs/>
        </w:rPr>
      </w:pPr>
      <w:r>
        <w:t>Information collected will be kept private to the extent allowed by law. No assurance of confidentiality is made.</w:t>
      </w:r>
    </w:p>
    <w:p w:rsidR="002E62E5" w:rsidRPr="00647F97" w:rsidP="00A076F6" w14:paraId="72FFAF1E" w14:textId="77777777">
      <w:pPr>
        <w:rPr>
          <w:rFonts w:ascii="Times New Roman TUR" w:hAnsi="Times New Roman TUR" w:cs="Times New Roman TUR"/>
        </w:rPr>
      </w:pPr>
    </w:p>
    <w:p w:rsidR="00933A58" w:rsidRPr="00647F97" w:rsidP="004323FB" w14:paraId="55EE1865" w14:textId="77777777">
      <w:pPr>
        <w:ind w:firstLine="720"/>
        <w:rPr>
          <w:rFonts w:ascii="Times New Roman TUR" w:hAnsi="Times New Roman TUR" w:cs="Times New Roman TUR"/>
          <w:bCs/>
        </w:rPr>
      </w:pPr>
      <w:r w:rsidRPr="00647F97">
        <w:rPr>
          <w:rFonts w:ascii="Times New Roman TUR" w:hAnsi="Times New Roman TUR" w:cs="Times New Roman TUR"/>
          <w:bCs/>
        </w:rPr>
        <w:t>11.</w:t>
      </w:r>
      <w:r w:rsidRPr="00647F97">
        <w:rPr>
          <w:rFonts w:ascii="Times New Roman TUR" w:hAnsi="Times New Roman TUR" w:cs="Times New Roman TUR"/>
          <w:bCs/>
        </w:rPr>
        <w:tab/>
      </w:r>
      <w:r w:rsidRPr="00647F97">
        <w:rPr>
          <w:rFonts w:ascii="Times New Roman TUR" w:hAnsi="Times New Roman TUR" w:cs="Times New Roman TUR"/>
          <w:bCs/>
          <w:u w:val="single"/>
        </w:rPr>
        <w:t>Justification for questions of a sensitive nature:</w:t>
      </w:r>
    </w:p>
    <w:p w:rsidR="00933A58" w:rsidRPr="000E6251" w:rsidP="00A076F6" w14:paraId="2A2AB655" w14:textId="77777777">
      <w:pPr>
        <w:rPr>
          <w:rFonts w:ascii="Times New Roman TUR" w:hAnsi="Times New Roman TUR" w:cs="Times New Roman TUR"/>
        </w:rPr>
      </w:pPr>
    </w:p>
    <w:p w:rsidR="00933A58" w:rsidRPr="006017E5" w:rsidP="009E5753" w14:paraId="43A193F9" w14:textId="77777777">
      <w:pPr>
        <w:ind w:firstLine="720"/>
        <w:rPr>
          <w:rFonts w:ascii="Times New Roman TUR" w:hAnsi="Times New Roman TUR" w:cs="Times New Roman TUR"/>
        </w:rPr>
      </w:pPr>
      <w:r>
        <w:t>The information collection does not request information of a sensitive nature.</w:t>
      </w:r>
    </w:p>
    <w:p w:rsidR="00964EC6" w:rsidRPr="00647F97" w:rsidP="00A076F6" w14:paraId="6D4DD3DE" w14:textId="77777777">
      <w:pPr>
        <w:rPr>
          <w:rFonts w:ascii="Times New Roman TUR" w:hAnsi="Times New Roman TUR" w:cs="Times New Roman TUR"/>
        </w:rPr>
      </w:pPr>
    </w:p>
    <w:p w:rsidR="00964EC6" w:rsidRPr="00964EC6" w:rsidP="00964EC6" w14:paraId="67B9A5F8" w14:textId="5EC8DB84">
      <w:pPr>
        <w:ind w:firstLine="720"/>
        <w:rPr>
          <w:u w:val="single"/>
        </w:rPr>
      </w:pPr>
      <w:r w:rsidRPr="00647F97">
        <w:rPr>
          <w:rFonts w:ascii="Times New Roman TUR" w:hAnsi="Times New Roman TUR" w:cs="Times New Roman TUR"/>
          <w:bCs/>
        </w:rPr>
        <w:t>12.</w:t>
      </w:r>
      <w:r w:rsidRPr="00647F97">
        <w:rPr>
          <w:rFonts w:ascii="Times New Roman TUR" w:hAnsi="Times New Roman TUR" w:cs="Times New Roman TUR"/>
          <w:bCs/>
        </w:rPr>
        <w:tab/>
      </w:r>
      <w:r w:rsidRPr="00471381" w:rsidR="004323FB">
        <w:rPr>
          <w:u w:val="single"/>
        </w:rPr>
        <w:t xml:space="preserve">Estimate of </w:t>
      </w:r>
      <w:r w:rsidRPr="004F7A59" w:rsidR="004323FB">
        <w:rPr>
          <w:u w:val="single"/>
        </w:rPr>
        <w:t>Hour B</w:t>
      </w:r>
      <w:r w:rsidRPr="00471381" w:rsidR="004323FB">
        <w:rPr>
          <w:u w:val="single"/>
        </w:rPr>
        <w:t>urden Including Annualized Hourly Costs:</w:t>
      </w:r>
    </w:p>
    <w:tbl>
      <w:tblPr>
        <w:tblpPr w:leftFromText="180" w:rightFromText="180" w:horzAnchor="margin" w:tblpX="-280" w:tblpY="345"/>
        <w:tblW w:w="10350" w:type="dxa"/>
        <w:tblCellMar>
          <w:top w:w="15" w:type="dxa"/>
        </w:tblCellMar>
        <w:tblLook w:val="04A0"/>
      </w:tblPr>
      <w:tblGrid>
        <w:gridCol w:w="3123"/>
        <w:gridCol w:w="1728"/>
        <w:gridCol w:w="1461"/>
        <w:gridCol w:w="1838"/>
        <w:gridCol w:w="1215"/>
        <w:gridCol w:w="985"/>
      </w:tblGrid>
      <w:tr w14:paraId="38BEC9AF" w14:textId="77777777" w:rsidTr="00964EC6">
        <w:tblPrEx>
          <w:tblW w:w="10350" w:type="dxa"/>
          <w:tblCellMar>
            <w:top w:w="15" w:type="dxa"/>
          </w:tblCellMar>
          <w:tblLook w:val="04A0"/>
        </w:tblPrEx>
        <w:trPr>
          <w:trHeight w:val="360"/>
        </w:trPr>
        <w:tc>
          <w:tcPr>
            <w:tcW w:w="10350" w:type="dxa"/>
            <w:gridSpan w:val="6"/>
            <w:tcBorders>
              <w:top w:val="single" w:sz="8" w:space="0" w:color="auto"/>
              <w:left w:val="single" w:sz="8" w:space="0" w:color="auto"/>
              <w:bottom w:val="single" w:sz="8" w:space="0" w:color="auto"/>
              <w:right w:val="single" w:sz="8" w:space="0" w:color="000000"/>
            </w:tcBorders>
            <w:vAlign w:val="center"/>
            <w:hideMark/>
          </w:tcPr>
          <w:p w:rsidR="006C3A6A" w:rsidRPr="006C3A6A" w:rsidP="00964EC6" w14:paraId="31CA4B7D" w14:textId="77777777">
            <w:pPr>
              <w:keepNext/>
              <w:keepLines/>
              <w:jc w:val="center"/>
              <w:rPr>
                <w:color w:val="000000"/>
                <w:szCs w:val="24"/>
              </w:rPr>
            </w:pPr>
            <w:r w:rsidRPr="006C3A6A">
              <w:rPr>
                <w:color w:val="000000"/>
                <w:szCs w:val="24"/>
              </w:rPr>
              <w:t>Table 1. Summary of Estimated Annual Burden (OMB No. 3064-0189)</w:t>
            </w:r>
          </w:p>
        </w:tc>
      </w:tr>
      <w:tr w14:paraId="6D75187F" w14:textId="77777777" w:rsidTr="00964EC6">
        <w:tblPrEx>
          <w:tblW w:w="10350" w:type="dxa"/>
          <w:tblCellMar>
            <w:top w:w="15" w:type="dxa"/>
          </w:tblCellMar>
          <w:tblLook w:val="04A0"/>
        </w:tblPrEx>
        <w:trPr>
          <w:trHeight w:val="1140"/>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0A4C1F29" w14:textId="77777777">
            <w:pPr>
              <w:keepNext/>
              <w:keepLines/>
              <w:rPr>
                <w:color w:val="000000"/>
                <w:sz w:val="20"/>
              </w:rPr>
            </w:pPr>
            <w:r w:rsidRPr="006C3A6A">
              <w:rPr>
                <w:color w:val="000000"/>
                <w:sz w:val="20"/>
              </w:rPr>
              <w:t>Information Collection (IC) (Obligation to Respond)</w:t>
            </w:r>
          </w:p>
        </w:tc>
        <w:tc>
          <w:tcPr>
            <w:tcW w:w="1728" w:type="dxa"/>
            <w:tcBorders>
              <w:top w:val="nil"/>
              <w:left w:val="nil"/>
              <w:bottom w:val="single" w:sz="8" w:space="0" w:color="auto"/>
              <w:right w:val="single" w:sz="8" w:space="0" w:color="auto"/>
            </w:tcBorders>
            <w:vAlign w:val="center"/>
            <w:hideMark/>
          </w:tcPr>
          <w:p w:rsidR="006C3A6A" w:rsidRPr="006C3A6A" w:rsidP="00964EC6" w14:paraId="2554208B" w14:textId="77777777">
            <w:pPr>
              <w:keepNext/>
              <w:keepLines/>
              <w:jc w:val="center"/>
              <w:rPr>
                <w:color w:val="000000"/>
                <w:sz w:val="20"/>
              </w:rPr>
            </w:pPr>
            <w:r w:rsidRPr="006C3A6A">
              <w:rPr>
                <w:color w:val="000000"/>
                <w:sz w:val="20"/>
              </w:rPr>
              <w:t>Type of Burden</w:t>
            </w:r>
            <w:r w:rsidRPr="006C3A6A">
              <w:rPr>
                <w:color w:val="000000"/>
                <w:sz w:val="20"/>
              </w:rPr>
              <w:br/>
              <w:t>(Frequency of Response)</w:t>
            </w:r>
          </w:p>
        </w:tc>
        <w:tc>
          <w:tcPr>
            <w:tcW w:w="1461" w:type="dxa"/>
            <w:tcBorders>
              <w:top w:val="nil"/>
              <w:left w:val="nil"/>
              <w:bottom w:val="single" w:sz="8" w:space="0" w:color="auto"/>
              <w:right w:val="single" w:sz="8" w:space="0" w:color="auto"/>
            </w:tcBorders>
            <w:vAlign w:val="center"/>
            <w:hideMark/>
          </w:tcPr>
          <w:p w:rsidR="006C3A6A" w:rsidRPr="006C3A6A" w:rsidP="00964EC6" w14:paraId="27713443" w14:textId="77777777">
            <w:pPr>
              <w:keepNext/>
              <w:keepLines/>
              <w:jc w:val="center"/>
              <w:rPr>
                <w:color w:val="000000"/>
                <w:sz w:val="20"/>
              </w:rPr>
            </w:pPr>
            <w:r w:rsidRPr="006C3A6A">
              <w:rPr>
                <w:color w:val="000000"/>
                <w:sz w:val="20"/>
              </w:rPr>
              <w:t xml:space="preserve"> Number of Respondents</w:t>
            </w:r>
          </w:p>
        </w:tc>
        <w:tc>
          <w:tcPr>
            <w:tcW w:w="1838" w:type="dxa"/>
            <w:tcBorders>
              <w:top w:val="nil"/>
              <w:left w:val="nil"/>
              <w:bottom w:val="single" w:sz="8" w:space="0" w:color="auto"/>
              <w:right w:val="single" w:sz="8" w:space="0" w:color="auto"/>
            </w:tcBorders>
            <w:vAlign w:val="center"/>
            <w:hideMark/>
          </w:tcPr>
          <w:p w:rsidR="006C3A6A" w:rsidRPr="006C3A6A" w:rsidP="00964EC6" w14:paraId="3CEEB7EC" w14:textId="77777777">
            <w:pPr>
              <w:keepNext/>
              <w:keepLines/>
              <w:jc w:val="center"/>
              <w:rPr>
                <w:color w:val="000000"/>
                <w:sz w:val="20"/>
              </w:rPr>
            </w:pPr>
            <w:r w:rsidRPr="006C3A6A">
              <w:rPr>
                <w:color w:val="000000"/>
                <w:sz w:val="20"/>
              </w:rPr>
              <w:t xml:space="preserve"> Number of Responses per Respondent</w:t>
            </w:r>
          </w:p>
        </w:tc>
        <w:tc>
          <w:tcPr>
            <w:tcW w:w="1215" w:type="dxa"/>
            <w:tcBorders>
              <w:top w:val="nil"/>
              <w:left w:val="nil"/>
              <w:bottom w:val="single" w:sz="8" w:space="0" w:color="auto"/>
              <w:right w:val="single" w:sz="8" w:space="0" w:color="auto"/>
            </w:tcBorders>
            <w:vAlign w:val="center"/>
            <w:hideMark/>
          </w:tcPr>
          <w:p w:rsidR="006C3A6A" w:rsidRPr="006C3A6A" w:rsidP="00964EC6" w14:paraId="2D129A73" w14:textId="77777777">
            <w:pPr>
              <w:keepNext/>
              <w:keepLines/>
              <w:jc w:val="center"/>
              <w:rPr>
                <w:color w:val="000000"/>
                <w:sz w:val="20"/>
              </w:rPr>
            </w:pPr>
            <w:r w:rsidRPr="006C3A6A">
              <w:rPr>
                <w:color w:val="000000"/>
                <w:sz w:val="20"/>
              </w:rPr>
              <w:t>Average Time per Response (HH:MM)</w:t>
            </w:r>
          </w:p>
        </w:tc>
        <w:tc>
          <w:tcPr>
            <w:tcW w:w="985" w:type="dxa"/>
            <w:tcBorders>
              <w:top w:val="nil"/>
              <w:left w:val="nil"/>
              <w:bottom w:val="single" w:sz="8" w:space="0" w:color="auto"/>
              <w:right w:val="single" w:sz="8" w:space="0" w:color="auto"/>
            </w:tcBorders>
            <w:vAlign w:val="center"/>
            <w:hideMark/>
          </w:tcPr>
          <w:p w:rsidR="006C3A6A" w:rsidRPr="006C3A6A" w:rsidP="00964EC6" w14:paraId="3DBBECB8" w14:textId="77777777">
            <w:pPr>
              <w:keepNext/>
              <w:keepLines/>
              <w:jc w:val="center"/>
              <w:rPr>
                <w:color w:val="000000"/>
                <w:sz w:val="20"/>
              </w:rPr>
            </w:pPr>
            <w:r w:rsidRPr="006C3A6A">
              <w:rPr>
                <w:color w:val="000000"/>
                <w:sz w:val="20"/>
              </w:rPr>
              <w:t>Annual Burden (Hours)</w:t>
            </w:r>
          </w:p>
        </w:tc>
      </w:tr>
      <w:tr w14:paraId="470FA8F5" w14:textId="77777777" w:rsidTr="00964EC6">
        <w:tblPrEx>
          <w:tblW w:w="10350" w:type="dxa"/>
          <w:tblCellMar>
            <w:top w:w="15" w:type="dxa"/>
          </w:tblCellMar>
          <w:tblLook w:val="04A0"/>
        </w:tblPrEx>
        <w:trPr>
          <w:trHeight w:val="1905"/>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4039AF2E" w14:textId="77777777">
            <w:pPr>
              <w:keepNext/>
              <w:keepLines/>
              <w:rPr>
                <w:color w:val="000000"/>
                <w:sz w:val="20"/>
              </w:rPr>
            </w:pPr>
            <w:r w:rsidRPr="006C3A6A">
              <w:rPr>
                <w:color w:val="000000"/>
                <w:sz w:val="20"/>
              </w:rPr>
              <w:t xml:space="preserve">1. Annual Stress Test Reporting Template and Documentation for covered banks with total consolidated assets of $250 billion or more, 12 CFR Part </w:t>
            </w:r>
            <w:r w:rsidRPr="006C3A6A">
              <w:rPr>
                <w:color w:val="000000"/>
                <w:sz w:val="20"/>
              </w:rPr>
              <w:t>325.6  (</w:t>
            </w:r>
            <w:r w:rsidRPr="006C3A6A">
              <w:rPr>
                <w:color w:val="000000"/>
                <w:sz w:val="20"/>
              </w:rPr>
              <w:t>Mandatory)</w:t>
            </w:r>
          </w:p>
        </w:tc>
        <w:tc>
          <w:tcPr>
            <w:tcW w:w="1728" w:type="dxa"/>
            <w:tcBorders>
              <w:top w:val="nil"/>
              <w:left w:val="nil"/>
              <w:bottom w:val="single" w:sz="8" w:space="0" w:color="auto"/>
              <w:right w:val="single" w:sz="8" w:space="0" w:color="auto"/>
            </w:tcBorders>
            <w:vAlign w:val="center"/>
            <w:hideMark/>
          </w:tcPr>
          <w:p w:rsidR="006C3A6A" w:rsidRPr="006C3A6A" w:rsidP="00964EC6" w14:paraId="0002590C" w14:textId="77777777">
            <w:pPr>
              <w:keepNext/>
              <w:keepLines/>
              <w:jc w:val="center"/>
              <w:rPr>
                <w:color w:val="000000"/>
                <w:sz w:val="20"/>
              </w:rPr>
            </w:pPr>
            <w:r w:rsidRPr="006C3A6A">
              <w:rPr>
                <w:color w:val="000000"/>
                <w:sz w:val="20"/>
              </w:rPr>
              <w:t>Reporting</w:t>
            </w:r>
            <w:r w:rsidRPr="006C3A6A">
              <w:rPr>
                <w:color w:val="000000"/>
                <w:sz w:val="20"/>
              </w:rPr>
              <w:br/>
              <w:t>(Biennial)</w:t>
            </w:r>
          </w:p>
        </w:tc>
        <w:tc>
          <w:tcPr>
            <w:tcW w:w="1461" w:type="dxa"/>
            <w:tcBorders>
              <w:top w:val="nil"/>
              <w:left w:val="nil"/>
              <w:bottom w:val="single" w:sz="8" w:space="0" w:color="auto"/>
              <w:right w:val="single" w:sz="8" w:space="0" w:color="auto"/>
            </w:tcBorders>
            <w:noWrap/>
            <w:vAlign w:val="center"/>
            <w:hideMark/>
          </w:tcPr>
          <w:p w:rsidR="006C3A6A" w:rsidRPr="006C3A6A" w:rsidP="00964EC6" w14:paraId="751ED2F6" w14:textId="77777777">
            <w:pPr>
              <w:keepNext/>
              <w:keepLines/>
              <w:jc w:val="right"/>
              <w:rPr>
                <w:sz w:val="20"/>
              </w:rPr>
            </w:pPr>
            <w:r w:rsidRPr="006C3A6A">
              <w:rPr>
                <w:sz w:val="20"/>
              </w:rPr>
              <w:t>1</w:t>
            </w:r>
          </w:p>
        </w:tc>
        <w:tc>
          <w:tcPr>
            <w:tcW w:w="1838" w:type="dxa"/>
            <w:tcBorders>
              <w:top w:val="nil"/>
              <w:left w:val="nil"/>
              <w:bottom w:val="single" w:sz="8" w:space="0" w:color="auto"/>
              <w:right w:val="single" w:sz="8" w:space="0" w:color="auto"/>
            </w:tcBorders>
            <w:shd w:val="clear" w:color="000000" w:fill="FFFFFF"/>
            <w:noWrap/>
            <w:vAlign w:val="center"/>
            <w:hideMark/>
          </w:tcPr>
          <w:p w:rsidR="006C3A6A" w:rsidRPr="006C3A6A" w:rsidP="00964EC6" w14:paraId="3A900AA6" w14:textId="77777777">
            <w:pPr>
              <w:keepNext/>
              <w:keepLines/>
              <w:jc w:val="right"/>
              <w:rPr>
                <w:sz w:val="20"/>
              </w:rPr>
            </w:pPr>
            <w:r w:rsidRPr="006C3A6A">
              <w:rPr>
                <w:sz w:val="20"/>
              </w:rPr>
              <w:t>0.667</w:t>
            </w:r>
          </w:p>
        </w:tc>
        <w:tc>
          <w:tcPr>
            <w:tcW w:w="1215" w:type="dxa"/>
            <w:tcBorders>
              <w:top w:val="nil"/>
              <w:left w:val="nil"/>
              <w:bottom w:val="single" w:sz="8" w:space="0" w:color="auto"/>
              <w:right w:val="nil"/>
            </w:tcBorders>
            <w:vAlign w:val="center"/>
            <w:hideMark/>
          </w:tcPr>
          <w:p w:rsidR="006C3A6A" w:rsidRPr="006C3A6A" w:rsidP="00964EC6" w14:paraId="42F55D7E" w14:textId="77777777">
            <w:pPr>
              <w:keepNext/>
              <w:keepLines/>
              <w:jc w:val="right"/>
              <w:rPr>
                <w:color w:val="000000"/>
                <w:sz w:val="20"/>
              </w:rPr>
            </w:pPr>
            <w:r w:rsidRPr="006C3A6A">
              <w:rPr>
                <w:color w:val="000000"/>
                <w:sz w:val="20"/>
              </w:rPr>
              <w:t>240:00</w:t>
            </w:r>
          </w:p>
        </w:tc>
        <w:tc>
          <w:tcPr>
            <w:tcW w:w="985" w:type="dxa"/>
            <w:tcBorders>
              <w:top w:val="nil"/>
              <w:left w:val="single" w:sz="8" w:space="0" w:color="auto"/>
              <w:bottom w:val="single" w:sz="8" w:space="0" w:color="auto"/>
              <w:right w:val="single" w:sz="8" w:space="0" w:color="auto"/>
            </w:tcBorders>
            <w:noWrap/>
            <w:vAlign w:val="center"/>
            <w:hideMark/>
          </w:tcPr>
          <w:p w:rsidR="006C3A6A" w:rsidRPr="006C3A6A" w:rsidP="00964EC6" w14:paraId="5A1086C9" w14:textId="77777777">
            <w:pPr>
              <w:keepNext/>
              <w:keepLines/>
              <w:jc w:val="right"/>
              <w:rPr>
                <w:color w:val="000000"/>
                <w:sz w:val="20"/>
              </w:rPr>
            </w:pPr>
            <w:r w:rsidRPr="006C3A6A">
              <w:rPr>
                <w:color w:val="000000"/>
                <w:sz w:val="20"/>
              </w:rPr>
              <w:t>240</w:t>
            </w:r>
          </w:p>
        </w:tc>
      </w:tr>
      <w:tr w14:paraId="626DAB4C" w14:textId="77777777" w:rsidTr="00964EC6">
        <w:tblPrEx>
          <w:tblW w:w="10350" w:type="dxa"/>
          <w:tblCellMar>
            <w:top w:w="15" w:type="dxa"/>
          </w:tblCellMar>
          <w:tblLook w:val="04A0"/>
        </w:tblPrEx>
        <w:trPr>
          <w:trHeight w:val="1635"/>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3ED193F9" w14:textId="77777777">
            <w:pPr>
              <w:keepNext/>
              <w:keepLines/>
              <w:rPr>
                <w:color w:val="000000"/>
                <w:sz w:val="20"/>
              </w:rPr>
            </w:pPr>
            <w:r w:rsidRPr="006C3A6A">
              <w:rPr>
                <w:color w:val="000000"/>
                <w:sz w:val="20"/>
              </w:rPr>
              <w:t>2. Methodologies and Practices for covered banks with total consolidated assets of $250 billion or more, 12 CFR Part 325.5 (Mandatory)</w:t>
            </w:r>
          </w:p>
        </w:tc>
        <w:tc>
          <w:tcPr>
            <w:tcW w:w="1728" w:type="dxa"/>
            <w:tcBorders>
              <w:top w:val="nil"/>
              <w:left w:val="nil"/>
              <w:bottom w:val="single" w:sz="8" w:space="0" w:color="auto"/>
              <w:right w:val="single" w:sz="8" w:space="0" w:color="auto"/>
            </w:tcBorders>
            <w:vAlign w:val="center"/>
            <w:hideMark/>
          </w:tcPr>
          <w:p w:rsidR="006C3A6A" w:rsidRPr="006C3A6A" w:rsidP="00964EC6" w14:paraId="0926908D" w14:textId="77777777">
            <w:pPr>
              <w:keepNext/>
              <w:keepLines/>
              <w:jc w:val="center"/>
              <w:rPr>
                <w:color w:val="000000"/>
                <w:sz w:val="20"/>
              </w:rPr>
            </w:pPr>
            <w:r w:rsidRPr="006C3A6A">
              <w:rPr>
                <w:color w:val="000000"/>
                <w:sz w:val="20"/>
              </w:rPr>
              <w:t>Recordkeeping</w:t>
            </w:r>
            <w:r w:rsidRPr="006C3A6A">
              <w:rPr>
                <w:color w:val="000000"/>
                <w:sz w:val="20"/>
              </w:rPr>
              <w:br/>
              <w:t>(Biennial)</w:t>
            </w:r>
          </w:p>
        </w:tc>
        <w:tc>
          <w:tcPr>
            <w:tcW w:w="1461" w:type="dxa"/>
            <w:tcBorders>
              <w:top w:val="nil"/>
              <w:left w:val="nil"/>
              <w:bottom w:val="single" w:sz="8" w:space="0" w:color="auto"/>
              <w:right w:val="single" w:sz="8" w:space="0" w:color="auto"/>
            </w:tcBorders>
            <w:noWrap/>
            <w:vAlign w:val="center"/>
            <w:hideMark/>
          </w:tcPr>
          <w:p w:rsidR="006C3A6A" w:rsidRPr="006C3A6A" w:rsidP="00964EC6" w14:paraId="27842394" w14:textId="77777777">
            <w:pPr>
              <w:keepNext/>
              <w:keepLines/>
              <w:jc w:val="right"/>
              <w:rPr>
                <w:sz w:val="20"/>
              </w:rPr>
            </w:pPr>
            <w:r w:rsidRPr="006C3A6A">
              <w:rPr>
                <w:sz w:val="20"/>
              </w:rPr>
              <w:t>1</w:t>
            </w:r>
          </w:p>
        </w:tc>
        <w:tc>
          <w:tcPr>
            <w:tcW w:w="1838" w:type="dxa"/>
            <w:tcBorders>
              <w:top w:val="nil"/>
              <w:left w:val="nil"/>
              <w:bottom w:val="single" w:sz="8" w:space="0" w:color="auto"/>
              <w:right w:val="single" w:sz="8" w:space="0" w:color="auto"/>
            </w:tcBorders>
            <w:shd w:val="clear" w:color="000000" w:fill="FFFFFF"/>
            <w:noWrap/>
            <w:vAlign w:val="center"/>
            <w:hideMark/>
          </w:tcPr>
          <w:p w:rsidR="006C3A6A" w:rsidRPr="006C3A6A" w:rsidP="00964EC6" w14:paraId="13559AA4" w14:textId="77777777">
            <w:pPr>
              <w:keepNext/>
              <w:keepLines/>
              <w:jc w:val="right"/>
              <w:rPr>
                <w:sz w:val="20"/>
              </w:rPr>
            </w:pPr>
            <w:r w:rsidRPr="006C3A6A">
              <w:rPr>
                <w:sz w:val="20"/>
              </w:rPr>
              <w:t>0.667</w:t>
            </w:r>
          </w:p>
        </w:tc>
        <w:tc>
          <w:tcPr>
            <w:tcW w:w="1215" w:type="dxa"/>
            <w:tcBorders>
              <w:top w:val="nil"/>
              <w:left w:val="nil"/>
              <w:bottom w:val="single" w:sz="8" w:space="0" w:color="auto"/>
              <w:right w:val="nil"/>
            </w:tcBorders>
            <w:vAlign w:val="center"/>
            <w:hideMark/>
          </w:tcPr>
          <w:p w:rsidR="006C3A6A" w:rsidRPr="006C3A6A" w:rsidP="00964EC6" w14:paraId="561A500E" w14:textId="77777777">
            <w:pPr>
              <w:keepNext/>
              <w:keepLines/>
              <w:jc w:val="right"/>
              <w:rPr>
                <w:color w:val="000000"/>
                <w:sz w:val="20"/>
              </w:rPr>
            </w:pPr>
            <w:r w:rsidRPr="006C3A6A">
              <w:rPr>
                <w:color w:val="000000"/>
                <w:sz w:val="20"/>
              </w:rPr>
              <w:t>640:00</w:t>
            </w:r>
          </w:p>
        </w:tc>
        <w:tc>
          <w:tcPr>
            <w:tcW w:w="985" w:type="dxa"/>
            <w:tcBorders>
              <w:top w:val="nil"/>
              <w:left w:val="single" w:sz="8" w:space="0" w:color="auto"/>
              <w:bottom w:val="single" w:sz="8" w:space="0" w:color="auto"/>
              <w:right w:val="single" w:sz="8" w:space="0" w:color="auto"/>
            </w:tcBorders>
            <w:noWrap/>
            <w:vAlign w:val="center"/>
            <w:hideMark/>
          </w:tcPr>
          <w:p w:rsidR="006C3A6A" w:rsidRPr="006C3A6A" w:rsidP="00964EC6" w14:paraId="4A7E180E" w14:textId="77777777">
            <w:pPr>
              <w:keepNext/>
              <w:keepLines/>
              <w:jc w:val="right"/>
              <w:rPr>
                <w:color w:val="000000"/>
                <w:sz w:val="20"/>
              </w:rPr>
            </w:pPr>
            <w:r w:rsidRPr="006C3A6A">
              <w:rPr>
                <w:color w:val="000000"/>
                <w:sz w:val="20"/>
              </w:rPr>
              <w:t>640</w:t>
            </w:r>
          </w:p>
        </w:tc>
      </w:tr>
      <w:tr w14:paraId="277CB677" w14:textId="77777777" w:rsidTr="00964EC6">
        <w:tblPrEx>
          <w:tblW w:w="10350" w:type="dxa"/>
          <w:tblCellMar>
            <w:top w:w="15" w:type="dxa"/>
          </w:tblCellMar>
          <w:tblLook w:val="04A0"/>
        </w:tblPrEx>
        <w:trPr>
          <w:trHeight w:val="960"/>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24517720" w14:textId="77777777">
            <w:pPr>
              <w:keepNext/>
              <w:keepLines/>
              <w:rPr>
                <w:color w:val="000000"/>
                <w:sz w:val="20"/>
              </w:rPr>
            </w:pPr>
            <w:r w:rsidRPr="006C3A6A">
              <w:rPr>
                <w:color w:val="000000"/>
                <w:sz w:val="20"/>
              </w:rPr>
              <w:t>3</w:t>
            </w:r>
            <w:r w:rsidRPr="006C3A6A">
              <w:rPr>
                <w:color w:val="000000"/>
                <w:sz w:val="20"/>
              </w:rPr>
              <w:t>.  Publication</w:t>
            </w:r>
            <w:r w:rsidRPr="006C3A6A">
              <w:rPr>
                <w:color w:val="000000"/>
                <w:sz w:val="20"/>
              </w:rPr>
              <w:t xml:space="preserve"> - covered banks with total consolidated assets of $250 billion or more, 12 CFR Part 325.7 (Mandatory)</w:t>
            </w:r>
          </w:p>
        </w:tc>
        <w:tc>
          <w:tcPr>
            <w:tcW w:w="1728" w:type="dxa"/>
            <w:tcBorders>
              <w:top w:val="nil"/>
              <w:left w:val="nil"/>
              <w:bottom w:val="single" w:sz="8" w:space="0" w:color="auto"/>
              <w:right w:val="single" w:sz="8" w:space="0" w:color="auto"/>
            </w:tcBorders>
            <w:vAlign w:val="center"/>
            <w:hideMark/>
          </w:tcPr>
          <w:p w:rsidR="006C3A6A" w:rsidRPr="006C3A6A" w:rsidP="00964EC6" w14:paraId="6453CB68" w14:textId="77777777">
            <w:pPr>
              <w:keepNext/>
              <w:keepLines/>
              <w:jc w:val="center"/>
              <w:rPr>
                <w:color w:val="000000"/>
                <w:sz w:val="20"/>
              </w:rPr>
            </w:pPr>
            <w:r w:rsidRPr="006C3A6A">
              <w:rPr>
                <w:color w:val="000000"/>
                <w:sz w:val="20"/>
              </w:rPr>
              <w:t>Third-Party Disclosure</w:t>
            </w:r>
            <w:r w:rsidRPr="006C3A6A">
              <w:rPr>
                <w:color w:val="000000"/>
                <w:sz w:val="20"/>
              </w:rPr>
              <w:br/>
              <w:t>(Biennial)</w:t>
            </w:r>
          </w:p>
        </w:tc>
        <w:tc>
          <w:tcPr>
            <w:tcW w:w="1461" w:type="dxa"/>
            <w:tcBorders>
              <w:top w:val="nil"/>
              <w:left w:val="nil"/>
              <w:bottom w:val="single" w:sz="8" w:space="0" w:color="auto"/>
              <w:right w:val="single" w:sz="8" w:space="0" w:color="auto"/>
            </w:tcBorders>
            <w:noWrap/>
            <w:vAlign w:val="center"/>
            <w:hideMark/>
          </w:tcPr>
          <w:p w:rsidR="006C3A6A" w:rsidRPr="006C3A6A" w:rsidP="00964EC6" w14:paraId="7DAF4B3D" w14:textId="77777777">
            <w:pPr>
              <w:keepNext/>
              <w:keepLines/>
              <w:jc w:val="right"/>
              <w:rPr>
                <w:sz w:val="20"/>
              </w:rPr>
            </w:pPr>
            <w:r w:rsidRPr="006C3A6A">
              <w:rPr>
                <w:sz w:val="20"/>
              </w:rPr>
              <w:t>1</w:t>
            </w:r>
          </w:p>
        </w:tc>
        <w:tc>
          <w:tcPr>
            <w:tcW w:w="1838" w:type="dxa"/>
            <w:tcBorders>
              <w:top w:val="nil"/>
              <w:left w:val="nil"/>
              <w:bottom w:val="single" w:sz="8" w:space="0" w:color="auto"/>
              <w:right w:val="single" w:sz="8" w:space="0" w:color="auto"/>
            </w:tcBorders>
            <w:shd w:val="clear" w:color="000000" w:fill="FFFFFF"/>
            <w:noWrap/>
            <w:vAlign w:val="center"/>
            <w:hideMark/>
          </w:tcPr>
          <w:p w:rsidR="006C3A6A" w:rsidRPr="006C3A6A" w:rsidP="00964EC6" w14:paraId="48E66A08" w14:textId="77777777">
            <w:pPr>
              <w:keepNext/>
              <w:keepLines/>
              <w:jc w:val="right"/>
              <w:rPr>
                <w:sz w:val="20"/>
              </w:rPr>
            </w:pPr>
            <w:r w:rsidRPr="006C3A6A">
              <w:rPr>
                <w:sz w:val="20"/>
              </w:rPr>
              <w:t>0.667</w:t>
            </w:r>
          </w:p>
        </w:tc>
        <w:tc>
          <w:tcPr>
            <w:tcW w:w="1215" w:type="dxa"/>
            <w:tcBorders>
              <w:top w:val="nil"/>
              <w:left w:val="nil"/>
              <w:bottom w:val="single" w:sz="8" w:space="0" w:color="auto"/>
              <w:right w:val="nil"/>
            </w:tcBorders>
            <w:vAlign w:val="center"/>
            <w:hideMark/>
          </w:tcPr>
          <w:p w:rsidR="006C3A6A" w:rsidRPr="006C3A6A" w:rsidP="00964EC6" w14:paraId="4A7E8CF2" w14:textId="77777777">
            <w:pPr>
              <w:keepNext/>
              <w:keepLines/>
              <w:jc w:val="right"/>
              <w:rPr>
                <w:color w:val="000000"/>
                <w:sz w:val="20"/>
              </w:rPr>
            </w:pPr>
            <w:r w:rsidRPr="006C3A6A">
              <w:rPr>
                <w:color w:val="000000"/>
                <w:sz w:val="20"/>
              </w:rPr>
              <w:t>160:00</w:t>
            </w:r>
          </w:p>
        </w:tc>
        <w:tc>
          <w:tcPr>
            <w:tcW w:w="985" w:type="dxa"/>
            <w:tcBorders>
              <w:top w:val="nil"/>
              <w:left w:val="single" w:sz="8" w:space="0" w:color="auto"/>
              <w:bottom w:val="single" w:sz="8" w:space="0" w:color="auto"/>
              <w:right w:val="single" w:sz="8" w:space="0" w:color="auto"/>
            </w:tcBorders>
            <w:noWrap/>
            <w:vAlign w:val="center"/>
            <w:hideMark/>
          </w:tcPr>
          <w:p w:rsidR="006C3A6A" w:rsidRPr="006C3A6A" w:rsidP="00964EC6" w14:paraId="73F20A29" w14:textId="77777777">
            <w:pPr>
              <w:keepNext/>
              <w:keepLines/>
              <w:jc w:val="right"/>
              <w:rPr>
                <w:color w:val="000000"/>
                <w:sz w:val="20"/>
              </w:rPr>
            </w:pPr>
            <w:r w:rsidRPr="006C3A6A">
              <w:rPr>
                <w:color w:val="000000"/>
                <w:sz w:val="20"/>
              </w:rPr>
              <w:t>160</w:t>
            </w:r>
          </w:p>
        </w:tc>
      </w:tr>
      <w:tr w14:paraId="6626D89C" w14:textId="77777777" w:rsidTr="00964EC6">
        <w:tblPrEx>
          <w:tblW w:w="10350" w:type="dxa"/>
          <w:tblCellMar>
            <w:top w:w="15" w:type="dxa"/>
          </w:tblCellMar>
          <w:tblLook w:val="04A0"/>
        </w:tblPrEx>
        <w:trPr>
          <w:trHeight w:val="2175"/>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7670B889" w14:textId="77777777">
            <w:pPr>
              <w:keepNext/>
              <w:keepLines/>
              <w:rPr>
                <w:color w:val="000000"/>
                <w:sz w:val="20"/>
              </w:rPr>
            </w:pPr>
            <w:r w:rsidRPr="006C3A6A">
              <w:rPr>
                <w:color w:val="000000"/>
                <w:sz w:val="20"/>
              </w:rPr>
              <w:t>4. Documentation of Assumptions, Uncertainties and Limitations for FDIC-supervised IDIs with total consolidated assets of $10 billion or more, 2009 Interagency Guidance (Voluntary)</w:t>
            </w:r>
          </w:p>
        </w:tc>
        <w:tc>
          <w:tcPr>
            <w:tcW w:w="1728" w:type="dxa"/>
            <w:tcBorders>
              <w:top w:val="nil"/>
              <w:left w:val="nil"/>
              <w:bottom w:val="single" w:sz="8" w:space="0" w:color="auto"/>
              <w:right w:val="single" w:sz="8" w:space="0" w:color="auto"/>
            </w:tcBorders>
            <w:vAlign w:val="center"/>
            <w:hideMark/>
          </w:tcPr>
          <w:p w:rsidR="006C3A6A" w:rsidRPr="006C3A6A" w:rsidP="00964EC6" w14:paraId="5D6460A5" w14:textId="77777777">
            <w:pPr>
              <w:keepNext/>
              <w:keepLines/>
              <w:jc w:val="center"/>
              <w:rPr>
                <w:color w:val="000000"/>
                <w:sz w:val="20"/>
              </w:rPr>
            </w:pPr>
            <w:r w:rsidRPr="006C3A6A">
              <w:rPr>
                <w:color w:val="000000"/>
                <w:sz w:val="20"/>
              </w:rPr>
              <w:t>Recordkeeping</w:t>
            </w:r>
            <w:r w:rsidRPr="006C3A6A">
              <w:rPr>
                <w:color w:val="000000"/>
                <w:sz w:val="20"/>
              </w:rPr>
              <w:br/>
              <w:t>(Annual)</w:t>
            </w:r>
          </w:p>
        </w:tc>
        <w:tc>
          <w:tcPr>
            <w:tcW w:w="1461" w:type="dxa"/>
            <w:tcBorders>
              <w:top w:val="nil"/>
              <w:left w:val="nil"/>
              <w:bottom w:val="single" w:sz="8" w:space="0" w:color="auto"/>
              <w:right w:val="single" w:sz="8" w:space="0" w:color="auto"/>
            </w:tcBorders>
            <w:noWrap/>
            <w:vAlign w:val="center"/>
            <w:hideMark/>
          </w:tcPr>
          <w:p w:rsidR="006C3A6A" w:rsidRPr="006C3A6A" w:rsidP="00964EC6" w14:paraId="6EDC83F6" w14:textId="77777777">
            <w:pPr>
              <w:keepNext/>
              <w:keepLines/>
              <w:jc w:val="right"/>
              <w:rPr>
                <w:sz w:val="20"/>
              </w:rPr>
            </w:pPr>
            <w:r w:rsidRPr="006C3A6A">
              <w:rPr>
                <w:sz w:val="20"/>
              </w:rPr>
              <w:t>48</w:t>
            </w:r>
          </w:p>
        </w:tc>
        <w:tc>
          <w:tcPr>
            <w:tcW w:w="1838" w:type="dxa"/>
            <w:tcBorders>
              <w:top w:val="nil"/>
              <w:left w:val="nil"/>
              <w:bottom w:val="single" w:sz="8" w:space="0" w:color="auto"/>
              <w:right w:val="single" w:sz="8" w:space="0" w:color="auto"/>
            </w:tcBorders>
            <w:shd w:val="clear" w:color="000000" w:fill="FFFFFF"/>
            <w:noWrap/>
            <w:vAlign w:val="center"/>
            <w:hideMark/>
          </w:tcPr>
          <w:p w:rsidR="006C3A6A" w:rsidRPr="006C3A6A" w:rsidP="00964EC6" w14:paraId="1CBF7565" w14:textId="77777777">
            <w:pPr>
              <w:keepNext/>
              <w:keepLines/>
              <w:jc w:val="right"/>
              <w:rPr>
                <w:sz w:val="20"/>
              </w:rPr>
            </w:pPr>
            <w:r w:rsidRPr="006C3A6A">
              <w:rPr>
                <w:sz w:val="20"/>
              </w:rPr>
              <w:t>1</w:t>
            </w:r>
          </w:p>
        </w:tc>
        <w:tc>
          <w:tcPr>
            <w:tcW w:w="1215" w:type="dxa"/>
            <w:tcBorders>
              <w:top w:val="nil"/>
              <w:left w:val="nil"/>
              <w:bottom w:val="single" w:sz="8" w:space="0" w:color="auto"/>
              <w:right w:val="nil"/>
            </w:tcBorders>
            <w:vAlign w:val="center"/>
            <w:hideMark/>
          </w:tcPr>
          <w:p w:rsidR="006C3A6A" w:rsidRPr="006C3A6A" w:rsidP="00964EC6" w14:paraId="7807756F" w14:textId="77777777">
            <w:pPr>
              <w:keepNext/>
              <w:keepLines/>
              <w:jc w:val="right"/>
              <w:rPr>
                <w:color w:val="000000"/>
                <w:sz w:val="20"/>
              </w:rPr>
            </w:pPr>
            <w:r w:rsidRPr="006C3A6A">
              <w:rPr>
                <w:color w:val="000000"/>
                <w:sz w:val="20"/>
              </w:rPr>
              <w:t>40:00</w:t>
            </w:r>
          </w:p>
        </w:tc>
        <w:tc>
          <w:tcPr>
            <w:tcW w:w="985" w:type="dxa"/>
            <w:tcBorders>
              <w:top w:val="nil"/>
              <w:left w:val="single" w:sz="8" w:space="0" w:color="auto"/>
              <w:bottom w:val="single" w:sz="8" w:space="0" w:color="auto"/>
              <w:right w:val="single" w:sz="8" w:space="0" w:color="auto"/>
            </w:tcBorders>
            <w:noWrap/>
            <w:vAlign w:val="center"/>
            <w:hideMark/>
          </w:tcPr>
          <w:p w:rsidR="006C3A6A" w:rsidRPr="006C3A6A" w:rsidP="00964EC6" w14:paraId="51312A0B" w14:textId="77777777">
            <w:pPr>
              <w:keepNext/>
              <w:keepLines/>
              <w:jc w:val="right"/>
              <w:rPr>
                <w:color w:val="000000"/>
                <w:sz w:val="20"/>
              </w:rPr>
            </w:pPr>
            <w:r w:rsidRPr="006C3A6A">
              <w:rPr>
                <w:color w:val="000000"/>
                <w:sz w:val="20"/>
              </w:rPr>
              <w:t>1,920</w:t>
            </w:r>
          </w:p>
        </w:tc>
      </w:tr>
      <w:tr w14:paraId="0B2D4DF5" w14:textId="77777777" w:rsidTr="00964EC6">
        <w:tblPrEx>
          <w:tblW w:w="10350" w:type="dxa"/>
          <w:tblCellMar>
            <w:top w:w="15" w:type="dxa"/>
          </w:tblCellMar>
          <w:tblLook w:val="04A0"/>
        </w:tblPrEx>
        <w:trPr>
          <w:trHeight w:val="1635"/>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7B50D918" w14:textId="77777777">
            <w:pPr>
              <w:keepNext/>
              <w:keepLines/>
              <w:rPr>
                <w:color w:val="000000"/>
                <w:sz w:val="20"/>
              </w:rPr>
            </w:pPr>
            <w:r w:rsidRPr="006C3A6A">
              <w:rPr>
                <w:color w:val="000000"/>
                <w:sz w:val="20"/>
              </w:rPr>
              <w:t>5. Summary of Test Results for FDIC-supervised IDIs with total consolidated assets of $10 billion or more, 2009 Interagency Guidance (Voluntary)</w:t>
            </w:r>
          </w:p>
        </w:tc>
        <w:tc>
          <w:tcPr>
            <w:tcW w:w="1728" w:type="dxa"/>
            <w:tcBorders>
              <w:top w:val="nil"/>
              <w:left w:val="nil"/>
              <w:bottom w:val="single" w:sz="8" w:space="0" w:color="auto"/>
              <w:right w:val="single" w:sz="8" w:space="0" w:color="auto"/>
            </w:tcBorders>
            <w:vAlign w:val="center"/>
            <w:hideMark/>
          </w:tcPr>
          <w:p w:rsidR="006C3A6A" w:rsidRPr="006C3A6A" w:rsidP="00964EC6" w14:paraId="67A57AA8" w14:textId="77777777">
            <w:pPr>
              <w:keepNext/>
              <w:keepLines/>
              <w:jc w:val="center"/>
              <w:rPr>
                <w:color w:val="000000"/>
                <w:sz w:val="20"/>
              </w:rPr>
            </w:pPr>
            <w:r w:rsidRPr="006C3A6A">
              <w:rPr>
                <w:color w:val="000000"/>
                <w:sz w:val="20"/>
              </w:rPr>
              <w:t>Recordkeeping</w:t>
            </w:r>
            <w:r w:rsidRPr="006C3A6A">
              <w:rPr>
                <w:color w:val="000000"/>
                <w:sz w:val="20"/>
              </w:rPr>
              <w:br/>
              <w:t>(Annual)</w:t>
            </w:r>
          </w:p>
        </w:tc>
        <w:tc>
          <w:tcPr>
            <w:tcW w:w="1461" w:type="dxa"/>
            <w:tcBorders>
              <w:top w:val="nil"/>
              <w:left w:val="nil"/>
              <w:bottom w:val="single" w:sz="8" w:space="0" w:color="auto"/>
              <w:right w:val="single" w:sz="8" w:space="0" w:color="auto"/>
            </w:tcBorders>
            <w:noWrap/>
            <w:vAlign w:val="center"/>
            <w:hideMark/>
          </w:tcPr>
          <w:p w:rsidR="006C3A6A" w:rsidRPr="006C3A6A" w:rsidP="00964EC6" w14:paraId="525F727F" w14:textId="77777777">
            <w:pPr>
              <w:keepNext/>
              <w:keepLines/>
              <w:jc w:val="right"/>
              <w:rPr>
                <w:sz w:val="20"/>
              </w:rPr>
            </w:pPr>
            <w:r w:rsidRPr="006C3A6A">
              <w:rPr>
                <w:sz w:val="20"/>
              </w:rPr>
              <w:t>48</w:t>
            </w:r>
          </w:p>
        </w:tc>
        <w:tc>
          <w:tcPr>
            <w:tcW w:w="1838" w:type="dxa"/>
            <w:tcBorders>
              <w:top w:val="nil"/>
              <w:left w:val="nil"/>
              <w:bottom w:val="single" w:sz="8" w:space="0" w:color="auto"/>
              <w:right w:val="single" w:sz="8" w:space="0" w:color="auto"/>
            </w:tcBorders>
            <w:shd w:val="clear" w:color="000000" w:fill="FFFFFF"/>
            <w:noWrap/>
            <w:vAlign w:val="center"/>
            <w:hideMark/>
          </w:tcPr>
          <w:p w:rsidR="006C3A6A" w:rsidRPr="006C3A6A" w:rsidP="00964EC6" w14:paraId="32B84875" w14:textId="77777777">
            <w:pPr>
              <w:keepNext/>
              <w:keepLines/>
              <w:jc w:val="right"/>
              <w:rPr>
                <w:sz w:val="20"/>
              </w:rPr>
            </w:pPr>
            <w:r w:rsidRPr="006C3A6A">
              <w:rPr>
                <w:sz w:val="20"/>
              </w:rPr>
              <w:t>1</w:t>
            </w:r>
          </w:p>
        </w:tc>
        <w:tc>
          <w:tcPr>
            <w:tcW w:w="1215" w:type="dxa"/>
            <w:tcBorders>
              <w:top w:val="nil"/>
              <w:left w:val="nil"/>
              <w:bottom w:val="single" w:sz="8" w:space="0" w:color="auto"/>
              <w:right w:val="nil"/>
            </w:tcBorders>
            <w:vAlign w:val="center"/>
            <w:hideMark/>
          </w:tcPr>
          <w:p w:rsidR="006C3A6A" w:rsidRPr="006C3A6A" w:rsidP="00964EC6" w14:paraId="62C06D92" w14:textId="77777777">
            <w:pPr>
              <w:keepNext/>
              <w:keepLines/>
              <w:jc w:val="right"/>
              <w:rPr>
                <w:color w:val="000000"/>
                <w:sz w:val="20"/>
              </w:rPr>
            </w:pPr>
            <w:r w:rsidRPr="006C3A6A">
              <w:rPr>
                <w:color w:val="000000"/>
                <w:sz w:val="20"/>
              </w:rPr>
              <w:t>40:00</w:t>
            </w:r>
          </w:p>
        </w:tc>
        <w:tc>
          <w:tcPr>
            <w:tcW w:w="985" w:type="dxa"/>
            <w:tcBorders>
              <w:top w:val="nil"/>
              <w:left w:val="single" w:sz="8" w:space="0" w:color="auto"/>
              <w:bottom w:val="single" w:sz="8" w:space="0" w:color="auto"/>
              <w:right w:val="single" w:sz="8" w:space="0" w:color="auto"/>
            </w:tcBorders>
            <w:noWrap/>
            <w:vAlign w:val="center"/>
            <w:hideMark/>
          </w:tcPr>
          <w:p w:rsidR="006C3A6A" w:rsidRPr="006C3A6A" w:rsidP="00964EC6" w14:paraId="0B38554E" w14:textId="77777777">
            <w:pPr>
              <w:keepNext/>
              <w:keepLines/>
              <w:jc w:val="right"/>
              <w:rPr>
                <w:color w:val="000000"/>
                <w:sz w:val="20"/>
              </w:rPr>
            </w:pPr>
            <w:r w:rsidRPr="006C3A6A">
              <w:rPr>
                <w:color w:val="000000"/>
                <w:sz w:val="20"/>
              </w:rPr>
              <w:t>1,920</w:t>
            </w:r>
          </w:p>
        </w:tc>
      </w:tr>
      <w:tr w14:paraId="2F3A7562" w14:textId="77777777" w:rsidTr="00964EC6">
        <w:tblPrEx>
          <w:tblW w:w="10350" w:type="dxa"/>
          <w:tblCellMar>
            <w:top w:w="15" w:type="dxa"/>
          </w:tblCellMar>
          <w:tblLook w:val="04A0"/>
        </w:tblPrEx>
        <w:trPr>
          <w:trHeight w:val="1635"/>
        </w:trPr>
        <w:tc>
          <w:tcPr>
            <w:tcW w:w="3123" w:type="dxa"/>
            <w:tcBorders>
              <w:top w:val="nil"/>
              <w:left w:val="single" w:sz="8" w:space="0" w:color="auto"/>
              <w:bottom w:val="single" w:sz="8" w:space="0" w:color="auto"/>
              <w:right w:val="single" w:sz="8" w:space="0" w:color="auto"/>
            </w:tcBorders>
            <w:vAlign w:val="center"/>
            <w:hideMark/>
          </w:tcPr>
          <w:p w:rsidR="006C3A6A" w:rsidRPr="006C3A6A" w:rsidP="00964EC6" w14:paraId="64146174" w14:textId="77777777">
            <w:pPr>
              <w:keepNext/>
              <w:keepLines/>
              <w:rPr>
                <w:color w:val="000000"/>
                <w:sz w:val="20"/>
              </w:rPr>
            </w:pPr>
            <w:r w:rsidRPr="006C3A6A">
              <w:rPr>
                <w:color w:val="000000"/>
                <w:sz w:val="20"/>
              </w:rPr>
              <w:t>6. Policies and Procedures for FDIC-supervised IDIs with total consolidated assets of $10 billion or more, 2009 Interagency Guidance (Voluntary)</w:t>
            </w:r>
          </w:p>
        </w:tc>
        <w:tc>
          <w:tcPr>
            <w:tcW w:w="1728" w:type="dxa"/>
            <w:tcBorders>
              <w:top w:val="nil"/>
              <w:left w:val="nil"/>
              <w:bottom w:val="single" w:sz="8" w:space="0" w:color="auto"/>
              <w:right w:val="single" w:sz="8" w:space="0" w:color="auto"/>
            </w:tcBorders>
            <w:vAlign w:val="center"/>
            <w:hideMark/>
          </w:tcPr>
          <w:p w:rsidR="006C3A6A" w:rsidRPr="006C3A6A" w:rsidP="00964EC6" w14:paraId="7CEB9AD8" w14:textId="77777777">
            <w:pPr>
              <w:keepNext/>
              <w:keepLines/>
              <w:jc w:val="center"/>
              <w:rPr>
                <w:color w:val="000000"/>
                <w:sz w:val="20"/>
              </w:rPr>
            </w:pPr>
            <w:r w:rsidRPr="006C3A6A">
              <w:rPr>
                <w:color w:val="000000"/>
                <w:sz w:val="20"/>
              </w:rPr>
              <w:t>Recordkeeping</w:t>
            </w:r>
            <w:r w:rsidRPr="006C3A6A">
              <w:rPr>
                <w:color w:val="000000"/>
                <w:sz w:val="20"/>
              </w:rPr>
              <w:br/>
              <w:t>(Annual)</w:t>
            </w:r>
          </w:p>
        </w:tc>
        <w:tc>
          <w:tcPr>
            <w:tcW w:w="1461" w:type="dxa"/>
            <w:tcBorders>
              <w:top w:val="nil"/>
              <w:left w:val="nil"/>
              <w:bottom w:val="single" w:sz="8" w:space="0" w:color="auto"/>
              <w:right w:val="single" w:sz="8" w:space="0" w:color="auto"/>
            </w:tcBorders>
            <w:noWrap/>
            <w:vAlign w:val="center"/>
            <w:hideMark/>
          </w:tcPr>
          <w:p w:rsidR="006C3A6A" w:rsidRPr="006C3A6A" w:rsidP="00964EC6" w14:paraId="75A04C66" w14:textId="77777777">
            <w:pPr>
              <w:keepNext/>
              <w:keepLines/>
              <w:jc w:val="right"/>
              <w:rPr>
                <w:sz w:val="20"/>
              </w:rPr>
            </w:pPr>
            <w:r w:rsidRPr="006C3A6A">
              <w:rPr>
                <w:sz w:val="20"/>
              </w:rPr>
              <w:t>9</w:t>
            </w:r>
          </w:p>
        </w:tc>
        <w:tc>
          <w:tcPr>
            <w:tcW w:w="1838" w:type="dxa"/>
            <w:tcBorders>
              <w:top w:val="nil"/>
              <w:left w:val="nil"/>
              <w:bottom w:val="single" w:sz="8" w:space="0" w:color="auto"/>
              <w:right w:val="single" w:sz="8" w:space="0" w:color="auto"/>
            </w:tcBorders>
            <w:shd w:val="clear" w:color="000000" w:fill="FFFFFF"/>
            <w:noWrap/>
            <w:vAlign w:val="center"/>
            <w:hideMark/>
          </w:tcPr>
          <w:p w:rsidR="006C3A6A" w:rsidRPr="006C3A6A" w:rsidP="00964EC6" w14:paraId="219FCFAE" w14:textId="77777777">
            <w:pPr>
              <w:keepNext/>
              <w:keepLines/>
              <w:jc w:val="right"/>
              <w:rPr>
                <w:sz w:val="20"/>
              </w:rPr>
            </w:pPr>
            <w:r w:rsidRPr="006C3A6A">
              <w:rPr>
                <w:sz w:val="20"/>
              </w:rPr>
              <w:t>1</w:t>
            </w:r>
          </w:p>
        </w:tc>
        <w:tc>
          <w:tcPr>
            <w:tcW w:w="1215" w:type="dxa"/>
            <w:tcBorders>
              <w:top w:val="nil"/>
              <w:left w:val="nil"/>
              <w:bottom w:val="single" w:sz="8" w:space="0" w:color="auto"/>
              <w:right w:val="nil"/>
            </w:tcBorders>
            <w:vAlign w:val="center"/>
            <w:hideMark/>
          </w:tcPr>
          <w:p w:rsidR="006C3A6A" w:rsidRPr="006C3A6A" w:rsidP="00964EC6" w14:paraId="0AEF0BF9" w14:textId="77777777">
            <w:pPr>
              <w:keepNext/>
              <w:keepLines/>
              <w:jc w:val="right"/>
              <w:rPr>
                <w:color w:val="000000"/>
                <w:sz w:val="20"/>
              </w:rPr>
            </w:pPr>
            <w:r w:rsidRPr="006C3A6A">
              <w:rPr>
                <w:color w:val="000000"/>
                <w:sz w:val="20"/>
              </w:rPr>
              <w:t>180:00</w:t>
            </w:r>
          </w:p>
        </w:tc>
        <w:tc>
          <w:tcPr>
            <w:tcW w:w="985" w:type="dxa"/>
            <w:tcBorders>
              <w:top w:val="nil"/>
              <w:left w:val="single" w:sz="8" w:space="0" w:color="auto"/>
              <w:bottom w:val="single" w:sz="8" w:space="0" w:color="auto"/>
              <w:right w:val="single" w:sz="8" w:space="0" w:color="auto"/>
            </w:tcBorders>
            <w:noWrap/>
            <w:vAlign w:val="center"/>
            <w:hideMark/>
          </w:tcPr>
          <w:p w:rsidR="006C3A6A" w:rsidRPr="006C3A6A" w:rsidP="00964EC6" w14:paraId="0FAB070F" w14:textId="77777777">
            <w:pPr>
              <w:keepNext/>
              <w:keepLines/>
              <w:jc w:val="right"/>
              <w:rPr>
                <w:color w:val="000000"/>
                <w:sz w:val="20"/>
              </w:rPr>
            </w:pPr>
            <w:r w:rsidRPr="006C3A6A">
              <w:rPr>
                <w:color w:val="000000"/>
                <w:sz w:val="20"/>
              </w:rPr>
              <w:t>1,620</w:t>
            </w:r>
          </w:p>
        </w:tc>
      </w:tr>
      <w:tr w14:paraId="630E2230" w14:textId="77777777" w:rsidTr="00964EC6">
        <w:tblPrEx>
          <w:tblW w:w="10350" w:type="dxa"/>
          <w:tblCellMar>
            <w:top w:w="15" w:type="dxa"/>
          </w:tblCellMar>
          <w:tblLook w:val="04A0"/>
        </w:tblPrEx>
        <w:trPr>
          <w:trHeight w:val="300"/>
        </w:trPr>
        <w:tc>
          <w:tcPr>
            <w:tcW w:w="9365"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6C3A6A" w:rsidRPr="006C3A6A" w:rsidP="00964EC6" w14:paraId="70B60D83" w14:textId="77777777">
            <w:pPr>
              <w:keepNext/>
              <w:keepLines/>
              <w:jc w:val="right"/>
              <w:rPr>
                <w:b/>
                <w:bCs/>
                <w:i/>
                <w:iCs/>
                <w:color w:val="000000"/>
                <w:sz w:val="22"/>
                <w:szCs w:val="22"/>
              </w:rPr>
            </w:pPr>
            <w:r w:rsidRPr="006C3A6A">
              <w:rPr>
                <w:b/>
                <w:bCs/>
                <w:i/>
                <w:iCs/>
                <w:color w:val="000000"/>
                <w:sz w:val="22"/>
                <w:szCs w:val="22"/>
              </w:rPr>
              <w:t>Total Annual Burden (Hours):</w:t>
            </w:r>
          </w:p>
        </w:tc>
        <w:tc>
          <w:tcPr>
            <w:tcW w:w="985" w:type="dxa"/>
            <w:tcBorders>
              <w:top w:val="nil"/>
              <w:left w:val="nil"/>
              <w:bottom w:val="single" w:sz="8" w:space="0" w:color="auto"/>
              <w:right w:val="single" w:sz="8" w:space="0" w:color="auto"/>
            </w:tcBorders>
            <w:noWrap/>
            <w:vAlign w:val="bottom"/>
            <w:hideMark/>
          </w:tcPr>
          <w:p w:rsidR="006C3A6A" w:rsidRPr="006C3A6A" w:rsidP="00964EC6" w14:paraId="13313D6C" w14:textId="77777777">
            <w:pPr>
              <w:keepNext/>
              <w:keepLines/>
              <w:jc w:val="right"/>
              <w:rPr>
                <w:b/>
                <w:bCs/>
                <w:i/>
                <w:iCs/>
                <w:color w:val="000000"/>
                <w:sz w:val="22"/>
                <w:szCs w:val="22"/>
              </w:rPr>
            </w:pPr>
            <w:r w:rsidRPr="006C3A6A">
              <w:rPr>
                <w:b/>
                <w:bCs/>
                <w:i/>
                <w:iCs/>
                <w:color w:val="000000"/>
                <w:sz w:val="22"/>
                <w:szCs w:val="22"/>
              </w:rPr>
              <w:t>6,500</w:t>
            </w:r>
          </w:p>
        </w:tc>
      </w:tr>
      <w:tr w14:paraId="7FCF33F8" w14:textId="77777777" w:rsidTr="00964EC6">
        <w:tblPrEx>
          <w:tblW w:w="10350" w:type="dxa"/>
          <w:tblCellMar>
            <w:top w:w="15" w:type="dxa"/>
          </w:tblCellMar>
          <w:tblLook w:val="04A0"/>
        </w:tblPrEx>
        <w:trPr>
          <w:trHeight w:val="252"/>
        </w:trPr>
        <w:tc>
          <w:tcPr>
            <w:tcW w:w="10350" w:type="dxa"/>
            <w:gridSpan w:val="6"/>
            <w:tcBorders>
              <w:top w:val="single" w:sz="8" w:space="0" w:color="auto"/>
              <w:left w:val="single" w:sz="8" w:space="0" w:color="auto"/>
              <w:bottom w:val="single" w:sz="4" w:space="0" w:color="auto"/>
              <w:right w:val="single" w:sz="8" w:space="0" w:color="000000"/>
            </w:tcBorders>
            <w:noWrap/>
            <w:hideMark/>
          </w:tcPr>
          <w:p w:rsidR="006C3A6A" w:rsidRPr="006C3A6A" w:rsidP="00964EC6" w14:paraId="30426FFE" w14:textId="77777777">
            <w:pPr>
              <w:keepNext/>
              <w:keepLines/>
              <w:rPr>
                <w:color w:val="000000"/>
                <w:sz w:val="18"/>
                <w:szCs w:val="18"/>
              </w:rPr>
            </w:pPr>
            <w:r w:rsidRPr="006C3A6A">
              <w:rPr>
                <w:color w:val="000000"/>
                <w:sz w:val="18"/>
                <w:szCs w:val="18"/>
              </w:rPr>
              <w:t>Source: FDIC.</w:t>
            </w:r>
          </w:p>
        </w:tc>
      </w:tr>
    </w:tbl>
    <w:p w:rsidR="00C27783" w:rsidP="005E1547" w14:paraId="497F3CAB" w14:textId="78EFAECD">
      <w:pPr>
        <w:spacing w:line="480" w:lineRule="auto"/>
        <w:ind w:firstLine="720"/>
        <w:rPr>
          <w:szCs w:val="24"/>
        </w:rPr>
      </w:pPr>
    </w:p>
    <w:tbl>
      <w:tblPr>
        <w:tblW w:w="10483" w:type="dxa"/>
        <w:tblInd w:w="-280" w:type="dxa"/>
        <w:tblCellMar>
          <w:top w:w="15" w:type="dxa"/>
        </w:tblCellMar>
        <w:tblLook w:val="04A0"/>
      </w:tblPr>
      <w:tblGrid>
        <w:gridCol w:w="2228"/>
        <w:gridCol w:w="821"/>
        <w:gridCol w:w="1000"/>
        <w:gridCol w:w="1000"/>
        <w:gridCol w:w="900"/>
        <w:gridCol w:w="1000"/>
        <w:gridCol w:w="1000"/>
        <w:gridCol w:w="900"/>
        <w:gridCol w:w="1412"/>
        <w:gridCol w:w="222"/>
      </w:tblGrid>
      <w:tr w14:paraId="58489F61" w14:textId="77777777" w:rsidTr="00A714F6">
        <w:tblPrEx>
          <w:tblW w:w="10483" w:type="dxa"/>
          <w:tblInd w:w="-280" w:type="dxa"/>
          <w:tblCellMar>
            <w:top w:w="15" w:type="dxa"/>
          </w:tblCellMar>
          <w:tblLook w:val="04A0"/>
        </w:tblPrEx>
        <w:trPr>
          <w:gridAfter w:val="1"/>
          <w:wAfter w:w="222" w:type="dxa"/>
          <w:trHeight w:val="360"/>
        </w:trPr>
        <w:tc>
          <w:tcPr>
            <w:tcW w:w="10261" w:type="dxa"/>
            <w:gridSpan w:val="9"/>
            <w:tcBorders>
              <w:top w:val="single" w:sz="8" w:space="0" w:color="auto"/>
              <w:left w:val="single" w:sz="8" w:space="0" w:color="auto"/>
              <w:bottom w:val="single" w:sz="8" w:space="0" w:color="auto"/>
              <w:right w:val="single" w:sz="8" w:space="0" w:color="auto"/>
            </w:tcBorders>
            <w:noWrap/>
            <w:vAlign w:val="bottom"/>
            <w:hideMark/>
          </w:tcPr>
          <w:p w:rsidR="00A714F6" w:rsidRPr="00A714F6" w:rsidP="00A714F6" w14:paraId="7C515C23" w14:textId="4BAAA038">
            <w:pPr>
              <w:keepNext/>
              <w:keepLines/>
              <w:jc w:val="center"/>
              <w:rPr>
                <w:color w:val="000000"/>
                <w:szCs w:val="24"/>
              </w:rPr>
            </w:pPr>
            <w:r w:rsidRPr="00A714F6">
              <w:rPr>
                <w:color w:val="000000"/>
                <w:szCs w:val="24"/>
              </w:rPr>
              <w:t>Summary of Hourly Burden Cost Estimate (OMB No. 3064-0189)</w:t>
            </w:r>
          </w:p>
        </w:tc>
      </w:tr>
      <w:tr w14:paraId="45FD5C57" w14:textId="77777777" w:rsidTr="00A714F6">
        <w:tblPrEx>
          <w:tblW w:w="10483" w:type="dxa"/>
          <w:tblInd w:w="-280" w:type="dxa"/>
          <w:tblCellMar>
            <w:top w:w="15" w:type="dxa"/>
          </w:tblCellMar>
          <w:tblLook w:val="04A0"/>
        </w:tblPrEx>
        <w:trPr>
          <w:gridAfter w:val="1"/>
          <w:wAfter w:w="222" w:type="dxa"/>
          <w:trHeight w:val="600"/>
        </w:trPr>
        <w:tc>
          <w:tcPr>
            <w:tcW w:w="2228"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75171F08" w14:textId="77777777">
            <w:pPr>
              <w:keepNext/>
              <w:keepLines/>
              <w:rPr>
                <w:color w:val="000000"/>
                <w:sz w:val="20"/>
              </w:rPr>
            </w:pPr>
            <w:r w:rsidRPr="00A714F6">
              <w:rPr>
                <w:color w:val="000000"/>
                <w:sz w:val="20"/>
              </w:rPr>
              <w:t xml:space="preserve">Information Collection (IC) (Obligation to Respond) </w:t>
            </w:r>
          </w:p>
        </w:tc>
        <w:tc>
          <w:tcPr>
            <w:tcW w:w="821"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130E6B19" w14:textId="77777777">
            <w:pPr>
              <w:keepNext/>
              <w:keepLines/>
              <w:jc w:val="center"/>
              <w:rPr>
                <w:color w:val="000000"/>
                <w:sz w:val="20"/>
              </w:rPr>
            </w:pPr>
            <w:r w:rsidRPr="00A714F6">
              <w:rPr>
                <w:color w:val="000000"/>
                <w:sz w:val="20"/>
              </w:rPr>
              <w:t xml:space="preserve">Hourly Weight </w:t>
            </w:r>
            <w:r w:rsidRPr="00A714F6">
              <w:rPr>
                <w:color w:val="000000"/>
                <w:sz w:val="20"/>
              </w:rPr>
              <w:br/>
              <w:t>(%)</w:t>
            </w:r>
          </w:p>
        </w:tc>
        <w:tc>
          <w:tcPr>
            <w:tcW w:w="580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A714F6" w:rsidRPr="00A714F6" w:rsidP="00A714F6" w14:paraId="2B2F54DB" w14:textId="77777777">
            <w:pPr>
              <w:keepNext/>
              <w:keepLines/>
              <w:jc w:val="center"/>
              <w:rPr>
                <w:color w:val="000000"/>
                <w:sz w:val="20"/>
              </w:rPr>
            </w:pPr>
            <w:r w:rsidRPr="00A714F6">
              <w:rPr>
                <w:color w:val="000000"/>
                <w:sz w:val="20"/>
              </w:rPr>
              <w:t xml:space="preserve">Percentage Shares of Hours Spent by and </w:t>
            </w:r>
            <w:r w:rsidRPr="00A714F6">
              <w:rPr>
                <w:color w:val="000000"/>
                <w:sz w:val="20"/>
              </w:rPr>
              <w:br/>
              <w:t xml:space="preserve">Hourly Compensation Rates for each Occupation Group </w:t>
            </w:r>
            <w:r w:rsidRPr="00A714F6">
              <w:rPr>
                <w:color w:val="000000"/>
                <w:sz w:val="20"/>
              </w:rPr>
              <w:br/>
              <w:t>(by Collection)</w:t>
            </w:r>
          </w:p>
        </w:tc>
        <w:tc>
          <w:tcPr>
            <w:tcW w:w="1412"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51D726EE" w14:textId="77777777">
            <w:pPr>
              <w:keepNext/>
              <w:keepLines/>
              <w:jc w:val="center"/>
              <w:rPr>
                <w:color w:val="000000"/>
                <w:sz w:val="20"/>
              </w:rPr>
            </w:pPr>
            <w:r w:rsidRPr="00A714F6">
              <w:rPr>
                <w:color w:val="000000"/>
                <w:sz w:val="20"/>
              </w:rPr>
              <w:t>Estimated Hourly Compensation Rate</w:t>
            </w:r>
          </w:p>
        </w:tc>
      </w:tr>
      <w:tr w14:paraId="3BD90A3F" w14:textId="77777777" w:rsidTr="00A714F6">
        <w:tblPrEx>
          <w:tblW w:w="10483" w:type="dxa"/>
          <w:tblInd w:w="-280" w:type="dxa"/>
          <w:tblCellMar>
            <w:top w:w="15" w:type="dxa"/>
          </w:tblCellMar>
          <w:tblLook w:val="04A0"/>
        </w:tblPrEx>
        <w:trPr>
          <w:trHeight w:val="863"/>
        </w:trPr>
        <w:tc>
          <w:tcPr>
            <w:tcW w:w="2228" w:type="dxa"/>
            <w:vMerge/>
            <w:tcBorders>
              <w:top w:val="nil"/>
              <w:left w:val="single" w:sz="8" w:space="0" w:color="auto"/>
              <w:bottom w:val="single" w:sz="8" w:space="0" w:color="auto"/>
              <w:right w:val="single" w:sz="8" w:space="0" w:color="auto"/>
            </w:tcBorders>
            <w:vAlign w:val="center"/>
            <w:hideMark/>
          </w:tcPr>
          <w:p w:rsidR="00A714F6" w:rsidRPr="00A714F6" w:rsidP="00A714F6" w14:paraId="23CC5451" w14:textId="77777777">
            <w:pPr>
              <w:keepNext/>
              <w:keepLines/>
              <w:rPr>
                <w:color w:val="000000"/>
                <w:sz w:val="20"/>
              </w:rPr>
            </w:pPr>
          </w:p>
        </w:tc>
        <w:tc>
          <w:tcPr>
            <w:tcW w:w="821" w:type="dxa"/>
            <w:vMerge/>
            <w:tcBorders>
              <w:top w:val="nil"/>
              <w:left w:val="single" w:sz="8" w:space="0" w:color="auto"/>
              <w:bottom w:val="single" w:sz="8" w:space="0" w:color="auto"/>
              <w:right w:val="single" w:sz="8" w:space="0" w:color="auto"/>
            </w:tcBorders>
            <w:vAlign w:val="center"/>
            <w:hideMark/>
          </w:tcPr>
          <w:p w:rsidR="00A714F6" w:rsidRPr="00A714F6" w:rsidP="00A714F6" w14:paraId="70CB71AD" w14:textId="77777777">
            <w:pPr>
              <w:keepNext/>
              <w:keepLines/>
              <w:rPr>
                <w:color w:val="000000"/>
                <w:sz w:val="20"/>
              </w:rPr>
            </w:pPr>
          </w:p>
        </w:tc>
        <w:tc>
          <w:tcPr>
            <w:tcW w:w="5800" w:type="dxa"/>
            <w:gridSpan w:val="6"/>
            <w:vMerge/>
            <w:tcBorders>
              <w:top w:val="single" w:sz="8" w:space="0" w:color="auto"/>
              <w:left w:val="single" w:sz="8" w:space="0" w:color="auto"/>
              <w:bottom w:val="single" w:sz="8" w:space="0" w:color="auto"/>
              <w:right w:val="single" w:sz="8" w:space="0" w:color="auto"/>
            </w:tcBorders>
            <w:vAlign w:val="center"/>
            <w:hideMark/>
          </w:tcPr>
          <w:p w:rsidR="00A714F6" w:rsidRPr="00A714F6" w:rsidP="00A714F6" w14:paraId="47D4FA46" w14:textId="77777777">
            <w:pPr>
              <w:keepNext/>
              <w:keepLines/>
              <w:rPr>
                <w:color w:val="000000"/>
                <w:sz w:val="20"/>
              </w:rPr>
            </w:pPr>
          </w:p>
        </w:tc>
        <w:tc>
          <w:tcPr>
            <w:tcW w:w="1412" w:type="dxa"/>
            <w:vMerge/>
            <w:tcBorders>
              <w:top w:val="nil"/>
              <w:left w:val="single" w:sz="8" w:space="0" w:color="auto"/>
              <w:bottom w:val="single" w:sz="8" w:space="0" w:color="auto"/>
              <w:right w:val="single" w:sz="8" w:space="0" w:color="auto"/>
            </w:tcBorders>
            <w:vAlign w:val="center"/>
            <w:hideMark/>
          </w:tcPr>
          <w:p w:rsidR="00A714F6" w:rsidRPr="00A714F6" w:rsidP="00A714F6" w14:paraId="50923628" w14:textId="77777777">
            <w:pPr>
              <w:keepNext/>
              <w:keepLines/>
              <w:rPr>
                <w:color w:val="000000"/>
                <w:sz w:val="20"/>
              </w:rPr>
            </w:pPr>
          </w:p>
        </w:tc>
        <w:tc>
          <w:tcPr>
            <w:tcW w:w="222" w:type="dxa"/>
            <w:tcBorders>
              <w:top w:val="nil"/>
              <w:left w:val="nil"/>
              <w:bottom w:val="nil"/>
              <w:right w:val="nil"/>
            </w:tcBorders>
            <w:noWrap/>
            <w:vAlign w:val="bottom"/>
            <w:hideMark/>
          </w:tcPr>
          <w:p w:rsidR="00A714F6" w:rsidRPr="00A714F6" w:rsidP="00A714F6" w14:paraId="1434777F" w14:textId="77777777">
            <w:pPr>
              <w:keepNext/>
              <w:keepLines/>
              <w:jc w:val="center"/>
              <w:rPr>
                <w:color w:val="000000"/>
                <w:sz w:val="20"/>
              </w:rPr>
            </w:pPr>
          </w:p>
        </w:tc>
      </w:tr>
      <w:tr w14:paraId="1DE45EDA" w14:textId="77777777" w:rsidTr="00A714F6">
        <w:tblPrEx>
          <w:tblW w:w="10483" w:type="dxa"/>
          <w:tblInd w:w="-280" w:type="dxa"/>
          <w:tblCellMar>
            <w:top w:w="15" w:type="dxa"/>
          </w:tblCellMar>
          <w:tblLook w:val="04A0"/>
        </w:tblPrEx>
        <w:trPr>
          <w:trHeight w:val="360"/>
        </w:trPr>
        <w:tc>
          <w:tcPr>
            <w:tcW w:w="2228" w:type="dxa"/>
            <w:vMerge/>
            <w:tcBorders>
              <w:top w:val="nil"/>
              <w:left w:val="single" w:sz="8" w:space="0" w:color="auto"/>
              <w:bottom w:val="single" w:sz="8" w:space="0" w:color="auto"/>
              <w:right w:val="single" w:sz="8" w:space="0" w:color="auto"/>
            </w:tcBorders>
            <w:vAlign w:val="center"/>
            <w:hideMark/>
          </w:tcPr>
          <w:p w:rsidR="00A714F6" w:rsidRPr="00A714F6" w:rsidP="00A714F6" w14:paraId="106AD4D4" w14:textId="77777777">
            <w:pPr>
              <w:keepNext/>
              <w:keepLines/>
              <w:rPr>
                <w:color w:val="000000"/>
                <w:sz w:val="20"/>
              </w:rPr>
            </w:pPr>
          </w:p>
        </w:tc>
        <w:tc>
          <w:tcPr>
            <w:tcW w:w="821" w:type="dxa"/>
            <w:vMerge/>
            <w:tcBorders>
              <w:top w:val="nil"/>
              <w:left w:val="single" w:sz="8" w:space="0" w:color="auto"/>
              <w:bottom w:val="single" w:sz="8" w:space="0" w:color="auto"/>
              <w:right w:val="single" w:sz="8" w:space="0" w:color="auto"/>
            </w:tcBorders>
            <w:vAlign w:val="center"/>
            <w:hideMark/>
          </w:tcPr>
          <w:p w:rsidR="00A714F6" w:rsidRPr="00A714F6" w:rsidP="00A714F6" w14:paraId="6D73767F" w14:textId="77777777">
            <w:pPr>
              <w:keepNext/>
              <w:keepLines/>
              <w:rPr>
                <w:color w:val="000000"/>
                <w:sz w:val="20"/>
              </w:rPr>
            </w:pPr>
          </w:p>
        </w:tc>
        <w:tc>
          <w:tcPr>
            <w:tcW w:w="1000"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0195C9CC" w14:textId="77777777">
            <w:pPr>
              <w:keepNext/>
              <w:keepLines/>
              <w:jc w:val="center"/>
              <w:rPr>
                <w:color w:val="000000"/>
                <w:sz w:val="20"/>
              </w:rPr>
            </w:pPr>
            <w:r w:rsidRPr="00A714F6">
              <w:rPr>
                <w:color w:val="000000"/>
                <w:sz w:val="20"/>
              </w:rPr>
              <w:t>Exec. &amp; Mgr.      ($159.03)</w:t>
            </w:r>
          </w:p>
        </w:tc>
        <w:tc>
          <w:tcPr>
            <w:tcW w:w="1000"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6A6B3AB3" w14:textId="77777777">
            <w:pPr>
              <w:keepNext/>
              <w:keepLines/>
              <w:jc w:val="center"/>
              <w:rPr>
                <w:color w:val="000000"/>
                <w:sz w:val="20"/>
              </w:rPr>
            </w:pPr>
            <w:r w:rsidRPr="00A714F6">
              <w:rPr>
                <w:color w:val="000000"/>
                <w:sz w:val="20"/>
              </w:rPr>
              <w:t>Lawyer</w:t>
            </w:r>
            <w:r w:rsidRPr="00A714F6">
              <w:rPr>
                <w:color w:val="000000"/>
                <w:sz w:val="20"/>
              </w:rPr>
              <w:t xml:space="preserve">   (</w:t>
            </w:r>
            <w:r w:rsidRPr="00A714F6">
              <w:rPr>
                <w:color w:val="000000"/>
                <w:sz w:val="20"/>
              </w:rPr>
              <w:t>$179.36)</w:t>
            </w:r>
          </w:p>
        </w:tc>
        <w:tc>
          <w:tcPr>
            <w:tcW w:w="900"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2EB7C995" w14:textId="77777777">
            <w:pPr>
              <w:keepNext/>
              <w:keepLines/>
              <w:jc w:val="center"/>
              <w:rPr>
                <w:color w:val="000000"/>
                <w:sz w:val="20"/>
              </w:rPr>
            </w:pPr>
            <w:r w:rsidRPr="00A714F6">
              <w:rPr>
                <w:color w:val="000000"/>
                <w:sz w:val="20"/>
              </w:rPr>
              <w:t>Compl</w:t>
            </w:r>
            <w:r w:rsidRPr="00A714F6">
              <w:rPr>
                <w:color w:val="000000"/>
                <w:sz w:val="20"/>
              </w:rPr>
              <w:t>. Ofc.   ($80.68)</w:t>
            </w:r>
          </w:p>
        </w:tc>
        <w:tc>
          <w:tcPr>
            <w:tcW w:w="1000"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5BBD354A" w14:textId="77777777">
            <w:pPr>
              <w:keepNext/>
              <w:keepLines/>
              <w:jc w:val="center"/>
              <w:rPr>
                <w:color w:val="000000"/>
                <w:sz w:val="20"/>
              </w:rPr>
            </w:pPr>
            <w:r w:rsidRPr="00A714F6">
              <w:rPr>
                <w:color w:val="000000"/>
                <w:sz w:val="20"/>
              </w:rPr>
              <w:t xml:space="preserve">IT </w:t>
            </w:r>
            <w:r w:rsidRPr="00A714F6">
              <w:rPr>
                <w:color w:val="000000"/>
                <w:sz w:val="20"/>
              </w:rPr>
              <w:t xml:space="preserve">   (</w:t>
            </w:r>
            <w:r w:rsidRPr="00A714F6">
              <w:rPr>
                <w:color w:val="000000"/>
                <w:sz w:val="20"/>
              </w:rPr>
              <w:t>$116.37)</w:t>
            </w:r>
          </w:p>
        </w:tc>
        <w:tc>
          <w:tcPr>
            <w:tcW w:w="1000"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04B241C3" w14:textId="77777777">
            <w:pPr>
              <w:keepNext/>
              <w:keepLines/>
              <w:jc w:val="center"/>
              <w:rPr>
                <w:color w:val="000000"/>
                <w:sz w:val="20"/>
              </w:rPr>
            </w:pPr>
            <w:r w:rsidRPr="00A714F6">
              <w:rPr>
                <w:color w:val="000000"/>
                <w:sz w:val="20"/>
              </w:rPr>
              <w:t xml:space="preserve">Fin. </w:t>
            </w:r>
            <w:r w:rsidRPr="00A714F6">
              <w:rPr>
                <w:color w:val="000000"/>
                <w:sz w:val="20"/>
              </w:rPr>
              <w:t>Anlst</w:t>
            </w:r>
            <w:r w:rsidRPr="00A714F6">
              <w:rPr>
                <w:color w:val="000000"/>
                <w:sz w:val="20"/>
              </w:rPr>
              <w:t>.    ($101.18)</w:t>
            </w:r>
          </w:p>
        </w:tc>
        <w:tc>
          <w:tcPr>
            <w:tcW w:w="900" w:type="dxa"/>
            <w:vMerge w:val="restart"/>
            <w:tcBorders>
              <w:top w:val="nil"/>
              <w:left w:val="single" w:sz="8" w:space="0" w:color="auto"/>
              <w:bottom w:val="single" w:sz="8" w:space="0" w:color="auto"/>
              <w:right w:val="single" w:sz="8" w:space="0" w:color="auto"/>
            </w:tcBorders>
            <w:vAlign w:val="center"/>
            <w:hideMark/>
          </w:tcPr>
          <w:p w:rsidR="00A714F6" w:rsidRPr="00A714F6" w:rsidP="00A714F6" w14:paraId="45917C34" w14:textId="77777777">
            <w:pPr>
              <w:keepNext/>
              <w:keepLines/>
              <w:jc w:val="center"/>
              <w:rPr>
                <w:color w:val="000000"/>
                <w:sz w:val="20"/>
              </w:rPr>
            </w:pPr>
            <w:r w:rsidRPr="00A714F6">
              <w:rPr>
                <w:color w:val="000000"/>
                <w:sz w:val="20"/>
              </w:rPr>
              <w:t xml:space="preserve">Clerical </w:t>
            </w:r>
            <w:r w:rsidRPr="00A714F6">
              <w:rPr>
                <w:color w:val="000000"/>
                <w:sz w:val="20"/>
              </w:rPr>
              <w:t xml:space="preserve">   (</w:t>
            </w:r>
            <w:r w:rsidRPr="00A714F6">
              <w:rPr>
                <w:color w:val="000000"/>
                <w:sz w:val="20"/>
              </w:rPr>
              <w:t>$42.51)</w:t>
            </w:r>
          </w:p>
        </w:tc>
        <w:tc>
          <w:tcPr>
            <w:tcW w:w="1412" w:type="dxa"/>
            <w:vMerge/>
            <w:tcBorders>
              <w:top w:val="nil"/>
              <w:left w:val="single" w:sz="8" w:space="0" w:color="auto"/>
              <w:bottom w:val="single" w:sz="8" w:space="0" w:color="auto"/>
              <w:right w:val="single" w:sz="8" w:space="0" w:color="auto"/>
            </w:tcBorders>
            <w:vAlign w:val="center"/>
            <w:hideMark/>
          </w:tcPr>
          <w:p w:rsidR="00A714F6" w:rsidRPr="00A714F6" w:rsidP="00A714F6" w14:paraId="7956B0BA" w14:textId="77777777">
            <w:pPr>
              <w:keepNext/>
              <w:keepLines/>
              <w:rPr>
                <w:color w:val="000000"/>
                <w:sz w:val="20"/>
              </w:rPr>
            </w:pPr>
          </w:p>
        </w:tc>
        <w:tc>
          <w:tcPr>
            <w:tcW w:w="222" w:type="dxa"/>
            <w:vAlign w:val="center"/>
            <w:hideMark/>
          </w:tcPr>
          <w:p w:rsidR="00A714F6" w:rsidRPr="00A714F6" w:rsidP="00A714F6" w14:paraId="0DC6C79C" w14:textId="77777777">
            <w:pPr>
              <w:keepNext/>
              <w:keepLines/>
              <w:rPr>
                <w:sz w:val="20"/>
              </w:rPr>
            </w:pPr>
          </w:p>
        </w:tc>
      </w:tr>
      <w:tr w14:paraId="63327FAB" w14:textId="77777777" w:rsidTr="00A714F6">
        <w:tblPrEx>
          <w:tblW w:w="10483" w:type="dxa"/>
          <w:tblInd w:w="-280" w:type="dxa"/>
          <w:tblCellMar>
            <w:top w:w="15" w:type="dxa"/>
          </w:tblCellMar>
          <w:tblLook w:val="04A0"/>
        </w:tblPrEx>
        <w:trPr>
          <w:trHeight w:val="1140"/>
        </w:trPr>
        <w:tc>
          <w:tcPr>
            <w:tcW w:w="2228" w:type="dxa"/>
            <w:vMerge/>
            <w:tcBorders>
              <w:top w:val="nil"/>
              <w:left w:val="single" w:sz="8" w:space="0" w:color="auto"/>
              <w:bottom w:val="single" w:sz="8" w:space="0" w:color="auto"/>
              <w:right w:val="single" w:sz="8" w:space="0" w:color="auto"/>
            </w:tcBorders>
            <w:vAlign w:val="center"/>
            <w:hideMark/>
          </w:tcPr>
          <w:p w:rsidR="00A714F6" w:rsidRPr="00A714F6" w:rsidP="00A714F6" w14:paraId="5D1786FE" w14:textId="77777777">
            <w:pPr>
              <w:keepNext/>
              <w:keepLines/>
              <w:rPr>
                <w:color w:val="000000"/>
                <w:sz w:val="20"/>
              </w:rPr>
            </w:pPr>
          </w:p>
        </w:tc>
        <w:tc>
          <w:tcPr>
            <w:tcW w:w="821" w:type="dxa"/>
            <w:vMerge/>
            <w:tcBorders>
              <w:top w:val="nil"/>
              <w:left w:val="single" w:sz="8" w:space="0" w:color="auto"/>
              <w:bottom w:val="single" w:sz="8" w:space="0" w:color="auto"/>
              <w:right w:val="single" w:sz="8" w:space="0" w:color="auto"/>
            </w:tcBorders>
            <w:vAlign w:val="center"/>
            <w:hideMark/>
          </w:tcPr>
          <w:p w:rsidR="00A714F6" w:rsidRPr="00A714F6" w:rsidP="00A714F6" w14:paraId="6AA2A825" w14:textId="77777777">
            <w:pPr>
              <w:keepNext/>
              <w:keepLines/>
              <w:rPr>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A714F6" w:rsidRPr="00A714F6" w:rsidP="00A714F6" w14:paraId="7D198687" w14:textId="77777777">
            <w:pPr>
              <w:keepNext/>
              <w:keepLines/>
              <w:rPr>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A714F6" w:rsidRPr="00A714F6" w:rsidP="00A714F6" w14:paraId="574AE93F" w14:textId="77777777">
            <w:pPr>
              <w:keepNext/>
              <w:keepLines/>
              <w:rPr>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A714F6" w:rsidRPr="00A714F6" w:rsidP="00A714F6" w14:paraId="6FE2E7A2" w14:textId="77777777">
            <w:pPr>
              <w:keepNext/>
              <w:keepLines/>
              <w:rPr>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A714F6" w:rsidRPr="00A714F6" w:rsidP="00A714F6" w14:paraId="6EDD1235" w14:textId="77777777">
            <w:pPr>
              <w:keepNext/>
              <w:keepLines/>
              <w:rPr>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A714F6" w:rsidRPr="00A714F6" w:rsidP="00A714F6" w14:paraId="32106BDF" w14:textId="77777777">
            <w:pPr>
              <w:keepNext/>
              <w:keepLines/>
              <w:rPr>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A714F6" w:rsidRPr="00A714F6" w:rsidP="00A714F6" w14:paraId="3B072427" w14:textId="77777777">
            <w:pPr>
              <w:keepNext/>
              <w:keepLines/>
              <w:rPr>
                <w:color w:val="000000"/>
                <w:sz w:val="20"/>
              </w:rPr>
            </w:pPr>
          </w:p>
        </w:tc>
        <w:tc>
          <w:tcPr>
            <w:tcW w:w="1412" w:type="dxa"/>
            <w:vMerge/>
            <w:tcBorders>
              <w:top w:val="nil"/>
              <w:left w:val="single" w:sz="8" w:space="0" w:color="auto"/>
              <w:bottom w:val="single" w:sz="8" w:space="0" w:color="auto"/>
              <w:right w:val="single" w:sz="8" w:space="0" w:color="auto"/>
            </w:tcBorders>
            <w:vAlign w:val="center"/>
            <w:hideMark/>
          </w:tcPr>
          <w:p w:rsidR="00A714F6" w:rsidRPr="00A714F6" w:rsidP="00A714F6" w14:paraId="1C02B35A" w14:textId="77777777">
            <w:pPr>
              <w:keepNext/>
              <w:keepLines/>
              <w:rPr>
                <w:color w:val="000000"/>
                <w:sz w:val="20"/>
              </w:rPr>
            </w:pPr>
          </w:p>
        </w:tc>
        <w:tc>
          <w:tcPr>
            <w:tcW w:w="222" w:type="dxa"/>
            <w:tcBorders>
              <w:top w:val="nil"/>
              <w:left w:val="nil"/>
              <w:bottom w:val="nil"/>
              <w:right w:val="nil"/>
            </w:tcBorders>
            <w:noWrap/>
            <w:vAlign w:val="bottom"/>
            <w:hideMark/>
          </w:tcPr>
          <w:p w:rsidR="00A714F6" w:rsidRPr="00A714F6" w:rsidP="00A714F6" w14:paraId="2EA74C9A" w14:textId="77777777">
            <w:pPr>
              <w:keepNext/>
              <w:keepLines/>
              <w:jc w:val="center"/>
              <w:rPr>
                <w:color w:val="000000"/>
                <w:sz w:val="20"/>
              </w:rPr>
            </w:pPr>
          </w:p>
        </w:tc>
      </w:tr>
      <w:tr w14:paraId="1D6E7342" w14:textId="77777777" w:rsidTr="00A714F6">
        <w:tblPrEx>
          <w:tblW w:w="10483" w:type="dxa"/>
          <w:tblInd w:w="-280" w:type="dxa"/>
          <w:tblCellMar>
            <w:top w:w="15" w:type="dxa"/>
          </w:tblCellMar>
          <w:tblLook w:val="04A0"/>
        </w:tblPrEx>
        <w:trPr>
          <w:trHeight w:val="1905"/>
        </w:trPr>
        <w:tc>
          <w:tcPr>
            <w:tcW w:w="2228" w:type="dxa"/>
            <w:tcBorders>
              <w:top w:val="nil"/>
              <w:left w:val="single" w:sz="8" w:space="0" w:color="auto"/>
              <w:bottom w:val="single" w:sz="8" w:space="0" w:color="auto"/>
              <w:right w:val="single" w:sz="8" w:space="0" w:color="auto"/>
            </w:tcBorders>
            <w:vAlign w:val="center"/>
            <w:hideMark/>
          </w:tcPr>
          <w:p w:rsidR="00A714F6" w:rsidRPr="00A714F6" w:rsidP="00A714F6" w14:paraId="2358A727" w14:textId="77777777">
            <w:pPr>
              <w:keepNext/>
              <w:keepLines/>
              <w:rPr>
                <w:color w:val="000000"/>
                <w:sz w:val="20"/>
              </w:rPr>
            </w:pPr>
            <w:r w:rsidRPr="00A714F6">
              <w:rPr>
                <w:color w:val="000000"/>
                <w:sz w:val="20"/>
              </w:rPr>
              <w:t xml:space="preserve">1. Annual Stress Test Reporting Template and Documentation for covered banks with total consolidated assets of $250 billion or more, 12 CFR Part </w:t>
            </w:r>
            <w:r w:rsidRPr="00A714F6">
              <w:rPr>
                <w:color w:val="000000"/>
                <w:sz w:val="20"/>
              </w:rPr>
              <w:t>325.6  (</w:t>
            </w:r>
            <w:r w:rsidRPr="00A714F6">
              <w:rPr>
                <w:color w:val="000000"/>
                <w:sz w:val="20"/>
              </w:rPr>
              <w:t>Mandatory)</w:t>
            </w:r>
          </w:p>
        </w:tc>
        <w:tc>
          <w:tcPr>
            <w:tcW w:w="821" w:type="dxa"/>
            <w:tcBorders>
              <w:top w:val="nil"/>
              <w:left w:val="nil"/>
              <w:bottom w:val="single" w:sz="8" w:space="0" w:color="auto"/>
              <w:right w:val="single" w:sz="8" w:space="0" w:color="auto"/>
            </w:tcBorders>
            <w:vAlign w:val="center"/>
            <w:hideMark/>
          </w:tcPr>
          <w:p w:rsidR="00A714F6" w:rsidRPr="00A714F6" w:rsidP="00A714F6" w14:paraId="1B114974" w14:textId="77777777">
            <w:pPr>
              <w:keepNext/>
              <w:keepLines/>
              <w:jc w:val="center"/>
              <w:rPr>
                <w:color w:val="000000"/>
                <w:sz w:val="20"/>
              </w:rPr>
            </w:pPr>
            <w:r w:rsidRPr="00A714F6">
              <w:rPr>
                <w:color w:val="000000"/>
                <w:sz w:val="20"/>
              </w:rPr>
              <w:t>3.69</w:t>
            </w:r>
          </w:p>
        </w:tc>
        <w:tc>
          <w:tcPr>
            <w:tcW w:w="1000" w:type="dxa"/>
            <w:tcBorders>
              <w:top w:val="nil"/>
              <w:left w:val="nil"/>
              <w:bottom w:val="single" w:sz="8" w:space="0" w:color="auto"/>
              <w:right w:val="single" w:sz="8" w:space="0" w:color="auto"/>
            </w:tcBorders>
            <w:vAlign w:val="center"/>
            <w:hideMark/>
          </w:tcPr>
          <w:p w:rsidR="00A714F6" w:rsidRPr="00A714F6" w:rsidP="00A714F6" w14:paraId="013BA928" w14:textId="77777777">
            <w:pPr>
              <w:keepNext/>
              <w:keepLines/>
              <w:jc w:val="center"/>
              <w:rPr>
                <w:color w:val="000000"/>
                <w:sz w:val="20"/>
              </w:rPr>
            </w:pPr>
            <w:r w:rsidRPr="00A714F6">
              <w:rPr>
                <w:color w:val="000000"/>
                <w:sz w:val="20"/>
              </w:rPr>
              <w:t>20</w:t>
            </w:r>
          </w:p>
        </w:tc>
        <w:tc>
          <w:tcPr>
            <w:tcW w:w="1000" w:type="dxa"/>
            <w:tcBorders>
              <w:top w:val="nil"/>
              <w:left w:val="nil"/>
              <w:bottom w:val="single" w:sz="8" w:space="0" w:color="auto"/>
              <w:right w:val="single" w:sz="8" w:space="0" w:color="auto"/>
            </w:tcBorders>
            <w:vAlign w:val="center"/>
            <w:hideMark/>
          </w:tcPr>
          <w:p w:rsidR="00A714F6" w:rsidRPr="00A714F6" w:rsidP="00A714F6" w14:paraId="68D517FB"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5205D7B8"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4531837D" w14:textId="77777777">
            <w:pPr>
              <w:keepNext/>
              <w:keepLines/>
              <w:jc w:val="center"/>
              <w:rPr>
                <w:color w:val="000000"/>
                <w:sz w:val="20"/>
              </w:rPr>
            </w:pPr>
            <w:r w:rsidRPr="00A714F6">
              <w:rPr>
                <w:color w:val="000000"/>
                <w:sz w:val="20"/>
              </w:rPr>
              <w:t>10</w:t>
            </w:r>
          </w:p>
        </w:tc>
        <w:tc>
          <w:tcPr>
            <w:tcW w:w="1000" w:type="dxa"/>
            <w:tcBorders>
              <w:top w:val="nil"/>
              <w:left w:val="nil"/>
              <w:bottom w:val="single" w:sz="8" w:space="0" w:color="auto"/>
              <w:right w:val="single" w:sz="8" w:space="0" w:color="auto"/>
            </w:tcBorders>
            <w:vAlign w:val="center"/>
            <w:hideMark/>
          </w:tcPr>
          <w:p w:rsidR="00A714F6" w:rsidRPr="00A714F6" w:rsidP="00A714F6" w14:paraId="178E1D7E" w14:textId="77777777">
            <w:pPr>
              <w:keepNext/>
              <w:keepLines/>
              <w:jc w:val="center"/>
              <w:rPr>
                <w:color w:val="000000"/>
                <w:sz w:val="20"/>
              </w:rPr>
            </w:pPr>
            <w:r w:rsidRPr="00A714F6">
              <w:rPr>
                <w:color w:val="000000"/>
                <w:sz w:val="20"/>
              </w:rPr>
              <w:t>70</w:t>
            </w:r>
          </w:p>
        </w:tc>
        <w:tc>
          <w:tcPr>
            <w:tcW w:w="900" w:type="dxa"/>
            <w:tcBorders>
              <w:top w:val="nil"/>
              <w:left w:val="nil"/>
              <w:bottom w:val="single" w:sz="8" w:space="0" w:color="auto"/>
              <w:right w:val="single" w:sz="8" w:space="0" w:color="auto"/>
            </w:tcBorders>
            <w:vAlign w:val="center"/>
            <w:hideMark/>
          </w:tcPr>
          <w:p w:rsidR="00A714F6" w:rsidRPr="00A714F6" w:rsidP="00A714F6" w14:paraId="420E1E66" w14:textId="77777777">
            <w:pPr>
              <w:keepNext/>
              <w:keepLines/>
              <w:jc w:val="center"/>
              <w:rPr>
                <w:color w:val="000000"/>
                <w:sz w:val="20"/>
              </w:rPr>
            </w:pPr>
            <w:r w:rsidRPr="00A714F6">
              <w:rPr>
                <w:color w:val="000000"/>
                <w:sz w:val="20"/>
              </w:rPr>
              <w:t>0</w:t>
            </w:r>
          </w:p>
        </w:tc>
        <w:tc>
          <w:tcPr>
            <w:tcW w:w="1412" w:type="dxa"/>
            <w:tcBorders>
              <w:top w:val="nil"/>
              <w:left w:val="nil"/>
              <w:bottom w:val="single" w:sz="8" w:space="0" w:color="auto"/>
              <w:right w:val="single" w:sz="8" w:space="0" w:color="auto"/>
            </w:tcBorders>
            <w:vAlign w:val="center"/>
            <w:hideMark/>
          </w:tcPr>
          <w:p w:rsidR="00A714F6" w:rsidRPr="00A714F6" w:rsidP="00A714F6" w14:paraId="32B10EAA" w14:textId="77777777">
            <w:pPr>
              <w:keepNext/>
              <w:keepLines/>
              <w:ind w:firstLine="200" w:firstLineChars="100"/>
              <w:jc w:val="right"/>
              <w:rPr>
                <w:color w:val="000000"/>
                <w:sz w:val="20"/>
              </w:rPr>
            </w:pPr>
            <w:r w:rsidRPr="00A714F6">
              <w:rPr>
                <w:color w:val="000000"/>
                <w:sz w:val="20"/>
              </w:rPr>
              <w:t xml:space="preserve">$114.27 </w:t>
            </w:r>
          </w:p>
        </w:tc>
        <w:tc>
          <w:tcPr>
            <w:tcW w:w="222" w:type="dxa"/>
            <w:vAlign w:val="center"/>
            <w:hideMark/>
          </w:tcPr>
          <w:p w:rsidR="00A714F6" w:rsidRPr="00A714F6" w:rsidP="00A714F6" w14:paraId="4D8C60E8" w14:textId="77777777">
            <w:pPr>
              <w:keepNext/>
              <w:keepLines/>
              <w:rPr>
                <w:sz w:val="20"/>
              </w:rPr>
            </w:pPr>
          </w:p>
        </w:tc>
      </w:tr>
      <w:tr w14:paraId="7DFEFBB2" w14:textId="77777777" w:rsidTr="00A714F6">
        <w:tblPrEx>
          <w:tblW w:w="10483" w:type="dxa"/>
          <w:tblInd w:w="-280" w:type="dxa"/>
          <w:tblCellMar>
            <w:top w:w="15" w:type="dxa"/>
          </w:tblCellMar>
          <w:tblLook w:val="04A0"/>
        </w:tblPrEx>
        <w:trPr>
          <w:trHeight w:val="1635"/>
        </w:trPr>
        <w:tc>
          <w:tcPr>
            <w:tcW w:w="2228" w:type="dxa"/>
            <w:tcBorders>
              <w:top w:val="nil"/>
              <w:left w:val="single" w:sz="8" w:space="0" w:color="auto"/>
              <w:bottom w:val="single" w:sz="8" w:space="0" w:color="auto"/>
              <w:right w:val="single" w:sz="8" w:space="0" w:color="auto"/>
            </w:tcBorders>
            <w:vAlign w:val="center"/>
            <w:hideMark/>
          </w:tcPr>
          <w:p w:rsidR="00A714F6" w:rsidRPr="00A714F6" w:rsidP="00A714F6" w14:paraId="31486FB0" w14:textId="77777777">
            <w:pPr>
              <w:keepNext/>
              <w:keepLines/>
              <w:rPr>
                <w:color w:val="000000"/>
                <w:sz w:val="20"/>
              </w:rPr>
            </w:pPr>
            <w:r w:rsidRPr="00A714F6">
              <w:rPr>
                <w:color w:val="000000"/>
                <w:sz w:val="20"/>
              </w:rPr>
              <w:t>2. Methodologies and Practices for covered banks with total consolidated assets of $250 billion or more, 12 CFR Part 325.5 (Mandatory)</w:t>
            </w:r>
          </w:p>
        </w:tc>
        <w:tc>
          <w:tcPr>
            <w:tcW w:w="821" w:type="dxa"/>
            <w:tcBorders>
              <w:top w:val="nil"/>
              <w:left w:val="nil"/>
              <w:bottom w:val="single" w:sz="8" w:space="0" w:color="auto"/>
              <w:right w:val="single" w:sz="8" w:space="0" w:color="auto"/>
            </w:tcBorders>
            <w:vAlign w:val="center"/>
            <w:hideMark/>
          </w:tcPr>
          <w:p w:rsidR="00A714F6" w:rsidRPr="00A714F6" w:rsidP="00A714F6" w14:paraId="42F17C11" w14:textId="77777777">
            <w:pPr>
              <w:keepNext/>
              <w:keepLines/>
              <w:jc w:val="center"/>
              <w:rPr>
                <w:color w:val="000000"/>
                <w:sz w:val="20"/>
              </w:rPr>
            </w:pPr>
            <w:r w:rsidRPr="00A714F6">
              <w:rPr>
                <w:color w:val="000000"/>
                <w:sz w:val="20"/>
              </w:rPr>
              <w:t>9.85</w:t>
            </w:r>
          </w:p>
        </w:tc>
        <w:tc>
          <w:tcPr>
            <w:tcW w:w="1000" w:type="dxa"/>
            <w:tcBorders>
              <w:top w:val="nil"/>
              <w:left w:val="nil"/>
              <w:bottom w:val="single" w:sz="8" w:space="0" w:color="auto"/>
              <w:right w:val="single" w:sz="8" w:space="0" w:color="auto"/>
            </w:tcBorders>
            <w:vAlign w:val="center"/>
            <w:hideMark/>
          </w:tcPr>
          <w:p w:rsidR="00A714F6" w:rsidRPr="00A714F6" w:rsidP="00A714F6" w14:paraId="45317CCE" w14:textId="77777777">
            <w:pPr>
              <w:keepNext/>
              <w:keepLines/>
              <w:jc w:val="center"/>
              <w:rPr>
                <w:color w:val="000000"/>
                <w:sz w:val="20"/>
              </w:rPr>
            </w:pPr>
            <w:r w:rsidRPr="00A714F6">
              <w:rPr>
                <w:color w:val="000000"/>
                <w:sz w:val="20"/>
              </w:rPr>
              <w:t>20</w:t>
            </w:r>
          </w:p>
        </w:tc>
        <w:tc>
          <w:tcPr>
            <w:tcW w:w="1000" w:type="dxa"/>
            <w:tcBorders>
              <w:top w:val="nil"/>
              <w:left w:val="nil"/>
              <w:bottom w:val="single" w:sz="8" w:space="0" w:color="auto"/>
              <w:right w:val="single" w:sz="8" w:space="0" w:color="auto"/>
            </w:tcBorders>
            <w:vAlign w:val="center"/>
            <w:hideMark/>
          </w:tcPr>
          <w:p w:rsidR="00A714F6" w:rsidRPr="00A714F6" w:rsidP="00A714F6" w14:paraId="168DC281"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576B9645"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5570B2E0" w14:textId="77777777">
            <w:pPr>
              <w:keepNext/>
              <w:keepLines/>
              <w:jc w:val="center"/>
              <w:rPr>
                <w:color w:val="000000"/>
                <w:sz w:val="20"/>
              </w:rPr>
            </w:pPr>
            <w:r w:rsidRPr="00A714F6">
              <w:rPr>
                <w:color w:val="000000"/>
                <w:sz w:val="20"/>
              </w:rPr>
              <w:t>10</w:t>
            </w:r>
          </w:p>
        </w:tc>
        <w:tc>
          <w:tcPr>
            <w:tcW w:w="1000" w:type="dxa"/>
            <w:tcBorders>
              <w:top w:val="nil"/>
              <w:left w:val="nil"/>
              <w:bottom w:val="single" w:sz="8" w:space="0" w:color="auto"/>
              <w:right w:val="single" w:sz="8" w:space="0" w:color="auto"/>
            </w:tcBorders>
            <w:vAlign w:val="center"/>
            <w:hideMark/>
          </w:tcPr>
          <w:p w:rsidR="00A714F6" w:rsidRPr="00A714F6" w:rsidP="00A714F6" w14:paraId="5F8B2519" w14:textId="77777777">
            <w:pPr>
              <w:keepNext/>
              <w:keepLines/>
              <w:jc w:val="center"/>
              <w:rPr>
                <w:color w:val="000000"/>
                <w:sz w:val="20"/>
              </w:rPr>
            </w:pPr>
            <w:r w:rsidRPr="00A714F6">
              <w:rPr>
                <w:color w:val="000000"/>
                <w:sz w:val="20"/>
              </w:rPr>
              <w:t>70</w:t>
            </w:r>
          </w:p>
        </w:tc>
        <w:tc>
          <w:tcPr>
            <w:tcW w:w="900" w:type="dxa"/>
            <w:tcBorders>
              <w:top w:val="nil"/>
              <w:left w:val="nil"/>
              <w:bottom w:val="single" w:sz="8" w:space="0" w:color="auto"/>
              <w:right w:val="single" w:sz="8" w:space="0" w:color="auto"/>
            </w:tcBorders>
            <w:vAlign w:val="center"/>
            <w:hideMark/>
          </w:tcPr>
          <w:p w:rsidR="00A714F6" w:rsidRPr="00A714F6" w:rsidP="00A714F6" w14:paraId="781B153B" w14:textId="77777777">
            <w:pPr>
              <w:keepNext/>
              <w:keepLines/>
              <w:jc w:val="center"/>
              <w:rPr>
                <w:color w:val="000000"/>
                <w:sz w:val="20"/>
              </w:rPr>
            </w:pPr>
            <w:r w:rsidRPr="00A714F6">
              <w:rPr>
                <w:color w:val="000000"/>
                <w:sz w:val="20"/>
              </w:rPr>
              <w:t>0</w:t>
            </w:r>
          </w:p>
        </w:tc>
        <w:tc>
          <w:tcPr>
            <w:tcW w:w="1412" w:type="dxa"/>
            <w:tcBorders>
              <w:top w:val="nil"/>
              <w:left w:val="nil"/>
              <w:bottom w:val="single" w:sz="8" w:space="0" w:color="auto"/>
              <w:right w:val="single" w:sz="8" w:space="0" w:color="auto"/>
            </w:tcBorders>
            <w:vAlign w:val="center"/>
            <w:hideMark/>
          </w:tcPr>
          <w:p w:rsidR="00A714F6" w:rsidRPr="00A714F6" w:rsidP="00A714F6" w14:paraId="420A80E1" w14:textId="77777777">
            <w:pPr>
              <w:keepNext/>
              <w:keepLines/>
              <w:ind w:firstLine="200" w:firstLineChars="100"/>
              <w:jc w:val="right"/>
              <w:rPr>
                <w:color w:val="000000"/>
                <w:sz w:val="20"/>
              </w:rPr>
            </w:pPr>
            <w:r w:rsidRPr="00A714F6">
              <w:rPr>
                <w:color w:val="000000"/>
                <w:sz w:val="20"/>
              </w:rPr>
              <w:t xml:space="preserve">$114.27 </w:t>
            </w:r>
          </w:p>
        </w:tc>
        <w:tc>
          <w:tcPr>
            <w:tcW w:w="222" w:type="dxa"/>
            <w:vAlign w:val="center"/>
            <w:hideMark/>
          </w:tcPr>
          <w:p w:rsidR="00A714F6" w:rsidRPr="00A714F6" w:rsidP="00A714F6" w14:paraId="27FF08BD" w14:textId="77777777">
            <w:pPr>
              <w:keepNext/>
              <w:keepLines/>
              <w:rPr>
                <w:sz w:val="20"/>
              </w:rPr>
            </w:pPr>
          </w:p>
        </w:tc>
      </w:tr>
      <w:tr w14:paraId="04F740B3" w14:textId="77777777" w:rsidTr="00A714F6">
        <w:tblPrEx>
          <w:tblW w:w="10483" w:type="dxa"/>
          <w:tblInd w:w="-280" w:type="dxa"/>
          <w:tblCellMar>
            <w:top w:w="15" w:type="dxa"/>
          </w:tblCellMar>
          <w:tblLook w:val="04A0"/>
        </w:tblPrEx>
        <w:trPr>
          <w:trHeight w:val="960"/>
        </w:trPr>
        <w:tc>
          <w:tcPr>
            <w:tcW w:w="2228" w:type="dxa"/>
            <w:tcBorders>
              <w:top w:val="nil"/>
              <w:left w:val="single" w:sz="8" w:space="0" w:color="auto"/>
              <w:bottom w:val="single" w:sz="8" w:space="0" w:color="auto"/>
              <w:right w:val="single" w:sz="8" w:space="0" w:color="auto"/>
            </w:tcBorders>
            <w:vAlign w:val="center"/>
            <w:hideMark/>
          </w:tcPr>
          <w:p w:rsidR="00A714F6" w:rsidRPr="00A714F6" w:rsidP="00A714F6" w14:paraId="3A0ACEFB" w14:textId="77777777">
            <w:pPr>
              <w:keepNext/>
              <w:keepLines/>
              <w:rPr>
                <w:color w:val="000000"/>
                <w:sz w:val="20"/>
              </w:rPr>
            </w:pPr>
            <w:r w:rsidRPr="00A714F6">
              <w:rPr>
                <w:color w:val="000000"/>
                <w:sz w:val="20"/>
              </w:rPr>
              <w:t>3</w:t>
            </w:r>
            <w:r w:rsidRPr="00A714F6">
              <w:rPr>
                <w:color w:val="000000"/>
                <w:sz w:val="20"/>
              </w:rPr>
              <w:t>.  Publication</w:t>
            </w:r>
            <w:r w:rsidRPr="00A714F6">
              <w:rPr>
                <w:color w:val="000000"/>
                <w:sz w:val="20"/>
              </w:rPr>
              <w:t xml:space="preserve"> - covered banks with total consolidated assets of $250 billion or more, 12 CFR Part 325.7 (Mandatory)</w:t>
            </w:r>
          </w:p>
        </w:tc>
        <w:tc>
          <w:tcPr>
            <w:tcW w:w="821" w:type="dxa"/>
            <w:tcBorders>
              <w:top w:val="nil"/>
              <w:left w:val="nil"/>
              <w:bottom w:val="single" w:sz="8" w:space="0" w:color="auto"/>
              <w:right w:val="single" w:sz="8" w:space="0" w:color="auto"/>
            </w:tcBorders>
            <w:vAlign w:val="center"/>
            <w:hideMark/>
          </w:tcPr>
          <w:p w:rsidR="00A714F6" w:rsidRPr="00A714F6" w:rsidP="00A714F6" w14:paraId="4BB33BA4" w14:textId="77777777">
            <w:pPr>
              <w:keepNext/>
              <w:keepLines/>
              <w:jc w:val="center"/>
              <w:rPr>
                <w:color w:val="000000"/>
                <w:sz w:val="20"/>
              </w:rPr>
            </w:pPr>
            <w:r w:rsidRPr="00A714F6">
              <w:rPr>
                <w:color w:val="000000"/>
                <w:sz w:val="20"/>
              </w:rPr>
              <w:t>2.46</w:t>
            </w:r>
          </w:p>
        </w:tc>
        <w:tc>
          <w:tcPr>
            <w:tcW w:w="1000" w:type="dxa"/>
            <w:tcBorders>
              <w:top w:val="nil"/>
              <w:left w:val="nil"/>
              <w:bottom w:val="single" w:sz="8" w:space="0" w:color="auto"/>
              <w:right w:val="single" w:sz="8" w:space="0" w:color="auto"/>
            </w:tcBorders>
            <w:vAlign w:val="center"/>
            <w:hideMark/>
          </w:tcPr>
          <w:p w:rsidR="00A714F6" w:rsidRPr="00A714F6" w:rsidP="00A714F6" w14:paraId="3603CEDB" w14:textId="77777777">
            <w:pPr>
              <w:keepNext/>
              <w:keepLines/>
              <w:jc w:val="center"/>
              <w:rPr>
                <w:color w:val="000000"/>
                <w:sz w:val="20"/>
              </w:rPr>
            </w:pPr>
            <w:r w:rsidRPr="00A714F6">
              <w:rPr>
                <w:color w:val="000000"/>
                <w:sz w:val="20"/>
              </w:rPr>
              <w:t>20</w:t>
            </w:r>
          </w:p>
        </w:tc>
        <w:tc>
          <w:tcPr>
            <w:tcW w:w="1000" w:type="dxa"/>
            <w:tcBorders>
              <w:top w:val="nil"/>
              <w:left w:val="nil"/>
              <w:bottom w:val="single" w:sz="8" w:space="0" w:color="auto"/>
              <w:right w:val="single" w:sz="8" w:space="0" w:color="auto"/>
            </w:tcBorders>
            <w:vAlign w:val="center"/>
            <w:hideMark/>
          </w:tcPr>
          <w:p w:rsidR="00A714F6" w:rsidRPr="00A714F6" w:rsidP="00A714F6" w14:paraId="4B237DF3"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2BA3BDAD" w14:textId="77777777">
            <w:pPr>
              <w:keepNext/>
              <w:keepLines/>
              <w:jc w:val="center"/>
              <w:rPr>
                <w:color w:val="000000"/>
                <w:sz w:val="20"/>
              </w:rPr>
            </w:pPr>
            <w:r w:rsidRPr="00A714F6">
              <w:rPr>
                <w:color w:val="000000"/>
                <w:sz w:val="20"/>
              </w:rPr>
              <w:t>10</w:t>
            </w:r>
          </w:p>
        </w:tc>
        <w:tc>
          <w:tcPr>
            <w:tcW w:w="1000" w:type="dxa"/>
            <w:tcBorders>
              <w:top w:val="nil"/>
              <w:left w:val="nil"/>
              <w:bottom w:val="single" w:sz="8" w:space="0" w:color="auto"/>
              <w:right w:val="single" w:sz="8" w:space="0" w:color="auto"/>
            </w:tcBorders>
            <w:vAlign w:val="center"/>
            <w:hideMark/>
          </w:tcPr>
          <w:p w:rsidR="00A714F6" w:rsidRPr="00A714F6" w:rsidP="00A714F6" w14:paraId="43B06CFD" w14:textId="77777777">
            <w:pPr>
              <w:keepNext/>
              <w:keepLines/>
              <w:jc w:val="center"/>
              <w:rPr>
                <w:color w:val="000000"/>
                <w:sz w:val="20"/>
              </w:rPr>
            </w:pPr>
            <w:r w:rsidRPr="00A714F6">
              <w:rPr>
                <w:color w:val="000000"/>
                <w:sz w:val="20"/>
              </w:rPr>
              <w:t>10</w:t>
            </w:r>
          </w:p>
        </w:tc>
        <w:tc>
          <w:tcPr>
            <w:tcW w:w="1000" w:type="dxa"/>
            <w:tcBorders>
              <w:top w:val="nil"/>
              <w:left w:val="nil"/>
              <w:bottom w:val="single" w:sz="8" w:space="0" w:color="auto"/>
              <w:right w:val="single" w:sz="8" w:space="0" w:color="auto"/>
            </w:tcBorders>
            <w:vAlign w:val="center"/>
            <w:hideMark/>
          </w:tcPr>
          <w:p w:rsidR="00A714F6" w:rsidRPr="00A714F6" w:rsidP="00A714F6" w14:paraId="62520943" w14:textId="77777777">
            <w:pPr>
              <w:keepNext/>
              <w:keepLines/>
              <w:jc w:val="center"/>
              <w:rPr>
                <w:color w:val="000000"/>
                <w:sz w:val="20"/>
              </w:rPr>
            </w:pPr>
            <w:r w:rsidRPr="00A714F6">
              <w:rPr>
                <w:color w:val="000000"/>
                <w:sz w:val="20"/>
              </w:rPr>
              <w:t>60</w:t>
            </w:r>
          </w:p>
        </w:tc>
        <w:tc>
          <w:tcPr>
            <w:tcW w:w="900" w:type="dxa"/>
            <w:tcBorders>
              <w:top w:val="nil"/>
              <w:left w:val="nil"/>
              <w:bottom w:val="single" w:sz="8" w:space="0" w:color="auto"/>
              <w:right w:val="single" w:sz="8" w:space="0" w:color="auto"/>
            </w:tcBorders>
            <w:vAlign w:val="center"/>
            <w:hideMark/>
          </w:tcPr>
          <w:p w:rsidR="00A714F6" w:rsidRPr="00A714F6" w:rsidP="00A714F6" w14:paraId="003A4A00" w14:textId="77777777">
            <w:pPr>
              <w:keepNext/>
              <w:keepLines/>
              <w:jc w:val="center"/>
              <w:rPr>
                <w:color w:val="000000"/>
                <w:sz w:val="20"/>
              </w:rPr>
            </w:pPr>
            <w:r w:rsidRPr="00A714F6">
              <w:rPr>
                <w:color w:val="000000"/>
                <w:sz w:val="20"/>
              </w:rPr>
              <w:t>0</w:t>
            </w:r>
          </w:p>
        </w:tc>
        <w:tc>
          <w:tcPr>
            <w:tcW w:w="1412" w:type="dxa"/>
            <w:tcBorders>
              <w:top w:val="nil"/>
              <w:left w:val="nil"/>
              <w:bottom w:val="single" w:sz="8" w:space="0" w:color="auto"/>
              <w:right w:val="single" w:sz="8" w:space="0" w:color="auto"/>
            </w:tcBorders>
            <w:vAlign w:val="center"/>
            <w:hideMark/>
          </w:tcPr>
          <w:p w:rsidR="00A714F6" w:rsidRPr="00A714F6" w:rsidP="00A714F6" w14:paraId="5735A2BD" w14:textId="77777777">
            <w:pPr>
              <w:keepNext/>
              <w:keepLines/>
              <w:ind w:firstLine="200" w:firstLineChars="100"/>
              <w:jc w:val="right"/>
              <w:rPr>
                <w:color w:val="000000"/>
                <w:sz w:val="20"/>
              </w:rPr>
            </w:pPr>
            <w:r w:rsidRPr="00A714F6">
              <w:rPr>
                <w:color w:val="000000"/>
                <w:sz w:val="20"/>
              </w:rPr>
              <w:t xml:space="preserve">$112.22 </w:t>
            </w:r>
          </w:p>
        </w:tc>
        <w:tc>
          <w:tcPr>
            <w:tcW w:w="222" w:type="dxa"/>
            <w:vAlign w:val="center"/>
            <w:hideMark/>
          </w:tcPr>
          <w:p w:rsidR="00A714F6" w:rsidRPr="00A714F6" w:rsidP="00A714F6" w14:paraId="3FB1041A" w14:textId="77777777">
            <w:pPr>
              <w:keepNext/>
              <w:keepLines/>
              <w:rPr>
                <w:sz w:val="20"/>
              </w:rPr>
            </w:pPr>
          </w:p>
        </w:tc>
      </w:tr>
      <w:tr w14:paraId="4A7DB3B1" w14:textId="77777777" w:rsidTr="00A714F6">
        <w:tblPrEx>
          <w:tblW w:w="10483" w:type="dxa"/>
          <w:tblInd w:w="-280" w:type="dxa"/>
          <w:tblCellMar>
            <w:top w:w="15" w:type="dxa"/>
          </w:tblCellMar>
          <w:tblLook w:val="04A0"/>
        </w:tblPrEx>
        <w:trPr>
          <w:trHeight w:val="2175"/>
        </w:trPr>
        <w:tc>
          <w:tcPr>
            <w:tcW w:w="2228" w:type="dxa"/>
            <w:tcBorders>
              <w:top w:val="nil"/>
              <w:left w:val="single" w:sz="8" w:space="0" w:color="auto"/>
              <w:bottom w:val="single" w:sz="8" w:space="0" w:color="auto"/>
              <w:right w:val="single" w:sz="8" w:space="0" w:color="auto"/>
            </w:tcBorders>
            <w:vAlign w:val="center"/>
            <w:hideMark/>
          </w:tcPr>
          <w:p w:rsidR="00A714F6" w:rsidRPr="00A714F6" w:rsidP="00A714F6" w14:paraId="1C79D20B" w14:textId="77777777">
            <w:pPr>
              <w:keepNext/>
              <w:keepLines/>
              <w:rPr>
                <w:color w:val="000000"/>
                <w:sz w:val="20"/>
              </w:rPr>
            </w:pPr>
            <w:r w:rsidRPr="00A714F6">
              <w:rPr>
                <w:color w:val="000000"/>
                <w:sz w:val="20"/>
              </w:rPr>
              <w:t>4. Documentation of Assumptions, Uncertainties and Limitations for FDIC-supervised IDIs with total consolidated assets of $10 billion or more, 2009 Interagency Guidance (Voluntary)</w:t>
            </w:r>
          </w:p>
        </w:tc>
        <w:tc>
          <w:tcPr>
            <w:tcW w:w="821" w:type="dxa"/>
            <w:tcBorders>
              <w:top w:val="nil"/>
              <w:left w:val="nil"/>
              <w:bottom w:val="single" w:sz="8" w:space="0" w:color="auto"/>
              <w:right w:val="single" w:sz="8" w:space="0" w:color="auto"/>
            </w:tcBorders>
            <w:vAlign w:val="center"/>
            <w:hideMark/>
          </w:tcPr>
          <w:p w:rsidR="00A714F6" w:rsidRPr="00A714F6" w:rsidP="00A714F6" w14:paraId="087BC09F" w14:textId="77777777">
            <w:pPr>
              <w:keepNext/>
              <w:keepLines/>
              <w:jc w:val="center"/>
              <w:rPr>
                <w:color w:val="000000"/>
                <w:sz w:val="20"/>
              </w:rPr>
            </w:pPr>
            <w:r w:rsidRPr="00A714F6">
              <w:rPr>
                <w:color w:val="000000"/>
                <w:sz w:val="20"/>
              </w:rPr>
              <w:t>29.54</w:t>
            </w:r>
          </w:p>
        </w:tc>
        <w:tc>
          <w:tcPr>
            <w:tcW w:w="1000" w:type="dxa"/>
            <w:tcBorders>
              <w:top w:val="nil"/>
              <w:left w:val="nil"/>
              <w:bottom w:val="single" w:sz="8" w:space="0" w:color="auto"/>
              <w:right w:val="single" w:sz="8" w:space="0" w:color="auto"/>
            </w:tcBorders>
            <w:vAlign w:val="center"/>
            <w:hideMark/>
          </w:tcPr>
          <w:p w:rsidR="00A714F6" w:rsidRPr="00A714F6" w:rsidP="00A714F6" w14:paraId="0E995853"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2BDE2359"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03FED3D8"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6211B605"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5C80D2A1" w14:textId="77777777">
            <w:pPr>
              <w:keepNext/>
              <w:keepLines/>
              <w:jc w:val="center"/>
              <w:rPr>
                <w:color w:val="000000"/>
                <w:sz w:val="20"/>
              </w:rPr>
            </w:pPr>
            <w:r w:rsidRPr="00A714F6">
              <w:rPr>
                <w:color w:val="000000"/>
                <w:sz w:val="20"/>
              </w:rPr>
              <w:t>100</w:t>
            </w:r>
          </w:p>
        </w:tc>
        <w:tc>
          <w:tcPr>
            <w:tcW w:w="900" w:type="dxa"/>
            <w:tcBorders>
              <w:top w:val="nil"/>
              <w:left w:val="nil"/>
              <w:bottom w:val="single" w:sz="8" w:space="0" w:color="auto"/>
              <w:right w:val="single" w:sz="8" w:space="0" w:color="auto"/>
            </w:tcBorders>
            <w:vAlign w:val="center"/>
            <w:hideMark/>
          </w:tcPr>
          <w:p w:rsidR="00A714F6" w:rsidRPr="00A714F6" w:rsidP="00A714F6" w14:paraId="551D4B25" w14:textId="77777777">
            <w:pPr>
              <w:keepNext/>
              <w:keepLines/>
              <w:jc w:val="center"/>
              <w:rPr>
                <w:color w:val="000000"/>
                <w:sz w:val="20"/>
              </w:rPr>
            </w:pPr>
            <w:r w:rsidRPr="00A714F6">
              <w:rPr>
                <w:color w:val="000000"/>
                <w:sz w:val="20"/>
              </w:rPr>
              <w:t>0</w:t>
            </w:r>
          </w:p>
        </w:tc>
        <w:tc>
          <w:tcPr>
            <w:tcW w:w="1412" w:type="dxa"/>
            <w:tcBorders>
              <w:top w:val="nil"/>
              <w:left w:val="nil"/>
              <w:bottom w:val="single" w:sz="8" w:space="0" w:color="auto"/>
              <w:right w:val="single" w:sz="8" w:space="0" w:color="auto"/>
            </w:tcBorders>
            <w:vAlign w:val="center"/>
            <w:hideMark/>
          </w:tcPr>
          <w:p w:rsidR="00A714F6" w:rsidRPr="00A714F6" w:rsidP="00A714F6" w14:paraId="5FD8B06B" w14:textId="77777777">
            <w:pPr>
              <w:keepNext/>
              <w:keepLines/>
              <w:ind w:firstLine="200" w:firstLineChars="100"/>
              <w:jc w:val="right"/>
              <w:rPr>
                <w:color w:val="000000"/>
                <w:sz w:val="20"/>
              </w:rPr>
            </w:pPr>
            <w:r w:rsidRPr="00A714F6">
              <w:rPr>
                <w:color w:val="000000"/>
                <w:sz w:val="20"/>
              </w:rPr>
              <w:t xml:space="preserve">$101.18 </w:t>
            </w:r>
          </w:p>
        </w:tc>
        <w:tc>
          <w:tcPr>
            <w:tcW w:w="222" w:type="dxa"/>
            <w:vAlign w:val="center"/>
            <w:hideMark/>
          </w:tcPr>
          <w:p w:rsidR="00A714F6" w:rsidRPr="00A714F6" w:rsidP="00A714F6" w14:paraId="16F4DAE1" w14:textId="77777777">
            <w:pPr>
              <w:keepNext/>
              <w:keepLines/>
              <w:rPr>
                <w:sz w:val="20"/>
              </w:rPr>
            </w:pPr>
          </w:p>
        </w:tc>
      </w:tr>
      <w:tr w14:paraId="45733CA3" w14:textId="77777777" w:rsidTr="00A714F6">
        <w:tblPrEx>
          <w:tblW w:w="10483" w:type="dxa"/>
          <w:tblInd w:w="-280" w:type="dxa"/>
          <w:tblCellMar>
            <w:top w:w="15" w:type="dxa"/>
          </w:tblCellMar>
          <w:tblLook w:val="04A0"/>
        </w:tblPrEx>
        <w:trPr>
          <w:trHeight w:val="1635"/>
        </w:trPr>
        <w:tc>
          <w:tcPr>
            <w:tcW w:w="2228" w:type="dxa"/>
            <w:tcBorders>
              <w:top w:val="nil"/>
              <w:left w:val="single" w:sz="8" w:space="0" w:color="auto"/>
              <w:bottom w:val="single" w:sz="8" w:space="0" w:color="auto"/>
              <w:right w:val="single" w:sz="8" w:space="0" w:color="auto"/>
            </w:tcBorders>
            <w:vAlign w:val="center"/>
            <w:hideMark/>
          </w:tcPr>
          <w:p w:rsidR="00A714F6" w:rsidRPr="00A714F6" w:rsidP="00A714F6" w14:paraId="536371DB" w14:textId="77777777">
            <w:pPr>
              <w:keepNext/>
              <w:keepLines/>
              <w:rPr>
                <w:color w:val="000000"/>
                <w:sz w:val="20"/>
              </w:rPr>
            </w:pPr>
            <w:r w:rsidRPr="00A714F6">
              <w:rPr>
                <w:color w:val="000000"/>
                <w:sz w:val="20"/>
              </w:rPr>
              <w:t>5. Summary of Test Results for FDIC-supervised IDIs with total consolidated assets of $10 billion or more, 2009 Interagency Guidance (Voluntary)</w:t>
            </w:r>
          </w:p>
        </w:tc>
        <w:tc>
          <w:tcPr>
            <w:tcW w:w="821" w:type="dxa"/>
            <w:tcBorders>
              <w:top w:val="nil"/>
              <w:left w:val="nil"/>
              <w:bottom w:val="single" w:sz="8" w:space="0" w:color="auto"/>
              <w:right w:val="single" w:sz="8" w:space="0" w:color="auto"/>
            </w:tcBorders>
            <w:vAlign w:val="center"/>
            <w:hideMark/>
          </w:tcPr>
          <w:p w:rsidR="00A714F6" w:rsidRPr="00A714F6" w:rsidP="00A714F6" w14:paraId="2913AF42" w14:textId="77777777">
            <w:pPr>
              <w:keepNext/>
              <w:keepLines/>
              <w:jc w:val="center"/>
              <w:rPr>
                <w:color w:val="000000"/>
                <w:sz w:val="20"/>
              </w:rPr>
            </w:pPr>
            <w:r w:rsidRPr="00A714F6">
              <w:rPr>
                <w:color w:val="000000"/>
                <w:sz w:val="20"/>
              </w:rPr>
              <w:t>29.54</w:t>
            </w:r>
          </w:p>
        </w:tc>
        <w:tc>
          <w:tcPr>
            <w:tcW w:w="1000" w:type="dxa"/>
            <w:tcBorders>
              <w:top w:val="nil"/>
              <w:left w:val="nil"/>
              <w:bottom w:val="single" w:sz="8" w:space="0" w:color="auto"/>
              <w:right w:val="single" w:sz="8" w:space="0" w:color="auto"/>
            </w:tcBorders>
            <w:vAlign w:val="center"/>
            <w:hideMark/>
          </w:tcPr>
          <w:p w:rsidR="00A714F6" w:rsidRPr="00A714F6" w:rsidP="00A714F6" w14:paraId="73374280" w14:textId="77777777">
            <w:pPr>
              <w:keepNext/>
              <w:keepLines/>
              <w:jc w:val="center"/>
              <w:rPr>
                <w:color w:val="000000"/>
                <w:sz w:val="20"/>
              </w:rPr>
            </w:pPr>
            <w:r w:rsidRPr="00A714F6">
              <w:rPr>
                <w:color w:val="000000"/>
                <w:sz w:val="20"/>
              </w:rPr>
              <w:t>20</w:t>
            </w:r>
          </w:p>
        </w:tc>
        <w:tc>
          <w:tcPr>
            <w:tcW w:w="1000" w:type="dxa"/>
            <w:tcBorders>
              <w:top w:val="nil"/>
              <w:left w:val="nil"/>
              <w:bottom w:val="single" w:sz="8" w:space="0" w:color="auto"/>
              <w:right w:val="single" w:sz="8" w:space="0" w:color="auto"/>
            </w:tcBorders>
            <w:vAlign w:val="center"/>
            <w:hideMark/>
          </w:tcPr>
          <w:p w:rsidR="00A714F6" w:rsidRPr="00A714F6" w:rsidP="00A714F6" w14:paraId="29FF2C4D"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3D534CEE"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3FBB20D3"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08E71ABE" w14:textId="77777777">
            <w:pPr>
              <w:keepNext/>
              <w:keepLines/>
              <w:jc w:val="center"/>
              <w:rPr>
                <w:color w:val="000000"/>
                <w:sz w:val="20"/>
              </w:rPr>
            </w:pPr>
            <w:r w:rsidRPr="00A714F6">
              <w:rPr>
                <w:color w:val="000000"/>
                <w:sz w:val="20"/>
              </w:rPr>
              <w:t>80</w:t>
            </w:r>
          </w:p>
        </w:tc>
        <w:tc>
          <w:tcPr>
            <w:tcW w:w="900" w:type="dxa"/>
            <w:tcBorders>
              <w:top w:val="nil"/>
              <w:left w:val="nil"/>
              <w:bottom w:val="single" w:sz="8" w:space="0" w:color="auto"/>
              <w:right w:val="single" w:sz="8" w:space="0" w:color="auto"/>
            </w:tcBorders>
            <w:vAlign w:val="center"/>
            <w:hideMark/>
          </w:tcPr>
          <w:p w:rsidR="00A714F6" w:rsidRPr="00A714F6" w:rsidP="00A714F6" w14:paraId="24F9A791" w14:textId="77777777">
            <w:pPr>
              <w:keepNext/>
              <w:keepLines/>
              <w:jc w:val="center"/>
              <w:rPr>
                <w:color w:val="000000"/>
                <w:sz w:val="20"/>
              </w:rPr>
            </w:pPr>
            <w:r w:rsidRPr="00A714F6">
              <w:rPr>
                <w:color w:val="000000"/>
                <w:sz w:val="20"/>
              </w:rPr>
              <w:t>0</w:t>
            </w:r>
          </w:p>
        </w:tc>
        <w:tc>
          <w:tcPr>
            <w:tcW w:w="1412" w:type="dxa"/>
            <w:tcBorders>
              <w:top w:val="nil"/>
              <w:left w:val="nil"/>
              <w:bottom w:val="single" w:sz="8" w:space="0" w:color="auto"/>
              <w:right w:val="single" w:sz="8" w:space="0" w:color="auto"/>
            </w:tcBorders>
            <w:vAlign w:val="center"/>
            <w:hideMark/>
          </w:tcPr>
          <w:p w:rsidR="00A714F6" w:rsidRPr="00A714F6" w:rsidP="00A714F6" w14:paraId="189E3687" w14:textId="77777777">
            <w:pPr>
              <w:keepNext/>
              <w:keepLines/>
              <w:ind w:firstLine="200" w:firstLineChars="100"/>
              <w:jc w:val="right"/>
              <w:rPr>
                <w:color w:val="000000"/>
                <w:sz w:val="20"/>
              </w:rPr>
            </w:pPr>
            <w:r w:rsidRPr="00A714F6">
              <w:rPr>
                <w:color w:val="000000"/>
                <w:sz w:val="20"/>
              </w:rPr>
              <w:t xml:space="preserve">$112.75 </w:t>
            </w:r>
          </w:p>
        </w:tc>
        <w:tc>
          <w:tcPr>
            <w:tcW w:w="222" w:type="dxa"/>
            <w:vAlign w:val="center"/>
            <w:hideMark/>
          </w:tcPr>
          <w:p w:rsidR="00A714F6" w:rsidRPr="00A714F6" w:rsidP="00A714F6" w14:paraId="089E8C26" w14:textId="77777777">
            <w:pPr>
              <w:keepNext/>
              <w:keepLines/>
              <w:rPr>
                <w:sz w:val="20"/>
              </w:rPr>
            </w:pPr>
          </w:p>
        </w:tc>
      </w:tr>
      <w:tr w14:paraId="11AACEE3" w14:textId="77777777" w:rsidTr="00A714F6">
        <w:tblPrEx>
          <w:tblW w:w="10483" w:type="dxa"/>
          <w:tblInd w:w="-280" w:type="dxa"/>
          <w:tblCellMar>
            <w:top w:w="15" w:type="dxa"/>
          </w:tblCellMar>
          <w:tblLook w:val="04A0"/>
        </w:tblPrEx>
        <w:trPr>
          <w:trHeight w:val="1635"/>
        </w:trPr>
        <w:tc>
          <w:tcPr>
            <w:tcW w:w="2228" w:type="dxa"/>
            <w:tcBorders>
              <w:top w:val="nil"/>
              <w:left w:val="single" w:sz="8" w:space="0" w:color="auto"/>
              <w:bottom w:val="single" w:sz="8" w:space="0" w:color="auto"/>
              <w:right w:val="single" w:sz="8" w:space="0" w:color="auto"/>
            </w:tcBorders>
            <w:vAlign w:val="center"/>
            <w:hideMark/>
          </w:tcPr>
          <w:p w:rsidR="00A714F6" w:rsidRPr="00A714F6" w:rsidP="00A714F6" w14:paraId="70EA00D8" w14:textId="77777777">
            <w:pPr>
              <w:keepNext/>
              <w:keepLines/>
              <w:rPr>
                <w:color w:val="000000"/>
                <w:sz w:val="20"/>
              </w:rPr>
            </w:pPr>
            <w:r w:rsidRPr="00A714F6">
              <w:rPr>
                <w:color w:val="000000"/>
                <w:sz w:val="20"/>
              </w:rPr>
              <w:t>6. Policies and Procedures for FDIC-supervised IDIs with total consolidated assets of $10 billion or more, 2009 Interagency Guidance (Voluntary)</w:t>
            </w:r>
          </w:p>
        </w:tc>
        <w:tc>
          <w:tcPr>
            <w:tcW w:w="821" w:type="dxa"/>
            <w:tcBorders>
              <w:top w:val="nil"/>
              <w:left w:val="nil"/>
              <w:bottom w:val="single" w:sz="8" w:space="0" w:color="auto"/>
              <w:right w:val="single" w:sz="8" w:space="0" w:color="auto"/>
            </w:tcBorders>
            <w:vAlign w:val="center"/>
            <w:hideMark/>
          </w:tcPr>
          <w:p w:rsidR="00A714F6" w:rsidRPr="00A714F6" w:rsidP="00A714F6" w14:paraId="5C2F512F" w14:textId="77777777">
            <w:pPr>
              <w:keepNext/>
              <w:keepLines/>
              <w:jc w:val="center"/>
              <w:rPr>
                <w:color w:val="000000"/>
                <w:sz w:val="20"/>
              </w:rPr>
            </w:pPr>
            <w:r w:rsidRPr="00A714F6">
              <w:rPr>
                <w:color w:val="000000"/>
                <w:sz w:val="20"/>
              </w:rPr>
              <w:t>24.92</w:t>
            </w:r>
          </w:p>
        </w:tc>
        <w:tc>
          <w:tcPr>
            <w:tcW w:w="1000" w:type="dxa"/>
            <w:tcBorders>
              <w:top w:val="nil"/>
              <w:left w:val="nil"/>
              <w:bottom w:val="single" w:sz="8" w:space="0" w:color="auto"/>
              <w:right w:val="single" w:sz="8" w:space="0" w:color="auto"/>
            </w:tcBorders>
            <w:vAlign w:val="center"/>
            <w:hideMark/>
          </w:tcPr>
          <w:p w:rsidR="00A714F6" w:rsidRPr="00A714F6" w:rsidP="00A714F6" w14:paraId="1E4A5583" w14:textId="77777777">
            <w:pPr>
              <w:keepNext/>
              <w:keepLines/>
              <w:jc w:val="center"/>
              <w:rPr>
                <w:color w:val="000000"/>
                <w:sz w:val="20"/>
              </w:rPr>
            </w:pPr>
            <w:r w:rsidRPr="00A714F6">
              <w:rPr>
                <w:color w:val="000000"/>
                <w:sz w:val="20"/>
              </w:rPr>
              <w:t>70</w:t>
            </w:r>
          </w:p>
        </w:tc>
        <w:tc>
          <w:tcPr>
            <w:tcW w:w="1000" w:type="dxa"/>
            <w:tcBorders>
              <w:top w:val="nil"/>
              <w:left w:val="nil"/>
              <w:bottom w:val="single" w:sz="8" w:space="0" w:color="auto"/>
              <w:right w:val="single" w:sz="8" w:space="0" w:color="auto"/>
            </w:tcBorders>
            <w:vAlign w:val="center"/>
            <w:hideMark/>
          </w:tcPr>
          <w:p w:rsidR="00A714F6" w:rsidRPr="00A714F6" w:rsidP="00A714F6" w14:paraId="24BF4979"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59727A5A" w14:textId="77777777">
            <w:pPr>
              <w:keepNext/>
              <w:keepLines/>
              <w:jc w:val="center"/>
              <w:rPr>
                <w:color w:val="000000"/>
                <w:sz w:val="20"/>
              </w:rPr>
            </w:pPr>
            <w:r w:rsidRPr="00A714F6">
              <w:rPr>
                <w:color w:val="000000"/>
                <w:sz w:val="20"/>
              </w:rPr>
              <w:t>30</w:t>
            </w:r>
          </w:p>
        </w:tc>
        <w:tc>
          <w:tcPr>
            <w:tcW w:w="1000" w:type="dxa"/>
            <w:tcBorders>
              <w:top w:val="nil"/>
              <w:left w:val="nil"/>
              <w:bottom w:val="single" w:sz="8" w:space="0" w:color="auto"/>
              <w:right w:val="single" w:sz="8" w:space="0" w:color="auto"/>
            </w:tcBorders>
            <w:vAlign w:val="center"/>
            <w:hideMark/>
          </w:tcPr>
          <w:p w:rsidR="00A714F6" w:rsidRPr="00A714F6" w:rsidP="00A714F6" w14:paraId="17CCAEE8" w14:textId="77777777">
            <w:pPr>
              <w:keepNext/>
              <w:keepLines/>
              <w:jc w:val="center"/>
              <w:rPr>
                <w:color w:val="000000"/>
                <w:sz w:val="20"/>
              </w:rPr>
            </w:pPr>
            <w:r w:rsidRPr="00A714F6">
              <w:rPr>
                <w:color w:val="000000"/>
                <w:sz w:val="20"/>
              </w:rPr>
              <w:t>0</w:t>
            </w:r>
          </w:p>
        </w:tc>
        <w:tc>
          <w:tcPr>
            <w:tcW w:w="1000" w:type="dxa"/>
            <w:tcBorders>
              <w:top w:val="nil"/>
              <w:left w:val="nil"/>
              <w:bottom w:val="single" w:sz="8" w:space="0" w:color="auto"/>
              <w:right w:val="single" w:sz="8" w:space="0" w:color="auto"/>
            </w:tcBorders>
            <w:vAlign w:val="center"/>
            <w:hideMark/>
          </w:tcPr>
          <w:p w:rsidR="00A714F6" w:rsidRPr="00A714F6" w:rsidP="00A714F6" w14:paraId="225EB673" w14:textId="77777777">
            <w:pPr>
              <w:keepNext/>
              <w:keepLines/>
              <w:jc w:val="center"/>
              <w:rPr>
                <w:color w:val="000000"/>
                <w:sz w:val="20"/>
              </w:rPr>
            </w:pPr>
            <w:r w:rsidRPr="00A714F6">
              <w:rPr>
                <w:color w:val="000000"/>
                <w:sz w:val="20"/>
              </w:rPr>
              <w:t>0</w:t>
            </w:r>
          </w:p>
        </w:tc>
        <w:tc>
          <w:tcPr>
            <w:tcW w:w="900" w:type="dxa"/>
            <w:tcBorders>
              <w:top w:val="nil"/>
              <w:left w:val="nil"/>
              <w:bottom w:val="single" w:sz="8" w:space="0" w:color="auto"/>
              <w:right w:val="single" w:sz="8" w:space="0" w:color="auto"/>
            </w:tcBorders>
            <w:vAlign w:val="center"/>
            <w:hideMark/>
          </w:tcPr>
          <w:p w:rsidR="00A714F6" w:rsidRPr="00A714F6" w:rsidP="00A714F6" w14:paraId="268A2E26" w14:textId="77777777">
            <w:pPr>
              <w:keepNext/>
              <w:keepLines/>
              <w:jc w:val="center"/>
              <w:rPr>
                <w:color w:val="000000"/>
                <w:sz w:val="20"/>
              </w:rPr>
            </w:pPr>
            <w:r w:rsidRPr="00A714F6">
              <w:rPr>
                <w:color w:val="000000"/>
                <w:sz w:val="20"/>
              </w:rPr>
              <w:t>0</w:t>
            </w:r>
          </w:p>
        </w:tc>
        <w:tc>
          <w:tcPr>
            <w:tcW w:w="1412" w:type="dxa"/>
            <w:tcBorders>
              <w:top w:val="nil"/>
              <w:left w:val="nil"/>
              <w:bottom w:val="single" w:sz="8" w:space="0" w:color="auto"/>
              <w:right w:val="single" w:sz="8" w:space="0" w:color="auto"/>
            </w:tcBorders>
            <w:vAlign w:val="center"/>
            <w:hideMark/>
          </w:tcPr>
          <w:p w:rsidR="00A714F6" w:rsidRPr="00A714F6" w:rsidP="00A714F6" w14:paraId="1E192F83" w14:textId="77777777">
            <w:pPr>
              <w:keepNext/>
              <w:keepLines/>
              <w:ind w:firstLine="200" w:firstLineChars="100"/>
              <w:jc w:val="right"/>
              <w:rPr>
                <w:color w:val="000000"/>
                <w:sz w:val="20"/>
              </w:rPr>
            </w:pPr>
            <w:r w:rsidRPr="00A714F6">
              <w:rPr>
                <w:color w:val="000000"/>
                <w:sz w:val="20"/>
              </w:rPr>
              <w:t xml:space="preserve">$135.53 </w:t>
            </w:r>
          </w:p>
        </w:tc>
        <w:tc>
          <w:tcPr>
            <w:tcW w:w="222" w:type="dxa"/>
            <w:vAlign w:val="center"/>
            <w:hideMark/>
          </w:tcPr>
          <w:p w:rsidR="00A714F6" w:rsidRPr="00A714F6" w:rsidP="00A714F6" w14:paraId="474087E9" w14:textId="77777777">
            <w:pPr>
              <w:keepNext/>
              <w:keepLines/>
              <w:rPr>
                <w:sz w:val="20"/>
              </w:rPr>
            </w:pPr>
          </w:p>
        </w:tc>
      </w:tr>
      <w:tr w14:paraId="5EBBDBFB" w14:textId="77777777" w:rsidTr="00A714F6">
        <w:tblPrEx>
          <w:tblW w:w="10483" w:type="dxa"/>
          <w:tblInd w:w="-280" w:type="dxa"/>
          <w:tblCellMar>
            <w:top w:w="15" w:type="dxa"/>
          </w:tblCellMar>
          <w:tblLook w:val="04A0"/>
        </w:tblPrEx>
        <w:trPr>
          <w:trHeight w:val="300"/>
        </w:trPr>
        <w:tc>
          <w:tcPr>
            <w:tcW w:w="8849" w:type="dxa"/>
            <w:gridSpan w:val="8"/>
            <w:tcBorders>
              <w:top w:val="single" w:sz="8" w:space="0" w:color="auto"/>
              <w:left w:val="single" w:sz="8" w:space="0" w:color="auto"/>
              <w:bottom w:val="single" w:sz="8" w:space="0" w:color="auto"/>
              <w:right w:val="single" w:sz="8" w:space="0" w:color="auto"/>
            </w:tcBorders>
            <w:vAlign w:val="center"/>
            <w:hideMark/>
          </w:tcPr>
          <w:p w:rsidR="00A714F6" w:rsidRPr="00A714F6" w:rsidP="00A714F6" w14:paraId="60CF9AC0" w14:textId="77777777">
            <w:pPr>
              <w:keepNext/>
              <w:keepLines/>
              <w:jc w:val="right"/>
              <w:rPr>
                <w:b/>
                <w:bCs/>
                <w:i/>
                <w:iCs/>
                <w:color w:val="000000"/>
                <w:sz w:val="22"/>
                <w:szCs w:val="22"/>
              </w:rPr>
            </w:pPr>
            <w:r w:rsidRPr="00A714F6">
              <w:rPr>
                <w:b/>
                <w:bCs/>
                <w:i/>
                <w:iCs/>
                <w:color w:val="000000"/>
                <w:sz w:val="22"/>
                <w:szCs w:val="22"/>
              </w:rPr>
              <w:t>Weighted Average Hourly Compensation Rate:</w:t>
            </w:r>
          </w:p>
        </w:tc>
        <w:tc>
          <w:tcPr>
            <w:tcW w:w="1412" w:type="dxa"/>
            <w:tcBorders>
              <w:top w:val="nil"/>
              <w:left w:val="nil"/>
              <w:bottom w:val="single" w:sz="8" w:space="0" w:color="auto"/>
              <w:right w:val="single" w:sz="8" w:space="0" w:color="auto"/>
            </w:tcBorders>
            <w:vAlign w:val="center"/>
            <w:hideMark/>
          </w:tcPr>
          <w:p w:rsidR="00A714F6" w:rsidRPr="00A714F6" w:rsidP="00A714F6" w14:paraId="1770B21C" w14:textId="77777777">
            <w:pPr>
              <w:keepNext/>
              <w:keepLines/>
              <w:ind w:firstLine="220" w:firstLineChars="100"/>
              <w:jc w:val="right"/>
              <w:rPr>
                <w:b/>
                <w:bCs/>
                <w:i/>
                <w:iCs/>
                <w:color w:val="000000"/>
                <w:sz w:val="22"/>
                <w:szCs w:val="22"/>
              </w:rPr>
            </w:pPr>
            <w:r w:rsidRPr="00A714F6">
              <w:rPr>
                <w:b/>
                <w:bCs/>
                <w:i/>
                <w:iCs/>
                <w:color w:val="000000"/>
                <w:sz w:val="22"/>
                <w:szCs w:val="22"/>
              </w:rPr>
              <w:t xml:space="preserve">$115.20 </w:t>
            </w:r>
          </w:p>
        </w:tc>
        <w:tc>
          <w:tcPr>
            <w:tcW w:w="222" w:type="dxa"/>
            <w:vAlign w:val="center"/>
            <w:hideMark/>
          </w:tcPr>
          <w:p w:rsidR="00A714F6" w:rsidRPr="00A714F6" w:rsidP="00A714F6" w14:paraId="596DA766" w14:textId="77777777">
            <w:pPr>
              <w:keepNext/>
              <w:keepLines/>
              <w:rPr>
                <w:sz w:val="20"/>
              </w:rPr>
            </w:pPr>
          </w:p>
        </w:tc>
      </w:tr>
      <w:tr w14:paraId="447D0F31" w14:textId="77777777" w:rsidTr="00A714F6">
        <w:tblPrEx>
          <w:tblW w:w="10483" w:type="dxa"/>
          <w:tblInd w:w="-280" w:type="dxa"/>
          <w:tblCellMar>
            <w:top w:w="15" w:type="dxa"/>
          </w:tblCellMar>
          <w:tblLook w:val="04A0"/>
        </w:tblPrEx>
        <w:trPr>
          <w:trHeight w:val="252"/>
        </w:trPr>
        <w:tc>
          <w:tcPr>
            <w:tcW w:w="10261" w:type="dxa"/>
            <w:gridSpan w:val="9"/>
            <w:vMerge w:val="restart"/>
            <w:tcBorders>
              <w:top w:val="single" w:sz="8" w:space="0" w:color="auto"/>
              <w:left w:val="single" w:sz="8" w:space="0" w:color="auto"/>
              <w:bottom w:val="single" w:sz="4" w:space="0" w:color="auto"/>
              <w:right w:val="single" w:sz="8" w:space="0" w:color="000000"/>
            </w:tcBorders>
            <w:vAlign w:val="center"/>
            <w:hideMark/>
          </w:tcPr>
          <w:p w:rsidR="00A714F6" w:rsidRPr="00A714F6" w:rsidP="00A714F6" w14:paraId="67F3038C" w14:textId="77777777">
            <w:pPr>
              <w:keepNext/>
              <w:keepLines/>
              <w:rPr>
                <w:color w:val="000000"/>
                <w:sz w:val="18"/>
                <w:szCs w:val="18"/>
              </w:rPr>
            </w:pPr>
            <w:r w:rsidRPr="00A714F6">
              <w:rPr>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March 2025). Standard Occupational Classification (SOC) Codes: Exec. And </w:t>
            </w:r>
            <w:r w:rsidRPr="00A714F6">
              <w:rPr>
                <w:color w:val="000000"/>
                <w:sz w:val="18"/>
                <w:szCs w:val="18"/>
              </w:rPr>
              <w:t>Mgr</w:t>
            </w:r>
            <w:r w:rsidRPr="00A714F6">
              <w:rPr>
                <w:color w:val="000000"/>
                <w:sz w:val="18"/>
                <w:szCs w:val="18"/>
              </w:rPr>
              <w:t xml:space="preserve"> = 11-0000 Management Occupations; Lawyer = 23-0000 Legal Occupations; </w:t>
            </w:r>
            <w:r w:rsidRPr="00A714F6">
              <w:rPr>
                <w:color w:val="000000"/>
                <w:sz w:val="18"/>
                <w:szCs w:val="18"/>
              </w:rPr>
              <w:t>Compl</w:t>
            </w:r>
            <w:r w:rsidRPr="00A714F6">
              <w:rPr>
                <w:color w:val="000000"/>
                <w:sz w:val="18"/>
                <w:szCs w:val="18"/>
              </w:rPr>
              <w:t xml:space="preserve">. Ofc. = 13-1040 Compliance Officers; IT = 15-0000 Computer and Mathematical Occupations; Fin. </w:t>
            </w:r>
            <w:r w:rsidRPr="00A714F6">
              <w:rPr>
                <w:color w:val="000000"/>
                <w:sz w:val="18"/>
                <w:szCs w:val="18"/>
              </w:rPr>
              <w:t>Anlst</w:t>
            </w:r>
            <w:r w:rsidRPr="00A714F6">
              <w:rPr>
                <w:color w:val="000000"/>
                <w:sz w:val="18"/>
                <w:szCs w:val="18"/>
              </w:rPr>
              <w:t xml:space="preserve">. = 13-2051 Financial and Investment Analysts; Clerical = 43-0000 Office and Administrative Support Occupations. </w:t>
            </w:r>
          </w:p>
        </w:tc>
        <w:tc>
          <w:tcPr>
            <w:tcW w:w="222" w:type="dxa"/>
            <w:vAlign w:val="center"/>
            <w:hideMark/>
          </w:tcPr>
          <w:p w:rsidR="00A714F6" w:rsidRPr="00A714F6" w:rsidP="00A714F6" w14:paraId="70DC0A1E" w14:textId="77777777">
            <w:pPr>
              <w:keepNext/>
              <w:keepLines/>
              <w:rPr>
                <w:sz w:val="20"/>
              </w:rPr>
            </w:pPr>
          </w:p>
        </w:tc>
      </w:tr>
      <w:tr w14:paraId="5AAA50A5" w14:textId="77777777" w:rsidTr="00A714F6">
        <w:tblPrEx>
          <w:tblW w:w="10483" w:type="dxa"/>
          <w:tblInd w:w="-280" w:type="dxa"/>
          <w:tblCellMar>
            <w:top w:w="15" w:type="dxa"/>
          </w:tblCellMar>
          <w:tblLook w:val="04A0"/>
        </w:tblPrEx>
        <w:trPr>
          <w:trHeight w:val="289"/>
        </w:trPr>
        <w:tc>
          <w:tcPr>
            <w:tcW w:w="10261" w:type="dxa"/>
            <w:gridSpan w:val="9"/>
            <w:vMerge/>
            <w:tcBorders>
              <w:top w:val="single" w:sz="8" w:space="0" w:color="auto"/>
              <w:left w:val="single" w:sz="8" w:space="0" w:color="auto"/>
              <w:bottom w:val="single" w:sz="4" w:space="0" w:color="auto"/>
              <w:right w:val="single" w:sz="8" w:space="0" w:color="000000"/>
            </w:tcBorders>
            <w:vAlign w:val="center"/>
            <w:hideMark/>
          </w:tcPr>
          <w:p w:rsidR="00A714F6" w:rsidRPr="00A714F6" w:rsidP="00A714F6" w14:paraId="0CBCB308" w14:textId="77777777">
            <w:pPr>
              <w:keepNext/>
              <w:keepLines/>
              <w:rPr>
                <w:color w:val="000000"/>
                <w:sz w:val="18"/>
                <w:szCs w:val="18"/>
              </w:rPr>
            </w:pPr>
          </w:p>
        </w:tc>
        <w:tc>
          <w:tcPr>
            <w:tcW w:w="222" w:type="dxa"/>
            <w:tcBorders>
              <w:top w:val="nil"/>
              <w:left w:val="nil"/>
              <w:bottom w:val="nil"/>
              <w:right w:val="nil"/>
            </w:tcBorders>
            <w:noWrap/>
            <w:vAlign w:val="bottom"/>
            <w:hideMark/>
          </w:tcPr>
          <w:p w:rsidR="00A714F6" w:rsidRPr="00A714F6" w:rsidP="00A714F6" w14:paraId="3E2CE06B" w14:textId="77777777">
            <w:pPr>
              <w:keepNext/>
              <w:keepLines/>
              <w:rPr>
                <w:color w:val="000000"/>
                <w:sz w:val="18"/>
                <w:szCs w:val="18"/>
              </w:rPr>
            </w:pPr>
          </w:p>
        </w:tc>
      </w:tr>
      <w:tr w14:paraId="0912FEE0" w14:textId="77777777" w:rsidTr="00A714F6">
        <w:tblPrEx>
          <w:tblW w:w="10483" w:type="dxa"/>
          <w:tblInd w:w="-280" w:type="dxa"/>
          <w:tblCellMar>
            <w:top w:w="15" w:type="dxa"/>
          </w:tblCellMar>
          <w:tblLook w:val="04A0"/>
        </w:tblPrEx>
        <w:trPr>
          <w:trHeight w:val="300"/>
        </w:trPr>
        <w:tc>
          <w:tcPr>
            <w:tcW w:w="10261" w:type="dxa"/>
            <w:gridSpan w:val="9"/>
            <w:vMerge/>
            <w:tcBorders>
              <w:top w:val="single" w:sz="8" w:space="0" w:color="auto"/>
              <w:left w:val="single" w:sz="8" w:space="0" w:color="auto"/>
              <w:bottom w:val="single" w:sz="4" w:space="0" w:color="auto"/>
              <w:right w:val="single" w:sz="8" w:space="0" w:color="000000"/>
            </w:tcBorders>
            <w:vAlign w:val="center"/>
            <w:hideMark/>
          </w:tcPr>
          <w:p w:rsidR="00A714F6" w:rsidRPr="00A714F6" w:rsidP="00A714F6" w14:paraId="52E4B9BC" w14:textId="77777777">
            <w:pPr>
              <w:keepNext/>
              <w:keepLines/>
              <w:rPr>
                <w:color w:val="000000"/>
                <w:sz w:val="18"/>
                <w:szCs w:val="18"/>
              </w:rPr>
            </w:pPr>
          </w:p>
        </w:tc>
        <w:tc>
          <w:tcPr>
            <w:tcW w:w="222" w:type="dxa"/>
            <w:tcBorders>
              <w:top w:val="nil"/>
              <w:left w:val="nil"/>
              <w:bottom w:val="nil"/>
              <w:right w:val="nil"/>
            </w:tcBorders>
            <w:noWrap/>
            <w:vAlign w:val="bottom"/>
            <w:hideMark/>
          </w:tcPr>
          <w:p w:rsidR="00A714F6" w:rsidRPr="00A714F6" w:rsidP="00A714F6" w14:paraId="2BB63B70" w14:textId="77777777">
            <w:pPr>
              <w:keepNext/>
              <w:keepLines/>
              <w:rPr>
                <w:sz w:val="20"/>
              </w:rPr>
            </w:pPr>
          </w:p>
        </w:tc>
      </w:tr>
      <w:tr w14:paraId="7A4908BF" w14:textId="77777777" w:rsidTr="00A714F6">
        <w:tblPrEx>
          <w:tblW w:w="10483" w:type="dxa"/>
          <w:tblInd w:w="-280" w:type="dxa"/>
          <w:tblCellMar>
            <w:top w:w="15" w:type="dxa"/>
          </w:tblCellMar>
          <w:tblLook w:val="04A0"/>
        </w:tblPrEx>
        <w:trPr>
          <w:trHeight w:val="312"/>
        </w:trPr>
        <w:tc>
          <w:tcPr>
            <w:tcW w:w="10261" w:type="dxa"/>
            <w:gridSpan w:val="9"/>
            <w:vMerge/>
            <w:tcBorders>
              <w:top w:val="single" w:sz="8" w:space="0" w:color="auto"/>
              <w:left w:val="single" w:sz="8" w:space="0" w:color="auto"/>
              <w:bottom w:val="single" w:sz="4" w:space="0" w:color="auto"/>
              <w:right w:val="single" w:sz="8" w:space="0" w:color="000000"/>
            </w:tcBorders>
            <w:vAlign w:val="center"/>
            <w:hideMark/>
          </w:tcPr>
          <w:p w:rsidR="00A714F6" w:rsidRPr="00A714F6" w:rsidP="00A714F6" w14:paraId="38C879EB" w14:textId="77777777">
            <w:pPr>
              <w:keepNext/>
              <w:keepLines/>
              <w:rPr>
                <w:color w:val="000000"/>
                <w:sz w:val="18"/>
                <w:szCs w:val="18"/>
              </w:rPr>
            </w:pPr>
          </w:p>
        </w:tc>
        <w:tc>
          <w:tcPr>
            <w:tcW w:w="222" w:type="dxa"/>
            <w:tcBorders>
              <w:top w:val="nil"/>
              <w:left w:val="nil"/>
              <w:bottom w:val="nil"/>
              <w:right w:val="nil"/>
            </w:tcBorders>
            <w:noWrap/>
            <w:vAlign w:val="bottom"/>
            <w:hideMark/>
          </w:tcPr>
          <w:p w:rsidR="00A714F6" w:rsidRPr="00A714F6" w:rsidP="00A714F6" w14:paraId="7DF9FC17" w14:textId="77777777">
            <w:pPr>
              <w:keepNext/>
              <w:keepLines/>
              <w:rPr>
                <w:sz w:val="20"/>
              </w:rPr>
            </w:pPr>
          </w:p>
        </w:tc>
      </w:tr>
    </w:tbl>
    <w:p w:rsidR="00C27783" w:rsidP="005E1547" w14:paraId="2932D1DE" w14:textId="77777777">
      <w:pPr>
        <w:spacing w:line="480" w:lineRule="auto"/>
        <w:ind w:firstLine="720"/>
        <w:rPr>
          <w:szCs w:val="24"/>
        </w:rPr>
      </w:pPr>
    </w:p>
    <w:tbl>
      <w:tblPr>
        <w:tblW w:w="10260" w:type="dxa"/>
        <w:tblInd w:w="-280" w:type="dxa"/>
        <w:tblLook w:val="04A0"/>
      </w:tblPr>
      <w:tblGrid>
        <w:gridCol w:w="2610"/>
        <w:gridCol w:w="2573"/>
        <w:gridCol w:w="3367"/>
        <w:gridCol w:w="1710"/>
      </w:tblGrid>
      <w:tr w14:paraId="65C3268D" w14:textId="77777777" w:rsidTr="00C27E1A">
        <w:tblPrEx>
          <w:tblW w:w="10260" w:type="dxa"/>
          <w:tblInd w:w="-280" w:type="dxa"/>
          <w:tblLook w:val="04A0"/>
        </w:tblPrEx>
        <w:trPr>
          <w:trHeight w:val="360"/>
        </w:trPr>
        <w:tc>
          <w:tcPr>
            <w:tcW w:w="10260" w:type="dxa"/>
            <w:gridSpan w:val="4"/>
            <w:tcBorders>
              <w:top w:val="single" w:sz="8" w:space="0" w:color="auto"/>
              <w:left w:val="single" w:sz="8" w:space="0" w:color="auto"/>
              <w:bottom w:val="single" w:sz="8" w:space="0" w:color="auto"/>
              <w:right w:val="single" w:sz="8" w:space="0" w:color="000000"/>
            </w:tcBorders>
            <w:noWrap/>
            <w:vAlign w:val="center"/>
            <w:hideMark/>
          </w:tcPr>
          <w:p w:rsidR="00C27E1A" w:rsidRPr="00C27E1A" w:rsidP="00C27E1A" w14:paraId="0A93DE48" w14:textId="2A4D3FAB">
            <w:pPr>
              <w:keepNext/>
              <w:keepLines/>
              <w:jc w:val="center"/>
              <w:rPr>
                <w:color w:val="000000"/>
                <w:szCs w:val="24"/>
              </w:rPr>
            </w:pPr>
            <w:r w:rsidRPr="00C27E1A">
              <w:rPr>
                <w:color w:val="000000"/>
                <w:szCs w:val="24"/>
              </w:rPr>
              <w:t>Total Estimated Cost Burden (OMB No. 3064-0189)</w:t>
            </w:r>
          </w:p>
        </w:tc>
      </w:tr>
      <w:tr w14:paraId="42DF1B55" w14:textId="77777777" w:rsidTr="00C27E1A">
        <w:tblPrEx>
          <w:tblW w:w="10260" w:type="dxa"/>
          <w:tblInd w:w="-280" w:type="dxa"/>
          <w:tblLook w:val="04A0"/>
        </w:tblPrEx>
        <w:trPr>
          <w:trHeight w:val="600"/>
        </w:trPr>
        <w:tc>
          <w:tcPr>
            <w:tcW w:w="2610" w:type="dxa"/>
            <w:tcBorders>
              <w:top w:val="nil"/>
              <w:left w:val="single" w:sz="8" w:space="0" w:color="auto"/>
              <w:bottom w:val="single" w:sz="8" w:space="0" w:color="auto"/>
              <w:right w:val="single" w:sz="8" w:space="0" w:color="auto"/>
            </w:tcBorders>
            <w:vAlign w:val="center"/>
            <w:hideMark/>
          </w:tcPr>
          <w:p w:rsidR="00C27E1A" w:rsidRPr="00C27E1A" w:rsidP="00C27E1A" w14:paraId="0AAAEA7C" w14:textId="77777777">
            <w:pPr>
              <w:keepNext/>
              <w:keepLines/>
              <w:rPr>
                <w:color w:val="000000"/>
                <w:sz w:val="20"/>
              </w:rPr>
            </w:pPr>
            <w:r w:rsidRPr="00C27E1A">
              <w:rPr>
                <w:color w:val="000000"/>
                <w:sz w:val="20"/>
              </w:rPr>
              <w:t>Information Collection Request</w:t>
            </w:r>
          </w:p>
        </w:tc>
        <w:tc>
          <w:tcPr>
            <w:tcW w:w="2573" w:type="dxa"/>
            <w:tcBorders>
              <w:top w:val="nil"/>
              <w:left w:val="nil"/>
              <w:bottom w:val="single" w:sz="8" w:space="0" w:color="auto"/>
              <w:right w:val="single" w:sz="8" w:space="0" w:color="auto"/>
            </w:tcBorders>
            <w:vAlign w:val="center"/>
            <w:hideMark/>
          </w:tcPr>
          <w:p w:rsidR="00C27E1A" w:rsidRPr="00C27E1A" w:rsidP="00C27E1A" w14:paraId="59F242CE" w14:textId="77777777">
            <w:pPr>
              <w:keepNext/>
              <w:keepLines/>
              <w:jc w:val="center"/>
              <w:rPr>
                <w:color w:val="000000"/>
                <w:sz w:val="20"/>
              </w:rPr>
            </w:pPr>
            <w:r w:rsidRPr="00C27E1A">
              <w:rPr>
                <w:color w:val="000000"/>
                <w:sz w:val="20"/>
              </w:rPr>
              <w:t>Annual Burden (Hours)</w:t>
            </w:r>
          </w:p>
        </w:tc>
        <w:tc>
          <w:tcPr>
            <w:tcW w:w="3367" w:type="dxa"/>
            <w:tcBorders>
              <w:top w:val="nil"/>
              <w:left w:val="nil"/>
              <w:bottom w:val="single" w:sz="8" w:space="0" w:color="auto"/>
              <w:right w:val="single" w:sz="8" w:space="0" w:color="auto"/>
            </w:tcBorders>
            <w:vAlign w:val="center"/>
            <w:hideMark/>
          </w:tcPr>
          <w:p w:rsidR="00C27E1A" w:rsidRPr="00C27E1A" w:rsidP="00C27E1A" w14:paraId="3DF9B5AC" w14:textId="77777777">
            <w:pPr>
              <w:keepNext/>
              <w:keepLines/>
              <w:jc w:val="center"/>
              <w:rPr>
                <w:color w:val="000000"/>
                <w:sz w:val="20"/>
              </w:rPr>
            </w:pPr>
            <w:r w:rsidRPr="00C27E1A">
              <w:rPr>
                <w:color w:val="000000"/>
                <w:sz w:val="20"/>
              </w:rPr>
              <w:t>Weighted Average Hourly Compensation Rate</w:t>
            </w:r>
          </w:p>
        </w:tc>
        <w:tc>
          <w:tcPr>
            <w:tcW w:w="1710" w:type="dxa"/>
            <w:tcBorders>
              <w:top w:val="nil"/>
              <w:left w:val="nil"/>
              <w:bottom w:val="single" w:sz="8" w:space="0" w:color="auto"/>
              <w:right w:val="single" w:sz="8" w:space="0" w:color="auto"/>
            </w:tcBorders>
            <w:vAlign w:val="center"/>
            <w:hideMark/>
          </w:tcPr>
          <w:p w:rsidR="00C27E1A" w:rsidRPr="00C27E1A" w:rsidP="00C27E1A" w14:paraId="2FBB6359" w14:textId="77777777">
            <w:pPr>
              <w:keepNext/>
              <w:keepLines/>
              <w:jc w:val="center"/>
              <w:rPr>
                <w:color w:val="000000"/>
                <w:sz w:val="20"/>
              </w:rPr>
            </w:pPr>
            <w:r w:rsidRPr="00C27E1A">
              <w:rPr>
                <w:color w:val="000000"/>
                <w:sz w:val="20"/>
              </w:rPr>
              <w:t>Annual Respondent Cost</w:t>
            </w:r>
          </w:p>
        </w:tc>
      </w:tr>
      <w:tr w14:paraId="43823D85" w14:textId="77777777" w:rsidTr="00C27E1A">
        <w:tblPrEx>
          <w:tblW w:w="10260" w:type="dxa"/>
          <w:tblInd w:w="-280" w:type="dxa"/>
          <w:tblLook w:val="04A0"/>
        </w:tblPrEx>
        <w:trPr>
          <w:trHeight w:val="863"/>
        </w:trPr>
        <w:tc>
          <w:tcPr>
            <w:tcW w:w="2610" w:type="dxa"/>
            <w:tcBorders>
              <w:top w:val="nil"/>
              <w:left w:val="single" w:sz="8" w:space="0" w:color="auto"/>
              <w:bottom w:val="single" w:sz="8" w:space="0" w:color="auto"/>
              <w:right w:val="single" w:sz="8" w:space="0" w:color="auto"/>
            </w:tcBorders>
            <w:vAlign w:val="center"/>
            <w:hideMark/>
          </w:tcPr>
          <w:p w:rsidR="00C27E1A" w:rsidRPr="00C27E1A" w:rsidP="00C27E1A" w14:paraId="04286918" w14:textId="77777777">
            <w:pPr>
              <w:keepNext/>
              <w:keepLines/>
              <w:rPr>
                <w:color w:val="000000"/>
                <w:sz w:val="20"/>
              </w:rPr>
            </w:pPr>
            <w:r w:rsidRPr="00C27E1A">
              <w:rPr>
                <w:color w:val="000000"/>
                <w:sz w:val="20"/>
              </w:rPr>
              <w:t>Stress Testing Recordkeeping and Reporting</w:t>
            </w:r>
          </w:p>
        </w:tc>
        <w:tc>
          <w:tcPr>
            <w:tcW w:w="2573" w:type="dxa"/>
            <w:tcBorders>
              <w:top w:val="nil"/>
              <w:left w:val="nil"/>
              <w:bottom w:val="single" w:sz="8" w:space="0" w:color="auto"/>
              <w:right w:val="single" w:sz="8" w:space="0" w:color="auto"/>
            </w:tcBorders>
            <w:noWrap/>
            <w:vAlign w:val="center"/>
            <w:hideMark/>
          </w:tcPr>
          <w:p w:rsidR="00C27E1A" w:rsidRPr="00C27E1A" w:rsidP="00C27E1A" w14:paraId="1D546FB3" w14:textId="77777777">
            <w:pPr>
              <w:keepNext/>
              <w:keepLines/>
              <w:ind w:firstLine="400" w:firstLineChars="200"/>
              <w:jc w:val="right"/>
              <w:rPr>
                <w:color w:val="000000"/>
                <w:sz w:val="20"/>
              </w:rPr>
            </w:pPr>
            <w:r w:rsidRPr="00C27E1A">
              <w:rPr>
                <w:color w:val="000000"/>
                <w:sz w:val="20"/>
              </w:rPr>
              <w:t xml:space="preserve">                                    6,500 </w:t>
            </w:r>
          </w:p>
        </w:tc>
        <w:tc>
          <w:tcPr>
            <w:tcW w:w="3367" w:type="dxa"/>
            <w:tcBorders>
              <w:top w:val="nil"/>
              <w:left w:val="nil"/>
              <w:bottom w:val="single" w:sz="8" w:space="0" w:color="auto"/>
              <w:right w:val="single" w:sz="8" w:space="0" w:color="auto"/>
            </w:tcBorders>
            <w:noWrap/>
            <w:vAlign w:val="center"/>
            <w:hideMark/>
          </w:tcPr>
          <w:p w:rsidR="00C27E1A" w:rsidRPr="00C27E1A" w:rsidP="00C27E1A" w14:paraId="4B4DDF6C" w14:textId="77777777">
            <w:pPr>
              <w:keepNext/>
              <w:keepLines/>
              <w:ind w:firstLine="200" w:firstLineChars="100"/>
              <w:jc w:val="right"/>
              <w:rPr>
                <w:color w:val="000000"/>
                <w:sz w:val="20"/>
              </w:rPr>
            </w:pPr>
            <w:r w:rsidRPr="00C27E1A">
              <w:rPr>
                <w:color w:val="000000"/>
                <w:sz w:val="20"/>
              </w:rPr>
              <w:t>$115.20</w:t>
            </w:r>
          </w:p>
        </w:tc>
        <w:tc>
          <w:tcPr>
            <w:tcW w:w="1710" w:type="dxa"/>
            <w:tcBorders>
              <w:top w:val="nil"/>
              <w:left w:val="nil"/>
              <w:bottom w:val="single" w:sz="8" w:space="0" w:color="auto"/>
              <w:right w:val="single" w:sz="8" w:space="0" w:color="auto"/>
            </w:tcBorders>
            <w:noWrap/>
            <w:vAlign w:val="center"/>
            <w:hideMark/>
          </w:tcPr>
          <w:p w:rsidR="00C27E1A" w:rsidRPr="00C27E1A" w:rsidP="00C27E1A" w14:paraId="05811153" w14:textId="77777777">
            <w:pPr>
              <w:keepNext/>
              <w:keepLines/>
              <w:ind w:firstLine="200" w:firstLineChars="100"/>
              <w:jc w:val="right"/>
              <w:rPr>
                <w:color w:val="000000"/>
                <w:sz w:val="20"/>
              </w:rPr>
            </w:pPr>
            <w:r w:rsidRPr="00C27E1A">
              <w:rPr>
                <w:color w:val="000000"/>
                <w:sz w:val="20"/>
              </w:rPr>
              <w:t>$748,800</w:t>
            </w:r>
          </w:p>
        </w:tc>
      </w:tr>
      <w:tr w14:paraId="2E65B331" w14:textId="77777777" w:rsidTr="00C27E1A">
        <w:tblPrEx>
          <w:tblW w:w="10260" w:type="dxa"/>
          <w:tblInd w:w="-280" w:type="dxa"/>
          <w:tblLook w:val="04A0"/>
        </w:tblPrEx>
        <w:trPr>
          <w:trHeight w:val="360"/>
        </w:trPr>
        <w:tc>
          <w:tcPr>
            <w:tcW w:w="855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C27E1A" w:rsidRPr="00C27E1A" w:rsidP="00C27E1A" w14:paraId="767F0323" w14:textId="77777777">
            <w:pPr>
              <w:keepNext/>
              <w:keepLines/>
              <w:jc w:val="right"/>
              <w:rPr>
                <w:b/>
                <w:bCs/>
                <w:i/>
                <w:iCs/>
                <w:color w:val="000000"/>
                <w:sz w:val="22"/>
                <w:szCs w:val="22"/>
              </w:rPr>
            </w:pPr>
            <w:r w:rsidRPr="00C27E1A">
              <w:rPr>
                <w:b/>
                <w:bCs/>
                <w:i/>
                <w:iCs/>
                <w:color w:val="000000"/>
                <w:sz w:val="22"/>
                <w:szCs w:val="22"/>
              </w:rPr>
              <w:t>Total Annual Respondent Cost:</w:t>
            </w:r>
          </w:p>
        </w:tc>
        <w:tc>
          <w:tcPr>
            <w:tcW w:w="1710" w:type="dxa"/>
            <w:tcBorders>
              <w:top w:val="nil"/>
              <w:left w:val="nil"/>
              <w:bottom w:val="single" w:sz="8" w:space="0" w:color="auto"/>
              <w:right w:val="single" w:sz="8" w:space="0" w:color="auto"/>
            </w:tcBorders>
            <w:shd w:val="clear" w:color="000000" w:fill="FFFFFF"/>
            <w:vAlign w:val="center"/>
            <w:hideMark/>
          </w:tcPr>
          <w:p w:rsidR="00C27E1A" w:rsidRPr="00C27E1A" w:rsidP="00C27E1A" w14:paraId="01A83E2B" w14:textId="77777777">
            <w:pPr>
              <w:keepNext/>
              <w:keepLines/>
              <w:ind w:firstLine="220" w:firstLineChars="100"/>
              <w:jc w:val="right"/>
              <w:rPr>
                <w:b/>
                <w:bCs/>
                <w:i/>
                <w:iCs/>
                <w:color w:val="000000"/>
                <w:sz w:val="22"/>
                <w:szCs w:val="22"/>
              </w:rPr>
            </w:pPr>
            <w:r w:rsidRPr="00C27E1A">
              <w:rPr>
                <w:b/>
                <w:bCs/>
                <w:i/>
                <w:iCs/>
                <w:color w:val="000000"/>
                <w:sz w:val="22"/>
                <w:szCs w:val="22"/>
              </w:rPr>
              <w:t xml:space="preserve">$748,800 </w:t>
            </w:r>
          </w:p>
        </w:tc>
      </w:tr>
      <w:tr w14:paraId="7D551031" w14:textId="77777777" w:rsidTr="00C27E1A">
        <w:tblPrEx>
          <w:tblW w:w="10260" w:type="dxa"/>
          <w:tblInd w:w="-280" w:type="dxa"/>
          <w:tblLook w:val="04A0"/>
        </w:tblPrEx>
        <w:trPr>
          <w:trHeight w:val="322"/>
        </w:trPr>
        <w:tc>
          <w:tcPr>
            <w:tcW w:w="10260" w:type="dxa"/>
            <w:gridSpan w:val="4"/>
            <w:tcBorders>
              <w:top w:val="single" w:sz="8" w:space="0" w:color="auto"/>
              <w:left w:val="single" w:sz="8" w:space="0" w:color="auto"/>
              <w:bottom w:val="single" w:sz="8" w:space="0" w:color="auto"/>
              <w:right w:val="single" w:sz="8" w:space="0" w:color="000000"/>
            </w:tcBorders>
            <w:noWrap/>
            <w:hideMark/>
          </w:tcPr>
          <w:p w:rsidR="00C27E1A" w:rsidRPr="00C27E1A" w:rsidP="00C27E1A" w14:paraId="0E9821CB" w14:textId="77777777">
            <w:pPr>
              <w:keepNext/>
              <w:keepLines/>
              <w:rPr>
                <w:color w:val="000000"/>
                <w:sz w:val="18"/>
                <w:szCs w:val="18"/>
              </w:rPr>
            </w:pPr>
            <w:r w:rsidRPr="00C27E1A">
              <w:rPr>
                <w:color w:val="000000"/>
                <w:sz w:val="18"/>
                <w:szCs w:val="18"/>
              </w:rPr>
              <w:t>Source: FDIC.</w:t>
            </w:r>
          </w:p>
        </w:tc>
      </w:tr>
    </w:tbl>
    <w:p w:rsidR="004323FB" w:rsidP="004323FB" w14:paraId="1FB2AA25" w14:textId="77777777"/>
    <w:p w:rsidR="004323FB" w:rsidRPr="00647F97" w:rsidP="004323FB" w14:paraId="24360F61" w14:textId="77777777">
      <w:pPr>
        <w:ind w:firstLine="720"/>
        <w:rPr>
          <w:rFonts w:ascii="Times New Roman TUR" w:hAnsi="Times New Roman TUR" w:cs="Times New Roman TUR"/>
          <w:bCs/>
        </w:rPr>
      </w:pPr>
      <w:r w:rsidRPr="00647F97">
        <w:rPr>
          <w:rFonts w:ascii="Times New Roman TUR" w:hAnsi="Times New Roman TUR" w:cs="Times New Roman TUR"/>
          <w:bCs/>
        </w:rPr>
        <w:t>13.</w:t>
      </w:r>
      <w:r w:rsidRPr="00647F97">
        <w:rPr>
          <w:rFonts w:ascii="Times New Roman TUR" w:hAnsi="Times New Roman TUR" w:cs="Times New Roman TUR"/>
          <w:bCs/>
        </w:rPr>
        <w:tab/>
      </w:r>
      <w:r w:rsidRPr="004323FB">
        <w:rPr>
          <w:rFonts w:ascii="Times New Roman TUR" w:hAnsi="Times New Roman TUR" w:cs="Times New Roman TUR"/>
          <w:bCs/>
          <w:u w:val="single"/>
        </w:rPr>
        <w:t>Estimate of Start-up Costs to Respondents:</w:t>
      </w:r>
    </w:p>
    <w:p w:rsidR="004323FB" w:rsidRPr="00647F97" w:rsidP="004323FB" w14:paraId="48F8D015" w14:textId="77777777">
      <w:pPr>
        <w:rPr>
          <w:szCs w:val="24"/>
        </w:rPr>
      </w:pPr>
    </w:p>
    <w:p w:rsidR="00933A58" w:rsidRPr="004323FB" w:rsidP="00A076F6" w14:paraId="0C539949" w14:textId="77777777">
      <w:r>
        <w:rPr>
          <w:rFonts w:ascii="Times New Roman TUR" w:hAnsi="Times New Roman TUR" w:cs="Times New Roman TUR"/>
        </w:rPr>
        <w:tab/>
      </w:r>
      <w:r w:rsidRPr="000E6251">
        <w:rPr>
          <w:rFonts w:ascii="Times New Roman TUR" w:hAnsi="Times New Roman TUR" w:cs="Times New Roman TUR"/>
        </w:rPr>
        <w:t>None.</w:t>
      </w:r>
    </w:p>
    <w:p w:rsidR="004323FB" w:rsidRPr="00647F97" w:rsidP="00A076F6" w14:paraId="7E2C4F52" w14:textId="77777777">
      <w:pPr>
        <w:rPr>
          <w:rFonts w:ascii="Times New Roman TUR" w:hAnsi="Times New Roman TUR" w:cs="Times New Roman TUR"/>
        </w:rPr>
      </w:pPr>
    </w:p>
    <w:p w:rsidR="00933A58" w:rsidRPr="00647F97" w:rsidP="004323FB" w14:paraId="04EBF9C6" w14:textId="77777777">
      <w:pPr>
        <w:ind w:firstLine="720"/>
        <w:rPr>
          <w:rFonts w:ascii="Times New Roman TUR" w:hAnsi="Times New Roman TUR" w:cs="Times New Roman TUR"/>
          <w:bCs/>
        </w:rPr>
      </w:pPr>
      <w:r w:rsidRPr="00647F97">
        <w:rPr>
          <w:rFonts w:ascii="Times New Roman TUR" w:hAnsi="Times New Roman TUR" w:cs="Times New Roman TUR"/>
          <w:bCs/>
        </w:rPr>
        <w:t>14.</w:t>
      </w:r>
      <w:r w:rsidRPr="00647F97">
        <w:rPr>
          <w:rFonts w:ascii="Times New Roman TUR" w:hAnsi="Times New Roman TUR" w:cs="Times New Roman TUR"/>
          <w:bCs/>
        </w:rPr>
        <w:tab/>
      </w:r>
      <w:r w:rsidRPr="00647F97">
        <w:rPr>
          <w:rFonts w:ascii="Times New Roman TUR" w:hAnsi="Times New Roman TUR" w:cs="Times New Roman TUR"/>
          <w:bCs/>
          <w:u w:val="single"/>
        </w:rPr>
        <w:t xml:space="preserve">Estimate of annualized </w:t>
      </w:r>
      <w:r w:rsidRPr="00BF4F5A">
        <w:rPr>
          <w:bCs/>
          <w:u w:val="single"/>
        </w:rPr>
        <w:t>costs</w:t>
      </w:r>
      <w:r w:rsidRPr="00647F97">
        <w:rPr>
          <w:rFonts w:ascii="Times New Roman TUR" w:hAnsi="Times New Roman TUR" w:cs="Times New Roman TUR"/>
          <w:bCs/>
          <w:u w:val="single"/>
        </w:rPr>
        <w:t xml:space="preserve"> to the government</w:t>
      </w:r>
      <w:r w:rsidRPr="00647F97">
        <w:rPr>
          <w:rFonts w:ascii="Times New Roman TUR" w:hAnsi="Times New Roman TUR" w:cs="Times New Roman TUR"/>
          <w:bCs/>
        </w:rPr>
        <w:t>:</w:t>
      </w:r>
    </w:p>
    <w:p w:rsidR="00933A58" w:rsidRPr="00647F97" w:rsidP="00A076F6" w14:paraId="6BD9D381" w14:textId="77777777">
      <w:pPr>
        <w:rPr>
          <w:rFonts w:ascii="Times New Roman TUR" w:hAnsi="Times New Roman TUR" w:cs="Times New Roman TUR"/>
          <w:bCs/>
        </w:rPr>
      </w:pPr>
    </w:p>
    <w:p w:rsidR="00933A58" w:rsidRPr="000E6251" w:rsidP="009E5753" w14:paraId="1E93ED02" w14:textId="77777777">
      <w:pPr>
        <w:ind w:firstLine="720"/>
        <w:rPr>
          <w:rFonts w:ascii="Times New Roman TUR" w:hAnsi="Times New Roman TUR" w:cs="Times New Roman TUR"/>
        </w:rPr>
      </w:pPr>
      <w:r w:rsidRPr="000E6251">
        <w:rPr>
          <w:rFonts w:ascii="Times New Roman TUR" w:hAnsi="Times New Roman TUR" w:cs="Times New Roman TUR"/>
        </w:rPr>
        <w:t>None.</w:t>
      </w:r>
    </w:p>
    <w:p w:rsidR="00933A58" w:rsidRPr="006017E5" w:rsidP="00A076F6" w14:paraId="2BF823FE" w14:textId="77777777">
      <w:pPr>
        <w:rPr>
          <w:rFonts w:ascii="Times New Roman TUR" w:hAnsi="Times New Roman TUR" w:cs="Times New Roman TUR"/>
        </w:rPr>
      </w:pPr>
    </w:p>
    <w:p w:rsidR="00933A58" w:rsidRPr="00647F97" w:rsidP="004323FB" w14:paraId="69899EF0" w14:textId="77777777">
      <w:pPr>
        <w:ind w:firstLine="720"/>
        <w:rPr>
          <w:rFonts w:ascii="Times New Roman TUR" w:hAnsi="Times New Roman TUR" w:cs="Times New Roman TUR"/>
          <w:bCs/>
          <w:u w:val="single"/>
        </w:rPr>
      </w:pPr>
      <w:r>
        <w:rPr>
          <w:rFonts w:ascii="Times New Roman TUR" w:hAnsi="Times New Roman TUR" w:cs="Times New Roman TUR"/>
          <w:bCs/>
        </w:rPr>
        <w:t>1</w:t>
      </w:r>
      <w:r w:rsidRPr="00647F97">
        <w:rPr>
          <w:rFonts w:ascii="Times New Roman TUR" w:hAnsi="Times New Roman TUR" w:cs="Times New Roman TUR"/>
          <w:bCs/>
        </w:rPr>
        <w:t>5.</w:t>
      </w:r>
      <w:r w:rsidRPr="00647F97">
        <w:rPr>
          <w:rFonts w:ascii="Times New Roman TUR" w:hAnsi="Times New Roman TUR" w:cs="Times New Roman TUR"/>
          <w:bCs/>
        </w:rPr>
        <w:tab/>
      </w:r>
      <w:r w:rsidRPr="00EF69B6" w:rsidR="004323FB">
        <w:rPr>
          <w:szCs w:val="24"/>
          <w:u w:val="single"/>
        </w:rPr>
        <w:t>Analysis of change in burden:</w:t>
      </w:r>
    </w:p>
    <w:p w:rsidR="00220F28" w:rsidRPr="00647F97" w:rsidP="00A076F6" w14:paraId="5FA34AF5" w14:textId="77777777">
      <w:pPr>
        <w:rPr>
          <w:rFonts w:ascii="Times New Roman TUR" w:hAnsi="Times New Roman TUR" w:cs="Times New Roman TUR"/>
          <w:bCs/>
        </w:rPr>
      </w:pPr>
    </w:p>
    <w:p w:rsidR="00AB6050" w:rsidRPr="00AB6050" w:rsidP="00AB6050" w14:paraId="167F76D1" w14:textId="2EB04ADA">
      <w:pPr>
        <w:ind w:left="720"/>
        <w:rPr>
          <w:rFonts w:ascii="Times New Roman TUR" w:hAnsi="Times New Roman TUR" w:cs="Times New Roman TUR"/>
          <w:bCs/>
          <w:lang w:bidi="en-US"/>
        </w:rPr>
      </w:pPr>
      <w:r>
        <w:rPr>
          <w:rFonts w:ascii="Times New Roman TUR" w:hAnsi="Times New Roman TUR" w:cs="Times New Roman TUR"/>
          <w:bCs/>
          <w:lang w:bidi="en-US"/>
        </w:rPr>
        <w:t>There has been no change in the methodology or substance of this information collection.  The change in estimated annual burden is due solely to economic factors.  Total</w:t>
      </w:r>
      <w:r w:rsidRPr="00AB6050">
        <w:rPr>
          <w:rFonts w:ascii="Times New Roman TUR" w:hAnsi="Times New Roman TUR" w:cs="Times New Roman TUR"/>
          <w:bCs/>
          <w:lang w:bidi="en-US"/>
        </w:rPr>
        <w:t xml:space="preserve"> annual burden for OMB No. 3064-0189 </w:t>
      </w:r>
      <w:r>
        <w:rPr>
          <w:rFonts w:ascii="Times New Roman TUR" w:hAnsi="Times New Roman TUR" w:cs="Times New Roman TUR"/>
          <w:bCs/>
          <w:lang w:bidi="en-US"/>
        </w:rPr>
        <w:t xml:space="preserve">is estimated to be </w:t>
      </w:r>
      <w:r w:rsidR="009A0A38">
        <w:rPr>
          <w:rFonts w:ascii="Times New Roman TUR" w:hAnsi="Times New Roman TUR" w:cs="Times New Roman TUR"/>
          <w:bCs/>
          <w:lang w:bidi="en-US"/>
        </w:rPr>
        <w:t>6,500</w:t>
      </w:r>
      <w:r w:rsidRPr="00AB6050">
        <w:rPr>
          <w:rFonts w:ascii="Times New Roman TUR" w:hAnsi="Times New Roman TUR" w:cs="Times New Roman TUR"/>
          <w:bCs/>
          <w:lang w:bidi="en-US"/>
        </w:rPr>
        <w:t xml:space="preserve"> hours, an increase of </w:t>
      </w:r>
      <w:r w:rsidR="00577788">
        <w:rPr>
          <w:rFonts w:ascii="Times New Roman TUR" w:hAnsi="Times New Roman TUR" w:cs="Times New Roman TUR"/>
          <w:bCs/>
          <w:lang w:bidi="en-US"/>
        </w:rPr>
        <w:t>774</w:t>
      </w:r>
      <w:r w:rsidRPr="00AB6050">
        <w:rPr>
          <w:rFonts w:ascii="Times New Roman TUR" w:hAnsi="Times New Roman TUR" w:cs="Times New Roman TUR"/>
          <w:bCs/>
          <w:lang w:bidi="en-US"/>
        </w:rPr>
        <w:t xml:space="preserve"> hours from the 20</w:t>
      </w:r>
      <w:r w:rsidR="00577788">
        <w:rPr>
          <w:rFonts w:ascii="Times New Roman TUR" w:hAnsi="Times New Roman TUR" w:cs="Times New Roman TUR"/>
          <w:bCs/>
          <w:lang w:bidi="en-US"/>
        </w:rPr>
        <w:t>23</w:t>
      </w:r>
      <w:r w:rsidRPr="00AB6050">
        <w:rPr>
          <w:rFonts w:ascii="Times New Roman TUR" w:hAnsi="Times New Roman TUR" w:cs="Times New Roman TUR"/>
          <w:bCs/>
          <w:lang w:bidi="en-US"/>
        </w:rPr>
        <w:t xml:space="preserve"> ICR (</w:t>
      </w:r>
      <w:r w:rsidR="00A7006C">
        <w:rPr>
          <w:rFonts w:ascii="Times New Roman TUR" w:hAnsi="Times New Roman TUR" w:cs="Times New Roman TUR"/>
          <w:bCs/>
          <w:lang w:bidi="en-US"/>
        </w:rPr>
        <w:t>5,726</w:t>
      </w:r>
      <w:r w:rsidRPr="00AB6050">
        <w:rPr>
          <w:rFonts w:ascii="Times New Roman TUR" w:hAnsi="Times New Roman TUR" w:cs="Times New Roman TUR"/>
          <w:bCs/>
          <w:lang w:bidi="en-US"/>
        </w:rPr>
        <w:t xml:space="preserve"> hours). This change is</w:t>
      </w:r>
      <w:r w:rsidR="00D93556">
        <w:t xml:space="preserve"> due to the doubling of annual responses to ICs 1-3 and the increased number of respondents to IC6 and is attenuated by the decreased number of respondents to ICs 4 and 5</w:t>
      </w:r>
      <w:r w:rsidRPr="00AB6050">
        <w:rPr>
          <w:rFonts w:ascii="Times New Roman TUR" w:hAnsi="Times New Roman TUR" w:cs="Times New Roman TUR"/>
          <w:bCs/>
          <w:lang w:bidi="en-US"/>
        </w:rPr>
        <w:t>.</w:t>
      </w:r>
    </w:p>
    <w:p w:rsidR="00F26308" w:rsidP="00CF7867" w14:paraId="32FDF34A" w14:textId="77777777">
      <w:pPr>
        <w:ind w:left="720"/>
        <w:rPr>
          <w:rFonts w:ascii="Times New Roman TUR" w:hAnsi="Times New Roman TUR" w:cs="Times New Roman TUR"/>
          <w:bCs/>
        </w:rPr>
      </w:pPr>
    </w:p>
    <w:p w:rsidR="00FE58F8" w:rsidRPr="00647F97" w:rsidP="00A076F6" w14:paraId="536B1CAC" w14:textId="77777777">
      <w:pPr>
        <w:rPr>
          <w:rFonts w:ascii="Times New Roman TUR" w:hAnsi="Times New Roman TUR" w:cs="Times New Roman TUR"/>
          <w:bCs/>
        </w:rPr>
      </w:pPr>
    </w:p>
    <w:p w:rsidR="00933A58" w:rsidRPr="00647F97" w:rsidP="004323FB" w14:paraId="4F37D491" w14:textId="77777777">
      <w:pPr>
        <w:ind w:left="1440" w:hanging="720"/>
        <w:rPr>
          <w:rFonts w:ascii="Times New Roman TUR" w:hAnsi="Times New Roman TUR" w:cs="Times New Roman TUR"/>
          <w:bCs/>
        </w:rPr>
      </w:pPr>
      <w:r w:rsidRPr="00647F97">
        <w:rPr>
          <w:rFonts w:ascii="Times New Roman TUR" w:hAnsi="Times New Roman TUR" w:cs="Times New Roman TUR"/>
          <w:bCs/>
        </w:rPr>
        <w:t>16.</w:t>
      </w:r>
      <w:r w:rsidRPr="00647F97">
        <w:rPr>
          <w:rFonts w:ascii="Times New Roman TUR" w:hAnsi="Times New Roman TUR" w:cs="Times New Roman TUR"/>
          <w:bCs/>
        </w:rPr>
        <w:tab/>
      </w:r>
      <w:r w:rsidRPr="00647F97">
        <w:rPr>
          <w:rFonts w:ascii="Times New Roman TUR" w:hAnsi="Times New Roman TUR" w:cs="Times New Roman TUR"/>
          <w:bCs/>
          <w:u w:val="single"/>
        </w:rPr>
        <w:t>Information regarding collections whose results are planned to be published for statistical use:</w:t>
      </w:r>
    </w:p>
    <w:p w:rsidR="00933A58" w:rsidRPr="00647F97" w:rsidP="00A076F6" w14:paraId="2BE28F9A" w14:textId="77777777">
      <w:pPr>
        <w:rPr>
          <w:rFonts w:ascii="Times New Roman TUR" w:hAnsi="Times New Roman TUR" w:cs="Times New Roman TUR"/>
          <w:bCs/>
        </w:rPr>
      </w:pPr>
    </w:p>
    <w:p w:rsidR="00933A58" w:rsidP="009E5753" w14:paraId="2DABC104" w14:textId="77777777">
      <w:pPr>
        <w:ind w:firstLine="720"/>
      </w:pPr>
      <w:r w:rsidRPr="00471381">
        <w:t xml:space="preserve">The </w:t>
      </w:r>
      <w:r>
        <w:t>results of this collection will not be</w:t>
      </w:r>
      <w:r w:rsidRPr="00471381">
        <w:t xml:space="preserve"> publish</w:t>
      </w:r>
      <w:r>
        <w:t>ed</w:t>
      </w:r>
      <w:r w:rsidRPr="00471381">
        <w:t xml:space="preserve"> for statistical use.</w:t>
      </w:r>
    </w:p>
    <w:p w:rsidR="004323FB" w:rsidP="009E5753" w14:paraId="31188787" w14:textId="77777777">
      <w:pPr>
        <w:ind w:firstLine="720"/>
      </w:pPr>
    </w:p>
    <w:p w:rsidR="004323FB" w:rsidP="004323FB" w14:paraId="15140E0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17.</w:t>
      </w:r>
      <w:r>
        <w:tab/>
      </w:r>
      <w:r>
        <w:rPr>
          <w:u w:val="single"/>
        </w:rPr>
        <w:t>Display of Expiration Date</w:t>
      </w:r>
    </w:p>
    <w:p w:rsidR="004323FB" w:rsidP="004323FB" w14:paraId="3D6BD18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323FB" w:rsidP="004323FB" w14:paraId="6C52FD57" w14:textId="77777777">
      <w:pPr>
        <w:ind w:firstLine="720"/>
        <w:rPr>
          <w:rFonts w:ascii="Times New Roman TUR" w:hAnsi="Times New Roman TUR" w:cs="Times New Roman TUR"/>
        </w:rPr>
      </w:pPr>
      <w:r>
        <w:t>Not applicable.</w:t>
      </w:r>
    </w:p>
    <w:p w:rsidR="000E6251" w:rsidRPr="000E6251" w:rsidP="009E5753" w14:paraId="46CDDAC1" w14:textId="77777777">
      <w:pPr>
        <w:ind w:firstLine="720"/>
        <w:rPr>
          <w:rFonts w:ascii="Times New Roman TUR" w:hAnsi="Times New Roman TUR" w:cs="Times New Roman TUR"/>
        </w:rPr>
      </w:pPr>
    </w:p>
    <w:p w:rsidR="00933A58" w:rsidRPr="006017E5" w:rsidP="00A076F6" w14:paraId="624E0A88" w14:textId="77777777">
      <w:pPr>
        <w:rPr>
          <w:rFonts w:ascii="Times New Roman TUR" w:hAnsi="Times New Roman TUR" w:cs="Times New Roman TUR"/>
        </w:rPr>
      </w:pPr>
    </w:p>
    <w:p w:rsidR="00933A58" w:rsidRPr="00647F97" w:rsidP="00A076F6" w14:paraId="66F6FD3D" w14:textId="77777777">
      <w:pPr>
        <w:rPr>
          <w:rFonts w:ascii="Times New Roman TUR" w:hAnsi="Times New Roman TUR" w:cs="Times New Roman TUR"/>
          <w:bCs/>
          <w:caps/>
          <w:u w:val="single"/>
        </w:rPr>
      </w:pPr>
      <w:r>
        <w:rPr>
          <w:rFonts w:ascii="Times New Roman TUR" w:hAnsi="Times New Roman TUR" w:cs="Times New Roman TUR"/>
          <w:bCs/>
        </w:rPr>
        <w:t>B.</w:t>
      </w:r>
      <w:r w:rsidRPr="00647F97">
        <w:rPr>
          <w:rFonts w:ascii="Times New Roman TUR" w:hAnsi="Times New Roman TUR" w:cs="Times New Roman TUR"/>
          <w:bCs/>
        </w:rPr>
        <w:t xml:space="preserve">  </w:t>
      </w:r>
      <w:r w:rsidRPr="00647F97" w:rsidR="00E03356">
        <w:rPr>
          <w:rFonts w:ascii="Times New Roman TUR" w:hAnsi="Times New Roman TUR" w:cs="Times New Roman TUR"/>
          <w:bCs/>
        </w:rPr>
        <w:tab/>
      </w:r>
      <w:r w:rsidR="004323FB">
        <w:rPr>
          <w:u w:val="single"/>
        </w:rPr>
        <w:t>STATISTICAL METHODS</w:t>
      </w:r>
    </w:p>
    <w:p w:rsidR="00933A58" w:rsidP="00A076F6" w14:paraId="2C5DF457" w14:textId="77777777">
      <w:pPr>
        <w:rPr>
          <w:rFonts w:ascii="Times New Roman TUR" w:hAnsi="Times New Roman TUR" w:cs="Times New Roman TUR"/>
          <w:b/>
          <w:bCs/>
          <w:u w:val="single"/>
        </w:rPr>
      </w:pPr>
    </w:p>
    <w:p w:rsidR="00933A58" w:rsidP="009E5753" w14:paraId="2B7365A7" w14:textId="77777777">
      <w:pPr>
        <w:ind w:firstLine="720"/>
        <w:rPr>
          <w:rFonts w:ascii="Times New Roman TUR" w:hAnsi="Times New Roman TUR" w:cs="Times New Roman TUR"/>
        </w:rPr>
      </w:pPr>
      <w:r>
        <w:rPr>
          <w:rFonts w:ascii="Times New Roman TUR" w:hAnsi="Times New Roman TUR" w:cs="Times New Roman TUR"/>
        </w:rPr>
        <w:t>Not applicable.</w:t>
      </w:r>
    </w:p>
    <w:p w:rsidR="00933A58" w:rsidP="00A076F6" w14:paraId="050F8C6A" w14:textId="77777777"/>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EC3" w14:paraId="506EDC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5EC3" w14:paraId="48132C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EC3" w14:paraId="3249BE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76E">
      <w:rPr>
        <w:rStyle w:val="PageNumber"/>
        <w:noProof/>
      </w:rPr>
      <w:t>7</w:t>
    </w:r>
    <w:r>
      <w:rPr>
        <w:rStyle w:val="PageNumber"/>
      </w:rPr>
      <w:fldChar w:fldCharType="end"/>
    </w:r>
  </w:p>
  <w:p w:rsidR="00865EC3" w14:paraId="5225F8A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DCA" w14:paraId="11C1E4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01C" w14:paraId="72E4B272" w14:textId="77777777">
      <w:r>
        <w:separator/>
      </w:r>
    </w:p>
  </w:footnote>
  <w:footnote w:type="continuationSeparator" w:id="1">
    <w:p w:rsidR="0050001C" w14:paraId="42E2C1BB" w14:textId="77777777">
      <w:r>
        <w:continuationSeparator/>
      </w:r>
    </w:p>
  </w:footnote>
  <w:footnote w:id="2">
    <w:p w:rsidR="007942BA" w:rsidP="007942BA" w14:paraId="33888B3B" w14:textId="77777777">
      <w:pPr>
        <w:pStyle w:val="FootnoteText"/>
      </w:pPr>
      <w:r>
        <w:rPr>
          <w:rStyle w:val="FootnoteReference"/>
        </w:rPr>
        <w:footnoteRef/>
      </w:r>
      <w:r>
        <w:t xml:space="preserve"> </w:t>
      </w:r>
      <w:r w:rsidRPr="00D31E01">
        <w:rPr>
          <w:i/>
        </w:rPr>
        <w:t>See</w:t>
      </w:r>
      <w:r>
        <w:t xml:space="preserve"> 12 CFR Part 325 and </w:t>
      </w:r>
      <w:hyperlink r:id="rId1" w:history="1">
        <w:r w:rsidRPr="005833E1">
          <w:rPr>
            <w:rStyle w:val="Hyperlink"/>
          </w:rPr>
          <w:t>https://www.govinfo.gov/content/pkg/FR-2019-10-24/pdf/2019-23036.pdf</w:t>
        </w:r>
      </w:hyperlink>
      <w:r>
        <w:t xml:space="preserve"> </w:t>
      </w:r>
    </w:p>
  </w:footnote>
  <w:footnote w:id="3">
    <w:p w:rsidR="007942BA" w:rsidP="007942BA" w14:paraId="18521F31" w14:textId="77777777">
      <w:pPr>
        <w:pStyle w:val="FootnoteText"/>
      </w:pPr>
      <w:r>
        <w:rPr>
          <w:rStyle w:val="FootnoteReference"/>
        </w:rPr>
        <w:footnoteRef/>
      </w:r>
      <w:r>
        <w:t xml:space="preserve"> </w:t>
      </w:r>
      <w:r w:rsidRPr="00D31E01">
        <w:rPr>
          <w:i/>
        </w:rPr>
        <w:t>See</w:t>
      </w:r>
      <w:r>
        <w:t xml:space="preserve"> </w:t>
      </w:r>
      <w:hyperlink r:id="rId2" w:history="1">
        <w:r w:rsidRPr="005833E1">
          <w:rPr>
            <w:rStyle w:val="Hyperlink"/>
          </w:rPr>
          <w:t>https://www.federalregister.gov/documents/2012/05/17/2012-11989/supervisory-guidance-on-stress-testing-for-banking-organizations-with-more-than-10-billion-in-total</w:t>
        </w:r>
      </w:hyperlink>
      <w:r>
        <w:t xml:space="preserve"> </w:t>
      </w:r>
    </w:p>
  </w:footnote>
  <w:footnote w:id="4">
    <w:p w:rsidR="00F92960" w:rsidP="00F92960" w14:paraId="21835C97" w14:textId="77777777">
      <w:pPr>
        <w:pStyle w:val="FootnoteText"/>
      </w:pPr>
      <w:r>
        <w:rPr>
          <w:rStyle w:val="FootnoteReference"/>
        </w:rPr>
        <w:footnoteRef/>
      </w:r>
      <w:r>
        <w:t xml:space="preserve"> </w:t>
      </w:r>
      <w:r w:rsidRPr="00D31E01">
        <w:rPr>
          <w:i/>
        </w:rPr>
        <w:t>See</w:t>
      </w:r>
      <w:r>
        <w:t xml:space="preserve"> </w:t>
      </w:r>
      <w:hyperlink r:id="rId3" w:history="1">
        <w:r w:rsidRPr="005833E1">
          <w:rPr>
            <w:rStyle w:val="Hyperlink"/>
          </w:rPr>
          <w:t>https://www.govinfo.gov/content/pkg/FR-2012-10-15/pdf/FR-2012-10-15.pdf</w:t>
        </w:r>
      </w:hyperlink>
      <w:r>
        <w:t xml:space="preserve"> (pp. 8 – 18). While the Dodd-Frank Act specified a total consolidated asset size threshold of $10 billion, it did not specify a calculation methodology. As such, the FDIC’s implementing regulations determined applicability by assessing </w:t>
      </w:r>
      <w:r w:rsidRPr="006C1FC5">
        <w:rPr>
          <w:i/>
        </w:rPr>
        <w:t>average</w:t>
      </w:r>
      <w:r>
        <w:t xml:space="preserve"> total consolidated assets over the last four consecutive Call Reports. </w:t>
      </w:r>
    </w:p>
  </w:footnote>
  <w:footnote w:id="5">
    <w:p w:rsidR="00F92960" w:rsidP="00F92960" w14:paraId="4783D2C3" w14:textId="77777777">
      <w:pPr>
        <w:pStyle w:val="FootnoteText"/>
      </w:pPr>
      <w:r>
        <w:rPr>
          <w:rStyle w:val="FootnoteReference"/>
        </w:rPr>
        <w:footnoteRef/>
      </w:r>
      <w:r>
        <w:t xml:space="preserve"> </w:t>
      </w:r>
      <w:r w:rsidRPr="00D31E01">
        <w:rPr>
          <w:i/>
        </w:rPr>
        <w:t>See</w:t>
      </w:r>
      <w:r>
        <w:t xml:space="preserve"> </w:t>
      </w:r>
      <w:hyperlink r:id="rId4" w:history="1">
        <w:r w:rsidRPr="005833E1">
          <w:rPr>
            <w:rStyle w:val="Hyperlink"/>
          </w:rPr>
          <w:t>https://www.govinfo.gov/content/pkg/FR-2012-10-15/pdf/2012-25194.pdf</w:t>
        </w:r>
      </w:hyperlink>
      <w:r>
        <w:t xml:space="preserve"> </w:t>
      </w:r>
    </w:p>
  </w:footnote>
  <w:footnote w:id="6">
    <w:p w:rsidR="00F92960" w:rsidP="00F92960" w14:paraId="27396EBD" w14:textId="77777777">
      <w:pPr>
        <w:pStyle w:val="FootnoteText"/>
      </w:pPr>
      <w:r>
        <w:rPr>
          <w:rStyle w:val="FootnoteReference"/>
        </w:rPr>
        <w:footnoteRef/>
      </w:r>
      <w:r>
        <w:t xml:space="preserve"> </w:t>
      </w:r>
      <w:r w:rsidRPr="00D31E01">
        <w:rPr>
          <w:i/>
        </w:rPr>
        <w:t>See</w:t>
      </w:r>
      <w:r>
        <w:t xml:space="preserve"> </w:t>
      </w:r>
      <w:hyperlink r:id="rId1" w:history="1">
        <w:r w:rsidRPr="005833E1">
          <w:rPr>
            <w:rStyle w:val="Hyperlink"/>
          </w:rPr>
          <w:t>https://www.govinfo.gov/content/pkg/FR-2019-10-24/pdf/2019-23036.pdf</w:t>
        </w:r>
      </w:hyperlink>
      <w:r>
        <w:t xml:space="preserve"> </w:t>
      </w:r>
    </w:p>
  </w:footnote>
  <w:footnote w:id="7">
    <w:p w:rsidR="00F92960" w:rsidP="00F92960" w14:paraId="615A11B7" w14:textId="77777777">
      <w:pPr>
        <w:pStyle w:val="FootnoteText"/>
      </w:pPr>
      <w:r>
        <w:rPr>
          <w:rStyle w:val="FootnoteReference"/>
        </w:rPr>
        <w:footnoteRef/>
      </w:r>
      <w:r>
        <w:t xml:space="preserve"> </w:t>
      </w:r>
      <w:hyperlink r:id="rId5" w:history="1">
        <w:r w:rsidRPr="007D64A6">
          <w:rPr>
            <w:rStyle w:val="Hyperlink"/>
          </w:rPr>
          <w:t>https://www.federalregister.gov/documents/2018/04/02/2018-06162/annual-stress-test-applicability-transition-for-covered-banks-with-50-billion-or-more-in-assets</w:t>
        </w:r>
      </w:hyperlink>
      <w:r>
        <w:t xml:space="preserve"> </w:t>
      </w:r>
    </w:p>
  </w:footnote>
  <w:footnote w:id="8">
    <w:p w:rsidR="00F92960" w:rsidP="00F92960" w14:paraId="57667724" w14:textId="77777777">
      <w:pPr>
        <w:pStyle w:val="FootnoteText"/>
      </w:pPr>
      <w:r>
        <w:rPr>
          <w:rStyle w:val="FootnoteReference"/>
        </w:rPr>
        <w:footnoteRef/>
      </w:r>
      <w:r>
        <w:t xml:space="preserve"> </w:t>
      </w:r>
      <w:r w:rsidRPr="00D31E01">
        <w:rPr>
          <w:i/>
        </w:rPr>
        <w:t>See</w:t>
      </w:r>
      <w:r>
        <w:t xml:space="preserve"> </w:t>
      </w:r>
      <w:hyperlink r:id="rId1" w:history="1">
        <w:r w:rsidRPr="003F29CA">
          <w:rPr>
            <w:rStyle w:val="Hyperlink"/>
          </w:rPr>
          <w:t>https://www.govinfo.gov/content/pkg/FR-2019-10-24/pdf/2019-23036.pdf</w:t>
        </w:r>
      </w:hyperlink>
      <w:r>
        <w:t xml:space="preserve"> </w:t>
      </w:r>
    </w:p>
  </w:footnote>
  <w:footnote w:id="9">
    <w:p w:rsidR="00F92960" w:rsidP="00F92960" w14:paraId="10F57BDE" w14:textId="77777777">
      <w:pPr>
        <w:pStyle w:val="FootnoteText"/>
      </w:pPr>
      <w:r>
        <w:rPr>
          <w:rStyle w:val="FootnoteReference"/>
        </w:rPr>
        <w:footnoteRef/>
      </w:r>
      <w:r>
        <w:t xml:space="preserve"> </w:t>
      </w:r>
      <w:r w:rsidRPr="00D31E01">
        <w:rPr>
          <w:i/>
        </w:rPr>
        <w:t>See</w:t>
      </w:r>
      <w:r>
        <w:t xml:space="preserve"> </w:t>
      </w:r>
      <w:hyperlink r:id="rId6" w:history="1">
        <w:r w:rsidRPr="003F29CA">
          <w:rPr>
            <w:rStyle w:val="Hyperlink"/>
          </w:rPr>
          <w:t>https://www.federalregister.gov/documents/2018/11/29/2018-24464/prudential-standards-for-large-bank-holding-companies-and-savings-and-loan-holding-companies</w:t>
        </w:r>
      </w:hyperlink>
      <w:r>
        <w:t xml:space="preserve"> - Category I and Category II bank holding companies and their IDI subsidiaries are required to stress test annually.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DCA" w14:paraId="20B0BA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DCA" w14:paraId="010CD6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DCA" w14:paraId="7E30FB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EBB4A0A"/>
    <w:multiLevelType w:val="hybridMultilevel"/>
    <w:tmpl w:val="BDBED156"/>
    <w:lvl w:ilvl="0">
      <w:start w:val="1"/>
      <w:numFmt w:val="decimal"/>
      <w:lvlText w:val="%1."/>
      <w:lvlJc w:val="left"/>
      <w:pPr>
        <w:tabs>
          <w:tab w:val="num" w:pos="2880"/>
        </w:tabs>
        <w:ind w:left="2880" w:hanging="360"/>
      </w:pPr>
      <w:rPr>
        <w:rFonts w:cs="Times New Roman"/>
      </w:rPr>
    </w:lvl>
    <w:lvl w:ilvl="1" w:tentative="1">
      <w:start w:val="1"/>
      <w:numFmt w:val="lowerLetter"/>
      <w:lvlText w:val="%2."/>
      <w:lvlJc w:val="left"/>
      <w:pPr>
        <w:tabs>
          <w:tab w:val="num" w:pos="3600"/>
        </w:tabs>
        <w:ind w:left="3600" w:hanging="360"/>
      </w:pPr>
      <w:rPr>
        <w:rFonts w:cs="Times New Roman"/>
      </w:rPr>
    </w:lvl>
    <w:lvl w:ilvl="2" w:tentative="1">
      <w:start w:val="1"/>
      <w:numFmt w:val="lowerRoman"/>
      <w:lvlText w:val="%3."/>
      <w:lvlJc w:val="right"/>
      <w:pPr>
        <w:tabs>
          <w:tab w:val="num" w:pos="4320"/>
        </w:tabs>
        <w:ind w:left="4320" w:hanging="180"/>
      </w:pPr>
      <w:rPr>
        <w:rFonts w:cs="Times New Roman"/>
      </w:rPr>
    </w:lvl>
    <w:lvl w:ilvl="3" w:tentative="1">
      <w:start w:val="1"/>
      <w:numFmt w:val="decimal"/>
      <w:lvlText w:val="%4."/>
      <w:lvlJc w:val="left"/>
      <w:pPr>
        <w:tabs>
          <w:tab w:val="num" w:pos="5040"/>
        </w:tabs>
        <w:ind w:left="5040" w:hanging="360"/>
      </w:pPr>
      <w:rPr>
        <w:rFonts w:cs="Times New Roman"/>
      </w:rPr>
    </w:lvl>
    <w:lvl w:ilvl="4" w:tentative="1">
      <w:start w:val="1"/>
      <w:numFmt w:val="lowerLetter"/>
      <w:lvlText w:val="%5."/>
      <w:lvlJc w:val="left"/>
      <w:pPr>
        <w:tabs>
          <w:tab w:val="num" w:pos="5760"/>
        </w:tabs>
        <w:ind w:left="5760" w:hanging="360"/>
      </w:pPr>
      <w:rPr>
        <w:rFonts w:cs="Times New Roman"/>
      </w:rPr>
    </w:lvl>
    <w:lvl w:ilvl="5" w:tentative="1">
      <w:start w:val="1"/>
      <w:numFmt w:val="lowerRoman"/>
      <w:lvlText w:val="%6."/>
      <w:lvlJc w:val="right"/>
      <w:pPr>
        <w:tabs>
          <w:tab w:val="num" w:pos="6480"/>
        </w:tabs>
        <w:ind w:left="6480" w:hanging="180"/>
      </w:pPr>
      <w:rPr>
        <w:rFonts w:cs="Times New Roman"/>
      </w:rPr>
    </w:lvl>
    <w:lvl w:ilvl="6" w:tentative="1">
      <w:start w:val="1"/>
      <w:numFmt w:val="decimal"/>
      <w:lvlText w:val="%7."/>
      <w:lvlJc w:val="left"/>
      <w:pPr>
        <w:tabs>
          <w:tab w:val="num" w:pos="7200"/>
        </w:tabs>
        <w:ind w:left="7200" w:hanging="360"/>
      </w:pPr>
      <w:rPr>
        <w:rFonts w:cs="Times New Roman"/>
      </w:rPr>
    </w:lvl>
    <w:lvl w:ilvl="7" w:tentative="1">
      <w:start w:val="1"/>
      <w:numFmt w:val="lowerLetter"/>
      <w:lvlText w:val="%8."/>
      <w:lvlJc w:val="left"/>
      <w:pPr>
        <w:tabs>
          <w:tab w:val="num" w:pos="7920"/>
        </w:tabs>
        <w:ind w:left="7920" w:hanging="360"/>
      </w:pPr>
      <w:rPr>
        <w:rFonts w:cs="Times New Roman"/>
      </w:rPr>
    </w:lvl>
    <w:lvl w:ilvl="8" w:tentative="1">
      <w:start w:val="1"/>
      <w:numFmt w:val="lowerRoman"/>
      <w:lvlText w:val="%9."/>
      <w:lvlJc w:val="right"/>
      <w:pPr>
        <w:tabs>
          <w:tab w:val="num" w:pos="8640"/>
        </w:tabs>
        <w:ind w:left="8640" w:hanging="180"/>
      </w:pPr>
      <w:rPr>
        <w:rFonts w:cs="Times New Roman"/>
      </w:rPr>
    </w:lvl>
  </w:abstractNum>
  <w:abstractNum w:abstractNumId="3">
    <w:nsid w:val="27790739"/>
    <w:multiLevelType w:val="hybridMultilevel"/>
    <w:tmpl w:val="3AB22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F0780C"/>
    <w:multiLevelType w:val="hybridMultilevel"/>
    <w:tmpl w:val="0EEE1246"/>
    <w:lvl w:ilvl="0">
      <w:start w:val="1"/>
      <w:numFmt w:val="upperLetter"/>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AA206C9"/>
    <w:multiLevelType w:val="hybridMultilevel"/>
    <w:tmpl w:val="1F5088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41115D78"/>
    <w:multiLevelType w:val="hybridMultilevel"/>
    <w:tmpl w:val="2030583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7C84ED4"/>
    <w:multiLevelType w:val="hybridMultilevel"/>
    <w:tmpl w:val="BD3881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23B4A8F"/>
    <w:multiLevelType w:val="hybridMultilevel"/>
    <w:tmpl w:val="98D0071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BBA743B"/>
    <w:multiLevelType w:val="hybridMultilevel"/>
    <w:tmpl w:val="B5702F02"/>
    <w:lvl w:ilvl="0">
      <w:start w:val="1"/>
      <w:numFmt w:val="lowerRoman"/>
      <w:lvlText w:val="(%1)"/>
      <w:lvlJc w:val="left"/>
      <w:pPr>
        <w:tabs>
          <w:tab w:val="num" w:pos="1725"/>
        </w:tabs>
        <w:ind w:left="1725" w:hanging="10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005892786">
    <w:abstractNumId w:val="0"/>
  </w:num>
  <w:num w:numId="2" w16cid:durableId="1505365337">
    <w:abstractNumId w:val="11"/>
  </w:num>
  <w:num w:numId="3" w16cid:durableId="1353872568">
    <w:abstractNumId w:val="5"/>
  </w:num>
  <w:num w:numId="4" w16cid:durableId="2045905948">
    <w:abstractNumId w:val="5"/>
  </w:num>
  <w:num w:numId="5" w16cid:durableId="397022921">
    <w:abstractNumId w:val="1"/>
  </w:num>
  <w:num w:numId="6" w16cid:durableId="1257709800">
    <w:abstractNumId w:val="1"/>
  </w:num>
  <w:num w:numId="7" w16cid:durableId="93983707">
    <w:abstractNumId w:val="1"/>
  </w:num>
  <w:num w:numId="8" w16cid:durableId="999307360">
    <w:abstractNumId w:val="1"/>
  </w:num>
  <w:num w:numId="9" w16cid:durableId="1160274259">
    <w:abstractNumId w:val="1"/>
  </w:num>
  <w:num w:numId="10" w16cid:durableId="241069379">
    <w:abstractNumId w:val="1"/>
  </w:num>
  <w:num w:numId="11" w16cid:durableId="255289335">
    <w:abstractNumId w:val="1"/>
  </w:num>
  <w:num w:numId="12" w16cid:durableId="488982309">
    <w:abstractNumId w:val="1"/>
  </w:num>
  <w:num w:numId="13" w16cid:durableId="2034502465">
    <w:abstractNumId w:val="5"/>
  </w:num>
  <w:num w:numId="14" w16cid:durableId="2056656285">
    <w:abstractNumId w:val="5"/>
  </w:num>
  <w:num w:numId="15" w16cid:durableId="492525743">
    <w:abstractNumId w:val="5"/>
  </w:num>
  <w:num w:numId="16" w16cid:durableId="1594168863">
    <w:abstractNumId w:val="5"/>
  </w:num>
  <w:num w:numId="17" w16cid:durableId="2032027986">
    <w:abstractNumId w:val="4"/>
  </w:num>
  <w:num w:numId="18" w16cid:durableId="863058514">
    <w:abstractNumId w:val="6"/>
  </w:num>
  <w:num w:numId="19" w16cid:durableId="2143965104">
    <w:abstractNumId w:val="10"/>
  </w:num>
  <w:num w:numId="20" w16cid:durableId="2096511098">
    <w:abstractNumId w:val="2"/>
  </w:num>
  <w:num w:numId="21" w16cid:durableId="61759716">
    <w:abstractNumId w:val="9"/>
  </w:num>
  <w:num w:numId="22" w16cid:durableId="367411506">
    <w:abstractNumId w:val="3"/>
  </w:num>
  <w:num w:numId="23" w16cid:durableId="1288507069">
    <w:abstractNumId w:val="7"/>
  </w:num>
  <w:num w:numId="24" w16cid:durableId="110559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7C"/>
    <w:rsid w:val="0000145D"/>
    <w:rsid w:val="000015A4"/>
    <w:rsid w:val="00002564"/>
    <w:rsid w:val="0000397A"/>
    <w:rsid w:val="000106C8"/>
    <w:rsid w:val="00011BA0"/>
    <w:rsid w:val="0001509F"/>
    <w:rsid w:val="000166F2"/>
    <w:rsid w:val="00017471"/>
    <w:rsid w:val="0002076E"/>
    <w:rsid w:val="00020B7E"/>
    <w:rsid w:val="00022C7E"/>
    <w:rsid w:val="0002560E"/>
    <w:rsid w:val="00032A8D"/>
    <w:rsid w:val="00033AF6"/>
    <w:rsid w:val="0004022A"/>
    <w:rsid w:val="00043502"/>
    <w:rsid w:val="000438FE"/>
    <w:rsid w:val="00045E98"/>
    <w:rsid w:val="00050443"/>
    <w:rsid w:val="00060584"/>
    <w:rsid w:val="0006119C"/>
    <w:rsid w:val="000670F7"/>
    <w:rsid w:val="00080C16"/>
    <w:rsid w:val="000B0BD6"/>
    <w:rsid w:val="000C31EF"/>
    <w:rsid w:val="000D26A3"/>
    <w:rsid w:val="000E04D5"/>
    <w:rsid w:val="000E244E"/>
    <w:rsid w:val="000E2E94"/>
    <w:rsid w:val="000E482C"/>
    <w:rsid w:val="000E5971"/>
    <w:rsid w:val="000E6251"/>
    <w:rsid w:val="000E68FB"/>
    <w:rsid w:val="000F7C14"/>
    <w:rsid w:val="0010214F"/>
    <w:rsid w:val="00104087"/>
    <w:rsid w:val="001107C8"/>
    <w:rsid w:val="00112CE4"/>
    <w:rsid w:val="00124460"/>
    <w:rsid w:val="00125D2C"/>
    <w:rsid w:val="00135611"/>
    <w:rsid w:val="00173538"/>
    <w:rsid w:val="00175720"/>
    <w:rsid w:val="00180F7C"/>
    <w:rsid w:val="00183663"/>
    <w:rsid w:val="00186AFD"/>
    <w:rsid w:val="0019076B"/>
    <w:rsid w:val="001926A4"/>
    <w:rsid w:val="00194753"/>
    <w:rsid w:val="001A361F"/>
    <w:rsid w:val="001B568A"/>
    <w:rsid w:val="001B7BA5"/>
    <w:rsid w:val="001C2114"/>
    <w:rsid w:val="001C7344"/>
    <w:rsid w:val="001D2561"/>
    <w:rsid w:val="001D3190"/>
    <w:rsid w:val="002107DD"/>
    <w:rsid w:val="002174A8"/>
    <w:rsid w:val="00220F28"/>
    <w:rsid w:val="0022750C"/>
    <w:rsid w:val="00233349"/>
    <w:rsid w:val="0023422A"/>
    <w:rsid w:val="00243BA2"/>
    <w:rsid w:val="00245526"/>
    <w:rsid w:val="002522A9"/>
    <w:rsid w:val="00254E24"/>
    <w:rsid w:val="002605C6"/>
    <w:rsid w:val="00264259"/>
    <w:rsid w:val="00266C76"/>
    <w:rsid w:val="00274446"/>
    <w:rsid w:val="002759E0"/>
    <w:rsid w:val="00277C2E"/>
    <w:rsid w:val="00283B58"/>
    <w:rsid w:val="00294EAD"/>
    <w:rsid w:val="00296F2E"/>
    <w:rsid w:val="002A280C"/>
    <w:rsid w:val="002A4140"/>
    <w:rsid w:val="002A7859"/>
    <w:rsid w:val="002B0F6B"/>
    <w:rsid w:val="002B23EA"/>
    <w:rsid w:val="002C75FF"/>
    <w:rsid w:val="002D1AF5"/>
    <w:rsid w:val="002D48C6"/>
    <w:rsid w:val="002E02D9"/>
    <w:rsid w:val="002E03AB"/>
    <w:rsid w:val="002E62E5"/>
    <w:rsid w:val="002F4CD1"/>
    <w:rsid w:val="0032693D"/>
    <w:rsid w:val="0033665C"/>
    <w:rsid w:val="0035585F"/>
    <w:rsid w:val="00362D65"/>
    <w:rsid w:val="003655B4"/>
    <w:rsid w:val="00370F6A"/>
    <w:rsid w:val="00377CF9"/>
    <w:rsid w:val="00386D03"/>
    <w:rsid w:val="003927C2"/>
    <w:rsid w:val="00392DFD"/>
    <w:rsid w:val="003968A1"/>
    <w:rsid w:val="003A7A25"/>
    <w:rsid w:val="003B6EA0"/>
    <w:rsid w:val="003C3DF0"/>
    <w:rsid w:val="003C7554"/>
    <w:rsid w:val="003D0B8A"/>
    <w:rsid w:val="003D16EC"/>
    <w:rsid w:val="003E16E3"/>
    <w:rsid w:val="003E47BA"/>
    <w:rsid w:val="003E57AD"/>
    <w:rsid w:val="003F29CA"/>
    <w:rsid w:val="003F3F41"/>
    <w:rsid w:val="003F41D9"/>
    <w:rsid w:val="0040234E"/>
    <w:rsid w:val="00412BCA"/>
    <w:rsid w:val="0041786B"/>
    <w:rsid w:val="00422766"/>
    <w:rsid w:val="004323FB"/>
    <w:rsid w:val="004357A2"/>
    <w:rsid w:val="0044050B"/>
    <w:rsid w:val="004454E9"/>
    <w:rsid w:val="004473D4"/>
    <w:rsid w:val="004564C7"/>
    <w:rsid w:val="00463D19"/>
    <w:rsid w:val="00466906"/>
    <w:rsid w:val="00471381"/>
    <w:rsid w:val="0048026E"/>
    <w:rsid w:val="0049067F"/>
    <w:rsid w:val="00496B56"/>
    <w:rsid w:val="004A0FC5"/>
    <w:rsid w:val="004A5A4C"/>
    <w:rsid w:val="004A6242"/>
    <w:rsid w:val="004D3E74"/>
    <w:rsid w:val="004F5EA3"/>
    <w:rsid w:val="004F7A59"/>
    <w:rsid w:val="0050001C"/>
    <w:rsid w:val="00500137"/>
    <w:rsid w:val="00500C85"/>
    <w:rsid w:val="005115D1"/>
    <w:rsid w:val="005118AD"/>
    <w:rsid w:val="00512247"/>
    <w:rsid w:val="005132FA"/>
    <w:rsid w:val="00514D05"/>
    <w:rsid w:val="005377B1"/>
    <w:rsid w:val="00540050"/>
    <w:rsid w:val="005451DF"/>
    <w:rsid w:val="00552EF9"/>
    <w:rsid w:val="0055391B"/>
    <w:rsid w:val="005555E1"/>
    <w:rsid w:val="00556E94"/>
    <w:rsid w:val="00560129"/>
    <w:rsid w:val="005628BB"/>
    <w:rsid w:val="00566247"/>
    <w:rsid w:val="005702AF"/>
    <w:rsid w:val="00577788"/>
    <w:rsid w:val="005833E1"/>
    <w:rsid w:val="00597312"/>
    <w:rsid w:val="005A13A2"/>
    <w:rsid w:val="005A3E95"/>
    <w:rsid w:val="005B78B7"/>
    <w:rsid w:val="005C4F83"/>
    <w:rsid w:val="005C71CA"/>
    <w:rsid w:val="005D1B10"/>
    <w:rsid w:val="005D483D"/>
    <w:rsid w:val="005E1547"/>
    <w:rsid w:val="005F14D0"/>
    <w:rsid w:val="005F1788"/>
    <w:rsid w:val="005F594D"/>
    <w:rsid w:val="006017E5"/>
    <w:rsid w:val="00614724"/>
    <w:rsid w:val="006155C9"/>
    <w:rsid w:val="00640A66"/>
    <w:rsid w:val="00647F97"/>
    <w:rsid w:val="00653616"/>
    <w:rsid w:val="00662AED"/>
    <w:rsid w:val="00663B5A"/>
    <w:rsid w:val="0067732E"/>
    <w:rsid w:val="0068213D"/>
    <w:rsid w:val="00684486"/>
    <w:rsid w:val="00686265"/>
    <w:rsid w:val="006B1977"/>
    <w:rsid w:val="006B4CFE"/>
    <w:rsid w:val="006C10EA"/>
    <w:rsid w:val="006C1FC5"/>
    <w:rsid w:val="006C2E6C"/>
    <w:rsid w:val="006C3A6A"/>
    <w:rsid w:val="006E0960"/>
    <w:rsid w:val="006F5E62"/>
    <w:rsid w:val="007036F9"/>
    <w:rsid w:val="00707528"/>
    <w:rsid w:val="00707810"/>
    <w:rsid w:val="00711424"/>
    <w:rsid w:val="00721444"/>
    <w:rsid w:val="007472F2"/>
    <w:rsid w:val="007539B4"/>
    <w:rsid w:val="0076581C"/>
    <w:rsid w:val="00772214"/>
    <w:rsid w:val="0078042F"/>
    <w:rsid w:val="00787E15"/>
    <w:rsid w:val="00791157"/>
    <w:rsid w:val="007942BA"/>
    <w:rsid w:val="007C5EF9"/>
    <w:rsid w:val="007D137D"/>
    <w:rsid w:val="007D3EF8"/>
    <w:rsid w:val="007D4418"/>
    <w:rsid w:val="007D64A6"/>
    <w:rsid w:val="007D6C36"/>
    <w:rsid w:val="007E486D"/>
    <w:rsid w:val="007E688D"/>
    <w:rsid w:val="007F5C41"/>
    <w:rsid w:val="008016E8"/>
    <w:rsid w:val="00801CA5"/>
    <w:rsid w:val="008056EF"/>
    <w:rsid w:val="00816594"/>
    <w:rsid w:val="00816A04"/>
    <w:rsid w:val="008340AC"/>
    <w:rsid w:val="008352ED"/>
    <w:rsid w:val="008369C9"/>
    <w:rsid w:val="00846DCA"/>
    <w:rsid w:val="00855005"/>
    <w:rsid w:val="0085539B"/>
    <w:rsid w:val="0086312B"/>
    <w:rsid w:val="00865EC3"/>
    <w:rsid w:val="00884795"/>
    <w:rsid w:val="008A0418"/>
    <w:rsid w:val="008A4028"/>
    <w:rsid w:val="008A5288"/>
    <w:rsid w:val="008A6B41"/>
    <w:rsid w:val="008B5331"/>
    <w:rsid w:val="008B5A9A"/>
    <w:rsid w:val="008D3661"/>
    <w:rsid w:val="008D6FD4"/>
    <w:rsid w:val="008E4DF2"/>
    <w:rsid w:val="008E5D43"/>
    <w:rsid w:val="008F65FF"/>
    <w:rsid w:val="00930F75"/>
    <w:rsid w:val="00933A58"/>
    <w:rsid w:val="009366EF"/>
    <w:rsid w:val="00952ABD"/>
    <w:rsid w:val="009535EE"/>
    <w:rsid w:val="00962411"/>
    <w:rsid w:val="00963435"/>
    <w:rsid w:val="00964EC6"/>
    <w:rsid w:val="00973747"/>
    <w:rsid w:val="009765E3"/>
    <w:rsid w:val="00981DE0"/>
    <w:rsid w:val="009828BC"/>
    <w:rsid w:val="00985C65"/>
    <w:rsid w:val="00992077"/>
    <w:rsid w:val="009926E1"/>
    <w:rsid w:val="009A0A38"/>
    <w:rsid w:val="009A6759"/>
    <w:rsid w:val="009B2B1B"/>
    <w:rsid w:val="009C40A5"/>
    <w:rsid w:val="009C40E9"/>
    <w:rsid w:val="009E30B7"/>
    <w:rsid w:val="009E5753"/>
    <w:rsid w:val="009F201F"/>
    <w:rsid w:val="009F30F7"/>
    <w:rsid w:val="009F3C49"/>
    <w:rsid w:val="00A00FF9"/>
    <w:rsid w:val="00A02BA0"/>
    <w:rsid w:val="00A06AD6"/>
    <w:rsid w:val="00A076F6"/>
    <w:rsid w:val="00A2425C"/>
    <w:rsid w:val="00A30CA6"/>
    <w:rsid w:val="00A40805"/>
    <w:rsid w:val="00A41915"/>
    <w:rsid w:val="00A453BE"/>
    <w:rsid w:val="00A45722"/>
    <w:rsid w:val="00A46BDF"/>
    <w:rsid w:val="00A607FE"/>
    <w:rsid w:val="00A7006C"/>
    <w:rsid w:val="00A714F6"/>
    <w:rsid w:val="00A740F4"/>
    <w:rsid w:val="00A76FDE"/>
    <w:rsid w:val="00A83B4A"/>
    <w:rsid w:val="00AB6050"/>
    <w:rsid w:val="00AB7861"/>
    <w:rsid w:val="00AC3DFE"/>
    <w:rsid w:val="00AD4EF2"/>
    <w:rsid w:val="00AE1A79"/>
    <w:rsid w:val="00AE1B74"/>
    <w:rsid w:val="00AE522B"/>
    <w:rsid w:val="00AE6A6D"/>
    <w:rsid w:val="00AF0A3B"/>
    <w:rsid w:val="00AF425A"/>
    <w:rsid w:val="00AF4F35"/>
    <w:rsid w:val="00AF4FA0"/>
    <w:rsid w:val="00AF7046"/>
    <w:rsid w:val="00B07A2A"/>
    <w:rsid w:val="00B16F01"/>
    <w:rsid w:val="00B171C1"/>
    <w:rsid w:val="00B23CDB"/>
    <w:rsid w:val="00B34F54"/>
    <w:rsid w:val="00B45762"/>
    <w:rsid w:val="00B5175A"/>
    <w:rsid w:val="00B54FF4"/>
    <w:rsid w:val="00B611FB"/>
    <w:rsid w:val="00B62693"/>
    <w:rsid w:val="00B64514"/>
    <w:rsid w:val="00B6500A"/>
    <w:rsid w:val="00B7484A"/>
    <w:rsid w:val="00B7488E"/>
    <w:rsid w:val="00B76ABB"/>
    <w:rsid w:val="00B84538"/>
    <w:rsid w:val="00B90FFD"/>
    <w:rsid w:val="00BA0ED5"/>
    <w:rsid w:val="00BA1DA2"/>
    <w:rsid w:val="00BA46B0"/>
    <w:rsid w:val="00BB311D"/>
    <w:rsid w:val="00BC4D63"/>
    <w:rsid w:val="00BC5E05"/>
    <w:rsid w:val="00BD0605"/>
    <w:rsid w:val="00BD6EB0"/>
    <w:rsid w:val="00BE7DBC"/>
    <w:rsid w:val="00BF2748"/>
    <w:rsid w:val="00BF4F5A"/>
    <w:rsid w:val="00C027FB"/>
    <w:rsid w:val="00C02CF6"/>
    <w:rsid w:val="00C11DED"/>
    <w:rsid w:val="00C27783"/>
    <w:rsid w:val="00C27E1A"/>
    <w:rsid w:val="00C345ED"/>
    <w:rsid w:val="00C35899"/>
    <w:rsid w:val="00C5137D"/>
    <w:rsid w:val="00C55811"/>
    <w:rsid w:val="00C63904"/>
    <w:rsid w:val="00C874E0"/>
    <w:rsid w:val="00C91153"/>
    <w:rsid w:val="00C91BBB"/>
    <w:rsid w:val="00C94414"/>
    <w:rsid w:val="00CA5D24"/>
    <w:rsid w:val="00CB6D3B"/>
    <w:rsid w:val="00CC189F"/>
    <w:rsid w:val="00CC6DF5"/>
    <w:rsid w:val="00CD2B59"/>
    <w:rsid w:val="00CD69BC"/>
    <w:rsid w:val="00CD7EF6"/>
    <w:rsid w:val="00CE0F25"/>
    <w:rsid w:val="00CE5C8B"/>
    <w:rsid w:val="00CE7C47"/>
    <w:rsid w:val="00CF148C"/>
    <w:rsid w:val="00CF2DBC"/>
    <w:rsid w:val="00CF5618"/>
    <w:rsid w:val="00CF7867"/>
    <w:rsid w:val="00D10567"/>
    <w:rsid w:val="00D1282F"/>
    <w:rsid w:val="00D17B27"/>
    <w:rsid w:val="00D20890"/>
    <w:rsid w:val="00D2234D"/>
    <w:rsid w:val="00D22B29"/>
    <w:rsid w:val="00D31E01"/>
    <w:rsid w:val="00D430B8"/>
    <w:rsid w:val="00D56B66"/>
    <w:rsid w:val="00D60E86"/>
    <w:rsid w:val="00D73362"/>
    <w:rsid w:val="00D759C6"/>
    <w:rsid w:val="00D80168"/>
    <w:rsid w:val="00D80356"/>
    <w:rsid w:val="00D8774F"/>
    <w:rsid w:val="00D93556"/>
    <w:rsid w:val="00D94CB8"/>
    <w:rsid w:val="00D95F81"/>
    <w:rsid w:val="00D96472"/>
    <w:rsid w:val="00DB379F"/>
    <w:rsid w:val="00DB3C3E"/>
    <w:rsid w:val="00DB4254"/>
    <w:rsid w:val="00DC50C7"/>
    <w:rsid w:val="00DD14A8"/>
    <w:rsid w:val="00DE575B"/>
    <w:rsid w:val="00DE7C47"/>
    <w:rsid w:val="00E00718"/>
    <w:rsid w:val="00E018C6"/>
    <w:rsid w:val="00E03356"/>
    <w:rsid w:val="00E0417A"/>
    <w:rsid w:val="00E1128A"/>
    <w:rsid w:val="00E137E2"/>
    <w:rsid w:val="00E268E6"/>
    <w:rsid w:val="00E334E7"/>
    <w:rsid w:val="00E35933"/>
    <w:rsid w:val="00E41B8B"/>
    <w:rsid w:val="00E4220C"/>
    <w:rsid w:val="00E446BD"/>
    <w:rsid w:val="00E60C08"/>
    <w:rsid w:val="00E628CC"/>
    <w:rsid w:val="00E64AF5"/>
    <w:rsid w:val="00E66364"/>
    <w:rsid w:val="00E73C61"/>
    <w:rsid w:val="00E803BD"/>
    <w:rsid w:val="00E8218A"/>
    <w:rsid w:val="00E90212"/>
    <w:rsid w:val="00E9164A"/>
    <w:rsid w:val="00E928D6"/>
    <w:rsid w:val="00E95B2C"/>
    <w:rsid w:val="00E97ABF"/>
    <w:rsid w:val="00EA091A"/>
    <w:rsid w:val="00EA1C4C"/>
    <w:rsid w:val="00EA2DF9"/>
    <w:rsid w:val="00EB1F24"/>
    <w:rsid w:val="00EB5ADD"/>
    <w:rsid w:val="00EC299C"/>
    <w:rsid w:val="00EC31DA"/>
    <w:rsid w:val="00EC75B3"/>
    <w:rsid w:val="00EE26FD"/>
    <w:rsid w:val="00EF300A"/>
    <w:rsid w:val="00EF6569"/>
    <w:rsid w:val="00EF69B6"/>
    <w:rsid w:val="00F067EA"/>
    <w:rsid w:val="00F206DB"/>
    <w:rsid w:val="00F2258F"/>
    <w:rsid w:val="00F259F4"/>
    <w:rsid w:val="00F26308"/>
    <w:rsid w:val="00F27B80"/>
    <w:rsid w:val="00F34484"/>
    <w:rsid w:val="00F368AE"/>
    <w:rsid w:val="00F44948"/>
    <w:rsid w:val="00F47F4C"/>
    <w:rsid w:val="00F53DA8"/>
    <w:rsid w:val="00F67463"/>
    <w:rsid w:val="00F7041E"/>
    <w:rsid w:val="00F73F57"/>
    <w:rsid w:val="00F76637"/>
    <w:rsid w:val="00F90360"/>
    <w:rsid w:val="00F910AF"/>
    <w:rsid w:val="00F92960"/>
    <w:rsid w:val="00F94EA1"/>
    <w:rsid w:val="00F964BD"/>
    <w:rsid w:val="00F9724C"/>
    <w:rsid w:val="00FA791C"/>
    <w:rsid w:val="00FB1D7E"/>
    <w:rsid w:val="00FB2238"/>
    <w:rsid w:val="00FC1044"/>
    <w:rsid w:val="00FC6AF5"/>
    <w:rsid w:val="00FC7150"/>
    <w:rsid w:val="00FE0408"/>
    <w:rsid w:val="00FE0D88"/>
    <w:rsid w:val="00FE58F8"/>
    <w:rsid w:val="00FE7587"/>
    <w:rsid w:val="00FF35B6"/>
    <w:rsid w:val="00FF5A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433322"/>
  <w15:chartTrackingRefBased/>
  <w15:docId w15:val="{D2A01700-A71B-4B88-88F3-8F78D311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035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rPr>
      <w:vertAlign w:val="superscript"/>
    </w:rPr>
  </w:style>
  <w:style w:type="paragraph" w:styleId="FootnoteText">
    <w:name w:val="footnote text"/>
    <w:aliases w:val="ft"/>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BodyTextIndent">
    <w:name w:val="Body Text Indent"/>
    <w:basedOn w:val="Normal"/>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C75FF"/>
    <w:rPr>
      <w:rFonts w:ascii="Tahoma" w:hAnsi="Tahoma" w:cs="Tahoma"/>
      <w:sz w:val="16"/>
      <w:szCs w:val="16"/>
    </w:rPr>
  </w:style>
  <w:style w:type="paragraph" w:styleId="ListParagraph">
    <w:name w:val="List Paragraph"/>
    <w:basedOn w:val="Normal"/>
    <w:uiPriority w:val="34"/>
    <w:qFormat/>
    <w:rsid w:val="00A076F6"/>
    <w:pPr>
      <w:ind w:left="720"/>
      <w:contextualSpacing/>
    </w:pPr>
    <w:rPr>
      <w:rFonts w:eastAsia="Calibri"/>
      <w:szCs w:val="24"/>
    </w:rPr>
  </w:style>
  <w:style w:type="character" w:customStyle="1" w:styleId="FootnoteTextChar">
    <w:name w:val="Footnote Text Char"/>
    <w:aliases w:val="ft Char"/>
    <w:link w:val="FootnoteText"/>
    <w:uiPriority w:val="99"/>
    <w:locked/>
    <w:rsid w:val="00A076F6"/>
    <w:rPr>
      <w:lang w:val="en-US" w:eastAsia="en-US" w:bidi="ar-SA"/>
    </w:rPr>
  </w:style>
  <w:style w:type="paragraph" w:styleId="NoSpacing">
    <w:name w:val="No Spacing"/>
    <w:qFormat/>
    <w:rsid w:val="00A076F6"/>
    <w:rPr>
      <w:rFonts w:ascii="Calibri" w:eastAsia="Calibri" w:hAnsi="Calibri"/>
      <w:sz w:val="22"/>
      <w:szCs w:val="22"/>
    </w:rPr>
  </w:style>
  <w:style w:type="paragraph" w:styleId="BodyText">
    <w:name w:val="Body Text"/>
    <w:basedOn w:val="Normal"/>
    <w:link w:val="BodyTextChar"/>
    <w:rsid w:val="009E5753"/>
    <w:pPr>
      <w:spacing w:after="120"/>
    </w:pPr>
  </w:style>
  <w:style w:type="character" w:styleId="CommentReference">
    <w:name w:val="annotation reference"/>
    <w:semiHidden/>
    <w:rsid w:val="000E244E"/>
    <w:rPr>
      <w:sz w:val="16"/>
      <w:szCs w:val="16"/>
    </w:rPr>
  </w:style>
  <w:style w:type="paragraph" w:styleId="CommentText">
    <w:name w:val="annotation text"/>
    <w:basedOn w:val="Normal"/>
    <w:semiHidden/>
    <w:rsid w:val="000E244E"/>
    <w:rPr>
      <w:sz w:val="20"/>
    </w:rPr>
  </w:style>
  <w:style w:type="paragraph" w:styleId="CommentSubject">
    <w:name w:val="annotation subject"/>
    <w:basedOn w:val="CommentText"/>
    <w:next w:val="CommentText"/>
    <w:semiHidden/>
    <w:rsid w:val="000E244E"/>
    <w:rPr>
      <w:b/>
      <w:bCs/>
    </w:rPr>
  </w:style>
  <w:style w:type="paragraph" w:styleId="Header">
    <w:name w:val="header"/>
    <w:basedOn w:val="Normal"/>
    <w:link w:val="HeaderChar"/>
    <w:rsid w:val="003B6EA0"/>
    <w:pPr>
      <w:tabs>
        <w:tab w:val="center" w:pos="4680"/>
        <w:tab w:val="right" w:pos="9360"/>
      </w:tabs>
    </w:pPr>
  </w:style>
  <w:style w:type="character" w:customStyle="1" w:styleId="HeaderChar">
    <w:name w:val="Header Char"/>
    <w:link w:val="Header"/>
    <w:rsid w:val="003B6EA0"/>
    <w:rPr>
      <w:sz w:val="24"/>
    </w:rPr>
  </w:style>
  <w:style w:type="paragraph" w:styleId="BodyTextFirstIndent">
    <w:name w:val="Body Text First Indent"/>
    <w:basedOn w:val="BodyText"/>
    <w:link w:val="BodyTextFirstIndentChar"/>
    <w:rsid w:val="00A453BE"/>
    <w:pPr>
      <w:ind w:firstLine="210"/>
    </w:pPr>
  </w:style>
  <w:style w:type="character" w:customStyle="1" w:styleId="BodyTextChar">
    <w:name w:val="Body Text Char"/>
    <w:link w:val="BodyText"/>
    <w:rsid w:val="00A453BE"/>
    <w:rPr>
      <w:sz w:val="24"/>
    </w:rPr>
  </w:style>
  <w:style w:type="character" w:customStyle="1" w:styleId="BodyTextFirstIndentChar">
    <w:name w:val="Body Text First Indent Char"/>
    <w:basedOn w:val="BodyTextChar"/>
    <w:link w:val="BodyTextFirstIndent"/>
    <w:rsid w:val="00A453BE"/>
    <w:rPr>
      <w:sz w:val="24"/>
    </w:rPr>
  </w:style>
  <w:style w:type="paragraph" w:customStyle="1" w:styleId="doublespace0">
    <w:name w:val="doublespace0"/>
    <w:basedOn w:val="Normal"/>
    <w:rsid w:val="00C55811"/>
    <w:pPr>
      <w:spacing w:line="480" w:lineRule="auto"/>
    </w:pPr>
    <w:rPr>
      <w:rFonts w:ascii="CG Times" w:eastAsia="Calibri" w:hAnsi="CG Times"/>
      <w:szCs w:val="24"/>
    </w:rPr>
  </w:style>
  <w:style w:type="character" w:customStyle="1" w:styleId="documentbody1">
    <w:name w:val="documentbody1"/>
    <w:rsid w:val="00C55811"/>
    <w:rPr>
      <w:rFonts w:ascii="Verdana" w:hAnsi="Verdana" w:hint="default"/>
    </w:rPr>
  </w:style>
  <w:style w:type="character" w:styleId="Strong">
    <w:name w:val="Strong"/>
    <w:uiPriority w:val="99"/>
    <w:qFormat/>
    <w:rsid w:val="00707810"/>
    <w:rPr>
      <w:rFonts w:cs="Times New Roman"/>
      <w:b/>
      <w:bCs/>
    </w:rPr>
  </w:style>
  <w:style w:type="paragraph" w:styleId="EndnoteText">
    <w:name w:val="endnote text"/>
    <w:basedOn w:val="Normal"/>
    <w:link w:val="EndnoteTextChar"/>
    <w:rsid w:val="00296F2E"/>
    <w:rPr>
      <w:sz w:val="20"/>
    </w:rPr>
  </w:style>
  <w:style w:type="character" w:customStyle="1" w:styleId="EndnoteTextChar">
    <w:name w:val="Endnote Text Char"/>
    <w:basedOn w:val="DefaultParagraphFont"/>
    <w:link w:val="EndnoteText"/>
    <w:rsid w:val="00296F2E"/>
  </w:style>
  <w:style w:type="character" w:styleId="EndnoteReference">
    <w:name w:val="endnote reference"/>
    <w:rsid w:val="00296F2E"/>
    <w:rPr>
      <w:vertAlign w:val="superscript"/>
    </w:rPr>
  </w:style>
  <w:style w:type="character" w:styleId="Emphasis">
    <w:name w:val="Emphasis"/>
    <w:uiPriority w:val="99"/>
    <w:qFormat/>
    <w:rsid w:val="00080C1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9-10-24/pdf/2019-23036.pdf" TargetMode="External" /><Relationship Id="rId2" Type="http://schemas.openxmlformats.org/officeDocument/2006/relationships/hyperlink" Target="https://www.federalregister.gov/documents/2012/05/17/2012-11989/supervisory-guidance-on-stress-testing-for-banking-organizations-with-more-than-10-billion-in-total" TargetMode="External" /><Relationship Id="rId3" Type="http://schemas.openxmlformats.org/officeDocument/2006/relationships/hyperlink" Target="https://www.govinfo.gov/content/pkg/FR-2012-10-15/pdf/FR-2012-10-15.pdf" TargetMode="External" /><Relationship Id="rId4" Type="http://schemas.openxmlformats.org/officeDocument/2006/relationships/hyperlink" Target="https://www.govinfo.gov/content/pkg/FR-2012-10-15/pdf/2012-25194.pdf" TargetMode="External" /><Relationship Id="rId5" Type="http://schemas.openxmlformats.org/officeDocument/2006/relationships/hyperlink" Target="https://www.federalregister.gov/documents/2018/04/02/2018-06162/annual-stress-test-applicability-transition-for-covered-banks-with-50-billion-or-more-in-assets" TargetMode="External" /><Relationship Id="rId6" Type="http://schemas.openxmlformats.org/officeDocument/2006/relationships/hyperlink" Target="https://www.federalregister.gov/documents/2018/11/29/2018-24464/prudential-standards-for-large-bank-holding-companies-and-savings-and-loan-holding-compan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A7BF-7F82-4BC6-80D7-054B0ACD3C9C}">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2026-02-19T21:15:00Z</dcterms:created>
  <dcterms:modified xsi:type="dcterms:W3CDTF">2026-02-19T21:15:00Z</dcterms:modified>
</cp:coreProperties>
</file>