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1A90" w:rsidRPr="00D807AF" w14:paraId="756A6867" w14:textId="77777777">
      <w:pPr>
        <w:pStyle w:val="Footer"/>
        <w:tabs>
          <w:tab w:val="clear" w:pos="4320"/>
          <w:tab w:val="center" w:pos="4680"/>
          <w:tab w:val="clear" w:pos="8640"/>
        </w:tabs>
        <w:jc w:val="center"/>
        <w:rPr>
          <w:rFonts w:ascii="Times New Roman" w:hAnsi="Times New Roman"/>
          <w:b/>
        </w:rPr>
      </w:pPr>
      <w:r w:rsidRPr="00D807AF">
        <w:rPr>
          <w:rFonts w:ascii="Times New Roman" w:hAnsi="Times New Roman"/>
          <w:b/>
        </w:rPr>
        <w:t>SUPPORTING STATEMENT</w:t>
      </w:r>
    </w:p>
    <w:p w:rsidR="00731A90" w:rsidRPr="00D807AF" w14:paraId="0E343CB8" w14:textId="77777777">
      <w:pPr>
        <w:tabs>
          <w:tab w:val="center" w:pos="4680"/>
        </w:tabs>
        <w:jc w:val="center"/>
        <w:rPr>
          <w:rFonts w:ascii="Times New Roman" w:hAnsi="Times New Roman"/>
          <w:b/>
        </w:rPr>
      </w:pPr>
      <w:r w:rsidRPr="00D807AF">
        <w:rPr>
          <w:rFonts w:ascii="Times New Roman" w:hAnsi="Times New Roman"/>
          <w:b/>
        </w:rPr>
        <w:t>Appraisals for Higher-</w:t>
      </w:r>
      <w:r w:rsidRPr="00D807AF" w:rsidR="009B6429">
        <w:rPr>
          <w:rFonts w:ascii="Times New Roman" w:hAnsi="Times New Roman"/>
          <w:b/>
        </w:rPr>
        <w:t>Price</w:t>
      </w:r>
      <w:r w:rsidRPr="00D807AF">
        <w:rPr>
          <w:rFonts w:ascii="Times New Roman" w:hAnsi="Times New Roman"/>
          <w:b/>
        </w:rPr>
        <w:t xml:space="preserve"> Mortgage Loans</w:t>
      </w:r>
    </w:p>
    <w:p w:rsidR="00731A90" w:rsidRPr="00D807AF" w14:paraId="050A17B8" w14:textId="77777777">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Pr="00D807AF" w:rsidR="0018551F">
        <w:rPr>
          <w:rFonts w:ascii="Times New Roman" w:hAnsi="Times New Roman"/>
          <w:b/>
        </w:rPr>
        <w:t>0188</w:t>
      </w:r>
      <w:r w:rsidRPr="00D807AF">
        <w:rPr>
          <w:rFonts w:ascii="Times New Roman" w:hAnsi="Times New Roman"/>
          <w:b/>
        </w:rPr>
        <w:t>)</w:t>
      </w:r>
    </w:p>
    <w:p w:rsidR="00731A90" w14:paraId="6F3C9C26" w14:textId="77777777">
      <w:pPr>
        <w:rPr>
          <w:rFonts w:ascii="Times New Roman" w:hAnsi="Times New Roman"/>
        </w:rPr>
      </w:pPr>
    </w:p>
    <w:p w:rsidR="00731A90" w14:paraId="033F4163" w14:textId="77777777">
      <w:pPr>
        <w:rPr>
          <w:rFonts w:ascii="Times New Roman" w:hAnsi="Times New Roman"/>
          <w:u w:val="single"/>
        </w:rPr>
      </w:pPr>
      <w:r>
        <w:rPr>
          <w:rFonts w:ascii="Times New Roman" w:hAnsi="Times New Roman"/>
          <w:u w:val="single"/>
        </w:rPr>
        <w:t>INTRODUCTION</w:t>
      </w:r>
    </w:p>
    <w:p w:rsidR="00731A90" w14:paraId="2CBC35E1" w14:textId="77777777">
      <w:pPr>
        <w:rPr>
          <w:rFonts w:ascii="Times New Roman" w:hAnsi="Times New Roman"/>
          <w:u w:val="single"/>
        </w:rPr>
      </w:pPr>
    </w:p>
    <w:p w:rsidR="00DB04B6" w:rsidRPr="00DB04B6" w:rsidP="00DB04B6" w14:paraId="4B6BB415" w14:textId="0211638A">
      <w:pPr>
        <w:rPr>
          <w:rFonts w:ascii="Times New Roman" w:hAnsi="Times New Roman"/>
        </w:rPr>
      </w:pPr>
      <w:r w:rsidRPr="00DB04B6">
        <w:rPr>
          <w:rFonts w:ascii="Times New Roman" w:hAnsi="Times New Roman"/>
        </w:rPr>
        <w:t xml:space="preserve">The Federal Deposit Insurance Corporation (FDIC) is requesting a three-year </w:t>
      </w:r>
      <w:r w:rsidR="007F0C94">
        <w:rPr>
          <w:rFonts w:ascii="Times New Roman" w:hAnsi="Times New Roman"/>
        </w:rPr>
        <w:t xml:space="preserve">extension with </w:t>
      </w:r>
      <w:r w:rsidR="007F7BC9">
        <w:rPr>
          <w:rFonts w:ascii="Times New Roman" w:hAnsi="Times New Roman"/>
        </w:rPr>
        <w:t>revision</w:t>
      </w:r>
      <w:r w:rsidR="007F0C94">
        <w:rPr>
          <w:rFonts w:ascii="Times New Roman" w:hAnsi="Times New Roman"/>
        </w:rPr>
        <w:t>s</w:t>
      </w:r>
      <w:r w:rsidRPr="00DB04B6" w:rsidR="007F7BC9">
        <w:rPr>
          <w:rFonts w:ascii="Times New Roman" w:hAnsi="Times New Roman"/>
        </w:rPr>
        <w:t xml:space="preserve"> </w:t>
      </w:r>
      <w:r w:rsidRPr="00DB04B6">
        <w:rPr>
          <w:rFonts w:ascii="Times New Roman" w:hAnsi="Times New Roman"/>
        </w:rPr>
        <w:t xml:space="preserve">of the information collection </w:t>
      </w:r>
      <w:r>
        <w:rPr>
          <w:rFonts w:ascii="Times New Roman" w:hAnsi="Times New Roman"/>
        </w:rPr>
        <w:t>entitled “Appraisals for Higher Priced Mortgages”</w:t>
      </w:r>
      <w:r w:rsidR="007F7BC9">
        <w:rPr>
          <w:rFonts w:ascii="Times New Roman" w:hAnsi="Times New Roman"/>
        </w:rPr>
        <w:t xml:space="preserve"> (OMB Control Number 3064-0188),</w:t>
      </w:r>
      <w:r>
        <w:rPr>
          <w:rFonts w:ascii="Times New Roman" w:hAnsi="Times New Roman"/>
        </w:rPr>
        <w:t xml:space="preserve"> </w:t>
      </w:r>
      <w:r w:rsidR="00BC79E3">
        <w:rPr>
          <w:rFonts w:ascii="Times New Roman" w:hAnsi="Times New Roman"/>
        </w:rPr>
        <w:t>the</w:t>
      </w:r>
      <w:r>
        <w:rPr>
          <w:rFonts w:ascii="Times New Roman" w:hAnsi="Times New Roman"/>
        </w:rPr>
        <w:t xml:space="preserve"> collection of information was the result of amendments made to Regulation Z mandated by provisions added to the Truth-in-Lending Act by the </w:t>
      </w:r>
      <w:r w:rsidRPr="00697A37">
        <w:rPr>
          <w:rFonts w:ascii="Times New Roman" w:hAnsi="Times New Roman"/>
        </w:rPr>
        <w:t>Dodd-Frank Wall Street Ref</w:t>
      </w:r>
      <w:r>
        <w:rPr>
          <w:rFonts w:ascii="Times New Roman" w:hAnsi="Times New Roman"/>
        </w:rPr>
        <w:t xml:space="preserve">orm and Consumer Protection Act.  </w:t>
      </w:r>
      <w:r w:rsidRPr="00DB04B6">
        <w:rPr>
          <w:rFonts w:ascii="Times New Roman" w:hAnsi="Times New Roman"/>
        </w:rPr>
        <w:t>The current clearance for the</w:t>
      </w:r>
      <w:r w:rsidR="007F0C94">
        <w:rPr>
          <w:rFonts w:ascii="Times New Roman" w:hAnsi="Times New Roman"/>
        </w:rPr>
        <w:t xml:space="preserve"> collection expires on </w:t>
      </w:r>
      <w:r w:rsidR="008F3604">
        <w:rPr>
          <w:rFonts w:ascii="Times New Roman" w:hAnsi="Times New Roman"/>
        </w:rPr>
        <w:t>February 28, 2026</w:t>
      </w:r>
      <w:r w:rsidR="007F0C94">
        <w:rPr>
          <w:rFonts w:ascii="Times New Roman" w:hAnsi="Times New Roman"/>
        </w:rPr>
        <w:t>.</w:t>
      </w:r>
      <w:r w:rsidRPr="00DB04B6">
        <w:rPr>
          <w:rFonts w:ascii="Times New Roman" w:hAnsi="Times New Roman"/>
        </w:rPr>
        <w:t xml:space="preserve"> </w:t>
      </w:r>
    </w:p>
    <w:p w:rsidR="00DB04B6" w:rsidP="004D1876" w14:paraId="7DE87513" w14:textId="77777777">
      <w:pPr>
        <w:rPr>
          <w:rFonts w:ascii="Times New Roman" w:hAnsi="Times New Roman"/>
        </w:rPr>
      </w:pPr>
    </w:p>
    <w:p w:rsidR="00731A90" w14:paraId="59E045DF"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0BE5727A" w14:textId="77777777">
      <w:pPr>
        <w:rPr>
          <w:rFonts w:ascii="Times New Roman" w:hAnsi="Times New Roman"/>
        </w:rPr>
      </w:pPr>
    </w:p>
    <w:p w:rsidR="00731A90" w:rsidP="00EA72EA" w14:paraId="7C656C76" w14:textId="77777777">
      <w:pPr>
        <w:numPr>
          <w:ilvl w:val="0"/>
          <w:numId w:val="11"/>
        </w:numPr>
        <w:rPr>
          <w:rFonts w:ascii="Times New Roman" w:hAnsi="Times New Roman"/>
        </w:rPr>
      </w:pPr>
      <w:r w:rsidRPr="00B662BE">
        <w:rPr>
          <w:rFonts w:ascii="Times New Roman" w:hAnsi="Times New Roman"/>
          <w:bCs/>
          <w:szCs w:val="24"/>
          <w:u w:val="single"/>
        </w:rPr>
        <w:t>Circumstances that make the collection necessary:</w:t>
      </w:r>
    </w:p>
    <w:p w:rsidR="00731A90" w14:paraId="59FEE945" w14:textId="77777777">
      <w:pPr>
        <w:ind w:firstLine="1440"/>
        <w:rPr>
          <w:rFonts w:ascii="Times New Roman" w:hAnsi="Times New Roman"/>
        </w:rPr>
      </w:pPr>
    </w:p>
    <w:p w:rsidR="009D2490" w:rsidRPr="009D2490" w:rsidP="008F3604" w14:paraId="47F17097" w14:textId="5A44C29A">
      <w:pPr>
        <w:spacing w:after="120"/>
        <w:ind w:left="1440"/>
        <w:rPr>
          <w:rFonts w:ascii="Times New Roman" w:hAnsi="Times New Roman"/>
          <w:snapToGrid/>
          <w:szCs w:val="24"/>
        </w:rPr>
      </w:pPr>
      <w:r w:rsidRPr="009D2490">
        <w:rPr>
          <w:rFonts w:ascii="Times New Roman" w:hAnsi="Times New Roman"/>
          <w:snapToGrid/>
          <w:szCs w:val="24"/>
        </w:rPr>
        <w:t>Section 1471 of the Dodd-Frank Act established a new Truth in Lending (TILA)</w:t>
      </w:r>
      <w:r w:rsidRPr="009D2490">
        <w:rPr>
          <w:rFonts w:ascii="Times New Roman" w:hAnsi="Times New Roman"/>
          <w:snapToGrid/>
          <w:szCs w:val="24"/>
          <w:vertAlign w:val="superscript"/>
        </w:rPr>
        <w:t xml:space="preserve"> </w:t>
      </w:r>
      <w:r w:rsidRPr="009D2490">
        <w:rPr>
          <w:rFonts w:ascii="Times New Roman" w:hAnsi="Times New Roman"/>
          <w:snapToGrid/>
          <w:szCs w:val="24"/>
        </w:rPr>
        <w:t xml:space="preserve">section 129H, </w:t>
      </w:r>
      <w:r w:rsidRPr="009D2490">
        <w:rPr>
          <w:rFonts w:ascii="Times New Roman" w:hAnsi="Times New Roman"/>
        </w:rPr>
        <w:t>which</w:t>
      </w:r>
      <w:r w:rsidRPr="009D2490">
        <w:rPr>
          <w:rFonts w:ascii="Times New Roman" w:hAnsi="Times New Roman"/>
          <w:snapToGrid/>
          <w:szCs w:val="24"/>
        </w:rPr>
        <w:t xml:space="preserve"> contains appraisal requirements applicable to </w:t>
      </w:r>
      <w:r w:rsidRPr="009D2490">
        <w:rPr>
          <w:rFonts w:ascii="Times New Roman" w:hAnsi="Times New Roman"/>
          <w:i/>
          <w:snapToGrid/>
          <w:szCs w:val="24"/>
        </w:rPr>
        <w:t xml:space="preserve">higher-risk mortgages </w:t>
      </w:r>
      <w:r w:rsidRPr="009D2490">
        <w:rPr>
          <w:rFonts w:ascii="Times New Roman" w:hAnsi="Times New Roman"/>
          <w:snapToGrid/>
          <w:szCs w:val="24"/>
        </w:rPr>
        <w:t xml:space="preserve">and prohibits a creditor from extending credit in the form of a higher-risk mortgage loan to any consumer without meeting those requirements.  A </w:t>
      </w:r>
      <w:r w:rsidRPr="009D2490">
        <w:rPr>
          <w:rFonts w:ascii="Times New Roman" w:hAnsi="Times New Roman"/>
          <w:i/>
          <w:snapToGrid/>
          <w:szCs w:val="24"/>
        </w:rPr>
        <w:t>Higher-risk mortgage</w:t>
      </w:r>
      <w:r w:rsidRPr="009D2490">
        <w:rPr>
          <w:rFonts w:ascii="Times New Roman" w:hAnsi="Times New Roman"/>
          <w:snapToGrid/>
          <w:szCs w:val="24"/>
        </w:rPr>
        <w:t xml:space="preserve"> is defined as a residential mortgage loan secured by a principal dwelling with an annual percentage rate (APR) that exceeds the average prime offer rate (APOR) for a comparable transaction as of the date the interest rate is set by certain enumerated percentage point spreads.  </w:t>
      </w:r>
    </w:p>
    <w:p w:rsidR="008F3604" w:rsidRPr="008F3604" w:rsidP="008F3604" w14:paraId="06D80D61" w14:textId="693703C7">
      <w:pPr>
        <w:spacing w:after="120"/>
        <w:ind w:left="1440"/>
        <w:rPr>
          <w:rFonts w:ascii="Times New Roman" w:hAnsi="Times New Roman"/>
          <w:snapToGrid/>
          <w:szCs w:val="24"/>
        </w:rPr>
      </w:pPr>
      <w:r w:rsidRPr="009D2490">
        <w:rPr>
          <w:rFonts w:ascii="Times New Roman" w:hAnsi="Times New Roman"/>
          <w:snapToGrid/>
          <w:szCs w:val="24"/>
        </w:rPr>
        <w:t xml:space="preserve">The information </w:t>
      </w:r>
      <w:r w:rsidRPr="009D2490">
        <w:rPr>
          <w:rFonts w:ascii="Times New Roman" w:hAnsi="Times New Roman"/>
        </w:rPr>
        <w:t>collection</w:t>
      </w:r>
      <w:r w:rsidRPr="009D2490">
        <w:rPr>
          <w:rFonts w:ascii="Times New Roman" w:hAnsi="Times New Roman"/>
          <w:snapToGrid/>
          <w:szCs w:val="24"/>
        </w:rPr>
        <w:t xml:space="preserve"> requirements are needed to protect consumers and promote the safety and soundness of creditors making higher-risk mortgage loans.  This information is used by creditors to evaluate real estate collateral in higher-risk mortgage loan transactions and by consumers entering these transactions.  The </w:t>
      </w:r>
      <w:r w:rsidRPr="009D2490">
        <w:rPr>
          <w:rFonts w:ascii="Times New Roman" w:hAnsi="Times New Roman"/>
          <w:snapToGrid/>
          <w:szCs w:val="24"/>
        </w:rPr>
        <w:t>collections</w:t>
      </w:r>
      <w:r w:rsidRPr="009D2490">
        <w:rPr>
          <w:rFonts w:ascii="Times New Roman" w:hAnsi="Times New Roman"/>
          <w:snapToGrid/>
          <w:szCs w:val="24"/>
        </w:rPr>
        <w:t xml:space="preserve"> of information </w:t>
      </w:r>
      <w:r w:rsidRPr="009D2490">
        <w:rPr>
          <w:rFonts w:ascii="Times New Roman" w:hAnsi="Times New Roman"/>
          <w:snapToGrid/>
          <w:szCs w:val="24"/>
        </w:rPr>
        <w:t>are</w:t>
      </w:r>
      <w:r w:rsidRPr="009D2490">
        <w:rPr>
          <w:rFonts w:ascii="Times New Roman" w:hAnsi="Times New Roman"/>
          <w:snapToGrid/>
          <w:szCs w:val="24"/>
        </w:rPr>
        <w:t xml:space="preserve"> mandatory for creditors making higher-risk mortgage loans.</w:t>
      </w:r>
    </w:p>
    <w:p w:rsidR="004D1876" w:rsidRPr="00373ED8" w:rsidP="008F3604" w14:paraId="7D5BF484" w14:textId="77777777">
      <w:pPr>
        <w:numPr>
          <w:ilvl w:val="0"/>
          <w:numId w:val="11"/>
        </w:numPr>
        <w:tabs>
          <w:tab w:val="left" w:pos="-1440"/>
        </w:tabs>
        <w:spacing w:before="240"/>
        <w:rPr>
          <w:rFonts w:ascii="Times New Roman" w:hAnsi="Times New Roman"/>
        </w:rPr>
      </w:pPr>
      <w:r w:rsidRPr="00373ED8">
        <w:rPr>
          <w:rFonts w:ascii="Times New Roman" w:hAnsi="Times New Roman"/>
          <w:u w:val="single"/>
        </w:rPr>
        <w:t>Use of the information:</w:t>
      </w:r>
    </w:p>
    <w:p w:rsidR="004D1876" w:rsidRPr="00373ED8" w:rsidP="004D1876" w14:paraId="4BC05753" w14:textId="77777777">
      <w:pPr>
        <w:ind w:left="1440"/>
        <w:rPr>
          <w:rFonts w:ascii="Times New Roman" w:hAnsi="Times New Roman"/>
        </w:rPr>
      </w:pPr>
    </w:p>
    <w:p w:rsidR="004D1876" w:rsidRPr="00373ED8" w:rsidP="004D1876" w14:paraId="2CE2F03B" w14:textId="77777777">
      <w:pPr>
        <w:ind w:left="1440"/>
        <w:rPr>
          <w:rFonts w:ascii="Times New Roman" w:hAnsi="Times New Roman"/>
        </w:rPr>
      </w:pPr>
      <w:r w:rsidRPr="00373ED8">
        <w:rPr>
          <w:rFonts w:ascii="Times New Roman" w:hAnsi="Times New Roman"/>
        </w:rPr>
        <w:t xml:space="preserve">The information </w:t>
      </w:r>
      <w:r w:rsidR="00173189">
        <w:rPr>
          <w:rFonts w:ascii="Times New Roman" w:hAnsi="Times New Roman"/>
        </w:rPr>
        <w:t>is</w:t>
      </w:r>
      <w:r w:rsidR="00AD2B69">
        <w:rPr>
          <w:rFonts w:ascii="Times New Roman" w:hAnsi="Times New Roman"/>
        </w:rPr>
        <w:t xml:space="preserve"> </w:t>
      </w:r>
      <w:r>
        <w:rPr>
          <w:rFonts w:ascii="Times New Roman" w:hAnsi="Times New Roman"/>
        </w:rPr>
        <w:t>needed t</w:t>
      </w:r>
      <w:r w:rsidRPr="00373ED8">
        <w:rPr>
          <w:rFonts w:ascii="Times New Roman" w:hAnsi="Times New Roman"/>
        </w:rPr>
        <w:t xml:space="preserve">o protect consumers and promotes the safety and soundness of creditors making higher-risk mortgage loans.  This information will be used by creditors to evaluate real estate collateral in higher-risk mortgage loan transactions and by consumers entering these transactions.  The </w:t>
      </w:r>
      <w:r w:rsidRPr="00373ED8">
        <w:rPr>
          <w:rFonts w:ascii="Times New Roman" w:hAnsi="Times New Roman"/>
        </w:rPr>
        <w:t>collections</w:t>
      </w:r>
      <w:r w:rsidRPr="00373ED8">
        <w:rPr>
          <w:rFonts w:ascii="Times New Roman" w:hAnsi="Times New Roman"/>
        </w:rPr>
        <w:t xml:space="preserve"> of information </w:t>
      </w:r>
      <w:r w:rsidRPr="00373ED8">
        <w:rPr>
          <w:rFonts w:ascii="Times New Roman" w:hAnsi="Times New Roman"/>
        </w:rPr>
        <w:t>are</w:t>
      </w:r>
      <w:r w:rsidRPr="00373ED8">
        <w:rPr>
          <w:rFonts w:ascii="Times New Roman" w:hAnsi="Times New Roman"/>
        </w:rPr>
        <w:t xml:space="preserve"> mandatory for creditors making higher-risk mortgage loans.  </w:t>
      </w:r>
    </w:p>
    <w:p w:rsidR="004D1876" w:rsidRPr="00373ED8" w:rsidP="004D1876" w14:paraId="1926E28D" w14:textId="77777777">
      <w:pPr>
        <w:ind w:left="1440" w:firstLine="720"/>
        <w:rPr>
          <w:rFonts w:ascii="Times New Roman" w:hAnsi="Times New Roman"/>
        </w:rPr>
      </w:pPr>
    </w:p>
    <w:p w:rsidR="00731A90" w:rsidP="00EA72EA" w14:paraId="60B1A56A" w14:textId="77777777">
      <w:pPr>
        <w:numPr>
          <w:ilvl w:val="0"/>
          <w:numId w:val="11"/>
        </w:numPr>
        <w:rPr>
          <w:rFonts w:ascii="Times New Roman" w:hAnsi="Times New Roman"/>
        </w:rPr>
      </w:pPr>
      <w:r w:rsidRPr="00B662BE">
        <w:rPr>
          <w:rFonts w:ascii="Times New Roman" w:hAnsi="Times New Roman"/>
          <w:bCs/>
          <w:szCs w:val="24"/>
          <w:u w:val="single"/>
        </w:rPr>
        <w:t>Consideration of the use of improved information technology:</w:t>
      </w:r>
    </w:p>
    <w:p w:rsidR="00731A90" w14:paraId="1A23B01F" w14:textId="77777777">
      <w:pPr>
        <w:rPr>
          <w:rFonts w:ascii="Times New Roman" w:hAnsi="Times New Roman"/>
        </w:rPr>
      </w:pPr>
    </w:p>
    <w:p w:rsidR="00731A90" w:rsidP="00B26610" w14:paraId="66285C38" w14:textId="77777777">
      <w:pPr>
        <w:ind w:left="1440"/>
        <w:rPr>
          <w:rFonts w:ascii="Times New Roman" w:hAnsi="Times New Roman"/>
        </w:rPr>
      </w:pPr>
      <w:r>
        <w:rPr>
          <w:rFonts w:ascii="Times New Roman" w:hAnsi="Times New Roman"/>
        </w:rPr>
        <w:t xml:space="preserve">Institutions are free to use whatever methods are the least burdensome to them for </w:t>
      </w:r>
      <w:r w:rsidR="00B26610">
        <w:rPr>
          <w:rFonts w:ascii="Times New Roman" w:hAnsi="Times New Roman"/>
        </w:rPr>
        <w:t>recording and retaining</w:t>
      </w:r>
      <w:r>
        <w:rPr>
          <w:rFonts w:ascii="Times New Roman" w:hAnsi="Times New Roman"/>
        </w:rPr>
        <w:t xml:space="preserve"> the necessary information </w:t>
      </w:r>
      <w:r w:rsidR="00B26610">
        <w:rPr>
          <w:rFonts w:ascii="Times New Roman" w:hAnsi="Times New Roman"/>
        </w:rPr>
        <w:t>for FDIC review.</w:t>
      </w:r>
    </w:p>
    <w:p w:rsidR="00B26610" w:rsidP="00B26610" w14:paraId="3566AAB5" w14:textId="77777777">
      <w:pPr>
        <w:ind w:left="1440"/>
        <w:rPr>
          <w:rFonts w:ascii="Times New Roman" w:hAnsi="Times New Roman"/>
        </w:rPr>
      </w:pPr>
    </w:p>
    <w:p w:rsidR="008F3604" w:rsidP="00B26610" w14:paraId="0A01785B" w14:textId="77777777">
      <w:pPr>
        <w:ind w:left="1440"/>
        <w:rPr>
          <w:rFonts w:ascii="Times New Roman" w:hAnsi="Times New Roman"/>
        </w:rPr>
      </w:pPr>
    </w:p>
    <w:p w:rsidR="00731A90" w:rsidP="00EA72EA" w14:paraId="3EAFBDD7" w14:textId="77777777">
      <w:pPr>
        <w:numPr>
          <w:ilvl w:val="0"/>
          <w:numId w:val="11"/>
        </w:numPr>
        <w:rPr>
          <w:rFonts w:ascii="Times New Roman" w:hAnsi="Times New Roman"/>
        </w:rPr>
      </w:pPr>
      <w:r>
        <w:rPr>
          <w:rFonts w:ascii="Times New Roman" w:hAnsi="Times New Roman"/>
          <w:u w:val="single"/>
        </w:rPr>
        <w:t>Efforts to identify duplication</w:t>
      </w:r>
      <w:r w:rsidR="008F53AC">
        <w:rPr>
          <w:rFonts w:ascii="Times New Roman" w:hAnsi="Times New Roman"/>
          <w:u w:val="single"/>
        </w:rPr>
        <w:t>:</w:t>
      </w:r>
    </w:p>
    <w:p w:rsidR="00731A90" w14:paraId="7712C402" w14:textId="77777777">
      <w:pPr>
        <w:rPr>
          <w:rFonts w:ascii="Times New Roman" w:hAnsi="Times New Roman"/>
        </w:rPr>
      </w:pPr>
    </w:p>
    <w:p w:rsidR="00731A90" w14:paraId="25F677F0" w14:textId="77777777">
      <w:pPr>
        <w:ind w:left="1440"/>
        <w:rPr>
          <w:rFonts w:ascii="Times New Roman" w:hAnsi="Times New Roman"/>
        </w:rPr>
      </w:pPr>
      <w:r>
        <w:rPr>
          <w:rFonts w:ascii="Times New Roman" w:hAnsi="Times New Roman"/>
        </w:rPr>
        <w:t>Similar information is not available from any other single source.</w:t>
      </w:r>
    </w:p>
    <w:p w:rsidR="00731A90" w14:paraId="7B640BB9" w14:textId="77777777">
      <w:pPr>
        <w:ind w:left="720"/>
        <w:rPr>
          <w:rFonts w:ascii="Times New Roman" w:hAnsi="Times New Roman"/>
        </w:rPr>
      </w:pPr>
    </w:p>
    <w:p w:rsidR="00731A90" w:rsidRPr="00BC79E3" w:rsidP="008F3604" w14:paraId="4822BABB" w14:textId="77777777">
      <w:pPr>
        <w:numPr>
          <w:ilvl w:val="0"/>
          <w:numId w:val="11"/>
        </w:numPr>
        <w:rPr>
          <w:rFonts w:ascii="Times New Roman" w:hAnsi="Times New Roman"/>
          <w:u w:val="single"/>
        </w:rPr>
      </w:pPr>
      <w:r w:rsidRPr="00BC79E3">
        <w:rPr>
          <w:rFonts w:ascii="Times New Roman" w:hAnsi="Times New Roman"/>
          <w:bCs/>
          <w:szCs w:val="24"/>
          <w:u w:val="single"/>
        </w:rPr>
        <w:t>Methods used to minimize burden if the collectio</w:t>
      </w:r>
      <w:r w:rsidRPr="00BC79E3" w:rsidR="00EA72EA">
        <w:rPr>
          <w:rFonts w:ascii="Times New Roman" w:hAnsi="Times New Roman"/>
          <w:bCs/>
          <w:szCs w:val="24"/>
          <w:u w:val="single"/>
        </w:rPr>
        <w:t>n has a significant impact on</w:t>
      </w:r>
      <w:r w:rsidRPr="00BC79E3" w:rsidR="00BC79E3">
        <w:rPr>
          <w:rFonts w:ascii="Times New Roman" w:hAnsi="Times New Roman"/>
          <w:bCs/>
          <w:szCs w:val="24"/>
          <w:u w:val="single"/>
        </w:rPr>
        <w:t xml:space="preserve"> a</w:t>
      </w:r>
      <w:r w:rsidRPr="00BC79E3" w:rsidR="00EA72EA">
        <w:rPr>
          <w:rFonts w:ascii="Times New Roman" w:hAnsi="Times New Roman"/>
          <w:bCs/>
          <w:szCs w:val="24"/>
          <w:u w:val="single"/>
        </w:rPr>
        <w:t xml:space="preserve"> </w:t>
      </w:r>
      <w:r w:rsidRPr="00BC79E3">
        <w:rPr>
          <w:rFonts w:ascii="Times New Roman" w:hAnsi="Times New Roman"/>
          <w:bCs/>
          <w:szCs w:val="24"/>
          <w:u w:val="single"/>
        </w:rPr>
        <w:t>substantial number of small entities:</w:t>
      </w:r>
    </w:p>
    <w:p w:rsidR="00731A90" w14:paraId="776281F4" w14:textId="77777777">
      <w:pPr>
        <w:ind w:left="1440"/>
        <w:rPr>
          <w:rFonts w:ascii="Times New Roman" w:hAnsi="Times New Roman"/>
        </w:rPr>
      </w:pPr>
    </w:p>
    <w:p w:rsidR="00731A90" w14:paraId="19206EAB" w14:textId="77777777">
      <w:pPr>
        <w:ind w:left="1440"/>
        <w:rPr>
          <w:rFonts w:ascii="Times New Roman" w:hAnsi="Times New Roman"/>
        </w:rPr>
      </w:pPr>
      <w:r>
        <w:rPr>
          <w:rFonts w:ascii="Times New Roman" w:hAnsi="Times New Roman"/>
        </w:rPr>
        <w:t xml:space="preserve">The information required is the minimum necessary for the FDIC to determine </w:t>
      </w:r>
      <w:r w:rsidR="00606638">
        <w:rPr>
          <w:rFonts w:ascii="Times New Roman" w:hAnsi="Times New Roman"/>
        </w:rPr>
        <w:t>the effect of these higher risk mortgages relating to the safety and soundness of the bank.</w:t>
      </w:r>
      <w:r>
        <w:rPr>
          <w:rFonts w:ascii="Times New Roman" w:hAnsi="Times New Roman"/>
        </w:rPr>
        <w:t xml:space="preserve"> </w:t>
      </w:r>
    </w:p>
    <w:p w:rsidR="00731A90" w14:paraId="0C4267DF" w14:textId="77777777">
      <w:pPr>
        <w:rPr>
          <w:rFonts w:ascii="Times New Roman" w:hAnsi="Times New Roman"/>
        </w:rPr>
      </w:pPr>
    </w:p>
    <w:p w:rsidR="00731A90" w:rsidP="00EA72EA" w14:paraId="6A979001" w14:textId="77777777">
      <w:pPr>
        <w:numPr>
          <w:ilvl w:val="0"/>
          <w:numId w:val="11"/>
        </w:numPr>
        <w:tabs>
          <w:tab w:val="left" w:pos="-1620"/>
        </w:tabs>
        <w:ind w:left="1440" w:hanging="720"/>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14:paraId="537C66D4" w14:textId="77777777">
      <w:pPr>
        <w:rPr>
          <w:rFonts w:ascii="Times New Roman" w:hAnsi="Times New Roman"/>
        </w:rPr>
      </w:pPr>
    </w:p>
    <w:p w:rsidR="00731A90" w:rsidP="00C14FA6" w14:paraId="6681C581" w14:textId="77777777">
      <w:pPr>
        <w:ind w:left="1440"/>
        <w:rPr>
          <w:rFonts w:ascii="Times New Roman" w:hAnsi="Times New Roman"/>
        </w:rPr>
      </w:pPr>
      <w:r w:rsidRPr="00373ED8">
        <w:rPr>
          <w:rFonts w:ascii="Times New Roman" w:hAnsi="Times New Roman"/>
        </w:rPr>
        <w:t xml:space="preserve">The information </w:t>
      </w:r>
      <w:r>
        <w:rPr>
          <w:rFonts w:ascii="Times New Roman" w:hAnsi="Times New Roman"/>
        </w:rPr>
        <w:t>is needed t</w:t>
      </w:r>
      <w:r w:rsidRPr="00373ED8">
        <w:rPr>
          <w:rFonts w:ascii="Times New Roman" w:hAnsi="Times New Roman"/>
        </w:rPr>
        <w:t xml:space="preserve">o protect consumers and promotes the safety and soundness of creditors making higher-risk mortgage loans.  </w:t>
      </w:r>
      <w:r w:rsidR="00AF79FB">
        <w:rPr>
          <w:rFonts w:ascii="Times New Roman" w:hAnsi="Times New Roman"/>
        </w:rPr>
        <w:t>Less frequent collection would violate a statutory requirement.</w:t>
      </w:r>
    </w:p>
    <w:p w:rsidR="007F0C94" w:rsidP="00C14FA6" w14:paraId="1B82D4AF" w14:textId="77777777">
      <w:pPr>
        <w:ind w:left="1440"/>
        <w:rPr>
          <w:rFonts w:ascii="Times New Roman" w:hAnsi="Times New Roman"/>
        </w:rPr>
      </w:pPr>
    </w:p>
    <w:p w:rsidR="00D807AF" w:rsidRPr="001F2A5D" w:rsidP="00EA72EA" w14:paraId="052609DB" w14:textId="77777777">
      <w:pPr>
        <w:numPr>
          <w:ilvl w:val="0"/>
          <w:numId w:val="11"/>
        </w:numPr>
        <w:ind w:left="1440" w:hanging="720"/>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14:paraId="1F54C697" w14:textId="77777777">
      <w:pPr>
        <w:rPr>
          <w:rFonts w:ascii="Times New Roman" w:hAnsi="Times New Roman"/>
        </w:rPr>
      </w:pPr>
    </w:p>
    <w:p w:rsidR="00D807AF" w:rsidRPr="001F2A5D" w:rsidP="00D807AF" w14:paraId="125352E5" w14:textId="77777777">
      <w:pPr>
        <w:pStyle w:val="BodyTextIndent"/>
        <w:ind w:left="1440"/>
        <w:rPr>
          <w:szCs w:val="24"/>
        </w:rPr>
      </w:pPr>
      <w:r w:rsidRPr="008873E8">
        <w:rPr>
          <w:szCs w:val="24"/>
        </w:rPr>
        <w:t>There are no special circumstances. This information collection is conducted in accordance with the guidelines in 5 CFR 1320.5(d)(2).</w:t>
      </w:r>
      <w:r w:rsidRPr="001F2A5D">
        <w:rPr>
          <w:szCs w:val="24"/>
        </w:rPr>
        <w:t xml:space="preserve"> </w:t>
      </w:r>
    </w:p>
    <w:p w:rsidR="00731A90" w14:paraId="219FCBF9" w14:textId="77777777">
      <w:pPr>
        <w:rPr>
          <w:rFonts w:ascii="Times New Roman" w:hAnsi="Times New Roman"/>
        </w:rPr>
      </w:pPr>
    </w:p>
    <w:p w:rsidR="00D807AF" w:rsidRPr="001F2A5D" w:rsidP="00EA72EA" w14:paraId="0A60CC74" w14:textId="77777777">
      <w:pPr>
        <w:numPr>
          <w:ilvl w:val="0"/>
          <w:numId w:val="11"/>
        </w:numPr>
        <w:rPr>
          <w:rFonts w:ascii="Times New Roman" w:hAnsi="Times New Roman"/>
          <w:szCs w:val="24"/>
        </w:rPr>
      </w:pPr>
      <w:r w:rsidRPr="008873E8">
        <w:rPr>
          <w:rFonts w:ascii="Times New Roman" w:hAnsi="Times New Roman"/>
          <w:bCs/>
          <w:szCs w:val="24"/>
          <w:u w:val="single"/>
        </w:rPr>
        <w:t xml:space="preserve">Efforts to consult with </w:t>
      </w:r>
      <w:r w:rsidRPr="008873E8">
        <w:rPr>
          <w:rFonts w:ascii="Times New Roman" w:hAnsi="Times New Roman"/>
          <w:bCs/>
          <w:szCs w:val="24"/>
          <w:u w:val="single"/>
        </w:rPr>
        <w:t>persons</w:t>
      </w:r>
      <w:r w:rsidRPr="008873E8">
        <w:rPr>
          <w:rFonts w:ascii="Times New Roman" w:hAnsi="Times New Roman"/>
          <w:bCs/>
          <w:szCs w:val="24"/>
          <w:u w:val="single"/>
        </w:rPr>
        <w:t xml:space="preserve"> outside the agency:</w:t>
      </w:r>
    </w:p>
    <w:p w:rsidR="00731A90" w:rsidP="00D807AF" w14:paraId="3E902C12" w14:textId="77777777">
      <w:pPr>
        <w:ind w:firstLine="720"/>
        <w:rPr>
          <w:rFonts w:ascii="Times New Roman" w:hAnsi="Times New Roman"/>
        </w:rPr>
      </w:pPr>
    </w:p>
    <w:p w:rsidR="00731A90" w:rsidP="00DB04B6" w14:paraId="3BF795A4" w14:textId="21B5CEC6">
      <w:pPr>
        <w:widowControl/>
        <w:autoSpaceDE w:val="0"/>
        <w:autoSpaceDN w:val="0"/>
        <w:adjustRightInd w:val="0"/>
        <w:ind w:left="1440"/>
        <w:rPr>
          <w:rFonts w:ascii="Times New Roman" w:eastAsia="Calibri" w:hAnsi="Times New Roman"/>
          <w:snapToGrid/>
          <w:szCs w:val="24"/>
        </w:rPr>
      </w:pPr>
      <w:r w:rsidRPr="00E26256">
        <w:rPr>
          <w:rFonts w:ascii="Times New Roman" w:eastAsia="Calibri" w:hAnsi="Times New Roman"/>
          <w:snapToGrid/>
          <w:szCs w:val="24"/>
        </w:rPr>
        <w:t xml:space="preserve">On December 9, 2025, FDIC published a Federal Register notice seeking public comment for a 60-day period (90 FR 57049).  No comments were </w:t>
      </w:r>
      <w:r w:rsidRPr="00E26256">
        <w:rPr>
          <w:rFonts w:ascii="Times New Roman" w:eastAsia="Calibri" w:hAnsi="Times New Roman"/>
          <w:snapToGrid/>
          <w:szCs w:val="24"/>
        </w:rPr>
        <w:t>received.</w:t>
      </w:r>
      <w:r w:rsidRPr="000712DC" w:rsidR="00BD600C">
        <w:rPr>
          <w:rFonts w:ascii="Times New Roman" w:eastAsia="Calibri" w:hAnsi="Times New Roman"/>
          <w:snapToGrid/>
          <w:szCs w:val="24"/>
        </w:rPr>
        <w:t>.</w:t>
      </w:r>
      <w:r w:rsidRPr="000712DC" w:rsidR="00BD600C">
        <w:rPr>
          <w:rFonts w:ascii="Times New Roman" w:eastAsia="Calibri" w:hAnsi="Times New Roman"/>
          <w:snapToGrid/>
          <w:szCs w:val="24"/>
        </w:rPr>
        <w:t xml:space="preserve"> </w:t>
      </w:r>
    </w:p>
    <w:p w:rsidR="001E004B" w:rsidP="00DB04B6" w14:paraId="24348C05" w14:textId="77777777">
      <w:pPr>
        <w:widowControl/>
        <w:autoSpaceDE w:val="0"/>
        <w:autoSpaceDN w:val="0"/>
        <w:adjustRightInd w:val="0"/>
        <w:ind w:left="1440"/>
        <w:rPr>
          <w:rFonts w:ascii="Times New Roman" w:hAnsi="Times New Roman"/>
        </w:rPr>
      </w:pPr>
    </w:p>
    <w:p w:rsidR="00D807AF" w:rsidRPr="001F2A5D" w:rsidP="00EA72EA" w14:paraId="0EEC74AF" w14:textId="77777777">
      <w:pPr>
        <w:numPr>
          <w:ilvl w:val="0"/>
          <w:numId w:val="11"/>
        </w:numPr>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14:paraId="20452163" w14:textId="77777777">
      <w:pPr>
        <w:rPr>
          <w:rFonts w:ascii="Times New Roman" w:hAnsi="Times New Roman"/>
        </w:rPr>
      </w:pPr>
    </w:p>
    <w:p w:rsidR="00731A90" w14:paraId="171E9534" w14:textId="77777777">
      <w:pPr>
        <w:ind w:left="1440"/>
        <w:rPr>
          <w:rFonts w:ascii="Times New Roman" w:hAnsi="Times New Roman"/>
        </w:rPr>
      </w:pPr>
      <w:r>
        <w:rPr>
          <w:rFonts w:ascii="Times New Roman" w:hAnsi="Times New Roman"/>
        </w:rPr>
        <w:t xml:space="preserve">None. </w:t>
      </w:r>
    </w:p>
    <w:p w:rsidR="00731A90" w14:paraId="0B4EB540" w14:textId="77777777">
      <w:pPr>
        <w:rPr>
          <w:rFonts w:ascii="Times New Roman" w:hAnsi="Times New Roman"/>
        </w:rPr>
      </w:pPr>
    </w:p>
    <w:p w:rsidR="00731A90" w:rsidP="00EA72EA" w14:paraId="658C050E" w14:textId="77777777">
      <w:pPr>
        <w:numPr>
          <w:ilvl w:val="0"/>
          <w:numId w:val="11"/>
        </w:numPr>
        <w:rPr>
          <w:rFonts w:ascii="Times New Roman" w:hAnsi="Times New Roman"/>
        </w:rPr>
      </w:pPr>
      <w:r w:rsidRPr="00647F97">
        <w:rPr>
          <w:rFonts w:ascii="Times New Roman TUR" w:hAnsi="Times New Roman TUR" w:cs="Times New Roman TUR"/>
          <w:bCs/>
          <w:u w:val="single"/>
        </w:rPr>
        <w:t>Any assurance of confidentiality:</w:t>
      </w:r>
    </w:p>
    <w:p w:rsidR="00731A90" w14:paraId="47AADBC1" w14:textId="77777777">
      <w:pPr>
        <w:rPr>
          <w:rFonts w:ascii="Times New Roman" w:hAnsi="Times New Roman"/>
        </w:rPr>
      </w:pPr>
    </w:p>
    <w:p w:rsidR="00731A90" w:rsidRPr="00E5596D" w14:paraId="00BD43A6" w14:textId="77777777">
      <w:pPr>
        <w:rPr>
          <w:rFonts w:ascii="Times New Roman" w:hAnsi="Times New Roman"/>
        </w:rPr>
      </w:pPr>
      <w:r>
        <w:rPr>
          <w:rFonts w:ascii="Times New Roman" w:hAnsi="Times New Roman"/>
        </w:rPr>
        <w:tab/>
      </w:r>
      <w:r>
        <w:rPr>
          <w:rFonts w:ascii="Times New Roman" w:hAnsi="Times New Roman"/>
        </w:rPr>
        <w:tab/>
      </w:r>
      <w:r w:rsidR="000712DC">
        <w:rPr>
          <w:rFonts w:ascii="Times New Roman" w:hAnsi="Times New Roman"/>
        </w:rPr>
        <w:t>Information collected will be kept private to the extent allowed by law.</w:t>
      </w:r>
    </w:p>
    <w:p w:rsidR="00E5596D" w:rsidRPr="00E5596D" w14:paraId="77D8E42F" w14:textId="77777777">
      <w:pPr>
        <w:rPr>
          <w:rFonts w:ascii="Times New Roman" w:hAnsi="Times New Roman"/>
        </w:rPr>
      </w:pPr>
    </w:p>
    <w:p w:rsidR="00731A90" w:rsidP="00EA72EA" w14:paraId="56B6D7B5" w14:textId="77777777">
      <w:pPr>
        <w:numPr>
          <w:ilvl w:val="0"/>
          <w:numId w:val="11"/>
        </w:numPr>
        <w:rPr>
          <w:rFonts w:ascii="Times New Roman" w:hAnsi="Times New Roman"/>
        </w:rPr>
      </w:pPr>
      <w:r w:rsidRPr="00647F97">
        <w:rPr>
          <w:rFonts w:ascii="Times New Roman TUR" w:hAnsi="Times New Roman TUR" w:cs="Times New Roman TUR"/>
          <w:bCs/>
          <w:u w:val="single"/>
        </w:rPr>
        <w:t>Justification for questions of a sensitive nature:</w:t>
      </w:r>
    </w:p>
    <w:p w:rsidR="00731A90" w14:paraId="3F7E3111" w14:textId="77777777">
      <w:pPr>
        <w:rPr>
          <w:rFonts w:ascii="Times New Roman" w:hAnsi="Times New Roman"/>
        </w:rPr>
      </w:pPr>
    </w:p>
    <w:p w:rsidR="00731A90" w14:paraId="672D2BBF" w14:textId="77777777">
      <w:pPr>
        <w:ind w:left="1440"/>
        <w:rPr>
          <w:rFonts w:ascii="Times New Roman" w:hAnsi="Times New Roman"/>
        </w:rPr>
      </w:pPr>
      <w:r>
        <w:rPr>
          <w:rFonts w:ascii="Times New Roman" w:hAnsi="Times New Roman"/>
        </w:rPr>
        <w:t xml:space="preserve">No information of a sensitive nature is </w:t>
      </w:r>
      <w:r w:rsidR="00BC79E3">
        <w:rPr>
          <w:rFonts w:ascii="Times New Roman" w:hAnsi="Times New Roman"/>
        </w:rPr>
        <w:t>collected.</w:t>
      </w:r>
      <w:r>
        <w:rPr>
          <w:rFonts w:ascii="Times New Roman" w:hAnsi="Times New Roman"/>
        </w:rPr>
        <w:t xml:space="preserve"> </w:t>
      </w:r>
    </w:p>
    <w:p w:rsidR="00731A90" w14:paraId="4AF41EAB" w14:textId="77777777">
      <w:pPr>
        <w:rPr>
          <w:rFonts w:ascii="Times New Roman" w:hAnsi="Times New Roman"/>
        </w:rPr>
      </w:pPr>
    </w:p>
    <w:p w:rsidR="00731A90" w:rsidP="00EA72EA" w14:paraId="12496FA0" w14:textId="77777777">
      <w:pPr>
        <w:numPr>
          <w:ilvl w:val="0"/>
          <w:numId w:val="11"/>
        </w:numPr>
        <w:rPr>
          <w:rFonts w:ascii="Times New Roman" w:hAnsi="Times New Roman"/>
          <w:szCs w:val="24"/>
          <w:u w:val="single"/>
        </w:rPr>
      </w:pPr>
      <w:r w:rsidRPr="008F53AC">
        <w:rPr>
          <w:rFonts w:ascii="Times New Roman" w:hAnsi="Times New Roman"/>
          <w:szCs w:val="24"/>
          <w:u w:val="single"/>
        </w:rPr>
        <w:t>Estimate of hour burden including annualized hourly costs:</w:t>
      </w:r>
    </w:p>
    <w:p w:rsidR="00AF79FB" w:rsidP="00AF79FB" w14:paraId="264BF703" w14:textId="77777777">
      <w:pPr>
        <w:ind w:left="1080"/>
        <w:rPr>
          <w:rFonts w:ascii="Times New Roman" w:hAnsi="Times New Roman"/>
          <w:szCs w:val="24"/>
          <w:u w:val="single"/>
        </w:rPr>
      </w:pPr>
    </w:p>
    <w:p w:rsidR="00AF79FB" w:rsidRPr="00AF79FB" w:rsidP="00AF79FB" w14:paraId="4B4FF62C" w14:textId="77777777">
      <w:pPr>
        <w:ind w:left="1080"/>
        <w:rPr>
          <w:rFonts w:ascii="Times New Roman" w:hAnsi="Times New Roman"/>
          <w:i/>
          <w:szCs w:val="24"/>
        </w:rPr>
      </w:pPr>
      <w:r w:rsidRPr="00AF79FB">
        <w:rPr>
          <w:rFonts w:ascii="Times New Roman" w:hAnsi="Times New Roman"/>
          <w:i/>
          <w:szCs w:val="24"/>
        </w:rPr>
        <w:t>Estimated Annual Burden</w:t>
      </w:r>
    </w:p>
    <w:p w:rsidR="00C12827" w14:paraId="55A3C5C8" w14:textId="7B8F672C">
      <w:pPr>
        <w:widowControl/>
        <w:rPr>
          <w:rFonts w:ascii="Times New Roman" w:hAnsi="Times New Roman"/>
        </w:rPr>
      </w:pPr>
      <w:r>
        <w:rPr>
          <w:rFonts w:ascii="Times New Roman" w:hAnsi="Times New Roman"/>
        </w:rPr>
        <w:br w:type="page"/>
      </w:r>
    </w:p>
    <w:p w:rsidR="00C96990" w14:paraId="4775F600" w14:textId="77777777">
      <w:pPr>
        <w:ind w:firstLine="720"/>
        <w:rPr>
          <w:rFonts w:ascii="Times New Roman" w:hAnsi="Times New Roman"/>
        </w:rPr>
      </w:pPr>
    </w:p>
    <w:tbl>
      <w:tblPr>
        <w:tblW w:w="10300" w:type="dxa"/>
        <w:tblCellMar>
          <w:top w:w="15" w:type="dxa"/>
        </w:tblCellMar>
        <w:tblLook w:val="04A0"/>
      </w:tblPr>
      <w:tblGrid>
        <w:gridCol w:w="2639"/>
        <w:gridCol w:w="1728"/>
        <w:gridCol w:w="1379"/>
        <w:gridCol w:w="1840"/>
        <w:gridCol w:w="1227"/>
        <w:gridCol w:w="1241"/>
        <w:gridCol w:w="246"/>
      </w:tblGrid>
      <w:tr w14:paraId="742432D2" w14:textId="77777777" w:rsidTr="00D219BD">
        <w:tblPrEx>
          <w:tblW w:w="10300" w:type="dxa"/>
          <w:tblCellMar>
            <w:top w:w="15" w:type="dxa"/>
          </w:tblCellMar>
          <w:tblLook w:val="04A0"/>
        </w:tblPrEx>
        <w:trPr>
          <w:gridAfter w:val="1"/>
          <w:wAfter w:w="246" w:type="dxa"/>
          <w:trHeight w:val="372"/>
        </w:trPr>
        <w:tc>
          <w:tcPr>
            <w:tcW w:w="10054" w:type="dxa"/>
            <w:gridSpan w:val="6"/>
            <w:tcBorders>
              <w:top w:val="single" w:sz="8" w:space="0" w:color="auto"/>
              <w:left w:val="single" w:sz="8" w:space="0" w:color="auto"/>
              <w:bottom w:val="single" w:sz="8" w:space="0" w:color="auto"/>
              <w:right w:val="single" w:sz="8" w:space="0" w:color="000000"/>
            </w:tcBorders>
            <w:vAlign w:val="center"/>
            <w:hideMark/>
          </w:tcPr>
          <w:p w:rsidR="00C12827" w:rsidRPr="00C12827" w:rsidP="002101D0" w14:paraId="1814E1B9" w14:textId="136B30F3">
            <w:pPr>
              <w:jc w:val="center"/>
              <w:rPr>
                <w:rFonts w:ascii="Times New Roman" w:hAnsi="Times New Roman"/>
                <w:color w:val="000000"/>
                <w:szCs w:val="24"/>
              </w:rPr>
            </w:pPr>
            <w:r w:rsidRPr="00C12827">
              <w:rPr>
                <w:rFonts w:ascii="Times New Roman" w:hAnsi="Times New Roman"/>
                <w:color w:val="000000"/>
                <w:szCs w:val="24"/>
              </w:rPr>
              <w:t>Summary of Estimated Annual Burden (OMB No. 3064-0188)</w:t>
            </w:r>
          </w:p>
        </w:tc>
      </w:tr>
      <w:tr w14:paraId="1C036C46" w14:textId="77777777" w:rsidTr="00D219BD">
        <w:tblPrEx>
          <w:tblW w:w="10300" w:type="dxa"/>
          <w:tblCellMar>
            <w:top w:w="15" w:type="dxa"/>
          </w:tblCellMar>
          <w:tblLook w:val="04A0"/>
        </w:tblPrEx>
        <w:trPr>
          <w:gridAfter w:val="1"/>
          <w:wAfter w:w="249" w:type="dxa"/>
          <w:trHeight w:val="1178"/>
        </w:trPr>
        <w:tc>
          <w:tcPr>
            <w:tcW w:w="2639" w:type="dxa"/>
            <w:tcBorders>
              <w:top w:val="nil"/>
              <w:left w:val="single" w:sz="8" w:space="0" w:color="auto"/>
              <w:bottom w:val="single" w:sz="8" w:space="0" w:color="auto"/>
              <w:right w:val="single" w:sz="8" w:space="0" w:color="auto"/>
            </w:tcBorders>
            <w:vAlign w:val="center"/>
            <w:hideMark/>
          </w:tcPr>
          <w:p w:rsidR="00C12827" w:rsidRPr="00C12827" w:rsidP="002101D0" w14:paraId="2BBEA078" w14:textId="77777777">
            <w:pPr>
              <w:rPr>
                <w:rFonts w:ascii="Times New Roman" w:hAnsi="Times New Roman"/>
                <w:color w:val="000000"/>
                <w:sz w:val="20"/>
              </w:rPr>
            </w:pPr>
            <w:r w:rsidRPr="00C12827">
              <w:rPr>
                <w:rFonts w:ascii="Times New Roman" w:hAnsi="Times New Roman"/>
                <w:color w:val="000000"/>
                <w:sz w:val="20"/>
              </w:rPr>
              <w:t>Information Collection (IC) (Obligation to Respond)</w:t>
            </w:r>
          </w:p>
        </w:tc>
        <w:tc>
          <w:tcPr>
            <w:tcW w:w="1728" w:type="dxa"/>
            <w:tcBorders>
              <w:top w:val="nil"/>
              <w:left w:val="nil"/>
              <w:bottom w:val="single" w:sz="8" w:space="0" w:color="auto"/>
              <w:right w:val="single" w:sz="8" w:space="0" w:color="auto"/>
            </w:tcBorders>
            <w:vAlign w:val="center"/>
            <w:hideMark/>
          </w:tcPr>
          <w:p w:rsidR="00C12827" w:rsidRPr="00C12827" w:rsidP="002101D0" w14:paraId="4B1EF0F0" w14:textId="77777777">
            <w:pPr>
              <w:jc w:val="center"/>
              <w:rPr>
                <w:rFonts w:ascii="Times New Roman" w:hAnsi="Times New Roman"/>
                <w:color w:val="000000"/>
                <w:sz w:val="20"/>
              </w:rPr>
            </w:pPr>
            <w:r w:rsidRPr="00C12827">
              <w:rPr>
                <w:rFonts w:ascii="Times New Roman" w:hAnsi="Times New Roman"/>
                <w:color w:val="000000"/>
                <w:sz w:val="20"/>
              </w:rPr>
              <w:t>Type of Burden</w:t>
            </w:r>
            <w:r w:rsidRPr="00C12827">
              <w:rPr>
                <w:rFonts w:ascii="Times New Roman" w:hAnsi="Times New Roman"/>
                <w:color w:val="000000"/>
                <w:sz w:val="20"/>
              </w:rPr>
              <w:br/>
              <w:t>(Frequency of Response)</w:t>
            </w:r>
          </w:p>
        </w:tc>
        <w:tc>
          <w:tcPr>
            <w:tcW w:w="1379" w:type="dxa"/>
            <w:tcBorders>
              <w:top w:val="nil"/>
              <w:left w:val="nil"/>
              <w:bottom w:val="single" w:sz="8" w:space="0" w:color="auto"/>
              <w:right w:val="single" w:sz="8" w:space="0" w:color="auto"/>
            </w:tcBorders>
            <w:vAlign w:val="center"/>
            <w:hideMark/>
          </w:tcPr>
          <w:p w:rsidR="00C12827" w:rsidRPr="00C12827" w:rsidP="002101D0" w14:paraId="7D0DFCC1" w14:textId="77777777">
            <w:pPr>
              <w:jc w:val="center"/>
              <w:rPr>
                <w:rFonts w:ascii="Times New Roman" w:hAnsi="Times New Roman"/>
                <w:color w:val="000000"/>
                <w:sz w:val="20"/>
              </w:rPr>
            </w:pPr>
            <w:r w:rsidRPr="00C12827">
              <w:rPr>
                <w:rFonts w:ascii="Times New Roman" w:hAnsi="Times New Roman"/>
                <w:color w:val="000000"/>
                <w:sz w:val="20"/>
              </w:rPr>
              <w:t xml:space="preserve"> Number of Respondents</w:t>
            </w:r>
          </w:p>
        </w:tc>
        <w:tc>
          <w:tcPr>
            <w:tcW w:w="1840" w:type="dxa"/>
            <w:tcBorders>
              <w:top w:val="nil"/>
              <w:left w:val="nil"/>
              <w:bottom w:val="single" w:sz="8" w:space="0" w:color="auto"/>
              <w:right w:val="single" w:sz="8" w:space="0" w:color="auto"/>
            </w:tcBorders>
            <w:vAlign w:val="center"/>
            <w:hideMark/>
          </w:tcPr>
          <w:p w:rsidR="00C12827" w:rsidRPr="00C12827" w:rsidP="002101D0" w14:paraId="1CA66297" w14:textId="77777777">
            <w:pPr>
              <w:jc w:val="center"/>
              <w:rPr>
                <w:rFonts w:ascii="Times New Roman" w:hAnsi="Times New Roman"/>
                <w:color w:val="000000"/>
                <w:sz w:val="20"/>
              </w:rPr>
            </w:pPr>
            <w:r w:rsidRPr="00C12827">
              <w:rPr>
                <w:rFonts w:ascii="Times New Roman" w:hAnsi="Times New Roman"/>
                <w:color w:val="000000"/>
                <w:sz w:val="20"/>
              </w:rPr>
              <w:t xml:space="preserve"> Number of Responses per Respondent</w:t>
            </w:r>
          </w:p>
        </w:tc>
        <w:tc>
          <w:tcPr>
            <w:tcW w:w="1224" w:type="dxa"/>
            <w:tcBorders>
              <w:top w:val="nil"/>
              <w:left w:val="nil"/>
              <w:bottom w:val="single" w:sz="8" w:space="0" w:color="auto"/>
              <w:right w:val="single" w:sz="8" w:space="0" w:color="auto"/>
            </w:tcBorders>
            <w:vAlign w:val="center"/>
            <w:hideMark/>
          </w:tcPr>
          <w:p w:rsidR="00C12827" w:rsidRPr="00C12827" w:rsidP="002101D0" w14:paraId="3620F2AE" w14:textId="77777777">
            <w:pPr>
              <w:jc w:val="center"/>
              <w:rPr>
                <w:rFonts w:ascii="Times New Roman" w:hAnsi="Times New Roman"/>
                <w:color w:val="000000"/>
                <w:sz w:val="20"/>
              </w:rPr>
            </w:pPr>
            <w:r w:rsidRPr="00C12827">
              <w:rPr>
                <w:rFonts w:ascii="Times New Roman" w:hAnsi="Times New Roman"/>
                <w:color w:val="000000"/>
                <w:sz w:val="20"/>
              </w:rPr>
              <w:t>Average Time per Response (HH:MM)</w:t>
            </w:r>
          </w:p>
        </w:tc>
        <w:tc>
          <w:tcPr>
            <w:tcW w:w="1241" w:type="dxa"/>
            <w:tcBorders>
              <w:top w:val="nil"/>
              <w:left w:val="nil"/>
              <w:bottom w:val="single" w:sz="8" w:space="0" w:color="auto"/>
              <w:right w:val="single" w:sz="8" w:space="0" w:color="auto"/>
            </w:tcBorders>
            <w:vAlign w:val="center"/>
            <w:hideMark/>
          </w:tcPr>
          <w:p w:rsidR="00C12827" w:rsidRPr="00C12827" w:rsidP="002101D0" w14:paraId="290ABD0D" w14:textId="77777777">
            <w:pPr>
              <w:jc w:val="center"/>
              <w:rPr>
                <w:rFonts w:ascii="Times New Roman" w:hAnsi="Times New Roman"/>
                <w:color w:val="000000"/>
                <w:sz w:val="20"/>
              </w:rPr>
            </w:pPr>
            <w:r w:rsidRPr="00C12827">
              <w:rPr>
                <w:rFonts w:ascii="Times New Roman" w:hAnsi="Times New Roman"/>
                <w:color w:val="000000"/>
                <w:sz w:val="20"/>
              </w:rPr>
              <w:t>Annual Burden (Hours)</w:t>
            </w:r>
          </w:p>
        </w:tc>
      </w:tr>
      <w:tr w14:paraId="33E87FC1" w14:textId="77777777" w:rsidTr="00D219BD">
        <w:tblPrEx>
          <w:tblW w:w="10300" w:type="dxa"/>
          <w:tblCellMar>
            <w:top w:w="15" w:type="dxa"/>
          </w:tblCellMar>
          <w:tblLook w:val="04A0"/>
        </w:tblPrEx>
        <w:trPr>
          <w:gridAfter w:val="1"/>
          <w:wAfter w:w="249" w:type="dxa"/>
          <w:trHeight w:val="1411"/>
        </w:trPr>
        <w:tc>
          <w:tcPr>
            <w:tcW w:w="2639" w:type="dxa"/>
            <w:tcBorders>
              <w:top w:val="nil"/>
              <w:left w:val="single" w:sz="8" w:space="0" w:color="auto"/>
              <w:bottom w:val="single" w:sz="8" w:space="0" w:color="auto"/>
              <w:right w:val="single" w:sz="8" w:space="0" w:color="auto"/>
            </w:tcBorders>
            <w:vAlign w:val="center"/>
            <w:hideMark/>
          </w:tcPr>
          <w:p w:rsidR="00C12827" w:rsidRPr="00C12827" w:rsidP="002101D0" w14:paraId="4A5D7705" w14:textId="77777777">
            <w:pPr>
              <w:rPr>
                <w:rFonts w:ascii="Times New Roman" w:hAnsi="Times New Roman"/>
                <w:color w:val="000000"/>
                <w:sz w:val="20"/>
              </w:rPr>
            </w:pPr>
            <w:r w:rsidRPr="00C12827">
              <w:rPr>
                <w:rFonts w:ascii="Times New Roman" w:hAnsi="Times New Roman"/>
                <w:color w:val="000000"/>
                <w:sz w:val="20"/>
              </w:rPr>
              <w:t>1. Disclose to applicant that the IDI may obtain an appraisal for the property, 12 CFR Part 1026.35(c)(5)(i)</w:t>
            </w:r>
            <w:r w:rsidRPr="00C12827">
              <w:rPr>
                <w:rFonts w:ascii="Times New Roman" w:hAnsi="Times New Roman"/>
                <w:color w:val="000000"/>
                <w:sz w:val="20"/>
              </w:rPr>
              <w:br/>
              <w:t>(Mandatory)</w:t>
            </w:r>
          </w:p>
        </w:tc>
        <w:tc>
          <w:tcPr>
            <w:tcW w:w="1728" w:type="dxa"/>
            <w:tcBorders>
              <w:top w:val="nil"/>
              <w:left w:val="nil"/>
              <w:bottom w:val="single" w:sz="8" w:space="0" w:color="auto"/>
              <w:right w:val="single" w:sz="8" w:space="0" w:color="auto"/>
            </w:tcBorders>
            <w:vAlign w:val="center"/>
            <w:hideMark/>
          </w:tcPr>
          <w:p w:rsidR="00C12827" w:rsidRPr="00C12827" w:rsidP="002101D0" w14:paraId="7EABE07E" w14:textId="77777777">
            <w:pPr>
              <w:jc w:val="center"/>
              <w:rPr>
                <w:rFonts w:ascii="Times New Roman" w:hAnsi="Times New Roman"/>
                <w:color w:val="000000"/>
                <w:sz w:val="20"/>
              </w:rPr>
            </w:pPr>
            <w:r w:rsidRPr="00C12827">
              <w:rPr>
                <w:rFonts w:ascii="Times New Roman" w:hAnsi="Times New Roman"/>
                <w:color w:val="000000"/>
                <w:sz w:val="20"/>
              </w:rPr>
              <w:t>Disclosure</w:t>
            </w:r>
            <w:r w:rsidRPr="00C12827">
              <w:rPr>
                <w:rFonts w:ascii="Times New Roman" w:hAnsi="Times New Roman"/>
                <w:color w:val="000000"/>
                <w:sz w:val="20"/>
              </w:rPr>
              <w:br/>
              <w:t>(On Occasion)</w:t>
            </w:r>
          </w:p>
        </w:tc>
        <w:tc>
          <w:tcPr>
            <w:tcW w:w="1379" w:type="dxa"/>
            <w:tcBorders>
              <w:top w:val="nil"/>
              <w:left w:val="nil"/>
              <w:bottom w:val="single" w:sz="8" w:space="0" w:color="auto"/>
              <w:right w:val="single" w:sz="8" w:space="0" w:color="auto"/>
            </w:tcBorders>
            <w:noWrap/>
            <w:vAlign w:val="center"/>
            <w:hideMark/>
          </w:tcPr>
          <w:p w:rsidR="00C12827" w:rsidRPr="00C12827" w:rsidP="002101D0" w14:paraId="22D02E46" w14:textId="77777777">
            <w:pPr>
              <w:jc w:val="right"/>
              <w:rPr>
                <w:rFonts w:ascii="Times New Roman" w:hAnsi="Times New Roman"/>
                <w:color w:val="000000"/>
                <w:sz w:val="20"/>
              </w:rPr>
            </w:pPr>
            <w:r w:rsidRPr="00C12827">
              <w:rPr>
                <w:rFonts w:ascii="Times New Roman" w:hAnsi="Times New Roman"/>
                <w:color w:val="000000"/>
                <w:sz w:val="20"/>
              </w:rPr>
              <w:t>2,743</w:t>
            </w:r>
          </w:p>
        </w:tc>
        <w:tc>
          <w:tcPr>
            <w:tcW w:w="1840" w:type="dxa"/>
            <w:tcBorders>
              <w:top w:val="nil"/>
              <w:left w:val="nil"/>
              <w:bottom w:val="single" w:sz="8" w:space="0" w:color="auto"/>
              <w:right w:val="single" w:sz="8" w:space="0" w:color="auto"/>
            </w:tcBorders>
            <w:noWrap/>
            <w:vAlign w:val="center"/>
            <w:hideMark/>
          </w:tcPr>
          <w:p w:rsidR="00C12827" w:rsidRPr="00C12827" w:rsidP="002101D0" w14:paraId="278BE782" w14:textId="77777777">
            <w:pPr>
              <w:jc w:val="right"/>
              <w:rPr>
                <w:rFonts w:ascii="Times New Roman" w:hAnsi="Times New Roman"/>
                <w:color w:val="000000"/>
                <w:sz w:val="20"/>
              </w:rPr>
            </w:pPr>
            <w:r w:rsidRPr="00C12827">
              <w:rPr>
                <w:rFonts w:ascii="Times New Roman" w:hAnsi="Times New Roman"/>
                <w:color w:val="000000"/>
                <w:sz w:val="20"/>
              </w:rPr>
              <w:t>10.25</w:t>
            </w:r>
          </w:p>
        </w:tc>
        <w:tc>
          <w:tcPr>
            <w:tcW w:w="1224" w:type="dxa"/>
            <w:tcBorders>
              <w:top w:val="nil"/>
              <w:left w:val="nil"/>
              <w:bottom w:val="single" w:sz="8" w:space="0" w:color="auto"/>
              <w:right w:val="nil"/>
            </w:tcBorders>
            <w:vAlign w:val="center"/>
            <w:hideMark/>
          </w:tcPr>
          <w:p w:rsidR="00C12827" w:rsidRPr="00C12827" w:rsidP="002101D0" w14:paraId="3D3D22EB" w14:textId="77777777">
            <w:pPr>
              <w:jc w:val="right"/>
              <w:rPr>
                <w:rFonts w:ascii="Times New Roman" w:hAnsi="Times New Roman"/>
                <w:color w:val="000000"/>
                <w:sz w:val="20"/>
              </w:rPr>
            </w:pPr>
            <w:r w:rsidRPr="00C12827">
              <w:rPr>
                <w:rFonts w:ascii="Times New Roman" w:hAnsi="Times New Roman"/>
                <w:color w:val="000000"/>
                <w:sz w:val="20"/>
              </w:rPr>
              <w:t>00:01</w:t>
            </w:r>
          </w:p>
        </w:tc>
        <w:tc>
          <w:tcPr>
            <w:tcW w:w="1241" w:type="dxa"/>
            <w:tcBorders>
              <w:top w:val="nil"/>
              <w:left w:val="single" w:sz="8" w:space="0" w:color="auto"/>
              <w:bottom w:val="single" w:sz="8" w:space="0" w:color="auto"/>
              <w:right w:val="single" w:sz="8" w:space="0" w:color="auto"/>
            </w:tcBorders>
            <w:noWrap/>
            <w:vAlign w:val="center"/>
            <w:hideMark/>
          </w:tcPr>
          <w:p w:rsidR="00C12827" w:rsidRPr="00C12827" w:rsidP="002101D0" w14:paraId="6D717027" w14:textId="77777777">
            <w:pPr>
              <w:jc w:val="right"/>
              <w:rPr>
                <w:rFonts w:ascii="Times New Roman" w:hAnsi="Times New Roman"/>
                <w:color w:val="000000"/>
                <w:sz w:val="20"/>
              </w:rPr>
            </w:pPr>
            <w:r w:rsidRPr="00C12827">
              <w:rPr>
                <w:rFonts w:ascii="Times New Roman" w:hAnsi="Times New Roman"/>
                <w:color w:val="000000"/>
                <w:sz w:val="20"/>
              </w:rPr>
              <w:t>469</w:t>
            </w:r>
          </w:p>
        </w:tc>
      </w:tr>
      <w:tr w14:paraId="19CFAEC8" w14:textId="77777777" w:rsidTr="00D219BD">
        <w:tblPrEx>
          <w:tblW w:w="10300" w:type="dxa"/>
          <w:tblCellMar>
            <w:top w:w="15" w:type="dxa"/>
          </w:tblCellMar>
          <w:tblLook w:val="04A0"/>
        </w:tblPrEx>
        <w:trPr>
          <w:gridAfter w:val="1"/>
          <w:wAfter w:w="249" w:type="dxa"/>
          <w:trHeight w:val="1132"/>
        </w:trPr>
        <w:tc>
          <w:tcPr>
            <w:tcW w:w="2639" w:type="dxa"/>
            <w:tcBorders>
              <w:top w:val="nil"/>
              <w:left w:val="single" w:sz="8" w:space="0" w:color="auto"/>
              <w:bottom w:val="single" w:sz="8" w:space="0" w:color="auto"/>
              <w:right w:val="single" w:sz="8" w:space="0" w:color="auto"/>
            </w:tcBorders>
            <w:vAlign w:val="center"/>
            <w:hideMark/>
          </w:tcPr>
          <w:p w:rsidR="00C12827" w:rsidRPr="00C12827" w:rsidP="002101D0" w14:paraId="7979E50E" w14:textId="77777777">
            <w:pPr>
              <w:rPr>
                <w:rFonts w:ascii="Times New Roman" w:hAnsi="Times New Roman"/>
                <w:color w:val="000000"/>
                <w:sz w:val="20"/>
              </w:rPr>
            </w:pPr>
            <w:r w:rsidRPr="00C12827">
              <w:rPr>
                <w:rFonts w:ascii="Times New Roman" w:hAnsi="Times New Roman"/>
                <w:color w:val="000000"/>
                <w:sz w:val="20"/>
              </w:rPr>
              <w:t>2. Provide copy of written appraisal to the consumer, 12 CFR Part 1026.35(c)(6)(i)</w:t>
            </w:r>
            <w:r w:rsidRPr="00C12827">
              <w:rPr>
                <w:rFonts w:ascii="Times New Roman" w:hAnsi="Times New Roman"/>
                <w:color w:val="000000"/>
                <w:sz w:val="20"/>
              </w:rPr>
              <w:br/>
              <w:t>(Mandatory)</w:t>
            </w:r>
          </w:p>
        </w:tc>
        <w:tc>
          <w:tcPr>
            <w:tcW w:w="1728" w:type="dxa"/>
            <w:tcBorders>
              <w:top w:val="nil"/>
              <w:left w:val="nil"/>
              <w:bottom w:val="single" w:sz="8" w:space="0" w:color="auto"/>
              <w:right w:val="single" w:sz="8" w:space="0" w:color="auto"/>
            </w:tcBorders>
            <w:vAlign w:val="center"/>
            <w:hideMark/>
          </w:tcPr>
          <w:p w:rsidR="00C12827" w:rsidRPr="00C12827" w:rsidP="002101D0" w14:paraId="54553109" w14:textId="77777777">
            <w:pPr>
              <w:jc w:val="center"/>
              <w:rPr>
                <w:rFonts w:ascii="Times New Roman" w:hAnsi="Times New Roman"/>
                <w:color w:val="000000"/>
                <w:sz w:val="20"/>
              </w:rPr>
            </w:pPr>
            <w:r w:rsidRPr="00C12827">
              <w:rPr>
                <w:rFonts w:ascii="Times New Roman" w:hAnsi="Times New Roman"/>
                <w:color w:val="000000"/>
                <w:sz w:val="20"/>
              </w:rPr>
              <w:t>Disclosure</w:t>
            </w:r>
            <w:r w:rsidRPr="00C12827">
              <w:rPr>
                <w:rFonts w:ascii="Times New Roman" w:hAnsi="Times New Roman"/>
                <w:color w:val="000000"/>
                <w:sz w:val="20"/>
              </w:rPr>
              <w:br/>
              <w:t>(On Occasion)</w:t>
            </w:r>
          </w:p>
        </w:tc>
        <w:tc>
          <w:tcPr>
            <w:tcW w:w="1379" w:type="dxa"/>
            <w:tcBorders>
              <w:top w:val="nil"/>
              <w:left w:val="nil"/>
              <w:bottom w:val="single" w:sz="8" w:space="0" w:color="auto"/>
              <w:right w:val="single" w:sz="8" w:space="0" w:color="auto"/>
            </w:tcBorders>
            <w:noWrap/>
            <w:vAlign w:val="center"/>
            <w:hideMark/>
          </w:tcPr>
          <w:p w:rsidR="00C12827" w:rsidRPr="00C12827" w:rsidP="002101D0" w14:paraId="63471649" w14:textId="77777777">
            <w:pPr>
              <w:jc w:val="right"/>
              <w:rPr>
                <w:rFonts w:ascii="Times New Roman" w:hAnsi="Times New Roman"/>
                <w:color w:val="000000"/>
                <w:sz w:val="20"/>
              </w:rPr>
            </w:pPr>
            <w:r w:rsidRPr="00C12827">
              <w:rPr>
                <w:rFonts w:ascii="Times New Roman" w:hAnsi="Times New Roman"/>
                <w:color w:val="000000"/>
                <w:sz w:val="20"/>
              </w:rPr>
              <w:t>2,743</w:t>
            </w:r>
          </w:p>
        </w:tc>
        <w:tc>
          <w:tcPr>
            <w:tcW w:w="1840" w:type="dxa"/>
            <w:tcBorders>
              <w:top w:val="nil"/>
              <w:left w:val="nil"/>
              <w:bottom w:val="single" w:sz="8" w:space="0" w:color="auto"/>
              <w:right w:val="single" w:sz="8" w:space="0" w:color="auto"/>
            </w:tcBorders>
            <w:noWrap/>
            <w:vAlign w:val="center"/>
            <w:hideMark/>
          </w:tcPr>
          <w:p w:rsidR="00C12827" w:rsidRPr="00C12827" w:rsidP="002101D0" w14:paraId="392EDD90" w14:textId="77777777">
            <w:pPr>
              <w:jc w:val="right"/>
              <w:rPr>
                <w:rFonts w:ascii="Times New Roman" w:hAnsi="Times New Roman"/>
                <w:color w:val="000000"/>
                <w:sz w:val="20"/>
              </w:rPr>
            </w:pPr>
            <w:r w:rsidRPr="00C12827">
              <w:rPr>
                <w:rFonts w:ascii="Times New Roman" w:hAnsi="Times New Roman"/>
                <w:color w:val="000000"/>
                <w:sz w:val="20"/>
              </w:rPr>
              <w:t>11.03</w:t>
            </w:r>
          </w:p>
        </w:tc>
        <w:tc>
          <w:tcPr>
            <w:tcW w:w="1224" w:type="dxa"/>
            <w:tcBorders>
              <w:top w:val="nil"/>
              <w:left w:val="nil"/>
              <w:bottom w:val="single" w:sz="8" w:space="0" w:color="auto"/>
              <w:right w:val="nil"/>
            </w:tcBorders>
            <w:vAlign w:val="center"/>
            <w:hideMark/>
          </w:tcPr>
          <w:p w:rsidR="00C12827" w:rsidRPr="00C12827" w:rsidP="002101D0" w14:paraId="55F6BE7E" w14:textId="77777777">
            <w:pPr>
              <w:jc w:val="right"/>
              <w:rPr>
                <w:rFonts w:ascii="Times New Roman" w:hAnsi="Times New Roman"/>
                <w:color w:val="000000"/>
                <w:sz w:val="20"/>
              </w:rPr>
            </w:pPr>
            <w:r w:rsidRPr="00C12827">
              <w:rPr>
                <w:rFonts w:ascii="Times New Roman" w:hAnsi="Times New Roman"/>
                <w:color w:val="000000"/>
                <w:sz w:val="20"/>
              </w:rPr>
              <w:t>00:08</w:t>
            </w:r>
          </w:p>
        </w:tc>
        <w:tc>
          <w:tcPr>
            <w:tcW w:w="1241" w:type="dxa"/>
            <w:tcBorders>
              <w:top w:val="nil"/>
              <w:left w:val="single" w:sz="8" w:space="0" w:color="auto"/>
              <w:bottom w:val="single" w:sz="8" w:space="0" w:color="auto"/>
              <w:right w:val="single" w:sz="8" w:space="0" w:color="auto"/>
            </w:tcBorders>
            <w:noWrap/>
            <w:vAlign w:val="center"/>
            <w:hideMark/>
          </w:tcPr>
          <w:p w:rsidR="00C12827" w:rsidRPr="00C12827" w:rsidP="002101D0" w14:paraId="75F6D82A" w14:textId="77777777">
            <w:pPr>
              <w:jc w:val="right"/>
              <w:rPr>
                <w:rFonts w:ascii="Times New Roman" w:hAnsi="Times New Roman"/>
                <w:color w:val="000000"/>
                <w:sz w:val="20"/>
              </w:rPr>
            </w:pPr>
            <w:r w:rsidRPr="00C12827">
              <w:rPr>
                <w:rFonts w:ascii="Times New Roman" w:hAnsi="Times New Roman"/>
                <w:color w:val="000000"/>
                <w:sz w:val="20"/>
              </w:rPr>
              <w:t>4,034</w:t>
            </w:r>
          </w:p>
        </w:tc>
      </w:tr>
      <w:tr w14:paraId="447AF177" w14:textId="77777777" w:rsidTr="00D219BD">
        <w:tblPrEx>
          <w:tblW w:w="10300" w:type="dxa"/>
          <w:tblCellMar>
            <w:top w:w="15" w:type="dxa"/>
          </w:tblCellMar>
          <w:tblLook w:val="04A0"/>
        </w:tblPrEx>
        <w:trPr>
          <w:gridAfter w:val="1"/>
          <w:wAfter w:w="249" w:type="dxa"/>
          <w:trHeight w:val="1768"/>
        </w:trPr>
        <w:tc>
          <w:tcPr>
            <w:tcW w:w="2639" w:type="dxa"/>
            <w:tcBorders>
              <w:top w:val="nil"/>
              <w:left w:val="single" w:sz="8" w:space="0" w:color="auto"/>
              <w:bottom w:val="single" w:sz="8" w:space="0" w:color="auto"/>
              <w:right w:val="single" w:sz="8" w:space="0" w:color="auto"/>
            </w:tcBorders>
            <w:vAlign w:val="center"/>
            <w:hideMark/>
          </w:tcPr>
          <w:p w:rsidR="00C12827" w:rsidRPr="00C12827" w:rsidP="002101D0" w14:paraId="4F70FB4F" w14:textId="77777777">
            <w:pPr>
              <w:rPr>
                <w:rFonts w:ascii="Times New Roman" w:hAnsi="Times New Roman"/>
                <w:color w:val="000000"/>
                <w:sz w:val="20"/>
              </w:rPr>
            </w:pPr>
            <w:r w:rsidRPr="00C12827">
              <w:rPr>
                <w:rFonts w:ascii="Times New Roman" w:hAnsi="Times New Roman"/>
                <w:color w:val="000000"/>
                <w:sz w:val="20"/>
              </w:rPr>
              <w:t>3. Provide documentation of property value to the consumer in lieu of an appraisal, 12 CFR Part 1026.35(c)(2)(viii)(B)</w:t>
            </w:r>
            <w:r w:rsidRPr="00C12827">
              <w:rPr>
                <w:rFonts w:ascii="Times New Roman" w:hAnsi="Times New Roman"/>
                <w:color w:val="000000"/>
                <w:sz w:val="20"/>
              </w:rPr>
              <w:br/>
              <w:t>(Mandatory)</w:t>
            </w:r>
          </w:p>
        </w:tc>
        <w:tc>
          <w:tcPr>
            <w:tcW w:w="1728" w:type="dxa"/>
            <w:tcBorders>
              <w:top w:val="nil"/>
              <w:left w:val="nil"/>
              <w:bottom w:val="single" w:sz="8" w:space="0" w:color="auto"/>
              <w:right w:val="single" w:sz="8" w:space="0" w:color="auto"/>
            </w:tcBorders>
            <w:vAlign w:val="center"/>
            <w:hideMark/>
          </w:tcPr>
          <w:p w:rsidR="00C12827" w:rsidRPr="00C12827" w:rsidP="002101D0" w14:paraId="3C65D892" w14:textId="77777777">
            <w:pPr>
              <w:jc w:val="center"/>
              <w:rPr>
                <w:rFonts w:ascii="Times New Roman" w:hAnsi="Times New Roman"/>
                <w:color w:val="000000"/>
                <w:sz w:val="20"/>
              </w:rPr>
            </w:pPr>
            <w:r w:rsidRPr="00C12827">
              <w:rPr>
                <w:rFonts w:ascii="Times New Roman" w:hAnsi="Times New Roman"/>
                <w:color w:val="000000"/>
                <w:sz w:val="20"/>
              </w:rPr>
              <w:t>Disclosure</w:t>
            </w:r>
            <w:r w:rsidRPr="00C12827">
              <w:rPr>
                <w:rFonts w:ascii="Times New Roman" w:hAnsi="Times New Roman"/>
                <w:color w:val="000000"/>
                <w:sz w:val="20"/>
              </w:rPr>
              <w:br/>
              <w:t>(On Occasion)</w:t>
            </w:r>
          </w:p>
        </w:tc>
        <w:tc>
          <w:tcPr>
            <w:tcW w:w="1379" w:type="dxa"/>
            <w:tcBorders>
              <w:top w:val="nil"/>
              <w:left w:val="nil"/>
              <w:bottom w:val="single" w:sz="8" w:space="0" w:color="auto"/>
              <w:right w:val="single" w:sz="8" w:space="0" w:color="auto"/>
            </w:tcBorders>
            <w:noWrap/>
            <w:vAlign w:val="center"/>
            <w:hideMark/>
          </w:tcPr>
          <w:p w:rsidR="00C12827" w:rsidRPr="00C12827" w:rsidP="002101D0" w14:paraId="2A322ED5" w14:textId="77777777">
            <w:pPr>
              <w:jc w:val="right"/>
              <w:rPr>
                <w:rFonts w:ascii="Times New Roman" w:hAnsi="Times New Roman"/>
                <w:color w:val="000000"/>
                <w:sz w:val="20"/>
              </w:rPr>
            </w:pPr>
            <w:r w:rsidRPr="00C12827">
              <w:rPr>
                <w:rFonts w:ascii="Times New Roman" w:hAnsi="Times New Roman"/>
                <w:color w:val="000000"/>
                <w:sz w:val="20"/>
              </w:rPr>
              <w:t>2,743</w:t>
            </w:r>
          </w:p>
        </w:tc>
        <w:tc>
          <w:tcPr>
            <w:tcW w:w="1840" w:type="dxa"/>
            <w:tcBorders>
              <w:top w:val="nil"/>
              <w:left w:val="nil"/>
              <w:bottom w:val="single" w:sz="8" w:space="0" w:color="auto"/>
              <w:right w:val="single" w:sz="8" w:space="0" w:color="auto"/>
            </w:tcBorders>
            <w:noWrap/>
            <w:vAlign w:val="center"/>
            <w:hideMark/>
          </w:tcPr>
          <w:p w:rsidR="00C12827" w:rsidRPr="00C12827" w:rsidP="002101D0" w14:paraId="623B7A64" w14:textId="77777777">
            <w:pPr>
              <w:jc w:val="right"/>
              <w:rPr>
                <w:rFonts w:ascii="Times New Roman" w:hAnsi="Times New Roman"/>
                <w:color w:val="000000"/>
                <w:sz w:val="20"/>
              </w:rPr>
            </w:pPr>
            <w:r w:rsidRPr="00C12827">
              <w:rPr>
                <w:rFonts w:ascii="Times New Roman" w:hAnsi="Times New Roman"/>
                <w:color w:val="000000"/>
                <w:sz w:val="20"/>
              </w:rPr>
              <w:t>5.07</w:t>
            </w:r>
          </w:p>
        </w:tc>
        <w:tc>
          <w:tcPr>
            <w:tcW w:w="1224" w:type="dxa"/>
            <w:tcBorders>
              <w:top w:val="nil"/>
              <w:left w:val="nil"/>
              <w:bottom w:val="single" w:sz="8" w:space="0" w:color="auto"/>
              <w:right w:val="nil"/>
            </w:tcBorders>
            <w:vAlign w:val="center"/>
            <w:hideMark/>
          </w:tcPr>
          <w:p w:rsidR="00C12827" w:rsidRPr="00C12827" w:rsidP="002101D0" w14:paraId="1ED34671" w14:textId="77777777">
            <w:pPr>
              <w:jc w:val="right"/>
              <w:rPr>
                <w:rFonts w:ascii="Times New Roman" w:hAnsi="Times New Roman"/>
                <w:color w:val="000000"/>
                <w:sz w:val="20"/>
              </w:rPr>
            </w:pPr>
            <w:r w:rsidRPr="00C12827">
              <w:rPr>
                <w:rFonts w:ascii="Times New Roman" w:hAnsi="Times New Roman"/>
                <w:color w:val="000000"/>
                <w:sz w:val="20"/>
              </w:rPr>
              <w:t>00:05</w:t>
            </w:r>
          </w:p>
        </w:tc>
        <w:tc>
          <w:tcPr>
            <w:tcW w:w="1241" w:type="dxa"/>
            <w:tcBorders>
              <w:top w:val="nil"/>
              <w:left w:val="single" w:sz="8" w:space="0" w:color="auto"/>
              <w:bottom w:val="single" w:sz="8" w:space="0" w:color="auto"/>
              <w:right w:val="single" w:sz="8" w:space="0" w:color="auto"/>
            </w:tcBorders>
            <w:noWrap/>
            <w:vAlign w:val="center"/>
            <w:hideMark/>
          </w:tcPr>
          <w:p w:rsidR="00C12827" w:rsidRPr="00C12827" w:rsidP="002101D0" w14:paraId="2A42170C" w14:textId="77777777">
            <w:pPr>
              <w:jc w:val="right"/>
              <w:rPr>
                <w:rFonts w:ascii="Times New Roman" w:hAnsi="Times New Roman"/>
                <w:color w:val="000000"/>
                <w:sz w:val="20"/>
              </w:rPr>
            </w:pPr>
            <w:r w:rsidRPr="00C12827">
              <w:rPr>
                <w:rFonts w:ascii="Times New Roman" w:hAnsi="Times New Roman"/>
                <w:color w:val="000000"/>
                <w:sz w:val="20"/>
              </w:rPr>
              <w:t>1,159</w:t>
            </w:r>
          </w:p>
        </w:tc>
      </w:tr>
      <w:tr w14:paraId="71F34F03" w14:textId="77777777" w:rsidTr="00D219BD">
        <w:tblPrEx>
          <w:tblW w:w="10300" w:type="dxa"/>
          <w:tblCellMar>
            <w:top w:w="15" w:type="dxa"/>
          </w:tblCellMar>
          <w:tblLook w:val="04A0"/>
        </w:tblPrEx>
        <w:trPr>
          <w:gridAfter w:val="1"/>
          <w:wAfter w:w="246" w:type="dxa"/>
          <w:trHeight w:val="309"/>
        </w:trPr>
        <w:tc>
          <w:tcPr>
            <w:tcW w:w="8813"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C12827" w:rsidRPr="00C12827" w:rsidP="002101D0" w14:paraId="3B8E2E5C" w14:textId="77777777">
            <w:pPr>
              <w:jc w:val="right"/>
              <w:rPr>
                <w:rFonts w:ascii="Times New Roman" w:hAnsi="Times New Roman"/>
                <w:b/>
                <w:bCs/>
                <w:i/>
                <w:iCs/>
                <w:color w:val="000000"/>
              </w:rPr>
            </w:pPr>
            <w:r w:rsidRPr="00C12827">
              <w:rPr>
                <w:rFonts w:ascii="Times New Roman" w:hAnsi="Times New Roman"/>
                <w:b/>
                <w:bCs/>
                <w:i/>
                <w:iCs/>
                <w:color w:val="000000"/>
              </w:rPr>
              <w:t>Total Annual Burden (Hours):</w:t>
            </w:r>
          </w:p>
        </w:tc>
        <w:tc>
          <w:tcPr>
            <w:tcW w:w="1241" w:type="dxa"/>
            <w:tcBorders>
              <w:top w:val="nil"/>
              <w:left w:val="nil"/>
              <w:bottom w:val="single" w:sz="8" w:space="0" w:color="auto"/>
              <w:right w:val="single" w:sz="8" w:space="0" w:color="auto"/>
            </w:tcBorders>
            <w:noWrap/>
            <w:vAlign w:val="bottom"/>
            <w:hideMark/>
          </w:tcPr>
          <w:p w:rsidR="00C12827" w:rsidRPr="00C12827" w:rsidP="002101D0" w14:paraId="589547E0" w14:textId="77777777">
            <w:pPr>
              <w:jc w:val="right"/>
              <w:rPr>
                <w:rFonts w:ascii="Times New Roman" w:hAnsi="Times New Roman"/>
                <w:b/>
                <w:bCs/>
                <w:i/>
                <w:iCs/>
                <w:color w:val="000000"/>
              </w:rPr>
            </w:pPr>
            <w:r w:rsidRPr="00C12827">
              <w:rPr>
                <w:rFonts w:ascii="Times New Roman" w:hAnsi="Times New Roman"/>
                <w:b/>
                <w:bCs/>
                <w:i/>
                <w:iCs/>
                <w:color w:val="000000"/>
              </w:rPr>
              <w:t>5,662</w:t>
            </w:r>
          </w:p>
        </w:tc>
      </w:tr>
      <w:tr w14:paraId="77E4A2F0" w14:textId="77777777" w:rsidTr="00D219BD">
        <w:tblPrEx>
          <w:tblW w:w="10300" w:type="dxa"/>
          <w:tblCellMar>
            <w:top w:w="15" w:type="dxa"/>
          </w:tblCellMar>
          <w:tblLook w:val="04A0"/>
        </w:tblPrEx>
        <w:trPr>
          <w:gridAfter w:val="1"/>
          <w:wAfter w:w="246" w:type="dxa"/>
          <w:trHeight w:val="260"/>
        </w:trPr>
        <w:tc>
          <w:tcPr>
            <w:tcW w:w="10054" w:type="dxa"/>
            <w:gridSpan w:val="6"/>
            <w:tcBorders>
              <w:top w:val="single" w:sz="8" w:space="0" w:color="auto"/>
              <w:left w:val="single" w:sz="8" w:space="0" w:color="auto"/>
              <w:bottom w:val="nil"/>
              <w:right w:val="single" w:sz="8" w:space="0" w:color="000000"/>
            </w:tcBorders>
            <w:noWrap/>
            <w:hideMark/>
          </w:tcPr>
          <w:p w:rsidR="00C12827" w:rsidRPr="00C12827" w:rsidP="002101D0" w14:paraId="1E2B22D9" w14:textId="77777777">
            <w:pPr>
              <w:rPr>
                <w:rFonts w:ascii="Times New Roman" w:hAnsi="Times New Roman"/>
                <w:color w:val="000000"/>
                <w:sz w:val="18"/>
                <w:szCs w:val="18"/>
              </w:rPr>
            </w:pPr>
            <w:r w:rsidRPr="00C12827">
              <w:rPr>
                <w:rFonts w:ascii="Times New Roman" w:hAnsi="Times New Roman"/>
                <w:color w:val="000000"/>
                <w:sz w:val="18"/>
                <w:szCs w:val="18"/>
              </w:rPr>
              <w:t>Source: FDIC.</w:t>
            </w:r>
          </w:p>
        </w:tc>
      </w:tr>
      <w:tr w14:paraId="0D5093A2" w14:textId="77777777" w:rsidTr="00D219BD">
        <w:tblPrEx>
          <w:tblW w:w="10300" w:type="dxa"/>
          <w:tblCellMar>
            <w:top w:w="15" w:type="dxa"/>
          </w:tblCellMar>
          <w:tblLook w:val="04A0"/>
        </w:tblPrEx>
        <w:trPr>
          <w:gridAfter w:val="1"/>
          <w:wAfter w:w="246" w:type="dxa"/>
          <w:trHeight w:val="473"/>
        </w:trPr>
        <w:tc>
          <w:tcPr>
            <w:tcW w:w="10054" w:type="dxa"/>
            <w:gridSpan w:val="6"/>
            <w:vMerge w:val="restart"/>
            <w:tcBorders>
              <w:top w:val="nil"/>
              <w:left w:val="single" w:sz="8" w:space="0" w:color="auto"/>
              <w:bottom w:val="single" w:sz="8" w:space="0" w:color="000000"/>
              <w:right w:val="single" w:sz="8" w:space="0" w:color="000000"/>
            </w:tcBorders>
            <w:vAlign w:val="center"/>
            <w:hideMark/>
          </w:tcPr>
          <w:p w:rsidR="00C12827" w:rsidRPr="00C12827" w:rsidP="002101D0" w14:paraId="194BD5AA" w14:textId="77777777">
            <w:pPr>
              <w:rPr>
                <w:rFonts w:ascii="Times New Roman" w:hAnsi="Times New Roman"/>
                <w:color w:val="000000"/>
                <w:sz w:val="18"/>
                <w:szCs w:val="18"/>
              </w:rPr>
            </w:pPr>
            <w:r w:rsidRPr="00C12827">
              <w:rPr>
                <w:rFonts w:ascii="Times New Roman" w:hAnsi="Times New Roman"/>
                <w:color w:val="000000"/>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00C97160" w14:textId="77777777" w:rsidTr="00D219BD">
        <w:tblPrEx>
          <w:tblW w:w="10300" w:type="dxa"/>
          <w:tblCellMar>
            <w:top w:w="15" w:type="dxa"/>
          </w:tblCellMar>
          <w:tblLook w:val="04A0"/>
        </w:tblPrEx>
        <w:trPr>
          <w:trHeight w:val="309"/>
        </w:trPr>
        <w:tc>
          <w:tcPr>
            <w:tcW w:w="10054" w:type="dxa"/>
            <w:gridSpan w:val="6"/>
            <w:vMerge/>
            <w:tcBorders>
              <w:top w:val="nil"/>
              <w:left w:val="single" w:sz="8" w:space="0" w:color="auto"/>
              <w:bottom w:val="single" w:sz="8" w:space="0" w:color="000000"/>
              <w:right w:val="single" w:sz="8" w:space="0" w:color="000000"/>
            </w:tcBorders>
            <w:vAlign w:val="center"/>
            <w:hideMark/>
          </w:tcPr>
          <w:p w:rsidR="00C12827" w:rsidRPr="00C12827" w:rsidP="002101D0" w14:paraId="673C5C28" w14:textId="77777777">
            <w:pPr>
              <w:rPr>
                <w:rFonts w:ascii="Times New Roman" w:hAnsi="Times New Roman"/>
                <w:color w:val="000000"/>
                <w:sz w:val="18"/>
                <w:szCs w:val="18"/>
              </w:rPr>
            </w:pPr>
          </w:p>
        </w:tc>
        <w:tc>
          <w:tcPr>
            <w:tcW w:w="246" w:type="dxa"/>
            <w:tcBorders>
              <w:top w:val="nil"/>
              <w:left w:val="nil"/>
              <w:bottom w:val="nil"/>
              <w:right w:val="nil"/>
            </w:tcBorders>
            <w:noWrap/>
            <w:vAlign w:val="bottom"/>
            <w:hideMark/>
          </w:tcPr>
          <w:p w:rsidR="00C12827" w:rsidRPr="00C12827" w:rsidP="002101D0" w14:paraId="11A84E1D" w14:textId="77777777">
            <w:pPr>
              <w:rPr>
                <w:rFonts w:ascii="Times New Roman" w:hAnsi="Times New Roman"/>
                <w:color w:val="000000"/>
                <w:sz w:val="18"/>
                <w:szCs w:val="18"/>
              </w:rPr>
            </w:pPr>
          </w:p>
        </w:tc>
      </w:tr>
      <w:tr w14:paraId="3F43C2B1" w14:textId="77777777" w:rsidTr="00D219BD">
        <w:tblPrEx>
          <w:tblW w:w="10300" w:type="dxa"/>
          <w:tblCellMar>
            <w:top w:w="15" w:type="dxa"/>
          </w:tblCellMar>
          <w:tblLook w:val="04A0"/>
        </w:tblPrEx>
        <w:trPr>
          <w:trHeight w:val="321"/>
        </w:trPr>
        <w:tc>
          <w:tcPr>
            <w:tcW w:w="10054" w:type="dxa"/>
            <w:gridSpan w:val="6"/>
            <w:vMerge/>
            <w:tcBorders>
              <w:top w:val="nil"/>
              <w:left w:val="single" w:sz="8" w:space="0" w:color="auto"/>
              <w:bottom w:val="single" w:sz="8" w:space="0" w:color="000000"/>
              <w:right w:val="single" w:sz="8" w:space="0" w:color="000000"/>
            </w:tcBorders>
            <w:vAlign w:val="center"/>
            <w:hideMark/>
          </w:tcPr>
          <w:p w:rsidR="00C12827" w:rsidRPr="00C12827" w:rsidP="002101D0" w14:paraId="4B0F2440" w14:textId="77777777">
            <w:pPr>
              <w:rPr>
                <w:rFonts w:ascii="Times New Roman" w:hAnsi="Times New Roman"/>
                <w:color w:val="000000"/>
                <w:sz w:val="18"/>
                <w:szCs w:val="18"/>
              </w:rPr>
            </w:pPr>
          </w:p>
        </w:tc>
        <w:tc>
          <w:tcPr>
            <w:tcW w:w="246" w:type="dxa"/>
            <w:tcBorders>
              <w:top w:val="nil"/>
              <w:left w:val="nil"/>
              <w:bottom w:val="nil"/>
              <w:right w:val="nil"/>
            </w:tcBorders>
            <w:noWrap/>
            <w:vAlign w:val="bottom"/>
            <w:hideMark/>
          </w:tcPr>
          <w:p w:rsidR="00C12827" w:rsidRPr="00C12827" w:rsidP="002101D0" w14:paraId="1EEE83D2" w14:textId="77777777">
            <w:pPr>
              <w:rPr>
                <w:rFonts w:ascii="Times New Roman" w:hAnsi="Times New Roman"/>
                <w:sz w:val="20"/>
              </w:rPr>
            </w:pPr>
          </w:p>
        </w:tc>
      </w:tr>
      <w:tr w14:paraId="36E8D93A" w14:textId="77777777" w:rsidTr="00D219BD">
        <w:tblPrEx>
          <w:tblW w:w="10300" w:type="dxa"/>
          <w:tblCellMar>
            <w:top w:w="15" w:type="dxa"/>
          </w:tblCellMar>
          <w:tblLook w:val="04A0"/>
        </w:tblPrEx>
        <w:trPr>
          <w:trHeight w:val="422"/>
        </w:trPr>
        <w:tc>
          <w:tcPr>
            <w:tcW w:w="10054" w:type="dxa"/>
            <w:gridSpan w:val="6"/>
            <w:vMerge/>
            <w:tcBorders>
              <w:top w:val="nil"/>
              <w:left w:val="single" w:sz="8" w:space="0" w:color="auto"/>
              <w:bottom w:val="single" w:sz="8" w:space="0" w:color="000000"/>
              <w:right w:val="single" w:sz="8" w:space="0" w:color="000000"/>
            </w:tcBorders>
            <w:vAlign w:val="center"/>
            <w:hideMark/>
          </w:tcPr>
          <w:p w:rsidR="00C12827" w:rsidRPr="00C12827" w:rsidP="002101D0" w14:paraId="2590CB02" w14:textId="77777777">
            <w:pPr>
              <w:rPr>
                <w:rFonts w:ascii="Times New Roman" w:hAnsi="Times New Roman"/>
                <w:color w:val="000000"/>
                <w:sz w:val="18"/>
                <w:szCs w:val="18"/>
              </w:rPr>
            </w:pPr>
          </w:p>
        </w:tc>
        <w:tc>
          <w:tcPr>
            <w:tcW w:w="246" w:type="dxa"/>
            <w:tcBorders>
              <w:top w:val="nil"/>
              <w:left w:val="nil"/>
              <w:bottom w:val="nil"/>
              <w:right w:val="nil"/>
            </w:tcBorders>
            <w:noWrap/>
            <w:vAlign w:val="bottom"/>
            <w:hideMark/>
          </w:tcPr>
          <w:p w:rsidR="00C12827" w:rsidRPr="00C12827" w:rsidP="002101D0" w14:paraId="3EC8C2E0" w14:textId="77777777">
            <w:pPr>
              <w:rPr>
                <w:rFonts w:ascii="Times New Roman" w:hAnsi="Times New Roman"/>
                <w:sz w:val="20"/>
              </w:rPr>
            </w:pPr>
          </w:p>
        </w:tc>
      </w:tr>
    </w:tbl>
    <w:p w:rsidR="00182EB0" w14:paraId="19F7C761" w14:textId="77777777">
      <w:pPr>
        <w:ind w:firstLine="720"/>
        <w:rPr>
          <w:rFonts w:ascii="Times New Roman" w:hAnsi="Times New Roman"/>
        </w:rPr>
      </w:pPr>
    </w:p>
    <w:p w:rsidR="001E2766" w:rsidP="001E2766" w14:paraId="487A2CBC" w14:textId="77777777">
      <w:pPr>
        <w:ind w:left="720"/>
        <w:rPr>
          <w:rFonts w:ascii="Times New Roman" w:hAnsi="Times New Roman"/>
        </w:rPr>
      </w:pPr>
    </w:p>
    <w:tbl>
      <w:tblPr>
        <w:tblW w:w="10903" w:type="dxa"/>
        <w:tblInd w:w="-100" w:type="dxa"/>
        <w:tblLayout w:type="fixed"/>
        <w:tblCellMar>
          <w:top w:w="15" w:type="dxa"/>
        </w:tblCellMar>
        <w:tblLook w:val="04A0"/>
      </w:tblPr>
      <w:tblGrid>
        <w:gridCol w:w="2520"/>
        <w:gridCol w:w="857"/>
        <w:gridCol w:w="1033"/>
        <w:gridCol w:w="900"/>
        <w:gridCol w:w="990"/>
        <w:gridCol w:w="1080"/>
        <w:gridCol w:w="1080"/>
        <w:gridCol w:w="900"/>
        <w:gridCol w:w="990"/>
        <w:gridCol w:w="553"/>
      </w:tblGrid>
      <w:tr w14:paraId="1B260BB9" w14:textId="77777777" w:rsidTr="00D219BD">
        <w:tblPrEx>
          <w:tblW w:w="10903" w:type="dxa"/>
          <w:tblInd w:w="-100" w:type="dxa"/>
          <w:tblLayout w:type="fixed"/>
          <w:tblCellMar>
            <w:top w:w="15" w:type="dxa"/>
          </w:tblCellMar>
          <w:tblLook w:val="04A0"/>
        </w:tblPrEx>
        <w:trPr>
          <w:gridAfter w:val="1"/>
          <w:wAfter w:w="553" w:type="dxa"/>
          <w:trHeight w:val="373"/>
        </w:trPr>
        <w:tc>
          <w:tcPr>
            <w:tcW w:w="10350" w:type="dxa"/>
            <w:gridSpan w:val="9"/>
            <w:tcBorders>
              <w:top w:val="single" w:sz="8" w:space="0" w:color="auto"/>
              <w:left w:val="single" w:sz="8" w:space="0" w:color="auto"/>
              <w:bottom w:val="single" w:sz="8" w:space="0" w:color="auto"/>
              <w:right w:val="single" w:sz="8" w:space="0" w:color="auto"/>
            </w:tcBorders>
            <w:noWrap/>
            <w:vAlign w:val="bottom"/>
            <w:hideMark/>
          </w:tcPr>
          <w:p w:rsidR="00D219BD" w:rsidRPr="00D219BD" w:rsidP="002101D0" w14:paraId="2758F7C5" w14:textId="2AD5DC08">
            <w:pPr>
              <w:jc w:val="center"/>
              <w:rPr>
                <w:rFonts w:ascii="Times New Roman" w:hAnsi="Times New Roman"/>
                <w:szCs w:val="24"/>
              </w:rPr>
            </w:pPr>
            <w:r w:rsidRPr="00D219BD">
              <w:rPr>
                <w:rFonts w:ascii="Times New Roman" w:hAnsi="Times New Roman"/>
                <w:szCs w:val="24"/>
              </w:rPr>
              <w:t>Summary of Hourly Burden Cost Estimate (OMB No. 3064-0188)</w:t>
            </w:r>
          </w:p>
        </w:tc>
      </w:tr>
      <w:tr w14:paraId="676B8D9F" w14:textId="77777777" w:rsidTr="00D219BD">
        <w:tblPrEx>
          <w:tblW w:w="10903" w:type="dxa"/>
          <w:tblInd w:w="-100" w:type="dxa"/>
          <w:tblLayout w:type="fixed"/>
          <w:tblCellMar>
            <w:top w:w="15" w:type="dxa"/>
          </w:tblCellMar>
          <w:tblLook w:val="04A0"/>
        </w:tblPrEx>
        <w:trPr>
          <w:gridAfter w:val="1"/>
          <w:wAfter w:w="553" w:type="dxa"/>
          <w:trHeight w:val="622"/>
        </w:trPr>
        <w:tc>
          <w:tcPr>
            <w:tcW w:w="2520"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1D9C72CE" w14:textId="77777777">
            <w:pPr>
              <w:rPr>
                <w:rFonts w:ascii="Times New Roman" w:hAnsi="Times New Roman"/>
                <w:sz w:val="20"/>
              </w:rPr>
            </w:pPr>
            <w:r w:rsidRPr="00D219BD">
              <w:rPr>
                <w:rFonts w:ascii="Times New Roman" w:hAnsi="Times New Roman"/>
                <w:sz w:val="20"/>
              </w:rPr>
              <w:t xml:space="preserve">Information Collection (IC) (Obligation to Respond) </w:t>
            </w:r>
          </w:p>
        </w:tc>
        <w:tc>
          <w:tcPr>
            <w:tcW w:w="857"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15ECFDF7" w14:textId="77777777">
            <w:pPr>
              <w:jc w:val="center"/>
              <w:rPr>
                <w:rFonts w:ascii="Times New Roman" w:hAnsi="Times New Roman"/>
                <w:sz w:val="20"/>
              </w:rPr>
            </w:pPr>
            <w:r w:rsidRPr="00D219BD">
              <w:rPr>
                <w:rFonts w:ascii="Times New Roman" w:hAnsi="Times New Roman"/>
                <w:sz w:val="20"/>
              </w:rPr>
              <w:t xml:space="preserve">Hourly Weight </w:t>
            </w:r>
            <w:r w:rsidRPr="00D219BD">
              <w:rPr>
                <w:rFonts w:ascii="Times New Roman" w:hAnsi="Times New Roman"/>
                <w:sz w:val="20"/>
              </w:rPr>
              <w:br/>
              <w:t>(%)</w:t>
            </w:r>
          </w:p>
        </w:tc>
        <w:tc>
          <w:tcPr>
            <w:tcW w:w="5983"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D219BD" w:rsidRPr="00D219BD" w:rsidP="002101D0" w14:paraId="3FD797E4" w14:textId="77777777">
            <w:pPr>
              <w:jc w:val="center"/>
              <w:rPr>
                <w:rFonts w:ascii="Times New Roman" w:hAnsi="Times New Roman"/>
                <w:sz w:val="20"/>
              </w:rPr>
            </w:pPr>
            <w:r w:rsidRPr="00D219BD">
              <w:rPr>
                <w:rFonts w:ascii="Times New Roman" w:hAnsi="Times New Roman"/>
                <w:sz w:val="20"/>
              </w:rPr>
              <w:t xml:space="preserve">Percentage Shares of Hours Spent by and </w:t>
            </w:r>
            <w:r w:rsidRPr="00D219BD">
              <w:rPr>
                <w:rFonts w:ascii="Times New Roman" w:hAnsi="Times New Roman"/>
                <w:sz w:val="20"/>
              </w:rPr>
              <w:br/>
              <w:t xml:space="preserve">Hourly Compensation Rates for each Occupation Group </w:t>
            </w:r>
            <w:r w:rsidRPr="00D219BD">
              <w:rPr>
                <w:rFonts w:ascii="Times New Roman" w:hAnsi="Times New Roman"/>
                <w:sz w:val="20"/>
              </w:rPr>
              <w:br/>
              <w:t>(by Collection)</w:t>
            </w:r>
          </w:p>
        </w:tc>
        <w:tc>
          <w:tcPr>
            <w:tcW w:w="990"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4CEAD148" w14:textId="77777777">
            <w:pPr>
              <w:jc w:val="center"/>
              <w:rPr>
                <w:rFonts w:ascii="Times New Roman" w:hAnsi="Times New Roman"/>
                <w:sz w:val="20"/>
              </w:rPr>
            </w:pPr>
            <w:r w:rsidRPr="00D219BD">
              <w:rPr>
                <w:rFonts w:ascii="Times New Roman" w:hAnsi="Times New Roman"/>
                <w:sz w:val="20"/>
              </w:rPr>
              <w:t>Estimated Hourly Compen-</w:t>
            </w:r>
            <w:r w:rsidRPr="00D219BD">
              <w:rPr>
                <w:rFonts w:ascii="Times New Roman" w:hAnsi="Times New Roman"/>
                <w:sz w:val="20"/>
              </w:rPr>
              <w:t>sation</w:t>
            </w:r>
            <w:r w:rsidRPr="00D219BD">
              <w:rPr>
                <w:rFonts w:ascii="Times New Roman" w:hAnsi="Times New Roman"/>
                <w:sz w:val="20"/>
              </w:rPr>
              <w:t xml:space="preserve"> Rate</w:t>
            </w:r>
          </w:p>
        </w:tc>
      </w:tr>
      <w:tr w14:paraId="10F89A33" w14:textId="77777777" w:rsidTr="00D219BD">
        <w:tblPrEx>
          <w:tblW w:w="10903" w:type="dxa"/>
          <w:tblInd w:w="-100" w:type="dxa"/>
          <w:tblLayout w:type="fixed"/>
          <w:tblCellMar>
            <w:top w:w="15" w:type="dxa"/>
          </w:tblCellMar>
          <w:tblLook w:val="04A0"/>
        </w:tblPrEx>
        <w:trPr>
          <w:trHeight w:val="896"/>
        </w:trPr>
        <w:tc>
          <w:tcPr>
            <w:tcW w:w="2520" w:type="dxa"/>
            <w:vMerge/>
            <w:tcBorders>
              <w:top w:val="nil"/>
              <w:left w:val="single" w:sz="8" w:space="0" w:color="auto"/>
              <w:bottom w:val="single" w:sz="8" w:space="0" w:color="auto"/>
              <w:right w:val="single" w:sz="8" w:space="0" w:color="auto"/>
            </w:tcBorders>
            <w:vAlign w:val="center"/>
            <w:hideMark/>
          </w:tcPr>
          <w:p w:rsidR="00D219BD" w:rsidRPr="00D219BD" w:rsidP="002101D0" w14:paraId="2424FE21" w14:textId="77777777">
            <w:pPr>
              <w:rPr>
                <w:rFonts w:ascii="Times New Roman" w:hAnsi="Times New Roman"/>
                <w:sz w:val="20"/>
              </w:rPr>
            </w:pPr>
          </w:p>
        </w:tc>
        <w:tc>
          <w:tcPr>
            <w:tcW w:w="857" w:type="dxa"/>
            <w:vMerge/>
            <w:tcBorders>
              <w:top w:val="nil"/>
              <w:left w:val="single" w:sz="8" w:space="0" w:color="auto"/>
              <w:bottom w:val="single" w:sz="8" w:space="0" w:color="auto"/>
              <w:right w:val="single" w:sz="8" w:space="0" w:color="auto"/>
            </w:tcBorders>
            <w:vAlign w:val="center"/>
            <w:hideMark/>
          </w:tcPr>
          <w:p w:rsidR="00D219BD" w:rsidRPr="00D219BD" w:rsidP="002101D0" w14:paraId="3A360B02" w14:textId="77777777">
            <w:pPr>
              <w:rPr>
                <w:rFonts w:ascii="Times New Roman" w:hAnsi="Times New Roman"/>
                <w:sz w:val="20"/>
              </w:rPr>
            </w:pPr>
          </w:p>
        </w:tc>
        <w:tc>
          <w:tcPr>
            <w:tcW w:w="5983" w:type="dxa"/>
            <w:gridSpan w:val="6"/>
            <w:vMerge/>
            <w:tcBorders>
              <w:top w:val="single" w:sz="8" w:space="0" w:color="auto"/>
              <w:left w:val="single" w:sz="8" w:space="0" w:color="auto"/>
              <w:bottom w:val="single" w:sz="8" w:space="0" w:color="auto"/>
              <w:right w:val="single" w:sz="8" w:space="0" w:color="auto"/>
            </w:tcBorders>
            <w:vAlign w:val="center"/>
            <w:hideMark/>
          </w:tcPr>
          <w:p w:rsidR="00D219BD" w:rsidRPr="00D219BD" w:rsidP="002101D0" w14:paraId="46512F75" w14:textId="77777777">
            <w:pPr>
              <w:rPr>
                <w:rFonts w:ascii="Times New Roman" w:hAnsi="Times New Roman"/>
                <w:sz w:val="20"/>
              </w:rPr>
            </w:pPr>
          </w:p>
        </w:tc>
        <w:tc>
          <w:tcPr>
            <w:tcW w:w="990" w:type="dxa"/>
            <w:vMerge/>
            <w:tcBorders>
              <w:top w:val="nil"/>
              <w:left w:val="single" w:sz="8" w:space="0" w:color="auto"/>
              <w:bottom w:val="single" w:sz="8" w:space="0" w:color="auto"/>
              <w:right w:val="single" w:sz="8" w:space="0" w:color="auto"/>
            </w:tcBorders>
            <w:vAlign w:val="center"/>
            <w:hideMark/>
          </w:tcPr>
          <w:p w:rsidR="00D219BD" w:rsidRPr="00D219BD" w:rsidP="002101D0" w14:paraId="33966C47" w14:textId="77777777">
            <w:pPr>
              <w:rPr>
                <w:rFonts w:ascii="Times New Roman" w:hAnsi="Times New Roman"/>
                <w:sz w:val="20"/>
              </w:rPr>
            </w:pPr>
          </w:p>
        </w:tc>
        <w:tc>
          <w:tcPr>
            <w:tcW w:w="553" w:type="dxa"/>
            <w:tcBorders>
              <w:top w:val="nil"/>
              <w:left w:val="nil"/>
              <w:bottom w:val="nil"/>
              <w:right w:val="nil"/>
            </w:tcBorders>
            <w:noWrap/>
            <w:vAlign w:val="bottom"/>
            <w:hideMark/>
          </w:tcPr>
          <w:p w:rsidR="00D219BD" w:rsidRPr="00D219BD" w:rsidP="002101D0" w14:paraId="2CC4B24A" w14:textId="77777777">
            <w:pPr>
              <w:jc w:val="center"/>
              <w:rPr>
                <w:rFonts w:ascii="Times New Roman" w:hAnsi="Times New Roman"/>
                <w:sz w:val="20"/>
              </w:rPr>
            </w:pPr>
          </w:p>
        </w:tc>
      </w:tr>
      <w:tr w14:paraId="1DCC6205" w14:textId="77777777" w:rsidTr="00D219BD">
        <w:tblPrEx>
          <w:tblW w:w="10903" w:type="dxa"/>
          <w:tblInd w:w="-100" w:type="dxa"/>
          <w:tblLayout w:type="fixed"/>
          <w:tblCellMar>
            <w:top w:w="15" w:type="dxa"/>
          </w:tblCellMar>
          <w:tblLook w:val="04A0"/>
        </w:tblPrEx>
        <w:trPr>
          <w:trHeight w:val="373"/>
        </w:trPr>
        <w:tc>
          <w:tcPr>
            <w:tcW w:w="2520" w:type="dxa"/>
            <w:vMerge/>
            <w:tcBorders>
              <w:top w:val="nil"/>
              <w:left w:val="single" w:sz="8" w:space="0" w:color="auto"/>
              <w:bottom w:val="single" w:sz="8" w:space="0" w:color="auto"/>
              <w:right w:val="single" w:sz="8" w:space="0" w:color="auto"/>
            </w:tcBorders>
            <w:vAlign w:val="center"/>
            <w:hideMark/>
          </w:tcPr>
          <w:p w:rsidR="00D219BD" w:rsidRPr="00D219BD" w:rsidP="002101D0" w14:paraId="2C405DC9" w14:textId="77777777">
            <w:pPr>
              <w:rPr>
                <w:rFonts w:ascii="Times New Roman" w:hAnsi="Times New Roman"/>
                <w:sz w:val="20"/>
              </w:rPr>
            </w:pPr>
          </w:p>
        </w:tc>
        <w:tc>
          <w:tcPr>
            <w:tcW w:w="857" w:type="dxa"/>
            <w:vMerge/>
            <w:tcBorders>
              <w:top w:val="nil"/>
              <w:left w:val="single" w:sz="8" w:space="0" w:color="auto"/>
              <w:bottom w:val="single" w:sz="8" w:space="0" w:color="auto"/>
              <w:right w:val="single" w:sz="8" w:space="0" w:color="auto"/>
            </w:tcBorders>
            <w:vAlign w:val="center"/>
            <w:hideMark/>
          </w:tcPr>
          <w:p w:rsidR="00D219BD" w:rsidRPr="00D219BD" w:rsidP="002101D0" w14:paraId="3C5AB7E5" w14:textId="77777777">
            <w:pPr>
              <w:rPr>
                <w:rFonts w:ascii="Times New Roman" w:hAnsi="Times New Roman"/>
                <w:sz w:val="20"/>
              </w:rPr>
            </w:pPr>
          </w:p>
        </w:tc>
        <w:tc>
          <w:tcPr>
            <w:tcW w:w="1033"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7F4D97CA" w14:textId="77777777">
            <w:pPr>
              <w:jc w:val="center"/>
              <w:rPr>
                <w:rFonts w:ascii="Times New Roman" w:hAnsi="Times New Roman"/>
                <w:sz w:val="20"/>
              </w:rPr>
            </w:pPr>
            <w:r w:rsidRPr="00D219BD">
              <w:rPr>
                <w:rFonts w:ascii="Times New Roman" w:hAnsi="Times New Roman"/>
                <w:sz w:val="20"/>
              </w:rPr>
              <w:t>Exec. &amp; Mgr.      ($157.92)</w:t>
            </w:r>
          </w:p>
        </w:tc>
        <w:tc>
          <w:tcPr>
            <w:tcW w:w="900"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5EC52B26" w14:textId="77777777">
            <w:pPr>
              <w:jc w:val="center"/>
              <w:rPr>
                <w:rFonts w:ascii="Times New Roman" w:hAnsi="Times New Roman"/>
                <w:sz w:val="20"/>
              </w:rPr>
            </w:pPr>
            <w:r w:rsidRPr="00D219BD">
              <w:rPr>
                <w:rFonts w:ascii="Times New Roman" w:hAnsi="Times New Roman"/>
                <w:sz w:val="20"/>
              </w:rPr>
              <w:t>Lawyer</w:t>
            </w:r>
            <w:r w:rsidRPr="00D219BD">
              <w:rPr>
                <w:rFonts w:ascii="Times New Roman" w:hAnsi="Times New Roman"/>
                <w:sz w:val="20"/>
              </w:rPr>
              <w:t xml:space="preserve">   (</w:t>
            </w:r>
            <w:r w:rsidRPr="00D219BD">
              <w:rPr>
                <w:rFonts w:ascii="Times New Roman" w:hAnsi="Times New Roman"/>
                <w:sz w:val="20"/>
              </w:rPr>
              <w:t>$178.1)</w:t>
            </w:r>
          </w:p>
        </w:tc>
        <w:tc>
          <w:tcPr>
            <w:tcW w:w="990"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4D1539EE" w14:textId="77777777">
            <w:pPr>
              <w:jc w:val="center"/>
              <w:rPr>
                <w:rFonts w:ascii="Times New Roman" w:hAnsi="Times New Roman"/>
                <w:sz w:val="20"/>
              </w:rPr>
            </w:pPr>
            <w:r w:rsidRPr="00D219BD">
              <w:rPr>
                <w:rFonts w:ascii="Times New Roman" w:hAnsi="Times New Roman"/>
                <w:sz w:val="20"/>
              </w:rPr>
              <w:t>Compl</w:t>
            </w:r>
            <w:r w:rsidRPr="00D219BD">
              <w:rPr>
                <w:rFonts w:ascii="Times New Roman" w:hAnsi="Times New Roman"/>
                <w:sz w:val="20"/>
              </w:rPr>
              <w:t>. Ofc.   ($80.11)</w:t>
            </w:r>
          </w:p>
        </w:tc>
        <w:tc>
          <w:tcPr>
            <w:tcW w:w="1080"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425C333B" w14:textId="77777777">
            <w:pPr>
              <w:jc w:val="center"/>
              <w:rPr>
                <w:rFonts w:ascii="Times New Roman" w:hAnsi="Times New Roman"/>
                <w:sz w:val="20"/>
              </w:rPr>
            </w:pPr>
            <w:r w:rsidRPr="00D219BD">
              <w:rPr>
                <w:rFonts w:ascii="Times New Roman" w:hAnsi="Times New Roman"/>
                <w:sz w:val="20"/>
              </w:rPr>
              <w:t xml:space="preserve">IT </w:t>
            </w:r>
            <w:r w:rsidRPr="00D219BD">
              <w:rPr>
                <w:rFonts w:ascii="Times New Roman" w:hAnsi="Times New Roman"/>
                <w:sz w:val="20"/>
              </w:rPr>
              <w:t xml:space="preserve">   (</w:t>
            </w:r>
            <w:r w:rsidRPr="00D219BD">
              <w:rPr>
                <w:rFonts w:ascii="Times New Roman" w:hAnsi="Times New Roman"/>
                <w:sz w:val="20"/>
              </w:rPr>
              <w:t>$115.56)</w:t>
            </w:r>
          </w:p>
        </w:tc>
        <w:tc>
          <w:tcPr>
            <w:tcW w:w="1080"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66263B1E" w14:textId="77777777">
            <w:pPr>
              <w:jc w:val="center"/>
              <w:rPr>
                <w:rFonts w:ascii="Times New Roman" w:hAnsi="Times New Roman"/>
                <w:sz w:val="20"/>
              </w:rPr>
            </w:pPr>
            <w:r w:rsidRPr="00D219BD">
              <w:rPr>
                <w:rFonts w:ascii="Times New Roman" w:hAnsi="Times New Roman"/>
                <w:sz w:val="20"/>
              </w:rPr>
              <w:t xml:space="preserve">Fin. </w:t>
            </w:r>
            <w:r w:rsidRPr="00D219BD">
              <w:rPr>
                <w:rFonts w:ascii="Times New Roman" w:hAnsi="Times New Roman"/>
                <w:sz w:val="20"/>
              </w:rPr>
              <w:t>Anlst</w:t>
            </w:r>
            <w:r w:rsidRPr="00D219BD">
              <w:rPr>
                <w:rFonts w:ascii="Times New Roman" w:hAnsi="Times New Roman"/>
                <w:sz w:val="20"/>
              </w:rPr>
              <w:t>.    ($100.47)</w:t>
            </w:r>
          </w:p>
        </w:tc>
        <w:tc>
          <w:tcPr>
            <w:tcW w:w="900" w:type="dxa"/>
            <w:vMerge w:val="restart"/>
            <w:tcBorders>
              <w:top w:val="nil"/>
              <w:left w:val="single" w:sz="8" w:space="0" w:color="auto"/>
              <w:bottom w:val="single" w:sz="8" w:space="0" w:color="auto"/>
              <w:right w:val="single" w:sz="8" w:space="0" w:color="auto"/>
            </w:tcBorders>
            <w:vAlign w:val="center"/>
            <w:hideMark/>
          </w:tcPr>
          <w:p w:rsidR="00D219BD" w:rsidRPr="00D219BD" w:rsidP="002101D0" w14:paraId="63B6E22F" w14:textId="77777777">
            <w:pPr>
              <w:jc w:val="center"/>
              <w:rPr>
                <w:rFonts w:ascii="Times New Roman" w:hAnsi="Times New Roman"/>
                <w:sz w:val="20"/>
              </w:rPr>
            </w:pPr>
            <w:r w:rsidRPr="00D219BD">
              <w:rPr>
                <w:rFonts w:ascii="Times New Roman" w:hAnsi="Times New Roman"/>
                <w:sz w:val="20"/>
              </w:rPr>
              <w:t xml:space="preserve">Clerical </w:t>
            </w:r>
            <w:r w:rsidRPr="00D219BD">
              <w:rPr>
                <w:rFonts w:ascii="Times New Roman" w:hAnsi="Times New Roman"/>
                <w:sz w:val="20"/>
              </w:rPr>
              <w:t xml:space="preserve">   (</w:t>
            </w:r>
            <w:r w:rsidRPr="00D219BD">
              <w:rPr>
                <w:rFonts w:ascii="Times New Roman" w:hAnsi="Times New Roman"/>
                <w:sz w:val="20"/>
              </w:rPr>
              <w:t>$42.22)</w:t>
            </w:r>
          </w:p>
        </w:tc>
        <w:tc>
          <w:tcPr>
            <w:tcW w:w="990" w:type="dxa"/>
            <w:vMerge/>
            <w:tcBorders>
              <w:top w:val="nil"/>
              <w:left w:val="single" w:sz="8" w:space="0" w:color="auto"/>
              <w:bottom w:val="single" w:sz="8" w:space="0" w:color="auto"/>
              <w:right w:val="single" w:sz="8" w:space="0" w:color="auto"/>
            </w:tcBorders>
            <w:vAlign w:val="center"/>
            <w:hideMark/>
          </w:tcPr>
          <w:p w:rsidR="00D219BD" w:rsidRPr="00D219BD" w:rsidP="002101D0" w14:paraId="7A1021AD" w14:textId="77777777">
            <w:pPr>
              <w:rPr>
                <w:rFonts w:ascii="Times New Roman" w:hAnsi="Times New Roman"/>
                <w:sz w:val="20"/>
              </w:rPr>
            </w:pPr>
          </w:p>
        </w:tc>
        <w:tc>
          <w:tcPr>
            <w:tcW w:w="553" w:type="dxa"/>
            <w:vAlign w:val="center"/>
            <w:hideMark/>
          </w:tcPr>
          <w:p w:rsidR="00D219BD" w:rsidRPr="00D219BD" w:rsidP="002101D0" w14:paraId="57E8ECAC" w14:textId="77777777">
            <w:pPr>
              <w:rPr>
                <w:rFonts w:ascii="Times New Roman" w:hAnsi="Times New Roman"/>
                <w:sz w:val="20"/>
              </w:rPr>
            </w:pPr>
          </w:p>
        </w:tc>
      </w:tr>
      <w:tr w14:paraId="089C0834" w14:textId="77777777" w:rsidTr="00D219BD">
        <w:tblPrEx>
          <w:tblW w:w="10903" w:type="dxa"/>
          <w:tblInd w:w="-100" w:type="dxa"/>
          <w:tblLayout w:type="fixed"/>
          <w:tblCellMar>
            <w:top w:w="15" w:type="dxa"/>
          </w:tblCellMar>
          <w:tblLook w:val="04A0"/>
        </w:tblPrEx>
        <w:trPr>
          <w:trHeight w:val="1182"/>
        </w:trPr>
        <w:tc>
          <w:tcPr>
            <w:tcW w:w="2520" w:type="dxa"/>
            <w:vMerge/>
            <w:tcBorders>
              <w:top w:val="nil"/>
              <w:left w:val="single" w:sz="8" w:space="0" w:color="auto"/>
              <w:bottom w:val="single" w:sz="8" w:space="0" w:color="auto"/>
              <w:right w:val="single" w:sz="8" w:space="0" w:color="auto"/>
            </w:tcBorders>
            <w:vAlign w:val="center"/>
            <w:hideMark/>
          </w:tcPr>
          <w:p w:rsidR="00D219BD" w:rsidRPr="00D219BD" w:rsidP="002101D0" w14:paraId="44D923FF" w14:textId="77777777">
            <w:pPr>
              <w:rPr>
                <w:rFonts w:ascii="Times New Roman" w:hAnsi="Times New Roman"/>
                <w:sz w:val="20"/>
              </w:rPr>
            </w:pPr>
          </w:p>
        </w:tc>
        <w:tc>
          <w:tcPr>
            <w:tcW w:w="857" w:type="dxa"/>
            <w:vMerge/>
            <w:tcBorders>
              <w:top w:val="nil"/>
              <w:left w:val="single" w:sz="8" w:space="0" w:color="auto"/>
              <w:bottom w:val="single" w:sz="8" w:space="0" w:color="auto"/>
              <w:right w:val="single" w:sz="8" w:space="0" w:color="auto"/>
            </w:tcBorders>
            <w:vAlign w:val="center"/>
            <w:hideMark/>
          </w:tcPr>
          <w:p w:rsidR="00D219BD" w:rsidRPr="00D219BD" w:rsidP="002101D0" w14:paraId="5946C0BB" w14:textId="77777777">
            <w:pPr>
              <w:rPr>
                <w:rFonts w:ascii="Times New Roman" w:hAnsi="Times New Roman"/>
                <w:sz w:val="20"/>
              </w:rPr>
            </w:pPr>
          </w:p>
        </w:tc>
        <w:tc>
          <w:tcPr>
            <w:tcW w:w="1033" w:type="dxa"/>
            <w:vMerge/>
            <w:tcBorders>
              <w:top w:val="nil"/>
              <w:left w:val="single" w:sz="8" w:space="0" w:color="auto"/>
              <w:bottom w:val="single" w:sz="8" w:space="0" w:color="auto"/>
              <w:right w:val="single" w:sz="8" w:space="0" w:color="auto"/>
            </w:tcBorders>
            <w:vAlign w:val="center"/>
            <w:hideMark/>
          </w:tcPr>
          <w:p w:rsidR="00D219BD" w:rsidRPr="00D219BD" w:rsidP="002101D0" w14:paraId="0A5CB0A3" w14:textId="77777777">
            <w:pPr>
              <w:rPr>
                <w:rFonts w:ascii="Times New Roman" w:hAnsi="Times New Roman"/>
                <w:sz w:val="20"/>
              </w:rPr>
            </w:pPr>
          </w:p>
        </w:tc>
        <w:tc>
          <w:tcPr>
            <w:tcW w:w="900" w:type="dxa"/>
            <w:vMerge/>
            <w:tcBorders>
              <w:top w:val="nil"/>
              <w:left w:val="single" w:sz="8" w:space="0" w:color="auto"/>
              <w:bottom w:val="single" w:sz="8" w:space="0" w:color="auto"/>
              <w:right w:val="single" w:sz="8" w:space="0" w:color="auto"/>
            </w:tcBorders>
            <w:vAlign w:val="center"/>
            <w:hideMark/>
          </w:tcPr>
          <w:p w:rsidR="00D219BD" w:rsidRPr="00D219BD" w:rsidP="002101D0" w14:paraId="20F10381" w14:textId="77777777">
            <w:pPr>
              <w:rPr>
                <w:rFonts w:ascii="Times New Roman" w:hAnsi="Times New Roman"/>
                <w:sz w:val="20"/>
              </w:rPr>
            </w:pPr>
          </w:p>
        </w:tc>
        <w:tc>
          <w:tcPr>
            <w:tcW w:w="990" w:type="dxa"/>
            <w:vMerge/>
            <w:tcBorders>
              <w:top w:val="nil"/>
              <w:left w:val="single" w:sz="8" w:space="0" w:color="auto"/>
              <w:bottom w:val="single" w:sz="8" w:space="0" w:color="auto"/>
              <w:right w:val="single" w:sz="8" w:space="0" w:color="auto"/>
            </w:tcBorders>
            <w:vAlign w:val="center"/>
            <w:hideMark/>
          </w:tcPr>
          <w:p w:rsidR="00D219BD" w:rsidRPr="00D219BD" w:rsidP="002101D0" w14:paraId="59203EBC" w14:textId="77777777">
            <w:pPr>
              <w:rPr>
                <w:rFonts w:ascii="Times New Roman" w:hAnsi="Times New Roman"/>
                <w:sz w:val="20"/>
              </w:rPr>
            </w:pPr>
          </w:p>
        </w:tc>
        <w:tc>
          <w:tcPr>
            <w:tcW w:w="1080" w:type="dxa"/>
            <w:vMerge/>
            <w:tcBorders>
              <w:top w:val="nil"/>
              <w:left w:val="single" w:sz="8" w:space="0" w:color="auto"/>
              <w:bottom w:val="single" w:sz="8" w:space="0" w:color="auto"/>
              <w:right w:val="single" w:sz="8" w:space="0" w:color="auto"/>
            </w:tcBorders>
            <w:vAlign w:val="center"/>
            <w:hideMark/>
          </w:tcPr>
          <w:p w:rsidR="00D219BD" w:rsidRPr="00D219BD" w:rsidP="002101D0" w14:paraId="45138817" w14:textId="77777777">
            <w:pPr>
              <w:rPr>
                <w:rFonts w:ascii="Times New Roman" w:hAnsi="Times New Roman"/>
                <w:sz w:val="20"/>
              </w:rPr>
            </w:pPr>
          </w:p>
        </w:tc>
        <w:tc>
          <w:tcPr>
            <w:tcW w:w="1080" w:type="dxa"/>
            <w:vMerge/>
            <w:tcBorders>
              <w:top w:val="nil"/>
              <w:left w:val="single" w:sz="8" w:space="0" w:color="auto"/>
              <w:bottom w:val="single" w:sz="8" w:space="0" w:color="auto"/>
              <w:right w:val="single" w:sz="8" w:space="0" w:color="auto"/>
            </w:tcBorders>
            <w:vAlign w:val="center"/>
            <w:hideMark/>
          </w:tcPr>
          <w:p w:rsidR="00D219BD" w:rsidRPr="00D219BD" w:rsidP="002101D0" w14:paraId="1958B35F" w14:textId="77777777">
            <w:pPr>
              <w:rPr>
                <w:rFonts w:ascii="Times New Roman" w:hAnsi="Times New Roman"/>
                <w:sz w:val="20"/>
              </w:rPr>
            </w:pPr>
          </w:p>
        </w:tc>
        <w:tc>
          <w:tcPr>
            <w:tcW w:w="900" w:type="dxa"/>
            <w:vMerge/>
            <w:tcBorders>
              <w:top w:val="nil"/>
              <w:left w:val="single" w:sz="8" w:space="0" w:color="auto"/>
              <w:bottom w:val="single" w:sz="8" w:space="0" w:color="auto"/>
              <w:right w:val="single" w:sz="8" w:space="0" w:color="auto"/>
            </w:tcBorders>
            <w:vAlign w:val="center"/>
            <w:hideMark/>
          </w:tcPr>
          <w:p w:rsidR="00D219BD" w:rsidRPr="00D219BD" w:rsidP="002101D0" w14:paraId="7AE61541" w14:textId="77777777">
            <w:pPr>
              <w:rPr>
                <w:rFonts w:ascii="Times New Roman" w:hAnsi="Times New Roman"/>
                <w:sz w:val="20"/>
              </w:rPr>
            </w:pPr>
          </w:p>
        </w:tc>
        <w:tc>
          <w:tcPr>
            <w:tcW w:w="990" w:type="dxa"/>
            <w:vMerge/>
            <w:tcBorders>
              <w:top w:val="nil"/>
              <w:left w:val="single" w:sz="8" w:space="0" w:color="auto"/>
              <w:bottom w:val="single" w:sz="8" w:space="0" w:color="auto"/>
              <w:right w:val="single" w:sz="8" w:space="0" w:color="auto"/>
            </w:tcBorders>
            <w:vAlign w:val="center"/>
            <w:hideMark/>
          </w:tcPr>
          <w:p w:rsidR="00D219BD" w:rsidRPr="00D219BD" w:rsidP="002101D0" w14:paraId="67CA6555" w14:textId="77777777">
            <w:pPr>
              <w:rPr>
                <w:rFonts w:ascii="Times New Roman" w:hAnsi="Times New Roman"/>
                <w:sz w:val="20"/>
              </w:rPr>
            </w:pPr>
          </w:p>
        </w:tc>
        <w:tc>
          <w:tcPr>
            <w:tcW w:w="553" w:type="dxa"/>
            <w:tcBorders>
              <w:top w:val="nil"/>
              <w:left w:val="nil"/>
              <w:bottom w:val="nil"/>
              <w:right w:val="nil"/>
            </w:tcBorders>
            <w:noWrap/>
            <w:vAlign w:val="bottom"/>
            <w:hideMark/>
          </w:tcPr>
          <w:p w:rsidR="00D219BD" w:rsidRPr="00D219BD" w:rsidP="002101D0" w14:paraId="5A9E5E7F" w14:textId="77777777">
            <w:pPr>
              <w:jc w:val="center"/>
              <w:rPr>
                <w:rFonts w:ascii="Times New Roman" w:hAnsi="Times New Roman"/>
                <w:sz w:val="20"/>
              </w:rPr>
            </w:pPr>
          </w:p>
        </w:tc>
      </w:tr>
      <w:tr w14:paraId="18F2DF6B" w14:textId="77777777" w:rsidTr="00D219BD">
        <w:tblPrEx>
          <w:tblW w:w="10903" w:type="dxa"/>
          <w:tblInd w:w="-100" w:type="dxa"/>
          <w:tblLayout w:type="fixed"/>
          <w:tblCellMar>
            <w:top w:w="15" w:type="dxa"/>
          </w:tblCellMar>
          <w:tblLook w:val="04A0"/>
        </w:tblPrEx>
        <w:trPr>
          <w:trHeight w:val="1417"/>
        </w:trPr>
        <w:tc>
          <w:tcPr>
            <w:tcW w:w="2520" w:type="dxa"/>
            <w:tcBorders>
              <w:top w:val="nil"/>
              <w:left w:val="single" w:sz="8" w:space="0" w:color="auto"/>
              <w:bottom w:val="single" w:sz="8" w:space="0" w:color="auto"/>
              <w:right w:val="single" w:sz="8" w:space="0" w:color="auto"/>
            </w:tcBorders>
            <w:vAlign w:val="center"/>
            <w:hideMark/>
          </w:tcPr>
          <w:p w:rsidR="00D219BD" w:rsidRPr="00D219BD" w:rsidP="002101D0" w14:paraId="64F3731A" w14:textId="77777777">
            <w:pPr>
              <w:rPr>
                <w:rFonts w:ascii="Times New Roman" w:hAnsi="Times New Roman"/>
                <w:sz w:val="20"/>
              </w:rPr>
            </w:pPr>
            <w:r w:rsidRPr="00D219BD">
              <w:rPr>
                <w:rFonts w:ascii="Times New Roman" w:hAnsi="Times New Roman"/>
                <w:sz w:val="20"/>
              </w:rPr>
              <w:t xml:space="preserve">1. Disclose to applicant that the IDI may obtain an appraisal for the property, 12 CFR </w:t>
            </w:r>
            <w:r w:rsidRPr="00D219BD">
              <w:rPr>
                <w:rFonts w:ascii="Times New Roman" w:hAnsi="Times New Roman"/>
              </w:rPr>
              <w:t>paragraph</w:t>
            </w:r>
            <w:r w:rsidRPr="00D219BD">
              <w:rPr>
                <w:rFonts w:ascii="Times New Roman" w:hAnsi="Times New Roman"/>
                <w:sz w:val="20"/>
              </w:rPr>
              <w:t>1026.35(c)(5)(i)</w:t>
            </w:r>
            <w:r w:rsidRPr="00D219BD">
              <w:rPr>
                <w:rFonts w:ascii="Times New Roman" w:hAnsi="Times New Roman"/>
                <w:sz w:val="20"/>
              </w:rPr>
              <w:br/>
              <w:t>(Mandatory)</w:t>
            </w:r>
          </w:p>
        </w:tc>
        <w:tc>
          <w:tcPr>
            <w:tcW w:w="857" w:type="dxa"/>
            <w:tcBorders>
              <w:top w:val="nil"/>
              <w:left w:val="nil"/>
              <w:bottom w:val="single" w:sz="8" w:space="0" w:color="auto"/>
              <w:right w:val="single" w:sz="8" w:space="0" w:color="auto"/>
            </w:tcBorders>
            <w:vAlign w:val="center"/>
            <w:hideMark/>
          </w:tcPr>
          <w:p w:rsidR="00D219BD" w:rsidRPr="00D219BD" w:rsidP="002101D0" w14:paraId="6A939FD5" w14:textId="77777777">
            <w:pPr>
              <w:jc w:val="center"/>
              <w:rPr>
                <w:rFonts w:ascii="Times New Roman" w:hAnsi="Times New Roman"/>
                <w:sz w:val="20"/>
              </w:rPr>
            </w:pPr>
            <w:r w:rsidRPr="00D219BD">
              <w:rPr>
                <w:rFonts w:ascii="Times New Roman" w:hAnsi="Times New Roman"/>
                <w:sz w:val="20"/>
              </w:rPr>
              <w:t>9.64</w:t>
            </w:r>
          </w:p>
        </w:tc>
        <w:tc>
          <w:tcPr>
            <w:tcW w:w="1033" w:type="dxa"/>
            <w:tcBorders>
              <w:top w:val="nil"/>
              <w:left w:val="nil"/>
              <w:bottom w:val="single" w:sz="8" w:space="0" w:color="auto"/>
              <w:right w:val="single" w:sz="8" w:space="0" w:color="auto"/>
            </w:tcBorders>
            <w:vAlign w:val="center"/>
            <w:hideMark/>
          </w:tcPr>
          <w:p w:rsidR="00D219BD" w:rsidRPr="00D219BD" w:rsidP="002101D0" w14:paraId="3C67A417" w14:textId="77777777">
            <w:pPr>
              <w:jc w:val="center"/>
              <w:rPr>
                <w:rFonts w:ascii="Times New Roman" w:hAnsi="Times New Roman"/>
                <w:sz w:val="20"/>
              </w:rPr>
            </w:pPr>
            <w:r w:rsidRPr="00D219BD">
              <w:rPr>
                <w:rFonts w:ascii="Times New Roman" w:hAnsi="Times New Roman"/>
                <w:sz w:val="20"/>
              </w:rPr>
              <w:t>0</w:t>
            </w:r>
          </w:p>
        </w:tc>
        <w:tc>
          <w:tcPr>
            <w:tcW w:w="900" w:type="dxa"/>
            <w:tcBorders>
              <w:top w:val="nil"/>
              <w:left w:val="nil"/>
              <w:bottom w:val="single" w:sz="8" w:space="0" w:color="auto"/>
              <w:right w:val="single" w:sz="8" w:space="0" w:color="auto"/>
            </w:tcBorders>
            <w:vAlign w:val="center"/>
            <w:hideMark/>
          </w:tcPr>
          <w:p w:rsidR="00D219BD" w:rsidRPr="00D219BD" w:rsidP="002101D0" w14:paraId="6F0EEDE7" w14:textId="77777777">
            <w:pPr>
              <w:jc w:val="center"/>
              <w:rPr>
                <w:rFonts w:ascii="Times New Roman" w:hAnsi="Times New Roman"/>
                <w:sz w:val="20"/>
              </w:rPr>
            </w:pPr>
            <w:r w:rsidRPr="00D219BD">
              <w:rPr>
                <w:rFonts w:ascii="Times New Roman" w:hAnsi="Times New Roman"/>
                <w:sz w:val="20"/>
              </w:rPr>
              <w:t>0</w:t>
            </w:r>
          </w:p>
        </w:tc>
        <w:tc>
          <w:tcPr>
            <w:tcW w:w="990" w:type="dxa"/>
            <w:tcBorders>
              <w:top w:val="nil"/>
              <w:left w:val="nil"/>
              <w:bottom w:val="single" w:sz="8" w:space="0" w:color="auto"/>
              <w:right w:val="single" w:sz="8" w:space="0" w:color="auto"/>
            </w:tcBorders>
            <w:vAlign w:val="center"/>
            <w:hideMark/>
          </w:tcPr>
          <w:p w:rsidR="00D219BD" w:rsidRPr="00D219BD" w:rsidP="002101D0" w14:paraId="2AC9B82C" w14:textId="77777777">
            <w:pPr>
              <w:jc w:val="center"/>
              <w:rPr>
                <w:rFonts w:ascii="Times New Roman" w:hAnsi="Times New Roman"/>
                <w:sz w:val="20"/>
              </w:rPr>
            </w:pPr>
            <w:r w:rsidRPr="00D219BD">
              <w:rPr>
                <w:rFonts w:ascii="Times New Roman" w:hAnsi="Times New Roman"/>
                <w:sz w:val="20"/>
              </w:rPr>
              <w:t>0</w:t>
            </w:r>
          </w:p>
        </w:tc>
        <w:tc>
          <w:tcPr>
            <w:tcW w:w="1080" w:type="dxa"/>
            <w:tcBorders>
              <w:top w:val="nil"/>
              <w:left w:val="nil"/>
              <w:bottom w:val="single" w:sz="8" w:space="0" w:color="auto"/>
              <w:right w:val="single" w:sz="8" w:space="0" w:color="auto"/>
            </w:tcBorders>
            <w:vAlign w:val="center"/>
            <w:hideMark/>
          </w:tcPr>
          <w:p w:rsidR="00D219BD" w:rsidRPr="00D219BD" w:rsidP="002101D0" w14:paraId="17AB3033" w14:textId="77777777">
            <w:pPr>
              <w:jc w:val="center"/>
              <w:rPr>
                <w:rFonts w:ascii="Times New Roman" w:hAnsi="Times New Roman"/>
                <w:sz w:val="20"/>
              </w:rPr>
            </w:pPr>
            <w:r w:rsidRPr="00D219BD">
              <w:rPr>
                <w:rFonts w:ascii="Times New Roman" w:hAnsi="Times New Roman"/>
                <w:sz w:val="20"/>
              </w:rPr>
              <w:t>0</w:t>
            </w:r>
          </w:p>
        </w:tc>
        <w:tc>
          <w:tcPr>
            <w:tcW w:w="1080" w:type="dxa"/>
            <w:tcBorders>
              <w:top w:val="nil"/>
              <w:left w:val="nil"/>
              <w:bottom w:val="single" w:sz="8" w:space="0" w:color="auto"/>
              <w:right w:val="single" w:sz="8" w:space="0" w:color="auto"/>
            </w:tcBorders>
            <w:vAlign w:val="center"/>
            <w:hideMark/>
          </w:tcPr>
          <w:p w:rsidR="00D219BD" w:rsidRPr="00D219BD" w:rsidP="002101D0" w14:paraId="1D64E18E" w14:textId="77777777">
            <w:pPr>
              <w:jc w:val="center"/>
              <w:rPr>
                <w:rFonts w:ascii="Times New Roman" w:hAnsi="Times New Roman"/>
                <w:sz w:val="20"/>
              </w:rPr>
            </w:pPr>
            <w:r w:rsidRPr="00D219BD">
              <w:rPr>
                <w:rFonts w:ascii="Times New Roman" w:hAnsi="Times New Roman"/>
                <w:sz w:val="20"/>
              </w:rPr>
              <w:t>0</w:t>
            </w:r>
          </w:p>
        </w:tc>
        <w:tc>
          <w:tcPr>
            <w:tcW w:w="900" w:type="dxa"/>
            <w:tcBorders>
              <w:top w:val="nil"/>
              <w:left w:val="nil"/>
              <w:bottom w:val="single" w:sz="8" w:space="0" w:color="auto"/>
              <w:right w:val="single" w:sz="8" w:space="0" w:color="auto"/>
            </w:tcBorders>
            <w:vAlign w:val="center"/>
            <w:hideMark/>
          </w:tcPr>
          <w:p w:rsidR="00D219BD" w:rsidRPr="00D219BD" w:rsidP="002101D0" w14:paraId="422DD3EF" w14:textId="77777777">
            <w:pPr>
              <w:jc w:val="center"/>
              <w:rPr>
                <w:rFonts w:ascii="Times New Roman" w:hAnsi="Times New Roman"/>
                <w:sz w:val="20"/>
              </w:rPr>
            </w:pPr>
            <w:r w:rsidRPr="00D219BD">
              <w:rPr>
                <w:rFonts w:ascii="Times New Roman" w:hAnsi="Times New Roman"/>
                <w:sz w:val="20"/>
              </w:rPr>
              <w:t>100</w:t>
            </w:r>
          </w:p>
        </w:tc>
        <w:tc>
          <w:tcPr>
            <w:tcW w:w="990" w:type="dxa"/>
            <w:tcBorders>
              <w:top w:val="nil"/>
              <w:left w:val="nil"/>
              <w:bottom w:val="single" w:sz="8" w:space="0" w:color="auto"/>
              <w:right w:val="single" w:sz="8" w:space="0" w:color="auto"/>
            </w:tcBorders>
            <w:vAlign w:val="center"/>
            <w:hideMark/>
          </w:tcPr>
          <w:p w:rsidR="00D219BD" w:rsidRPr="00D219BD" w:rsidP="002101D0" w14:paraId="73285F5F" w14:textId="77777777">
            <w:pPr>
              <w:ind w:firstLine="200" w:firstLineChars="100"/>
              <w:jc w:val="right"/>
              <w:rPr>
                <w:rFonts w:ascii="Times New Roman" w:hAnsi="Times New Roman"/>
                <w:sz w:val="20"/>
              </w:rPr>
            </w:pPr>
            <w:r w:rsidRPr="00D219BD">
              <w:rPr>
                <w:rFonts w:ascii="Times New Roman" w:hAnsi="Times New Roman"/>
                <w:sz w:val="20"/>
              </w:rPr>
              <w:t xml:space="preserve">$42.22 </w:t>
            </w:r>
          </w:p>
        </w:tc>
        <w:tc>
          <w:tcPr>
            <w:tcW w:w="553" w:type="dxa"/>
            <w:vAlign w:val="center"/>
            <w:hideMark/>
          </w:tcPr>
          <w:p w:rsidR="00D219BD" w:rsidRPr="00D219BD" w:rsidP="002101D0" w14:paraId="6EDFC0C3" w14:textId="77777777">
            <w:pPr>
              <w:rPr>
                <w:rFonts w:ascii="Times New Roman" w:hAnsi="Times New Roman"/>
                <w:sz w:val="20"/>
              </w:rPr>
            </w:pPr>
          </w:p>
        </w:tc>
      </w:tr>
      <w:tr w14:paraId="2B545904" w14:textId="77777777" w:rsidTr="00D219BD">
        <w:tblPrEx>
          <w:tblW w:w="10903" w:type="dxa"/>
          <w:tblInd w:w="-100" w:type="dxa"/>
          <w:tblLayout w:type="fixed"/>
          <w:tblCellMar>
            <w:top w:w="15" w:type="dxa"/>
          </w:tblCellMar>
          <w:tblLook w:val="04A0"/>
        </w:tblPrEx>
        <w:trPr>
          <w:trHeight w:val="1136"/>
        </w:trPr>
        <w:tc>
          <w:tcPr>
            <w:tcW w:w="2520" w:type="dxa"/>
            <w:tcBorders>
              <w:top w:val="nil"/>
              <w:left w:val="single" w:sz="8" w:space="0" w:color="auto"/>
              <w:bottom w:val="single" w:sz="8" w:space="0" w:color="auto"/>
              <w:right w:val="single" w:sz="8" w:space="0" w:color="auto"/>
            </w:tcBorders>
            <w:vAlign w:val="center"/>
            <w:hideMark/>
          </w:tcPr>
          <w:p w:rsidR="00D219BD" w:rsidRPr="00D219BD" w:rsidP="002101D0" w14:paraId="3871D8F9" w14:textId="77777777">
            <w:pPr>
              <w:rPr>
                <w:rFonts w:ascii="Times New Roman" w:hAnsi="Times New Roman"/>
                <w:sz w:val="20"/>
              </w:rPr>
            </w:pPr>
            <w:r w:rsidRPr="00D219BD">
              <w:rPr>
                <w:rFonts w:ascii="Times New Roman" w:hAnsi="Times New Roman"/>
                <w:sz w:val="20"/>
              </w:rPr>
              <w:t xml:space="preserve">2. Provide copy of written appraisal to the consumer, 12 CFR </w:t>
            </w:r>
            <w:r w:rsidRPr="00D219BD">
              <w:rPr>
                <w:rFonts w:ascii="Times New Roman" w:hAnsi="Times New Roman"/>
              </w:rPr>
              <w:t>paragraph</w:t>
            </w:r>
            <w:r w:rsidRPr="00D219BD">
              <w:rPr>
                <w:rFonts w:ascii="Times New Roman" w:hAnsi="Times New Roman"/>
                <w:sz w:val="20"/>
              </w:rPr>
              <w:t>1026.35(c)(6)(i)</w:t>
            </w:r>
            <w:r w:rsidRPr="00D219BD">
              <w:rPr>
                <w:rFonts w:ascii="Times New Roman" w:hAnsi="Times New Roman"/>
                <w:sz w:val="20"/>
              </w:rPr>
              <w:br/>
              <w:t>(Mandatory)</w:t>
            </w:r>
          </w:p>
        </w:tc>
        <w:tc>
          <w:tcPr>
            <w:tcW w:w="857" w:type="dxa"/>
            <w:tcBorders>
              <w:top w:val="nil"/>
              <w:left w:val="nil"/>
              <w:bottom w:val="single" w:sz="8" w:space="0" w:color="auto"/>
              <w:right w:val="single" w:sz="8" w:space="0" w:color="auto"/>
            </w:tcBorders>
            <w:vAlign w:val="center"/>
            <w:hideMark/>
          </w:tcPr>
          <w:p w:rsidR="00D219BD" w:rsidRPr="00D219BD" w:rsidP="002101D0" w14:paraId="029D9EC7" w14:textId="77777777">
            <w:pPr>
              <w:jc w:val="center"/>
              <w:rPr>
                <w:rFonts w:ascii="Times New Roman" w:hAnsi="Times New Roman"/>
                <w:sz w:val="20"/>
              </w:rPr>
            </w:pPr>
            <w:r w:rsidRPr="00D219BD">
              <w:rPr>
                <w:rFonts w:ascii="Times New Roman" w:hAnsi="Times New Roman"/>
                <w:sz w:val="20"/>
              </w:rPr>
              <w:t>82.98</w:t>
            </w:r>
          </w:p>
        </w:tc>
        <w:tc>
          <w:tcPr>
            <w:tcW w:w="1033" w:type="dxa"/>
            <w:tcBorders>
              <w:top w:val="nil"/>
              <w:left w:val="nil"/>
              <w:bottom w:val="single" w:sz="8" w:space="0" w:color="auto"/>
              <w:right w:val="single" w:sz="8" w:space="0" w:color="auto"/>
            </w:tcBorders>
            <w:vAlign w:val="center"/>
            <w:hideMark/>
          </w:tcPr>
          <w:p w:rsidR="00D219BD" w:rsidRPr="00D219BD" w:rsidP="002101D0" w14:paraId="73E0F55B" w14:textId="77777777">
            <w:pPr>
              <w:jc w:val="center"/>
              <w:rPr>
                <w:rFonts w:ascii="Times New Roman" w:hAnsi="Times New Roman"/>
                <w:sz w:val="20"/>
              </w:rPr>
            </w:pPr>
            <w:r w:rsidRPr="00D219BD">
              <w:rPr>
                <w:rFonts w:ascii="Times New Roman" w:hAnsi="Times New Roman"/>
                <w:sz w:val="20"/>
              </w:rPr>
              <w:t>0</w:t>
            </w:r>
          </w:p>
        </w:tc>
        <w:tc>
          <w:tcPr>
            <w:tcW w:w="900" w:type="dxa"/>
            <w:tcBorders>
              <w:top w:val="nil"/>
              <w:left w:val="nil"/>
              <w:bottom w:val="single" w:sz="8" w:space="0" w:color="auto"/>
              <w:right w:val="single" w:sz="8" w:space="0" w:color="auto"/>
            </w:tcBorders>
            <w:vAlign w:val="center"/>
            <w:hideMark/>
          </w:tcPr>
          <w:p w:rsidR="00D219BD" w:rsidRPr="00D219BD" w:rsidP="002101D0" w14:paraId="1831A5B1" w14:textId="77777777">
            <w:pPr>
              <w:jc w:val="center"/>
              <w:rPr>
                <w:rFonts w:ascii="Times New Roman" w:hAnsi="Times New Roman"/>
                <w:sz w:val="20"/>
              </w:rPr>
            </w:pPr>
            <w:r w:rsidRPr="00D219BD">
              <w:rPr>
                <w:rFonts w:ascii="Times New Roman" w:hAnsi="Times New Roman"/>
                <w:sz w:val="20"/>
              </w:rPr>
              <w:t>0</w:t>
            </w:r>
          </w:p>
        </w:tc>
        <w:tc>
          <w:tcPr>
            <w:tcW w:w="990" w:type="dxa"/>
            <w:tcBorders>
              <w:top w:val="nil"/>
              <w:left w:val="nil"/>
              <w:bottom w:val="single" w:sz="8" w:space="0" w:color="auto"/>
              <w:right w:val="single" w:sz="8" w:space="0" w:color="auto"/>
            </w:tcBorders>
            <w:vAlign w:val="center"/>
            <w:hideMark/>
          </w:tcPr>
          <w:p w:rsidR="00D219BD" w:rsidRPr="00D219BD" w:rsidP="002101D0" w14:paraId="43AE24A2" w14:textId="77777777">
            <w:pPr>
              <w:jc w:val="center"/>
              <w:rPr>
                <w:rFonts w:ascii="Times New Roman" w:hAnsi="Times New Roman"/>
                <w:sz w:val="20"/>
              </w:rPr>
            </w:pPr>
            <w:r w:rsidRPr="00D219BD">
              <w:rPr>
                <w:rFonts w:ascii="Times New Roman" w:hAnsi="Times New Roman"/>
                <w:sz w:val="20"/>
              </w:rPr>
              <w:t>10</w:t>
            </w:r>
          </w:p>
        </w:tc>
        <w:tc>
          <w:tcPr>
            <w:tcW w:w="1080" w:type="dxa"/>
            <w:tcBorders>
              <w:top w:val="nil"/>
              <w:left w:val="nil"/>
              <w:bottom w:val="single" w:sz="8" w:space="0" w:color="auto"/>
              <w:right w:val="single" w:sz="8" w:space="0" w:color="auto"/>
            </w:tcBorders>
            <w:vAlign w:val="center"/>
            <w:hideMark/>
          </w:tcPr>
          <w:p w:rsidR="00D219BD" w:rsidRPr="00D219BD" w:rsidP="002101D0" w14:paraId="0AC03093" w14:textId="77777777">
            <w:pPr>
              <w:jc w:val="center"/>
              <w:rPr>
                <w:rFonts w:ascii="Times New Roman" w:hAnsi="Times New Roman"/>
                <w:sz w:val="20"/>
              </w:rPr>
            </w:pPr>
            <w:r w:rsidRPr="00D219BD">
              <w:rPr>
                <w:rFonts w:ascii="Times New Roman" w:hAnsi="Times New Roman"/>
                <w:sz w:val="20"/>
              </w:rPr>
              <w:t>0</w:t>
            </w:r>
          </w:p>
        </w:tc>
        <w:tc>
          <w:tcPr>
            <w:tcW w:w="1080" w:type="dxa"/>
            <w:tcBorders>
              <w:top w:val="nil"/>
              <w:left w:val="nil"/>
              <w:bottom w:val="single" w:sz="8" w:space="0" w:color="auto"/>
              <w:right w:val="single" w:sz="8" w:space="0" w:color="auto"/>
            </w:tcBorders>
            <w:vAlign w:val="center"/>
            <w:hideMark/>
          </w:tcPr>
          <w:p w:rsidR="00D219BD" w:rsidRPr="00D219BD" w:rsidP="002101D0" w14:paraId="0A142317" w14:textId="77777777">
            <w:pPr>
              <w:jc w:val="center"/>
              <w:rPr>
                <w:rFonts w:ascii="Times New Roman" w:hAnsi="Times New Roman"/>
                <w:sz w:val="20"/>
              </w:rPr>
            </w:pPr>
            <w:r w:rsidRPr="00D219BD">
              <w:rPr>
                <w:rFonts w:ascii="Times New Roman" w:hAnsi="Times New Roman"/>
                <w:sz w:val="20"/>
              </w:rPr>
              <w:t>0</w:t>
            </w:r>
          </w:p>
        </w:tc>
        <w:tc>
          <w:tcPr>
            <w:tcW w:w="900" w:type="dxa"/>
            <w:tcBorders>
              <w:top w:val="nil"/>
              <w:left w:val="nil"/>
              <w:bottom w:val="single" w:sz="8" w:space="0" w:color="auto"/>
              <w:right w:val="single" w:sz="8" w:space="0" w:color="auto"/>
            </w:tcBorders>
            <w:vAlign w:val="center"/>
            <w:hideMark/>
          </w:tcPr>
          <w:p w:rsidR="00D219BD" w:rsidRPr="00D219BD" w:rsidP="002101D0" w14:paraId="4192D8DC" w14:textId="77777777">
            <w:pPr>
              <w:jc w:val="center"/>
              <w:rPr>
                <w:rFonts w:ascii="Times New Roman" w:hAnsi="Times New Roman"/>
                <w:sz w:val="20"/>
              </w:rPr>
            </w:pPr>
            <w:r w:rsidRPr="00D219BD">
              <w:rPr>
                <w:rFonts w:ascii="Times New Roman" w:hAnsi="Times New Roman"/>
                <w:sz w:val="20"/>
              </w:rPr>
              <w:t>90</w:t>
            </w:r>
          </w:p>
        </w:tc>
        <w:tc>
          <w:tcPr>
            <w:tcW w:w="990" w:type="dxa"/>
            <w:tcBorders>
              <w:top w:val="nil"/>
              <w:left w:val="nil"/>
              <w:bottom w:val="single" w:sz="8" w:space="0" w:color="auto"/>
              <w:right w:val="single" w:sz="8" w:space="0" w:color="auto"/>
            </w:tcBorders>
            <w:vAlign w:val="center"/>
            <w:hideMark/>
          </w:tcPr>
          <w:p w:rsidR="00D219BD" w:rsidRPr="00D219BD" w:rsidP="002101D0" w14:paraId="39964FE8" w14:textId="77777777">
            <w:pPr>
              <w:ind w:firstLine="200" w:firstLineChars="100"/>
              <w:jc w:val="right"/>
              <w:rPr>
                <w:rFonts w:ascii="Times New Roman" w:hAnsi="Times New Roman"/>
                <w:sz w:val="20"/>
              </w:rPr>
            </w:pPr>
            <w:r w:rsidRPr="00D219BD">
              <w:rPr>
                <w:rFonts w:ascii="Times New Roman" w:hAnsi="Times New Roman"/>
                <w:sz w:val="20"/>
              </w:rPr>
              <w:t xml:space="preserve">$46.01 </w:t>
            </w:r>
          </w:p>
        </w:tc>
        <w:tc>
          <w:tcPr>
            <w:tcW w:w="553" w:type="dxa"/>
            <w:vAlign w:val="center"/>
            <w:hideMark/>
          </w:tcPr>
          <w:p w:rsidR="00D219BD" w:rsidRPr="00D219BD" w:rsidP="002101D0" w14:paraId="568444E8" w14:textId="77777777">
            <w:pPr>
              <w:rPr>
                <w:rFonts w:ascii="Times New Roman" w:hAnsi="Times New Roman"/>
                <w:sz w:val="20"/>
              </w:rPr>
            </w:pPr>
          </w:p>
        </w:tc>
      </w:tr>
      <w:tr w14:paraId="0115B1EA" w14:textId="77777777" w:rsidTr="00D219BD">
        <w:tblPrEx>
          <w:tblW w:w="10903" w:type="dxa"/>
          <w:tblInd w:w="-100" w:type="dxa"/>
          <w:tblLayout w:type="fixed"/>
          <w:tblCellMar>
            <w:top w:w="15" w:type="dxa"/>
          </w:tblCellMar>
          <w:tblLook w:val="04A0"/>
        </w:tblPrEx>
        <w:trPr>
          <w:trHeight w:val="1774"/>
        </w:trPr>
        <w:tc>
          <w:tcPr>
            <w:tcW w:w="2520" w:type="dxa"/>
            <w:tcBorders>
              <w:top w:val="nil"/>
              <w:left w:val="single" w:sz="8" w:space="0" w:color="auto"/>
              <w:bottom w:val="single" w:sz="8" w:space="0" w:color="auto"/>
              <w:right w:val="single" w:sz="8" w:space="0" w:color="auto"/>
            </w:tcBorders>
            <w:vAlign w:val="center"/>
            <w:hideMark/>
          </w:tcPr>
          <w:p w:rsidR="00D219BD" w:rsidRPr="00D219BD" w:rsidP="002101D0" w14:paraId="5DE7B509" w14:textId="77777777">
            <w:pPr>
              <w:rPr>
                <w:rFonts w:ascii="Times New Roman" w:hAnsi="Times New Roman"/>
                <w:sz w:val="20"/>
              </w:rPr>
            </w:pPr>
            <w:r w:rsidRPr="00D219BD">
              <w:rPr>
                <w:rFonts w:ascii="Times New Roman" w:hAnsi="Times New Roman"/>
                <w:sz w:val="20"/>
              </w:rPr>
              <w:t xml:space="preserve">3. Provide documentation of property value to the consumer in lieu of an appraisal, 12 CFR </w:t>
            </w:r>
            <w:r w:rsidRPr="00D219BD">
              <w:rPr>
                <w:rFonts w:ascii="Times New Roman" w:hAnsi="Times New Roman"/>
              </w:rPr>
              <w:t>paragraph</w:t>
            </w:r>
            <w:r w:rsidRPr="00D219BD">
              <w:rPr>
                <w:rFonts w:ascii="Times New Roman" w:hAnsi="Times New Roman"/>
                <w:sz w:val="20"/>
              </w:rPr>
              <w:t>1026.35(c)(2)(viii)(B)</w:t>
            </w:r>
            <w:r w:rsidRPr="00D219BD">
              <w:rPr>
                <w:rFonts w:ascii="Times New Roman" w:hAnsi="Times New Roman"/>
                <w:sz w:val="20"/>
              </w:rPr>
              <w:br/>
              <w:t>(Mandatory)</w:t>
            </w:r>
          </w:p>
        </w:tc>
        <w:tc>
          <w:tcPr>
            <w:tcW w:w="857" w:type="dxa"/>
            <w:tcBorders>
              <w:top w:val="nil"/>
              <w:left w:val="nil"/>
              <w:bottom w:val="single" w:sz="8" w:space="0" w:color="auto"/>
              <w:right w:val="single" w:sz="8" w:space="0" w:color="auto"/>
            </w:tcBorders>
            <w:vAlign w:val="center"/>
            <w:hideMark/>
          </w:tcPr>
          <w:p w:rsidR="00D219BD" w:rsidRPr="00D219BD" w:rsidP="002101D0" w14:paraId="1D18F828" w14:textId="77777777">
            <w:pPr>
              <w:jc w:val="center"/>
              <w:rPr>
                <w:rFonts w:ascii="Times New Roman" w:hAnsi="Times New Roman"/>
                <w:sz w:val="20"/>
              </w:rPr>
            </w:pPr>
            <w:r w:rsidRPr="00D219BD">
              <w:rPr>
                <w:rFonts w:ascii="Times New Roman" w:hAnsi="Times New Roman"/>
                <w:sz w:val="20"/>
              </w:rPr>
              <w:t>7.38</w:t>
            </w:r>
          </w:p>
        </w:tc>
        <w:tc>
          <w:tcPr>
            <w:tcW w:w="1033" w:type="dxa"/>
            <w:tcBorders>
              <w:top w:val="nil"/>
              <w:left w:val="nil"/>
              <w:bottom w:val="single" w:sz="8" w:space="0" w:color="auto"/>
              <w:right w:val="single" w:sz="8" w:space="0" w:color="auto"/>
            </w:tcBorders>
            <w:vAlign w:val="center"/>
            <w:hideMark/>
          </w:tcPr>
          <w:p w:rsidR="00D219BD" w:rsidRPr="00D219BD" w:rsidP="002101D0" w14:paraId="61F4E0DC" w14:textId="77777777">
            <w:pPr>
              <w:jc w:val="center"/>
              <w:rPr>
                <w:rFonts w:ascii="Times New Roman" w:hAnsi="Times New Roman"/>
                <w:sz w:val="20"/>
              </w:rPr>
            </w:pPr>
            <w:r w:rsidRPr="00D219BD">
              <w:rPr>
                <w:rFonts w:ascii="Times New Roman" w:hAnsi="Times New Roman"/>
                <w:sz w:val="20"/>
              </w:rPr>
              <w:t>0</w:t>
            </w:r>
          </w:p>
        </w:tc>
        <w:tc>
          <w:tcPr>
            <w:tcW w:w="900" w:type="dxa"/>
            <w:tcBorders>
              <w:top w:val="nil"/>
              <w:left w:val="nil"/>
              <w:bottom w:val="single" w:sz="8" w:space="0" w:color="auto"/>
              <w:right w:val="single" w:sz="8" w:space="0" w:color="auto"/>
            </w:tcBorders>
            <w:vAlign w:val="center"/>
            <w:hideMark/>
          </w:tcPr>
          <w:p w:rsidR="00D219BD" w:rsidRPr="00D219BD" w:rsidP="002101D0" w14:paraId="0A6338F5" w14:textId="77777777">
            <w:pPr>
              <w:jc w:val="center"/>
              <w:rPr>
                <w:rFonts w:ascii="Times New Roman" w:hAnsi="Times New Roman"/>
                <w:sz w:val="20"/>
              </w:rPr>
            </w:pPr>
            <w:r w:rsidRPr="00D219BD">
              <w:rPr>
                <w:rFonts w:ascii="Times New Roman" w:hAnsi="Times New Roman"/>
                <w:sz w:val="20"/>
              </w:rPr>
              <w:t>0</w:t>
            </w:r>
          </w:p>
        </w:tc>
        <w:tc>
          <w:tcPr>
            <w:tcW w:w="990" w:type="dxa"/>
            <w:tcBorders>
              <w:top w:val="nil"/>
              <w:left w:val="nil"/>
              <w:bottom w:val="single" w:sz="8" w:space="0" w:color="auto"/>
              <w:right w:val="single" w:sz="8" w:space="0" w:color="auto"/>
            </w:tcBorders>
            <w:vAlign w:val="center"/>
            <w:hideMark/>
          </w:tcPr>
          <w:p w:rsidR="00D219BD" w:rsidRPr="00D219BD" w:rsidP="002101D0" w14:paraId="1B8CCB19" w14:textId="77777777">
            <w:pPr>
              <w:jc w:val="center"/>
              <w:rPr>
                <w:rFonts w:ascii="Times New Roman" w:hAnsi="Times New Roman"/>
                <w:sz w:val="20"/>
              </w:rPr>
            </w:pPr>
            <w:r w:rsidRPr="00D219BD">
              <w:rPr>
                <w:rFonts w:ascii="Times New Roman" w:hAnsi="Times New Roman"/>
                <w:sz w:val="20"/>
              </w:rPr>
              <w:t>10</w:t>
            </w:r>
          </w:p>
        </w:tc>
        <w:tc>
          <w:tcPr>
            <w:tcW w:w="1080" w:type="dxa"/>
            <w:tcBorders>
              <w:top w:val="nil"/>
              <w:left w:val="nil"/>
              <w:bottom w:val="single" w:sz="8" w:space="0" w:color="auto"/>
              <w:right w:val="single" w:sz="8" w:space="0" w:color="auto"/>
            </w:tcBorders>
            <w:vAlign w:val="center"/>
            <w:hideMark/>
          </w:tcPr>
          <w:p w:rsidR="00D219BD" w:rsidRPr="00D219BD" w:rsidP="002101D0" w14:paraId="03584B7D" w14:textId="77777777">
            <w:pPr>
              <w:jc w:val="center"/>
              <w:rPr>
                <w:rFonts w:ascii="Times New Roman" w:hAnsi="Times New Roman"/>
                <w:sz w:val="20"/>
              </w:rPr>
            </w:pPr>
            <w:r w:rsidRPr="00D219BD">
              <w:rPr>
                <w:rFonts w:ascii="Times New Roman" w:hAnsi="Times New Roman"/>
                <w:sz w:val="20"/>
              </w:rPr>
              <w:t>0</w:t>
            </w:r>
          </w:p>
        </w:tc>
        <w:tc>
          <w:tcPr>
            <w:tcW w:w="1080" w:type="dxa"/>
            <w:tcBorders>
              <w:top w:val="nil"/>
              <w:left w:val="nil"/>
              <w:bottom w:val="single" w:sz="8" w:space="0" w:color="auto"/>
              <w:right w:val="single" w:sz="8" w:space="0" w:color="auto"/>
            </w:tcBorders>
            <w:vAlign w:val="center"/>
            <w:hideMark/>
          </w:tcPr>
          <w:p w:rsidR="00D219BD" w:rsidRPr="00D219BD" w:rsidP="002101D0" w14:paraId="6D549FDF" w14:textId="77777777">
            <w:pPr>
              <w:jc w:val="center"/>
              <w:rPr>
                <w:rFonts w:ascii="Times New Roman" w:hAnsi="Times New Roman"/>
                <w:sz w:val="20"/>
              </w:rPr>
            </w:pPr>
            <w:r w:rsidRPr="00D219BD">
              <w:rPr>
                <w:rFonts w:ascii="Times New Roman" w:hAnsi="Times New Roman"/>
                <w:sz w:val="20"/>
              </w:rPr>
              <w:t>0</w:t>
            </w:r>
          </w:p>
        </w:tc>
        <w:tc>
          <w:tcPr>
            <w:tcW w:w="900" w:type="dxa"/>
            <w:tcBorders>
              <w:top w:val="nil"/>
              <w:left w:val="nil"/>
              <w:bottom w:val="single" w:sz="8" w:space="0" w:color="auto"/>
              <w:right w:val="single" w:sz="8" w:space="0" w:color="auto"/>
            </w:tcBorders>
            <w:vAlign w:val="center"/>
            <w:hideMark/>
          </w:tcPr>
          <w:p w:rsidR="00D219BD" w:rsidRPr="00D219BD" w:rsidP="002101D0" w14:paraId="62862752" w14:textId="77777777">
            <w:pPr>
              <w:jc w:val="center"/>
              <w:rPr>
                <w:rFonts w:ascii="Times New Roman" w:hAnsi="Times New Roman"/>
                <w:sz w:val="20"/>
              </w:rPr>
            </w:pPr>
            <w:r w:rsidRPr="00D219BD">
              <w:rPr>
                <w:rFonts w:ascii="Times New Roman" w:hAnsi="Times New Roman"/>
                <w:sz w:val="20"/>
              </w:rPr>
              <w:t>90</w:t>
            </w:r>
          </w:p>
        </w:tc>
        <w:tc>
          <w:tcPr>
            <w:tcW w:w="990" w:type="dxa"/>
            <w:tcBorders>
              <w:top w:val="nil"/>
              <w:left w:val="nil"/>
              <w:bottom w:val="single" w:sz="8" w:space="0" w:color="auto"/>
              <w:right w:val="single" w:sz="8" w:space="0" w:color="auto"/>
            </w:tcBorders>
            <w:vAlign w:val="center"/>
            <w:hideMark/>
          </w:tcPr>
          <w:p w:rsidR="00D219BD" w:rsidRPr="00D219BD" w:rsidP="002101D0" w14:paraId="4F9F51A0" w14:textId="77777777">
            <w:pPr>
              <w:ind w:firstLine="200" w:firstLineChars="100"/>
              <w:jc w:val="right"/>
              <w:rPr>
                <w:rFonts w:ascii="Times New Roman" w:hAnsi="Times New Roman"/>
                <w:sz w:val="20"/>
              </w:rPr>
            </w:pPr>
            <w:r w:rsidRPr="00D219BD">
              <w:rPr>
                <w:rFonts w:ascii="Times New Roman" w:hAnsi="Times New Roman"/>
                <w:sz w:val="20"/>
              </w:rPr>
              <w:t xml:space="preserve">$46.01 </w:t>
            </w:r>
          </w:p>
        </w:tc>
        <w:tc>
          <w:tcPr>
            <w:tcW w:w="553" w:type="dxa"/>
            <w:vAlign w:val="center"/>
            <w:hideMark/>
          </w:tcPr>
          <w:p w:rsidR="00D219BD" w:rsidRPr="00D219BD" w:rsidP="002101D0" w14:paraId="2E0B42FD" w14:textId="77777777">
            <w:pPr>
              <w:rPr>
                <w:rFonts w:ascii="Times New Roman" w:hAnsi="Times New Roman"/>
                <w:sz w:val="20"/>
              </w:rPr>
            </w:pPr>
          </w:p>
        </w:tc>
      </w:tr>
      <w:tr w14:paraId="44DF586F" w14:textId="77777777" w:rsidTr="00D219BD">
        <w:tblPrEx>
          <w:tblW w:w="10903" w:type="dxa"/>
          <w:tblInd w:w="-100" w:type="dxa"/>
          <w:tblLayout w:type="fixed"/>
          <w:tblCellMar>
            <w:top w:w="15" w:type="dxa"/>
          </w:tblCellMar>
          <w:tblLook w:val="04A0"/>
        </w:tblPrEx>
        <w:trPr>
          <w:trHeight w:val="311"/>
        </w:trPr>
        <w:tc>
          <w:tcPr>
            <w:tcW w:w="9360" w:type="dxa"/>
            <w:gridSpan w:val="8"/>
            <w:tcBorders>
              <w:top w:val="single" w:sz="8" w:space="0" w:color="auto"/>
              <w:left w:val="single" w:sz="8" w:space="0" w:color="auto"/>
              <w:bottom w:val="nil"/>
              <w:right w:val="single" w:sz="8" w:space="0" w:color="auto"/>
            </w:tcBorders>
            <w:vAlign w:val="center"/>
            <w:hideMark/>
          </w:tcPr>
          <w:p w:rsidR="00D219BD" w:rsidRPr="00D219BD" w:rsidP="002101D0" w14:paraId="385714DB" w14:textId="77777777">
            <w:pPr>
              <w:jc w:val="right"/>
              <w:rPr>
                <w:rFonts w:ascii="Times New Roman" w:hAnsi="Times New Roman"/>
                <w:b/>
                <w:bCs/>
                <w:i/>
                <w:iCs/>
              </w:rPr>
            </w:pPr>
            <w:r w:rsidRPr="00D219BD">
              <w:rPr>
                <w:rFonts w:ascii="Times New Roman" w:hAnsi="Times New Roman"/>
                <w:b/>
                <w:bCs/>
                <w:i/>
                <w:iCs/>
              </w:rPr>
              <w:t>Weighted Average Hourly Compensation Rate:</w:t>
            </w:r>
          </w:p>
        </w:tc>
        <w:tc>
          <w:tcPr>
            <w:tcW w:w="990" w:type="dxa"/>
            <w:tcBorders>
              <w:top w:val="nil"/>
              <w:left w:val="nil"/>
              <w:bottom w:val="nil"/>
              <w:right w:val="single" w:sz="8" w:space="0" w:color="auto"/>
            </w:tcBorders>
            <w:vAlign w:val="center"/>
            <w:hideMark/>
          </w:tcPr>
          <w:p w:rsidR="00D219BD" w:rsidRPr="00D219BD" w:rsidP="00D219BD" w14:paraId="7FC7EDE6" w14:textId="77777777">
            <w:pPr>
              <w:rPr>
                <w:rFonts w:ascii="Times New Roman" w:hAnsi="Times New Roman"/>
                <w:b/>
                <w:bCs/>
                <w:i/>
                <w:iCs/>
              </w:rPr>
            </w:pPr>
            <w:r w:rsidRPr="00D219BD">
              <w:rPr>
                <w:rFonts w:ascii="Times New Roman" w:hAnsi="Times New Roman"/>
                <w:b/>
                <w:bCs/>
                <w:i/>
                <w:iCs/>
              </w:rPr>
              <w:t xml:space="preserve">$45.64 </w:t>
            </w:r>
          </w:p>
        </w:tc>
        <w:tc>
          <w:tcPr>
            <w:tcW w:w="553" w:type="dxa"/>
            <w:vAlign w:val="center"/>
            <w:hideMark/>
          </w:tcPr>
          <w:p w:rsidR="00D219BD" w:rsidRPr="00D219BD" w:rsidP="002101D0" w14:paraId="33FE7BC7" w14:textId="77777777">
            <w:pPr>
              <w:rPr>
                <w:rFonts w:ascii="Times New Roman" w:hAnsi="Times New Roman"/>
                <w:sz w:val="20"/>
              </w:rPr>
            </w:pPr>
          </w:p>
        </w:tc>
      </w:tr>
      <w:tr w14:paraId="6C074BF6" w14:textId="77777777" w:rsidTr="00D219BD">
        <w:tblPrEx>
          <w:tblW w:w="10903" w:type="dxa"/>
          <w:tblInd w:w="-100" w:type="dxa"/>
          <w:tblLayout w:type="fixed"/>
          <w:tblCellMar>
            <w:top w:w="15" w:type="dxa"/>
          </w:tblCellMar>
          <w:tblLook w:val="04A0"/>
        </w:tblPrEx>
        <w:trPr>
          <w:trHeight w:val="261"/>
        </w:trPr>
        <w:tc>
          <w:tcPr>
            <w:tcW w:w="10350" w:type="dxa"/>
            <w:gridSpan w:val="9"/>
            <w:vMerge w:val="restart"/>
            <w:tcBorders>
              <w:top w:val="single" w:sz="8" w:space="0" w:color="auto"/>
              <w:left w:val="single" w:sz="8" w:space="0" w:color="auto"/>
              <w:bottom w:val="nil"/>
              <w:right w:val="single" w:sz="8" w:space="0" w:color="000000"/>
            </w:tcBorders>
            <w:vAlign w:val="center"/>
            <w:hideMark/>
          </w:tcPr>
          <w:p w:rsidR="00D219BD" w:rsidRPr="00D219BD" w:rsidP="002101D0" w14:paraId="47507DAE" w14:textId="77777777">
            <w:pPr>
              <w:rPr>
                <w:rFonts w:ascii="Times New Roman" w:hAnsi="Times New Roman"/>
                <w:sz w:val="18"/>
                <w:szCs w:val="18"/>
              </w:rPr>
            </w:pPr>
            <w:r w:rsidRPr="00D219BD">
              <w:rPr>
                <w:rFonts w:ascii="Times New Roman" w:hAnsi="Times New Roman"/>
                <w:sz w:val="18"/>
                <w:szCs w:val="18"/>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June 2025). Standard Occupational Classification (SOC) Codes: Exec. And </w:t>
            </w:r>
            <w:r w:rsidRPr="00D219BD">
              <w:rPr>
                <w:rFonts w:ascii="Times New Roman" w:hAnsi="Times New Roman"/>
                <w:sz w:val="18"/>
                <w:szCs w:val="18"/>
              </w:rPr>
              <w:t>Mgr</w:t>
            </w:r>
            <w:r w:rsidRPr="00D219BD">
              <w:rPr>
                <w:rFonts w:ascii="Times New Roman" w:hAnsi="Times New Roman"/>
                <w:sz w:val="18"/>
                <w:szCs w:val="18"/>
              </w:rPr>
              <w:t xml:space="preserve"> = 11-0000 Management Occupations; Lawyer = 23-0000 Legal Occupations; </w:t>
            </w:r>
            <w:r w:rsidRPr="00D219BD">
              <w:rPr>
                <w:rFonts w:ascii="Times New Roman" w:hAnsi="Times New Roman"/>
                <w:sz w:val="18"/>
                <w:szCs w:val="18"/>
              </w:rPr>
              <w:t>Compl</w:t>
            </w:r>
            <w:r w:rsidRPr="00D219BD">
              <w:rPr>
                <w:rFonts w:ascii="Times New Roman" w:hAnsi="Times New Roman"/>
                <w:sz w:val="18"/>
                <w:szCs w:val="18"/>
              </w:rPr>
              <w:t xml:space="preserve">. Ofc. = 13-1040 Compliance Officers; IT = 15-0000 Computer and Mathematical Occupations; Fin. </w:t>
            </w:r>
            <w:r w:rsidRPr="00D219BD">
              <w:rPr>
                <w:rFonts w:ascii="Times New Roman" w:hAnsi="Times New Roman"/>
                <w:sz w:val="18"/>
                <w:szCs w:val="18"/>
              </w:rPr>
              <w:t>Anlst</w:t>
            </w:r>
            <w:r w:rsidRPr="00D219BD">
              <w:rPr>
                <w:rFonts w:ascii="Times New Roman" w:hAnsi="Times New Roman"/>
                <w:sz w:val="18"/>
                <w:szCs w:val="18"/>
              </w:rPr>
              <w:t xml:space="preserve">. = 13-2051 Financial and Investment Analysts; Clerical = 43-0000 Office and Administrative Support Occupations. </w:t>
            </w:r>
          </w:p>
        </w:tc>
        <w:tc>
          <w:tcPr>
            <w:tcW w:w="553" w:type="dxa"/>
            <w:vAlign w:val="center"/>
            <w:hideMark/>
          </w:tcPr>
          <w:p w:rsidR="00D219BD" w:rsidRPr="00D219BD" w:rsidP="002101D0" w14:paraId="75F25081" w14:textId="77777777">
            <w:pPr>
              <w:rPr>
                <w:rFonts w:ascii="Times New Roman" w:hAnsi="Times New Roman"/>
                <w:sz w:val="20"/>
              </w:rPr>
            </w:pPr>
          </w:p>
        </w:tc>
      </w:tr>
      <w:tr w14:paraId="017068F5" w14:textId="77777777" w:rsidTr="00D219BD">
        <w:tblPrEx>
          <w:tblW w:w="10903" w:type="dxa"/>
          <w:tblInd w:w="-100" w:type="dxa"/>
          <w:tblLayout w:type="fixed"/>
          <w:tblCellMar>
            <w:top w:w="15" w:type="dxa"/>
          </w:tblCellMar>
          <w:tblLook w:val="04A0"/>
        </w:tblPrEx>
        <w:trPr>
          <w:trHeight w:val="300"/>
        </w:trPr>
        <w:tc>
          <w:tcPr>
            <w:tcW w:w="10350" w:type="dxa"/>
            <w:gridSpan w:val="9"/>
            <w:vMerge/>
            <w:tcBorders>
              <w:top w:val="single" w:sz="8" w:space="0" w:color="auto"/>
              <w:left w:val="single" w:sz="8" w:space="0" w:color="auto"/>
              <w:bottom w:val="nil"/>
              <w:right w:val="single" w:sz="8" w:space="0" w:color="000000"/>
            </w:tcBorders>
            <w:vAlign w:val="center"/>
            <w:hideMark/>
          </w:tcPr>
          <w:p w:rsidR="00D219BD" w:rsidRPr="00D219BD" w:rsidP="002101D0" w14:paraId="6EFA1A2B" w14:textId="77777777">
            <w:pPr>
              <w:rPr>
                <w:rFonts w:ascii="Times New Roman" w:hAnsi="Times New Roman"/>
                <w:sz w:val="18"/>
                <w:szCs w:val="18"/>
              </w:rPr>
            </w:pPr>
          </w:p>
        </w:tc>
        <w:tc>
          <w:tcPr>
            <w:tcW w:w="553" w:type="dxa"/>
            <w:tcBorders>
              <w:top w:val="nil"/>
              <w:left w:val="nil"/>
              <w:bottom w:val="nil"/>
              <w:right w:val="nil"/>
            </w:tcBorders>
            <w:noWrap/>
            <w:vAlign w:val="bottom"/>
            <w:hideMark/>
          </w:tcPr>
          <w:p w:rsidR="00D219BD" w:rsidRPr="00D219BD" w:rsidP="002101D0" w14:paraId="0BCAE2EE" w14:textId="77777777">
            <w:pPr>
              <w:rPr>
                <w:rFonts w:ascii="Times New Roman" w:hAnsi="Times New Roman"/>
                <w:sz w:val="18"/>
                <w:szCs w:val="18"/>
              </w:rPr>
            </w:pPr>
          </w:p>
        </w:tc>
      </w:tr>
      <w:tr w14:paraId="42447633" w14:textId="77777777" w:rsidTr="00D219BD">
        <w:tblPrEx>
          <w:tblW w:w="10903" w:type="dxa"/>
          <w:tblInd w:w="-100" w:type="dxa"/>
          <w:tblLayout w:type="fixed"/>
          <w:tblCellMar>
            <w:top w:w="15" w:type="dxa"/>
          </w:tblCellMar>
          <w:tblLook w:val="04A0"/>
        </w:tblPrEx>
        <w:trPr>
          <w:trHeight w:val="311"/>
        </w:trPr>
        <w:tc>
          <w:tcPr>
            <w:tcW w:w="10350" w:type="dxa"/>
            <w:gridSpan w:val="9"/>
            <w:vMerge/>
            <w:tcBorders>
              <w:top w:val="single" w:sz="8" w:space="0" w:color="auto"/>
              <w:left w:val="single" w:sz="8" w:space="0" w:color="auto"/>
              <w:bottom w:val="nil"/>
              <w:right w:val="single" w:sz="8" w:space="0" w:color="000000"/>
            </w:tcBorders>
            <w:vAlign w:val="center"/>
            <w:hideMark/>
          </w:tcPr>
          <w:p w:rsidR="00D219BD" w:rsidRPr="00D219BD" w:rsidP="002101D0" w14:paraId="50771DB9" w14:textId="77777777">
            <w:pPr>
              <w:rPr>
                <w:rFonts w:ascii="Times New Roman" w:hAnsi="Times New Roman"/>
                <w:sz w:val="18"/>
                <w:szCs w:val="18"/>
              </w:rPr>
            </w:pPr>
          </w:p>
        </w:tc>
        <w:tc>
          <w:tcPr>
            <w:tcW w:w="553" w:type="dxa"/>
            <w:tcBorders>
              <w:top w:val="nil"/>
              <w:left w:val="nil"/>
              <w:bottom w:val="nil"/>
              <w:right w:val="nil"/>
            </w:tcBorders>
            <w:noWrap/>
            <w:vAlign w:val="bottom"/>
            <w:hideMark/>
          </w:tcPr>
          <w:p w:rsidR="00D219BD" w:rsidRPr="00D219BD" w:rsidP="002101D0" w14:paraId="04BC2E2F" w14:textId="77777777">
            <w:pPr>
              <w:rPr>
                <w:rFonts w:ascii="Times New Roman" w:hAnsi="Times New Roman"/>
                <w:sz w:val="20"/>
              </w:rPr>
            </w:pPr>
          </w:p>
        </w:tc>
      </w:tr>
      <w:tr w14:paraId="11578ED1" w14:textId="77777777" w:rsidTr="00D219BD">
        <w:tblPrEx>
          <w:tblW w:w="10903" w:type="dxa"/>
          <w:tblInd w:w="-100" w:type="dxa"/>
          <w:tblLayout w:type="fixed"/>
          <w:tblCellMar>
            <w:top w:w="15" w:type="dxa"/>
          </w:tblCellMar>
          <w:tblLook w:val="04A0"/>
        </w:tblPrEx>
        <w:trPr>
          <w:trHeight w:val="323"/>
        </w:trPr>
        <w:tc>
          <w:tcPr>
            <w:tcW w:w="10350" w:type="dxa"/>
            <w:gridSpan w:val="9"/>
            <w:vMerge/>
            <w:tcBorders>
              <w:top w:val="single" w:sz="8" w:space="0" w:color="auto"/>
              <w:left w:val="single" w:sz="8" w:space="0" w:color="auto"/>
              <w:bottom w:val="nil"/>
              <w:right w:val="single" w:sz="8" w:space="0" w:color="000000"/>
            </w:tcBorders>
            <w:vAlign w:val="center"/>
            <w:hideMark/>
          </w:tcPr>
          <w:p w:rsidR="00D219BD" w:rsidRPr="00D219BD" w:rsidP="002101D0" w14:paraId="5777540C" w14:textId="77777777">
            <w:pPr>
              <w:rPr>
                <w:rFonts w:ascii="Times New Roman" w:hAnsi="Times New Roman"/>
                <w:sz w:val="18"/>
                <w:szCs w:val="18"/>
              </w:rPr>
            </w:pPr>
          </w:p>
        </w:tc>
        <w:tc>
          <w:tcPr>
            <w:tcW w:w="553" w:type="dxa"/>
            <w:tcBorders>
              <w:top w:val="nil"/>
              <w:left w:val="nil"/>
              <w:bottom w:val="nil"/>
              <w:right w:val="nil"/>
            </w:tcBorders>
            <w:noWrap/>
            <w:vAlign w:val="bottom"/>
            <w:hideMark/>
          </w:tcPr>
          <w:p w:rsidR="00D219BD" w:rsidRPr="00D219BD" w:rsidP="002101D0" w14:paraId="17E0422E" w14:textId="77777777">
            <w:pPr>
              <w:rPr>
                <w:rFonts w:ascii="Times New Roman" w:hAnsi="Times New Roman"/>
                <w:sz w:val="20"/>
              </w:rPr>
            </w:pPr>
          </w:p>
        </w:tc>
      </w:tr>
      <w:tr w14:paraId="403E7D6A" w14:textId="77777777" w:rsidTr="00D219BD">
        <w:tblPrEx>
          <w:tblW w:w="10903" w:type="dxa"/>
          <w:tblInd w:w="-100" w:type="dxa"/>
          <w:tblLayout w:type="fixed"/>
          <w:tblCellMar>
            <w:top w:w="15" w:type="dxa"/>
          </w:tblCellMar>
          <w:tblLook w:val="04A0"/>
        </w:tblPrEx>
        <w:trPr>
          <w:trHeight w:val="424"/>
        </w:trPr>
        <w:tc>
          <w:tcPr>
            <w:tcW w:w="10350" w:type="dxa"/>
            <w:gridSpan w:val="9"/>
            <w:vMerge w:val="restart"/>
            <w:tcBorders>
              <w:top w:val="nil"/>
              <w:left w:val="single" w:sz="8" w:space="0" w:color="auto"/>
              <w:bottom w:val="single" w:sz="8" w:space="0" w:color="auto"/>
              <w:right w:val="single" w:sz="8" w:space="0" w:color="auto"/>
            </w:tcBorders>
            <w:vAlign w:val="center"/>
            <w:hideMark/>
          </w:tcPr>
          <w:p w:rsidR="00D219BD" w:rsidRPr="00D219BD" w:rsidP="002101D0" w14:paraId="670EB2ED" w14:textId="77777777">
            <w:pPr>
              <w:rPr>
                <w:rFonts w:ascii="Times New Roman" w:hAnsi="Times New Roman"/>
                <w:sz w:val="18"/>
                <w:szCs w:val="18"/>
              </w:rPr>
            </w:pPr>
            <w:r w:rsidRPr="00D219BD">
              <w:rPr>
                <w:rFonts w:ascii="Times New Roman" w:hAnsi="Times New Roman"/>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553" w:type="dxa"/>
            <w:vAlign w:val="center"/>
            <w:hideMark/>
          </w:tcPr>
          <w:p w:rsidR="00D219BD" w:rsidRPr="00D219BD" w:rsidP="002101D0" w14:paraId="39F3277B" w14:textId="77777777">
            <w:pPr>
              <w:rPr>
                <w:rFonts w:ascii="Times New Roman" w:hAnsi="Times New Roman"/>
                <w:sz w:val="20"/>
              </w:rPr>
            </w:pPr>
          </w:p>
        </w:tc>
      </w:tr>
      <w:tr w14:paraId="147187FC" w14:textId="77777777" w:rsidTr="00D219BD">
        <w:tblPrEx>
          <w:tblW w:w="10903" w:type="dxa"/>
          <w:tblInd w:w="-100" w:type="dxa"/>
          <w:tblLayout w:type="fixed"/>
          <w:tblCellMar>
            <w:top w:w="15" w:type="dxa"/>
          </w:tblCellMar>
          <w:tblLook w:val="04A0"/>
        </w:tblPrEx>
        <w:trPr>
          <w:trHeight w:val="300"/>
        </w:trPr>
        <w:tc>
          <w:tcPr>
            <w:tcW w:w="10350" w:type="dxa"/>
            <w:gridSpan w:val="9"/>
            <w:vMerge/>
            <w:tcBorders>
              <w:top w:val="nil"/>
              <w:left w:val="single" w:sz="8" w:space="0" w:color="auto"/>
              <w:bottom w:val="single" w:sz="8" w:space="0" w:color="auto"/>
              <w:right w:val="single" w:sz="8" w:space="0" w:color="auto"/>
            </w:tcBorders>
            <w:vAlign w:val="center"/>
            <w:hideMark/>
          </w:tcPr>
          <w:p w:rsidR="00D219BD" w:rsidRPr="00D219BD" w:rsidP="002101D0" w14:paraId="385E1C48" w14:textId="77777777">
            <w:pPr>
              <w:rPr>
                <w:rFonts w:ascii="Times New Roman" w:hAnsi="Times New Roman"/>
                <w:sz w:val="18"/>
                <w:szCs w:val="18"/>
              </w:rPr>
            </w:pPr>
          </w:p>
        </w:tc>
        <w:tc>
          <w:tcPr>
            <w:tcW w:w="553" w:type="dxa"/>
            <w:tcBorders>
              <w:top w:val="nil"/>
              <w:left w:val="nil"/>
              <w:bottom w:val="nil"/>
              <w:right w:val="nil"/>
            </w:tcBorders>
            <w:noWrap/>
            <w:vAlign w:val="bottom"/>
            <w:hideMark/>
          </w:tcPr>
          <w:p w:rsidR="00D219BD" w:rsidRPr="00D219BD" w:rsidP="002101D0" w14:paraId="0D6FC8A8" w14:textId="77777777">
            <w:pPr>
              <w:rPr>
                <w:rFonts w:ascii="Times New Roman" w:hAnsi="Times New Roman"/>
                <w:sz w:val="18"/>
                <w:szCs w:val="18"/>
              </w:rPr>
            </w:pPr>
          </w:p>
        </w:tc>
      </w:tr>
      <w:tr w14:paraId="731A44B8" w14:textId="77777777" w:rsidTr="00D219BD">
        <w:tblPrEx>
          <w:tblW w:w="10903" w:type="dxa"/>
          <w:tblInd w:w="-100" w:type="dxa"/>
          <w:tblLayout w:type="fixed"/>
          <w:tblCellMar>
            <w:top w:w="15" w:type="dxa"/>
          </w:tblCellMar>
          <w:tblLook w:val="04A0"/>
        </w:tblPrEx>
        <w:trPr>
          <w:trHeight w:val="300"/>
        </w:trPr>
        <w:tc>
          <w:tcPr>
            <w:tcW w:w="10350" w:type="dxa"/>
            <w:gridSpan w:val="9"/>
            <w:vMerge/>
            <w:tcBorders>
              <w:top w:val="nil"/>
              <w:left w:val="single" w:sz="8" w:space="0" w:color="auto"/>
              <w:bottom w:val="single" w:sz="8" w:space="0" w:color="auto"/>
              <w:right w:val="single" w:sz="8" w:space="0" w:color="auto"/>
            </w:tcBorders>
            <w:vAlign w:val="center"/>
            <w:hideMark/>
          </w:tcPr>
          <w:p w:rsidR="00D219BD" w:rsidRPr="00D219BD" w:rsidP="002101D0" w14:paraId="627A95CD" w14:textId="77777777">
            <w:pPr>
              <w:rPr>
                <w:rFonts w:ascii="Times New Roman" w:hAnsi="Times New Roman"/>
                <w:sz w:val="18"/>
                <w:szCs w:val="18"/>
              </w:rPr>
            </w:pPr>
          </w:p>
        </w:tc>
        <w:tc>
          <w:tcPr>
            <w:tcW w:w="553" w:type="dxa"/>
            <w:tcBorders>
              <w:top w:val="nil"/>
              <w:left w:val="nil"/>
              <w:bottom w:val="nil"/>
              <w:right w:val="nil"/>
            </w:tcBorders>
            <w:noWrap/>
            <w:vAlign w:val="bottom"/>
            <w:hideMark/>
          </w:tcPr>
          <w:p w:rsidR="00D219BD" w:rsidRPr="00D219BD" w:rsidP="002101D0" w14:paraId="13D1CFB6" w14:textId="77777777">
            <w:pPr>
              <w:rPr>
                <w:rFonts w:ascii="Times New Roman" w:hAnsi="Times New Roman"/>
                <w:sz w:val="20"/>
              </w:rPr>
            </w:pPr>
          </w:p>
        </w:tc>
      </w:tr>
      <w:tr w14:paraId="0FCBBBDD" w14:textId="77777777" w:rsidTr="00D219BD">
        <w:tblPrEx>
          <w:tblW w:w="10903" w:type="dxa"/>
          <w:tblInd w:w="-100" w:type="dxa"/>
          <w:tblLayout w:type="fixed"/>
          <w:tblCellMar>
            <w:top w:w="15" w:type="dxa"/>
          </w:tblCellMar>
          <w:tblLook w:val="04A0"/>
        </w:tblPrEx>
        <w:trPr>
          <w:trHeight w:val="326"/>
        </w:trPr>
        <w:tc>
          <w:tcPr>
            <w:tcW w:w="10350" w:type="dxa"/>
            <w:gridSpan w:val="9"/>
            <w:vMerge/>
            <w:tcBorders>
              <w:top w:val="nil"/>
              <w:left w:val="single" w:sz="8" w:space="0" w:color="auto"/>
              <w:bottom w:val="single" w:sz="8" w:space="0" w:color="auto"/>
              <w:right w:val="single" w:sz="8" w:space="0" w:color="auto"/>
            </w:tcBorders>
            <w:vAlign w:val="center"/>
            <w:hideMark/>
          </w:tcPr>
          <w:p w:rsidR="00D219BD" w:rsidRPr="00D219BD" w:rsidP="002101D0" w14:paraId="51CB2B3F" w14:textId="77777777">
            <w:pPr>
              <w:rPr>
                <w:rFonts w:ascii="Times New Roman" w:hAnsi="Times New Roman"/>
                <w:sz w:val="18"/>
                <w:szCs w:val="18"/>
              </w:rPr>
            </w:pPr>
          </w:p>
        </w:tc>
        <w:tc>
          <w:tcPr>
            <w:tcW w:w="553" w:type="dxa"/>
            <w:tcBorders>
              <w:top w:val="nil"/>
              <w:left w:val="nil"/>
              <w:bottom w:val="nil"/>
              <w:right w:val="nil"/>
            </w:tcBorders>
            <w:noWrap/>
            <w:vAlign w:val="bottom"/>
            <w:hideMark/>
          </w:tcPr>
          <w:p w:rsidR="00D219BD" w:rsidRPr="00D219BD" w:rsidP="002101D0" w14:paraId="7A46F902" w14:textId="77777777">
            <w:pPr>
              <w:rPr>
                <w:rFonts w:ascii="Times New Roman" w:hAnsi="Times New Roman"/>
                <w:sz w:val="20"/>
              </w:rPr>
            </w:pPr>
          </w:p>
        </w:tc>
      </w:tr>
    </w:tbl>
    <w:p w:rsidR="001E2766" w:rsidP="001E2766" w14:paraId="12130955" w14:textId="77777777">
      <w:pPr>
        <w:ind w:left="720"/>
        <w:rPr>
          <w:rFonts w:ascii="Times New Roman" w:hAnsi="Times New Roman"/>
        </w:rPr>
      </w:pPr>
    </w:p>
    <w:p w:rsidR="002D2644" w:rsidP="001E2766" w14:paraId="45EFE137" w14:textId="77777777">
      <w:pPr>
        <w:ind w:left="720"/>
        <w:rPr>
          <w:rFonts w:ascii="Times New Roman" w:hAnsi="Times New Roman"/>
        </w:rPr>
      </w:pPr>
    </w:p>
    <w:tbl>
      <w:tblPr>
        <w:tblW w:w="10310" w:type="dxa"/>
        <w:tblLook w:val="04A0"/>
      </w:tblPr>
      <w:tblGrid>
        <w:gridCol w:w="2630"/>
        <w:gridCol w:w="2316"/>
        <w:gridCol w:w="3340"/>
        <w:gridCol w:w="2024"/>
      </w:tblGrid>
      <w:tr w14:paraId="3D3ECE79" w14:textId="77777777" w:rsidTr="002D2644">
        <w:tblPrEx>
          <w:tblW w:w="10310" w:type="dxa"/>
          <w:tblLook w:val="04A0"/>
        </w:tblPrEx>
        <w:trPr>
          <w:trHeight w:val="368"/>
        </w:trPr>
        <w:tc>
          <w:tcPr>
            <w:tcW w:w="10310" w:type="dxa"/>
            <w:gridSpan w:val="4"/>
            <w:tcBorders>
              <w:top w:val="single" w:sz="8" w:space="0" w:color="auto"/>
              <w:left w:val="single" w:sz="8" w:space="0" w:color="auto"/>
              <w:bottom w:val="single" w:sz="8" w:space="0" w:color="auto"/>
              <w:right w:val="single" w:sz="8" w:space="0" w:color="000000"/>
            </w:tcBorders>
            <w:noWrap/>
            <w:vAlign w:val="center"/>
            <w:hideMark/>
          </w:tcPr>
          <w:p w:rsidR="002D2644" w:rsidRPr="002D2644" w:rsidP="002101D0" w14:paraId="40C0BDD1" w14:textId="1E9FCEAE">
            <w:pPr>
              <w:jc w:val="center"/>
              <w:rPr>
                <w:rFonts w:ascii="Times New Roman" w:hAnsi="Times New Roman"/>
                <w:color w:val="000000"/>
                <w:szCs w:val="24"/>
              </w:rPr>
            </w:pPr>
            <w:r w:rsidRPr="002D2644">
              <w:rPr>
                <w:rFonts w:ascii="Times New Roman" w:hAnsi="Times New Roman"/>
                <w:color w:val="000000"/>
                <w:szCs w:val="24"/>
              </w:rPr>
              <w:t>Total Estimated Cost Burden (OMB No. 3064-0188)</w:t>
            </w:r>
          </w:p>
        </w:tc>
      </w:tr>
      <w:tr w14:paraId="5470EA51" w14:textId="77777777" w:rsidTr="002D2644">
        <w:tblPrEx>
          <w:tblW w:w="10310" w:type="dxa"/>
          <w:tblLook w:val="04A0"/>
        </w:tblPrEx>
        <w:trPr>
          <w:trHeight w:val="613"/>
        </w:trPr>
        <w:tc>
          <w:tcPr>
            <w:tcW w:w="2630" w:type="dxa"/>
            <w:tcBorders>
              <w:top w:val="nil"/>
              <w:left w:val="single" w:sz="8" w:space="0" w:color="auto"/>
              <w:bottom w:val="single" w:sz="8" w:space="0" w:color="auto"/>
              <w:right w:val="single" w:sz="8" w:space="0" w:color="auto"/>
            </w:tcBorders>
            <w:vAlign w:val="center"/>
            <w:hideMark/>
          </w:tcPr>
          <w:p w:rsidR="002D2644" w:rsidRPr="002D2644" w:rsidP="002101D0" w14:paraId="2D83BFBD" w14:textId="77777777">
            <w:pPr>
              <w:rPr>
                <w:rFonts w:ascii="Times New Roman" w:hAnsi="Times New Roman"/>
                <w:color w:val="000000"/>
                <w:sz w:val="20"/>
              </w:rPr>
            </w:pPr>
            <w:r w:rsidRPr="002D2644">
              <w:rPr>
                <w:rFonts w:ascii="Times New Roman" w:hAnsi="Times New Roman"/>
                <w:color w:val="000000"/>
                <w:sz w:val="20"/>
              </w:rPr>
              <w:t>Information Collection Request</w:t>
            </w:r>
          </w:p>
        </w:tc>
        <w:tc>
          <w:tcPr>
            <w:tcW w:w="2316" w:type="dxa"/>
            <w:tcBorders>
              <w:top w:val="nil"/>
              <w:left w:val="nil"/>
              <w:bottom w:val="single" w:sz="8" w:space="0" w:color="auto"/>
              <w:right w:val="single" w:sz="8" w:space="0" w:color="auto"/>
            </w:tcBorders>
            <w:vAlign w:val="center"/>
            <w:hideMark/>
          </w:tcPr>
          <w:p w:rsidR="002D2644" w:rsidRPr="002D2644" w:rsidP="002101D0" w14:paraId="325F8FF3" w14:textId="77777777">
            <w:pPr>
              <w:jc w:val="center"/>
              <w:rPr>
                <w:rFonts w:ascii="Times New Roman" w:hAnsi="Times New Roman"/>
                <w:color w:val="000000"/>
                <w:sz w:val="20"/>
              </w:rPr>
            </w:pPr>
            <w:r w:rsidRPr="002D2644">
              <w:rPr>
                <w:rFonts w:ascii="Times New Roman" w:hAnsi="Times New Roman"/>
                <w:color w:val="000000"/>
                <w:sz w:val="20"/>
              </w:rPr>
              <w:t>Annual Burden (Hours)</w:t>
            </w:r>
          </w:p>
        </w:tc>
        <w:tc>
          <w:tcPr>
            <w:tcW w:w="3339" w:type="dxa"/>
            <w:tcBorders>
              <w:top w:val="nil"/>
              <w:left w:val="nil"/>
              <w:bottom w:val="single" w:sz="8" w:space="0" w:color="auto"/>
              <w:right w:val="single" w:sz="8" w:space="0" w:color="auto"/>
            </w:tcBorders>
            <w:vAlign w:val="center"/>
            <w:hideMark/>
          </w:tcPr>
          <w:p w:rsidR="002D2644" w:rsidRPr="002D2644" w:rsidP="002101D0" w14:paraId="17223266" w14:textId="77777777">
            <w:pPr>
              <w:jc w:val="center"/>
              <w:rPr>
                <w:rFonts w:ascii="Times New Roman" w:hAnsi="Times New Roman"/>
                <w:color w:val="000000"/>
                <w:sz w:val="20"/>
              </w:rPr>
            </w:pPr>
            <w:r w:rsidRPr="002D2644">
              <w:rPr>
                <w:rFonts w:ascii="Times New Roman" w:hAnsi="Times New Roman"/>
                <w:color w:val="000000"/>
                <w:sz w:val="20"/>
              </w:rPr>
              <w:t>Weighted Average Hourly Compensation Rate</w:t>
            </w:r>
          </w:p>
        </w:tc>
        <w:tc>
          <w:tcPr>
            <w:tcW w:w="2023" w:type="dxa"/>
            <w:tcBorders>
              <w:top w:val="nil"/>
              <w:left w:val="nil"/>
              <w:bottom w:val="single" w:sz="8" w:space="0" w:color="auto"/>
              <w:right w:val="single" w:sz="8" w:space="0" w:color="auto"/>
            </w:tcBorders>
            <w:vAlign w:val="center"/>
            <w:hideMark/>
          </w:tcPr>
          <w:p w:rsidR="002D2644" w:rsidRPr="002D2644" w:rsidP="002101D0" w14:paraId="15F433B8" w14:textId="77777777">
            <w:pPr>
              <w:jc w:val="center"/>
              <w:rPr>
                <w:rFonts w:ascii="Times New Roman" w:hAnsi="Times New Roman"/>
                <w:color w:val="000000"/>
                <w:sz w:val="20"/>
              </w:rPr>
            </w:pPr>
            <w:r w:rsidRPr="002D2644">
              <w:rPr>
                <w:rFonts w:ascii="Times New Roman" w:hAnsi="Times New Roman"/>
                <w:color w:val="000000"/>
                <w:sz w:val="20"/>
              </w:rPr>
              <w:t>Annual Respondent Cost</w:t>
            </w:r>
          </w:p>
        </w:tc>
      </w:tr>
      <w:tr w14:paraId="32E566B6" w14:textId="77777777" w:rsidTr="002D2644">
        <w:tblPrEx>
          <w:tblW w:w="10310" w:type="dxa"/>
          <w:tblLook w:val="04A0"/>
        </w:tblPrEx>
        <w:trPr>
          <w:trHeight w:val="882"/>
        </w:trPr>
        <w:tc>
          <w:tcPr>
            <w:tcW w:w="2630" w:type="dxa"/>
            <w:tcBorders>
              <w:top w:val="nil"/>
              <w:left w:val="single" w:sz="8" w:space="0" w:color="auto"/>
              <w:bottom w:val="single" w:sz="8" w:space="0" w:color="auto"/>
              <w:right w:val="single" w:sz="8" w:space="0" w:color="auto"/>
            </w:tcBorders>
            <w:vAlign w:val="center"/>
            <w:hideMark/>
          </w:tcPr>
          <w:p w:rsidR="002D2644" w:rsidRPr="002D2644" w:rsidP="002101D0" w14:paraId="0ADA026A" w14:textId="77777777">
            <w:pPr>
              <w:rPr>
                <w:rFonts w:ascii="Times New Roman" w:hAnsi="Times New Roman"/>
                <w:color w:val="000000"/>
                <w:sz w:val="20"/>
              </w:rPr>
            </w:pPr>
            <w:r w:rsidRPr="002D2644">
              <w:rPr>
                <w:rFonts w:ascii="Times New Roman" w:hAnsi="Times New Roman"/>
                <w:color w:val="000000"/>
                <w:sz w:val="20"/>
              </w:rPr>
              <w:t>Appraisals for Higher-Priced Mortgage Loans Information Collection</w:t>
            </w:r>
          </w:p>
        </w:tc>
        <w:tc>
          <w:tcPr>
            <w:tcW w:w="2316" w:type="dxa"/>
            <w:tcBorders>
              <w:top w:val="nil"/>
              <w:left w:val="nil"/>
              <w:bottom w:val="single" w:sz="8" w:space="0" w:color="auto"/>
              <w:right w:val="single" w:sz="8" w:space="0" w:color="auto"/>
            </w:tcBorders>
            <w:noWrap/>
            <w:vAlign w:val="center"/>
            <w:hideMark/>
          </w:tcPr>
          <w:p w:rsidR="002D2644" w:rsidRPr="002D2644" w:rsidP="002101D0" w14:paraId="689B5FF1" w14:textId="77777777">
            <w:pPr>
              <w:ind w:firstLine="400" w:firstLineChars="200"/>
              <w:jc w:val="right"/>
              <w:rPr>
                <w:rFonts w:ascii="Times New Roman" w:hAnsi="Times New Roman"/>
                <w:color w:val="000000"/>
                <w:sz w:val="20"/>
              </w:rPr>
            </w:pPr>
            <w:r w:rsidRPr="002D2644">
              <w:rPr>
                <w:rFonts w:ascii="Times New Roman" w:hAnsi="Times New Roman"/>
                <w:color w:val="000000"/>
                <w:sz w:val="20"/>
              </w:rPr>
              <w:t xml:space="preserve">                                    5,662 </w:t>
            </w:r>
          </w:p>
        </w:tc>
        <w:tc>
          <w:tcPr>
            <w:tcW w:w="3339" w:type="dxa"/>
            <w:tcBorders>
              <w:top w:val="nil"/>
              <w:left w:val="nil"/>
              <w:bottom w:val="single" w:sz="8" w:space="0" w:color="auto"/>
              <w:right w:val="single" w:sz="8" w:space="0" w:color="auto"/>
            </w:tcBorders>
            <w:noWrap/>
            <w:vAlign w:val="center"/>
            <w:hideMark/>
          </w:tcPr>
          <w:p w:rsidR="002D2644" w:rsidRPr="002D2644" w:rsidP="002101D0" w14:paraId="2BBC8CAD" w14:textId="77777777">
            <w:pPr>
              <w:ind w:firstLine="200" w:firstLineChars="100"/>
              <w:jc w:val="right"/>
              <w:rPr>
                <w:rFonts w:ascii="Times New Roman" w:hAnsi="Times New Roman"/>
                <w:color w:val="000000"/>
                <w:sz w:val="20"/>
              </w:rPr>
            </w:pPr>
            <w:r w:rsidRPr="002D2644">
              <w:rPr>
                <w:rFonts w:ascii="Times New Roman" w:hAnsi="Times New Roman"/>
                <w:color w:val="000000"/>
                <w:sz w:val="20"/>
              </w:rPr>
              <w:t>$45.70</w:t>
            </w:r>
          </w:p>
        </w:tc>
        <w:tc>
          <w:tcPr>
            <w:tcW w:w="2023" w:type="dxa"/>
            <w:tcBorders>
              <w:top w:val="nil"/>
              <w:left w:val="nil"/>
              <w:bottom w:val="single" w:sz="8" w:space="0" w:color="auto"/>
              <w:right w:val="single" w:sz="8" w:space="0" w:color="auto"/>
            </w:tcBorders>
            <w:noWrap/>
            <w:vAlign w:val="center"/>
            <w:hideMark/>
          </w:tcPr>
          <w:p w:rsidR="002D2644" w:rsidRPr="002D2644" w:rsidP="002101D0" w14:paraId="7B6D8071" w14:textId="77777777">
            <w:pPr>
              <w:ind w:firstLine="200" w:firstLineChars="100"/>
              <w:jc w:val="right"/>
              <w:rPr>
                <w:rFonts w:ascii="Times New Roman" w:hAnsi="Times New Roman"/>
                <w:color w:val="000000"/>
                <w:sz w:val="20"/>
              </w:rPr>
            </w:pPr>
            <w:r w:rsidRPr="002D2644">
              <w:rPr>
                <w:rFonts w:ascii="Times New Roman" w:hAnsi="Times New Roman"/>
                <w:color w:val="000000"/>
                <w:sz w:val="20"/>
              </w:rPr>
              <w:t>$258,753</w:t>
            </w:r>
          </w:p>
        </w:tc>
      </w:tr>
      <w:tr w14:paraId="4870E2A5" w14:textId="77777777" w:rsidTr="002D2644">
        <w:tblPrEx>
          <w:tblW w:w="10310" w:type="dxa"/>
          <w:tblLook w:val="04A0"/>
        </w:tblPrEx>
        <w:trPr>
          <w:trHeight w:val="368"/>
        </w:trPr>
        <w:tc>
          <w:tcPr>
            <w:tcW w:w="8286"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2D2644" w:rsidRPr="002D2644" w:rsidP="002101D0" w14:paraId="25A2311B" w14:textId="77777777">
            <w:pPr>
              <w:jc w:val="right"/>
              <w:rPr>
                <w:rFonts w:ascii="Times New Roman" w:hAnsi="Times New Roman"/>
                <w:b/>
                <w:bCs/>
                <w:i/>
                <w:iCs/>
                <w:color w:val="000000"/>
              </w:rPr>
            </w:pPr>
            <w:r w:rsidRPr="002D2644">
              <w:rPr>
                <w:rFonts w:ascii="Times New Roman" w:hAnsi="Times New Roman"/>
                <w:b/>
                <w:bCs/>
                <w:i/>
                <w:iCs/>
                <w:color w:val="000000"/>
              </w:rPr>
              <w:t>Total Annual Respondent Cost:</w:t>
            </w:r>
          </w:p>
        </w:tc>
        <w:tc>
          <w:tcPr>
            <w:tcW w:w="2023" w:type="dxa"/>
            <w:tcBorders>
              <w:top w:val="nil"/>
              <w:left w:val="nil"/>
              <w:bottom w:val="single" w:sz="8" w:space="0" w:color="auto"/>
              <w:right w:val="single" w:sz="8" w:space="0" w:color="auto"/>
            </w:tcBorders>
            <w:shd w:val="clear" w:color="000000" w:fill="FFFFFF"/>
            <w:vAlign w:val="center"/>
            <w:hideMark/>
          </w:tcPr>
          <w:p w:rsidR="002D2644" w:rsidRPr="002D2644" w:rsidP="002101D0" w14:paraId="5A429C3E" w14:textId="77777777">
            <w:pPr>
              <w:ind w:firstLine="240" w:firstLineChars="100"/>
              <w:jc w:val="right"/>
              <w:rPr>
                <w:rFonts w:ascii="Times New Roman" w:hAnsi="Times New Roman"/>
                <w:b/>
                <w:bCs/>
                <w:i/>
                <w:iCs/>
                <w:color w:val="000000"/>
              </w:rPr>
            </w:pPr>
            <w:r w:rsidRPr="002D2644">
              <w:rPr>
                <w:rFonts w:ascii="Times New Roman" w:hAnsi="Times New Roman"/>
                <w:b/>
                <w:bCs/>
                <w:i/>
                <w:iCs/>
                <w:color w:val="000000"/>
              </w:rPr>
              <w:t xml:space="preserve">$258,753 </w:t>
            </w:r>
          </w:p>
        </w:tc>
      </w:tr>
      <w:tr w14:paraId="61BCBC37" w14:textId="77777777" w:rsidTr="002D2644">
        <w:tblPrEx>
          <w:tblW w:w="10310" w:type="dxa"/>
          <w:tblLook w:val="04A0"/>
        </w:tblPrEx>
        <w:trPr>
          <w:trHeight w:val="311"/>
        </w:trPr>
        <w:tc>
          <w:tcPr>
            <w:tcW w:w="10310" w:type="dxa"/>
            <w:gridSpan w:val="4"/>
            <w:tcBorders>
              <w:top w:val="single" w:sz="8" w:space="0" w:color="auto"/>
              <w:left w:val="single" w:sz="8" w:space="0" w:color="auto"/>
              <w:bottom w:val="single" w:sz="8" w:space="0" w:color="auto"/>
              <w:right w:val="single" w:sz="8" w:space="0" w:color="000000"/>
            </w:tcBorders>
            <w:noWrap/>
            <w:hideMark/>
          </w:tcPr>
          <w:p w:rsidR="002D2644" w:rsidRPr="002D2644" w:rsidP="002101D0" w14:paraId="2DB3B1E7" w14:textId="77777777">
            <w:pPr>
              <w:rPr>
                <w:rFonts w:ascii="Times New Roman" w:hAnsi="Times New Roman"/>
                <w:color w:val="000000"/>
                <w:sz w:val="18"/>
                <w:szCs w:val="18"/>
              </w:rPr>
            </w:pPr>
            <w:r w:rsidRPr="002D2644">
              <w:rPr>
                <w:rFonts w:ascii="Times New Roman" w:hAnsi="Times New Roman"/>
                <w:color w:val="000000"/>
                <w:sz w:val="18"/>
                <w:szCs w:val="18"/>
              </w:rPr>
              <w:t>Source: FDIC.</w:t>
            </w:r>
          </w:p>
        </w:tc>
      </w:tr>
    </w:tbl>
    <w:p w:rsidR="002847B4" w:rsidRPr="00BA19E0" w:rsidP="00497E0B" w14:paraId="7F59BDF8" w14:textId="77777777">
      <w:pPr>
        <w:pStyle w:val="CommentText"/>
        <w:ind w:left="1440"/>
        <w:rPr>
          <w:rStyle w:val="documentbody1"/>
          <w:color w:val="000000"/>
          <w:sz w:val="24"/>
          <w:szCs w:val="24"/>
          <w:u w:val="single"/>
        </w:rPr>
      </w:pPr>
    </w:p>
    <w:p w:rsidR="009F4532" w:rsidRPr="001F2A5D" w:rsidP="00EA72EA" w14:paraId="30D9C6DC" w14:textId="77777777">
      <w:pPr>
        <w:numPr>
          <w:ilvl w:val="0"/>
          <w:numId w:val="11"/>
        </w:numPr>
        <w:outlineLvl w:val="0"/>
        <w:rPr>
          <w:rFonts w:ascii="Times New Roman" w:hAnsi="Times New Roman"/>
          <w:szCs w:val="24"/>
          <w:u w:val="single"/>
        </w:rPr>
      </w:pPr>
      <w:r w:rsidRPr="009E60FB">
        <w:rPr>
          <w:rFonts w:ascii="Times New Roman" w:hAnsi="Times New Roman"/>
          <w:bCs/>
          <w:szCs w:val="24"/>
          <w:u w:val="single"/>
        </w:rPr>
        <w:t xml:space="preserve">Estimate of start-up costs </w:t>
      </w:r>
      <w:r w:rsidRPr="009E60FB">
        <w:rPr>
          <w:rFonts w:ascii="Times New Roman" w:hAnsi="Times New Roman"/>
          <w:bCs/>
          <w:szCs w:val="24"/>
          <w:u w:val="single"/>
        </w:rPr>
        <w:t>to</w:t>
      </w:r>
      <w:r w:rsidRPr="009E60FB">
        <w:rPr>
          <w:rFonts w:ascii="Times New Roman" w:hAnsi="Times New Roman"/>
          <w:bCs/>
          <w:szCs w:val="24"/>
          <w:u w:val="single"/>
        </w:rPr>
        <w:t xml:space="preserve"> respondents:</w:t>
      </w:r>
    </w:p>
    <w:p w:rsidR="00731A90" w14:paraId="2DAEB1D3" w14:textId="77777777">
      <w:pPr>
        <w:rPr>
          <w:rFonts w:ascii="Times New Roman" w:hAnsi="Times New Roman"/>
        </w:rPr>
      </w:pPr>
    </w:p>
    <w:p w:rsidR="00731A90" w14:paraId="21E8C592" w14:textId="77777777">
      <w:pPr>
        <w:ind w:left="1440"/>
        <w:rPr>
          <w:rFonts w:ascii="Times New Roman" w:hAnsi="Times New Roman"/>
        </w:rPr>
      </w:pPr>
      <w:r>
        <w:rPr>
          <w:rFonts w:ascii="Times New Roman" w:hAnsi="Times New Roman"/>
        </w:rPr>
        <w:t xml:space="preserve">None. </w:t>
      </w:r>
    </w:p>
    <w:p w:rsidR="00731A90" w14:paraId="79F02450" w14:textId="77777777">
      <w:pPr>
        <w:rPr>
          <w:rFonts w:ascii="Times New Roman" w:hAnsi="Times New Roman"/>
        </w:rPr>
      </w:pPr>
    </w:p>
    <w:p w:rsidR="00731A90" w:rsidP="00EA72EA" w14:paraId="0CAE0CB3" w14:textId="77777777">
      <w:pPr>
        <w:numPr>
          <w:ilvl w:val="0"/>
          <w:numId w:val="11"/>
        </w:numPr>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14:paraId="0C29D76B" w14:textId="77777777">
      <w:pPr>
        <w:ind w:firstLine="720"/>
        <w:rPr>
          <w:rFonts w:ascii="Times New Roman" w:hAnsi="Times New Roman"/>
        </w:rPr>
      </w:pPr>
    </w:p>
    <w:p w:rsidR="007E3A41" w:rsidP="007E3A41" w14:paraId="3C39D3AD" w14:textId="77777777">
      <w:pPr>
        <w:ind w:left="720" w:firstLine="720"/>
        <w:rPr>
          <w:rFonts w:ascii="Times New Roman" w:hAnsi="Times New Roman"/>
        </w:rPr>
      </w:pPr>
      <w:r>
        <w:rPr>
          <w:rFonts w:ascii="Times New Roman" w:hAnsi="Times New Roman"/>
        </w:rPr>
        <w:t>None</w:t>
      </w:r>
    </w:p>
    <w:p w:rsidR="007E3A41" w14:paraId="117A6958" w14:textId="77777777">
      <w:pPr>
        <w:ind w:firstLine="720"/>
        <w:rPr>
          <w:rFonts w:ascii="Times New Roman" w:hAnsi="Times New Roman"/>
        </w:rPr>
      </w:pPr>
    </w:p>
    <w:p w:rsidR="009F4532" w:rsidRPr="001F2A5D" w:rsidP="00EA72EA" w14:paraId="2028121D" w14:textId="77777777">
      <w:pPr>
        <w:numPr>
          <w:ilvl w:val="0"/>
          <w:numId w:val="11"/>
        </w:numPr>
        <w:outlineLvl w:val="0"/>
        <w:rPr>
          <w:rFonts w:ascii="Times New Roman" w:hAnsi="Times New Roman"/>
          <w:szCs w:val="24"/>
        </w:rPr>
      </w:pPr>
      <w:r w:rsidRPr="009E60FB">
        <w:rPr>
          <w:rFonts w:ascii="Times New Roman" w:hAnsi="Times New Roman"/>
          <w:szCs w:val="24"/>
          <w:u w:val="single"/>
        </w:rPr>
        <w:t>Analysis of change in burden:</w:t>
      </w:r>
    </w:p>
    <w:p w:rsidR="00731A90" w14:paraId="3C4B9E67" w14:textId="77777777">
      <w:pPr>
        <w:ind w:firstLine="720"/>
        <w:rPr>
          <w:rFonts w:ascii="Times New Roman" w:hAnsi="Times New Roman"/>
        </w:rPr>
      </w:pPr>
    </w:p>
    <w:p w:rsidR="00DB04B6" w:rsidP="00CC2C81" w14:paraId="3C08B447" w14:textId="17BDECF5">
      <w:pPr>
        <w:pStyle w:val="BlockText"/>
        <w:tabs>
          <w:tab w:val="left" w:pos="360"/>
        </w:tabs>
        <w:ind w:left="1440"/>
      </w:pPr>
      <w:r w:rsidRPr="00CC2C81">
        <w:rPr>
          <w:spacing w:val="-3"/>
        </w:rPr>
        <w:t xml:space="preserve">There is no change in the method or substance of the collection.  </w:t>
      </w:r>
      <w:r>
        <w:rPr>
          <w:spacing w:val="-3"/>
        </w:rPr>
        <w:t xml:space="preserve">The estimated annual burden is 5,662 hours, a decrease of 1,750 hours reported in 2022. </w:t>
      </w:r>
      <w:r w:rsidRPr="00CC2C81">
        <w:rPr>
          <w:spacing w:val="-3"/>
        </w:rPr>
        <w:t xml:space="preserve">The overall </w:t>
      </w:r>
      <w:r>
        <w:rPr>
          <w:spacing w:val="-3"/>
        </w:rPr>
        <w:t>reduction</w:t>
      </w:r>
      <w:r w:rsidRPr="00CC2C81">
        <w:rPr>
          <w:spacing w:val="-3"/>
        </w:rPr>
        <w:t xml:space="preserve"> is the result of economic fluctuation. </w:t>
      </w:r>
      <w:r>
        <w:rPr>
          <w:spacing w:val="-3"/>
        </w:rPr>
        <w:t>Specifically, the reduction reflects a decline in respondents and responses per respondent. The average time per response remains unchanged</w:t>
      </w:r>
      <w:r w:rsidRPr="002F5B43" w:rsidR="00BD600C">
        <w:rPr>
          <w:spacing w:val="-3"/>
        </w:rPr>
        <w:t>.</w:t>
      </w:r>
    </w:p>
    <w:p w:rsidR="00731A90" w14:paraId="34F8DFFC" w14:textId="77777777">
      <w:pPr>
        <w:rPr>
          <w:rFonts w:ascii="Times New Roman" w:hAnsi="Times New Roman"/>
        </w:rPr>
      </w:pPr>
    </w:p>
    <w:p w:rsidR="009F4532" w:rsidRPr="001F2A5D" w:rsidP="00EA72EA" w14:paraId="4AB5985E" w14:textId="77777777">
      <w:pPr>
        <w:numPr>
          <w:ilvl w:val="0"/>
          <w:numId w:val="11"/>
        </w:numPr>
        <w:ind w:left="1440" w:hanging="720"/>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14:paraId="33A3357A" w14:textId="77777777">
      <w:pPr>
        <w:rPr>
          <w:rFonts w:ascii="Times New Roman" w:hAnsi="Times New Roman"/>
        </w:rPr>
      </w:pPr>
    </w:p>
    <w:p w:rsidR="00731A90" w14:paraId="17474F4E" w14:textId="77777777">
      <w:pPr>
        <w:ind w:left="1440"/>
        <w:rPr>
          <w:rFonts w:ascii="Times New Roman" w:hAnsi="Times New Roman"/>
        </w:rPr>
      </w:pPr>
      <w:r>
        <w:rPr>
          <w:rFonts w:ascii="Times New Roman" w:hAnsi="Times New Roman"/>
        </w:rPr>
        <w:t>No publication will be made of this information.</w:t>
      </w:r>
    </w:p>
    <w:p w:rsidR="00731A90" w14:paraId="25BA2FD7" w14:textId="77777777">
      <w:pPr>
        <w:rPr>
          <w:rFonts w:ascii="Times New Roman" w:hAnsi="Times New Roman"/>
        </w:rPr>
      </w:pPr>
    </w:p>
    <w:p w:rsidR="00731A90" w:rsidP="00EA72EA" w14:paraId="72CA1009" w14:textId="77777777">
      <w:pPr>
        <w:numPr>
          <w:ilvl w:val="0"/>
          <w:numId w:val="11"/>
        </w:numPr>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14:paraId="4CD62DAB" w14:textId="77777777">
      <w:pPr>
        <w:rPr>
          <w:rFonts w:ascii="Times New Roman" w:hAnsi="Times New Roman"/>
        </w:rPr>
      </w:pPr>
    </w:p>
    <w:p w:rsidR="00731A90" w14:paraId="4FA2D176" w14:textId="77777777">
      <w:pPr>
        <w:ind w:left="1440"/>
        <w:rPr>
          <w:rFonts w:ascii="Times New Roman" w:hAnsi="Times New Roman"/>
        </w:rPr>
      </w:pPr>
      <w:r>
        <w:rPr>
          <w:rFonts w:ascii="Times New Roman" w:hAnsi="Times New Roman"/>
        </w:rPr>
        <w:t>Not applicable.</w:t>
      </w:r>
    </w:p>
    <w:p w:rsidR="00731A90" w14:paraId="344A7BA0" w14:textId="77777777">
      <w:pPr>
        <w:rPr>
          <w:rFonts w:ascii="Times New Roman" w:hAnsi="Times New Roman"/>
        </w:rPr>
      </w:pPr>
    </w:p>
    <w:p w:rsidR="00731A90" w:rsidP="00EA72EA" w14:paraId="28758836" w14:textId="77777777">
      <w:pPr>
        <w:numPr>
          <w:ilvl w:val="0"/>
          <w:numId w:val="11"/>
        </w:numPr>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14:paraId="3FF7465A" w14:textId="77777777">
      <w:pPr>
        <w:rPr>
          <w:rFonts w:ascii="Times New Roman" w:hAnsi="Times New Roman"/>
        </w:rPr>
      </w:pPr>
    </w:p>
    <w:p w:rsidR="00731A90" w14:paraId="0C52B028" w14:textId="77777777">
      <w:pPr>
        <w:ind w:left="1440"/>
        <w:rPr>
          <w:rFonts w:ascii="Times New Roman" w:hAnsi="Times New Roman"/>
        </w:rPr>
      </w:pPr>
      <w:r>
        <w:rPr>
          <w:rFonts w:ascii="Times New Roman" w:hAnsi="Times New Roman"/>
        </w:rPr>
        <w:t>None.</w:t>
      </w:r>
    </w:p>
    <w:p w:rsidR="00731A90" w14:paraId="5B3CB09E" w14:textId="77777777">
      <w:pPr>
        <w:rPr>
          <w:rFonts w:ascii="Times New Roman" w:hAnsi="Times New Roman"/>
        </w:rPr>
      </w:pPr>
    </w:p>
    <w:p w:rsidR="00731A90" w14:paraId="42507F2E" w14:textId="77777777">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14:paraId="252BE320" w14:textId="77777777">
      <w:pPr>
        <w:rPr>
          <w:rFonts w:ascii="Times New Roman" w:hAnsi="Times New Roman"/>
          <w:u w:val="single"/>
        </w:rPr>
      </w:pPr>
    </w:p>
    <w:p w:rsidR="00731A90" w14:paraId="1FB50D2E" w14:textId="77777777">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14:paraId="7FC76D48" w14:textId="77777777">
      <w:pPr>
        <w:rPr>
          <w:rFonts w:ascii="Times New Roman" w:hAnsi="Times New Roman"/>
        </w:rPr>
      </w:pPr>
    </w:p>
    <w:p w:rsidR="00731A90" w14:paraId="20B85F9D" w14:textId="77777777">
      <w:pPr>
        <w:rPr>
          <w:rFonts w:ascii="Times New Roman" w:hAnsi="Times New Roman"/>
        </w:rPr>
      </w:pPr>
    </w:p>
    <w:p w:rsidR="00731A90" w14:paraId="5C38D8A2" w14:textId="77777777">
      <w:pPr>
        <w:rPr>
          <w:rFonts w:ascii="Times New Roman" w:hAnsi="Times New Roman"/>
        </w:rPr>
      </w:pPr>
    </w:p>
    <w:p w:rsidR="00731A90" w14:paraId="0BDBAD73" w14:textId="77777777"/>
    <w:sectPr w:rsidSect="00CC299C">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296"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105BDA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F33" w14:paraId="4A389B2B" w14:textId="77777777">
    <w:pPr>
      <w:spacing w:line="240" w:lineRule="exact"/>
    </w:pPr>
  </w:p>
  <w:p w:rsidR="00782F33" w14:paraId="78A5ABFD"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C79E3">
      <w:rPr>
        <w:rFonts w:ascii="Times New Roman" w:hAnsi="Times New Roman"/>
        <w:noProof/>
      </w:rPr>
      <w:t>7</w:t>
    </w:r>
    <w:r>
      <w:rPr>
        <w:rFonts w:ascii="Times New Roman" w:hAnsi="Times New Roman"/>
      </w:rPr>
      <w:fldChar w:fldCharType="end"/>
    </w:r>
  </w:p>
  <w:p w:rsidR="00782F33" w14:paraId="06C4144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4BC7C4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4160FD4A" w14:textId="20CB2A09">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1861552972"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BD600C" w:rsidRPr="00BD600C" w:rsidP="00BD600C" w14:textId="4668EF83">
                          <w:pPr>
                            <w:rPr>
                              <w:rFonts w:ascii="Source Sans Pro Semibold" w:eastAsia="Source Sans Pro Semibold" w:hAnsi="Source Sans Pro Semibold" w:cs="Source Sans Pro Semibold"/>
                              <w:noProof/>
                              <w:color w:val="000000"/>
                              <w:szCs w:val="24"/>
                            </w:rPr>
                          </w:pPr>
                          <w:r w:rsidRPr="00BD600C">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BD600C" w:rsidRPr="00BD600C" w:rsidP="00BD600C" w14:paraId="480A18DF" w14:textId="4668EF83">
                    <w:pPr>
                      <w:rPr>
                        <w:rFonts w:ascii="Source Sans Pro Semibold" w:eastAsia="Source Sans Pro Semibold" w:hAnsi="Source Sans Pro Semibold" w:cs="Source Sans Pro Semibold"/>
                        <w:noProof/>
                        <w:color w:val="000000"/>
                        <w:szCs w:val="24"/>
                      </w:rPr>
                    </w:pPr>
                    <w:r w:rsidRPr="00BD600C">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34A0D1EA" w14:textId="289BF184">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128338993"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BD600C" w:rsidRPr="00BD600C" w:rsidP="00BD600C" w14:textId="5239D38A">
                          <w:pPr>
                            <w:rPr>
                              <w:rFonts w:ascii="Source Sans Pro Semibold" w:eastAsia="Source Sans Pro Semibold" w:hAnsi="Source Sans Pro Semibold" w:cs="Source Sans Pro Semibold"/>
                              <w:noProof/>
                              <w:color w:val="000000"/>
                              <w:szCs w:val="24"/>
                            </w:rPr>
                          </w:pPr>
                          <w:r w:rsidRPr="00BD600C">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BD600C" w:rsidRPr="00BD600C" w:rsidP="00BD600C" w14:paraId="3253C1AD" w14:textId="5239D38A">
                    <w:pPr>
                      <w:rPr>
                        <w:rFonts w:ascii="Source Sans Pro Semibold" w:eastAsia="Source Sans Pro Semibold" w:hAnsi="Source Sans Pro Semibold" w:cs="Source Sans Pro Semibold"/>
                        <w:noProof/>
                        <w:color w:val="000000"/>
                        <w:szCs w:val="24"/>
                      </w:rPr>
                    </w:pPr>
                    <w:r w:rsidRPr="00BD600C">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6D18BF5A" w14:textId="60A69C15">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1257001915"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BD600C" w:rsidRPr="00BD600C" w:rsidP="00BD600C" w14:textId="29225699">
                          <w:pPr>
                            <w:rPr>
                              <w:rFonts w:ascii="Source Sans Pro Semibold" w:eastAsia="Source Sans Pro Semibold" w:hAnsi="Source Sans Pro Semibold" w:cs="Source Sans Pro Semibold"/>
                              <w:noProof/>
                              <w:color w:val="000000"/>
                              <w:szCs w:val="24"/>
                            </w:rPr>
                          </w:pPr>
                          <w:r w:rsidRPr="00BD600C">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BD600C" w:rsidRPr="00BD600C" w:rsidP="00BD600C" w14:paraId="1AD2EEDD" w14:textId="29225699">
                    <w:pPr>
                      <w:rPr>
                        <w:rFonts w:ascii="Source Sans Pro Semibold" w:eastAsia="Source Sans Pro Semibold" w:hAnsi="Source Sans Pro Semibold" w:cs="Source Sans Pro Semibold"/>
                        <w:noProof/>
                        <w:color w:val="000000"/>
                        <w:szCs w:val="24"/>
                      </w:rPr>
                    </w:pPr>
                    <w:r w:rsidRPr="00BD600C">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27C30C12"/>
    <w:multiLevelType w:val="hybridMultilevel"/>
    <w:tmpl w:val="66821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3C96036A"/>
    <w:multiLevelType w:val="hybridMultilevel"/>
    <w:tmpl w:val="564C06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D192ABB"/>
    <w:multiLevelType w:val="hybridMultilevel"/>
    <w:tmpl w:val="D55E27A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1D231EC"/>
    <w:multiLevelType w:val="hybridMultilevel"/>
    <w:tmpl w:val="38080B4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9">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B4B3676"/>
    <w:multiLevelType w:val="hybridMultilevel"/>
    <w:tmpl w:val="0C6CEE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D2C5665"/>
    <w:multiLevelType w:val="hybridMultilevel"/>
    <w:tmpl w:val="823CA48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num w:numId="1" w16cid:durableId="1244529173">
    <w:abstractNumId w:val="8"/>
  </w:num>
  <w:num w:numId="2" w16cid:durableId="663626016">
    <w:abstractNumId w:val="1"/>
  </w:num>
  <w:num w:numId="3" w16cid:durableId="1297835267">
    <w:abstractNumId w:val="2"/>
  </w:num>
  <w:num w:numId="4" w16cid:durableId="614676624">
    <w:abstractNumId w:val="0"/>
  </w:num>
  <w:num w:numId="5" w16cid:durableId="1814715125">
    <w:abstractNumId w:val="11"/>
  </w:num>
  <w:num w:numId="6" w16cid:durableId="1430658745">
    <w:abstractNumId w:val="9"/>
  </w:num>
  <w:num w:numId="7" w16cid:durableId="965962471">
    <w:abstractNumId w:val="4"/>
  </w:num>
  <w:num w:numId="8" w16cid:durableId="84082944">
    <w:abstractNumId w:val="7"/>
  </w:num>
  <w:num w:numId="9" w16cid:durableId="210508432">
    <w:abstractNumId w:val="10"/>
  </w:num>
  <w:num w:numId="10" w16cid:durableId="1181818378">
    <w:abstractNumId w:val="3"/>
  </w:num>
  <w:num w:numId="11" w16cid:durableId="661541972">
    <w:abstractNumId w:val="6"/>
  </w:num>
  <w:num w:numId="12" w16cid:durableId="962076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BCF"/>
    <w:rsid w:val="00020CDC"/>
    <w:rsid w:val="0003174D"/>
    <w:rsid w:val="000712DC"/>
    <w:rsid w:val="000A56BD"/>
    <w:rsid w:val="000C5523"/>
    <w:rsid w:val="000D7176"/>
    <w:rsid w:val="00121C50"/>
    <w:rsid w:val="00151A45"/>
    <w:rsid w:val="00173189"/>
    <w:rsid w:val="00182EB0"/>
    <w:rsid w:val="00184EAC"/>
    <w:rsid w:val="0018551F"/>
    <w:rsid w:val="00195400"/>
    <w:rsid w:val="001A10B6"/>
    <w:rsid w:val="001B6E45"/>
    <w:rsid w:val="001C4726"/>
    <w:rsid w:val="001D433C"/>
    <w:rsid w:val="001E004B"/>
    <w:rsid w:val="001E2766"/>
    <w:rsid w:val="001F1518"/>
    <w:rsid w:val="001F2A5D"/>
    <w:rsid w:val="002101D0"/>
    <w:rsid w:val="0024688B"/>
    <w:rsid w:val="002660A9"/>
    <w:rsid w:val="00270F0D"/>
    <w:rsid w:val="002847B4"/>
    <w:rsid w:val="002864BB"/>
    <w:rsid w:val="0029442A"/>
    <w:rsid w:val="00294E05"/>
    <w:rsid w:val="002D2644"/>
    <w:rsid w:val="002D58BF"/>
    <w:rsid w:val="002F5B43"/>
    <w:rsid w:val="00324E6B"/>
    <w:rsid w:val="00361E1E"/>
    <w:rsid w:val="00373ED8"/>
    <w:rsid w:val="003C37B8"/>
    <w:rsid w:val="003D205E"/>
    <w:rsid w:val="003E3253"/>
    <w:rsid w:val="00401A8A"/>
    <w:rsid w:val="00412686"/>
    <w:rsid w:val="00412D5F"/>
    <w:rsid w:val="00414D83"/>
    <w:rsid w:val="00440038"/>
    <w:rsid w:val="00462F60"/>
    <w:rsid w:val="00497E0B"/>
    <w:rsid w:val="004C4367"/>
    <w:rsid w:val="004D1876"/>
    <w:rsid w:val="004D6D84"/>
    <w:rsid w:val="004E7B81"/>
    <w:rsid w:val="00503AAC"/>
    <w:rsid w:val="00515BF2"/>
    <w:rsid w:val="00565D70"/>
    <w:rsid w:val="00574D7A"/>
    <w:rsid w:val="00586805"/>
    <w:rsid w:val="005D2FE1"/>
    <w:rsid w:val="005F15BB"/>
    <w:rsid w:val="00606638"/>
    <w:rsid w:val="0061500B"/>
    <w:rsid w:val="00632F16"/>
    <w:rsid w:val="00635FAE"/>
    <w:rsid w:val="00647F97"/>
    <w:rsid w:val="00652F4C"/>
    <w:rsid w:val="00692309"/>
    <w:rsid w:val="00697A37"/>
    <w:rsid w:val="006A13B2"/>
    <w:rsid w:val="006A7DD6"/>
    <w:rsid w:val="006B4247"/>
    <w:rsid w:val="006C65B7"/>
    <w:rsid w:val="006E11B2"/>
    <w:rsid w:val="00723A34"/>
    <w:rsid w:val="00727480"/>
    <w:rsid w:val="00731A90"/>
    <w:rsid w:val="00782F33"/>
    <w:rsid w:val="007844D0"/>
    <w:rsid w:val="00784EE8"/>
    <w:rsid w:val="007A0C22"/>
    <w:rsid w:val="007B274F"/>
    <w:rsid w:val="007C6837"/>
    <w:rsid w:val="007D1404"/>
    <w:rsid w:val="007E3A41"/>
    <w:rsid w:val="007F0C94"/>
    <w:rsid w:val="007F7BC9"/>
    <w:rsid w:val="00805511"/>
    <w:rsid w:val="00807C1A"/>
    <w:rsid w:val="00817925"/>
    <w:rsid w:val="0086426A"/>
    <w:rsid w:val="00876F23"/>
    <w:rsid w:val="008873E8"/>
    <w:rsid w:val="008B2F63"/>
    <w:rsid w:val="008F3604"/>
    <w:rsid w:val="008F53AC"/>
    <w:rsid w:val="00904217"/>
    <w:rsid w:val="009207B0"/>
    <w:rsid w:val="00967A7E"/>
    <w:rsid w:val="00970EDA"/>
    <w:rsid w:val="0099128A"/>
    <w:rsid w:val="00994D3E"/>
    <w:rsid w:val="009A6AB2"/>
    <w:rsid w:val="009B6429"/>
    <w:rsid w:val="009D2490"/>
    <w:rsid w:val="009E60FB"/>
    <w:rsid w:val="009F4532"/>
    <w:rsid w:val="00A61329"/>
    <w:rsid w:val="00A63E49"/>
    <w:rsid w:val="00A700DA"/>
    <w:rsid w:val="00A8656C"/>
    <w:rsid w:val="00AA35E1"/>
    <w:rsid w:val="00AD251A"/>
    <w:rsid w:val="00AD2B69"/>
    <w:rsid w:val="00AF79FB"/>
    <w:rsid w:val="00B0375D"/>
    <w:rsid w:val="00B04B76"/>
    <w:rsid w:val="00B26610"/>
    <w:rsid w:val="00B32622"/>
    <w:rsid w:val="00B434D6"/>
    <w:rsid w:val="00B46EDD"/>
    <w:rsid w:val="00B662BE"/>
    <w:rsid w:val="00B723D8"/>
    <w:rsid w:val="00B836EF"/>
    <w:rsid w:val="00B867F6"/>
    <w:rsid w:val="00B92CD6"/>
    <w:rsid w:val="00BA19E0"/>
    <w:rsid w:val="00BA29C4"/>
    <w:rsid w:val="00BC79E3"/>
    <w:rsid w:val="00BD18FD"/>
    <w:rsid w:val="00BD600C"/>
    <w:rsid w:val="00BF402A"/>
    <w:rsid w:val="00C12827"/>
    <w:rsid w:val="00C14FA6"/>
    <w:rsid w:val="00C2633A"/>
    <w:rsid w:val="00C46EA0"/>
    <w:rsid w:val="00C51500"/>
    <w:rsid w:val="00C56B13"/>
    <w:rsid w:val="00C806D4"/>
    <w:rsid w:val="00C81098"/>
    <w:rsid w:val="00C96990"/>
    <w:rsid w:val="00CC299C"/>
    <w:rsid w:val="00CC2C81"/>
    <w:rsid w:val="00D10113"/>
    <w:rsid w:val="00D219BD"/>
    <w:rsid w:val="00D664A3"/>
    <w:rsid w:val="00D807AF"/>
    <w:rsid w:val="00DB04B6"/>
    <w:rsid w:val="00E021BB"/>
    <w:rsid w:val="00E26256"/>
    <w:rsid w:val="00E26D96"/>
    <w:rsid w:val="00E47BDF"/>
    <w:rsid w:val="00E5596D"/>
    <w:rsid w:val="00E72F1F"/>
    <w:rsid w:val="00EA72EA"/>
    <w:rsid w:val="00EB2791"/>
    <w:rsid w:val="00F30B4A"/>
    <w:rsid w:val="00F800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4E6477"/>
  <w15:chartTrackingRefBased/>
  <w15:docId w15:val="{4FA20820-8FF2-4F73-9A05-AC669438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9,Times 10 Point,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ootnote Text Char Char Char Char Char,Footnote Text Char Char Char Char Char Char Char Char Char Char Char Char Char Char Char Char Char Char,Footnote Text Char1 Char Char Char,fn Char"/>
    <w:basedOn w:val="Normal"/>
    <w:link w:val="FootnoteTextChar1"/>
    <w:uiPriority w:val="99"/>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ootnote Text Char Char Char Char Char Char,Footnote Text Char Char Char Char Char Char Char Char Char Char Char Char Char Char Char Char Char Char Char,fn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09B9A-18DB-43DA-B3CC-4B23C3D3B056}">
  <ds:schemaRefs>
    <ds:schemaRef ds:uri="http://schemas.openxmlformats.org/officeDocument/2006/bibliography"/>
  </ds:schemaRefs>
</ds:datastoreItem>
</file>

<file path=docMetadata/LabelInfo.xml><?xml version="1.0" encoding="utf-8"?>
<clbl:labelList xmlns:clbl="http://schemas.microsoft.com/office/2020/mipLabelMetadata">
  <clbl:label id="{e03712f0-ae86-44bd-82ca-deb0d0369377}"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2</cp:revision>
  <dcterms:created xsi:type="dcterms:W3CDTF">2026-02-26T19:49:00Z</dcterms:created>
  <dcterms:modified xsi:type="dcterms:W3CDTF">2026-02-26T19:49:00Z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4aec53bb,6ef50b4c,7a64c31</vt:lpwstr>
  </property>
  <property fmtid="{D5CDD505-2E9C-101B-9397-08002B2CF9AE}" pid="4" name="ClassificationContentMarkingHeaderText">
    <vt:lpwstr>NONPUBLIC//FDIC INTERNAL ONLY</vt:lpwstr>
  </property>
  <property fmtid="{D5CDD505-2E9C-101B-9397-08002B2CF9AE}" pid="5" name="MSIP_Label_e03712f0-ae86-44bd-82ca-deb0d0369377_ActionId">
    <vt:lpwstr>af19bfdf-16c0-47c9-b3e9-6f9ceb38e969</vt:lpwstr>
  </property>
  <property fmtid="{D5CDD505-2E9C-101B-9397-08002B2CF9AE}" pid="6" name="MSIP_Label_e03712f0-ae86-44bd-82ca-deb0d0369377_ContentBits">
    <vt:lpwstr>1</vt:lpwstr>
  </property>
  <property fmtid="{D5CDD505-2E9C-101B-9397-08002B2CF9AE}" pid="7" name="MSIP_Label_e03712f0-ae86-44bd-82ca-deb0d0369377_Enabled">
    <vt:lpwstr>true</vt:lpwstr>
  </property>
  <property fmtid="{D5CDD505-2E9C-101B-9397-08002B2CF9AE}" pid="8" name="MSIP_Label_e03712f0-ae86-44bd-82ca-deb0d0369377_Method">
    <vt:lpwstr>Privileged</vt:lpwstr>
  </property>
  <property fmtid="{D5CDD505-2E9C-101B-9397-08002B2CF9AE}" pid="9" name="MSIP_Label_e03712f0-ae86-44bd-82ca-deb0d0369377_Name">
    <vt:lpwstr>e03712f0-ae86-44bd-82ca-deb0d0369377</vt:lpwstr>
  </property>
  <property fmtid="{D5CDD505-2E9C-101B-9397-08002B2CF9AE}" pid="10" name="MSIP_Label_e03712f0-ae86-44bd-82ca-deb0d0369377_SetDate">
    <vt:lpwstr>2025-06-17T19:46:10Z</vt:lpwstr>
  </property>
  <property fmtid="{D5CDD505-2E9C-101B-9397-08002B2CF9AE}" pid="11" name="MSIP_Label_e03712f0-ae86-44bd-82ca-deb0d0369377_SiteId">
    <vt:lpwstr>26c83bc9-31c1-4d77-a523-0816095aba31</vt:lpwstr>
  </property>
  <property fmtid="{D5CDD505-2E9C-101B-9397-08002B2CF9AE}" pid="12" name="MSIP_Label_e03712f0-ae86-44bd-82ca-deb0d0369377_Tag">
    <vt:lpwstr>10, 0, 1, 1</vt:lpwstr>
  </property>
</Properties>
</file>