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220B6" w:rsidP="00F92988" w14:paraId="711E72F6" w14:textId="5B61C235">
      <w:pPr>
        <w:widowControl w:val="0"/>
        <w:jc w:val="center"/>
        <w:rPr>
          <w:rFonts w:ascii="Times New Roman" w:hAnsi="Times New Roman"/>
          <w:szCs w:val="22"/>
        </w:rPr>
      </w:pPr>
      <w:r>
        <w:rPr>
          <w:rFonts w:ascii="Times New Roman" w:hAnsi="Times New Roman"/>
          <w:szCs w:val="22"/>
        </w:rPr>
        <w:t>U.S. Small Business Administration</w:t>
      </w:r>
    </w:p>
    <w:p w:rsidR="00254DEF" w:rsidRPr="009227B0" w:rsidP="00F92988" w14:paraId="3F8C7FD6" w14:textId="3589089A">
      <w:pPr>
        <w:widowControl w:val="0"/>
        <w:jc w:val="center"/>
        <w:rPr>
          <w:rFonts w:ascii="Times New Roman" w:hAnsi="Times New Roman"/>
          <w:szCs w:val="22"/>
        </w:rPr>
      </w:pPr>
      <w:r>
        <w:rPr>
          <w:rFonts w:ascii="Times New Roman" w:hAnsi="Times New Roman"/>
          <w:szCs w:val="22"/>
        </w:rPr>
        <w:t>Regional Innovation Cluster Member Onboarding Form</w:t>
      </w:r>
    </w:p>
    <w:p w:rsidR="00254DEF" w:rsidRPr="00436E5C" w:rsidP="00F92988" w14:paraId="26001846" w14:textId="67730DC1">
      <w:pPr>
        <w:widowControl w:val="0"/>
        <w:jc w:val="center"/>
        <w:rPr>
          <w:rFonts w:ascii="Times New Roman" w:hAnsi="Times New Roman"/>
          <w:szCs w:val="22"/>
        </w:rPr>
      </w:pPr>
      <w:r w:rsidRPr="009227B0">
        <w:rPr>
          <w:rFonts w:ascii="Times New Roman" w:hAnsi="Times New Roman"/>
          <w:szCs w:val="22"/>
        </w:rPr>
        <w:t>Justification – Part A Supporting Statement</w:t>
      </w:r>
    </w:p>
    <w:p w:rsidR="00254DEF" w:rsidP="00F92988" w14:paraId="354D0985" w14:textId="4C1B8D08">
      <w:pPr>
        <w:widowControl w:val="0"/>
        <w:rPr>
          <w:rFonts w:ascii="Times New Roman" w:hAnsi="Times New Roman"/>
        </w:rPr>
      </w:pPr>
    </w:p>
    <w:p w:rsidR="00B20F59" w:rsidP="00F92988" w14:paraId="57FE58A0" w14:textId="77777777">
      <w:pPr>
        <w:widowControl w:val="0"/>
        <w:rPr>
          <w:rFonts w:ascii="Times New Roman" w:hAnsi="Times New Roman"/>
        </w:rPr>
      </w:pPr>
    </w:p>
    <w:p w:rsidR="00FB21F9" w:rsidRPr="00FB21F9" w:rsidP="00F92988" w14:paraId="4944DA99" w14:textId="77777777">
      <w:pPr>
        <w:widowControl w:val="0"/>
        <w:rPr>
          <w:rFonts w:ascii="Times New Roman" w:hAnsi="Times New Roman"/>
          <w:b/>
          <w:bCs/>
          <w:u w:val="single"/>
        </w:rPr>
      </w:pPr>
      <w:r w:rsidRPr="00FB21F9">
        <w:rPr>
          <w:rFonts w:ascii="Times New Roman" w:hAnsi="Times New Roman"/>
          <w:b/>
          <w:bCs/>
          <w:u w:val="single"/>
        </w:rPr>
        <w:t xml:space="preserve">Overview of Information Collection: </w:t>
      </w:r>
    </w:p>
    <w:p w:rsidR="00FB21F9" w:rsidP="00F92988" w14:paraId="47BBC083" w14:textId="77777777">
      <w:pPr>
        <w:widowControl w:val="0"/>
        <w:rPr>
          <w:rFonts w:ascii="Times New Roman" w:hAnsi="Times New Roman"/>
          <w:u w:val="single"/>
        </w:rPr>
      </w:pPr>
    </w:p>
    <w:p w:rsidR="001455E4" w:rsidP="002C42F1" w14:paraId="1FAED30C" w14:textId="65B155D7">
      <w:pPr>
        <w:rPr>
          <w:szCs w:val="24"/>
        </w:rPr>
      </w:pPr>
      <w:r>
        <w:rPr>
          <w:szCs w:val="24"/>
        </w:rPr>
        <w:t xml:space="preserve">This is a new collection for the U.S. Small Business Administration’s (SBA) </w:t>
      </w:r>
      <w:r w:rsidRPr="008D0DFB">
        <w:rPr>
          <w:szCs w:val="24"/>
        </w:rPr>
        <w:t xml:space="preserve">Regional Innovation Cluster (RIC) </w:t>
      </w:r>
      <w:r>
        <w:rPr>
          <w:szCs w:val="24"/>
        </w:rPr>
        <w:t>Program</w:t>
      </w:r>
      <w:r>
        <w:rPr>
          <w:szCs w:val="24"/>
        </w:rPr>
        <w:t xml:space="preserve">. This data collection </w:t>
      </w:r>
      <w:r w:rsidR="00B81FEB">
        <w:rPr>
          <w:szCs w:val="24"/>
        </w:rPr>
        <w:t xml:space="preserve">is </w:t>
      </w:r>
      <w:r>
        <w:rPr>
          <w:szCs w:val="24"/>
        </w:rPr>
        <w:t>an online form</w:t>
      </w:r>
      <w:r w:rsidR="00B81FEB">
        <w:rPr>
          <w:szCs w:val="24"/>
        </w:rPr>
        <w:t xml:space="preserve"> </w:t>
      </w:r>
      <w:r w:rsidR="00E42BB3">
        <w:rPr>
          <w:szCs w:val="24"/>
        </w:rPr>
        <w:t>to be completed by</w:t>
      </w:r>
      <w:r w:rsidR="00B81FEB">
        <w:rPr>
          <w:szCs w:val="24"/>
        </w:rPr>
        <w:t xml:space="preserve"> small business and partner organization members of RICs funded through SBA. </w:t>
      </w:r>
      <w:r w:rsidR="004A7806">
        <w:rPr>
          <w:szCs w:val="24"/>
        </w:rPr>
        <w:t>The</w:t>
      </w:r>
      <w:r w:rsidR="00906FCF">
        <w:rPr>
          <w:szCs w:val="24"/>
        </w:rPr>
        <w:t xml:space="preserve"> survey</w:t>
      </w:r>
      <w:r w:rsidR="004A7806">
        <w:rPr>
          <w:szCs w:val="24"/>
        </w:rPr>
        <w:t xml:space="preserve"> enables SBA to track membership of RICs</w:t>
      </w:r>
      <w:r w:rsidR="00E42BB3">
        <w:rPr>
          <w:szCs w:val="24"/>
        </w:rPr>
        <w:t>.</w:t>
      </w:r>
      <w:r w:rsidR="004A7806">
        <w:rPr>
          <w:szCs w:val="24"/>
        </w:rPr>
        <w:t xml:space="preserve"> </w:t>
      </w:r>
    </w:p>
    <w:p w:rsidR="00B81FEB" w:rsidP="002C42F1" w14:paraId="7E2A5F1C" w14:textId="77777777">
      <w:pPr>
        <w:rPr>
          <w:szCs w:val="24"/>
        </w:rPr>
      </w:pPr>
    </w:p>
    <w:p w:rsidR="00321071" w:rsidRPr="008E6A7C" w:rsidP="00F92988" w14:paraId="6B793EFA" w14:textId="2C64B29C">
      <w:pPr>
        <w:pStyle w:val="ListParagraph"/>
        <w:widowControl w:val="0"/>
        <w:numPr>
          <w:ilvl w:val="0"/>
          <w:numId w:val="19"/>
        </w:numPr>
        <w:tabs>
          <w:tab w:val="left" w:pos="360"/>
          <w:tab w:val="left" w:pos="630"/>
          <w:tab w:val="left" w:pos="720"/>
          <w:tab w:val="left" w:pos="1080"/>
        </w:tabs>
        <w:ind w:left="0"/>
        <w:rPr>
          <w:rFonts w:ascii="Times New Roman" w:hAnsi="Times New Roman"/>
          <w:b/>
          <w:bCs/>
          <w:u w:val="single"/>
        </w:rPr>
      </w:pPr>
      <w:r w:rsidRPr="008E6A7C">
        <w:rPr>
          <w:rFonts w:ascii="Times New Roman" w:hAnsi="Times New Roman"/>
          <w:b/>
          <w:bCs/>
          <w:u w:val="single"/>
        </w:rPr>
        <w:t>Need</w:t>
      </w:r>
      <w:r w:rsidRPr="008E6A7C" w:rsidR="00960321">
        <w:rPr>
          <w:rFonts w:ascii="Times New Roman" w:hAnsi="Times New Roman"/>
          <w:b/>
          <w:bCs/>
          <w:u w:val="single"/>
        </w:rPr>
        <w:t xml:space="preserve"> &amp; Method</w:t>
      </w:r>
      <w:r w:rsidRPr="008E6A7C">
        <w:rPr>
          <w:rFonts w:ascii="Times New Roman" w:hAnsi="Times New Roman"/>
          <w:b/>
          <w:bCs/>
          <w:u w:val="single"/>
        </w:rPr>
        <w:t xml:space="preserve"> for the Information Collection</w:t>
      </w:r>
    </w:p>
    <w:p w:rsidR="00C367B5" w:rsidP="00C367B5" w14:paraId="4D94AB56" w14:textId="77777777">
      <w:pPr>
        <w:widowControl w:val="0"/>
        <w:tabs>
          <w:tab w:val="left" w:pos="820"/>
          <w:tab w:val="left" w:pos="821"/>
        </w:tabs>
        <w:overflowPunct/>
        <w:adjustRightInd/>
        <w:ind w:right="195"/>
        <w:textAlignment w:val="auto"/>
      </w:pPr>
    </w:p>
    <w:p w:rsidR="00C367B5" w:rsidRPr="007A1E2B" w:rsidP="00C367B5" w14:paraId="40A74E31" w14:textId="46B3DC73">
      <w:pPr>
        <w:rPr>
          <w:rFonts w:eastAsia="Source Sans Pro"/>
          <w:szCs w:val="24"/>
          <w:shd w:val="clear" w:color="auto" w:fill="FFFFFF"/>
        </w:rPr>
      </w:pPr>
      <w:r w:rsidRPr="007A1E2B">
        <w:rPr>
          <w:rFonts w:eastAsia="Source Sans Pro"/>
          <w:szCs w:val="24"/>
        </w:rPr>
        <w:t xml:space="preserve">The U.S. Small Business Administration’s (SBA) </w:t>
      </w:r>
      <w:r w:rsidRPr="007A1E2B">
        <w:rPr>
          <w:rFonts w:eastAsia="Source Sans Pro"/>
          <w:color w:val="000000"/>
          <w:szCs w:val="24"/>
          <w:shd w:val="clear" w:color="auto" w:fill="FFFFFF"/>
        </w:rPr>
        <w:t>statutory mission is to "aid, counsel, assist and protect, insofar as is possible, the interests of small business concerns</w:t>
      </w:r>
      <w:r w:rsidR="009A264D">
        <w:rPr>
          <w:rFonts w:eastAsia="Source Sans Pro"/>
          <w:color w:val="000000"/>
          <w:szCs w:val="24"/>
          <w:shd w:val="clear" w:color="auto" w:fill="FFFFFF"/>
        </w:rPr>
        <w:t>”</w:t>
      </w:r>
      <w:r>
        <w:rPr>
          <w:rStyle w:val="FootnoteReference"/>
          <w:rFonts w:eastAsia="Source Sans Pro"/>
          <w:color w:val="000000"/>
          <w:szCs w:val="24"/>
          <w:shd w:val="clear" w:color="auto" w:fill="FFFFFF"/>
        </w:rPr>
        <w:footnoteReference w:id="2"/>
      </w:r>
      <w:r w:rsidR="00190E9A">
        <w:rPr>
          <w:rFonts w:eastAsia="Source Sans Pro"/>
          <w:color w:val="000000"/>
          <w:szCs w:val="24"/>
          <w:shd w:val="clear" w:color="auto" w:fill="FFFFFF"/>
        </w:rPr>
        <w:t xml:space="preserve"> and to “</w:t>
      </w:r>
      <w:r w:rsidRPr="00C25CBE" w:rsidR="00C25CBE">
        <w:rPr>
          <w:rFonts w:eastAsia="Source Sans Pro"/>
          <w:color w:val="000000"/>
          <w:szCs w:val="24"/>
          <w:shd w:val="clear" w:color="auto" w:fill="FFFFFF"/>
        </w:rPr>
        <w:t>enable them to undertake and to obtain the benefits of research and development in order to maintain and strengthen the competitive free enterprise system and the national economy</w:t>
      </w:r>
      <w:r w:rsidR="009A264D">
        <w:rPr>
          <w:rFonts w:eastAsia="Source Sans Pro"/>
          <w:color w:val="000000"/>
          <w:szCs w:val="24"/>
          <w:shd w:val="clear" w:color="auto" w:fill="FFFFFF"/>
        </w:rPr>
        <w:t>.”</w:t>
      </w:r>
      <w:r>
        <w:rPr>
          <w:rStyle w:val="FootnoteReference"/>
          <w:rFonts w:eastAsia="Source Sans Pro"/>
          <w:color w:val="000000"/>
          <w:szCs w:val="24"/>
          <w:shd w:val="clear" w:color="auto" w:fill="FFFFFF"/>
        </w:rPr>
        <w:footnoteReference w:id="3"/>
      </w:r>
      <w:r w:rsidRPr="007A1E2B">
        <w:rPr>
          <w:rFonts w:eastAsia="Source Sans Pro"/>
          <w:color w:val="000000"/>
          <w:szCs w:val="24"/>
          <w:shd w:val="clear" w:color="auto" w:fill="FFFFFF"/>
        </w:rPr>
        <w:t xml:space="preserve"> The Agency’s </w:t>
      </w:r>
      <w:r w:rsidRPr="007A1E2B">
        <w:rPr>
          <w:rFonts w:eastAsia="Source Sans Pro"/>
          <w:szCs w:val="24"/>
          <w:shd w:val="clear" w:color="auto" w:fill="FFFFFF"/>
        </w:rPr>
        <w:t xml:space="preserve">Office of </w:t>
      </w:r>
      <w:r>
        <w:rPr>
          <w:rFonts w:eastAsia="Source Sans Pro"/>
          <w:szCs w:val="24"/>
          <w:shd w:val="clear" w:color="auto" w:fill="FFFFFF"/>
        </w:rPr>
        <w:t>Investment and Innovation</w:t>
      </w:r>
      <w:r w:rsidRPr="007A1E2B">
        <w:rPr>
          <w:rFonts w:eastAsia="Source Sans Pro"/>
          <w:szCs w:val="24"/>
          <w:shd w:val="clear" w:color="auto" w:fill="FFFFFF"/>
        </w:rPr>
        <w:t xml:space="preserve"> (</w:t>
      </w:r>
      <w:r>
        <w:rPr>
          <w:rFonts w:eastAsia="Source Sans Pro"/>
          <w:szCs w:val="24"/>
          <w:shd w:val="clear" w:color="auto" w:fill="FFFFFF"/>
        </w:rPr>
        <w:t>OII</w:t>
      </w:r>
      <w:r w:rsidRPr="007A1E2B">
        <w:rPr>
          <w:rFonts w:eastAsia="Source Sans Pro"/>
          <w:szCs w:val="24"/>
          <w:shd w:val="clear" w:color="auto" w:fill="FFFFFF"/>
        </w:rPr>
        <w:t xml:space="preserve">) helps to carry out this mission by providing training and counseling programs and </w:t>
      </w:r>
      <w:r>
        <w:rPr>
          <w:rFonts w:eastAsia="Source Sans Pro"/>
          <w:szCs w:val="24"/>
          <w:shd w:val="clear" w:color="auto" w:fill="FFFFFF"/>
        </w:rPr>
        <w:t>Initiative</w:t>
      </w:r>
      <w:r w:rsidRPr="007A1E2B">
        <w:rPr>
          <w:rFonts w:eastAsia="Source Sans Pro"/>
          <w:szCs w:val="24"/>
          <w:shd w:val="clear" w:color="auto" w:fill="FFFFFF"/>
        </w:rPr>
        <w:t xml:space="preserve">s, such as the Regional Innovation Clusters (RIC) </w:t>
      </w:r>
      <w:r w:rsidR="00680BA0">
        <w:rPr>
          <w:rFonts w:eastAsia="Source Sans Pro"/>
          <w:szCs w:val="24"/>
          <w:shd w:val="clear" w:color="auto" w:fill="FFFFFF"/>
        </w:rPr>
        <w:t>Program</w:t>
      </w:r>
      <w:r w:rsidRPr="007A1E2B">
        <w:rPr>
          <w:rFonts w:eastAsia="Source Sans Pro"/>
          <w:szCs w:val="24"/>
          <w:shd w:val="clear" w:color="auto" w:fill="FFFFFF"/>
        </w:rPr>
        <w:t xml:space="preserve">, to existing and prospective small businesses. </w:t>
      </w:r>
    </w:p>
    <w:p w:rsidR="00C367B5" w:rsidRPr="007A1E2B" w:rsidP="00C367B5" w14:paraId="6D6F8085" w14:textId="77777777">
      <w:pPr>
        <w:rPr>
          <w:rFonts w:eastAsia="Source Sans Pro"/>
          <w:szCs w:val="24"/>
        </w:rPr>
      </w:pPr>
      <w:r w:rsidRPr="007A1E2B">
        <w:rPr>
          <w:rFonts w:eastAsia="Source Sans Pro"/>
          <w:szCs w:val="24"/>
        </w:rPr>
        <w:t xml:space="preserve"> </w:t>
      </w:r>
    </w:p>
    <w:p w:rsidR="00C367B5" w:rsidP="00C367B5" w14:paraId="69A25C89" w14:textId="796C31CA">
      <w:pPr>
        <w:rPr>
          <w:rFonts w:eastAsia="Source Sans Pro"/>
          <w:szCs w:val="24"/>
        </w:rPr>
      </w:pPr>
      <w:r w:rsidRPr="007A1E2B">
        <w:rPr>
          <w:rFonts w:eastAsia="Source Sans Pro"/>
          <w:szCs w:val="24"/>
        </w:rPr>
        <w:t xml:space="preserve">Through the RIC </w:t>
      </w:r>
      <w:r w:rsidR="00680BA0">
        <w:rPr>
          <w:rFonts w:eastAsia="Source Sans Pro"/>
          <w:szCs w:val="24"/>
        </w:rPr>
        <w:t>Program,</w:t>
      </w:r>
      <w:r w:rsidRPr="007A1E2B">
        <w:rPr>
          <w:rFonts w:eastAsia="Source Sans Pro"/>
          <w:szCs w:val="24"/>
        </w:rPr>
        <w:t xml:space="preserve"> the SBA </w:t>
      </w:r>
      <w:r w:rsidR="00680BA0">
        <w:rPr>
          <w:rFonts w:eastAsia="Source Sans Pro"/>
          <w:szCs w:val="24"/>
        </w:rPr>
        <w:t>invests</w:t>
      </w:r>
      <w:r w:rsidRPr="007A1E2B">
        <w:rPr>
          <w:rFonts w:eastAsia="Source Sans Pro"/>
          <w:szCs w:val="24"/>
        </w:rPr>
        <w:t xml:space="preserve"> </w:t>
      </w:r>
      <w:r w:rsidR="00B44D92">
        <w:rPr>
          <w:rFonts w:eastAsia="Source Sans Pro"/>
          <w:szCs w:val="24"/>
        </w:rPr>
        <w:t xml:space="preserve">in </w:t>
      </w:r>
      <w:r w:rsidRPr="007A1E2B">
        <w:rPr>
          <w:rFonts w:eastAsia="Source Sans Pro"/>
          <w:szCs w:val="24"/>
        </w:rPr>
        <w:t xml:space="preserve">regional clusters—geographic concentrations of interconnected companies, specialized suppliers, academic institutions, service providers, and associated organizations with a specific industry focus—throughout the United States that span a variety of industries, ranging from energy and manufacturing to advanced defense technologies. </w:t>
      </w:r>
    </w:p>
    <w:p w:rsidR="0074607C" w:rsidP="00C367B5" w14:paraId="1C8AAC06" w14:textId="77777777">
      <w:pPr>
        <w:rPr>
          <w:rFonts w:eastAsia="Source Sans Pro"/>
          <w:szCs w:val="24"/>
        </w:rPr>
      </w:pPr>
    </w:p>
    <w:p w:rsidR="0074607C" w:rsidRPr="007A1E2B" w:rsidP="00C367B5" w14:paraId="163E6AF1" w14:textId="2D5AECB6">
      <w:pPr>
        <w:rPr>
          <w:rFonts w:eastAsia="Source Sans Pro"/>
          <w:szCs w:val="24"/>
        </w:rPr>
      </w:pPr>
      <w:r>
        <w:rPr>
          <w:rFonts w:eastAsia="Source Sans Pro"/>
          <w:szCs w:val="24"/>
        </w:rPr>
        <w:t xml:space="preserve">SBA invests in regional clusters by contracting with cluster administrators to grow and manage individual RICs. It is the job of the cluster administrator to onboard new small business and partner organization members into the RIC to provide </w:t>
      </w:r>
      <w:r>
        <w:rPr>
          <w:rFonts w:eastAsia="Source Sans Pro"/>
          <w:szCs w:val="24"/>
        </w:rPr>
        <w:t>quality,</w:t>
      </w:r>
      <w:r>
        <w:rPr>
          <w:rFonts w:eastAsia="Source Sans Pro"/>
          <w:szCs w:val="24"/>
        </w:rPr>
        <w:t xml:space="preserve"> direct support to small businesses in relevant industries. The cluster member onboarding</w:t>
      </w:r>
      <w:r w:rsidR="00906FCF">
        <w:rPr>
          <w:rFonts w:eastAsia="Source Sans Pro"/>
          <w:szCs w:val="24"/>
        </w:rPr>
        <w:t xml:space="preserve"> survey </w:t>
      </w:r>
      <w:r>
        <w:rPr>
          <w:rFonts w:eastAsia="Source Sans Pro"/>
          <w:szCs w:val="24"/>
        </w:rPr>
        <w:t xml:space="preserve">will be </w:t>
      </w:r>
      <w:r w:rsidR="009D5FA0">
        <w:rPr>
          <w:rFonts w:eastAsia="Source Sans Pro"/>
          <w:szCs w:val="24"/>
        </w:rPr>
        <w:t xml:space="preserve">hosted by SBA and </w:t>
      </w:r>
      <w:r w:rsidR="00F22D78">
        <w:rPr>
          <w:rFonts w:eastAsia="Source Sans Pro"/>
          <w:szCs w:val="24"/>
        </w:rPr>
        <w:t>digitally</w:t>
      </w:r>
      <w:r w:rsidR="009D5FA0">
        <w:rPr>
          <w:rFonts w:eastAsia="Source Sans Pro"/>
          <w:szCs w:val="24"/>
        </w:rPr>
        <w:t xml:space="preserve"> facilitated </w:t>
      </w:r>
      <w:r w:rsidR="00F22D78">
        <w:rPr>
          <w:rFonts w:eastAsia="Source Sans Pro"/>
          <w:szCs w:val="24"/>
        </w:rPr>
        <w:t xml:space="preserve">by each cluster </w:t>
      </w:r>
      <w:r w:rsidR="00F22D78">
        <w:rPr>
          <w:rFonts w:eastAsia="Source Sans Pro"/>
          <w:szCs w:val="24"/>
        </w:rPr>
        <w:t>administrator</w:t>
      </w:r>
      <w:r w:rsidR="009D5FA0">
        <w:rPr>
          <w:rFonts w:eastAsia="Source Sans Pro"/>
          <w:szCs w:val="24"/>
        </w:rPr>
        <w:t>,</w:t>
      </w:r>
      <w:r>
        <w:rPr>
          <w:rFonts w:eastAsia="Source Sans Pro"/>
          <w:szCs w:val="24"/>
        </w:rPr>
        <w:t xml:space="preserve"> and</w:t>
      </w:r>
      <w:r>
        <w:rPr>
          <w:rFonts w:eastAsia="Source Sans Pro"/>
          <w:szCs w:val="24"/>
        </w:rPr>
        <w:t xml:space="preserve"> used to track membership across all SBA RICs. </w:t>
      </w:r>
    </w:p>
    <w:p w:rsidR="00C367B5" w:rsidRPr="007A1E2B" w:rsidP="00C367B5" w14:paraId="14C4D51B" w14:textId="77777777">
      <w:pPr>
        <w:rPr>
          <w:rFonts w:eastAsia="Source Sans Pro"/>
          <w:szCs w:val="24"/>
        </w:rPr>
      </w:pPr>
    </w:p>
    <w:p w:rsidR="00C367B5" w:rsidRPr="00960321" w:rsidP="00C367B5" w14:paraId="30A83934" w14:textId="13AF6FBC">
      <w:pPr>
        <w:widowControl w:val="0"/>
        <w:tabs>
          <w:tab w:val="left" w:pos="820"/>
          <w:tab w:val="left" w:pos="821"/>
        </w:tabs>
        <w:overflowPunct/>
        <w:adjustRightInd/>
        <w:ind w:right="195"/>
        <w:textAlignment w:val="auto"/>
      </w:pPr>
      <w:r>
        <w:t>The cluster member onboarding</w:t>
      </w:r>
      <w:r w:rsidR="00906FCF">
        <w:t xml:space="preserve"> survey</w:t>
      </w:r>
      <w:r>
        <w:t xml:space="preserve"> will create standardization across the program and enhance SBA’s ability to track growth and impact of each RIC and the overall program.</w:t>
      </w:r>
    </w:p>
    <w:p w:rsidR="00FB7D5B" w:rsidP="00F92988" w14:paraId="5E1BB01F" w14:textId="157F1B94">
      <w:pPr>
        <w:widowControl w:val="0"/>
        <w:tabs>
          <w:tab w:val="left" w:pos="360"/>
          <w:tab w:val="left" w:pos="630"/>
          <w:tab w:val="left" w:pos="720"/>
          <w:tab w:val="left" w:pos="1080"/>
        </w:tabs>
        <w:rPr>
          <w:rFonts w:ascii="Times New Roman" w:hAnsi="Times New Roman"/>
          <w:u w:val="single"/>
        </w:rPr>
      </w:pPr>
    </w:p>
    <w:p w:rsidR="00FB7D5B" w:rsidRPr="00FB7D5B" w:rsidP="00F92988" w14:paraId="4851B423" w14:textId="77777777">
      <w:pPr>
        <w:widowControl w:val="0"/>
        <w:tabs>
          <w:tab w:val="left" w:pos="360"/>
          <w:tab w:val="left" w:pos="630"/>
          <w:tab w:val="left" w:pos="720"/>
          <w:tab w:val="left" w:pos="1080"/>
        </w:tabs>
        <w:rPr>
          <w:rFonts w:ascii="Times New Roman" w:hAnsi="Times New Roman"/>
          <w:u w:val="single"/>
        </w:rPr>
      </w:pPr>
    </w:p>
    <w:p w:rsidR="009517CC" w:rsidRPr="00817492" w:rsidP="00817492" w14:paraId="096B6312" w14:textId="1586C268">
      <w:pPr>
        <w:pStyle w:val="ListParagraph"/>
        <w:widowControl w:val="0"/>
        <w:numPr>
          <w:ilvl w:val="0"/>
          <w:numId w:val="19"/>
        </w:numPr>
        <w:tabs>
          <w:tab w:val="left" w:pos="360"/>
          <w:tab w:val="left" w:pos="630"/>
          <w:tab w:val="left" w:pos="720"/>
          <w:tab w:val="left" w:pos="1080"/>
        </w:tabs>
        <w:ind w:left="0"/>
        <w:rPr>
          <w:rFonts w:ascii="Times New Roman" w:hAnsi="Times New Roman"/>
          <w:b/>
          <w:bCs/>
          <w:u w:val="single"/>
        </w:rPr>
      </w:pPr>
      <w:r w:rsidRPr="00817492">
        <w:rPr>
          <w:rFonts w:ascii="Times New Roman" w:hAnsi="Times New Roman"/>
          <w:b/>
          <w:bCs/>
          <w:u w:val="single"/>
        </w:rPr>
        <w:t>Use of the Information</w:t>
      </w:r>
    </w:p>
    <w:p w:rsidR="00817492" w:rsidRPr="00817492" w:rsidP="00817492" w14:paraId="4A5AFFB7" w14:textId="77777777">
      <w:pPr>
        <w:pStyle w:val="ListParagraph"/>
        <w:widowControl w:val="0"/>
        <w:tabs>
          <w:tab w:val="left" w:pos="360"/>
          <w:tab w:val="left" w:pos="630"/>
          <w:tab w:val="left" w:pos="720"/>
          <w:tab w:val="left" w:pos="1080"/>
        </w:tabs>
        <w:ind w:left="0"/>
        <w:rPr>
          <w:rFonts w:ascii="Times New Roman" w:hAnsi="Times New Roman"/>
          <w:b/>
          <w:bCs/>
        </w:rPr>
      </w:pPr>
    </w:p>
    <w:p w:rsidR="009517CC" w:rsidP="009517CC" w14:paraId="5FFAC93E" w14:textId="1838E8CC">
      <w:pPr>
        <w:widowControl w:val="0"/>
        <w:tabs>
          <w:tab w:val="left" w:pos="820"/>
          <w:tab w:val="left" w:pos="821"/>
        </w:tabs>
        <w:overflowPunct/>
        <w:adjustRightInd/>
        <w:ind w:right="195"/>
        <w:textAlignment w:val="auto"/>
        <w:rPr>
          <w:rFonts w:ascii="Times New Roman" w:hAnsi="Times New Roman"/>
        </w:rPr>
      </w:pPr>
      <w:r>
        <w:rPr>
          <w:rFonts w:ascii="Times New Roman" w:hAnsi="Times New Roman"/>
        </w:rPr>
        <w:t xml:space="preserve">The U.S. Small Business Administration (SBA) invests in Regional Innovation Clusters (RICs) to support the start, growth, and sustainment of </w:t>
      </w:r>
      <w:r w:rsidR="000257BC">
        <w:rPr>
          <w:rFonts w:ascii="Times New Roman" w:hAnsi="Times New Roman"/>
        </w:rPr>
        <w:t xml:space="preserve">small businesses in critical industries and technology areas. </w:t>
      </w:r>
      <w:r w:rsidR="009C1B1B">
        <w:rPr>
          <w:rFonts w:ascii="Times New Roman" w:hAnsi="Times New Roman"/>
        </w:rPr>
        <w:t xml:space="preserve">The collection of standardized cluster membership information will be used by SBA for program administration and inform policy development. </w:t>
      </w:r>
    </w:p>
    <w:p w:rsidR="00E10266" w:rsidP="009517CC" w14:paraId="5E5EC643" w14:textId="77777777">
      <w:pPr>
        <w:widowControl w:val="0"/>
        <w:tabs>
          <w:tab w:val="left" w:pos="820"/>
          <w:tab w:val="left" w:pos="821"/>
        </w:tabs>
        <w:overflowPunct/>
        <w:adjustRightInd/>
        <w:ind w:right="195"/>
        <w:textAlignment w:val="auto"/>
        <w:rPr>
          <w:rFonts w:ascii="Times New Roman" w:hAnsi="Times New Roman"/>
        </w:rPr>
      </w:pPr>
    </w:p>
    <w:p w:rsidR="00E10266" w:rsidRPr="009517CC" w:rsidP="009517CC" w14:paraId="249FEBB1" w14:textId="31702857">
      <w:pPr>
        <w:widowControl w:val="0"/>
        <w:tabs>
          <w:tab w:val="left" w:pos="820"/>
          <w:tab w:val="left" w:pos="821"/>
        </w:tabs>
        <w:overflowPunct/>
        <w:adjustRightInd/>
        <w:ind w:right="195"/>
        <w:textAlignment w:val="auto"/>
        <w:rPr>
          <w:rFonts w:ascii="Times New Roman" w:hAnsi="Times New Roman"/>
        </w:rPr>
      </w:pPr>
      <w:r>
        <w:rPr>
          <w:rFonts w:ascii="Times New Roman" w:hAnsi="Times New Roman"/>
        </w:rPr>
        <w:t xml:space="preserve">The standardized membership information will enable </w:t>
      </w:r>
      <w:r w:rsidR="00BB3992">
        <w:rPr>
          <w:rFonts w:ascii="Times New Roman" w:hAnsi="Times New Roman"/>
        </w:rPr>
        <w:t>SBA to more rigorously track small business support across individual RICs</w:t>
      </w:r>
      <w:r w:rsidR="00817492">
        <w:rPr>
          <w:rFonts w:ascii="Times New Roman" w:hAnsi="Times New Roman"/>
        </w:rPr>
        <w:t xml:space="preserve"> and validate firm-level outcomes for performance measures </w:t>
      </w:r>
      <w:r w:rsidR="003D609F">
        <w:rPr>
          <w:rFonts w:ascii="Times New Roman" w:hAnsi="Times New Roman"/>
        </w:rPr>
        <w:t>using secondar</w:t>
      </w:r>
      <w:r w:rsidR="00D8199D">
        <w:rPr>
          <w:rFonts w:ascii="Times New Roman" w:hAnsi="Times New Roman"/>
        </w:rPr>
        <w:t>y data sources</w:t>
      </w:r>
      <w:r w:rsidR="00817492">
        <w:rPr>
          <w:rFonts w:ascii="Times New Roman" w:hAnsi="Times New Roman"/>
        </w:rPr>
        <w:t>. Performance measures</w:t>
      </w:r>
      <w:r w:rsidR="00126D42">
        <w:rPr>
          <w:rFonts w:ascii="Times New Roman" w:hAnsi="Times New Roman"/>
        </w:rPr>
        <w:t xml:space="preserve"> to be validated using secondary data sources</w:t>
      </w:r>
      <w:r w:rsidR="00817492">
        <w:rPr>
          <w:rFonts w:ascii="Times New Roman" w:hAnsi="Times New Roman"/>
        </w:rPr>
        <w:t xml:space="preserve"> could include instances and/or amount of revenue growth, instances of an innovation milestone achieved, and instances and/ or amount of capital obtained</w:t>
      </w:r>
      <w:r w:rsidR="00126D42">
        <w:rPr>
          <w:rFonts w:ascii="Times New Roman" w:hAnsi="Times New Roman"/>
        </w:rPr>
        <w:t>.</w:t>
      </w:r>
    </w:p>
    <w:p w:rsidR="00D479C8" w:rsidP="00F92988" w14:paraId="7AF63F38" w14:textId="61A4CD88">
      <w:pPr>
        <w:widowControl w:val="0"/>
        <w:tabs>
          <w:tab w:val="left" w:pos="360"/>
          <w:tab w:val="left" w:pos="630"/>
          <w:tab w:val="left" w:pos="720"/>
          <w:tab w:val="left" w:pos="1080"/>
        </w:tabs>
        <w:rPr>
          <w:rFonts w:ascii="Times New Roman" w:hAnsi="Times New Roman"/>
          <w:u w:val="single"/>
        </w:rPr>
      </w:pPr>
    </w:p>
    <w:p w:rsidR="00500D46" w:rsidP="00F92988" w14:paraId="0A6DC8DB" w14:textId="77777777">
      <w:pPr>
        <w:widowControl w:val="0"/>
        <w:tabs>
          <w:tab w:val="left" w:pos="360"/>
          <w:tab w:val="left" w:pos="630"/>
          <w:tab w:val="left" w:pos="720"/>
          <w:tab w:val="left" w:pos="1080"/>
        </w:tabs>
        <w:rPr>
          <w:rFonts w:ascii="Times New Roman" w:hAnsi="Times New Roman"/>
          <w:u w:val="single"/>
        </w:rPr>
      </w:pPr>
    </w:p>
    <w:p w:rsidR="00B460D3" w:rsidRPr="009312F1" w:rsidP="00097472" w14:paraId="057B5D91" w14:textId="770F1C94">
      <w:pPr>
        <w:pStyle w:val="ListParagraph"/>
        <w:widowControl w:val="0"/>
        <w:numPr>
          <w:ilvl w:val="0"/>
          <w:numId w:val="19"/>
        </w:numPr>
        <w:tabs>
          <w:tab w:val="left" w:pos="360"/>
          <w:tab w:val="left" w:pos="720"/>
          <w:tab w:val="left" w:pos="1080"/>
        </w:tabs>
        <w:ind w:left="0"/>
        <w:rPr>
          <w:rFonts w:ascii="Times New Roman" w:hAnsi="Times New Roman"/>
          <w:b/>
          <w:u w:val="single"/>
        </w:rPr>
      </w:pPr>
      <w:r w:rsidRPr="009312F1">
        <w:rPr>
          <w:rFonts w:ascii="Times New Roman" w:hAnsi="Times New Roman"/>
          <w:b/>
          <w:u w:val="single"/>
        </w:rPr>
        <w:t>Use of Information Technology</w:t>
      </w:r>
    </w:p>
    <w:p w:rsidR="00817492" w:rsidRPr="00817492" w:rsidP="00817492" w14:paraId="4FBD263F" w14:textId="72F1500F">
      <w:pPr>
        <w:rPr>
          <w:rFonts w:eastAsia="Source Sans Pro"/>
          <w:szCs w:val="24"/>
        </w:rPr>
      </w:pPr>
      <w:r>
        <w:rPr>
          <w:rFonts w:eastAsia="Source Sans Pro"/>
          <w:szCs w:val="24"/>
        </w:rPr>
        <w:t xml:space="preserve">Cluster member </w:t>
      </w:r>
      <w:r w:rsidRPr="00817492">
        <w:rPr>
          <w:rFonts w:eastAsia="Source Sans Pro"/>
          <w:szCs w:val="24"/>
        </w:rPr>
        <w:t xml:space="preserve">data will be collected via </w:t>
      </w:r>
      <w:r w:rsidR="00EA31D6">
        <w:rPr>
          <w:rFonts w:eastAsia="Source Sans Pro"/>
          <w:szCs w:val="24"/>
        </w:rPr>
        <w:t xml:space="preserve">a </w:t>
      </w:r>
      <w:r w:rsidRPr="00817492">
        <w:rPr>
          <w:rFonts w:eastAsia="Source Sans Pro"/>
          <w:szCs w:val="24"/>
        </w:rPr>
        <w:t xml:space="preserve">web-based survey, which </w:t>
      </w:r>
      <w:r>
        <w:rPr>
          <w:rFonts w:eastAsia="Source Sans Pro"/>
          <w:szCs w:val="24"/>
        </w:rPr>
        <w:t xml:space="preserve">will </w:t>
      </w:r>
      <w:r w:rsidRPr="00817492">
        <w:rPr>
          <w:rFonts w:eastAsia="Source Sans Pro"/>
          <w:szCs w:val="24"/>
        </w:rPr>
        <w:t xml:space="preserve">facilitate </w:t>
      </w:r>
      <w:r w:rsidRPr="00817492">
        <w:rPr>
          <w:rFonts w:eastAsia="Source Sans Pro"/>
          <w:szCs w:val="24"/>
        </w:rPr>
        <w:t>the efficient</w:t>
      </w:r>
      <w:r w:rsidRPr="00817492">
        <w:rPr>
          <w:rFonts w:eastAsia="Source Sans Pro"/>
          <w:szCs w:val="24"/>
        </w:rPr>
        <w:t xml:space="preserve"> collection and analysis of data. </w:t>
      </w:r>
      <w:r>
        <w:rPr>
          <w:rFonts w:eastAsia="Source Sans Pro"/>
          <w:szCs w:val="24"/>
        </w:rPr>
        <w:t xml:space="preserve">There will be one </w:t>
      </w:r>
      <w:r>
        <w:rPr>
          <w:rFonts w:eastAsia="Source Sans Pro"/>
          <w:szCs w:val="24"/>
        </w:rPr>
        <w:t xml:space="preserve">survey </w:t>
      </w:r>
      <w:r w:rsidR="00984ACD">
        <w:rPr>
          <w:rFonts w:eastAsia="Source Sans Pro"/>
          <w:szCs w:val="24"/>
        </w:rPr>
        <w:t xml:space="preserve">hosted by SBA that will be used to collect membership information across all participating RICs. </w:t>
      </w:r>
      <w:r w:rsidRPr="00817492">
        <w:rPr>
          <w:rFonts w:eastAsia="Source Sans Pro"/>
          <w:szCs w:val="24"/>
        </w:rPr>
        <w:t xml:space="preserve"> Web-based surveys reduce the burden placed on respondents, because </w:t>
      </w:r>
      <w:r>
        <w:rPr>
          <w:rFonts w:eastAsia="Source Sans Pro"/>
          <w:szCs w:val="24"/>
        </w:rPr>
        <w:t>they require</w:t>
      </w:r>
      <w:r w:rsidRPr="00817492">
        <w:rPr>
          <w:rFonts w:eastAsia="Source Sans Pro"/>
          <w:szCs w:val="24"/>
        </w:rPr>
        <w:t xml:space="preserve"> no more than hitting a submit button to transfer the information. </w:t>
      </w:r>
    </w:p>
    <w:p w:rsidR="00817492" w:rsidRPr="00817492" w:rsidP="00817492" w14:paraId="11CBBA77" w14:textId="77777777">
      <w:pPr>
        <w:pStyle w:val="ListParagraph"/>
        <w:widowControl w:val="0"/>
        <w:tabs>
          <w:tab w:val="left" w:pos="360"/>
          <w:tab w:val="left" w:pos="720"/>
          <w:tab w:val="left" w:pos="1080"/>
        </w:tabs>
        <w:ind w:left="0"/>
        <w:rPr>
          <w:rFonts w:ascii="Times New Roman" w:hAnsi="Times New Roman"/>
          <w:bCs/>
        </w:rPr>
      </w:pPr>
    </w:p>
    <w:p w:rsidR="00B460D3" w:rsidRPr="00B460D3" w:rsidP="00F92988" w14:paraId="0F87824D" w14:textId="77777777">
      <w:pPr>
        <w:widowControl w:val="0"/>
        <w:tabs>
          <w:tab w:val="left" w:pos="360"/>
          <w:tab w:val="left" w:pos="720"/>
          <w:tab w:val="left" w:pos="1080"/>
        </w:tabs>
        <w:rPr>
          <w:rFonts w:ascii="Times New Roman" w:hAnsi="Times New Roman"/>
          <w:bCs/>
        </w:rPr>
      </w:pPr>
    </w:p>
    <w:p w:rsidR="00505E03" w:rsidRPr="00817492" w:rsidP="00F92988" w14:paraId="5E3B72AD" w14:textId="2A9BFB10">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rPr>
      </w:pPr>
      <w:r w:rsidRPr="00817492">
        <w:rPr>
          <w:b/>
          <w:bCs/>
          <w:u w:val="single"/>
        </w:rPr>
        <w:t>Non-duplication</w:t>
      </w:r>
      <w:r w:rsidRPr="00817492" w:rsidR="00BE696E">
        <w:rPr>
          <w:b/>
          <w:bCs/>
        </w:rPr>
        <w:t xml:space="preserve"> </w:t>
      </w:r>
    </w:p>
    <w:p w:rsidR="00817492" w:rsidP="00817492" w14:paraId="001E5DF5" w14:textId="77777777">
      <w:pPr>
        <w:widowControl w:val="0"/>
        <w:tabs>
          <w:tab w:val="left" w:pos="820"/>
          <w:tab w:val="left" w:pos="821"/>
        </w:tabs>
        <w:overflowPunct/>
        <w:adjustRightInd/>
        <w:textAlignment w:val="auto"/>
      </w:pPr>
    </w:p>
    <w:p w:rsidR="00817492" w:rsidP="00817492" w14:paraId="121EED62" w14:textId="37870CB0">
      <w:pPr>
        <w:rPr>
          <w:rFonts w:eastAsia="Source Sans Pro"/>
          <w:szCs w:val="24"/>
        </w:rPr>
      </w:pPr>
      <w:r>
        <w:rPr>
          <w:rFonts w:eastAsia="Source Sans Pro"/>
          <w:szCs w:val="24"/>
        </w:rPr>
        <w:t xml:space="preserve">The collection of standardized information of cluster members has not previously been collected by the U.S. Small Business Administration and therefore </w:t>
      </w:r>
      <w:r w:rsidR="00BA38B3">
        <w:rPr>
          <w:rFonts w:eastAsia="Source Sans Pro"/>
          <w:szCs w:val="24"/>
        </w:rPr>
        <w:t xml:space="preserve">there is no duplication. The collection of this information will enable future efforts to track size and impact of individual RICs and the program overall. </w:t>
      </w:r>
    </w:p>
    <w:p w:rsidR="00BA38B3" w:rsidP="00817492" w14:paraId="0A76A73A" w14:textId="77777777">
      <w:pPr>
        <w:rPr>
          <w:rFonts w:eastAsia="Source Sans Pro"/>
          <w:szCs w:val="24"/>
        </w:rPr>
      </w:pPr>
    </w:p>
    <w:p w:rsidR="00F359F8" w:rsidRPr="00BA38B3" w:rsidP="00F92988" w14:paraId="1EC2F3AB" w14:textId="009607B8">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rPr>
      </w:pPr>
      <w:r w:rsidRPr="00BA38B3">
        <w:rPr>
          <w:b/>
          <w:bCs/>
          <w:u w:val="single"/>
        </w:rPr>
        <w:t>Burden on Small Business</w:t>
      </w:r>
    </w:p>
    <w:p w:rsidR="00BA38B3" w:rsidP="00BA38B3" w14:paraId="580EF365" w14:textId="77777777">
      <w:pPr>
        <w:pStyle w:val="NormalWeb"/>
        <w:widowControl w:val="0"/>
        <w:tabs>
          <w:tab w:val="left" w:pos="360"/>
          <w:tab w:val="left" w:pos="720"/>
          <w:tab w:val="left" w:pos="1080"/>
          <w:tab w:val="left" w:pos="1440"/>
        </w:tabs>
        <w:spacing w:before="0" w:beforeAutospacing="0" w:after="0" w:afterAutospacing="0"/>
      </w:pPr>
    </w:p>
    <w:p w:rsidR="00BE696E" w:rsidP="00BA38B3" w14:paraId="3EE26CC2" w14:textId="7FCA50B8">
      <w:r>
        <w:rPr>
          <w:rFonts w:eastAsia="Source Sans Pro"/>
          <w:szCs w:val="24"/>
        </w:rPr>
        <w:t>E</w:t>
      </w:r>
      <w:r w:rsidRPr="007A1E2B">
        <w:rPr>
          <w:rFonts w:eastAsia="Source Sans Pro"/>
          <w:szCs w:val="24"/>
        </w:rPr>
        <w:t>fforts have been made to simplify and streamline t</w:t>
      </w:r>
      <w:r>
        <w:rPr>
          <w:rFonts w:eastAsia="Source Sans Pro"/>
          <w:szCs w:val="24"/>
        </w:rPr>
        <w:t>he</w:t>
      </w:r>
      <w:r w:rsidR="00906FCF">
        <w:rPr>
          <w:rFonts w:eastAsia="Source Sans Pro"/>
          <w:szCs w:val="24"/>
        </w:rPr>
        <w:t xml:space="preserve"> survey</w:t>
      </w:r>
      <w:r w:rsidRPr="009429F2">
        <w:rPr>
          <w:rFonts w:eastAsia="Source Sans Pro"/>
          <w:szCs w:val="24"/>
        </w:rPr>
        <w:t xml:space="preserve"> </w:t>
      </w:r>
      <w:r>
        <w:rPr>
          <w:rFonts w:eastAsia="Source Sans Pro"/>
          <w:szCs w:val="24"/>
        </w:rPr>
        <w:t>t</w:t>
      </w:r>
      <w:r w:rsidRPr="007A1E2B">
        <w:rPr>
          <w:rFonts w:eastAsia="Source Sans Pro"/>
          <w:szCs w:val="24"/>
        </w:rPr>
        <w:t xml:space="preserve">o minimize the burden on respondents. </w:t>
      </w:r>
      <w:r>
        <w:rPr>
          <w:rFonts w:eastAsia="Source Sans Pro"/>
          <w:szCs w:val="24"/>
        </w:rPr>
        <w:t xml:space="preserve">The </w:t>
      </w:r>
      <w:r w:rsidR="00906FCF">
        <w:rPr>
          <w:rFonts w:eastAsia="Source Sans Pro"/>
          <w:szCs w:val="24"/>
        </w:rPr>
        <w:t>survey</w:t>
      </w:r>
      <w:r w:rsidRPr="007A1E2B">
        <w:rPr>
          <w:rFonts w:eastAsia="Source Sans Pro"/>
          <w:szCs w:val="24"/>
        </w:rPr>
        <w:t xml:space="preserve"> will be disseminated via an online platform, which will allow small business owners to </w:t>
      </w:r>
      <w:r>
        <w:rPr>
          <w:rFonts w:eastAsia="Source Sans Pro"/>
          <w:szCs w:val="24"/>
        </w:rPr>
        <w:t>complete</w:t>
      </w:r>
      <w:r>
        <w:rPr>
          <w:rFonts w:eastAsia="Source Sans Pro"/>
          <w:szCs w:val="24"/>
        </w:rPr>
        <w:t xml:space="preserve"> at their convenience.</w:t>
      </w:r>
      <w:r w:rsidRPr="007A1E2B">
        <w:rPr>
          <w:rFonts w:eastAsia="Source Sans Pro"/>
          <w:szCs w:val="24"/>
        </w:rPr>
        <w:t xml:space="preserve"> The</w:t>
      </w:r>
      <w:r w:rsidR="00906FCF">
        <w:rPr>
          <w:rFonts w:eastAsia="Source Sans Pro"/>
          <w:szCs w:val="24"/>
        </w:rPr>
        <w:t xml:space="preserve"> survey</w:t>
      </w:r>
      <w:r>
        <w:rPr>
          <w:rFonts w:eastAsia="Source Sans Pro"/>
          <w:szCs w:val="24"/>
        </w:rPr>
        <w:t xml:space="preserve"> has no </w:t>
      </w:r>
      <w:r w:rsidRPr="007A1E2B">
        <w:rPr>
          <w:rFonts w:eastAsia="Source Sans Pro"/>
          <w:szCs w:val="24"/>
        </w:rPr>
        <w:t>open-ended questions. The web surveys can be accessed from a variety of devices, which further reduces the respondent burden associated with accessing and using personal computers.</w:t>
      </w:r>
    </w:p>
    <w:p w:rsidR="00BE696E" w:rsidRPr="00505E03" w:rsidP="00F92988" w14:paraId="4FE15CF8" w14:textId="77777777">
      <w:pPr>
        <w:pStyle w:val="NormalWeb"/>
        <w:widowControl w:val="0"/>
        <w:tabs>
          <w:tab w:val="left" w:pos="360"/>
          <w:tab w:val="left" w:pos="720"/>
          <w:tab w:val="left" w:pos="1080"/>
          <w:tab w:val="left" w:pos="1440"/>
        </w:tabs>
        <w:spacing w:before="0" w:beforeAutospacing="0" w:after="0" w:afterAutospacing="0"/>
      </w:pPr>
    </w:p>
    <w:p w:rsidR="00F359F8" w:rsidRPr="00BA38B3" w:rsidP="00F92988" w14:paraId="388B8B91" w14:textId="60A3A24B">
      <w:pPr>
        <w:pStyle w:val="ListParagraph"/>
        <w:widowControl w:val="0"/>
        <w:numPr>
          <w:ilvl w:val="0"/>
          <w:numId w:val="19"/>
        </w:numPr>
        <w:tabs>
          <w:tab w:val="left" w:pos="360"/>
          <w:tab w:val="left" w:pos="720"/>
          <w:tab w:val="left" w:pos="1080"/>
        </w:tabs>
        <w:ind w:left="0"/>
        <w:rPr>
          <w:rFonts w:ascii="Times New Roman" w:hAnsi="Times New Roman"/>
          <w:b/>
          <w:bCs/>
          <w:u w:val="single"/>
        </w:rPr>
      </w:pPr>
      <w:r w:rsidRPr="00BA38B3">
        <w:rPr>
          <w:rFonts w:ascii="Times New Roman" w:hAnsi="Times New Roman"/>
          <w:b/>
          <w:bCs/>
          <w:u w:val="single"/>
        </w:rPr>
        <w:t>Less Frequent Collection</w:t>
      </w:r>
    </w:p>
    <w:p w:rsidR="00BA38B3" w:rsidRPr="00BA38B3" w:rsidP="00BA38B3" w14:paraId="23C89940" w14:textId="5F4ACEC4">
      <w:pPr>
        <w:rPr>
          <w:rFonts w:eastAsia="Source Sans Pro"/>
          <w:szCs w:val="24"/>
        </w:rPr>
      </w:pPr>
      <w:r w:rsidRPr="00BA38B3">
        <w:rPr>
          <w:rFonts w:eastAsia="Source Sans Pro"/>
          <w:szCs w:val="24"/>
        </w:rPr>
        <w:t>Without this data collection, the SBA would not have systematic information on RIC</w:t>
      </w:r>
      <w:r>
        <w:rPr>
          <w:rFonts w:eastAsia="Source Sans Pro"/>
          <w:szCs w:val="24"/>
        </w:rPr>
        <w:t xml:space="preserve"> Program</w:t>
      </w:r>
      <w:r w:rsidRPr="00BA38B3">
        <w:rPr>
          <w:rFonts w:eastAsia="Source Sans Pro"/>
          <w:szCs w:val="24"/>
        </w:rPr>
        <w:t xml:space="preserve"> </w:t>
      </w:r>
      <w:r>
        <w:rPr>
          <w:rFonts w:eastAsia="Source Sans Pro"/>
          <w:szCs w:val="24"/>
        </w:rPr>
        <w:t xml:space="preserve">small business and partner organization members. The data collection enables SBA to track individual cluster and programmatic growth and impact. </w:t>
      </w:r>
      <w:r w:rsidRPr="00BA38B3">
        <w:rPr>
          <w:rFonts w:eastAsia="Source Sans Pro"/>
          <w:szCs w:val="24"/>
        </w:rPr>
        <w:t>Each respondent is only asked to complete the</w:t>
      </w:r>
      <w:r w:rsidR="00906FCF">
        <w:rPr>
          <w:rFonts w:eastAsia="Source Sans Pro"/>
          <w:szCs w:val="24"/>
        </w:rPr>
        <w:t xml:space="preserve"> survey</w:t>
      </w:r>
      <w:r w:rsidRPr="00BA38B3">
        <w:rPr>
          <w:rFonts w:eastAsia="Source Sans Pro"/>
          <w:szCs w:val="24"/>
        </w:rPr>
        <w:t xml:space="preserve"> once. </w:t>
      </w:r>
    </w:p>
    <w:p w:rsidR="00BB5AB7" w:rsidRPr="00BB5AB7" w:rsidP="00F92988" w14:paraId="188015B4" w14:textId="77777777">
      <w:pPr>
        <w:widowControl w:val="0"/>
        <w:tabs>
          <w:tab w:val="left" w:pos="360"/>
          <w:tab w:val="left" w:pos="720"/>
          <w:tab w:val="left" w:pos="1080"/>
        </w:tabs>
        <w:rPr>
          <w:rFonts w:ascii="Times New Roman" w:hAnsi="Times New Roman"/>
          <w:u w:val="single"/>
        </w:rPr>
      </w:pPr>
    </w:p>
    <w:p w:rsidR="002A3308" w:rsidRPr="006E3114" w:rsidP="00F92988" w14:paraId="5769738D" w14:textId="651DC3BE">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rPr>
      </w:pPr>
      <w:r w:rsidRPr="006E3114">
        <w:rPr>
          <w:b/>
          <w:bCs/>
          <w:u w:val="single"/>
        </w:rPr>
        <w:t>Paperwork Reduction Act Guidelines</w:t>
      </w:r>
    </w:p>
    <w:p w:rsidR="006E3114" w:rsidP="006E3114" w14:paraId="2A84ADAA" w14:textId="77777777">
      <w:pPr>
        <w:rPr>
          <w:rFonts w:eastAsia="Source Sans Pro"/>
          <w:szCs w:val="24"/>
        </w:rPr>
      </w:pPr>
      <w:r w:rsidRPr="006E3114">
        <w:rPr>
          <w:rFonts w:eastAsia="Source Sans Pro"/>
          <w:szCs w:val="24"/>
        </w:rPr>
        <w:t>No special circumstances would cause information to be collected in the manners described above.</w:t>
      </w:r>
    </w:p>
    <w:p w:rsidR="006E3114" w:rsidP="006E3114" w14:paraId="0F38B2EC" w14:textId="77777777">
      <w:pPr>
        <w:rPr>
          <w:rFonts w:eastAsia="Source Sans Pro"/>
          <w:szCs w:val="24"/>
        </w:rPr>
      </w:pPr>
    </w:p>
    <w:p w:rsidR="006E3114" w:rsidRPr="006E3114" w:rsidP="006E3114" w14:paraId="05DA2033"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rFonts w:eastAsia="Source Sans Pro"/>
          <w:b/>
          <w:bCs/>
        </w:rPr>
      </w:pPr>
      <w:r w:rsidRPr="006E3114">
        <w:rPr>
          <w:b/>
          <w:bCs/>
          <w:u w:val="single"/>
        </w:rPr>
        <w:t>Consultation and Public Comments</w:t>
      </w:r>
    </w:p>
    <w:p w:rsidR="006E3114" w:rsidRPr="000F6567" w:rsidP="008D4B73" w14:paraId="07796086" w14:textId="0E552953">
      <w:pPr>
        <w:pStyle w:val="p3"/>
        <w:tabs>
          <w:tab w:val="clear" w:pos="600"/>
        </w:tabs>
        <w:ind w:left="240" w:firstLine="0"/>
      </w:pPr>
      <w:r w:rsidRPr="000F6567">
        <w:t xml:space="preserve">A 60-day notice for the collection was published in the </w:t>
      </w:r>
      <w:r w:rsidRPr="000F6567">
        <w:rPr>
          <w:i/>
          <w:iCs/>
        </w:rPr>
        <w:t>Federal Register</w:t>
      </w:r>
      <w:r w:rsidRPr="000F6567">
        <w:t xml:space="preserve"> on </w:t>
      </w:r>
      <w:r w:rsidRPr="000F6567" w:rsidR="00964BB3">
        <w:t>September 3</w:t>
      </w:r>
      <w:r w:rsidRPr="000F6567">
        <w:rPr>
          <w:color w:val="222222"/>
        </w:rPr>
        <w:t>, 202</w:t>
      </w:r>
      <w:r w:rsidRPr="000F6567" w:rsidR="00964BB3">
        <w:rPr>
          <w:color w:val="222222"/>
        </w:rPr>
        <w:t>5</w:t>
      </w:r>
      <w:r w:rsidRPr="000F6567">
        <w:rPr>
          <w:rFonts w:eastAsia="Source Sans Pro"/>
          <w:color w:val="000000" w:themeColor="text1"/>
        </w:rPr>
        <w:t>,</w:t>
      </w:r>
      <w:r w:rsidRPr="000F6567">
        <w:t xml:space="preserve"> at </w:t>
      </w:r>
      <w:r w:rsidRPr="000F6567" w:rsidR="000F6567">
        <w:t>90</w:t>
      </w:r>
      <w:r w:rsidRPr="000F6567">
        <w:t xml:space="preserve"> FR </w:t>
      </w:r>
      <w:r w:rsidRPr="000F6567" w:rsidR="000F6567">
        <w:t>42666</w:t>
      </w:r>
      <w:r w:rsidRPr="000F6567">
        <w:t xml:space="preserve"> page </w:t>
      </w:r>
      <w:r w:rsidRPr="000F6567" w:rsidR="00646B83">
        <w:t xml:space="preserve">2025-16878 </w:t>
      </w:r>
      <w:r w:rsidRPr="000F6567">
        <w:t>(2 pages). No comments were received during the 60-day comment period.</w:t>
      </w:r>
    </w:p>
    <w:p w:rsidR="006E3114" w:rsidRPr="00734E31" w:rsidP="006E3114" w14:paraId="56789DAA" w14:textId="77777777">
      <w:pPr>
        <w:pStyle w:val="p3"/>
        <w:tabs>
          <w:tab w:val="clear" w:pos="600"/>
        </w:tabs>
        <w:ind w:left="360" w:firstLine="0"/>
      </w:pPr>
    </w:p>
    <w:p w:rsidR="00D3303B" w:rsidRPr="006E3114" w:rsidP="00F92988" w14:paraId="2EBB8BBB" w14:textId="671720D6">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rPr>
      </w:pPr>
      <w:r w:rsidRPr="006E3114">
        <w:rPr>
          <w:b/>
          <w:bCs/>
          <w:u w:val="single"/>
        </w:rPr>
        <w:t>Gifts or Payment</w:t>
      </w:r>
    </w:p>
    <w:p w:rsidR="006E3114" w:rsidRPr="007A1E2B" w:rsidP="006E3114" w14:paraId="7116ADFF" w14:textId="646B82AC">
      <w:pPr>
        <w:pStyle w:val="BodyTextIndent2"/>
        <w:tabs>
          <w:tab w:val="left" w:pos="9630"/>
          <w:tab w:val="left" w:pos="9810"/>
        </w:tabs>
        <w:spacing w:after="0" w:line="240" w:lineRule="auto"/>
        <w:ind w:left="0" w:right="792"/>
        <w:rPr>
          <w:rFonts w:ascii="Times New Roman" w:eastAsia="Source Sans Pro" w:hAnsi="Times New Roman"/>
          <w:szCs w:val="24"/>
        </w:rPr>
      </w:pPr>
      <w:r w:rsidRPr="007A1E2B">
        <w:rPr>
          <w:rFonts w:ascii="Times New Roman" w:eastAsia="Source Sans Pro" w:hAnsi="Times New Roman"/>
          <w:szCs w:val="24"/>
        </w:rPr>
        <w:t>No payments or gifts will be made to respondents.</w:t>
      </w:r>
    </w:p>
    <w:p w:rsidR="00B747BF" w:rsidP="00F92988" w14:paraId="5B4C2E05" w14:textId="77777777">
      <w:pPr>
        <w:pStyle w:val="NormalWeb"/>
        <w:widowControl w:val="0"/>
        <w:tabs>
          <w:tab w:val="left" w:pos="360"/>
          <w:tab w:val="left" w:pos="720"/>
          <w:tab w:val="left" w:pos="1080"/>
          <w:tab w:val="left" w:pos="1440"/>
        </w:tabs>
        <w:spacing w:before="0" w:beforeAutospacing="0" w:after="0" w:afterAutospacing="0"/>
      </w:pPr>
    </w:p>
    <w:p w:rsidR="00DB6E44" w:rsidRPr="00505E03" w:rsidP="00F92988" w14:paraId="1813E4F5" w14:textId="77777777">
      <w:pPr>
        <w:pStyle w:val="NormalWeb"/>
        <w:widowControl w:val="0"/>
        <w:tabs>
          <w:tab w:val="left" w:pos="360"/>
          <w:tab w:val="left" w:pos="720"/>
          <w:tab w:val="left" w:pos="1080"/>
          <w:tab w:val="left" w:pos="1440"/>
        </w:tabs>
        <w:spacing w:before="0" w:beforeAutospacing="0" w:after="0" w:afterAutospacing="0"/>
      </w:pPr>
    </w:p>
    <w:p w:rsidR="00F02924" w:rsidRPr="00A936AF" w:rsidP="006E3114" w14:paraId="5B2F491D" w14:textId="545A48B0">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rPr>
      </w:pPr>
      <w:r w:rsidRPr="00A936AF">
        <w:rPr>
          <w:b/>
          <w:bCs/>
          <w:u w:val="single"/>
        </w:rPr>
        <w:t xml:space="preserve">Privacy &amp; </w:t>
      </w:r>
      <w:r w:rsidRPr="00A936AF" w:rsidR="00D3303B">
        <w:rPr>
          <w:b/>
          <w:bCs/>
          <w:u w:val="single"/>
        </w:rPr>
        <w:t>Confidentiality</w:t>
      </w:r>
    </w:p>
    <w:p w:rsidR="006E3114" w:rsidRPr="007A1E2B" w:rsidP="006E3114" w14:paraId="74E92210" w14:textId="22FD5335">
      <w:pPr>
        <w:rPr>
          <w:rFonts w:eastAsia="Source Sans Pro"/>
          <w:szCs w:val="24"/>
        </w:rPr>
      </w:pPr>
      <w:r w:rsidRPr="006159CD">
        <w:rPr>
          <w:rFonts w:asciiTheme="majorBidi" w:eastAsiaTheme="majorBidi" w:hAnsiTheme="majorBidi" w:cstheme="majorBidi"/>
          <w:szCs w:val="24"/>
        </w:rPr>
        <w:t xml:space="preserve">The </w:t>
      </w:r>
      <w:r>
        <w:rPr>
          <w:rFonts w:asciiTheme="majorBidi" w:eastAsiaTheme="majorBidi" w:hAnsiTheme="majorBidi" w:cstheme="majorBidi"/>
          <w:szCs w:val="24"/>
        </w:rPr>
        <w:t xml:space="preserve">personal </w:t>
      </w:r>
      <w:r w:rsidRPr="006159CD">
        <w:rPr>
          <w:rFonts w:asciiTheme="majorBidi" w:eastAsiaTheme="majorBidi" w:hAnsiTheme="majorBidi" w:cstheme="majorBidi"/>
          <w:szCs w:val="24"/>
        </w:rPr>
        <w:t xml:space="preserve">information collected </w:t>
      </w:r>
      <w:r>
        <w:rPr>
          <w:rFonts w:asciiTheme="majorBidi" w:eastAsiaTheme="majorBidi" w:hAnsiTheme="majorBidi" w:cstheme="majorBidi"/>
          <w:szCs w:val="24"/>
        </w:rPr>
        <w:t xml:space="preserve">will be protected to the extent permitted by law, including </w:t>
      </w:r>
      <w:r w:rsidRPr="006159CD">
        <w:rPr>
          <w:rFonts w:asciiTheme="majorBidi" w:eastAsiaTheme="majorBidi" w:hAnsiTheme="majorBidi" w:cstheme="majorBidi"/>
          <w:szCs w:val="24"/>
        </w:rPr>
        <w:t>the Privacy Act of 1974</w:t>
      </w:r>
      <w:r>
        <w:rPr>
          <w:rFonts w:asciiTheme="majorBidi" w:eastAsiaTheme="majorBidi" w:hAnsiTheme="majorBidi" w:cstheme="majorBidi"/>
          <w:szCs w:val="24"/>
        </w:rPr>
        <w:t xml:space="preserve"> and </w:t>
      </w:r>
      <w:r w:rsidRPr="006159CD">
        <w:rPr>
          <w:rFonts w:asciiTheme="majorBidi" w:eastAsiaTheme="majorBidi" w:hAnsiTheme="majorBidi" w:cstheme="majorBidi"/>
          <w:szCs w:val="24"/>
        </w:rPr>
        <w:t>the Freedom of Information Act</w:t>
      </w:r>
      <w:r>
        <w:rPr>
          <w:rFonts w:asciiTheme="majorBidi" w:eastAsiaTheme="majorBidi" w:hAnsiTheme="majorBidi" w:cstheme="majorBidi"/>
          <w:szCs w:val="24"/>
        </w:rPr>
        <w:t xml:space="preserve"> (FOIA). </w:t>
      </w:r>
      <w:r w:rsidRPr="007A1E2B">
        <w:rPr>
          <w:rFonts w:eastAsia="Source Sans Pro"/>
          <w:szCs w:val="24"/>
        </w:rPr>
        <w:t xml:space="preserve">In addition, to the extent permitted under FOIA, </w:t>
      </w:r>
      <w:r w:rsidRPr="007A1E2B">
        <w:rPr>
          <w:rFonts w:eastAsia="Source Sans Pro"/>
          <w:szCs w:val="24"/>
        </w:rPr>
        <w:t>in particular exemption</w:t>
      </w:r>
      <w:r w:rsidRPr="007A1E2B">
        <w:rPr>
          <w:rFonts w:eastAsia="Source Sans Pro"/>
          <w:szCs w:val="24"/>
        </w:rPr>
        <w:t xml:space="preserve"> </w:t>
      </w:r>
      <w:r>
        <w:rPr>
          <w:rFonts w:eastAsia="Source Sans Pro"/>
          <w:szCs w:val="24"/>
        </w:rPr>
        <w:t>four</w:t>
      </w:r>
      <w:r w:rsidRPr="007A1E2B">
        <w:rPr>
          <w:rFonts w:eastAsia="Source Sans Pro"/>
          <w:szCs w:val="24"/>
        </w:rPr>
        <w:t xml:space="preserve">, confidential business information will only be disclosed to </w:t>
      </w:r>
      <w:r w:rsidRPr="007A1E2B">
        <w:rPr>
          <w:rFonts w:eastAsia="Source Sans Pro"/>
          <w:szCs w:val="24"/>
        </w:rPr>
        <w:t>contractor</w:t>
      </w:r>
      <w:r w:rsidR="00B25D10">
        <w:rPr>
          <w:rFonts w:eastAsia="Source Sans Pro"/>
          <w:szCs w:val="24"/>
        </w:rPr>
        <w:t xml:space="preserve"> </w:t>
      </w:r>
      <w:r w:rsidR="0051478E">
        <w:rPr>
          <w:rFonts w:eastAsia="Source Sans Pro"/>
          <w:szCs w:val="24"/>
        </w:rPr>
        <w:t>(cluster administrators)</w:t>
      </w:r>
      <w:r w:rsidRPr="007A1E2B">
        <w:rPr>
          <w:rFonts w:eastAsia="Source Sans Pro"/>
          <w:szCs w:val="24"/>
        </w:rPr>
        <w:t xml:space="preserve"> or Agency personnel assigned to administer the </w:t>
      </w:r>
      <w:r w:rsidR="00200B1E">
        <w:rPr>
          <w:rFonts w:eastAsia="Source Sans Pro"/>
          <w:szCs w:val="24"/>
        </w:rPr>
        <w:t>RIC</w:t>
      </w:r>
      <w:r w:rsidRPr="007A1E2B" w:rsidR="00200B1E">
        <w:rPr>
          <w:rFonts w:eastAsia="Source Sans Pro"/>
          <w:szCs w:val="24"/>
        </w:rPr>
        <w:t xml:space="preserve"> </w:t>
      </w:r>
      <w:r w:rsidRPr="007A1E2B">
        <w:rPr>
          <w:rFonts w:eastAsia="Source Sans Pro"/>
          <w:szCs w:val="24"/>
        </w:rPr>
        <w:t>services and surveys.</w:t>
      </w:r>
    </w:p>
    <w:p w:rsidR="006E3114" w:rsidP="006E3114" w14:paraId="65CB16E0" w14:textId="77777777">
      <w:pPr>
        <w:pStyle w:val="NormalWeb"/>
        <w:widowControl w:val="0"/>
        <w:tabs>
          <w:tab w:val="left" w:pos="360"/>
          <w:tab w:val="left" w:pos="720"/>
          <w:tab w:val="left" w:pos="1080"/>
          <w:tab w:val="left" w:pos="1440"/>
        </w:tabs>
        <w:spacing w:before="0" w:beforeAutospacing="0" w:after="0" w:afterAutospacing="0"/>
      </w:pPr>
    </w:p>
    <w:p w:rsidR="00874E6A" w:rsidP="00874E6A" w14:paraId="78664EEC" w14:textId="46BF0495">
      <w:pPr>
        <w:rPr>
          <w:rFonts w:asciiTheme="majorBidi" w:eastAsiaTheme="majorBidi" w:hAnsiTheme="majorBidi" w:cstheme="majorBidi"/>
          <w:szCs w:val="24"/>
        </w:rPr>
      </w:pPr>
      <w:r>
        <w:rPr>
          <w:rFonts w:asciiTheme="majorBidi" w:eastAsiaTheme="majorBidi" w:hAnsiTheme="majorBidi" w:cstheme="majorBidi"/>
          <w:szCs w:val="24"/>
        </w:rPr>
        <w:t>The information collection for the surveys is supported by</w:t>
      </w:r>
      <w:r w:rsidR="00CF52F1">
        <w:rPr>
          <w:rFonts w:asciiTheme="majorBidi" w:eastAsiaTheme="majorBidi" w:hAnsiTheme="majorBidi" w:cstheme="majorBidi"/>
          <w:szCs w:val="24"/>
        </w:rPr>
        <w:t xml:space="preserve"> SBA SORN 11 -</w:t>
      </w:r>
      <w:r>
        <w:rPr>
          <w:rFonts w:asciiTheme="majorBidi" w:eastAsiaTheme="majorBidi" w:hAnsiTheme="majorBidi" w:cstheme="majorBidi"/>
          <w:szCs w:val="24"/>
        </w:rPr>
        <w:t xml:space="preserve"> </w:t>
      </w:r>
      <w:r w:rsidR="000554CF">
        <w:rPr>
          <w:rFonts w:asciiTheme="majorBidi" w:eastAsiaTheme="majorBidi" w:hAnsiTheme="majorBidi" w:cstheme="majorBidi"/>
          <w:szCs w:val="24"/>
        </w:rPr>
        <w:t xml:space="preserve">Entrepreneurial Development – Management Information System </w:t>
      </w:r>
      <w:r>
        <w:rPr>
          <w:rFonts w:asciiTheme="majorBidi" w:eastAsiaTheme="majorBidi" w:hAnsiTheme="majorBidi" w:cstheme="majorBidi"/>
          <w:szCs w:val="24"/>
        </w:rPr>
        <w:t>which can be found at</w:t>
      </w:r>
      <w:r w:rsidR="000554CF">
        <w:t xml:space="preserve"> </w:t>
      </w:r>
      <w:hyperlink r:id="rId9" w:history="1">
        <w:r w:rsidRPr="000554CF" w:rsidR="000554CF">
          <w:rPr>
            <w:rStyle w:val="Hyperlink"/>
          </w:rPr>
          <w:t>Privacy Act System of Records Notices (SORNs) | U.S. Small Business Administration</w:t>
        </w:r>
      </w:hyperlink>
      <w:r>
        <w:rPr>
          <w:rFonts w:asciiTheme="majorBidi" w:eastAsiaTheme="majorBidi" w:hAnsiTheme="majorBidi" w:cstheme="majorBidi"/>
          <w:szCs w:val="24"/>
        </w:rPr>
        <w:t>.</w:t>
      </w:r>
      <w:r w:rsidR="000554CF">
        <w:rPr>
          <w:rFonts w:asciiTheme="majorBidi" w:eastAsiaTheme="majorBidi" w:hAnsiTheme="majorBidi" w:cstheme="majorBidi"/>
          <w:szCs w:val="24"/>
        </w:rPr>
        <w:t xml:space="preserve"> </w:t>
      </w:r>
    </w:p>
    <w:p w:rsidR="00874E6A" w:rsidRPr="00505E03" w:rsidP="006E3114" w14:paraId="656BECBF" w14:textId="77777777">
      <w:pPr>
        <w:pStyle w:val="NormalWeb"/>
        <w:widowControl w:val="0"/>
        <w:tabs>
          <w:tab w:val="left" w:pos="360"/>
          <w:tab w:val="left" w:pos="720"/>
          <w:tab w:val="left" w:pos="1080"/>
          <w:tab w:val="left" w:pos="1440"/>
        </w:tabs>
        <w:spacing w:before="0" w:beforeAutospacing="0" w:after="0" w:afterAutospacing="0"/>
      </w:pPr>
    </w:p>
    <w:p w:rsidR="001B4976" w:rsidRPr="004A4E3D" w:rsidP="00C14D4C" w14:paraId="57FFE4D3" w14:textId="446523C6">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rPr>
      </w:pPr>
      <w:r w:rsidRPr="004A4E3D">
        <w:rPr>
          <w:b/>
          <w:bCs/>
          <w:u w:val="single"/>
        </w:rPr>
        <w:t>Sensitive Questions</w:t>
      </w:r>
    </w:p>
    <w:p w:rsidR="001C70EE" w:rsidRPr="001C70EE" w:rsidP="001C70EE" w14:paraId="477712FF" w14:textId="01C6D29F">
      <w:pPr>
        <w:rPr>
          <w:rFonts w:eastAsia="Source Sans Pro"/>
          <w:szCs w:val="24"/>
        </w:rPr>
      </w:pPr>
      <w:r w:rsidRPr="001C70EE">
        <w:rPr>
          <w:rFonts w:eastAsia="Source Sans Pro"/>
        </w:rPr>
        <w:t>Participants will also be asked for their SAM.GOV Unique Entity Identifier (UEI), which would allow the SBA to conduct an analysis of business performance over time.</w:t>
      </w:r>
      <w:r w:rsidRPr="001C70EE">
        <w:rPr>
          <w:rFonts w:eastAsia="Source Sans Pro"/>
        </w:rPr>
        <w:t xml:space="preserve"> </w:t>
      </w:r>
      <w:r w:rsidRPr="001C70EE">
        <w:rPr>
          <w:rFonts w:eastAsia="Source Sans Pro"/>
        </w:rPr>
        <w:t xml:space="preserve">This identifier is necessary to improve the validity of the business performance data by linking the RIC participants to the SAM datasets for the business performance outcomes. The potentially sensitive nature of these identifiers means the data will be transferred and maintained according to a data security protocol. </w:t>
      </w:r>
      <w:r w:rsidR="005C011A">
        <w:rPr>
          <w:rFonts w:eastAsia="Source Sans Pro"/>
        </w:rPr>
        <w:t>There is no other potentially sensitive information collected.</w:t>
      </w:r>
    </w:p>
    <w:p w:rsidR="00376161" w:rsidRPr="00505E03" w:rsidP="00F92988" w14:paraId="1F8FDC75" w14:textId="77777777">
      <w:pPr>
        <w:pStyle w:val="NormalWeb"/>
        <w:widowControl w:val="0"/>
        <w:tabs>
          <w:tab w:val="left" w:pos="360"/>
          <w:tab w:val="left" w:pos="720"/>
          <w:tab w:val="left" w:pos="1080"/>
          <w:tab w:val="left" w:pos="1440"/>
        </w:tabs>
        <w:spacing w:before="0" w:beforeAutospacing="0" w:after="0" w:afterAutospacing="0"/>
      </w:pPr>
    </w:p>
    <w:p w:rsidR="00D3303B" w:rsidRPr="004A4E3D" w:rsidP="00F92988" w14:paraId="1869F9CE" w14:textId="3034FC2A">
      <w:pPr>
        <w:pStyle w:val="NormalWeb"/>
        <w:widowControl w:val="0"/>
        <w:numPr>
          <w:ilvl w:val="0"/>
          <w:numId w:val="19"/>
        </w:numPr>
        <w:tabs>
          <w:tab w:val="left" w:pos="360"/>
          <w:tab w:val="left" w:pos="720"/>
          <w:tab w:val="left" w:pos="1080"/>
          <w:tab w:val="left" w:pos="1440"/>
        </w:tabs>
        <w:spacing w:before="0" w:beforeAutospacing="0" w:after="0" w:afterAutospacing="0"/>
        <w:ind w:left="0"/>
        <w:rPr>
          <w:b/>
          <w:bCs/>
          <w:u w:val="single"/>
        </w:rPr>
      </w:pPr>
      <w:r w:rsidRPr="004A4E3D">
        <w:rPr>
          <w:b/>
          <w:bCs/>
          <w:u w:val="single"/>
        </w:rPr>
        <w:t xml:space="preserve">Burden </w:t>
      </w:r>
      <w:r w:rsidRPr="004A4E3D" w:rsidR="00E77C9D">
        <w:rPr>
          <w:b/>
          <w:bCs/>
          <w:u w:val="single"/>
        </w:rPr>
        <w:t>Estimate</w:t>
      </w:r>
    </w:p>
    <w:p w:rsidR="00CE7C24" w:rsidP="00CE7C24" w14:paraId="195322F7" w14:textId="2F943D66">
      <w:pPr>
        <w:pStyle w:val="NormalWeb"/>
        <w:widowControl w:val="0"/>
        <w:tabs>
          <w:tab w:val="left" w:pos="360"/>
          <w:tab w:val="left" w:pos="720"/>
          <w:tab w:val="left" w:pos="1080"/>
          <w:tab w:val="left" w:pos="1440"/>
        </w:tabs>
        <w:spacing w:before="0" w:beforeAutospacing="0" w:after="0" w:afterAutospacing="0"/>
        <w:rPr>
          <w:rFonts w:eastAsia="Source Sans Pro"/>
          <w:color w:val="000000" w:themeColor="text1"/>
        </w:rPr>
      </w:pPr>
      <w:r>
        <w:t xml:space="preserve">The affected respondent types for this data collection include small business and partner organizations who become formal members of </w:t>
      </w:r>
      <w:r>
        <w:t>a RIC</w:t>
      </w:r>
      <w:r w:rsidR="0006634E">
        <w:t xml:space="preserve">. The data will be collected once when they join the cluster. </w:t>
      </w:r>
      <w:r w:rsidR="00914955">
        <w:rPr>
          <w:rFonts w:eastAsia="Source Sans Pro"/>
          <w:color w:val="000000" w:themeColor="text1"/>
        </w:rPr>
        <w:t>Review of instruments by cluster administrators was done in lieu of</w:t>
      </w:r>
      <w:r w:rsidRPr="007A1E2B" w:rsidR="00914955">
        <w:rPr>
          <w:rFonts w:eastAsia="Source Sans Pro"/>
          <w:color w:val="000000" w:themeColor="text1"/>
        </w:rPr>
        <w:t xml:space="preserve"> pretests for all data-collection instruments to </w:t>
      </w:r>
      <w:r w:rsidR="00914955">
        <w:rPr>
          <w:rFonts w:eastAsia="Source Sans Pro"/>
          <w:color w:val="000000" w:themeColor="text1"/>
        </w:rPr>
        <w:t>minimize burden on RIC participants</w:t>
      </w:r>
      <w:r w:rsidRPr="007A1E2B" w:rsidR="00914955">
        <w:rPr>
          <w:rFonts w:eastAsia="Source Sans Pro"/>
          <w:color w:val="000000" w:themeColor="text1"/>
        </w:rPr>
        <w:t>.</w:t>
      </w:r>
    </w:p>
    <w:p w:rsidR="00AC7066" w:rsidP="00CE7C24" w14:paraId="715C786A" w14:textId="77777777">
      <w:pPr>
        <w:pStyle w:val="NormalWeb"/>
        <w:widowControl w:val="0"/>
        <w:tabs>
          <w:tab w:val="left" w:pos="360"/>
          <w:tab w:val="left" w:pos="720"/>
          <w:tab w:val="left" w:pos="1080"/>
          <w:tab w:val="left" w:pos="1440"/>
        </w:tabs>
        <w:spacing w:before="0" w:beforeAutospacing="0" w:after="0" w:afterAutospacing="0"/>
        <w:rPr>
          <w:rFonts w:eastAsia="Source Sans Pro"/>
          <w:color w:val="000000" w:themeColor="text1"/>
        </w:rPr>
      </w:pPr>
    </w:p>
    <w:p w:rsidR="00AC7066" w:rsidRPr="00AC7066" w:rsidP="00AC7066" w14:paraId="0B5915F8" w14:textId="12105CC8">
      <w:pPr>
        <w:pStyle w:val="FootnoteText"/>
        <w:rPr>
          <w:rFonts w:eastAsia="Source Sans Pro"/>
          <w:sz w:val="24"/>
          <w:szCs w:val="24"/>
        </w:rPr>
      </w:pPr>
      <w:r w:rsidRPr="007A1E2B">
        <w:rPr>
          <w:rFonts w:eastAsia="Source Sans Pro"/>
          <w:sz w:val="24"/>
          <w:szCs w:val="24"/>
        </w:rPr>
        <w:t xml:space="preserve">The cost burden for small businesses is based on an estimated average annual income </w:t>
      </w:r>
      <w:r>
        <w:rPr>
          <w:rFonts w:eastAsia="Source Sans Pro"/>
          <w:sz w:val="24"/>
          <w:szCs w:val="24"/>
        </w:rPr>
        <w:t xml:space="preserve">in 2025 </w:t>
      </w:r>
      <w:r w:rsidRPr="007A1E2B">
        <w:rPr>
          <w:rFonts w:eastAsia="Source Sans Pro"/>
          <w:sz w:val="24"/>
          <w:szCs w:val="24"/>
        </w:rPr>
        <w:t xml:space="preserve">of </w:t>
      </w:r>
      <w:r w:rsidRPr="005D77A5">
        <w:rPr>
          <w:rFonts w:eastAsia="Source Sans Pro"/>
          <w:sz w:val="24"/>
          <w:szCs w:val="24"/>
        </w:rPr>
        <w:t>$6</w:t>
      </w:r>
      <w:r>
        <w:rPr>
          <w:rFonts w:eastAsia="Source Sans Pro"/>
          <w:sz w:val="24"/>
          <w:szCs w:val="24"/>
        </w:rPr>
        <w:t>8,067</w:t>
      </w:r>
      <w:r w:rsidRPr="007A1E2B">
        <w:rPr>
          <w:rFonts w:eastAsia="Source Sans Pro"/>
          <w:sz w:val="24"/>
          <w:szCs w:val="24"/>
        </w:rPr>
        <w:t xml:space="preserve"> for small business owners, which equates to an hourly rate of $</w:t>
      </w:r>
      <w:r w:rsidRPr="00A74993">
        <w:rPr>
          <w:rFonts w:eastAsia="Source Sans Pro"/>
          <w:sz w:val="24"/>
          <w:szCs w:val="24"/>
        </w:rPr>
        <w:t>3</w:t>
      </w:r>
      <w:r>
        <w:rPr>
          <w:rFonts w:eastAsia="Source Sans Pro"/>
          <w:sz w:val="24"/>
          <w:szCs w:val="24"/>
        </w:rPr>
        <w:t>2.60</w:t>
      </w:r>
      <w:r w:rsidRPr="007A1E2B">
        <w:rPr>
          <w:rFonts w:eastAsia="Source Sans Pro"/>
          <w:sz w:val="24"/>
          <w:szCs w:val="24"/>
        </w:rPr>
        <w:t>.</w:t>
      </w:r>
      <w:r>
        <w:rPr>
          <w:rStyle w:val="FootnoteReference"/>
          <w:rFonts w:eastAsia="Source Sans Pro"/>
          <w:szCs w:val="24"/>
        </w:rPr>
        <w:footnoteReference w:id="4"/>
      </w:r>
      <w:r w:rsidRPr="007A1E2B">
        <w:rPr>
          <w:rFonts w:eastAsia="Source Sans Pro"/>
          <w:sz w:val="24"/>
          <w:szCs w:val="24"/>
        </w:rPr>
        <w:t xml:space="preserve"> The cost burden for </w:t>
      </w:r>
      <w:r>
        <w:rPr>
          <w:rFonts w:eastAsia="Source Sans Pro"/>
          <w:sz w:val="24"/>
          <w:szCs w:val="24"/>
        </w:rPr>
        <w:t>partner</w:t>
      </w:r>
      <w:r w:rsidRPr="007A1E2B">
        <w:rPr>
          <w:rFonts w:eastAsia="Source Sans Pro"/>
          <w:sz w:val="24"/>
          <w:szCs w:val="24"/>
        </w:rPr>
        <w:t xml:space="preserve"> organization stakeholders </w:t>
      </w:r>
      <w:r>
        <w:rPr>
          <w:rFonts w:eastAsia="Source Sans Pro"/>
          <w:sz w:val="24"/>
          <w:szCs w:val="24"/>
        </w:rPr>
        <w:t>in 202</w:t>
      </w:r>
      <w:r w:rsidR="00006557">
        <w:rPr>
          <w:rFonts w:eastAsia="Source Sans Pro"/>
          <w:sz w:val="24"/>
          <w:szCs w:val="24"/>
        </w:rPr>
        <w:t>5</w:t>
      </w:r>
      <w:r>
        <w:rPr>
          <w:rFonts w:eastAsia="Source Sans Pro"/>
          <w:sz w:val="24"/>
          <w:szCs w:val="24"/>
        </w:rPr>
        <w:t xml:space="preserve"> </w:t>
      </w:r>
      <w:r w:rsidRPr="007A1E2B">
        <w:rPr>
          <w:rFonts w:eastAsia="Source Sans Pro"/>
          <w:sz w:val="24"/>
          <w:szCs w:val="24"/>
        </w:rPr>
        <w:t>is based on the average of $</w:t>
      </w:r>
      <w:r w:rsidR="003B3FDC">
        <w:rPr>
          <w:rFonts w:eastAsia="Source Sans Pro"/>
          <w:sz w:val="24"/>
          <w:szCs w:val="24"/>
        </w:rPr>
        <w:t>50.98</w:t>
      </w:r>
      <w:r w:rsidRPr="007A1E2B">
        <w:rPr>
          <w:rFonts w:eastAsia="Source Sans Pro"/>
          <w:sz w:val="24"/>
          <w:szCs w:val="24"/>
        </w:rPr>
        <w:t xml:space="preserve"> per hour for </w:t>
      </w:r>
      <w:r w:rsidR="00006557">
        <w:rPr>
          <w:rFonts w:eastAsia="Source Sans Pro"/>
          <w:sz w:val="24"/>
          <w:szCs w:val="24"/>
        </w:rPr>
        <w:t>Professional, Scientific, and Technical Services</w:t>
      </w:r>
      <w:r w:rsidRPr="007A1E2B">
        <w:rPr>
          <w:rFonts w:eastAsia="Source Sans Pro"/>
          <w:sz w:val="24"/>
          <w:szCs w:val="24"/>
        </w:rPr>
        <w:t>.</w:t>
      </w:r>
      <w:r>
        <w:rPr>
          <w:rStyle w:val="FootnoteReference"/>
          <w:rFonts w:eastAsia="Source Sans Pro"/>
          <w:szCs w:val="24"/>
        </w:rPr>
        <w:footnoteReference w:id="5"/>
      </w:r>
      <w:r w:rsidRPr="007A1E2B">
        <w:rPr>
          <w:rFonts w:eastAsia="Source Sans Pro"/>
          <w:sz w:val="24"/>
          <w:szCs w:val="24"/>
        </w:rPr>
        <w:t xml:space="preserve"> </w:t>
      </w:r>
    </w:p>
    <w:p w:rsidR="0006634E" w:rsidP="00CE7C24" w14:paraId="6EF62AE9" w14:textId="77777777">
      <w:pPr>
        <w:pStyle w:val="NormalWeb"/>
        <w:widowControl w:val="0"/>
        <w:tabs>
          <w:tab w:val="left" w:pos="360"/>
          <w:tab w:val="left" w:pos="720"/>
          <w:tab w:val="left" w:pos="1080"/>
          <w:tab w:val="left" w:pos="1440"/>
        </w:tabs>
        <w:spacing w:before="0" w:beforeAutospacing="0" w:after="0" w:afterAutospacing="0"/>
      </w:pPr>
    </w:p>
    <w:tbl>
      <w:tblPr>
        <w:tblW w:w="9890" w:type="dxa"/>
        <w:tblCellMar>
          <w:left w:w="0" w:type="dxa"/>
          <w:right w:w="0" w:type="dxa"/>
        </w:tblCellMar>
        <w:tblLook w:val="04A0"/>
      </w:tblPr>
      <w:tblGrid>
        <w:gridCol w:w="2510"/>
        <w:gridCol w:w="1350"/>
        <w:gridCol w:w="1080"/>
        <w:gridCol w:w="1170"/>
        <w:gridCol w:w="961"/>
        <w:gridCol w:w="1209"/>
        <w:gridCol w:w="1610"/>
      </w:tblGrid>
      <w:tr w14:paraId="5AC69AD7" w14:textId="77777777" w:rsidTr="009B7620">
        <w:tblPrEx>
          <w:tblW w:w="9890" w:type="dxa"/>
          <w:tblCellMar>
            <w:left w:w="0" w:type="dxa"/>
            <w:right w:w="0" w:type="dxa"/>
          </w:tblCellMar>
          <w:tblLook w:val="04A0"/>
        </w:tblPrEx>
        <w:trPr>
          <w:trHeight w:val="1035"/>
        </w:trPr>
        <w:tc>
          <w:tcPr>
            <w:tcW w:w="2510" w:type="dxa"/>
            <w:tcBorders>
              <w:top w:val="single" w:sz="8" w:space="0" w:color="000000"/>
              <w:left w:val="single" w:sz="8" w:space="0" w:color="000000"/>
              <w:bottom w:val="single" w:sz="8" w:space="0" w:color="000000"/>
              <w:right w:val="single" w:sz="8" w:space="0" w:color="000000"/>
            </w:tcBorders>
            <w:shd w:val="clear" w:color="000000" w:fill="BFBFBF"/>
            <w:noWrap/>
            <w:vAlign w:val="center"/>
            <w:hideMark/>
          </w:tcPr>
          <w:p w:rsidR="001444B4" w:rsidRPr="00810C87" w:rsidP="00BC3FF2" w14:paraId="6D6A94DF" w14:textId="77777777">
            <w:pPr>
              <w:rPr>
                <w:b/>
                <w:bCs/>
                <w:sz w:val="22"/>
              </w:rPr>
            </w:pPr>
            <w:r w:rsidRPr="00810C87">
              <w:rPr>
                <w:b/>
                <w:bCs/>
                <w:sz w:val="22"/>
              </w:rPr>
              <w:t>Burden</w:t>
            </w:r>
          </w:p>
        </w:tc>
        <w:tc>
          <w:tcPr>
            <w:tcW w:w="1350" w:type="dxa"/>
            <w:tcBorders>
              <w:top w:val="single" w:sz="8" w:space="0" w:color="000000"/>
              <w:left w:val="nil"/>
              <w:bottom w:val="single" w:sz="8" w:space="0" w:color="000000"/>
              <w:right w:val="single" w:sz="8" w:space="0" w:color="000000"/>
            </w:tcBorders>
            <w:shd w:val="clear" w:color="000000" w:fill="BFBFBF"/>
            <w:vAlign w:val="center"/>
            <w:hideMark/>
          </w:tcPr>
          <w:p w:rsidR="001444B4" w:rsidRPr="00810C87" w:rsidP="00BC3FF2" w14:paraId="2CDE29F8" w14:textId="77777777">
            <w:pPr>
              <w:jc w:val="center"/>
              <w:rPr>
                <w:b/>
                <w:bCs/>
                <w:sz w:val="20"/>
              </w:rPr>
            </w:pPr>
            <w:r w:rsidRPr="00810C87">
              <w:rPr>
                <w:b/>
                <w:bCs/>
                <w:sz w:val="20"/>
              </w:rPr>
              <w:t>Number of respondents</w:t>
            </w:r>
          </w:p>
        </w:tc>
        <w:tc>
          <w:tcPr>
            <w:tcW w:w="1080" w:type="dxa"/>
            <w:tcBorders>
              <w:top w:val="single" w:sz="8" w:space="0" w:color="000000"/>
              <w:left w:val="nil"/>
              <w:bottom w:val="single" w:sz="8" w:space="0" w:color="000000"/>
              <w:right w:val="single" w:sz="8" w:space="0" w:color="000000"/>
            </w:tcBorders>
            <w:shd w:val="clear" w:color="000000" w:fill="BFBFBF"/>
            <w:vAlign w:val="center"/>
            <w:hideMark/>
          </w:tcPr>
          <w:p w:rsidR="001444B4" w:rsidRPr="00810C87" w:rsidP="00BC3FF2" w14:paraId="61FCEBC7" w14:textId="77777777">
            <w:pPr>
              <w:jc w:val="center"/>
              <w:rPr>
                <w:b/>
                <w:bCs/>
                <w:sz w:val="20"/>
              </w:rPr>
            </w:pPr>
            <w:r w:rsidRPr="00810C87">
              <w:rPr>
                <w:b/>
                <w:bCs/>
                <w:sz w:val="20"/>
              </w:rPr>
              <w:t>Frequency of collection</w:t>
            </w:r>
          </w:p>
        </w:tc>
        <w:tc>
          <w:tcPr>
            <w:tcW w:w="1170" w:type="dxa"/>
            <w:tcBorders>
              <w:top w:val="single" w:sz="8" w:space="0" w:color="000000"/>
              <w:left w:val="nil"/>
              <w:bottom w:val="single" w:sz="8" w:space="0" w:color="000000"/>
              <w:right w:val="single" w:sz="8" w:space="0" w:color="000000"/>
            </w:tcBorders>
            <w:shd w:val="clear" w:color="000000" w:fill="BFBFBF"/>
            <w:vAlign w:val="center"/>
            <w:hideMark/>
          </w:tcPr>
          <w:p w:rsidR="001444B4" w:rsidRPr="00810C87" w:rsidP="00BC3FF2" w14:paraId="3EEE2595" w14:textId="77777777">
            <w:pPr>
              <w:jc w:val="center"/>
              <w:rPr>
                <w:b/>
                <w:bCs/>
                <w:sz w:val="20"/>
              </w:rPr>
            </w:pPr>
            <w:r w:rsidRPr="00810C87">
              <w:rPr>
                <w:b/>
                <w:bCs/>
                <w:sz w:val="20"/>
              </w:rPr>
              <w:t>Average burden per respondent (in minutes)</w:t>
            </w:r>
          </w:p>
        </w:tc>
        <w:tc>
          <w:tcPr>
            <w:tcW w:w="961" w:type="dxa"/>
            <w:tcBorders>
              <w:top w:val="single" w:sz="4" w:space="0" w:color="auto"/>
              <w:left w:val="single" w:sz="4" w:space="0" w:color="auto"/>
              <w:bottom w:val="single" w:sz="4" w:space="0" w:color="auto"/>
              <w:right w:val="single" w:sz="4" w:space="0" w:color="auto"/>
            </w:tcBorders>
            <w:shd w:val="clear" w:color="000000" w:fill="BFBFBF"/>
            <w:vAlign w:val="center"/>
          </w:tcPr>
          <w:p w:rsidR="001444B4" w:rsidRPr="00810C87" w:rsidP="007755B8" w14:paraId="5D914996" w14:textId="683CE9BB">
            <w:pPr>
              <w:jc w:val="center"/>
              <w:rPr>
                <w:b/>
                <w:bCs/>
                <w:sz w:val="20"/>
              </w:rPr>
            </w:pPr>
            <w:r>
              <w:rPr>
                <w:b/>
                <w:bCs/>
                <w:sz w:val="20"/>
              </w:rPr>
              <w:t>Hourly rate</w:t>
            </w:r>
          </w:p>
        </w:tc>
        <w:tc>
          <w:tcPr>
            <w:tcW w:w="1209" w:type="dxa"/>
            <w:tcBorders>
              <w:top w:val="single" w:sz="4" w:space="0" w:color="auto"/>
              <w:bottom w:val="single" w:sz="4" w:space="0" w:color="auto"/>
            </w:tcBorders>
            <w:shd w:val="clear" w:color="auto" w:fill="BFBFBF"/>
            <w:vAlign w:val="center"/>
          </w:tcPr>
          <w:p w:rsidR="001444B4" w:rsidRPr="00810C87" w:rsidP="009B7620" w14:paraId="59542512" w14:textId="6305A795">
            <w:pPr>
              <w:jc w:val="center"/>
              <w:rPr>
                <w:b/>
                <w:bCs/>
                <w:sz w:val="20"/>
              </w:rPr>
            </w:pPr>
            <w:r>
              <w:rPr>
                <w:b/>
                <w:bCs/>
                <w:sz w:val="20"/>
              </w:rPr>
              <w:t>Cost Per Response</w:t>
            </w:r>
          </w:p>
        </w:tc>
        <w:tc>
          <w:tcPr>
            <w:tcW w:w="1610" w:type="dxa"/>
            <w:tcBorders>
              <w:top w:val="single" w:sz="8" w:space="0" w:color="000000"/>
              <w:left w:val="single" w:sz="4" w:space="0" w:color="auto"/>
              <w:bottom w:val="single" w:sz="8" w:space="0" w:color="000000"/>
              <w:right w:val="single" w:sz="8" w:space="0" w:color="000000"/>
            </w:tcBorders>
            <w:shd w:val="clear" w:color="auto" w:fill="BFBFBF"/>
            <w:vAlign w:val="center"/>
            <w:hideMark/>
          </w:tcPr>
          <w:p w:rsidR="001444B4" w:rsidRPr="00810C87" w:rsidP="00BC3FF2" w14:paraId="046967FA" w14:textId="3E40DC67">
            <w:pPr>
              <w:jc w:val="center"/>
              <w:rPr>
                <w:b/>
                <w:bCs/>
                <w:sz w:val="20"/>
              </w:rPr>
            </w:pPr>
            <w:r w:rsidRPr="00810C87">
              <w:rPr>
                <w:b/>
                <w:bCs/>
                <w:sz w:val="20"/>
              </w:rPr>
              <w:t>Total burden (in dollars)</w:t>
            </w:r>
          </w:p>
        </w:tc>
      </w:tr>
      <w:tr w14:paraId="1F733D2D" w14:textId="77777777" w:rsidTr="00C53A38">
        <w:tblPrEx>
          <w:tblW w:w="9890" w:type="dxa"/>
          <w:tblCellMar>
            <w:left w:w="0" w:type="dxa"/>
            <w:right w:w="0" w:type="dxa"/>
          </w:tblCellMar>
          <w:tblLook w:val="04A0"/>
        </w:tblPrEx>
        <w:trPr>
          <w:trHeight w:val="315"/>
        </w:trPr>
        <w:tc>
          <w:tcPr>
            <w:tcW w:w="2510" w:type="dxa"/>
            <w:tcBorders>
              <w:top w:val="nil"/>
              <w:left w:val="single" w:sz="8" w:space="0" w:color="000000"/>
              <w:bottom w:val="single" w:sz="8" w:space="0" w:color="000000"/>
              <w:right w:val="single" w:sz="8" w:space="0" w:color="000000"/>
            </w:tcBorders>
            <w:noWrap/>
            <w:vAlign w:val="center"/>
            <w:hideMark/>
          </w:tcPr>
          <w:p w:rsidR="001444B4" w:rsidRPr="00810C87" w:rsidP="00BC3FF2" w14:paraId="102F0CB7" w14:textId="0472A23F">
            <w:pPr>
              <w:rPr>
                <w:b/>
                <w:bCs/>
                <w:i/>
                <w:iCs/>
                <w:sz w:val="22"/>
              </w:rPr>
            </w:pPr>
            <w:r w:rsidRPr="00810C87">
              <w:rPr>
                <w:b/>
                <w:bCs/>
                <w:i/>
                <w:iCs/>
                <w:sz w:val="22"/>
              </w:rPr>
              <w:t xml:space="preserve">Small Business </w:t>
            </w:r>
          </w:p>
        </w:tc>
        <w:tc>
          <w:tcPr>
            <w:tcW w:w="1350" w:type="dxa"/>
            <w:tcBorders>
              <w:top w:val="nil"/>
              <w:left w:val="nil"/>
              <w:bottom w:val="single" w:sz="8" w:space="0" w:color="000000"/>
              <w:right w:val="single" w:sz="8" w:space="0" w:color="000000"/>
            </w:tcBorders>
            <w:noWrap/>
            <w:vAlign w:val="center"/>
            <w:hideMark/>
          </w:tcPr>
          <w:p w:rsidR="001444B4" w:rsidRPr="00810C87" w:rsidP="00BC3FF2" w14:paraId="78077D74" w14:textId="52E1128B">
            <w:pPr>
              <w:jc w:val="center"/>
              <w:rPr>
                <w:sz w:val="22"/>
              </w:rPr>
            </w:pPr>
            <w:r>
              <w:rPr>
                <w:sz w:val="22"/>
              </w:rPr>
              <w:t>2,000</w:t>
            </w:r>
          </w:p>
        </w:tc>
        <w:tc>
          <w:tcPr>
            <w:tcW w:w="1080" w:type="dxa"/>
            <w:tcBorders>
              <w:top w:val="nil"/>
              <w:left w:val="nil"/>
              <w:bottom w:val="single" w:sz="8" w:space="0" w:color="000000"/>
              <w:right w:val="single" w:sz="8" w:space="0" w:color="000000"/>
            </w:tcBorders>
            <w:noWrap/>
            <w:vAlign w:val="center"/>
            <w:hideMark/>
          </w:tcPr>
          <w:p w:rsidR="001444B4" w:rsidRPr="00810C87" w:rsidP="00BC3FF2" w14:paraId="5264B517" w14:textId="77777777">
            <w:pPr>
              <w:jc w:val="center"/>
              <w:rPr>
                <w:sz w:val="22"/>
              </w:rPr>
            </w:pPr>
            <w:r w:rsidRPr="00810C87">
              <w:rPr>
                <w:sz w:val="22"/>
              </w:rPr>
              <w:t>1</w:t>
            </w:r>
          </w:p>
        </w:tc>
        <w:tc>
          <w:tcPr>
            <w:tcW w:w="1170" w:type="dxa"/>
            <w:tcBorders>
              <w:top w:val="nil"/>
              <w:left w:val="nil"/>
              <w:bottom w:val="single" w:sz="8" w:space="0" w:color="000000"/>
              <w:right w:val="single" w:sz="8" w:space="0" w:color="000000"/>
            </w:tcBorders>
            <w:noWrap/>
            <w:vAlign w:val="center"/>
            <w:hideMark/>
          </w:tcPr>
          <w:p w:rsidR="001444B4" w:rsidRPr="00810C87" w:rsidP="00BC3FF2" w14:paraId="7C840732" w14:textId="683C321E">
            <w:pPr>
              <w:jc w:val="center"/>
              <w:rPr>
                <w:sz w:val="22"/>
              </w:rPr>
            </w:pPr>
            <w:r>
              <w:rPr>
                <w:sz w:val="22"/>
              </w:rPr>
              <w:t>5</w:t>
            </w:r>
          </w:p>
        </w:tc>
        <w:tc>
          <w:tcPr>
            <w:tcW w:w="961" w:type="dxa"/>
            <w:tcBorders>
              <w:top w:val="single" w:sz="4" w:space="0" w:color="auto"/>
              <w:left w:val="single" w:sz="4" w:space="0" w:color="auto"/>
              <w:bottom w:val="single" w:sz="4" w:space="0" w:color="auto"/>
              <w:right w:val="single" w:sz="4" w:space="0" w:color="auto"/>
            </w:tcBorders>
          </w:tcPr>
          <w:p w:rsidR="001444B4" w:rsidRPr="00810C87" w:rsidP="00BC3FF2" w14:paraId="0D2F2326" w14:textId="1DBB816F">
            <w:pPr>
              <w:jc w:val="center"/>
              <w:rPr>
                <w:sz w:val="22"/>
              </w:rPr>
            </w:pPr>
            <w:r>
              <w:rPr>
                <w:sz w:val="22"/>
              </w:rPr>
              <w:t>$32.60</w:t>
            </w:r>
          </w:p>
        </w:tc>
        <w:tc>
          <w:tcPr>
            <w:tcW w:w="1209" w:type="dxa"/>
            <w:tcBorders>
              <w:top w:val="single" w:sz="4" w:space="0" w:color="auto"/>
              <w:bottom w:val="single" w:sz="4" w:space="0" w:color="auto"/>
            </w:tcBorders>
          </w:tcPr>
          <w:p w:rsidR="001444B4" w:rsidRPr="00810C87" w:rsidP="00BC3FF2" w14:paraId="510B9FE0" w14:textId="74F53E46">
            <w:pPr>
              <w:jc w:val="center"/>
              <w:rPr>
                <w:sz w:val="22"/>
              </w:rPr>
            </w:pPr>
            <w:r>
              <w:rPr>
                <w:sz w:val="22"/>
              </w:rPr>
              <w:t>$2.72</w:t>
            </w:r>
          </w:p>
        </w:tc>
        <w:tc>
          <w:tcPr>
            <w:tcW w:w="1610" w:type="dxa"/>
            <w:tcBorders>
              <w:top w:val="nil"/>
              <w:left w:val="single" w:sz="4" w:space="0" w:color="auto"/>
              <w:bottom w:val="single" w:sz="8" w:space="0" w:color="000000"/>
              <w:right w:val="single" w:sz="8" w:space="0" w:color="000000"/>
            </w:tcBorders>
            <w:noWrap/>
            <w:vAlign w:val="center"/>
            <w:hideMark/>
          </w:tcPr>
          <w:p w:rsidR="001444B4" w:rsidRPr="00810C87" w:rsidP="00BC3FF2" w14:paraId="738DBC07" w14:textId="6B1DC3FF">
            <w:pPr>
              <w:jc w:val="center"/>
              <w:rPr>
                <w:sz w:val="22"/>
              </w:rPr>
            </w:pPr>
            <w:r w:rsidRPr="00810C87">
              <w:rPr>
                <w:sz w:val="22"/>
              </w:rPr>
              <w:t>$</w:t>
            </w:r>
            <w:r>
              <w:rPr>
                <w:sz w:val="22"/>
              </w:rPr>
              <w:t>5,440</w:t>
            </w:r>
          </w:p>
        </w:tc>
      </w:tr>
      <w:tr w14:paraId="6C37AF74" w14:textId="77777777" w:rsidTr="00C53A38">
        <w:tblPrEx>
          <w:tblW w:w="9890" w:type="dxa"/>
          <w:tblCellMar>
            <w:left w:w="0" w:type="dxa"/>
            <w:right w:w="0" w:type="dxa"/>
          </w:tblCellMar>
          <w:tblLook w:val="04A0"/>
        </w:tblPrEx>
        <w:trPr>
          <w:trHeight w:val="315"/>
        </w:trPr>
        <w:tc>
          <w:tcPr>
            <w:tcW w:w="2510" w:type="dxa"/>
            <w:tcBorders>
              <w:top w:val="nil"/>
              <w:left w:val="single" w:sz="8" w:space="0" w:color="000000"/>
              <w:bottom w:val="single" w:sz="8" w:space="0" w:color="000000"/>
              <w:right w:val="single" w:sz="8" w:space="0" w:color="000000"/>
            </w:tcBorders>
            <w:noWrap/>
            <w:vAlign w:val="center"/>
            <w:hideMark/>
          </w:tcPr>
          <w:p w:rsidR="001444B4" w:rsidRPr="002E7A58" w:rsidP="00BC3FF2" w14:paraId="4968D39C" w14:textId="4A3BA5B2">
            <w:pPr>
              <w:rPr>
                <w:b/>
                <w:bCs/>
                <w:i/>
                <w:iCs/>
                <w:sz w:val="22"/>
              </w:rPr>
            </w:pPr>
            <w:r w:rsidRPr="002E7A58">
              <w:rPr>
                <w:b/>
                <w:bCs/>
                <w:i/>
                <w:iCs/>
                <w:sz w:val="22"/>
              </w:rPr>
              <w:t xml:space="preserve">Large Organization </w:t>
            </w:r>
          </w:p>
        </w:tc>
        <w:tc>
          <w:tcPr>
            <w:tcW w:w="1350" w:type="dxa"/>
            <w:tcBorders>
              <w:top w:val="nil"/>
              <w:left w:val="nil"/>
              <w:bottom w:val="single" w:sz="8" w:space="0" w:color="000000"/>
              <w:right w:val="single" w:sz="8" w:space="0" w:color="000000"/>
            </w:tcBorders>
            <w:noWrap/>
            <w:vAlign w:val="center"/>
            <w:hideMark/>
          </w:tcPr>
          <w:p w:rsidR="001444B4" w:rsidRPr="002E7A58" w:rsidP="00BC3FF2" w14:paraId="558ADC91" w14:textId="74C89069">
            <w:pPr>
              <w:jc w:val="center"/>
              <w:rPr>
                <w:sz w:val="22"/>
              </w:rPr>
            </w:pPr>
            <w:r>
              <w:rPr>
                <w:sz w:val="22"/>
              </w:rPr>
              <w:t>1,250</w:t>
            </w:r>
          </w:p>
        </w:tc>
        <w:tc>
          <w:tcPr>
            <w:tcW w:w="1080" w:type="dxa"/>
            <w:tcBorders>
              <w:top w:val="nil"/>
              <w:left w:val="nil"/>
              <w:bottom w:val="single" w:sz="8" w:space="0" w:color="000000"/>
              <w:right w:val="single" w:sz="8" w:space="0" w:color="000000"/>
            </w:tcBorders>
            <w:noWrap/>
            <w:vAlign w:val="center"/>
            <w:hideMark/>
          </w:tcPr>
          <w:p w:rsidR="001444B4" w:rsidRPr="00810C87" w:rsidP="00BC3FF2" w14:paraId="4B3C78CC" w14:textId="77777777">
            <w:pPr>
              <w:jc w:val="center"/>
              <w:rPr>
                <w:sz w:val="22"/>
              </w:rPr>
            </w:pPr>
            <w:r w:rsidRPr="00810C87">
              <w:rPr>
                <w:sz w:val="22"/>
              </w:rPr>
              <w:t>1</w:t>
            </w:r>
          </w:p>
        </w:tc>
        <w:tc>
          <w:tcPr>
            <w:tcW w:w="1170" w:type="dxa"/>
            <w:tcBorders>
              <w:top w:val="nil"/>
              <w:left w:val="nil"/>
              <w:bottom w:val="single" w:sz="8" w:space="0" w:color="000000"/>
              <w:right w:val="single" w:sz="8" w:space="0" w:color="000000"/>
            </w:tcBorders>
            <w:noWrap/>
            <w:vAlign w:val="center"/>
            <w:hideMark/>
          </w:tcPr>
          <w:p w:rsidR="001444B4" w:rsidRPr="00810C87" w:rsidP="00BC3FF2" w14:paraId="69F306F1" w14:textId="1C11E30C">
            <w:pPr>
              <w:jc w:val="center"/>
              <w:rPr>
                <w:sz w:val="22"/>
              </w:rPr>
            </w:pPr>
            <w:r>
              <w:rPr>
                <w:sz w:val="22"/>
              </w:rPr>
              <w:t>5</w:t>
            </w:r>
          </w:p>
        </w:tc>
        <w:tc>
          <w:tcPr>
            <w:tcW w:w="961" w:type="dxa"/>
            <w:tcBorders>
              <w:top w:val="single" w:sz="4" w:space="0" w:color="auto"/>
              <w:left w:val="single" w:sz="4" w:space="0" w:color="auto"/>
              <w:bottom w:val="single" w:sz="4" w:space="0" w:color="auto"/>
              <w:right w:val="single" w:sz="4" w:space="0" w:color="auto"/>
            </w:tcBorders>
          </w:tcPr>
          <w:p w:rsidR="001444B4" w:rsidRPr="00810C87" w:rsidP="00BC3FF2" w14:paraId="64EB63D8" w14:textId="1C5343E8">
            <w:pPr>
              <w:jc w:val="center"/>
              <w:rPr>
                <w:sz w:val="22"/>
              </w:rPr>
            </w:pPr>
            <w:r>
              <w:rPr>
                <w:sz w:val="22"/>
              </w:rPr>
              <w:t>$50.98</w:t>
            </w:r>
          </w:p>
        </w:tc>
        <w:tc>
          <w:tcPr>
            <w:tcW w:w="1209" w:type="dxa"/>
            <w:tcBorders>
              <w:top w:val="single" w:sz="4" w:space="0" w:color="auto"/>
              <w:bottom w:val="single" w:sz="4" w:space="0" w:color="auto"/>
            </w:tcBorders>
          </w:tcPr>
          <w:p w:rsidR="001444B4" w:rsidRPr="00810C87" w:rsidP="00BC3FF2" w14:paraId="1C800E9B" w14:textId="7A8D94B4">
            <w:pPr>
              <w:jc w:val="center"/>
              <w:rPr>
                <w:sz w:val="22"/>
              </w:rPr>
            </w:pPr>
            <w:r>
              <w:rPr>
                <w:sz w:val="22"/>
              </w:rPr>
              <w:t>$4.25</w:t>
            </w:r>
          </w:p>
        </w:tc>
        <w:tc>
          <w:tcPr>
            <w:tcW w:w="1610" w:type="dxa"/>
            <w:tcBorders>
              <w:top w:val="nil"/>
              <w:left w:val="single" w:sz="4" w:space="0" w:color="auto"/>
              <w:bottom w:val="single" w:sz="8" w:space="0" w:color="000000"/>
              <w:right w:val="single" w:sz="8" w:space="0" w:color="000000"/>
            </w:tcBorders>
            <w:noWrap/>
            <w:vAlign w:val="center"/>
            <w:hideMark/>
          </w:tcPr>
          <w:p w:rsidR="001444B4" w:rsidRPr="00810C87" w:rsidP="00BC3FF2" w14:paraId="5BDA994B" w14:textId="4B3DCF1E">
            <w:pPr>
              <w:jc w:val="center"/>
              <w:rPr>
                <w:sz w:val="22"/>
              </w:rPr>
            </w:pPr>
            <w:r w:rsidRPr="00810C87">
              <w:rPr>
                <w:sz w:val="22"/>
              </w:rPr>
              <w:t>$</w:t>
            </w:r>
            <w:r>
              <w:rPr>
                <w:sz w:val="22"/>
              </w:rPr>
              <w:t>5</w:t>
            </w:r>
            <w:r w:rsidR="00716E57">
              <w:rPr>
                <w:sz w:val="22"/>
              </w:rPr>
              <w:t>,</w:t>
            </w:r>
            <w:r>
              <w:rPr>
                <w:sz w:val="22"/>
              </w:rPr>
              <w:t>312.50</w:t>
            </w:r>
          </w:p>
        </w:tc>
      </w:tr>
    </w:tbl>
    <w:p w:rsidR="00E87D3E" w:rsidRPr="007A1E2B" w:rsidP="00E87D3E" w14:paraId="789B6463" w14:textId="77777777">
      <w:pPr>
        <w:rPr>
          <w:szCs w:val="24"/>
        </w:rPr>
      </w:pPr>
      <w:r w:rsidRPr="007A1E2B">
        <w:rPr>
          <w:bCs/>
          <w:i/>
          <w:szCs w:val="24"/>
        </w:rPr>
        <w:t xml:space="preserve"> </w:t>
      </w:r>
      <w:r>
        <w:rPr>
          <w:szCs w:val="24"/>
        </w:rPr>
        <w:t>Note: The values above are estimated based on a total of 20 clusters</w:t>
      </w:r>
    </w:p>
    <w:p w:rsidR="00CB0981" w:rsidRPr="00915869" w:rsidP="00F92988" w14:paraId="1BB11874" w14:textId="77777777">
      <w:pPr>
        <w:pStyle w:val="Default"/>
        <w:widowControl w:val="0"/>
        <w:rPr>
          <w:rFonts w:ascii="Times New Roman" w:hAnsi="Times New Roman"/>
          <w:szCs w:val="22"/>
        </w:rPr>
      </w:pPr>
    </w:p>
    <w:p w:rsidR="00CB0981" w:rsidP="00F92988" w14:paraId="746F0968" w14:textId="77777777">
      <w:pPr>
        <w:pStyle w:val="Default"/>
        <w:widowControl w:val="0"/>
        <w:rPr>
          <w:rFonts w:ascii="Times New Roman" w:hAnsi="Times New Roman"/>
          <w:szCs w:val="22"/>
        </w:rPr>
      </w:pPr>
    </w:p>
    <w:p w:rsidR="009B7620" w:rsidP="00F92988" w14:paraId="5ACB8A11" w14:textId="77777777">
      <w:pPr>
        <w:pStyle w:val="Default"/>
        <w:widowControl w:val="0"/>
        <w:rPr>
          <w:rFonts w:ascii="Times New Roman" w:hAnsi="Times New Roman"/>
          <w:szCs w:val="22"/>
        </w:rPr>
      </w:pPr>
    </w:p>
    <w:p w:rsidR="009B7620" w:rsidP="00F92988" w14:paraId="7D4947F5" w14:textId="77777777">
      <w:pPr>
        <w:pStyle w:val="Default"/>
        <w:widowControl w:val="0"/>
        <w:rPr>
          <w:rFonts w:ascii="Times New Roman" w:hAnsi="Times New Roman"/>
          <w:szCs w:val="22"/>
        </w:rPr>
      </w:pPr>
    </w:p>
    <w:p w:rsidR="009B7620" w:rsidP="00F92988" w14:paraId="73DD9338" w14:textId="77777777">
      <w:pPr>
        <w:pStyle w:val="Default"/>
        <w:widowControl w:val="0"/>
        <w:rPr>
          <w:rFonts w:ascii="Times New Roman" w:hAnsi="Times New Roman"/>
          <w:szCs w:val="22"/>
        </w:rPr>
      </w:pPr>
    </w:p>
    <w:p w:rsidR="009B7620" w:rsidRPr="00915869" w:rsidP="00F92988" w14:paraId="2799E855" w14:textId="77777777">
      <w:pPr>
        <w:pStyle w:val="Default"/>
        <w:widowControl w:val="0"/>
        <w:rPr>
          <w:rFonts w:ascii="Times New Roman" w:hAnsi="Times New Roman"/>
          <w:szCs w:val="22"/>
        </w:rPr>
      </w:pPr>
    </w:p>
    <w:tbl>
      <w:tblPr>
        <w:tblW w:w="5000" w:type="pct"/>
        <w:tblCellSpacing w:w="22" w:type="dxa"/>
        <w:tblCellMar>
          <w:left w:w="0" w:type="dxa"/>
          <w:right w:w="0" w:type="dxa"/>
        </w:tblCellMar>
        <w:tblLook w:val="04A0"/>
      </w:tblPr>
      <w:tblGrid>
        <w:gridCol w:w="9248"/>
        <w:gridCol w:w="112"/>
      </w:tblGrid>
      <w:tr w14:paraId="4425DE0B" w14:textId="77777777" w:rsidTr="002C0930">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p w:rsidR="00CB0981" w:rsidRPr="00915869" w:rsidP="00F92988" w14:paraId="62C8C793" w14:textId="77777777">
            <w:pPr>
              <w:widowControl w:val="0"/>
              <w:rPr>
                <w:szCs w:val="22"/>
              </w:rPr>
            </w:pPr>
            <w:bookmarkStart w:id="0" w:name="_Hlk220256861"/>
            <w:r w:rsidRPr="00FB1D27">
              <w:rPr>
                <w:szCs w:val="22"/>
              </w:rPr>
              <w:t>Burden per Response:</w:t>
            </w:r>
            <w:r w:rsidRPr="00915869">
              <w:rPr>
                <w:szCs w:val="22"/>
              </w:rPr>
              <w:t xml:space="preserv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943"/>
              <w:gridCol w:w="1639"/>
              <w:gridCol w:w="1766"/>
              <w:gridCol w:w="2047"/>
            </w:tblGrid>
            <w:tr w14:paraId="65F4EF67" w14:textId="77777777" w:rsidTr="00061FEB">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31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4B9D48B7" w14:textId="77777777">
                  <w:pPr>
                    <w:widowControl w:val="0"/>
                    <w:jc w:val="center"/>
                    <w:rPr>
                      <w:b/>
                      <w:bCs/>
                      <w:szCs w:val="22"/>
                    </w:rPr>
                  </w:pPr>
                  <w:r w:rsidRPr="00915869">
                    <w:rPr>
                      <w:b/>
                      <w:bCs/>
                      <w:szCs w:val="22"/>
                    </w:rPr>
                    <w:t xml:space="preserve">  </w:t>
                  </w:r>
                </w:p>
              </w:tc>
              <w:tc>
                <w:tcPr>
                  <w:tcW w:w="110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BFB670D" w14:textId="1EA7847D">
                  <w:pPr>
                    <w:widowControl w:val="0"/>
                    <w:jc w:val="center"/>
                    <w:rPr>
                      <w:b/>
                      <w:bCs/>
                      <w:szCs w:val="22"/>
                    </w:rPr>
                  </w:pPr>
                  <w:r w:rsidRPr="00915869">
                    <w:rPr>
                      <w:b/>
                      <w:bCs/>
                      <w:szCs w:val="22"/>
                    </w:rPr>
                    <w:t>Time Per Response</w:t>
                  </w:r>
                  <w:r w:rsidR="006D6784">
                    <w:rPr>
                      <w:b/>
                      <w:bCs/>
                      <w:szCs w:val="22"/>
                    </w:rPr>
                    <w:t xml:space="preserve"> (in minutes)</w:t>
                  </w:r>
                  <w:r w:rsidRPr="00915869">
                    <w:rPr>
                      <w:b/>
                      <w:bCs/>
                      <w:szCs w:val="22"/>
                    </w:rPr>
                    <w:t xml:space="preserve"> </w:t>
                  </w:r>
                </w:p>
              </w:tc>
              <w:tc>
                <w:tcPr>
                  <w:tcW w:w="119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26AD3E02" w14:textId="77777777">
                  <w:pPr>
                    <w:widowControl w:val="0"/>
                    <w:jc w:val="center"/>
                    <w:rPr>
                      <w:b/>
                      <w:bCs/>
                      <w:szCs w:val="22"/>
                    </w:rPr>
                  </w:pPr>
                  <w:r w:rsidRPr="00915869">
                    <w:rPr>
                      <w:b/>
                      <w:bCs/>
                      <w:szCs w:val="22"/>
                    </w:rPr>
                    <w:t xml:space="preserve">Hours </w:t>
                  </w:r>
                </w:p>
              </w:tc>
              <w:tc>
                <w:tcPr>
                  <w:tcW w:w="138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5F3095F0" w14:textId="77777777">
                  <w:pPr>
                    <w:widowControl w:val="0"/>
                    <w:jc w:val="center"/>
                    <w:rPr>
                      <w:b/>
                      <w:bCs/>
                      <w:szCs w:val="22"/>
                    </w:rPr>
                  </w:pPr>
                  <w:r w:rsidRPr="00915869">
                    <w:rPr>
                      <w:b/>
                      <w:bCs/>
                      <w:szCs w:val="22"/>
                    </w:rPr>
                    <w:t xml:space="preserve">Cost Per Response </w:t>
                  </w:r>
                </w:p>
              </w:tc>
            </w:tr>
            <w:tr w14:paraId="1860E121" w14:textId="77777777" w:rsidTr="00061FEB">
              <w:tblPrEx>
                <w:tblW w:w="7395" w:type="dxa"/>
                <w:tblCellSpacing w:w="0" w:type="dxa"/>
                <w:shd w:val="clear" w:color="auto" w:fill="EFEFEF"/>
                <w:tblCellMar>
                  <w:left w:w="0" w:type="dxa"/>
                  <w:right w:w="0" w:type="dxa"/>
                </w:tblCellMar>
                <w:tblLook w:val="04A0"/>
              </w:tblPrEx>
              <w:trPr>
                <w:tblCellSpacing w:w="0" w:type="dxa"/>
              </w:trPr>
              <w:tc>
                <w:tcPr>
                  <w:tcW w:w="131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B465ECC" w14:textId="4FEA0674">
                  <w:pPr>
                    <w:widowControl w:val="0"/>
                    <w:rPr>
                      <w:szCs w:val="22"/>
                    </w:rPr>
                  </w:pPr>
                  <w:r>
                    <w:rPr>
                      <w:szCs w:val="22"/>
                    </w:rPr>
                    <w:t>Reporting</w:t>
                  </w:r>
                </w:p>
              </w:tc>
              <w:tc>
                <w:tcPr>
                  <w:tcW w:w="110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2A3D4C" w14:paraId="25AF7BB2" w14:textId="60068254">
                  <w:pPr>
                    <w:widowControl w:val="0"/>
                    <w:jc w:val="center"/>
                    <w:rPr>
                      <w:szCs w:val="22"/>
                    </w:rPr>
                  </w:pPr>
                  <w:r>
                    <w:rPr>
                      <w:szCs w:val="22"/>
                    </w:rPr>
                    <w:t>5</w:t>
                  </w:r>
                </w:p>
              </w:tc>
              <w:tc>
                <w:tcPr>
                  <w:tcW w:w="119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C01E62" w14:paraId="58292F5C" w14:textId="74C2C9D2">
                  <w:pPr>
                    <w:widowControl w:val="0"/>
                    <w:jc w:val="center"/>
                    <w:rPr>
                      <w:szCs w:val="22"/>
                    </w:rPr>
                  </w:pPr>
                  <w:r>
                    <w:rPr>
                      <w:szCs w:val="22"/>
                    </w:rPr>
                    <w:t>.083</w:t>
                  </w:r>
                </w:p>
              </w:tc>
              <w:tc>
                <w:tcPr>
                  <w:tcW w:w="138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C01E62" w14:paraId="3F0AB224" w14:textId="6FC58069">
                  <w:pPr>
                    <w:widowControl w:val="0"/>
                    <w:jc w:val="center"/>
                    <w:rPr>
                      <w:szCs w:val="22"/>
                    </w:rPr>
                  </w:pPr>
                  <w:r>
                    <w:rPr>
                      <w:szCs w:val="22"/>
                    </w:rPr>
                    <w:t>$</w:t>
                  </w:r>
                  <w:r w:rsidR="003C2881">
                    <w:rPr>
                      <w:szCs w:val="22"/>
                    </w:rPr>
                    <w:t>3.31</w:t>
                  </w:r>
                </w:p>
              </w:tc>
            </w:tr>
            <w:tr w14:paraId="13C63AF1" w14:textId="77777777" w:rsidTr="00061FEB">
              <w:tblPrEx>
                <w:tblW w:w="7395" w:type="dxa"/>
                <w:tblCellSpacing w:w="0" w:type="dxa"/>
                <w:shd w:val="clear" w:color="auto" w:fill="EFEFEF"/>
                <w:tblCellMar>
                  <w:left w:w="0" w:type="dxa"/>
                  <w:right w:w="0" w:type="dxa"/>
                </w:tblCellMar>
                <w:tblLook w:val="04A0"/>
              </w:tblPrEx>
              <w:trPr>
                <w:tblCellSpacing w:w="0" w:type="dxa"/>
              </w:trPr>
              <w:tc>
                <w:tcPr>
                  <w:tcW w:w="131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272193" w:rsidRPr="00915869" w:rsidP="00F92988" w14:paraId="597D620E" w14:textId="0047C076">
                  <w:pPr>
                    <w:widowControl w:val="0"/>
                    <w:rPr>
                      <w:szCs w:val="22"/>
                    </w:rPr>
                  </w:pPr>
                  <w:r>
                    <w:rPr>
                      <w:szCs w:val="22"/>
                    </w:rPr>
                    <w:t>Record</w:t>
                  </w:r>
                  <w:r w:rsidR="00500BED">
                    <w:rPr>
                      <w:szCs w:val="22"/>
                    </w:rPr>
                    <w:t xml:space="preserve"> K</w:t>
                  </w:r>
                  <w:r>
                    <w:rPr>
                      <w:szCs w:val="22"/>
                    </w:rPr>
                    <w:t>eeping</w:t>
                  </w:r>
                </w:p>
              </w:tc>
              <w:tc>
                <w:tcPr>
                  <w:tcW w:w="110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272193" w:rsidP="002A3D4C" w14:paraId="3A279551" w14:textId="160C8C63">
                  <w:pPr>
                    <w:widowControl w:val="0"/>
                    <w:jc w:val="center"/>
                    <w:rPr>
                      <w:szCs w:val="22"/>
                    </w:rPr>
                  </w:pPr>
                  <w:r>
                    <w:rPr>
                      <w:szCs w:val="22"/>
                    </w:rPr>
                    <w:t>0</w:t>
                  </w:r>
                </w:p>
              </w:tc>
              <w:tc>
                <w:tcPr>
                  <w:tcW w:w="119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272193" w:rsidP="00C01E62" w14:paraId="1B98234A" w14:textId="0BD045A9">
                  <w:pPr>
                    <w:widowControl w:val="0"/>
                    <w:jc w:val="center"/>
                    <w:rPr>
                      <w:szCs w:val="22"/>
                    </w:rPr>
                  </w:pPr>
                  <w:r>
                    <w:rPr>
                      <w:szCs w:val="22"/>
                    </w:rPr>
                    <w:t>0</w:t>
                  </w:r>
                </w:p>
              </w:tc>
              <w:tc>
                <w:tcPr>
                  <w:tcW w:w="138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272193" w:rsidP="00C01E62" w14:paraId="368E7FB6" w14:textId="09AA76DF">
                  <w:pPr>
                    <w:widowControl w:val="0"/>
                    <w:jc w:val="center"/>
                    <w:rPr>
                      <w:szCs w:val="22"/>
                    </w:rPr>
                  </w:pPr>
                  <w:r>
                    <w:rPr>
                      <w:szCs w:val="22"/>
                    </w:rPr>
                    <w:t>0</w:t>
                  </w:r>
                </w:p>
              </w:tc>
            </w:tr>
            <w:tr w14:paraId="1E306689" w14:textId="77777777" w:rsidTr="00272193">
              <w:tblPrEx>
                <w:tblW w:w="7395" w:type="dxa"/>
                <w:tblCellSpacing w:w="0" w:type="dxa"/>
                <w:shd w:val="clear" w:color="auto" w:fill="EFEFEF"/>
                <w:tblCellMar>
                  <w:left w:w="0" w:type="dxa"/>
                  <w:right w:w="0" w:type="dxa"/>
                </w:tblCellMar>
                <w:tblLook w:val="04A0"/>
              </w:tblPrEx>
              <w:trPr>
                <w:tblCellSpacing w:w="0" w:type="dxa"/>
              </w:trPr>
              <w:tc>
                <w:tcPr>
                  <w:tcW w:w="131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272193" w:rsidRPr="00915869" w:rsidP="00F92988" w14:paraId="6A75ED8E" w14:textId="1BD63084">
                  <w:pPr>
                    <w:widowControl w:val="0"/>
                    <w:rPr>
                      <w:szCs w:val="22"/>
                    </w:rPr>
                  </w:pPr>
                  <w:r w:rsidRPr="00500BED">
                    <w:rPr>
                      <w:szCs w:val="22"/>
                    </w:rPr>
                    <w:t>Third Party Disclosure</w:t>
                  </w:r>
                </w:p>
              </w:tc>
              <w:tc>
                <w:tcPr>
                  <w:tcW w:w="110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272193" w:rsidP="002A3D4C" w14:paraId="49273FE5" w14:textId="680A6113">
                  <w:pPr>
                    <w:widowControl w:val="0"/>
                    <w:jc w:val="center"/>
                    <w:rPr>
                      <w:szCs w:val="22"/>
                    </w:rPr>
                  </w:pPr>
                  <w:r>
                    <w:rPr>
                      <w:szCs w:val="22"/>
                    </w:rPr>
                    <w:t>0</w:t>
                  </w:r>
                </w:p>
              </w:tc>
              <w:tc>
                <w:tcPr>
                  <w:tcW w:w="119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272193" w:rsidP="00C01E62" w14:paraId="01CB0FD5" w14:textId="1A79790E">
                  <w:pPr>
                    <w:widowControl w:val="0"/>
                    <w:jc w:val="center"/>
                    <w:rPr>
                      <w:szCs w:val="22"/>
                    </w:rPr>
                  </w:pPr>
                  <w:r>
                    <w:rPr>
                      <w:szCs w:val="22"/>
                    </w:rPr>
                    <w:t>0</w:t>
                  </w:r>
                </w:p>
              </w:tc>
              <w:tc>
                <w:tcPr>
                  <w:tcW w:w="138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272193" w:rsidP="00C01E62" w14:paraId="662B1779" w14:textId="10C046CC">
                  <w:pPr>
                    <w:widowControl w:val="0"/>
                    <w:jc w:val="center"/>
                    <w:rPr>
                      <w:szCs w:val="22"/>
                    </w:rPr>
                  </w:pPr>
                  <w:r>
                    <w:rPr>
                      <w:szCs w:val="22"/>
                    </w:rPr>
                    <w:t>0</w:t>
                  </w:r>
                </w:p>
              </w:tc>
            </w:tr>
            <w:tr w14:paraId="42676A53" w14:textId="77777777" w:rsidTr="00061FEB">
              <w:tblPrEx>
                <w:tblW w:w="7395" w:type="dxa"/>
                <w:tblCellSpacing w:w="0" w:type="dxa"/>
                <w:shd w:val="clear" w:color="auto" w:fill="EFEFEF"/>
                <w:tblCellMar>
                  <w:left w:w="0" w:type="dxa"/>
                  <w:right w:w="0" w:type="dxa"/>
                </w:tblCellMar>
                <w:tblLook w:val="04A0"/>
              </w:tblPrEx>
              <w:trPr>
                <w:tblCellSpacing w:w="0" w:type="dxa"/>
              </w:trPr>
              <w:tc>
                <w:tcPr>
                  <w:tcW w:w="131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031A749" w14:textId="77777777">
                  <w:pPr>
                    <w:widowControl w:val="0"/>
                    <w:rPr>
                      <w:szCs w:val="22"/>
                    </w:rPr>
                  </w:pPr>
                  <w:r w:rsidRPr="00915869">
                    <w:rPr>
                      <w:szCs w:val="22"/>
                    </w:rPr>
                    <w:t xml:space="preserve">Total </w:t>
                  </w:r>
                </w:p>
              </w:tc>
              <w:tc>
                <w:tcPr>
                  <w:tcW w:w="110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2A3D4C" w14:paraId="5BEB4D6C" w14:textId="06DC378E">
                  <w:pPr>
                    <w:widowControl w:val="0"/>
                    <w:jc w:val="center"/>
                    <w:rPr>
                      <w:szCs w:val="22"/>
                    </w:rPr>
                  </w:pPr>
                  <w:r>
                    <w:rPr>
                      <w:szCs w:val="22"/>
                    </w:rPr>
                    <w:t>5</w:t>
                  </w:r>
                </w:p>
              </w:tc>
              <w:tc>
                <w:tcPr>
                  <w:tcW w:w="119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607B87" w14:paraId="6D060106" w14:textId="494BFC5B">
                  <w:pPr>
                    <w:widowControl w:val="0"/>
                    <w:jc w:val="center"/>
                    <w:rPr>
                      <w:szCs w:val="22"/>
                    </w:rPr>
                  </w:pPr>
                  <w:r>
                    <w:rPr>
                      <w:szCs w:val="22"/>
                    </w:rPr>
                    <w:t>.083</w:t>
                  </w:r>
                </w:p>
              </w:tc>
              <w:tc>
                <w:tcPr>
                  <w:tcW w:w="138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607B87" w14:paraId="1A622663" w14:textId="031D0AA0">
                  <w:pPr>
                    <w:widowControl w:val="0"/>
                    <w:jc w:val="center"/>
                    <w:rPr>
                      <w:szCs w:val="22"/>
                    </w:rPr>
                  </w:pPr>
                  <w:r>
                    <w:rPr>
                      <w:szCs w:val="22"/>
                    </w:rPr>
                    <w:t>$</w:t>
                  </w:r>
                  <w:r w:rsidR="003C2881">
                    <w:rPr>
                      <w:szCs w:val="22"/>
                    </w:rPr>
                    <w:t>3.31</w:t>
                  </w:r>
                </w:p>
              </w:tc>
            </w:tr>
          </w:tbl>
          <w:p w:rsidR="00CB0981" w:rsidRPr="00915869" w:rsidP="00F92988" w14:paraId="1466BB23" w14:textId="77777777">
            <w:pPr>
              <w:widowControl w:val="0"/>
              <w:rPr>
                <w:szCs w:val="22"/>
              </w:rPr>
            </w:pPr>
          </w:p>
        </w:tc>
      </w:tr>
      <w:tr w14:paraId="593A7842" w14:textId="77777777" w:rsidTr="002C0930">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CB0981" w:rsidRPr="00915869" w:rsidP="00F92988" w14:paraId="7BC42BE7" w14:textId="77777777">
            <w:pPr>
              <w:widowControl w:val="0"/>
              <w:rPr>
                <w:szCs w:val="22"/>
              </w:rPr>
            </w:pPr>
          </w:p>
          <w:p w:rsidR="00CB0981" w:rsidRPr="00915869" w:rsidP="00F92988" w14:paraId="2FD529F1" w14:textId="77777777">
            <w:pPr>
              <w:widowControl w:val="0"/>
              <w:rPr>
                <w:szCs w:val="22"/>
              </w:rPr>
            </w:pPr>
            <w:r w:rsidRPr="00915869">
              <w:rPr>
                <w:szCs w:val="22"/>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945"/>
              <w:gridCol w:w="2961"/>
              <w:gridCol w:w="3252"/>
            </w:tblGrid>
            <w:tr w14:paraId="76D79FBE" w14:textId="77777777" w:rsidTr="00BA43D9">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19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FB6C11E" w14:textId="77777777">
                  <w:pPr>
                    <w:widowControl w:val="0"/>
                    <w:jc w:val="center"/>
                    <w:rPr>
                      <w:b/>
                      <w:bCs/>
                      <w:szCs w:val="22"/>
                    </w:rPr>
                  </w:pPr>
                  <w:r w:rsidRPr="00915869">
                    <w:rPr>
                      <w:b/>
                      <w:bCs/>
                      <w:szCs w:val="22"/>
                    </w:rPr>
                    <w:t xml:space="preserve">  </w:t>
                  </w:r>
                </w:p>
              </w:tc>
              <w:tc>
                <w:tcPr>
                  <w:tcW w:w="1815"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411B6913" w14:textId="77777777">
                  <w:pPr>
                    <w:widowControl w:val="0"/>
                    <w:jc w:val="center"/>
                    <w:rPr>
                      <w:b/>
                      <w:bCs/>
                      <w:szCs w:val="22"/>
                    </w:rPr>
                  </w:pPr>
                  <w:r w:rsidRPr="00915869">
                    <w:rPr>
                      <w:b/>
                      <w:bCs/>
                      <w:szCs w:val="22"/>
                    </w:rPr>
                    <w:t xml:space="preserve">Annual Time Burden (Hours) </w:t>
                  </w:r>
                </w:p>
              </w:tc>
              <w:tc>
                <w:tcPr>
                  <w:tcW w:w="199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683A02" w:rsidP="00F92988" w14:paraId="052B5986" w14:textId="77777777">
                  <w:pPr>
                    <w:widowControl w:val="0"/>
                    <w:jc w:val="center"/>
                    <w:rPr>
                      <w:b/>
                      <w:bCs/>
                      <w:szCs w:val="22"/>
                    </w:rPr>
                  </w:pPr>
                  <w:r w:rsidRPr="00915869">
                    <w:rPr>
                      <w:b/>
                      <w:bCs/>
                      <w:szCs w:val="22"/>
                    </w:rPr>
                    <w:t>Annual Cost Burden</w:t>
                  </w:r>
                </w:p>
                <w:p w:rsidR="00CB0981" w:rsidRPr="00915869" w:rsidP="00F92988" w14:paraId="539ADB30" w14:textId="6B161D14">
                  <w:pPr>
                    <w:widowControl w:val="0"/>
                    <w:jc w:val="center"/>
                    <w:rPr>
                      <w:b/>
                      <w:bCs/>
                      <w:szCs w:val="22"/>
                    </w:rPr>
                  </w:pPr>
                  <w:r w:rsidRPr="00915869">
                    <w:rPr>
                      <w:b/>
                      <w:bCs/>
                      <w:szCs w:val="22"/>
                    </w:rPr>
                    <w:t xml:space="preserve">(Dollars) </w:t>
                  </w:r>
                </w:p>
              </w:tc>
            </w:tr>
            <w:tr w14:paraId="3F0FFA79" w14:textId="77777777" w:rsidTr="00BA43D9">
              <w:tblPrEx>
                <w:tblW w:w="4421" w:type="pct"/>
                <w:tblCellSpacing w:w="0" w:type="dxa"/>
                <w:shd w:val="clear" w:color="auto" w:fill="EFEFEF"/>
                <w:tblCellMar>
                  <w:left w:w="0" w:type="dxa"/>
                  <w:right w:w="0" w:type="dxa"/>
                </w:tblCellMar>
                <w:tblLook w:val="04A0"/>
              </w:tblPrEx>
              <w:trPr>
                <w:tblCellSpacing w:w="0" w:type="dxa"/>
              </w:trPr>
              <w:tc>
                <w:tcPr>
                  <w:tcW w:w="119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3F9511C" w14:textId="1506DDB0">
                  <w:pPr>
                    <w:widowControl w:val="0"/>
                    <w:rPr>
                      <w:szCs w:val="22"/>
                    </w:rPr>
                  </w:pPr>
                  <w:r>
                    <w:rPr>
                      <w:szCs w:val="22"/>
                    </w:rPr>
                    <w:t>Reporting</w:t>
                  </w:r>
                </w:p>
              </w:tc>
              <w:tc>
                <w:tcPr>
                  <w:tcW w:w="181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BA43D9" w14:paraId="4EA96BD3" w14:textId="43736D6C">
                  <w:pPr>
                    <w:widowControl w:val="0"/>
                    <w:rPr>
                      <w:szCs w:val="22"/>
                    </w:rPr>
                  </w:pPr>
                  <w:r>
                    <w:rPr>
                      <w:szCs w:val="22"/>
                    </w:rPr>
                    <w:t>270.8</w:t>
                  </w:r>
                </w:p>
              </w:tc>
              <w:tc>
                <w:tcPr>
                  <w:tcW w:w="199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64116F" w14:paraId="549A5086" w14:textId="3E39A2D3">
                  <w:pPr>
                    <w:widowControl w:val="0"/>
                    <w:jc w:val="center"/>
                    <w:rPr>
                      <w:szCs w:val="22"/>
                    </w:rPr>
                  </w:pPr>
                  <w:r>
                    <w:rPr>
                      <w:szCs w:val="22"/>
                    </w:rPr>
                    <w:t>$</w:t>
                  </w:r>
                  <w:r w:rsidR="00AD01CB">
                    <w:rPr>
                      <w:szCs w:val="22"/>
                    </w:rPr>
                    <w:t>10</w:t>
                  </w:r>
                  <w:r w:rsidR="002F51BD">
                    <w:rPr>
                      <w:szCs w:val="22"/>
                    </w:rPr>
                    <w:t>,75</w:t>
                  </w:r>
                  <w:r w:rsidR="003F5413">
                    <w:rPr>
                      <w:szCs w:val="22"/>
                    </w:rPr>
                    <w:t>2</w:t>
                  </w:r>
                  <w:r w:rsidR="002F51BD">
                    <w:rPr>
                      <w:szCs w:val="22"/>
                    </w:rPr>
                    <w:t>.50</w:t>
                  </w:r>
                </w:p>
              </w:tc>
            </w:tr>
            <w:tr w14:paraId="352DE578" w14:textId="77777777" w:rsidTr="00BA43D9">
              <w:tblPrEx>
                <w:tblW w:w="4421" w:type="pct"/>
                <w:tblCellSpacing w:w="0" w:type="dxa"/>
                <w:shd w:val="clear" w:color="auto" w:fill="EFEFEF"/>
                <w:tblCellMar>
                  <w:left w:w="0" w:type="dxa"/>
                  <w:right w:w="0" w:type="dxa"/>
                </w:tblCellMar>
                <w:tblLook w:val="04A0"/>
              </w:tblPrEx>
              <w:trPr>
                <w:tblCellSpacing w:w="0" w:type="dxa"/>
              </w:trPr>
              <w:tc>
                <w:tcPr>
                  <w:tcW w:w="119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500BED" w:rsidRPr="00915869" w:rsidP="00F92988" w14:paraId="73A467B8" w14:textId="28C7CDDB">
                  <w:pPr>
                    <w:widowControl w:val="0"/>
                    <w:rPr>
                      <w:szCs w:val="22"/>
                    </w:rPr>
                  </w:pPr>
                  <w:r>
                    <w:rPr>
                      <w:szCs w:val="22"/>
                    </w:rPr>
                    <w:t>Record Keeping</w:t>
                  </w:r>
                </w:p>
              </w:tc>
              <w:tc>
                <w:tcPr>
                  <w:tcW w:w="181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500BED" w:rsidP="00500BED" w14:paraId="052BE9F8" w14:textId="0B4134ED">
                  <w:pPr>
                    <w:widowControl w:val="0"/>
                    <w:rPr>
                      <w:szCs w:val="22"/>
                    </w:rPr>
                  </w:pPr>
                  <w:r>
                    <w:rPr>
                      <w:szCs w:val="22"/>
                    </w:rPr>
                    <w:t>0</w:t>
                  </w:r>
                </w:p>
              </w:tc>
              <w:tc>
                <w:tcPr>
                  <w:tcW w:w="199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500BED" w:rsidP="0064116F" w14:paraId="00BB86C5" w14:textId="40587735">
                  <w:pPr>
                    <w:widowControl w:val="0"/>
                    <w:jc w:val="center"/>
                    <w:rPr>
                      <w:szCs w:val="22"/>
                    </w:rPr>
                  </w:pPr>
                  <w:r>
                    <w:rPr>
                      <w:szCs w:val="22"/>
                    </w:rPr>
                    <w:t>0</w:t>
                  </w:r>
                </w:p>
              </w:tc>
            </w:tr>
            <w:tr w14:paraId="43F96A7C" w14:textId="77777777" w:rsidTr="00BA43D9">
              <w:tblPrEx>
                <w:tblW w:w="4421" w:type="pct"/>
                <w:tblCellSpacing w:w="0" w:type="dxa"/>
                <w:shd w:val="clear" w:color="auto" w:fill="EFEFEF"/>
                <w:tblCellMar>
                  <w:left w:w="0" w:type="dxa"/>
                  <w:right w:w="0" w:type="dxa"/>
                </w:tblCellMar>
                <w:tblLook w:val="04A0"/>
              </w:tblPrEx>
              <w:trPr>
                <w:tblCellSpacing w:w="0" w:type="dxa"/>
              </w:trPr>
              <w:tc>
                <w:tcPr>
                  <w:tcW w:w="119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500BED" w:rsidRPr="00915869" w:rsidP="00F92988" w14:paraId="046230B9" w14:textId="31246B72">
                  <w:pPr>
                    <w:widowControl w:val="0"/>
                    <w:rPr>
                      <w:szCs w:val="22"/>
                    </w:rPr>
                  </w:pPr>
                  <w:r>
                    <w:rPr>
                      <w:szCs w:val="22"/>
                    </w:rPr>
                    <w:t>Third Party Disclosure</w:t>
                  </w:r>
                </w:p>
              </w:tc>
              <w:tc>
                <w:tcPr>
                  <w:tcW w:w="181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500BED" w:rsidP="00500BED" w14:paraId="45F3E573" w14:textId="799E6F86">
                  <w:pPr>
                    <w:widowControl w:val="0"/>
                    <w:rPr>
                      <w:szCs w:val="22"/>
                    </w:rPr>
                  </w:pPr>
                  <w:r>
                    <w:rPr>
                      <w:szCs w:val="22"/>
                    </w:rPr>
                    <w:t>0</w:t>
                  </w:r>
                </w:p>
              </w:tc>
              <w:tc>
                <w:tcPr>
                  <w:tcW w:w="199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500BED" w:rsidP="0064116F" w14:paraId="38B6481E" w14:textId="0EE04BEF">
                  <w:pPr>
                    <w:widowControl w:val="0"/>
                    <w:jc w:val="center"/>
                    <w:rPr>
                      <w:szCs w:val="22"/>
                    </w:rPr>
                  </w:pPr>
                  <w:r>
                    <w:rPr>
                      <w:szCs w:val="22"/>
                    </w:rPr>
                    <w:t>0</w:t>
                  </w:r>
                </w:p>
              </w:tc>
            </w:tr>
            <w:tr w14:paraId="098174DC" w14:textId="77777777" w:rsidTr="00BA43D9">
              <w:tblPrEx>
                <w:tblW w:w="4421" w:type="pct"/>
                <w:tblCellSpacing w:w="0" w:type="dxa"/>
                <w:shd w:val="clear" w:color="auto" w:fill="EFEFEF"/>
                <w:tblCellMar>
                  <w:left w:w="0" w:type="dxa"/>
                  <w:right w:w="0" w:type="dxa"/>
                </w:tblCellMar>
                <w:tblLook w:val="04A0"/>
              </w:tblPrEx>
              <w:trPr>
                <w:tblCellSpacing w:w="0" w:type="dxa"/>
              </w:trPr>
              <w:tc>
                <w:tcPr>
                  <w:tcW w:w="119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6A9D" w:rsidRPr="00915869" w:rsidP="005C6A9D" w14:paraId="7BE8252F" w14:textId="77777777">
                  <w:pPr>
                    <w:widowControl w:val="0"/>
                    <w:rPr>
                      <w:szCs w:val="22"/>
                    </w:rPr>
                  </w:pPr>
                  <w:r w:rsidRPr="00915869">
                    <w:rPr>
                      <w:szCs w:val="22"/>
                    </w:rPr>
                    <w:t xml:space="preserve">Total </w:t>
                  </w:r>
                </w:p>
              </w:tc>
              <w:tc>
                <w:tcPr>
                  <w:tcW w:w="181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6A9D" w:rsidRPr="00915869" w:rsidP="00690837" w14:paraId="13E76AE5" w14:textId="06F4D411">
                  <w:pPr>
                    <w:widowControl w:val="0"/>
                    <w:jc w:val="center"/>
                    <w:rPr>
                      <w:szCs w:val="22"/>
                    </w:rPr>
                  </w:pPr>
                  <w:r>
                    <w:rPr>
                      <w:szCs w:val="22"/>
                    </w:rPr>
                    <w:t>270.8</w:t>
                  </w:r>
                </w:p>
              </w:tc>
              <w:tc>
                <w:tcPr>
                  <w:tcW w:w="199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6A9D" w:rsidRPr="00915869" w:rsidP="00690837" w14:paraId="2FFC9F8B" w14:textId="79784645">
                  <w:pPr>
                    <w:widowControl w:val="0"/>
                    <w:jc w:val="center"/>
                    <w:rPr>
                      <w:szCs w:val="22"/>
                    </w:rPr>
                  </w:pPr>
                  <w:r>
                    <w:rPr>
                      <w:szCs w:val="22"/>
                    </w:rPr>
                    <w:t>$</w:t>
                  </w:r>
                  <w:r w:rsidR="002F51BD">
                    <w:rPr>
                      <w:szCs w:val="22"/>
                    </w:rPr>
                    <w:t>10,75</w:t>
                  </w:r>
                  <w:r w:rsidR="003F5413">
                    <w:rPr>
                      <w:szCs w:val="22"/>
                    </w:rPr>
                    <w:t>2</w:t>
                  </w:r>
                  <w:r w:rsidR="002F51BD">
                    <w:rPr>
                      <w:szCs w:val="22"/>
                    </w:rPr>
                    <w:t>.50</w:t>
                  </w:r>
                </w:p>
              </w:tc>
            </w:tr>
          </w:tbl>
          <w:p w:rsidR="00CB0981" w:rsidRPr="00915869" w:rsidP="00F92988" w14:paraId="466CDBD6" w14:textId="77777777">
            <w:pPr>
              <w:widowControl w:val="0"/>
              <w:rPr>
                <w:szCs w:val="22"/>
              </w:rPr>
            </w:pPr>
          </w:p>
        </w:tc>
      </w:tr>
      <w:bookmarkEnd w:id="0"/>
    </w:tbl>
    <w:p w:rsidR="00854472" w:rsidP="00F92988" w14:paraId="0CC5E21E" w14:textId="77777777">
      <w:pPr>
        <w:pStyle w:val="NormalWeb"/>
        <w:widowControl w:val="0"/>
        <w:tabs>
          <w:tab w:val="left" w:pos="360"/>
          <w:tab w:val="left" w:pos="720"/>
          <w:tab w:val="left" w:pos="1080"/>
          <w:tab w:val="left" w:pos="1440"/>
        </w:tabs>
        <w:spacing w:before="0" w:beforeAutospacing="0" w:after="0" w:afterAutospacing="0"/>
        <w:rPr>
          <w:u w:val="single"/>
        </w:rPr>
      </w:pPr>
    </w:p>
    <w:p w:rsidR="005E436B" w:rsidRPr="00505E03" w:rsidP="00F92988" w14:paraId="68B42874" w14:textId="77777777">
      <w:pPr>
        <w:pStyle w:val="NormalWeb"/>
        <w:widowControl w:val="0"/>
        <w:tabs>
          <w:tab w:val="left" w:pos="360"/>
          <w:tab w:val="left" w:pos="720"/>
          <w:tab w:val="left" w:pos="1080"/>
          <w:tab w:val="left" w:pos="1440"/>
        </w:tabs>
        <w:spacing w:before="0" w:beforeAutospacing="0" w:after="0" w:afterAutospacing="0"/>
        <w:rPr>
          <w:u w:val="single"/>
        </w:rPr>
      </w:pPr>
    </w:p>
    <w:p w:rsidR="009277BA" w:rsidRPr="004A4E3D" w:rsidP="00054F80" w14:paraId="1E2B50AA" w14:textId="69864F4C">
      <w:pPr>
        <w:pStyle w:val="ListParagraph"/>
        <w:widowControl w:val="0"/>
        <w:numPr>
          <w:ilvl w:val="0"/>
          <w:numId w:val="19"/>
        </w:numPr>
        <w:tabs>
          <w:tab w:val="left" w:pos="360"/>
          <w:tab w:val="left" w:pos="720"/>
          <w:tab w:val="left" w:pos="1080"/>
        </w:tabs>
        <w:ind w:left="0"/>
        <w:rPr>
          <w:rFonts w:ascii="Times New Roman" w:hAnsi="Times New Roman"/>
          <w:b/>
          <w:bCs/>
          <w:szCs w:val="24"/>
        </w:rPr>
      </w:pPr>
      <w:r w:rsidRPr="004A4E3D">
        <w:rPr>
          <w:rFonts w:ascii="Times New Roman" w:hAnsi="Times New Roman"/>
          <w:b/>
          <w:bCs/>
          <w:szCs w:val="24"/>
          <w:u w:val="single"/>
        </w:rPr>
        <w:t>Estimated nonrecurring costs</w:t>
      </w:r>
    </w:p>
    <w:p w:rsidR="00054F80" w:rsidP="00054F80" w14:paraId="05B4B8E9" w14:textId="5B868403">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 xml:space="preserve">There are no estimated </w:t>
      </w:r>
      <w:r>
        <w:rPr>
          <w:rFonts w:ascii="Times New Roman" w:hAnsi="Times New Roman"/>
          <w:szCs w:val="24"/>
        </w:rPr>
        <w:t>nonrec</w:t>
      </w:r>
      <w:r w:rsidR="00E53BA1">
        <w:rPr>
          <w:rFonts w:ascii="Times New Roman" w:hAnsi="Times New Roman"/>
          <w:szCs w:val="24"/>
        </w:rPr>
        <w:t>urring</w:t>
      </w:r>
      <w:r w:rsidR="00E53BA1">
        <w:rPr>
          <w:rFonts w:ascii="Times New Roman" w:hAnsi="Times New Roman"/>
          <w:szCs w:val="24"/>
        </w:rPr>
        <w:t xml:space="preserve"> costs. </w:t>
      </w:r>
    </w:p>
    <w:p w:rsidR="00E53BA1" w:rsidRPr="009277BA" w:rsidP="00054F80" w14:paraId="13BD1557" w14:textId="77777777">
      <w:pPr>
        <w:pStyle w:val="ListParagraph"/>
        <w:widowControl w:val="0"/>
        <w:tabs>
          <w:tab w:val="left" w:pos="360"/>
          <w:tab w:val="left" w:pos="720"/>
          <w:tab w:val="left" w:pos="1080"/>
        </w:tabs>
        <w:ind w:left="0"/>
        <w:rPr>
          <w:rFonts w:ascii="Times New Roman" w:hAnsi="Times New Roman"/>
          <w:szCs w:val="24"/>
        </w:rPr>
      </w:pPr>
    </w:p>
    <w:p w:rsidR="00D12D51" w:rsidRPr="004A4E3D" w:rsidP="00F92988" w14:paraId="04B81CFE" w14:textId="77777777">
      <w:pPr>
        <w:pStyle w:val="ListParagraph"/>
        <w:widowControl w:val="0"/>
        <w:numPr>
          <w:ilvl w:val="0"/>
          <w:numId w:val="19"/>
        </w:numPr>
        <w:tabs>
          <w:tab w:val="left" w:pos="360"/>
          <w:tab w:val="left" w:pos="720"/>
          <w:tab w:val="left" w:pos="1080"/>
        </w:tabs>
        <w:ind w:left="0"/>
        <w:rPr>
          <w:rFonts w:ascii="Times New Roman" w:hAnsi="Times New Roman"/>
          <w:b/>
          <w:bCs/>
          <w:szCs w:val="24"/>
        </w:rPr>
      </w:pPr>
      <w:r w:rsidRPr="004A4E3D">
        <w:rPr>
          <w:rFonts w:ascii="Times New Roman" w:hAnsi="Times New Roman"/>
          <w:b/>
          <w:bCs/>
          <w:szCs w:val="24"/>
          <w:u w:val="single"/>
        </w:rPr>
        <w:t>Estimated cost to the Government</w:t>
      </w:r>
      <w:r w:rsidRPr="004A4E3D">
        <w:rPr>
          <w:rFonts w:ascii="Times New Roman" w:hAnsi="Times New Roman"/>
          <w:b/>
          <w:bCs/>
          <w:szCs w:val="24"/>
        </w:rPr>
        <w:t xml:space="preserve">. </w:t>
      </w:r>
    </w:p>
    <w:p w:rsidR="007E2714" w:rsidP="00D12D51" w14:paraId="58E68BF3" w14:textId="19CC6FA9">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 xml:space="preserve">The estimated annualized cost to the federal government is $5,461.93. </w:t>
      </w:r>
    </w:p>
    <w:p w:rsidR="007E2714" w:rsidP="00D12D51" w14:paraId="037A5E86" w14:textId="77777777">
      <w:pPr>
        <w:pStyle w:val="ListParagraph"/>
        <w:widowControl w:val="0"/>
        <w:tabs>
          <w:tab w:val="left" w:pos="360"/>
          <w:tab w:val="left" w:pos="720"/>
          <w:tab w:val="left" w:pos="1080"/>
        </w:tabs>
        <w:ind w:left="0"/>
        <w:rPr>
          <w:rFonts w:ascii="Times New Roman" w:hAnsi="Times New Roman"/>
          <w:szCs w:val="24"/>
        </w:rPr>
      </w:pPr>
    </w:p>
    <w:p w:rsidR="00D12D51" w:rsidP="00896686" w14:paraId="08062A1C" w14:textId="2AA4E184">
      <w:pPr>
        <w:rPr>
          <w:szCs w:val="24"/>
        </w:rPr>
      </w:pPr>
      <w:r>
        <w:rPr>
          <w:rFonts w:ascii="Times New Roman" w:hAnsi="Times New Roman"/>
          <w:szCs w:val="24"/>
        </w:rPr>
        <w:t xml:space="preserve">This includes the costs associated </w:t>
      </w:r>
      <w:r w:rsidR="001D08F5">
        <w:rPr>
          <w:rFonts w:ascii="Times New Roman" w:hAnsi="Times New Roman"/>
          <w:szCs w:val="24"/>
        </w:rPr>
        <w:t xml:space="preserve">with the RIC program manager which </w:t>
      </w:r>
      <w:r w:rsidR="00844032">
        <w:rPr>
          <w:rFonts w:ascii="Times New Roman" w:hAnsi="Times New Roman"/>
          <w:szCs w:val="24"/>
        </w:rPr>
        <w:t>is estimated from 80 hours of annual burden to review and maintain the data at a GS 14 step 1 salary.</w:t>
      </w:r>
      <w:r w:rsidR="00896686">
        <w:rPr>
          <w:rFonts w:ascii="Times New Roman" w:hAnsi="Times New Roman"/>
          <w:szCs w:val="24"/>
        </w:rPr>
        <w:t xml:space="preserve"> </w:t>
      </w:r>
      <w:r w:rsidR="00896686">
        <w:rPr>
          <w:szCs w:val="24"/>
        </w:rPr>
        <w:t>The OII</w:t>
      </w:r>
      <w:r w:rsidRPr="007A1E2B" w:rsidR="00896686">
        <w:rPr>
          <w:szCs w:val="24"/>
        </w:rPr>
        <w:t xml:space="preserve"> anticipates that this person will work 80 hours per year for 1 year. The annual cost for this </w:t>
      </w:r>
      <w:r w:rsidR="00896686">
        <w:rPr>
          <w:szCs w:val="24"/>
        </w:rPr>
        <w:t>OII</w:t>
      </w:r>
      <w:r w:rsidRPr="007A1E2B" w:rsidR="00896686">
        <w:rPr>
          <w:szCs w:val="24"/>
        </w:rPr>
        <w:t xml:space="preserve"> employee over the course of this study is $</w:t>
      </w:r>
      <w:r w:rsidRPr="00F94031" w:rsidR="00896686">
        <w:rPr>
          <w:szCs w:val="24"/>
        </w:rPr>
        <w:t>5,</w:t>
      </w:r>
      <w:r w:rsidR="00896686">
        <w:rPr>
          <w:szCs w:val="24"/>
        </w:rPr>
        <w:t>461.93</w:t>
      </w:r>
      <w:r w:rsidRPr="007A1E2B" w:rsidR="00896686">
        <w:rPr>
          <w:szCs w:val="24"/>
        </w:rPr>
        <w:t>. Federal employee</w:t>
      </w:r>
      <w:r w:rsidR="00896686">
        <w:rPr>
          <w:szCs w:val="24"/>
        </w:rPr>
        <w:t>s</w:t>
      </w:r>
      <w:r w:rsidRPr="007A1E2B" w:rsidR="00896686">
        <w:rPr>
          <w:szCs w:val="24"/>
        </w:rPr>
        <w:t xml:space="preserve"> pay rates are based on the 202</w:t>
      </w:r>
      <w:r w:rsidR="00896686">
        <w:rPr>
          <w:szCs w:val="24"/>
        </w:rPr>
        <w:t>5</w:t>
      </w:r>
      <w:r w:rsidRPr="007A1E2B" w:rsidR="00896686">
        <w:rPr>
          <w:szCs w:val="24"/>
        </w:rPr>
        <w:t xml:space="preserve"> General Schedule pay scale for the Washington, D.C., locality.</w:t>
      </w:r>
      <w:r>
        <w:rPr>
          <w:rStyle w:val="FootnoteReference"/>
          <w:szCs w:val="24"/>
        </w:rPr>
        <w:footnoteReference w:id="6"/>
      </w:r>
    </w:p>
    <w:p w:rsidR="005C011A" w:rsidP="00896686" w14:paraId="219CE08B" w14:textId="77777777">
      <w:pPr>
        <w:rPr>
          <w:szCs w:val="24"/>
        </w:rPr>
      </w:pPr>
    </w:p>
    <w:tbl>
      <w:tblPr>
        <w:tblW w:w="5000" w:type="pct"/>
        <w:tblCellSpacing w:w="22" w:type="dxa"/>
        <w:tblCellMar>
          <w:left w:w="0" w:type="dxa"/>
          <w:right w:w="0" w:type="dxa"/>
        </w:tblCellMar>
        <w:tblLook w:val="04A0"/>
      </w:tblPr>
      <w:tblGrid>
        <w:gridCol w:w="9248"/>
        <w:gridCol w:w="112"/>
      </w:tblGrid>
      <w:tr w14:paraId="4F39D823" w14:textId="77777777" w:rsidTr="00D97F7E">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p w:rsidR="005C011A" w:rsidRPr="00915869" w:rsidP="00D52246" w14:paraId="429E5544" w14:textId="77777777">
            <w:pPr>
              <w:widowControl w:val="0"/>
              <w:rPr>
                <w:szCs w:val="22"/>
              </w:rPr>
            </w:pPr>
          </w:p>
        </w:tc>
      </w:tr>
      <w:tr w14:paraId="7DF9EDA4" w14:textId="77777777" w:rsidTr="00D97F7E">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5C011A" w:rsidRPr="00915869" w:rsidP="00D97F7E" w14:paraId="2FABFA55" w14:textId="77777777">
            <w:pPr>
              <w:widowControl w:val="0"/>
              <w:rPr>
                <w:szCs w:val="22"/>
              </w:rPr>
            </w:pPr>
            <w:r w:rsidRPr="00915869">
              <w:rPr>
                <w:szCs w:val="22"/>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912"/>
              <w:gridCol w:w="2978"/>
              <w:gridCol w:w="3268"/>
            </w:tblGrid>
            <w:tr w14:paraId="3AD2F43F" w14:textId="77777777" w:rsidTr="00D97F7E">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17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5C011A" w:rsidRPr="00915869" w:rsidP="00D97F7E" w14:paraId="73AF48F2" w14:textId="77777777">
                  <w:pPr>
                    <w:widowControl w:val="0"/>
                    <w:jc w:val="center"/>
                    <w:rPr>
                      <w:b/>
                      <w:bCs/>
                      <w:szCs w:val="22"/>
                    </w:rPr>
                  </w:pPr>
                  <w:r w:rsidRPr="00915869">
                    <w:rPr>
                      <w:b/>
                      <w:bCs/>
                      <w:szCs w:val="22"/>
                    </w:rPr>
                    <w:t xml:space="preserve">  </w:t>
                  </w:r>
                </w:p>
              </w:tc>
              <w:tc>
                <w:tcPr>
                  <w:tcW w:w="1825"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5C011A" w:rsidRPr="00915869" w:rsidP="00D97F7E" w14:paraId="268E635A" w14:textId="77777777">
                  <w:pPr>
                    <w:widowControl w:val="0"/>
                    <w:jc w:val="center"/>
                    <w:rPr>
                      <w:b/>
                      <w:bCs/>
                      <w:szCs w:val="22"/>
                    </w:rPr>
                  </w:pPr>
                  <w:r w:rsidRPr="00915869">
                    <w:rPr>
                      <w:b/>
                      <w:bCs/>
                      <w:szCs w:val="22"/>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5C011A" w:rsidP="00D97F7E" w14:paraId="3F863BDA" w14:textId="77777777">
                  <w:pPr>
                    <w:widowControl w:val="0"/>
                    <w:jc w:val="center"/>
                    <w:rPr>
                      <w:b/>
                      <w:bCs/>
                      <w:szCs w:val="22"/>
                    </w:rPr>
                  </w:pPr>
                  <w:r w:rsidRPr="00915869">
                    <w:rPr>
                      <w:b/>
                      <w:bCs/>
                      <w:szCs w:val="22"/>
                    </w:rPr>
                    <w:t>Annual Cost Burden</w:t>
                  </w:r>
                </w:p>
                <w:p w:rsidR="005C011A" w:rsidRPr="00915869" w:rsidP="00D97F7E" w14:paraId="1BB2F0F7" w14:textId="77777777">
                  <w:pPr>
                    <w:widowControl w:val="0"/>
                    <w:jc w:val="center"/>
                    <w:rPr>
                      <w:b/>
                      <w:bCs/>
                      <w:szCs w:val="22"/>
                    </w:rPr>
                  </w:pPr>
                  <w:r w:rsidRPr="00915869">
                    <w:rPr>
                      <w:b/>
                      <w:bCs/>
                      <w:szCs w:val="22"/>
                    </w:rPr>
                    <w:t xml:space="preserve">(Dollars) </w:t>
                  </w:r>
                </w:p>
              </w:tc>
            </w:tr>
            <w:tr w14:paraId="7BFBC62B" w14:textId="77777777" w:rsidTr="00D97F7E">
              <w:tblPrEx>
                <w:tblW w:w="4421" w:type="pct"/>
                <w:tblCellSpacing w:w="0" w:type="dxa"/>
                <w:shd w:val="clear" w:color="auto" w:fill="EFEFEF"/>
                <w:tblCellMar>
                  <w:left w:w="0" w:type="dxa"/>
                  <w:right w:w="0" w:type="dxa"/>
                </w:tblCellMar>
                <w:tblLook w:val="04A0"/>
              </w:tblPrEx>
              <w:trPr>
                <w:tblCellSpacing w:w="0" w:type="dxa"/>
              </w:trPr>
              <w:tc>
                <w:tcPr>
                  <w:tcW w:w="117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011A" w:rsidRPr="00915869" w:rsidP="00D97F7E" w14:paraId="49F0D76C" w14:textId="77777777">
                  <w:pPr>
                    <w:widowControl w:val="0"/>
                    <w:rPr>
                      <w:szCs w:val="22"/>
                    </w:rPr>
                  </w:pPr>
                  <w:r w:rsidRPr="00915869">
                    <w:rPr>
                      <w:szCs w:val="22"/>
                    </w:rPr>
                    <w:t xml:space="preserve">Record Keeping </w:t>
                  </w:r>
                  <w:r>
                    <w:rPr>
                      <w:szCs w:val="22"/>
                    </w:rPr>
                    <w:t xml:space="preserve"> </w:t>
                  </w:r>
                  <w:r>
                    <w:rPr>
                      <w:szCs w:val="22"/>
                    </w:rPr>
                    <w:t>(RIC program manager)</w:t>
                  </w:r>
                </w:p>
              </w:tc>
              <w:tc>
                <w:tcPr>
                  <w:tcW w:w="182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011A" w:rsidRPr="00915869" w:rsidP="00D97F7E" w14:paraId="37852F77" w14:textId="77777777">
                  <w:pPr>
                    <w:widowControl w:val="0"/>
                    <w:jc w:val="center"/>
                    <w:rPr>
                      <w:szCs w:val="22"/>
                    </w:rPr>
                  </w:pPr>
                  <w:r>
                    <w:rPr>
                      <w:szCs w:val="22"/>
                    </w:rPr>
                    <w:t>80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011A" w:rsidRPr="00915869" w:rsidP="00D97F7E" w14:paraId="0B7AAAEC" w14:textId="77777777">
                  <w:pPr>
                    <w:widowControl w:val="0"/>
                    <w:jc w:val="center"/>
                    <w:rPr>
                      <w:szCs w:val="22"/>
                    </w:rPr>
                  </w:pPr>
                  <w:r>
                    <w:rPr>
                      <w:szCs w:val="22"/>
                    </w:rPr>
                    <w:t>$5,461.93</w:t>
                  </w:r>
                </w:p>
              </w:tc>
            </w:tr>
            <w:tr w14:paraId="3B541594" w14:textId="77777777" w:rsidTr="00D97F7E">
              <w:tblPrEx>
                <w:tblW w:w="4421" w:type="pct"/>
                <w:tblCellSpacing w:w="0" w:type="dxa"/>
                <w:shd w:val="clear" w:color="auto" w:fill="EFEFEF"/>
                <w:tblCellMar>
                  <w:left w:w="0" w:type="dxa"/>
                  <w:right w:w="0" w:type="dxa"/>
                </w:tblCellMar>
                <w:tblLook w:val="04A0"/>
              </w:tblPrEx>
              <w:trPr>
                <w:tblCellSpacing w:w="0" w:type="dxa"/>
              </w:trPr>
              <w:tc>
                <w:tcPr>
                  <w:tcW w:w="117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011A" w:rsidRPr="00915869" w:rsidP="00D97F7E" w14:paraId="04EE66CC" w14:textId="77777777">
                  <w:pPr>
                    <w:widowControl w:val="0"/>
                    <w:rPr>
                      <w:szCs w:val="22"/>
                    </w:rPr>
                  </w:pPr>
                  <w:r w:rsidRPr="00915869">
                    <w:rPr>
                      <w:szCs w:val="22"/>
                    </w:rPr>
                    <w:t xml:space="preserve">Total </w:t>
                  </w:r>
                </w:p>
              </w:tc>
              <w:tc>
                <w:tcPr>
                  <w:tcW w:w="1825"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011A" w:rsidRPr="00915869" w:rsidP="00D97F7E" w14:paraId="48EA474C" w14:textId="77777777">
                  <w:pPr>
                    <w:widowControl w:val="0"/>
                    <w:jc w:val="center"/>
                    <w:rPr>
                      <w:szCs w:val="22"/>
                    </w:rPr>
                  </w:pPr>
                  <w:r>
                    <w:rPr>
                      <w:szCs w:val="22"/>
                    </w:rPr>
                    <w:t>80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5C011A" w:rsidRPr="00915869" w:rsidP="00D97F7E" w14:paraId="5EBE085F" w14:textId="77777777">
                  <w:pPr>
                    <w:widowControl w:val="0"/>
                    <w:jc w:val="center"/>
                    <w:rPr>
                      <w:szCs w:val="22"/>
                    </w:rPr>
                  </w:pPr>
                  <w:r>
                    <w:rPr>
                      <w:szCs w:val="22"/>
                    </w:rPr>
                    <w:t>$5,461.93</w:t>
                  </w:r>
                </w:p>
              </w:tc>
            </w:tr>
          </w:tbl>
          <w:p w:rsidR="005C011A" w:rsidRPr="00915869" w:rsidP="00D97F7E" w14:paraId="23CCAC47" w14:textId="77777777">
            <w:pPr>
              <w:widowControl w:val="0"/>
              <w:rPr>
                <w:szCs w:val="22"/>
              </w:rPr>
            </w:pPr>
          </w:p>
        </w:tc>
      </w:tr>
    </w:tbl>
    <w:p w:rsidR="005C011A" w:rsidRPr="00896686" w:rsidP="00896686" w14:paraId="24EA6CB8" w14:textId="77777777">
      <w:pPr>
        <w:rPr>
          <w:szCs w:val="24"/>
        </w:rPr>
      </w:pPr>
    </w:p>
    <w:p w:rsidR="00D12D51" w:rsidP="00D12D51" w14:paraId="4705902C" w14:textId="77777777">
      <w:pPr>
        <w:pStyle w:val="ListParagraph"/>
        <w:widowControl w:val="0"/>
        <w:tabs>
          <w:tab w:val="left" w:pos="360"/>
          <w:tab w:val="left" w:pos="720"/>
          <w:tab w:val="left" w:pos="1080"/>
        </w:tabs>
        <w:ind w:left="0"/>
        <w:rPr>
          <w:rFonts w:ascii="Times New Roman" w:hAnsi="Times New Roman"/>
          <w:szCs w:val="24"/>
          <w:u w:val="single"/>
        </w:rPr>
      </w:pPr>
    </w:p>
    <w:p w:rsidR="00366678" w:rsidRPr="004A4E3D" w:rsidP="00F92988" w14:paraId="142F779A" w14:textId="45B4B162">
      <w:pPr>
        <w:pStyle w:val="ListParagraph"/>
        <w:widowControl w:val="0"/>
        <w:numPr>
          <w:ilvl w:val="0"/>
          <w:numId w:val="19"/>
        </w:numPr>
        <w:tabs>
          <w:tab w:val="left" w:pos="360"/>
          <w:tab w:val="left" w:pos="720"/>
          <w:tab w:val="left" w:pos="1080"/>
        </w:tabs>
        <w:ind w:left="0"/>
        <w:rPr>
          <w:rFonts w:ascii="Times New Roman" w:hAnsi="Times New Roman"/>
          <w:b/>
          <w:bCs/>
          <w:szCs w:val="24"/>
        </w:rPr>
      </w:pPr>
      <w:r w:rsidRPr="004A4E3D">
        <w:rPr>
          <w:rFonts w:ascii="Times New Roman" w:hAnsi="Times New Roman"/>
          <w:b/>
          <w:bCs/>
          <w:szCs w:val="24"/>
          <w:u w:val="single"/>
        </w:rPr>
        <w:t>Reasons for changes</w:t>
      </w:r>
    </w:p>
    <w:p w:rsidR="00972453" w:rsidRPr="00366678" w:rsidP="00972453" w14:paraId="3B149DD1" w14:textId="288DA371">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This is a new information collection and therefore there are no changes.</w:t>
      </w:r>
    </w:p>
    <w:p w:rsidR="00366678" w:rsidRPr="00366678" w:rsidP="00F92988" w14:paraId="503AC8C7" w14:textId="77777777">
      <w:pPr>
        <w:pStyle w:val="ListParagraph"/>
        <w:widowControl w:val="0"/>
        <w:tabs>
          <w:tab w:val="left" w:pos="360"/>
          <w:tab w:val="left" w:pos="720"/>
          <w:tab w:val="left" w:pos="1080"/>
        </w:tabs>
        <w:ind w:left="0"/>
        <w:rPr>
          <w:rFonts w:ascii="Times New Roman" w:hAnsi="Times New Roman"/>
          <w:szCs w:val="24"/>
        </w:rPr>
      </w:pPr>
    </w:p>
    <w:p w:rsidR="006D3366" w:rsidRPr="004A4E3D" w:rsidP="00B17E78" w14:paraId="08EF9C9B" w14:textId="4234EB99">
      <w:pPr>
        <w:pStyle w:val="ListParagraph"/>
        <w:widowControl w:val="0"/>
        <w:numPr>
          <w:ilvl w:val="0"/>
          <w:numId w:val="19"/>
        </w:numPr>
        <w:tabs>
          <w:tab w:val="left" w:pos="360"/>
          <w:tab w:val="left" w:pos="720"/>
          <w:tab w:val="left" w:pos="1080"/>
        </w:tabs>
        <w:ind w:left="0"/>
        <w:rPr>
          <w:rFonts w:ascii="Times New Roman" w:hAnsi="Times New Roman"/>
          <w:b/>
          <w:bCs/>
          <w:szCs w:val="24"/>
        </w:rPr>
      </w:pPr>
      <w:r w:rsidRPr="004A4E3D">
        <w:rPr>
          <w:b/>
          <w:bCs/>
          <w:u w:val="single"/>
        </w:rPr>
        <w:t>Publicizing Results</w:t>
      </w:r>
    </w:p>
    <w:p w:rsidR="00B64E4B" w:rsidRPr="00B64E4B" w:rsidP="00B64E4B" w14:paraId="2AE8156E" w14:textId="0932DD41">
      <w:pPr>
        <w:pStyle w:val="ListParagraph"/>
        <w:widowControl w:val="0"/>
        <w:tabs>
          <w:tab w:val="left" w:pos="360"/>
          <w:tab w:val="left" w:pos="720"/>
          <w:tab w:val="left" w:pos="1080"/>
        </w:tabs>
        <w:ind w:left="0"/>
        <w:rPr>
          <w:rFonts w:ascii="Times New Roman" w:hAnsi="Times New Roman"/>
          <w:szCs w:val="24"/>
        </w:rPr>
      </w:pPr>
      <w:r>
        <w:t>The SBA does not plan to publicize these results.</w:t>
      </w:r>
    </w:p>
    <w:p w:rsidR="006D3366" w:rsidRPr="006D3366" w:rsidP="00F92988" w14:paraId="567730AE" w14:textId="77777777">
      <w:pPr>
        <w:widowControl w:val="0"/>
        <w:tabs>
          <w:tab w:val="left" w:pos="360"/>
          <w:tab w:val="left" w:pos="720"/>
          <w:tab w:val="left" w:pos="1080"/>
        </w:tabs>
        <w:rPr>
          <w:rFonts w:ascii="Times New Roman" w:hAnsi="Times New Roman"/>
          <w:szCs w:val="24"/>
        </w:rPr>
      </w:pPr>
    </w:p>
    <w:p w:rsidR="007D5005" w:rsidRPr="004A4E3D" w:rsidP="00951E89" w14:paraId="2C256B55" w14:textId="77777777">
      <w:pPr>
        <w:pStyle w:val="ListParagraph"/>
        <w:widowControl w:val="0"/>
        <w:numPr>
          <w:ilvl w:val="0"/>
          <w:numId w:val="19"/>
        </w:numPr>
        <w:tabs>
          <w:tab w:val="left" w:pos="360"/>
          <w:tab w:val="left" w:pos="720"/>
          <w:tab w:val="left" w:pos="1080"/>
        </w:tabs>
        <w:ind w:left="0"/>
        <w:rPr>
          <w:rFonts w:ascii="Times New Roman" w:hAnsi="Times New Roman"/>
          <w:b/>
          <w:bCs/>
          <w:szCs w:val="24"/>
        </w:rPr>
      </w:pPr>
      <w:r w:rsidRPr="004A4E3D">
        <w:rPr>
          <w:rFonts w:ascii="Times New Roman" w:hAnsi="Times New Roman"/>
          <w:b/>
          <w:bCs/>
          <w:szCs w:val="24"/>
          <w:u w:val="single"/>
        </w:rPr>
        <w:t xml:space="preserve">OMB </w:t>
      </w:r>
      <w:r w:rsidRPr="004A4E3D" w:rsidR="00683F7A">
        <w:rPr>
          <w:rFonts w:ascii="Times New Roman" w:hAnsi="Times New Roman"/>
          <w:b/>
          <w:bCs/>
          <w:szCs w:val="24"/>
          <w:u w:val="single"/>
        </w:rPr>
        <w:t xml:space="preserve">Not to </w:t>
      </w:r>
      <w:r w:rsidRPr="004A4E3D">
        <w:rPr>
          <w:rFonts w:ascii="Times New Roman" w:hAnsi="Times New Roman"/>
          <w:b/>
          <w:bCs/>
          <w:szCs w:val="24"/>
          <w:u w:val="single"/>
        </w:rPr>
        <w:t>Display</w:t>
      </w:r>
      <w:r w:rsidRPr="004A4E3D" w:rsidR="00683F7A">
        <w:rPr>
          <w:rFonts w:ascii="Times New Roman" w:hAnsi="Times New Roman"/>
          <w:b/>
          <w:bCs/>
          <w:szCs w:val="24"/>
          <w:u w:val="single"/>
        </w:rPr>
        <w:t xml:space="preserve"> Approval</w:t>
      </w:r>
    </w:p>
    <w:p w:rsidR="007D5005" w:rsidRPr="007D5005" w:rsidP="007D5005" w14:paraId="2FB704AD" w14:textId="4A3B7A21">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The SBA plans to display the OMB expiration date.</w:t>
      </w:r>
    </w:p>
    <w:p w:rsidR="00AF35E3" w:rsidRPr="00AF35E3" w:rsidP="00F92988" w14:paraId="477DA76F" w14:textId="77777777">
      <w:pPr>
        <w:widowControl w:val="0"/>
        <w:tabs>
          <w:tab w:val="left" w:pos="360"/>
          <w:tab w:val="left" w:pos="720"/>
          <w:tab w:val="left" w:pos="1080"/>
        </w:tabs>
        <w:rPr>
          <w:rFonts w:ascii="Times New Roman" w:hAnsi="Times New Roman"/>
          <w:szCs w:val="24"/>
        </w:rPr>
      </w:pPr>
    </w:p>
    <w:p w:rsidR="00E7756D" w:rsidRPr="004A4E3D" w:rsidP="00AF22F9" w14:paraId="648DF7E5" w14:textId="3F25451B">
      <w:pPr>
        <w:pStyle w:val="ListParagraph"/>
        <w:widowControl w:val="0"/>
        <w:numPr>
          <w:ilvl w:val="0"/>
          <w:numId w:val="19"/>
        </w:numPr>
        <w:tabs>
          <w:tab w:val="left" w:pos="360"/>
          <w:tab w:val="left" w:pos="720"/>
          <w:tab w:val="left" w:pos="1080"/>
        </w:tabs>
        <w:ind w:left="0"/>
        <w:rPr>
          <w:rFonts w:ascii="Times New Roman" w:hAnsi="Times New Roman"/>
          <w:b/>
          <w:bCs/>
          <w:szCs w:val="24"/>
        </w:rPr>
      </w:pPr>
      <w:r w:rsidRPr="00DC7AA3">
        <w:rPr>
          <w:rFonts w:ascii="Times New Roman" w:hAnsi="Times New Roman"/>
          <w:szCs w:val="24"/>
        </w:rPr>
        <w:t xml:space="preserve"> </w:t>
      </w:r>
      <w:r w:rsidRPr="004A4E3D" w:rsidR="00683F7A">
        <w:rPr>
          <w:rFonts w:ascii="Times New Roman" w:hAnsi="Times New Roman"/>
          <w:b/>
          <w:bCs/>
          <w:szCs w:val="24"/>
          <w:u w:val="single"/>
        </w:rPr>
        <w:t>Exceptions to "Certification for Paperwork Reduction Submissions"</w:t>
      </w:r>
    </w:p>
    <w:p w:rsidR="00DC7AA3" w:rsidRPr="00DC7AA3" w:rsidP="00DC7AA3" w14:paraId="037E46DF" w14:textId="6AFD2D9A">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 xml:space="preserve">The SBA </w:t>
      </w:r>
      <w:r>
        <w:rPr>
          <w:rFonts w:ascii="Times New Roman" w:hAnsi="Times New Roman"/>
          <w:szCs w:val="24"/>
        </w:rPr>
        <w:t>is not request</w:t>
      </w:r>
      <w:r w:rsidR="00B74C24">
        <w:rPr>
          <w:rFonts w:ascii="Times New Roman" w:hAnsi="Times New Roman"/>
          <w:szCs w:val="24"/>
        </w:rPr>
        <w:t>ing</w:t>
      </w:r>
      <w:r>
        <w:rPr>
          <w:rFonts w:ascii="Times New Roman" w:hAnsi="Times New Roman"/>
          <w:szCs w:val="24"/>
        </w:rPr>
        <w:t xml:space="preserve"> any exceptions to the certification</w:t>
      </w:r>
    </w:p>
    <w:p w:rsidR="00636DA4" w:rsidP="00636DA4" w14:paraId="0B3287AA" w14:textId="77777777">
      <w:pPr>
        <w:pStyle w:val="ListParagraph"/>
        <w:widowControl w:val="0"/>
        <w:tabs>
          <w:tab w:val="left" w:pos="360"/>
          <w:tab w:val="left" w:pos="720"/>
          <w:tab w:val="left" w:pos="1080"/>
        </w:tabs>
        <w:ind w:left="0"/>
        <w:rPr>
          <w:rFonts w:ascii="Times New Roman" w:hAnsi="Times New Roman"/>
          <w:szCs w:val="24"/>
        </w:rPr>
      </w:pPr>
    </w:p>
    <w:p w:rsidR="004177C5" w:rsidRPr="004A4E3D" w:rsidP="00636DA4" w14:paraId="51C61341" w14:textId="4FD07558">
      <w:pPr>
        <w:pStyle w:val="ListParagraph"/>
        <w:widowControl w:val="0"/>
        <w:tabs>
          <w:tab w:val="left" w:pos="360"/>
          <w:tab w:val="left" w:pos="720"/>
          <w:tab w:val="left" w:pos="1080"/>
        </w:tabs>
        <w:ind w:left="0"/>
        <w:rPr>
          <w:rFonts w:ascii="Times New Roman" w:hAnsi="Times New Roman"/>
          <w:b/>
          <w:bCs/>
          <w:szCs w:val="24"/>
        </w:rPr>
      </w:pPr>
      <w:r>
        <w:rPr>
          <w:rFonts w:ascii="Times New Roman" w:hAnsi="Times New Roman"/>
          <w:b/>
          <w:bCs/>
          <w:szCs w:val="24"/>
          <w:u w:val="single"/>
        </w:rPr>
        <w:t xml:space="preserve">Part B: </w:t>
      </w:r>
      <w:r w:rsidRPr="004A4E3D" w:rsidR="002C3CE5">
        <w:rPr>
          <w:rFonts w:ascii="Times New Roman" w:hAnsi="Times New Roman"/>
          <w:b/>
          <w:bCs/>
          <w:szCs w:val="24"/>
          <w:u w:val="single"/>
        </w:rPr>
        <w:t>Surveys, Censuses, and Other Collections that Employ Statistical Methods.</w:t>
      </w:r>
      <w:r w:rsidRPr="004A4E3D" w:rsidR="002C3CE5">
        <w:rPr>
          <w:rFonts w:ascii="Times New Roman" w:hAnsi="Times New Roman"/>
          <w:b/>
          <w:bCs/>
          <w:szCs w:val="24"/>
        </w:rPr>
        <w:t xml:space="preserve">  </w:t>
      </w:r>
    </w:p>
    <w:p w:rsidR="002C3CE5" w:rsidRPr="00E7756D" w:rsidP="004177C5" w14:paraId="1C5F2E24" w14:textId="68EC6167">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 xml:space="preserve">This request does not include </w:t>
      </w:r>
      <w:r w:rsidRPr="00E7756D">
        <w:rPr>
          <w:rFonts w:ascii="Times New Roman" w:hAnsi="Times New Roman"/>
          <w:szCs w:val="24"/>
        </w:rPr>
        <w:t xml:space="preserve">surveys or censuses or uses </w:t>
      </w:r>
      <w:r>
        <w:rPr>
          <w:rFonts w:ascii="Times New Roman" w:hAnsi="Times New Roman"/>
          <w:szCs w:val="24"/>
        </w:rPr>
        <w:t xml:space="preserve">of </w:t>
      </w:r>
      <w:r w:rsidRPr="00E7756D">
        <w:rPr>
          <w:rFonts w:ascii="Times New Roman" w:hAnsi="Times New Roman"/>
          <w:szCs w:val="24"/>
        </w:rPr>
        <w:t>statistical methods (such as sampling, imputation, or other statistical estimation techniques)</w:t>
      </w:r>
      <w:r>
        <w:rPr>
          <w:rFonts w:ascii="Times New Roman" w:hAnsi="Times New Roman"/>
          <w:szCs w:val="24"/>
        </w:rPr>
        <w:t>.</w:t>
      </w:r>
      <w:r w:rsidRPr="00E7756D">
        <w:rPr>
          <w:rFonts w:ascii="Times New Roman" w:hAnsi="Times New Roman"/>
          <w:szCs w:val="24"/>
        </w:rPr>
        <w:t xml:space="preserve"> </w:t>
      </w:r>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5303" w14:paraId="71F5DF47" w14:textId="77777777">
      <w:r>
        <w:separator/>
      </w:r>
    </w:p>
  </w:footnote>
  <w:footnote w:type="continuationSeparator" w:id="1">
    <w:p w:rsidR="000F5303" w14:paraId="5323938E" w14:textId="77777777">
      <w:r>
        <w:continuationSeparator/>
      </w:r>
    </w:p>
  </w:footnote>
  <w:footnote w:id="2">
    <w:p w:rsidR="0038224F" w14:paraId="1C0D6F03" w14:textId="01AD0C7C">
      <w:pPr>
        <w:pStyle w:val="FootnoteText"/>
      </w:pPr>
      <w:r>
        <w:rPr>
          <w:rStyle w:val="FootnoteReference"/>
        </w:rPr>
        <w:footnoteRef/>
      </w:r>
      <w:r>
        <w:t xml:space="preserve"> </w:t>
      </w:r>
      <w:hyperlink r:id="rId1" w:history="1">
        <w:r w:rsidRPr="0038224F">
          <w:rPr>
            <w:rStyle w:val="Hyperlink"/>
          </w:rPr>
          <w:t>15 U.S. Code § 631 - Declaration of policy | U.S. Code | US Law | LII / Legal Information Institute</w:t>
        </w:r>
      </w:hyperlink>
    </w:p>
  </w:footnote>
  <w:footnote w:id="3">
    <w:p w:rsidR="0038224F" w14:paraId="1000F580" w14:textId="03C21BBA">
      <w:pPr>
        <w:pStyle w:val="FootnoteText"/>
      </w:pPr>
      <w:r>
        <w:rPr>
          <w:rStyle w:val="FootnoteReference"/>
        </w:rPr>
        <w:footnoteRef/>
      </w:r>
      <w:r>
        <w:t xml:space="preserve"> </w:t>
      </w:r>
      <w:hyperlink r:id="rId2" w:history="1">
        <w:r w:rsidRPr="0038224F">
          <w:rPr>
            <w:rStyle w:val="Hyperlink"/>
          </w:rPr>
          <w:t>15 U.S. Code § 638 - Research and development | U.S. Code | US Law | LII / Legal Information Institute</w:t>
        </w:r>
      </w:hyperlink>
    </w:p>
  </w:footnote>
  <w:footnote w:id="4">
    <w:p w:rsidR="00AC7066" w:rsidRPr="00F003D2" w:rsidP="00AC7066" w14:paraId="3D778214" w14:textId="77777777">
      <w:pPr>
        <w:pStyle w:val="FootnoteText"/>
      </w:pPr>
      <w:r w:rsidRPr="00F003D2">
        <w:rPr>
          <w:rStyle w:val="FootnoteReference"/>
        </w:rPr>
        <w:footnoteRef/>
      </w:r>
      <w:r w:rsidRPr="00F003D2">
        <w:t xml:space="preserve"> See </w:t>
      </w:r>
      <w:hyperlink r:id="rId3">
        <w:r w:rsidRPr="00F003D2">
          <w:rPr>
            <w:rStyle w:val="Hyperlink"/>
          </w:rPr>
          <w:t>http://www.payscale.com/research/US/Job=Small_Business_Owner_%2F_Operator/Salary</w:t>
        </w:r>
      </w:hyperlink>
      <w:r w:rsidRPr="00F003D2">
        <w:t>.</w:t>
      </w:r>
    </w:p>
  </w:footnote>
  <w:footnote w:id="5">
    <w:p w:rsidR="00AC7066" w:rsidRPr="00F003D2" w:rsidP="00AC7066" w14:paraId="2CC61A73" w14:textId="33B09B42">
      <w:pPr>
        <w:pStyle w:val="FootnoteText"/>
      </w:pPr>
      <w:r w:rsidRPr="00F003D2">
        <w:rPr>
          <w:rStyle w:val="FootnoteReference"/>
        </w:rPr>
        <w:footnoteRef/>
      </w:r>
      <w:r w:rsidRPr="00F003D2">
        <w:t xml:space="preserve"> See </w:t>
      </w:r>
      <w:hyperlink r:id="rId4" w:anchor="/industry/541000" w:history="1">
        <w:r w:rsidRPr="00005417" w:rsidR="00005417">
          <w:rPr>
            <w:rStyle w:val="Hyperlink"/>
          </w:rPr>
          <w:t>Occupational Employment and Wage Statistics</w:t>
        </w:r>
      </w:hyperlink>
      <w:r w:rsidR="00005417">
        <w:t xml:space="preserve"> </w:t>
      </w:r>
    </w:p>
  </w:footnote>
  <w:footnote w:id="6">
    <w:p w:rsidR="005D228F" w14:paraId="126C46F8" w14:textId="58DC5E91">
      <w:pPr>
        <w:pStyle w:val="FootnoteText"/>
      </w:pPr>
      <w:r>
        <w:rPr>
          <w:rStyle w:val="FootnoteReference"/>
        </w:rPr>
        <w:footnoteRef/>
      </w:r>
      <w:r>
        <w:t xml:space="preserve"> </w:t>
      </w:r>
      <w:hyperlink r:id="rId5" w:history="1">
        <w:r w:rsidRPr="005D228F">
          <w:rPr>
            <w:rStyle w:val="Hyperlink"/>
          </w:rPr>
          <w:t>SALARY TABLE 2025-DCB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38E08A5"/>
    <w:multiLevelType w:val="hybridMultilevel"/>
    <w:tmpl w:val="44526C8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84042516">
    <w:abstractNumId w:val="20"/>
  </w:num>
  <w:num w:numId="2" w16cid:durableId="398748202">
    <w:abstractNumId w:val="9"/>
  </w:num>
  <w:num w:numId="3" w16cid:durableId="58555128">
    <w:abstractNumId w:val="13"/>
  </w:num>
  <w:num w:numId="4" w16cid:durableId="1458525712">
    <w:abstractNumId w:val="1"/>
  </w:num>
  <w:num w:numId="5" w16cid:durableId="731537652">
    <w:abstractNumId w:val="26"/>
  </w:num>
  <w:num w:numId="6" w16cid:durableId="75439737">
    <w:abstractNumId w:val="30"/>
  </w:num>
  <w:num w:numId="7" w16cid:durableId="1245914885">
    <w:abstractNumId w:val="24"/>
  </w:num>
  <w:num w:numId="8" w16cid:durableId="106044882">
    <w:abstractNumId w:val="19"/>
  </w:num>
  <w:num w:numId="9" w16cid:durableId="1215240537">
    <w:abstractNumId w:val="0"/>
  </w:num>
  <w:num w:numId="10" w16cid:durableId="579869846">
    <w:abstractNumId w:val="12"/>
  </w:num>
  <w:num w:numId="11" w16cid:durableId="1432967881">
    <w:abstractNumId w:val="10"/>
  </w:num>
  <w:num w:numId="12" w16cid:durableId="1492528309">
    <w:abstractNumId w:val="21"/>
  </w:num>
  <w:num w:numId="13" w16cid:durableId="854615877">
    <w:abstractNumId w:val="7"/>
  </w:num>
  <w:num w:numId="14" w16cid:durableId="1701737431">
    <w:abstractNumId w:val="14"/>
  </w:num>
  <w:num w:numId="15" w16cid:durableId="647130855">
    <w:abstractNumId w:val="4"/>
  </w:num>
  <w:num w:numId="16" w16cid:durableId="1262953971">
    <w:abstractNumId w:val="28"/>
  </w:num>
  <w:num w:numId="17" w16cid:durableId="466167259">
    <w:abstractNumId w:val="16"/>
  </w:num>
  <w:num w:numId="18" w16cid:durableId="1820224817">
    <w:abstractNumId w:val="29"/>
  </w:num>
  <w:num w:numId="19" w16cid:durableId="1159342095">
    <w:abstractNumId w:val="23"/>
  </w:num>
  <w:num w:numId="20" w16cid:durableId="1220553741">
    <w:abstractNumId w:val="8"/>
  </w:num>
  <w:num w:numId="21" w16cid:durableId="1144856849">
    <w:abstractNumId w:val="27"/>
  </w:num>
  <w:num w:numId="22" w16cid:durableId="84303024">
    <w:abstractNumId w:val="2"/>
  </w:num>
  <w:num w:numId="23" w16cid:durableId="2035500041">
    <w:abstractNumId w:val="15"/>
  </w:num>
  <w:num w:numId="24" w16cid:durableId="2137868104">
    <w:abstractNumId w:val="3"/>
  </w:num>
  <w:num w:numId="25" w16cid:durableId="665401706">
    <w:abstractNumId w:val="25"/>
  </w:num>
  <w:num w:numId="26" w16cid:durableId="1883903081">
    <w:abstractNumId w:val="6"/>
  </w:num>
  <w:num w:numId="27" w16cid:durableId="918440115">
    <w:abstractNumId w:val="17"/>
  </w:num>
  <w:num w:numId="28" w16cid:durableId="190192333">
    <w:abstractNumId w:val="5"/>
  </w:num>
  <w:num w:numId="29" w16cid:durableId="14459272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8428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89663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20341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E6B"/>
    <w:rsid w:val="0000491F"/>
    <w:rsid w:val="00005417"/>
    <w:rsid w:val="00005518"/>
    <w:rsid w:val="00006557"/>
    <w:rsid w:val="000140C3"/>
    <w:rsid w:val="000149AE"/>
    <w:rsid w:val="000164C3"/>
    <w:rsid w:val="00016E21"/>
    <w:rsid w:val="00023965"/>
    <w:rsid w:val="00023B4C"/>
    <w:rsid w:val="0002498E"/>
    <w:rsid w:val="000257BC"/>
    <w:rsid w:val="00026F3E"/>
    <w:rsid w:val="00030AC1"/>
    <w:rsid w:val="0003126D"/>
    <w:rsid w:val="0003220D"/>
    <w:rsid w:val="0003501C"/>
    <w:rsid w:val="00036235"/>
    <w:rsid w:val="000411C0"/>
    <w:rsid w:val="00042FAC"/>
    <w:rsid w:val="0004462F"/>
    <w:rsid w:val="000462C2"/>
    <w:rsid w:val="00046E87"/>
    <w:rsid w:val="00050816"/>
    <w:rsid w:val="00053D0A"/>
    <w:rsid w:val="00054F80"/>
    <w:rsid w:val="000554CF"/>
    <w:rsid w:val="00056FFD"/>
    <w:rsid w:val="00060C91"/>
    <w:rsid w:val="00061FEB"/>
    <w:rsid w:val="000625F2"/>
    <w:rsid w:val="00064255"/>
    <w:rsid w:val="0006634E"/>
    <w:rsid w:val="000678B0"/>
    <w:rsid w:val="0007581A"/>
    <w:rsid w:val="00081C3A"/>
    <w:rsid w:val="00083EF0"/>
    <w:rsid w:val="00084787"/>
    <w:rsid w:val="000851CA"/>
    <w:rsid w:val="00090BD1"/>
    <w:rsid w:val="00091301"/>
    <w:rsid w:val="00091D45"/>
    <w:rsid w:val="00092540"/>
    <w:rsid w:val="0009357D"/>
    <w:rsid w:val="00093C96"/>
    <w:rsid w:val="000966A7"/>
    <w:rsid w:val="000971FC"/>
    <w:rsid w:val="00097374"/>
    <w:rsid w:val="00097472"/>
    <w:rsid w:val="00097623"/>
    <w:rsid w:val="000A5E65"/>
    <w:rsid w:val="000B09B0"/>
    <w:rsid w:val="000B3903"/>
    <w:rsid w:val="000B7F24"/>
    <w:rsid w:val="000C020F"/>
    <w:rsid w:val="000C351A"/>
    <w:rsid w:val="000C5E8A"/>
    <w:rsid w:val="000C60C1"/>
    <w:rsid w:val="000C6C83"/>
    <w:rsid w:val="000C7DF6"/>
    <w:rsid w:val="000D3375"/>
    <w:rsid w:val="000D4A96"/>
    <w:rsid w:val="000E0C51"/>
    <w:rsid w:val="000E2F3F"/>
    <w:rsid w:val="000E5530"/>
    <w:rsid w:val="000F0C87"/>
    <w:rsid w:val="000F1640"/>
    <w:rsid w:val="000F5303"/>
    <w:rsid w:val="000F5756"/>
    <w:rsid w:val="000F6567"/>
    <w:rsid w:val="00103A0C"/>
    <w:rsid w:val="00103C07"/>
    <w:rsid w:val="001053FE"/>
    <w:rsid w:val="001072DD"/>
    <w:rsid w:val="00107633"/>
    <w:rsid w:val="001116E7"/>
    <w:rsid w:val="00113ADB"/>
    <w:rsid w:val="00114468"/>
    <w:rsid w:val="00120ADD"/>
    <w:rsid w:val="00126D42"/>
    <w:rsid w:val="00127394"/>
    <w:rsid w:val="0013256A"/>
    <w:rsid w:val="001334C0"/>
    <w:rsid w:val="001426A8"/>
    <w:rsid w:val="001444B4"/>
    <w:rsid w:val="001455E4"/>
    <w:rsid w:val="00151AEA"/>
    <w:rsid w:val="00151BC8"/>
    <w:rsid w:val="00151F5F"/>
    <w:rsid w:val="001520A7"/>
    <w:rsid w:val="0016369C"/>
    <w:rsid w:val="00167B24"/>
    <w:rsid w:val="00171CAF"/>
    <w:rsid w:val="00175E9C"/>
    <w:rsid w:val="0018679A"/>
    <w:rsid w:val="00190E9A"/>
    <w:rsid w:val="00194F35"/>
    <w:rsid w:val="001960B7"/>
    <w:rsid w:val="00196DA7"/>
    <w:rsid w:val="0019725C"/>
    <w:rsid w:val="001A213E"/>
    <w:rsid w:val="001A7320"/>
    <w:rsid w:val="001B03E7"/>
    <w:rsid w:val="001B3193"/>
    <w:rsid w:val="001B4976"/>
    <w:rsid w:val="001B5D2C"/>
    <w:rsid w:val="001C70EE"/>
    <w:rsid w:val="001D08F5"/>
    <w:rsid w:val="001D7A5E"/>
    <w:rsid w:val="001E3368"/>
    <w:rsid w:val="001F1F35"/>
    <w:rsid w:val="001F4540"/>
    <w:rsid w:val="001F4BB1"/>
    <w:rsid w:val="001F5174"/>
    <w:rsid w:val="00200B1E"/>
    <w:rsid w:val="00206121"/>
    <w:rsid w:val="00206D73"/>
    <w:rsid w:val="002105EC"/>
    <w:rsid w:val="00211744"/>
    <w:rsid w:val="00211C5C"/>
    <w:rsid w:val="002135E7"/>
    <w:rsid w:val="00216EA2"/>
    <w:rsid w:val="00220C6C"/>
    <w:rsid w:val="0022212E"/>
    <w:rsid w:val="002230BA"/>
    <w:rsid w:val="00226AD3"/>
    <w:rsid w:val="00226E24"/>
    <w:rsid w:val="002319A5"/>
    <w:rsid w:val="00235CEA"/>
    <w:rsid w:val="00244F01"/>
    <w:rsid w:val="0025004D"/>
    <w:rsid w:val="00254DEF"/>
    <w:rsid w:val="0025713B"/>
    <w:rsid w:val="00257B5D"/>
    <w:rsid w:val="002623BD"/>
    <w:rsid w:val="00270D13"/>
    <w:rsid w:val="00272193"/>
    <w:rsid w:val="00280620"/>
    <w:rsid w:val="00280DC7"/>
    <w:rsid w:val="00283E87"/>
    <w:rsid w:val="00284099"/>
    <w:rsid w:val="00292FF0"/>
    <w:rsid w:val="002A1F4F"/>
    <w:rsid w:val="002A3308"/>
    <w:rsid w:val="002A3D4C"/>
    <w:rsid w:val="002A4151"/>
    <w:rsid w:val="002A6787"/>
    <w:rsid w:val="002B46A3"/>
    <w:rsid w:val="002B6BA9"/>
    <w:rsid w:val="002C3C07"/>
    <w:rsid w:val="002C3CE5"/>
    <w:rsid w:val="002C42F1"/>
    <w:rsid w:val="002C7FF3"/>
    <w:rsid w:val="002D1020"/>
    <w:rsid w:val="002D5D7F"/>
    <w:rsid w:val="002D650A"/>
    <w:rsid w:val="002D7409"/>
    <w:rsid w:val="002E54A5"/>
    <w:rsid w:val="002E7A58"/>
    <w:rsid w:val="002F14E6"/>
    <w:rsid w:val="002F3296"/>
    <w:rsid w:val="002F51BD"/>
    <w:rsid w:val="002F58A0"/>
    <w:rsid w:val="002F65C0"/>
    <w:rsid w:val="002F71C1"/>
    <w:rsid w:val="00301237"/>
    <w:rsid w:val="00302147"/>
    <w:rsid w:val="003027CB"/>
    <w:rsid w:val="00302A19"/>
    <w:rsid w:val="00321071"/>
    <w:rsid w:val="00321966"/>
    <w:rsid w:val="003249C8"/>
    <w:rsid w:val="00324B3C"/>
    <w:rsid w:val="003326C3"/>
    <w:rsid w:val="00334CB5"/>
    <w:rsid w:val="00335B06"/>
    <w:rsid w:val="00337A46"/>
    <w:rsid w:val="003467B7"/>
    <w:rsid w:val="00361CBE"/>
    <w:rsid w:val="003622F2"/>
    <w:rsid w:val="00366678"/>
    <w:rsid w:val="00366EE4"/>
    <w:rsid w:val="0036703A"/>
    <w:rsid w:val="00367F88"/>
    <w:rsid w:val="0037038A"/>
    <w:rsid w:val="00370492"/>
    <w:rsid w:val="003730AE"/>
    <w:rsid w:val="00376161"/>
    <w:rsid w:val="003810DC"/>
    <w:rsid w:val="0038144F"/>
    <w:rsid w:val="0038224F"/>
    <w:rsid w:val="00382CAF"/>
    <w:rsid w:val="0038345C"/>
    <w:rsid w:val="00390F87"/>
    <w:rsid w:val="003915B2"/>
    <w:rsid w:val="003937BC"/>
    <w:rsid w:val="003A0D2B"/>
    <w:rsid w:val="003A73AE"/>
    <w:rsid w:val="003B082E"/>
    <w:rsid w:val="003B0E85"/>
    <w:rsid w:val="003B3CFA"/>
    <w:rsid w:val="003B3FDC"/>
    <w:rsid w:val="003C1BED"/>
    <w:rsid w:val="003C2881"/>
    <w:rsid w:val="003D56AC"/>
    <w:rsid w:val="003D57B0"/>
    <w:rsid w:val="003D609F"/>
    <w:rsid w:val="003D7CD7"/>
    <w:rsid w:val="003E0518"/>
    <w:rsid w:val="003E64D2"/>
    <w:rsid w:val="003F5413"/>
    <w:rsid w:val="004120DB"/>
    <w:rsid w:val="004165AA"/>
    <w:rsid w:val="004177C5"/>
    <w:rsid w:val="00417CA0"/>
    <w:rsid w:val="00420004"/>
    <w:rsid w:val="0042168D"/>
    <w:rsid w:val="00424068"/>
    <w:rsid w:val="00432B3C"/>
    <w:rsid w:val="00436A3E"/>
    <w:rsid w:val="00436E5C"/>
    <w:rsid w:val="00440401"/>
    <w:rsid w:val="00442CC0"/>
    <w:rsid w:val="004457DA"/>
    <w:rsid w:val="00445D86"/>
    <w:rsid w:val="004531D2"/>
    <w:rsid w:val="0045417A"/>
    <w:rsid w:val="0045707D"/>
    <w:rsid w:val="004651DD"/>
    <w:rsid w:val="00467A7A"/>
    <w:rsid w:val="004761FB"/>
    <w:rsid w:val="00482B73"/>
    <w:rsid w:val="004856A6"/>
    <w:rsid w:val="00487A4A"/>
    <w:rsid w:val="00496B38"/>
    <w:rsid w:val="00497C2F"/>
    <w:rsid w:val="004A1EEC"/>
    <w:rsid w:val="004A42A6"/>
    <w:rsid w:val="004A465F"/>
    <w:rsid w:val="004A4E3D"/>
    <w:rsid w:val="004A7806"/>
    <w:rsid w:val="004A7CA5"/>
    <w:rsid w:val="004C0139"/>
    <w:rsid w:val="004C0BFC"/>
    <w:rsid w:val="004C2278"/>
    <w:rsid w:val="004C2E87"/>
    <w:rsid w:val="004C349A"/>
    <w:rsid w:val="004C593E"/>
    <w:rsid w:val="004E5A3D"/>
    <w:rsid w:val="004E5E82"/>
    <w:rsid w:val="004F1C4C"/>
    <w:rsid w:val="004F26A1"/>
    <w:rsid w:val="004F51B8"/>
    <w:rsid w:val="00500BED"/>
    <w:rsid w:val="00500D46"/>
    <w:rsid w:val="00503B9A"/>
    <w:rsid w:val="00503CED"/>
    <w:rsid w:val="00504015"/>
    <w:rsid w:val="00505E03"/>
    <w:rsid w:val="00507AD2"/>
    <w:rsid w:val="00510B5A"/>
    <w:rsid w:val="00510E83"/>
    <w:rsid w:val="00513978"/>
    <w:rsid w:val="00513C2B"/>
    <w:rsid w:val="0051478E"/>
    <w:rsid w:val="00516439"/>
    <w:rsid w:val="005177C0"/>
    <w:rsid w:val="005179D8"/>
    <w:rsid w:val="00520EBC"/>
    <w:rsid w:val="005271A4"/>
    <w:rsid w:val="0053064C"/>
    <w:rsid w:val="0053089F"/>
    <w:rsid w:val="00532889"/>
    <w:rsid w:val="00533EA0"/>
    <w:rsid w:val="00546EFB"/>
    <w:rsid w:val="00552665"/>
    <w:rsid w:val="00555E16"/>
    <w:rsid w:val="005571CD"/>
    <w:rsid w:val="00557BFF"/>
    <w:rsid w:val="00570C74"/>
    <w:rsid w:val="0057347F"/>
    <w:rsid w:val="00576DBC"/>
    <w:rsid w:val="0058055E"/>
    <w:rsid w:val="00581D52"/>
    <w:rsid w:val="00582FF2"/>
    <w:rsid w:val="00584E82"/>
    <w:rsid w:val="005879B5"/>
    <w:rsid w:val="00590F0B"/>
    <w:rsid w:val="00591A47"/>
    <w:rsid w:val="00591B88"/>
    <w:rsid w:val="00592CC8"/>
    <w:rsid w:val="005A0E51"/>
    <w:rsid w:val="005A6C3B"/>
    <w:rsid w:val="005A7224"/>
    <w:rsid w:val="005A74BD"/>
    <w:rsid w:val="005B0276"/>
    <w:rsid w:val="005B352A"/>
    <w:rsid w:val="005B35C0"/>
    <w:rsid w:val="005B38E9"/>
    <w:rsid w:val="005B4333"/>
    <w:rsid w:val="005B5B26"/>
    <w:rsid w:val="005C011A"/>
    <w:rsid w:val="005C0503"/>
    <w:rsid w:val="005C480E"/>
    <w:rsid w:val="005C6A9D"/>
    <w:rsid w:val="005C6BF4"/>
    <w:rsid w:val="005C6EC9"/>
    <w:rsid w:val="005D0B5E"/>
    <w:rsid w:val="005D228F"/>
    <w:rsid w:val="005D2AB9"/>
    <w:rsid w:val="005D2F31"/>
    <w:rsid w:val="005D705D"/>
    <w:rsid w:val="005D7326"/>
    <w:rsid w:val="005D77A5"/>
    <w:rsid w:val="005E1E94"/>
    <w:rsid w:val="005E436B"/>
    <w:rsid w:val="005E65F7"/>
    <w:rsid w:val="005F28B2"/>
    <w:rsid w:val="005F5B79"/>
    <w:rsid w:val="00606059"/>
    <w:rsid w:val="00606E0D"/>
    <w:rsid w:val="00607B87"/>
    <w:rsid w:val="00610950"/>
    <w:rsid w:val="00613491"/>
    <w:rsid w:val="006159CD"/>
    <w:rsid w:val="00616B3E"/>
    <w:rsid w:val="00630750"/>
    <w:rsid w:val="00636DA4"/>
    <w:rsid w:val="00640C71"/>
    <w:rsid w:val="0064116F"/>
    <w:rsid w:val="00646B83"/>
    <w:rsid w:val="006505E8"/>
    <w:rsid w:val="00657B98"/>
    <w:rsid w:val="006624E7"/>
    <w:rsid w:val="00663CD8"/>
    <w:rsid w:val="006642BF"/>
    <w:rsid w:val="006652C4"/>
    <w:rsid w:val="00665349"/>
    <w:rsid w:val="00672D99"/>
    <w:rsid w:val="00680B8E"/>
    <w:rsid w:val="00680BA0"/>
    <w:rsid w:val="00681D3E"/>
    <w:rsid w:val="00683A02"/>
    <w:rsid w:val="00683F7A"/>
    <w:rsid w:val="006906AC"/>
    <w:rsid w:val="00690837"/>
    <w:rsid w:val="00691EBA"/>
    <w:rsid w:val="00692D47"/>
    <w:rsid w:val="00693FCC"/>
    <w:rsid w:val="0069494A"/>
    <w:rsid w:val="006A5BDB"/>
    <w:rsid w:val="006C102B"/>
    <w:rsid w:val="006D2D21"/>
    <w:rsid w:val="006D3366"/>
    <w:rsid w:val="006D5C48"/>
    <w:rsid w:val="006D6784"/>
    <w:rsid w:val="006E15CA"/>
    <w:rsid w:val="006E3114"/>
    <w:rsid w:val="006E3DA6"/>
    <w:rsid w:val="006F073C"/>
    <w:rsid w:val="006F6A21"/>
    <w:rsid w:val="00700A54"/>
    <w:rsid w:val="007102AF"/>
    <w:rsid w:val="00715050"/>
    <w:rsid w:val="0071552E"/>
    <w:rsid w:val="0071578D"/>
    <w:rsid w:val="00716B3B"/>
    <w:rsid w:val="00716E57"/>
    <w:rsid w:val="00720548"/>
    <w:rsid w:val="007205C9"/>
    <w:rsid w:val="00723403"/>
    <w:rsid w:val="00730C41"/>
    <w:rsid w:val="007316DC"/>
    <w:rsid w:val="0073249E"/>
    <w:rsid w:val="00734DAC"/>
    <w:rsid w:val="00734E31"/>
    <w:rsid w:val="007354CE"/>
    <w:rsid w:val="007371AC"/>
    <w:rsid w:val="007426BC"/>
    <w:rsid w:val="0074607C"/>
    <w:rsid w:val="00746B56"/>
    <w:rsid w:val="00746CC2"/>
    <w:rsid w:val="00746D63"/>
    <w:rsid w:val="00754148"/>
    <w:rsid w:val="007605C9"/>
    <w:rsid w:val="00760837"/>
    <w:rsid w:val="00760B66"/>
    <w:rsid w:val="007637D8"/>
    <w:rsid w:val="00763B21"/>
    <w:rsid w:val="007755B8"/>
    <w:rsid w:val="007757BD"/>
    <w:rsid w:val="00777A0A"/>
    <w:rsid w:val="007859FD"/>
    <w:rsid w:val="00785ED8"/>
    <w:rsid w:val="00790021"/>
    <w:rsid w:val="00793D27"/>
    <w:rsid w:val="007A1E2B"/>
    <w:rsid w:val="007A4AFE"/>
    <w:rsid w:val="007A595B"/>
    <w:rsid w:val="007A6C07"/>
    <w:rsid w:val="007A7294"/>
    <w:rsid w:val="007A76E9"/>
    <w:rsid w:val="007A7FBD"/>
    <w:rsid w:val="007B1629"/>
    <w:rsid w:val="007B5B42"/>
    <w:rsid w:val="007B7E52"/>
    <w:rsid w:val="007C1471"/>
    <w:rsid w:val="007C7E2E"/>
    <w:rsid w:val="007C7FC4"/>
    <w:rsid w:val="007D0B7D"/>
    <w:rsid w:val="007D5005"/>
    <w:rsid w:val="007E01E4"/>
    <w:rsid w:val="007E2520"/>
    <w:rsid w:val="007E2714"/>
    <w:rsid w:val="007E3D1B"/>
    <w:rsid w:val="007E560E"/>
    <w:rsid w:val="007F09C2"/>
    <w:rsid w:val="007F4B93"/>
    <w:rsid w:val="007F58DB"/>
    <w:rsid w:val="008027EF"/>
    <w:rsid w:val="00810C87"/>
    <w:rsid w:val="00814982"/>
    <w:rsid w:val="00817492"/>
    <w:rsid w:val="008245A2"/>
    <w:rsid w:val="0082543F"/>
    <w:rsid w:val="00840E47"/>
    <w:rsid w:val="00842061"/>
    <w:rsid w:val="00842DC8"/>
    <w:rsid w:val="00844032"/>
    <w:rsid w:val="00854472"/>
    <w:rsid w:val="0085449C"/>
    <w:rsid w:val="00855E0B"/>
    <w:rsid w:val="00856834"/>
    <w:rsid w:val="0085782E"/>
    <w:rsid w:val="00857E23"/>
    <w:rsid w:val="00874E6A"/>
    <w:rsid w:val="00876EFC"/>
    <w:rsid w:val="00887030"/>
    <w:rsid w:val="008873DA"/>
    <w:rsid w:val="008909B1"/>
    <w:rsid w:val="008956B9"/>
    <w:rsid w:val="00895C6B"/>
    <w:rsid w:val="00896686"/>
    <w:rsid w:val="008A140E"/>
    <w:rsid w:val="008A1C7F"/>
    <w:rsid w:val="008B06F0"/>
    <w:rsid w:val="008B52EE"/>
    <w:rsid w:val="008B5F1F"/>
    <w:rsid w:val="008B71E6"/>
    <w:rsid w:val="008C4487"/>
    <w:rsid w:val="008C4C50"/>
    <w:rsid w:val="008D043B"/>
    <w:rsid w:val="008D0DFB"/>
    <w:rsid w:val="008D4B73"/>
    <w:rsid w:val="008D5990"/>
    <w:rsid w:val="008E263E"/>
    <w:rsid w:val="008E6A7C"/>
    <w:rsid w:val="008E7A5E"/>
    <w:rsid w:val="008F1CB1"/>
    <w:rsid w:val="008F2CFC"/>
    <w:rsid w:val="008F57CC"/>
    <w:rsid w:val="0090382E"/>
    <w:rsid w:val="00905BDB"/>
    <w:rsid w:val="0090629C"/>
    <w:rsid w:val="00906FCF"/>
    <w:rsid w:val="00914955"/>
    <w:rsid w:val="00915869"/>
    <w:rsid w:val="00915D3E"/>
    <w:rsid w:val="0092107C"/>
    <w:rsid w:val="009227B0"/>
    <w:rsid w:val="00923687"/>
    <w:rsid w:val="009277BA"/>
    <w:rsid w:val="009312F1"/>
    <w:rsid w:val="00935310"/>
    <w:rsid w:val="00936BBB"/>
    <w:rsid w:val="009429F2"/>
    <w:rsid w:val="00944404"/>
    <w:rsid w:val="009517CC"/>
    <w:rsid w:val="00951E89"/>
    <w:rsid w:val="00952ECE"/>
    <w:rsid w:val="00960321"/>
    <w:rsid w:val="00961571"/>
    <w:rsid w:val="009632A5"/>
    <w:rsid w:val="009634B0"/>
    <w:rsid w:val="00964080"/>
    <w:rsid w:val="009643BA"/>
    <w:rsid w:val="00964BB3"/>
    <w:rsid w:val="00971EE7"/>
    <w:rsid w:val="00972453"/>
    <w:rsid w:val="0098049A"/>
    <w:rsid w:val="00983A08"/>
    <w:rsid w:val="00984ACD"/>
    <w:rsid w:val="0099028E"/>
    <w:rsid w:val="00993A71"/>
    <w:rsid w:val="009945C8"/>
    <w:rsid w:val="009A264D"/>
    <w:rsid w:val="009B355C"/>
    <w:rsid w:val="009B4F6D"/>
    <w:rsid w:val="009B67FC"/>
    <w:rsid w:val="009B7620"/>
    <w:rsid w:val="009C0002"/>
    <w:rsid w:val="009C0672"/>
    <w:rsid w:val="009C1B1B"/>
    <w:rsid w:val="009C4E2F"/>
    <w:rsid w:val="009C52FF"/>
    <w:rsid w:val="009C683B"/>
    <w:rsid w:val="009C684D"/>
    <w:rsid w:val="009D0CEA"/>
    <w:rsid w:val="009D5FA0"/>
    <w:rsid w:val="009F0481"/>
    <w:rsid w:val="009F111F"/>
    <w:rsid w:val="009F3865"/>
    <w:rsid w:val="009F47DA"/>
    <w:rsid w:val="009F5DCE"/>
    <w:rsid w:val="00A006F2"/>
    <w:rsid w:val="00A059FD"/>
    <w:rsid w:val="00A10ED1"/>
    <w:rsid w:val="00A1148F"/>
    <w:rsid w:val="00A157D1"/>
    <w:rsid w:val="00A22035"/>
    <w:rsid w:val="00A22CA4"/>
    <w:rsid w:val="00A2402D"/>
    <w:rsid w:val="00A25543"/>
    <w:rsid w:val="00A3022D"/>
    <w:rsid w:val="00A326A0"/>
    <w:rsid w:val="00A36C7A"/>
    <w:rsid w:val="00A40B87"/>
    <w:rsid w:val="00A44858"/>
    <w:rsid w:val="00A50EA7"/>
    <w:rsid w:val="00A54F08"/>
    <w:rsid w:val="00A64E67"/>
    <w:rsid w:val="00A65B1F"/>
    <w:rsid w:val="00A65FB8"/>
    <w:rsid w:val="00A70D8C"/>
    <w:rsid w:val="00A71034"/>
    <w:rsid w:val="00A72BEE"/>
    <w:rsid w:val="00A74993"/>
    <w:rsid w:val="00A7690A"/>
    <w:rsid w:val="00A77674"/>
    <w:rsid w:val="00A81AEA"/>
    <w:rsid w:val="00A81D89"/>
    <w:rsid w:val="00A936AF"/>
    <w:rsid w:val="00A9765C"/>
    <w:rsid w:val="00AA3C9E"/>
    <w:rsid w:val="00AA496B"/>
    <w:rsid w:val="00AB123B"/>
    <w:rsid w:val="00AB2DB5"/>
    <w:rsid w:val="00AB4777"/>
    <w:rsid w:val="00AC35FF"/>
    <w:rsid w:val="00AC7066"/>
    <w:rsid w:val="00AD01CB"/>
    <w:rsid w:val="00AD394C"/>
    <w:rsid w:val="00AD68BF"/>
    <w:rsid w:val="00AD78A9"/>
    <w:rsid w:val="00AE1895"/>
    <w:rsid w:val="00AE4C7F"/>
    <w:rsid w:val="00AF22F9"/>
    <w:rsid w:val="00AF35E3"/>
    <w:rsid w:val="00B00F95"/>
    <w:rsid w:val="00B10E69"/>
    <w:rsid w:val="00B12552"/>
    <w:rsid w:val="00B12715"/>
    <w:rsid w:val="00B16F6D"/>
    <w:rsid w:val="00B17E78"/>
    <w:rsid w:val="00B20EE7"/>
    <w:rsid w:val="00B20F59"/>
    <w:rsid w:val="00B220B6"/>
    <w:rsid w:val="00B25D10"/>
    <w:rsid w:val="00B30452"/>
    <w:rsid w:val="00B31F69"/>
    <w:rsid w:val="00B32538"/>
    <w:rsid w:val="00B42B74"/>
    <w:rsid w:val="00B440C0"/>
    <w:rsid w:val="00B44D92"/>
    <w:rsid w:val="00B460D3"/>
    <w:rsid w:val="00B50997"/>
    <w:rsid w:val="00B53D0A"/>
    <w:rsid w:val="00B577A0"/>
    <w:rsid w:val="00B57F04"/>
    <w:rsid w:val="00B611AD"/>
    <w:rsid w:val="00B63F60"/>
    <w:rsid w:val="00B64E4B"/>
    <w:rsid w:val="00B66FE9"/>
    <w:rsid w:val="00B704A5"/>
    <w:rsid w:val="00B7390C"/>
    <w:rsid w:val="00B74378"/>
    <w:rsid w:val="00B747BF"/>
    <w:rsid w:val="00B74C24"/>
    <w:rsid w:val="00B75FBC"/>
    <w:rsid w:val="00B76572"/>
    <w:rsid w:val="00B81FEB"/>
    <w:rsid w:val="00B844AC"/>
    <w:rsid w:val="00B87726"/>
    <w:rsid w:val="00B87B7E"/>
    <w:rsid w:val="00B90BB3"/>
    <w:rsid w:val="00B951FC"/>
    <w:rsid w:val="00B96394"/>
    <w:rsid w:val="00BA2538"/>
    <w:rsid w:val="00BA3037"/>
    <w:rsid w:val="00BA38B3"/>
    <w:rsid w:val="00BA43D9"/>
    <w:rsid w:val="00BA5530"/>
    <w:rsid w:val="00BA62C2"/>
    <w:rsid w:val="00BA6C02"/>
    <w:rsid w:val="00BB3992"/>
    <w:rsid w:val="00BB3A07"/>
    <w:rsid w:val="00BB5AB7"/>
    <w:rsid w:val="00BB63D0"/>
    <w:rsid w:val="00BB7186"/>
    <w:rsid w:val="00BC3FF2"/>
    <w:rsid w:val="00BC4451"/>
    <w:rsid w:val="00BC47D6"/>
    <w:rsid w:val="00BC7077"/>
    <w:rsid w:val="00BD19EE"/>
    <w:rsid w:val="00BD37B8"/>
    <w:rsid w:val="00BD525D"/>
    <w:rsid w:val="00BD6FD9"/>
    <w:rsid w:val="00BE000E"/>
    <w:rsid w:val="00BE075A"/>
    <w:rsid w:val="00BE1B96"/>
    <w:rsid w:val="00BE5649"/>
    <w:rsid w:val="00BE696E"/>
    <w:rsid w:val="00BE73C7"/>
    <w:rsid w:val="00BF088B"/>
    <w:rsid w:val="00BF2D2E"/>
    <w:rsid w:val="00BF4167"/>
    <w:rsid w:val="00C01E62"/>
    <w:rsid w:val="00C04391"/>
    <w:rsid w:val="00C046F9"/>
    <w:rsid w:val="00C1151F"/>
    <w:rsid w:val="00C14965"/>
    <w:rsid w:val="00C14D4C"/>
    <w:rsid w:val="00C14F7D"/>
    <w:rsid w:val="00C165AD"/>
    <w:rsid w:val="00C16B77"/>
    <w:rsid w:val="00C22A24"/>
    <w:rsid w:val="00C25996"/>
    <w:rsid w:val="00C25CBE"/>
    <w:rsid w:val="00C3314C"/>
    <w:rsid w:val="00C344CC"/>
    <w:rsid w:val="00C34933"/>
    <w:rsid w:val="00C367B5"/>
    <w:rsid w:val="00C4082C"/>
    <w:rsid w:val="00C40D4A"/>
    <w:rsid w:val="00C411C5"/>
    <w:rsid w:val="00C425FB"/>
    <w:rsid w:val="00C43C67"/>
    <w:rsid w:val="00C4532D"/>
    <w:rsid w:val="00C52D02"/>
    <w:rsid w:val="00C53A38"/>
    <w:rsid w:val="00C57D92"/>
    <w:rsid w:val="00C60CD5"/>
    <w:rsid w:val="00C66FFD"/>
    <w:rsid w:val="00C73294"/>
    <w:rsid w:val="00C8284A"/>
    <w:rsid w:val="00C84FE6"/>
    <w:rsid w:val="00C858D7"/>
    <w:rsid w:val="00C861F3"/>
    <w:rsid w:val="00C91CF6"/>
    <w:rsid w:val="00C95E19"/>
    <w:rsid w:val="00C964BF"/>
    <w:rsid w:val="00CA06FC"/>
    <w:rsid w:val="00CA0CB5"/>
    <w:rsid w:val="00CA27B5"/>
    <w:rsid w:val="00CA2879"/>
    <w:rsid w:val="00CA39E9"/>
    <w:rsid w:val="00CA4531"/>
    <w:rsid w:val="00CA5FA3"/>
    <w:rsid w:val="00CB07D9"/>
    <w:rsid w:val="00CB0981"/>
    <w:rsid w:val="00CB46F1"/>
    <w:rsid w:val="00CC59BC"/>
    <w:rsid w:val="00CC716E"/>
    <w:rsid w:val="00CC7BE2"/>
    <w:rsid w:val="00CD0019"/>
    <w:rsid w:val="00CE4C81"/>
    <w:rsid w:val="00CE7C24"/>
    <w:rsid w:val="00CF2C1A"/>
    <w:rsid w:val="00CF52F1"/>
    <w:rsid w:val="00CF5AED"/>
    <w:rsid w:val="00D115B2"/>
    <w:rsid w:val="00D12649"/>
    <w:rsid w:val="00D12D51"/>
    <w:rsid w:val="00D15FA5"/>
    <w:rsid w:val="00D21623"/>
    <w:rsid w:val="00D22A96"/>
    <w:rsid w:val="00D249F1"/>
    <w:rsid w:val="00D25DD9"/>
    <w:rsid w:val="00D3303B"/>
    <w:rsid w:val="00D34672"/>
    <w:rsid w:val="00D34D42"/>
    <w:rsid w:val="00D37F82"/>
    <w:rsid w:val="00D479C8"/>
    <w:rsid w:val="00D5107E"/>
    <w:rsid w:val="00D52246"/>
    <w:rsid w:val="00D56E61"/>
    <w:rsid w:val="00D64982"/>
    <w:rsid w:val="00D65A12"/>
    <w:rsid w:val="00D65DA2"/>
    <w:rsid w:val="00D67EAB"/>
    <w:rsid w:val="00D71FF2"/>
    <w:rsid w:val="00D8199D"/>
    <w:rsid w:val="00D84FD7"/>
    <w:rsid w:val="00D9001B"/>
    <w:rsid w:val="00D94334"/>
    <w:rsid w:val="00D97F7E"/>
    <w:rsid w:val="00DA126C"/>
    <w:rsid w:val="00DA6A36"/>
    <w:rsid w:val="00DB6E44"/>
    <w:rsid w:val="00DC0F26"/>
    <w:rsid w:val="00DC16B4"/>
    <w:rsid w:val="00DC5080"/>
    <w:rsid w:val="00DC7AA3"/>
    <w:rsid w:val="00DD030E"/>
    <w:rsid w:val="00DD25D7"/>
    <w:rsid w:val="00DD367A"/>
    <w:rsid w:val="00DD5060"/>
    <w:rsid w:val="00DD6CEA"/>
    <w:rsid w:val="00DE78BB"/>
    <w:rsid w:val="00DF6EA9"/>
    <w:rsid w:val="00DF7938"/>
    <w:rsid w:val="00E10266"/>
    <w:rsid w:val="00E22479"/>
    <w:rsid w:val="00E2477E"/>
    <w:rsid w:val="00E2573D"/>
    <w:rsid w:val="00E27749"/>
    <w:rsid w:val="00E27D1B"/>
    <w:rsid w:val="00E311F3"/>
    <w:rsid w:val="00E35CAC"/>
    <w:rsid w:val="00E36282"/>
    <w:rsid w:val="00E41AF6"/>
    <w:rsid w:val="00E42BB3"/>
    <w:rsid w:val="00E45964"/>
    <w:rsid w:val="00E46A9F"/>
    <w:rsid w:val="00E53BA1"/>
    <w:rsid w:val="00E605A4"/>
    <w:rsid w:val="00E60A59"/>
    <w:rsid w:val="00E67FC7"/>
    <w:rsid w:val="00E70A33"/>
    <w:rsid w:val="00E71EDB"/>
    <w:rsid w:val="00E756B7"/>
    <w:rsid w:val="00E7756D"/>
    <w:rsid w:val="00E776F1"/>
    <w:rsid w:val="00E77C9D"/>
    <w:rsid w:val="00E83FAD"/>
    <w:rsid w:val="00E85DF8"/>
    <w:rsid w:val="00E87D3E"/>
    <w:rsid w:val="00E9165D"/>
    <w:rsid w:val="00E93E1D"/>
    <w:rsid w:val="00E9438C"/>
    <w:rsid w:val="00EA31D6"/>
    <w:rsid w:val="00EB0703"/>
    <w:rsid w:val="00EB2E61"/>
    <w:rsid w:val="00EB6F1B"/>
    <w:rsid w:val="00EC26EB"/>
    <w:rsid w:val="00EC5036"/>
    <w:rsid w:val="00EC6070"/>
    <w:rsid w:val="00EC6F1F"/>
    <w:rsid w:val="00EC7291"/>
    <w:rsid w:val="00EC742F"/>
    <w:rsid w:val="00EC7518"/>
    <w:rsid w:val="00ED2834"/>
    <w:rsid w:val="00EE38A0"/>
    <w:rsid w:val="00EE4CE8"/>
    <w:rsid w:val="00EE6C34"/>
    <w:rsid w:val="00F003D2"/>
    <w:rsid w:val="00F00D3E"/>
    <w:rsid w:val="00F02924"/>
    <w:rsid w:val="00F03A28"/>
    <w:rsid w:val="00F0437E"/>
    <w:rsid w:val="00F045A4"/>
    <w:rsid w:val="00F05A25"/>
    <w:rsid w:val="00F07B96"/>
    <w:rsid w:val="00F11369"/>
    <w:rsid w:val="00F12F45"/>
    <w:rsid w:val="00F143E8"/>
    <w:rsid w:val="00F15F70"/>
    <w:rsid w:val="00F16967"/>
    <w:rsid w:val="00F22D78"/>
    <w:rsid w:val="00F24554"/>
    <w:rsid w:val="00F2456E"/>
    <w:rsid w:val="00F26199"/>
    <w:rsid w:val="00F27C12"/>
    <w:rsid w:val="00F31048"/>
    <w:rsid w:val="00F315A2"/>
    <w:rsid w:val="00F328BE"/>
    <w:rsid w:val="00F35397"/>
    <w:rsid w:val="00F359F8"/>
    <w:rsid w:val="00F35E15"/>
    <w:rsid w:val="00F40485"/>
    <w:rsid w:val="00F4285C"/>
    <w:rsid w:val="00F440BA"/>
    <w:rsid w:val="00F45C98"/>
    <w:rsid w:val="00F47206"/>
    <w:rsid w:val="00F52B68"/>
    <w:rsid w:val="00F56608"/>
    <w:rsid w:val="00F567E6"/>
    <w:rsid w:val="00F605B7"/>
    <w:rsid w:val="00F63DCD"/>
    <w:rsid w:val="00F70641"/>
    <w:rsid w:val="00F75152"/>
    <w:rsid w:val="00F85221"/>
    <w:rsid w:val="00F86152"/>
    <w:rsid w:val="00F87073"/>
    <w:rsid w:val="00F92988"/>
    <w:rsid w:val="00F94031"/>
    <w:rsid w:val="00F95AB4"/>
    <w:rsid w:val="00F969CF"/>
    <w:rsid w:val="00FA133D"/>
    <w:rsid w:val="00FA229C"/>
    <w:rsid w:val="00FA38ED"/>
    <w:rsid w:val="00FA43D5"/>
    <w:rsid w:val="00FA6821"/>
    <w:rsid w:val="00FA79AB"/>
    <w:rsid w:val="00FB1D27"/>
    <w:rsid w:val="00FB205B"/>
    <w:rsid w:val="00FB21F9"/>
    <w:rsid w:val="00FB4255"/>
    <w:rsid w:val="00FB50C4"/>
    <w:rsid w:val="00FB591B"/>
    <w:rsid w:val="00FB5A10"/>
    <w:rsid w:val="00FB7D5B"/>
    <w:rsid w:val="00FC6330"/>
    <w:rsid w:val="00FC654E"/>
    <w:rsid w:val="00FD2BB1"/>
    <w:rsid w:val="00FD3291"/>
    <w:rsid w:val="00FD37C4"/>
    <w:rsid w:val="00FD5692"/>
    <w:rsid w:val="00FD5FBA"/>
    <w:rsid w:val="00FE15B9"/>
    <w:rsid w:val="00FF2221"/>
    <w:rsid w:val="00FF4440"/>
    <w:rsid w:val="00FF6B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41F6E1"/>
  <w15:docId w15:val="{45CD2E64-3D05-4DA1-9AC0-5A8DA5F4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011A"/>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link w:val="FootnoteTextChar"/>
    <w:uiPriority w:val="99"/>
    <w:rsid w:val="0082543F"/>
    <w:rPr>
      <w:sz w:val="20"/>
    </w:rPr>
  </w:style>
  <w:style w:type="character" w:styleId="FootnoteReference">
    <w:name w:val="footnote reference"/>
    <w:basedOn w:val="DefaultParagraphFont"/>
    <w:uiPriority w:val="99"/>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link w:val="ListParagraphChar"/>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iPriority w:val="99"/>
    <w:unhideWhenUsed/>
    <w:rsid w:val="008C4C50"/>
    <w:rPr>
      <w:sz w:val="20"/>
    </w:rPr>
  </w:style>
  <w:style w:type="character" w:customStyle="1" w:styleId="CommentTextChar">
    <w:name w:val="Comment Text Char"/>
    <w:basedOn w:val="DefaultParagraphFont"/>
    <w:link w:val="CommentText"/>
    <w:uiPriority w:val="99"/>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character" w:styleId="UnresolvedMention">
    <w:name w:val="Unresolved Mention"/>
    <w:basedOn w:val="DefaultParagraphFont"/>
    <w:uiPriority w:val="99"/>
    <w:semiHidden/>
    <w:unhideWhenUsed/>
    <w:rsid w:val="00C25CBE"/>
    <w:rPr>
      <w:color w:val="605E5C"/>
      <w:shd w:val="clear" w:color="auto" w:fill="E1DFDD"/>
    </w:rPr>
  </w:style>
  <w:style w:type="character" w:customStyle="1" w:styleId="ListParagraphChar">
    <w:name w:val="List Paragraph Char"/>
    <w:link w:val="ListParagraph"/>
    <w:uiPriority w:val="34"/>
    <w:locked/>
    <w:rsid w:val="009517CC"/>
    <w:rPr>
      <w:rFonts w:ascii="Tms Rmn" w:hAnsi="Tms Rmn"/>
      <w:sz w:val="24"/>
    </w:rPr>
  </w:style>
  <w:style w:type="character" w:customStyle="1" w:styleId="normaltextrun">
    <w:name w:val="normaltextrun"/>
    <w:basedOn w:val="DefaultParagraphFont"/>
    <w:rsid w:val="009517CC"/>
  </w:style>
  <w:style w:type="paragraph" w:styleId="BodyTextIndent2">
    <w:name w:val="Body Text Indent 2"/>
    <w:basedOn w:val="Normal"/>
    <w:link w:val="BodyTextIndent2Char"/>
    <w:semiHidden/>
    <w:unhideWhenUsed/>
    <w:rsid w:val="006E3114"/>
    <w:pPr>
      <w:spacing w:after="120" w:line="480" w:lineRule="auto"/>
      <w:ind w:left="360"/>
    </w:pPr>
  </w:style>
  <w:style w:type="character" w:customStyle="1" w:styleId="BodyTextIndent2Char">
    <w:name w:val="Body Text Indent 2 Char"/>
    <w:basedOn w:val="DefaultParagraphFont"/>
    <w:link w:val="BodyTextIndent2"/>
    <w:semiHidden/>
    <w:rsid w:val="006E3114"/>
    <w:rPr>
      <w:rFonts w:ascii="Tms Rmn" w:hAnsi="Tms Rmn"/>
      <w:sz w:val="24"/>
    </w:rPr>
  </w:style>
  <w:style w:type="character" w:customStyle="1" w:styleId="FootnoteTextChar">
    <w:name w:val="Footnote Text Char"/>
    <w:basedOn w:val="DefaultParagraphFont"/>
    <w:link w:val="FootnoteText"/>
    <w:uiPriority w:val="99"/>
    <w:rsid w:val="00896686"/>
    <w:rPr>
      <w:rFonts w:ascii="Tms Rmn" w:hAnsi="Tms Rmn"/>
    </w:rPr>
  </w:style>
  <w:style w:type="character" w:styleId="FollowedHyperlink">
    <w:name w:val="FollowedHyperlink"/>
    <w:basedOn w:val="DefaultParagraphFont"/>
    <w:semiHidden/>
    <w:unhideWhenUsed/>
    <w:rsid w:val="00AC7066"/>
    <w:rPr>
      <w:color w:val="800080" w:themeColor="followedHyperlink"/>
      <w:u w:val="single"/>
    </w:rPr>
  </w:style>
  <w:style w:type="paragraph" w:styleId="Revision">
    <w:name w:val="Revision"/>
    <w:hidden/>
    <w:uiPriority w:val="99"/>
    <w:semiHidden/>
    <w:rsid w:val="00B44D92"/>
    <w:rPr>
      <w:rFonts w:ascii="Tms Rmn" w:hAnsi="Tms Rm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sba.gov/about-sba/open-government/privacy-act/privacy-act-system-records-notices-sor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law.cornell.edu/uscode/text/15/631" TargetMode="External" /><Relationship Id="rId2" Type="http://schemas.openxmlformats.org/officeDocument/2006/relationships/hyperlink" Target="https://www.law.cornell.edu/uscode/text/15/638" TargetMode="External" /><Relationship Id="rId3" Type="http://schemas.openxmlformats.org/officeDocument/2006/relationships/hyperlink" Target="http://www.payscale.com/research/US/Job=Small_Business_Owner_%2F_Operator/Salary" TargetMode="External" /><Relationship Id="rId4" Type="http://schemas.openxmlformats.org/officeDocument/2006/relationships/hyperlink" Target="https://data.bls.gov/oes/" TargetMode="External" /><Relationship Id="rId5" Type="http://schemas.openxmlformats.org/officeDocument/2006/relationships/hyperlink" Target="https://www.opm.gov/policy-data-oversight/pay-leave/salaries-wages/salary-tables/pdf/2025/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9bf316-5665-49af-9694-7dc40a792f09">
      <Terms xmlns="http://schemas.microsoft.com/office/infopath/2007/PartnerControls"/>
    </lcf76f155ced4ddcb4097134ff3c332f>
    <TaxCatchAll xmlns="21d9e17f-67f8-4bae-834e-78e16fe8b5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F141EF98185A46A6465C8F1F94B42D" ma:contentTypeVersion="16" ma:contentTypeDescription="Create a new document." ma:contentTypeScope="" ma:versionID="8b8651c35d08da39c42c93a9997f1424">
  <xsd:schema xmlns:xsd="http://www.w3.org/2001/XMLSchema" xmlns:xs="http://www.w3.org/2001/XMLSchema" xmlns:p="http://schemas.microsoft.com/office/2006/metadata/properties" xmlns:ns2="7f9bf316-5665-49af-9694-7dc40a792f09" xmlns:ns3="21d9e17f-67f8-4bae-834e-78e16fe8b572" targetNamespace="http://schemas.microsoft.com/office/2006/metadata/properties" ma:root="true" ma:fieldsID="e19150e2c9c66ecdb76db904fe1da9d3" ns2:_="" ns3:_="">
    <xsd:import namespace="7f9bf316-5665-49af-9694-7dc40a792f09"/>
    <xsd:import namespace="21d9e17f-67f8-4bae-834e-78e16fe8b5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bf316-5665-49af-9694-7dc40a792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9e17f-67f8-4bae-834e-78e16fe8b5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fa392aa-da0a-4003-b073-f0e59364da7d}" ma:internalName="TaxCatchAll" ma:showField="CatchAllData" ma:web="21d9e17f-67f8-4bae-834e-78e16fe8b5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CBF5F-8494-4C90-A285-791D3C765325}">
  <ds:schemaRefs>
    <ds:schemaRef ds:uri="http://schemas.microsoft.com/office/2006/metadata/properties"/>
    <ds:schemaRef ds:uri="http://schemas.microsoft.com/office/infopath/2007/PartnerControls"/>
    <ds:schemaRef ds:uri="7f9bf316-5665-49af-9694-7dc40a792f09"/>
    <ds:schemaRef ds:uri="21d9e17f-67f8-4bae-834e-78e16fe8b572"/>
  </ds:schemaRefs>
</ds:datastoreItem>
</file>

<file path=customXml/itemProps2.xml><?xml version="1.0" encoding="utf-8"?>
<ds:datastoreItem xmlns:ds="http://schemas.openxmlformats.org/officeDocument/2006/customXml" ds:itemID="{EF4E8934-0024-4A09-9F59-648E72973B40}">
  <ds:schemaRefs>
    <ds:schemaRef ds:uri="http://schemas.microsoft.com/sharepoint/v3/contenttype/forms"/>
  </ds:schemaRefs>
</ds:datastoreItem>
</file>

<file path=customXml/itemProps3.xml><?xml version="1.0" encoding="utf-8"?>
<ds:datastoreItem xmlns:ds="http://schemas.openxmlformats.org/officeDocument/2006/customXml" ds:itemID="{1166A4D0-EB6D-45CE-A939-40B3FF033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bf316-5665-49af-9694-7dc40a792f09"/>
    <ds:schemaRef ds:uri="21d9e17f-67f8-4bae-834e-78e16fe8b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9EB488-0026-4CD2-9C11-F01AF8BC30A8}">
  <ds:schemaRefs>
    <ds:schemaRef ds:uri="http://schemas.openxmlformats.org/officeDocument/2006/bibliography"/>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205</TotalTime>
  <Pages>5</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Kruse, Rebecca A.</dc:creator>
  <cp:lastModifiedBy>Evans, Alison D.</cp:lastModifiedBy>
  <cp:revision>19</cp:revision>
  <dcterms:created xsi:type="dcterms:W3CDTF">2026-01-27T20:32:00Z</dcterms:created>
  <dcterms:modified xsi:type="dcterms:W3CDTF">2026-02-06T19:37:00Z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0x0101002CF141EF98185A46A6465C8F1F94B42D</vt:lpwstr>
  </property>
  <property fmtid="{D5CDD505-2E9C-101B-9397-08002B2CF9AE}" pid="3" name="MediaServiceImageTags">
    <vt:lpwstr/>
  </property>
</Properties>
</file>