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411E08" w:rsidP="003C0232" w14:paraId="785C5029" w14:textId="77777777">
      <w:pPr>
        <w:pStyle w:val="PlainText"/>
        <w:jc w:val="center"/>
        <w:rPr>
          <w:rFonts w:ascii="Times New Roman" w:hAnsi="Times New Roman" w:cs="Times New Roman"/>
          <w:sz w:val="24"/>
          <w:szCs w:val="24"/>
        </w:rPr>
      </w:pPr>
    </w:p>
    <w:p w:rsidR="00F34AD0" w:rsidP="003C0232" w14:paraId="2AD13278" w14:textId="77777777">
      <w:pPr>
        <w:pStyle w:val="PlainText"/>
        <w:jc w:val="center"/>
        <w:rPr>
          <w:rFonts w:ascii="Times New Roman" w:hAnsi="Times New Roman" w:cs="Times New Roman"/>
          <w:sz w:val="24"/>
          <w:szCs w:val="24"/>
        </w:rPr>
      </w:pPr>
    </w:p>
    <w:p w:rsidR="00F34AD0" w:rsidP="003C0232" w14:paraId="67585426" w14:textId="77777777">
      <w:pPr>
        <w:pStyle w:val="PlainText"/>
        <w:jc w:val="center"/>
        <w:rPr>
          <w:rFonts w:ascii="Times New Roman" w:hAnsi="Times New Roman" w:cs="Times New Roman"/>
          <w:sz w:val="24"/>
          <w:szCs w:val="24"/>
        </w:rPr>
      </w:pPr>
    </w:p>
    <w:p w:rsidR="00F34AD0" w:rsidP="003C0232" w14:paraId="3B79D53B" w14:textId="77777777">
      <w:pPr>
        <w:pStyle w:val="PlainText"/>
        <w:jc w:val="center"/>
        <w:rPr>
          <w:rFonts w:ascii="Times New Roman" w:hAnsi="Times New Roman" w:cs="Times New Roman"/>
          <w:sz w:val="24"/>
          <w:szCs w:val="24"/>
        </w:rPr>
      </w:pPr>
    </w:p>
    <w:p w:rsidR="00F34AD0" w:rsidP="003C0232" w14:paraId="37EEB2B5" w14:textId="77777777">
      <w:pPr>
        <w:pStyle w:val="PlainText"/>
        <w:jc w:val="center"/>
        <w:rPr>
          <w:rFonts w:ascii="Times New Roman" w:hAnsi="Times New Roman" w:cs="Times New Roman"/>
          <w:sz w:val="24"/>
          <w:szCs w:val="24"/>
        </w:rPr>
      </w:pPr>
    </w:p>
    <w:p w:rsidR="00F34AD0" w:rsidRPr="00101A29" w:rsidP="00F34AD0" w14:paraId="0B717D1B" w14:textId="77777777">
      <w:pPr>
        <w:pStyle w:val="Title"/>
        <w:rPr>
          <w:b/>
          <w:u w:val="single"/>
        </w:rPr>
      </w:pPr>
      <w:r w:rsidRPr="00101A29">
        <w:rPr>
          <w:b/>
          <w:u w:val="single"/>
        </w:rPr>
        <w:t>SUPPORTING STATEMENT</w:t>
      </w:r>
    </w:p>
    <w:p w:rsidR="00F34AD0" w:rsidRPr="00101A29" w:rsidP="00F34AD0" w14:paraId="1BD92118" w14:textId="77777777">
      <w:pPr>
        <w:jc w:val="center"/>
        <w:rPr>
          <w:b/>
          <w:u w:val="single"/>
        </w:rPr>
      </w:pPr>
      <w:r w:rsidRPr="00101A29">
        <w:rPr>
          <w:b/>
          <w:u w:val="single"/>
        </w:rPr>
        <w:t xml:space="preserve">for PART A </w:t>
      </w:r>
    </w:p>
    <w:p w:rsidR="00F34AD0" w:rsidRPr="00101A29" w:rsidP="00F34AD0" w14:paraId="73D7569B" w14:textId="77777777">
      <w:pPr>
        <w:jc w:val="center"/>
        <w:rPr>
          <w:b/>
          <w:u w:val="single"/>
        </w:rPr>
      </w:pPr>
    </w:p>
    <w:p w:rsidR="00F34AD0" w:rsidRPr="00101A29" w:rsidP="00F34AD0" w14:paraId="27225DB0" w14:textId="1BCC4B46">
      <w:pPr>
        <w:jc w:val="center"/>
        <w:rPr>
          <w:b/>
          <w:u w:val="single"/>
        </w:rPr>
      </w:pPr>
      <w:r w:rsidRPr="00101A29">
        <w:rPr>
          <w:b/>
          <w:u w:val="single"/>
          <w:lang w:val=""/>
        </w:rPr>
        <w:t xml:space="preserve">OMB Control </w:t>
      </w:r>
      <w:r w:rsidRPr="00101A29">
        <w:rPr>
          <w:b/>
          <w:u w:val="single"/>
        </w:rPr>
        <w:t>Number (0551–00</w:t>
      </w:r>
      <w:r>
        <w:rPr>
          <w:b/>
          <w:u w:val="single"/>
        </w:rPr>
        <w:t>15</w:t>
      </w:r>
      <w:r w:rsidRPr="00101A29">
        <w:rPr>
          <w:b/>
          <w:u w:val="single"/>
        </w:rPr>
        <w:t>)</w:t>
      </w:r>
    </w:p>
    <w:p w:rsidR="00F34AD0" w:rsidRPr="00101A29" w:rsidP="00F34AD0" w14:paraId="6C70F9A2" w14:textId="77777777">
      <w:pPr>
        <w:jc w:val="center"/>
        <w:rPr>
          <w:b/>
          <w:u w:val="single"/>
        </w:rPr>
      </w:pPr>
    </w:p>
    <w:p w:rsidR="00F34AD0" w:rsidRPr="00101A29" w:rsidP="00F34AD0" w14:paraId="4525ADBE" w14:textId="77777777">
      <w:pPr>
        <w:jc w:val="center"/>
        <w:rPr>
          <w:b/>
          <w:u w:val="single"/>
        </w:rPr>
      </w:pPr>
      <w:r w:rsidRPr="00101A29">
        <w:rPr>
          <w:b/>
          <w:u w:val="single"/>
        </w:rPr>
        <w:t>Title:</w:t>
      </w:r>
    </w:p>
    <w:p w:rsidR="00F34AD0" w:rsidRPr="00F34AD0" w:rsidP="00F34AD0" w14:paraId="31DC0B19" w14:textId="15403DEA">
      <w:pPr>
        <w:pStyle w:val="HTMLPreformatted"/>
        <w:tabs>
          <w:tab w:val="left" w:pos="90"/>
          <w:tab w:val="clear" w:pos="916"/>
        </w:tabs>
        <w:spacing w:line="480" w:lineRule="auto"/>
        <w:ind w:left="1440"/>
        <w:rPr>
          <w:rFonts w:ascii="Times New Roman" w:hAnsi="Times New Roman" w:cs="Times New Roman"/>
          <w:b/>
          <w:bCs/>
          <w:sz w:val="24"/>
          <w:szCs w:val="24"/>
          <w:u w:val="single"/>
        </w:rPr>
      </w:pPr>
      <w:r w:rsidRPr="00F34AD0">
        <w:rPr>
          <w:rFonts w:ascii="Times New Roman" w:hAnsi="Times New Roman" w:cs="Times New Roman"/>
          <w:b/>
          <w:bCs/>
          <w:sz w:val="24"/>
          <w:szCs w:val="24"/>
          <w:u w:val="single"/>
        </w:rPr>
        <w:t>Sugar Imported for Export as Refined Sugar or as Sugar-Containing                                         Products or used in the Production of Certain Polyhydric Alcohols.</w:t>
      </w:r>
    </w:p>
    <w:p w:rsidR="00F34AD0" w:rsidRPr="00101A29" w:rsidP="00F34AD0" w14:paraId="4A3488C0" w14:textId="77777777">
      <w:pPr>
        <w:jc w:val="center"/>
        <w:rPr>
          <w:b/>
          <w:u w:val="single"/>
        </w:rPr>
      </w:pPr>
    </w:p>
    <w:p w:rsidR="00F34AD0" w:rsidRPr="00101A29" w:rsidP="00F34AD0" w14:paraId="5C6F0125" w14:textId="77777777">
      <w:pPr>
        <w:jc w:val="center"/>
        <w:rPr>
          <w:b/>
          <w:u w:val="single"/>
        </w:rPr>
      </w:pPr>
      <w:r w:rsidRPr="00101A29">
        <w:rPr>
          <w:b/>
          <w:u w:val="single"/>
        </w:rPr>
        <w:t>ICR Author:</w:t>
      </w:r>
    </w:p>
    <w:p w:rsidR="00F34AD0" w:rsidRPr="00101A29" w:rsidP="00F34AD0" w14:paraId="298BC8A7" w14:textId="1C9CD4CD">
      <w:pPr>
        <w:jc w:val="center"/>
        <w:rPr>
          <w:b/>
          <w:u w:val="single"/>
        </w:rPr>
      </w:pPr>
      <w:r>
        <w:rPr>
          <w:b/>
          <w:u w:val="single"/>
        </w:rPr>
        <w:t>Sonya Wahi</w:t>
      </w:r>
      <w:r w:rsidR="003559EF">
        <w:rPr>
          <w:b/>
          <w:u w:val="single"/>
        </w:rPr>
        <w:t>-Miller</w:t>
      </w:r>
    </w:p>
    <w:p w:rsidR="00F34AD0" w:rsidRPr="00101A29" w:rsidP="00F34AD0" w14:paraId="729D6AD5" w14:textId="77777777">
      <w:pPr>
        <w:jc w:val="center"/>
        <w:rPr>
          <w:b/>
          <w:u w:val="single"/>
        </w:rPr>
      </w:pPr>
    </w:p>
    <w:p w:rsidR="00F34AD0" w:rsidRPr="00101A29" w:rsidP="00F34AD0" w14:paraId="1C18681D" w14:textId="77777777">
      <w:pPr>
        <w:jc w:val="center"/>
        <w:rPr>
          <w:b/>
          <w:u w:val="single"/>
        </w:rPr>
      </w:pPr>
      <w:r w:rsidRPr="00101A29">
        <w:rPr>
          <w:b/>
          <w:u w:val="single"/>
        </w:rPr>
        <w:t>USDA, Foreign Agricultural Service</w:t>
      </w:r>
    </w:p>
    <w:p w:rsidR="00F34AD0" w:rsidRPr="00101A29" w:rsidP="00F34AD0" w14:paraId="6F5EE864" w14:textId="77777777">
      <w:pPr>
        <w:jc w:val="center"/>
        <w:rPr>
          <w:b/>
          <w:u w:val="single"/>
        </w:rPr>
      </w:pPr>
    </w:p>
    <w:p w:rsidR="00F34AD0" w:rsidRPr="00101A29" w:rsidP="00F34AD0" w14:paraId="27062596" w14:textId="77777777">
      <w:pPr>
        <w:jc w:val="center"/>
        <w:rPr>
          <w:b/>
          <w:u w:val="single"/>
        </w:rPr>
      </w:pPr>
      <w:r w:rsidRPr="00101A29">
        <w:rPr>
          <w:b/>
          <w:u w:val="single"/>
        </w:rPr>
        <w:t>1400 Independence Ave, SW</w:t>
      </w:r>
    </w:p>
    <w:p w:rsidR="00F34AD0" w:rsidRPr="00101A29" w:rsidP="00F34AD0" w14:paraId="31DCBCA4" w14:textId="77777777">
      <w:pPr>
        <w:jc w:val="center"/>
        <w:rPr>
          <w:b/>
          <w:u w:val="single"/>
        </w:rPr>
      </w:pPr>
    </w:p>
    <w:p w:rsidR="00F34AD0" w:rsidRPr="00101A29" w:rsidP="00F34AD0" w14:paraId="7C3DAE8D" w14:textId="77777777">
      <w:pPr>
        <w:jc w:val="center"/>
        <w:rPr>
          <w:b/>
          <w:u w:val="single"/>
        </w:rPr>
      </w:pPr>
      <w:r w:rsidRPr="00101A29">
        <w:rPr>
          <w:b/>
          <w:u w:val="single"/>
        </w:rPr>
        <w:t>Washington, DC 20250</w:t>
      </w:r>
    </w:p>
    <w:p w:rsidR="00F34AD0" w:rsidP="003C0232" w14:paraId="5AEE3ED1" w14:textId="77777777">
      <w:pPr>
        <w:pStyle w:val="PlainText"/>
        <w:jc w:val="center"/>
        <w:rPr>
          <w:rFonts w:ascii="Times New Roman" w:hAnsi="Times New Roman" w:cs="Times New Roman"/>
          <w:sz w:val="24"/>
          <w:szCs w:val="24"/>
        </w:rPr>
      </w:pPr>
    </w:p>
    <w:p w:rsidR="00F34AD0" w:rsidP="003C0232" w14:paraId="18128856" w14:textId="77777777">
      <w:pPr>
        <w:pStyle w:val="PlainText"/>
        <w:jc w:val="center"/>
        <w:rPr>
          <w:rFonts w:ascii="Times New Roman" w:hAnsi="Times New Roman" w:cs="Times New Roman"/>
          <w:sz w:val="24"/>
          <w:szCs w:val="24"/>
        </w:rPr>
      </w:pPr>
    </w:p>
    <w:p w:rsidR="00F34AD0" w:rsidP="003C0232" w14:paraId="4FA393E0" w14:textId="77777777">
      <w:pPr>
        <w:pStyle w:val="PlainText"/>
        <w:jc w:val="center"/>
        <w:rPr>
          <w:rFonts w:ascii="Times New Roman" w:hAnsi="Times New Roman" w:cs="Times New Roman"/>
          <w:sz w:val="24"/>
          <w:szCs w:val="24"/>
        </w:rPr>
      </w:pPr>
    </w:p>
    <w:p w:rsidR="00F34AD0" w:rsidP="003C0232" w14:paraId="56D928FA" w14:textId="77777777">
      <w:pPr>
        <w:pStyle w:val="PlainText"/>
        <w:jc w:val="center"/>
        <w:rPr>
          <w:rFonts w:ascii="Times New Roman" w:hAnsi="Times New Roman" w:cs="Times New Roman"/>
          <w:sz w:val="24"/>
          <w:szCs w:val="24"/>
        </w:rPr>
      </w:pPr>
    </w:p>
    <w:p w:rsidR="00F34AD0" w:rsidP="003C0232" w14:paraId="52243CBC" w14:textId="77777777">
      <w:pPr>
        <w:pStyle w:val="PlainText"/>
        <w:jc w:val="center"/>
        <w:rPr>
          <w:rFonts w:ascii="Times New Roman" w:hAnsi="Times New Roman" w:cs="Times New Roman"/>
          <w:sz w:val="24"/>
          <w:szCs w:val="24"/>
        </w:rPr>
      </w:pPr>
    </w:p>
    <w:p w:rsidR="00F34AD0" w:rsidP="003C0232" w14:paraId="135FD198" w14:textId="77777777">
      <w:pPr>
        <w:pStyle w:val="PlainText"/>
        <w:jc w:val="center"/>
        <w:rPr>
          <w:rFonts w:ascii="Times New Roman" w:hAnsi="Times New Roman" w:cs="Times New Roman"/>
          <w:sz w:val="24"/>
          <w:szCs w:val="24"/>
        </w:rPr>
      </w:pPr>
    </w:p>
    <w:p w:rsidR="00F34AD0" w:rsidP="003C0232" w14:paraId="219CFC13" w14:textId="77777777">
      <w:pPr>
        <w:pStyle w:val="PlainText"/>
        <w:jc w:val="center"/>
        <w:rPr>
          <w:rFonts w:ascii="Times New Roman" w:hAnsi="Times New Roman" w:cs="Times New Roman"/>
          <w:sz w:val="24"/>
          <w:szCs w:val="24"/>
        </w:rPr>
      </w:pPr>
    </w:p>
    <w:p w:rsidR="00F34AD0" w:rsidP="003C0232" w14:paraId="0F15F90C" w14:textId="77777777">
      <w:pPr>
        <w:pStyle w:val="PlainText"/>
        <w:jc w:val="center"/>
        <w:rPr>
          <w:rFonts w:ascii="Times New Roman" w:hAnsi="Times New Roman" w:cs="Times New Roman"/>
          <w:sz w:val="24"/>
          <w:szCs w:val="24"/>
        </w:rPr>
      </w:pPr>
    </w:p>
    <w:p w:rsidR="00F34AD0" w:rsidP="003C0232" w14:paraId="7146260C" w14:textId="77777777">
      <w:pPr>
        <w:pStyle w:val="PlainText"/>
        <w:jc w:val="center"/>
        <w:rPr>
          <w:rFonts w:ascii="Times New Roman" w:hAnsi="Times New Roman" w:cs="Times New Roman"/>
          <w:sz w:val="24"/>
          <w:szCs w:val="24"/>
        </w:rPr>
      </w:pPr>
    </w:p>
    <w:p w:rsidR="00F34AD0" w:rsidP="003C0232" w14:paraId="31BF082B" w14:textId="77777777">
      <w:pPr>
        <w:pStyle w:val="PlainText"/>
        <w:jc w:val="center"/>
        <w:rPr>
          <w:rFonts w:ascii="Times New Roman" w:hAnsi="Times New Roman" w:cs="Times New Roman"/>
          <w:sz w:val="24"/>
          <w:szCs w:val="24"/>
        </w:rPr>
      </w:pPr>
    </w:p>
    <w:p w:rsidR="00F34AD0" w:rsidP="003C0232" w14:paraId="5EE89EDF" w14:textId="77777777">
      <w:pPr>
        <w:pStyle w:val="PlainText"/>
        <w:jc w:val="center"/>
        <w:rPr>
          <w:rFonts w:ascii="Times New Roman" w:hAnsi="Times New Roman" w:cs="Times New Roman"/>
          <w:sz w:val="24"/>
          <w:szCs w:val="24"/>
        </w:rPr>
      </w:pPr>
    </w:p>
    <w:p w:rsidR="00F34AD0" w:rsidP="003C0232" w14:paraId="00EA6A7F" w14:textId="77777777">
      <w:pPr>
        <w:pStyle w:val="PlainText"/>
        <w:jc w:val="center"/>
        <w:rPr>
          <w:rFonts w:ascii="Times New Roman" w:hAnsi="Times New Roman" w:cs="Times New Roman"/>
          <w:sz w:val="24"/>
          <w:szCs w:val="24"/>
        </w:rPr>
      </w:pPr>
    </w:p>
    <w:p w:rsidR="00F34AD0" w:rsidP="003C0232" w14:paraId="06C2C3FC" w14:textId="77777777">
      <w:pPr>
        <w:pStyle w:val="PlainText"/>
        <w:jc w:val="center"/>
        <w:rPr>
          <w:rFonts w:ascii="Times New Roman" w:hAnsi="Times New Roman" w:cs="Times New Roman"/>
          <w:sz w:val="24"/>
          <w:szCs w:val="24"/>
        </w:rPr>
      </w:pPr>
    </w:p>
    <w:p w:rsidR="00F34AD0" w:rsidP="003C0232" w14:paraId="0E84DE26" w14:textId="77777777">
      <w:pPr>
        <w:pStyle w:val="PlainText"/>
        <w:jc w:val="center"/>
        <w:rPr>
          <w:rFonts w:ascii="Times New Roman" w:hAnsi="Times New Roman" w:cs="Times New Roman"/>
          <w:sz w:val="24"/>
          <w:szCs w:val="24"/>
        </w:rPr>
      </w:pPr>
    </w:p>
    <w:p w:rsidR="00F34AD0" w:rsidP="003C0232" w14:paraId="4EFEF82B" w14:textId="77777777">
      <w:pPr>
        <w:pStyle w:val="PlainText"/>
        <w:jc w:val="center"/>
        <w:rPr>
          <w:rFonts w:ascii="Times New Roman" w:hAnsi="Times New Roman" w:cs="Times New Roman"/>
          <w:sz w:val="24"/>
          <w:szCs w:val="24"/>
        </w:rPr>
      </w:pPr>
    </w:p>
    <w:p w:rsidR="00F34AD0" w:rsidP="003C0232" w14:paraId="1AB0AA5A" w14:textId="77777777">
      <w:pPr>
        <w:pStyle w:val="PlainText"/>
        <w:jc w:val="center"/>
        <w:rPr>
          <w:rFonts w:ascii="Times New Roman" w:hAnsi="Times New Roman" w:cs="Times New Roman"/>
          <w:sz w:val="24"/>
          <w:szCs w:val="24"/>
        </w:rPr>
      </w:pPr>
    </w:p>
    <w:p w:rsidR="00F34AD0" w:rsidP="003C0232" w14:paraId="0F1C5197" w14:textId="77777777">
      <w:pPr>
        <w:pStyle w:val="PlainText"/>
        <w:jc w:val="center"/>
        <w:rPr>
          <w:rFonts w:ascii="Times New Roman" w:hAnsi="Times New Roman" w:cs="Times New Roman"/>
          <w:sz w:val="24"/>
          <w:szCs w:val="24"/>
        </w:rPr>
      </w:pPr>
    </w:p>
    <w:p w:rsidR="00F34AD0" w:rsidP="003C0232" w14:paraId="6AFC59B4" w14:textId="77777777">
      <w:pPr>
        <w:pStyle w:val="PlainText"/>
        <w:jc w:val="center"/>
        <w:rPr>
          <w:rFonts w:ascii="Times New Roman" w:hAnsi="Times New Roman" w:cs="Times New Roman"/>
          <w:sz w:val="24"/>
          <w:szCs w:val="24"/>
        </w:rPr>
      </w:pPr>
    </w:p>
    <w:p w:rsidR="00F34AD0" w:rsidP="003C0232" w14:paraId="17A7A652" w14:textId="77777777">
      <w:pPr>
        <w:pStyle w:val="PlainText"/>
        <w:jc w:val="center"/>
        <w:rPr>
          <w:rFonts w:ascii="Times New Roman" w:hAnsi="Times New Roman" w:cs="Times New Roman"/>
          <w:sz w:val="24"/>
          <w:szCs w:val="24"/>
        </w:rPr>
      </w:pPr>
    </w:p>
    <w:p w:rsidR="00F34AD0" w:rsidP="003C0232" w14:paraId="5BC2B78B" w14:textId="77777777">
      <w:pPr>
        <w:pStyle w:val="PlainText"/>
        <w:jc w:val="center"/>
        <w:rPr>
          <w:rFonts w:ascii="Times New Roman" w:hAnsi="Times New Roman" w:cs="Times New Roman"/>
          <w:sz w:val="24"/>
          <w:szCs w:val="24"/>
        </w:rPr>
      </w:pPr>
    </w:p>
    <w:p w:rsidR="00F34AD0" w:rsidP="003C0232" w14:paraId="50E3A356" w14:textId="77777777">
      <w:pPr>
        <w:pStyle w:val="PlainText"/>
        <w:jc w:val="center"/>
        <w:rPr>
          <w:rFonts w:ascii="Times New Roman" w:hAnsi="Times New Roman" w:cs="Times New Roman"/>
          <w:sz w:val="24"/>
          <w:szCs w:val="24"/>
        </w:rPr>
      </w:pPr>
    </w:p>
    <w:p w:rsidR="00F34AD0" w:rsidP="003C0232" w14:paraId="784F6FD8" w14:textId="77777777">
      <w:pPr>
        <w:pStyle w:val="PlainText"/>
        <w:jc w:val="center"/>
        <w:rPr>
          <w:rFonts w:ascii="Times New Roman" w:hAnsi="Times New Roman" w:cs="Times New Roman"/>
          <w:sz w:val="24"/>
          <w:szCs w:val="24"/>
        </w:rPr>
      </w:pPr>
    </w:p>
    <w:p w:rsidR="00F34AD0" w:rsidP="003C0232" w14:paraId="224BAC38" w14:textId="77777777">
      <w:pPr>
        <w:pStyle w:val="PlainText"/>
        <w:jc w:val="center"/>
        <w:rPr>
          <w:rFonts w:ascii="Times New Roman" w:hAnsi="Times New Roman" w:cs="Times New Roman"/>
          <w:sz w:val="24"/>
          <w:szCs w:val="24"/>
        </w:rPr>
      </w:pPr>
    </w:p>
    <w:p w:rsidR="00F34AD0" w:rsidP="003C0232" w14:paraId="327A92E7" w14:textId="77777777">
      <w:pPr>
        <w:pStyle w:val="PlainText"/>
        <w:jc w:val="center"/>
        <w:rPr>
          <w:rFonts w:ascii="Times New Roman" w:hAnsi="Times New Roman" w:cs="Times New Roman"/>
          <w:sz w:val="24"/>
          <w:szCs w:val="24"/>
        </w:rPr>
      </w:pPr>
    </w:p>
    <w:p w:rsidR="00F34AD0" w:rsidP="003C0232" w14:paraId="12CB7BAA" w14:textId="77777777">
      <w:pPr>
        <w:pStyle w:val="PlainText"/>
        <w:jc w:val="center"/>
        <w:rPr>
          <w:rFonts w:ascii="Times New Roman" w:hAnsi="Times New Roman" w:cs="Times New Roman"/>
          <w:sz w:val="24"/>
          <w:szCs w:val="24"/>
        </w:rPr>
      </w:pPr>
    </w:p>
    <w:p w:rsidR="00F34AD0" w:rsidP="003C0232" w14:paraId="4CE244DD" w14:textId="77777777">
      <w:pPr>
        <w:pStyle w:val="PlainText"/>
        <w:jc w:val="center"/>
        <w:rPr>
          <w:rFonts w:ascii="Times New Roman" w:hAnsi="Times New Roman" w:cs="Times New Roman"/>
          <w:sz w:val="24"/>
          <w:szCs w:val="24"/>
        </w:rPr>
      </w:pPr>
    </w:p>
    <w:p w:rsidR="00F34AD0" w:rsidP="003C0232" w14:paraId="71455241" w14:textId="77777777">
      <w:pPr>
        <w:pStyle w:val="PlainText"/>
        <w:jc w:val="center"/>
        <w:rPr>
          <w:rFonts w:ascii="Times New Roman" w:hAnsi="Times New Roman" w:cs="Times New Roman"/>
          <w:sz w:val="24"/>
          <w:szCs w:val="24"/>
        </w:rPr>
      </w:pPr>
    </w:p>
    <w:p w:rsidR="00052711" w:rsidRPr="00D4158F" w:rsidP="003C0232" w14:paraId="087C3E2B" w14:textId="17A212C2">
      <w:pPr>
        <w:pStyle w:val="PlainText"/>
        <w:jc w:val="center"/>
        <w:rPr>
          <w:rFonts w:ascii="Times New Roman" w:hAnsi="Times New Roman" w:cs="Times New Roman"/>
          <w:b/>
          <w:sz w:val="24"/>
          <w:szCs w:val="24"/>
          <w:u w:val="single"/>
        </w:rPr>
      </w:pPr>
      <w:r w:rsidRPr="00D4158F">
        <w:rPr>
          <w:rFonts w:ascii="Times New Roman" w:hAnsi="Times New Roman" w:cs="Times New Roman"/>
          <w:b/>
          <w:sz w:val="24"/>
          <w:szCs w:val="24"/>
          <w:u w:val="single"/>
        </w:rPr>
        <w:t>20</w:t>
      </w:r>
      <w:r w:rsidR="003559EF">
        <w:rPr>
          <w:rFonts w:ascii="Times New Roman" w:hAnsi="Times New Roman" w:cs="Times New Roman"/>
          <w:b/>
          <w:sz w:val="24"/>
          <w:szCs w:val="24"/>
          <w:u w:val="single"/>
        </w:rPr>
        <w:t>25</w:t>
      </w:r>
      <w:r w:rsidRPr="00D4158F">
        <w:rPr>
          <w:rFonts w:ascii="Times New Roman" w:hAnsi="Times New Roman" w:cs="Times New Roman"/>
          <w:b/>
          <w:sz w:val="24"/>
          <w:szCs w:val="24"/>
          <w:u w:val="single"/>
        </w:rPr>
        <w:t xml:space="preserve"> </w:t>
      </w:r>
      <w:r w:rsidRPr="00D4158F">
        <w:rPr>
          <w:rFonts w:ascii="Times New Roman" w:hAnsi="Times New Roman" w:cs="Times New Roman"/>
          <w:b/>
          <w:sz w:val="24"/>
          <w:szCs w:val="24"/>
          <w:u w:val="single"/>
        </w:rPr>
        <w:t>SUPPORTING STATEMENT</w:t>
      </w:r>
    </w:p>
    <w:p w:rsidR="00052711" w:rsidRPr="004D3481" w:rsidP="003C0232" w14:paraId="2169A21C" w14:textId="4D496292">
      <w:pPr>
        <w:pStyle w:val="PlainText"/>
        <w:jc w:val="center"/>
        <w:rPr>
          <w:rFonts w:ascii="Times New Roman" w:hAnsi="Times New Roman" w:cs="Times New Roman"/>
          <w:sz w:val="24"/>
          <w:szCs w:val="24"/>
        </w:rPr>
      </w:pPr>
      <w:r w:rsidRPr="004D3481">
        <w:rPr>
          <w:rFonts w:ascii="Times New Roman" w:hAnsi="Times New Roman" w:cs="Times New Roman"/>
          <w:sz w:val="24"/>
          <w:szCs w:val="24"/>
        </w:rPr>
        <w:t>Sugar Imported for Export as Refined Sugar, as Sugar-Containing Product</w:t>
      </w:r>
      <w:r w:rsidR="00B179AB">
        <w:rPr>
          <w:rFonts w:ascii="Times New Roman" w:hAnsi="Times New Roman" w:cs="Times New Roman"/>
          <w:sz w:val="24"/>
          <w:szCs w:val="24"/>
        </w:rPr>
        <w:t>s</w:t>
      </w:r>
      <w:r w:rsidRPr="004D3481">
        <w:rPr>
          <w:rFonts w:ascii="Times New Roman" w:hAnsi="Times New Roman" w:cs="Times New Roman"/>
          <w:sz w:val="24"/>
          <w:szCs w:val="24"/>
        </w:rPr>
        <w:t>, or Used in the Production of Certain Polyhydric Alcohols</w:t>
      </w:r>
    </w:p>
    <w:p w:rsidR="00052711" w:rsidRPr="004D3481" w:rsidP="003C0232" w14:paraId="6C7CBF45" w14:textId="77777777">
      <w:pPr>
        <w:pStyle w:val="PlainText"/>
        <w:rPr>
          <w:rFonts w:ascii="Times New Roman" w:hAnsi="Times New Roman" w:cs="Times New Roman"/>
          <w:sz w:val="24"/>
          <w:szCs w:val="24"/>
        </w:rPr>
      </w:pPr>
    </w:p>
    <w:p w:rsidR="00052711" w:rsidRPr="00E83C20" w:rsidP="003C0232" w14:paraId="08C2B5A0"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1.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52711" w:rsidRPr="004D3481" w:rsidP="003C0232" w14:paraId="30BE82D5" w14:textId="77777777">
      <w:pPr>
        <w:pStyle w:val="PlainText"/>
        <w:rPr>
          <w:rFonts w:ascii="Times New Roman" w:hAnsi="Times New Roman" w:cs="Times New Roman"/>
          <w:sz w:val="24"/>
          <w:szCs w:val="24"/>
        </w:rPr>
      </w:pPr>
    </w:p>
    <w:p w:rsidR="00052711" w:rsidRPr="004D3481" w:rsidP="003C0232" w14:paraId="17ADF8B4" w14:textId="159DA8D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t xml:space="preserve">This </w:t>
      </w:r>
      <w:r w:rsidR="009478B0">
        <w:t>collection is an extension</w:t>
      </w:r>
      <w:r w:rsidRPr="009478B0" w:rsidR="009478B0">
        <w:t>, without change, of a previously approved collection for which approval has expired</w:t>
      </w:r>
      <w:r>
        <w:t xml:space="preserve">. </w:t>
      </w:r>
      <w:r w:rsidRPr="004D3481">
        <w:t>The</w:t>
      </w:r>
      <w:r>
        <w:t xml:space="preserve"> </w:t>
      </w:r>
      <w:r>
        <w:t>r</w:t>
      </w:r>
      <w:r w:rsidRPr="004D3481">
        <w:t xml:space="preserve">egulation at 7 </w:t>
      </w:r>
      <w:r w:rsidR="00666C00">
        <w:t xml:space="preserve">CFR 1530 </w:t>
      </w:r>
      <w:r w:rsidRPr="004D3481">
        <w:t>authorizes the Foreign Agricultural Service</w:t>
      </w:r>
      <w:r>
        <w:t xml:space="preserve"> (FAS) </w:t>
      </w:r>
      <w:r w:rsidRPr="004D3481">
        <w:t>to issue import licenses to enter raw cane sugar exempt from the tariff-rate quota (TRQ) for raw cane sugar imports and related requirements on the condition that an equivalent quantity of refined sugar be</w:t>
      </w:r>
      <w:r w:rsidRPr="004D3481" w:rsidR="00AE3221">
        <w:t xml:space="preserve">: </w:t>
      </w:r>
      <w:r w:rsidR="00AE3221">
        <w:t>(</w:t>
      </w:r>
      <w:r w:rsidRPr="004D3481">
        <w:t xml:space="preserve">1) exported as refined sugar; (2) exported as an ingredient in </w:t>
      </w:r>
      <w:r w:rsidR="00A712E7">
        <w:t>sugar-</w:t>
      </w:r>
      <w:r w:rsidR="00D93598">
        <w:t xml:space="preserve">containing </w:t>
      </w:r>
      <w:r w:rsidRPr="004D3481" w:rsidR="00D93598">
        <w:t>products</w:t>
      </w:r>
      <w:r w:rsidRPr="004D3481">
        <w:t xml:space="preserve">; or (3) used in production of certain polyhydric alcohols.  The information requirements set forth in the </w:t>
      </w:r>
      <w:r>
        <w:t>re</w:t>
      </w:r>
      <w:r w:rsidRPr="004D3481">
        <w:t xml:space="preserve">gulation are necessary to enable FAS to administer the licensing </w:t>
      </w:r>
      <w:r>
        <w:t>p</w:t>
      </w:r>
      <w:r w:rsidRPr="004D3481">
        <w:t xml:space="preserve">rogram in full compliance with the </w:t>
      </w:r>
      <w:r>
        <w:t>r</w:t>
      </w:r>
      <w:r w:rsidRPr="004D3481">
        <w:t xml:space="preserve">egulation and to ensure that licensed imports do not enter the commercial sugar market in circumvention of the TRQ for raw cane sugar.  This </w:t>
      </w:r>
      <w:r>
        <w:t>r</w:t>
      </w:r>
      <w:r w:rsidRPr="004D3481">
        <w:t xml:space="preserve">egulation, which amended the previous </w:t>
      </w:r>
      <w:r>
        <w:t>r</w:t>
      </w:r>
      <w:r w:rsidRPr="004D3481">
        <w:t xml:space="preserve">egulation, became effective February 12, 1999. </w:t>
      </w:r>
      <w:r w:rsidR="00340F48">
        <w:t>(Attachment 1)</w:t>
      </w:r>
    </w:p>
    <w:p w:rsidR="00052711" w:rsidRPr="004D3481" w:rsidP="003C0232" w14:paraId="082AC445" w14:textId="77777777">
      <w:pPr>
        <w:pStyle w:val="PlainText"/>
        <w:rPr>
          <w:rFonts w:ascii="Times New Roman" w:hAnsi="Times New Roman" w:cs="Times New Roman"/>
          <w:sz w:val="24"/>
          <w:szCs w:val="24"/>
        </w:rPr>
      </w:pPr>
    </w:p>
    <w:p w:rsidR="00052711" w:rsidRPr="004D3481" w:rsidP="003C0232" w14:paraId="6BB84B5A" w14:textId="77777777">
      <w:pPr>
        <w:pStyle w:val="PlainText"/>
        <w:rPr>
          <w:rFonts w:ascii="Times New Roman" w:hAnsi="Times New Roman" w:cs="Times New Roman"/>
          <w:i/>
          <w:sz w:val="24"/>
          <w:szCs w:val="24"/>
        </w:rPr>
      </w:pPr>
      <w:r w:rsidRPr="00344992">
        <w:rPr>
          <w:rFonts w:ascii="Times New Roman" w:hAnsi="Times New Roman" w:cs="Times New Roman"/>
          <w:i/>
          <w:sz w:val="24"/>
          <w:szCs w:val="24"/>
          <w:u w:val="single"/>
        </w:rPr>
        <w:t>Legal Authority</w:t>
      </w:r>
      <w:r>
        <w:rPr>
          <w:rFonts w:ascii="Times New Roman" w:hAnsi="Times New Roman" w:cs="Times New Roman"/>
          <w:i/>
          <w:sz w:val="24"/>
          <w:szCs w:val="24"/>
          <w:u w:val="single"/>
        </w:rPr>
        <w:t>:</w:t>
      </w:r>
      <w:r w:rsidRPr="00344992">
        <w:rPr>
          <w:rFonts w:ascii="Times New Roman" w:hAnsi="Times New Roman" w:cs="Times New Roman"/>
          <w:i/>
          <w:sz w:val="24"/>
          <w:szCs w:val="24"/>
        </w:rPr>
        <w:t xml:space="preserve"> </w:t>
      </w:r>
      <w:r w:rsidR="00D23139">
        <w:rPr>
          <w:rFonts w:ascii="Times New Roman" w:hAnsi="Times New Roman" w:cs="Times New Roman"/>
          <w:i/>
          <w:sz w:val="24"/>
          <w:szCs w:val="24"/>
        </w:rPr>
        <w:t xml:space="preserve"> </w:t>
      </w:r>
      <w:r w:rsidRPr="004D3481">
        <w:rPr>
          <w:rFonts w:ascii="Times New Roman" w:hAnsi="Times New Roman" w:cs="Times New Roman"/>
          <w:i/>
          <w:sz w:val="24"/>
          <w:szCs w:val="24"/>
        </w:rPr>
        <w:t>Presidential Proclamation 6763 amended the Harmonized Tariff Schedule of the United States (HTS) to add Additional U.S. Note 6 to chapter 17 which states:</w:t>
      </w:r>
    </w:p>
    <w:p w:rsidR="00052711" w:rsidRPr="004D3481" w:rsidP="003C0232" w14:paraId="182FB60E" w14:textId="77777777">
      <w:pPr>
        <w:pStyle w:val="PlainText"/>
        <w:rPr>
          <w:rFonts w:ascii="Times New Roman" w:hAnsi="Times New Roman" w:cs="Times New Roman"/>
          <w:sz w:val="24"/>
          <w:szCs w:val="24"/>
        </w:rPr>
      </w:pPr>
    </w:p>
    <w:p w:rsidR="00052711" w:rsidRPr="004D3481" w:rsidP="00344992" w14:paraId="79680263" w14:textId="36CC46AA">
      <w:pPr>
        <w:pStyle w:val="PlainText"/>
        <w:ind w:left="432"/>
        <w:rPr>
          <w:rFonts w:ascii="Times New Roman" w:hAnsi="Times New Roman" w:cs="Times New Roman"/>
          <w:sz w:val="24"/>
          <w:szCs w:val="24"/>
        </w:rPr>
      </w:pPr>
      <w:r w:rsidRPr="004D3481">
        <w:rPr>
          <w:rFonts w:ascii="Times New Roman" w:hAnsi="Times New Roman" w:cs="Times New Roman"/>
          <w:sz w:val="24"/>
          <w:szCs w:val="24"/>
        </w:rPr>
        <w:t>Raw cane sugar classifiable in subheading</w:t>
      </w:r>
      <w:r w:rsidR="00CF518E">
        <w:rPr>
          <w:rFonts w:ascii="Times New Roman" w:hAnsi="Times New Roman" w:cs="Times New Roman"/>
          <w:sz w:val="24"/>
          <w:szCs w:val="24"/>
        </w:rPr>
        <w:t>s</w:t>
      </w:r>
      <w:r w:rsidRPr="004D3481">
        <w:rPr>
          <w:rFonts w:ascii="Times New Roman" w:hAnsi="Times New Roman" w:cs="Times New Roman"/>
          <w:sz w:val="24"/>
          <w:szCs w:val="24"/>
        </w:rPr>
        <w:t xml:space="preserve"> 1701.1</w:t>
      </w:r>
      <w:r w:rsidR="00CF518E">
        <w:rPr>
          <w:rFonts w:ascii="Times New Roman" w:hAnsi="Times New Roman" w:cs="Times New Roman"/>
          <w:sz w:val="24"/>
          <w:szCs w:val="24"/>
        </w:rPr>
        <w:t>3</w:t>
      </w:r>
      <w:r w:rsidRPr="004D3481">
        <w:rPr>
          <w:rFonts w:ascii="Times New Roman" w:hAnsi="Times New Roman" w:cs="Times New Roman"/>
          <w:sz w:val="24"/>
          <w:szCs w:val="24"/>
        </w:rPr>
        <w:t>.20</w:t>
      </w:r>
      <w:r w:rsidR="00CF518E">
        <w:rPr>
          <w:rFonts w:ascii="Times New Roman" w:hAnsi="Times New Roman" w:cs="Times New Roman"/>
          <w:sz w:val="24"/>
          <w:szCs w:val="24"/>
        </w:rPr>
        <w:t xml:space="preserve"> and 1701.14.</w:t>
      </w:r>
      <w:r w:rsidR="00FB3F1C">
        <w:rPr>
          <w:rFonts w:ascii="Times New Roman" w:hAnsi="Times New Roman" w:cs="Times New Roman"/>
          <w:sz w:val="24"/>
          <w:szCs w:val="24"/>
        </w:rPr>
        <w:t>2</w:t>
      </w:r>
      <w:r w:rsidR="00CF518E">
        <w:rPr>
          <w:rFonts w:ascii="Times New Roman" w:hAnsi="Times New Roman" w:cs="Times New Roman"/>
          <w:sz w:val="24"/>
          <w:szCs w:val="24"/>
        </w:rPr>
        <w:t>0</w:t>
      </w:r>
      <w:r w:rsidRPr="004D3481">
        <w:rPr>
          <w:rFonts w:ascii="Times New Roman" w:hAnsi="Times New Roman" w:cs="Times New Roman"/>
          <w:sz w:val="24"/>
          <w:szCs w:val="24"/>
        </w:rPr>
        <w:t xml:space="preserve"> shall be entered only to be used for the production (other than by distillation) of polyhydric alcohols, except polyhydric alcohols as a substitute for sugar in human food consumption, or to be refined and re-exported in refined form or in sugar-containing products, or to be substituted for domestically produced raw cane sugar that has been or will be exported.</w:t>
      </w:r>
      <w:r w:rsidRPr="00CF518E" w:rsidR="00CF518E">
        <w:t xml:space="preserve"> </w:t>
      </w:r>
      <w:r w:rsidRPr="00CF518E" w:rsidR="00CF518E">
        <w:rPr>
          <w:rFonts w:ascii="Times New Roman" w:hAnsi="Times New Roman" w:cs="Times New Roman"/>
          <w:sz w:val="24"/>
          <w:szCs w:val="24"/>
        </w:rPr>
        <w:t>(</w:t>
      </w:r>
      <w:r w:rsidRPr="007602D0" w:rsidR="00027B4B">
        <w:rPr>
          <w:rFonts w:ascii="Times New Roman" w:hAnsi="Times New Roman" w:cs="Times New Roman"/>
          <w:sz w:val="24"/>
          <w:szCs w:val="24"/>
        </w:rPr>
        <w:t xml:space="preserve">See pages 2, 4, and 5 of </w:t>
      </w:r>
      <w:r w:rsidRPr="007602D0" w:rsidR="00CF518E">
        <w:rPr>
          <w:rFonts w:ascii="Times New Roman" w:hAnsi="Times New Roman" w:cs="Times New Roman"/>
          <w:sz w:val="24"/>
          <w:szCs w:val="24"/>
        </w:rPr>
        <w:t>Attachment 2</w:t>
      </w:r>
      <w:r w:rsidRPr="007602D0" w:rsidR="00027B4B">
        <w:rPr>
          <w:rFonts w:ascii="Times New Roman" w:hAnsi="Times New Roman" w:cs="Times New Roman"/>
          <w:sz w:val="24"/>
          <w:szCs w:val="24"/>
        </w:rPr>
        <w:t>.</w:t>
      </w:r>
      <w:r w:rsidRPr="004B7419" w:rsidR="00CF518E">
        <w:rPr>
          <w:rFonts w:ascii="Times New Roman" w:hAnsi="Times New Roman" w:cs="Times New Roman"/>
          <w:sz w:val="24"/>
          <w:szCs w:val="24"/>
        </w:rPr>
        <w:t>)</w:t>
      </w:r>
      <w:r w:rsidRPr="004D3481">
        <w:rPr>
          <w:rFonts w:ascii="Times New Roman" w:hAnsi="Times New Roman" w:cs="Times New Roman"/>
          <w:sz w:val="24"/>
          <w:szCs w:val="24"/>
        </w:rPr>
        <w:t xml:space="preserve">  The Secretary of Agriculture may issue licenses for such entries and may promulgate such regulations (including any terms, conditions, certifications, bonds, civil penalties, or other limitations) as appropriate to </w:t>
      </w:r>
      <w:r w:rsidR="00450AD4">
        <w:rPr>
          <w:rFonts w:ascii="Times New Roman" w:hAnsi="Times New Roman" w:cs="Times New Roman"/>
          <w:sz w:val="24"/>
          <w:szCs w:val="24"/>
        </w:rPr>
        <w:t>e</w:t>
      </w:r>
      <w:r w:rsidRPr="004D3481">
        <w:rPr>
          <w:rFonts w:ascii="Times New Roman" w:hAnsi="Times New Roman" w:cs="Times New Roman"/>
          <w:sz w:val="24"/>
          <w:szCs w:val="24"/>
        </w:rPr>
        <w:t>nsure that sugar entered under subheading</w:t>
      </w:r>
      <w:r w:rsidR="00CF518E">
        <w:rPr>
          <w:rFonts w:ascii="Times New Roman" w:hAnsi="Times New Roman" w:cs="Times New Roman"/>
          <w:sz w:val="24"/>
          <w:szCs w:val="24"/>
        </w:rPr>
        <w:t>s</w:t>
      </w:r>
      <w:r w:rsidRPr="004D3481">
        <w:rPr>
          <w:rFonts w:ascii="Times New Roman" w:hAnsi="Times New Roman" w:cs="Times New Roman"/>
          <w:sz w:val="24"/>
          <w:szCs w:val="24"/>
        </w:rPr>
        <w:t xml:space="preserve"> </w:t>
      </w:r>
      <w:r w:rsidRPr="00CF518E" w:rsidR="00CF518E">
        <w:rPr>
          <w:rFonts w:ascii="Times New Roman" w:hAnsi="Times New Roman" w:cs="Times New Roman"/>
          <w:sz w:val="24"/>
          <w:szCs w:val="24"/>
        </w:rPr>
        <w:t>1701.13.20 and 1701.14.</w:t>
      </w:r>
      <w:r w:rsidR="00FB3F1C">
        <w:rPr>
          <w:rFonts w:ascii="Times New Roman" w:hAnsi="Times New Roman" w:cs="Times New Roman"/>
          <w:sz w:val="24"/>
          <w:szCs w:val="24"/>
        </w:rPr>
        <w:t>2</w:t>
      </w:r>
      <w:r w:rsidRPr="00CF518E" w:rsidR="00CF518E">
        <w:rPr>
          <w:rFonts w:ascii="Times New Roman" w:hAnsi="Times New Roman" w:cs="Times New Roman"/>
          <w:sz w:val="24"/>
          <w:szCs w:val="24"/>
        </w:rPr>
        <w:t>0</w:t>
      </w:r>
      <w:r w:rsidR="00CF518E">
        <w:rPr>
          <w:rFonts w:ascii="Times New Roman" w:hAnsi="Times New Roman" w:cs="Times New Roman"/>
          <w:sz w:val="24"/>
          <w:szCs w:val="24"/>
        </w:rPr>
        <w:t xml:space="preserve"> </w:t>
      </w:r>
      <w:r w:rsidRPr="004D3481">
        <w:rPr>
          <w:rFonts w:ascii="Times New Roman" w:hAnsi="Times New Roman" w:cs="Times New Roman"/>
          <w:sz w:val="24"/>
          <w:szCs w:val="24"/>
        </w:rPr>
        <w:t>is used only for such purposes.</w:t>
      </w:r>
      <w:r w:rsidR="00961896">
        <w:rPr>
          <w:rFonts w:ascii="Times New Roman" w:hAnsi="Times New Roman" w:cs="Times New Roman"/>
          <w:sz w:val="24"/>
          <w:szCs w:val="24"/>
        </w:rPr>
        <w:t xml:space="preserve"> </w:t>
      </w:r>
      <w:r w:rsidRPr="00961896" w:rsidR="00961896">
        <w:rPr>
          <w:rFonts w:ascii="Times New Roman" w:hAnsi="Times New Roman" w:cs="Times New Roman"/>
          <w:sz w:val="24"/>
          <w:szCs w:val="24"/>
        </w:rPr>
        <w:t>(</w:t>
      </w:r>
      <w:r w:rsidR="00D042A5">
        <w:rPr>
          <w:rFonts w:ascii="Times New Roman" w:hAnsi="Times New Roman" w:cs="Times New Roman"/>
          <w:sz w:val="24"/>
          <w:szCs w:val="24"/>
        </w:rPr>
        <w:t xml:space="preserve">See page 4 of Presidential Proclamation 6763 in </w:t>
      </w:r>
      <w:r w:rsidRPr="00961896" w:rsidR="00961896">
        <w:rPr>
          <w:rFonts w:ascii="Times New Roman" w:hAnsi="Times New Roman" w:cs="Times New Roman"/>
          <w:sz w:val="24"/>
          <w:szCs w:val="24"/>
        </w:rPr>
        <w:t xml:space="preserve">Attachment </w:t>
      </w:r>
      <w:r w:rsidRPr="007602D0" w:rsidR="00CF518E">
        <w:rPr>
          <w:rFonts w:ascii="Times New Roman" w:hAnsi="Times New Roman" w:cs="Times New Roman"/>
          <w:sz w:val="24"/>
          <w:szCs w:val="24"/>
        </w:rPr>
        <w:t>3</w:t>
      </w:r>
      <w:r w:rsidR="00D042A5">
        <w:rPr>
          <w:rFonts w:ascii="Times New Roman" w:hAnsi="Times New Roman" w:cs="Times New Roman"/>
          <w:sz w:val="24"/>
          <w:szCs w:val="24"/>
        </w:rPr>
        <w:t>.</w:t>
      </w:r>
      <w:r w:rsidRPr="00961896" w:rsidR="00961896">
        <w:rPr>
          <w:rFonts w:ascii="Times New Roman" w:hAnsi="Times New Roman" w:cs="Times New Roman"/>
          <w:sz w:val="24"/>
          <w:szCs w:val="24"/>
        </w:rPr>
        <w:t>)</w:t>
      </w:r>
    </w:p>
    <w:p w:rsidR="00052711" w:rsidRPr="004D3481" w:rsidP="003C0232" w14:paraId="26307EDC" w14:textId="77777777">
      <w:pPr>
        <w:pStyle w:val="PlainText"/>
        <w:rPr>
          <w:rFonts w:ascii="Times New Roman" w:hAnsi="Times New Roman" w:cs="Times New Roman"/>
          <w:sz w:val="24"/>
          <w:szCs w:val="24"/>
        </w:rPr>
      </w:pPr>
    </w:p>
    <w:p w:rsidR="00052711" w:rsidRPr="00E83C20" w:rsidP="003C0232" w14:paraId="2D7F912B"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2.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Indicate how, by whom and for what purpose the information is to be used.  Except for a new collection, indicate the actual use the agency had made of the information received from the current collection.</w:t>
      </w:r>
    </w:p>
    <w:p w:rsidR="00052711" w:rsidRPr="004D3481" w:rsidP="003C0232" w14:paraId="11F0F0E5" w14:textId="77777777">
      <w:pPr>
        <w:pStyle w:val="PlainText"/>
        <w:rPr>
          <w:rFonts w:ascii="Times New Roman" w:hAnsi="Times New Roman" w:cs="Times New Roman"/>
          <w:sz w:val="24"/>
          <w:szCs w:val="24"/>
        </w:rPr>
      </w:pPr>
    </w:p>
    <w:p w:rsidR="00052711" w:rsidRPr="004D3481" w:rsidP="003C0232" w14:paraId="63564599" w14:textId="6D36382A">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Sugar Import Licensing Program</w:t>
      </w:r>
      <w:r w:rsidRPr="004D3481">
        <w:rPr>
          <w:rFonts w:ascii="Times New Roman" w:hAnsi="Times New Roman" w:cs="Times New Roman"/>
          <w:sz w:val="24"/>
          <w:szCs w:val="24"/>
        </w:rPr>
        <w:t xml:space="preserve"> is intended to: (1) assist U.S. sugar manufacturers, refiners, and processors in making U.S. products price competitive on the world market and (2) facilitate the use of domestic refining capacity.</w:t>
      </w:r>
    </w:p>
    <w:p w:rsidR="00052711" w:rsidRPr="004D3481" w:rsidP="003C0232" w14:paraId="7FB8F890" w14:textId="77777777">
      <w:pPr>
        <w:pStyle w:val="PlainText"/>
        <w:rPr>
          <w:rFonts w:ascii="Times New Roman" w:hAnsi="Times New Roman" w:cs="Times New Roman"/>
          <w:sz w:val="24"/>
          <w:szCs w:val="24"/>
        </w:rPr>
      </w:pPr>
    </w:p>
    <w:p w:rsidR="00DF3538" w:rsidRPr="004D3481" w:rsidP="00DF3538" w14:paraId="03CE2B81"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Refined Sugar Re-Export Program</w:t>
      </w:r>
      <w:r w:rsidRPr="004D3481">
        <w:rPr>
          <w:rFonts w:ascii="Times New Roman" w:hAnsi="Times New Roman" w:cs="Times New Roman"/>
          <w:sz w:val="24"/>
          <w:szCs w:val="24"/>
        </w:rPr>
        <w:t xml:space="preserve"> is designed to facilitate use of domestic refining capacity to export refined sugar to the world market.  The Program establishes licenses for sugar refiners, which may import raw sugar, refine it, and export it to the world market.  The Program operates to mitigate the imposition of sugar import restrictions, which reduce the quantity of raw sugar allowed to enter the U.S. domestic market.</w:t>
      </w:r>
    </w:p>
    <w:p w:rsidR="00DF3538" w:rsidP="003C0232" w14:paraId="0A41DDAF" w14:textId="77777777">
      <w:pPr>
        <w:pStyle w:val="PlainText"/>
        <w:rPr>
          <w:rFonts w:ascii="Times New Roman" w:hAnsi="Times New Roman" w:cs="Times New Roman"/>
          <w:sz w:val="24"/>
          <w:szCs w:val="24"/>
        </w:rPr>
      </w:pPr>
    </w:p>
    <w:p w:rsidR="00DF3538" w:rsidP="003C0232" w14:paraId="74E290EA" w14:textId="77777777">
      <w:pPr>
        <w:pStyle w:val="PlainText"/>
        <w:rPr>
          <w:rFonts w:ascii="Times New Roman" w:hAnsi="Times New Roman" w:cs="Times New Roman"/>
          <w:sz w:val="24"/>
          <w:szCs w:val="24"/>
        </w:rPr>
      </w:pPr>
    </w:p>
    <w:p w:rsidR="00052711" w:rsidRPr="004D3481" w:rsidP="003C0232" w14:paraId="7624A16C" w14:textId="795CB6ED">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Sugar-Containing Products Re-Export Program</w:t>
      </w:r>
      <w:r w:rsidRPr="004D3481">
        <w:rPr>
          <w:rFonts w:ascii="Times New Roman" w:hAnsi="Times New Roman" w:cs="Times New Roman"/>
          <w:sz w:val="24"/>
          <w:szCs w:val="24"/>
        </w:rPr>
        <w:t xml:space="preserve"> is designed to put U.S. manufacturers of sugar-containing products on a level playing field in the world market.  U.S. participants in the sugar-containing products re-export </w:t>
      </w:r>
      <w:r>
        <w:rPr>
          <w:rFonts w:ascii="Times New Roman" w:hAnsi="Times New Roman" w:cs="Times New Roman"/>
          <w:sz w:val="24"/>
          <w:szCs w:val="24"/>
        </w:rPr>
        <w:t>p</w:t>
      </w:r>
      <w:r w:rsidRPr="004D3481">
        <w:rPr>
          <w:rFonts w:ascii="Times New Roman" w:hAnsi="Times New Roman" w:cs="Times New Roman"/>
          <w:sz w:val="24"/>
          <w:szCs w:val="24"/>
        </w:rPr>
        <w:t>rogram may buy world-priced sugar from any of the refiner participants or their agents for use in products to be exported into the world market.</w:t>
      </w:r>
    </w:p>
    <w:p w:rsidR="00052711" w:rsidRPr="004D3481" w:rsidP="003C0232" w14:paraId="32A2A602" w14:textId="77777777">
      <w:pPr>
        <w:pStyle w:val="PlainText"/>
        <w:rPr>
          <w:rFonts w:ascii="Times New Roman" w:hAnsi="Times New Roman" w:cs="Times New Roman"/>
          <w:sz w:val="24"/>
          <w:szCs w:val="24"/>
        </w:rPr>
      </w:pPr>
    </w:p>
    <w:p w:rsidR="00052711" w:rsidRPr="004D3481" w:rsidP="003C0232" w14:paraId="24C759D1"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Polyhydric Alcohol Program</w:t>
      </w:r>
      <w:r w:rsidRPr="004D3481">
        <w:rPr>
          <w:rFonts w:ascii="Times New Roman" w:hAnsi="Times New Roman" w:cs="Times New Roman"/>
          <w:sz w:val="24"/>
          <w:szCs w:val="24"/>
        </w:rPr>
        <w:t xml:space="preserve"> functions to provide world-priced sugar to U.S. manufacturers of polyhydric alcohols.  Participating U.S. manufacturers purchase world-priced sugar from licensed refiners or their agents for use in the production of polyhydric alcohols, except polyhydric alcohols substituting for sugar in human food consumption.</w:t>
      </w:r>
    </w:p>
    <w:p w:rsidR="00052711" w:rsidRPr="004D3481" w:rsidP="003C0232" w14:paraId="0ECD7E85" w14:textId="77777777">
      <w:pPr>
        <w:pStyle w:val="PlainText"/>
        <w:rPr>
          <w:rFonts w:ascii="Times New Roman" w:hAnsi="Times New Roman" w:cs="Times New Roman"/>
          <w:sz w:val="24"/>
          <w:szCs w:val="24"/>
        </w:rPr>
      </w:pPr>
    </w:p>
    <w:p w:rsidR="00052711" w:rsidRPr="004D3481" w:rsidP="003C0232" w14:paraId="7C7B74C0" w14:textId="3DB11A80">
      <w:pPr>
        <w:pStyle w:val="PlainText"/>
        <w:rPr>
          <w:rFonts w:ascii="Times New Roman" w:hAnsi="Times New Roman" w:cs="Times New Roman"/>
          <w:sz w:val="24"/>
          <w:szCs w:val="24"/>
        </w:rPr>
      </w:pPr>
      <w:r w:rsidRPr="004D3481">
        <w:rPr>
          <w:rFonts w:ascii="Times New Roman" w:hAnsi="Times New Roman" w:cs="Times New Roman"/>
          <w:sz w:val="24"/>
          <w:szCs w:val="24"/>
        </w:rPr>
        <w:t>This information collection fulfills four</w:t>
      </w:r>
      <w:r w:rsidR="00D61F8A">
        <w:rPr>
          <w:rFonts w:ascii="Times New Roman" w:hAnsi="Times New Roman" w:cs="Times New Roman"/>
          <w:sz w:val="24"/>
          <w:szCs w:val="24"/>
        </w:rPr>
        <w:t xml:space="preserve"> inter-related</w:t>
      </w:r>
      <w:r w:rsidRPr="004D3481">
        <w:rPr>
          <w:rFonts w:ascii="Times New Roman" w:hAnsi="Times New Roman" w:cs="Times New Roman"/>
          <w:sz w:val="24"/>
          <w:szCs w:val="24"/>
        </w:rPr>
        <w:t xml:space="preserve"> functions</w:t>
      </w:r>
      <w:r>
        <w:rPr>
          <w:rFonts w:ascii="Times New Roman" w:hAnsi="Times New Roman" w:cs="Times New Roman"/>
          <w:sz w:val="24"/>
          <w:szCs w:val="24"/>
        </w:rPr>
        <w:t xml:space="preserve">: </w:t>
      </w:r>
      <w:r w:rsidR="002B05E1">
        <w:rPr>
          <w:rFonts w:ascii="Times New Roman" w:hAnsi="Times New Roman" w:cs="Times New Roman"/>
          <w:sz w:val="24"/>
          <w:szCs w:val="24"/>
        </w:rPr>
        <w:t xml:space="preserve"> </w:t>
      </w:r>
      <w:r>
        <w:rPr>
          <w:rFonts w:ascii="Times New Roman" w:hAnsi="Times New Roman" w:cs="Times New Roman"/>
          <w:sz w:val="24"/>
          <w:szCs w:val="24"/>
        </w:rPr>
        <w:t>(1)</w:t>
      </w:r>
      <w:r w:rsidRPr="004D3481">
        <w:rPr>
          <w:rFonts w:ascii="Times New Roman" w:hAnsi="Times New Roman" w:cs="Times New Roman"/>
          <w:sz w:val="24"/>
          <w:szCs w:val="24"/>
        </w:rPr>
        <w:t xml:space="preserve"> it allows FAS to determine whether applicants for the </w:t>
      </w:r>
      <w:r w:rsidR="002B05E1">
        <w:rPr>
          <w:rFonts w:ascii="Times New Roman" w:hAnsi="Times New Roman" w:cs="Times New Roman"/>
          <w:sz w:val="24"/>
          <w:szCs w:val="24"/>
        </w:rPr>
        <w:t>P</w:t>
      </w:r>
      <w:r w:rsidRPr="004D3481">
        <w:rPr>
          <w:rFonts w:ascii="Times New Roman" w:hAnsi="Times New Roman" w:cs="Times New Roman"/>
          <w:sz w:val="24"/>
          <w:szCs w:val="24"/>
        </w:rPr>
        <w:t xml:space="preserve">rogram meet the </w:t>
      </w:r>
      <w:r>
        <w:rPr>
          <w:rFonts w:ascii="Times New Roman" w:hAnsi="Times New Roman" w:cs="Times New Roman"/>
          <w:sz w:val="24"/>
          <w:szCs w:val="24"/>
        </w:rPr>
        <w:t>r</w:t>
      </w:r>
      <w:r w:rsidRPr="004D3481">
        <w:rPr>
          <w:rFonts w:ascii="Times New Roman" w:hAnsi="Times New Roman" w:cs="Times New Roman"/>
          <w:sz w:val="24"/>
          <w:szCs w:val="24"/>
        </w:rPr>
        <w:t>egulation's eligibility cri</w:t>
      </w:r>
      <w:r>
        <w:rPr>
          <w:rFonts w:ascii="Times New Roman" w:hAnsi="Times New Roman" w:cs="Times New Roman"/>
          <w:sz w:val="24"/>
          <w:szCs w:val="24"/>
        </w:rPr>
        <w:t>teria; (2)</w:t>
      </w:r>
      <w:r w:rsidRPr="004D3481">
        <w:rPr>
          <w:rFonts w:ascii="Times New Roman" w:hAnsi="Times New Roman" w:cs="Times New Roman"/>
          <w:sz w:val="24"/>
          <w:szCs w:val="24"/>
        </w:rPr>
        <w:t xml:space="preserve"> the information permits FAS to monitor sugar imports, transfers, exports, and use to confirm that transactions are conducted and completed within the requirements of the </w:t>
      </w:r>
      <w:r>
        <w:rPr>
          <w:rFonts w:ascii="Times New Roman" w:hAnsi="Times New Roman" w:cs="Times New Roman"/>
          <w:sz w:val="24"/>
          <w:szCs w:val="24"/>
        </w:rPr>
        <w:t>regulation</w:t>
      </w:r>
      <w:r w:rsidR="002B05E1">
        <w:rPr>
          <w:rFonts w:ascii="Times New Roman" w:hAnsi="Times New Roman" w:cs="Times New Roman"/>
          <w:sz w:val="24"/>
          <w:szCs w:val="24"/>
        </w:rPr>
        <w:t>;</w:t>
      </w:r>
      <w:r>
        <w:rPr>
          <w:rFonts w:ascii="Times New Roman" w:hAnsi="Times New Roman" w:cs="Times New Roman"/>
          <w:sz w:val="24"/>
          <w:szCs w:val="24"/>
        </w:rPr>
        <w:t xml:space="preserve"> (3) </w:t>
      </w:r>
      <w:r w:rsidRPr="004D3481">
        <w:rPr>
          <w:rFonts w:ascii="Times New Roman" w:hAnsi="Times New Roman" w:cs="Times New Roman"/>
          <w:sz w:val="24"/>
          <w:szCs w:val="24"/>
        </w:rPr>
        <w:t xml:space="preserve">the information serves as a means to audit participants' compliance with the </w:t>
      </w:r>
      <w:r>
        <w:rPr>
          <w:rFonts w:ascii="Times New Roman" w:hAnsi="Times New Roman" w:cs="Times New Roman"/>
          <w:sz w:val="24"/>
          <w:szCs w:val="24"/>
        </w:rPr>
        <w:t>regulation; and (4)</w:t>
      </w:r>
      <w:r w:rsidRPr="004D3481">
        <w:rPr>
          <w:rFonts w:ascii="Times New Roman" w:hAnsi="Times New Roman" w:cs="Times New Roman"/>
          <w:sz w:val="24"/>
          <w:szCs w:val="24"/>
        </w:rPr>
        <w:t xml:space="preserve"> the information prevents world-priced sugar from entering the higher-priced domestic commercial sugar market.  In general, licensees are regularly required to report specific information on sugar entries, transfers, transactions, sales, and use within specific time limits.  The </w:t>
      </w:r>
      <w:r w:rsidR="002C3AAF">
        <w:rPr>
          <w:rFonts w:ascii="Times New Roman" w:hAnsi="Times New Roman" w:cs="Times New Roman"/>
          <w:sz w:val="24"/>
          <w:szCs w:val="24"/>
        </w:rPr>
        <w:t xml:space="preserve">FAS </w:t>
      </w:r>
      <w:r w:rsidRPr="004D3481">
        <w:rPr>
          <w:rFonts w:ascii="Times New Roman" w:hAnsi="Times New Roman" w:cs="Times New Roman"/>
          <w:sz w:val="24"/>
          <w:szCs w:val="24"/>
        </w:rPr>
        <w:t xml:space="preserve">Licensing Authority needs the information collected to manage, plan, evaluate, and account for </w:t>
      </w:r>
      <w:r w:rsidR="002B05E1">
        <w:rPr>
          <w:rFonts w:ascii="Times New Roman" w:hAnsi="Times New Roman" w:cs="Times New Roman"/>
          <w:sz w:val="24"/>
          <w:szCs w:val="24"/>
        </w:rPr>
        <w:t>P</w:t>
      </w:r>
      <w:r w:rsidRPr="004D3481">
        <w:rPr>
          <w:rFonts w:ascii="Times New Roman" w:hAnsi="Times New Roman" w:cs="Times New Roman"/>
          <w:sz w:val="24"/>
          <w:szCs w:val="24"/>
        </w:rPr>
        <w:t>rogram activities.</w:t>
      </w:r>
    </w:p>
    <w:p w:rsidR="00052711" w:rsidRPr="004D3481" w:rsidP="003C0232" w14:paraId="273AF20C" w14:textId="77777777">
      <w:pPr>
        <w:pStyle w:val="PlainText"/>
        <w:rPr>
          <w:rFonts w:ascii="Times New Roman" w:hAnsi="Times New Roman" w:cs="Times New Roman"/>
          <w:sz w:val="24"/>
          <w:szCs w:val="24"/>
        </w:rPr>
      </w:pPr>
    </w:p>
    <w:p w:rsidR="00052711" w:rsidRPr="00344992" w:rsidP="003C0232" w14:paraId="1B64796C" w14:textId="3CA5706D">
      <w:pPr>
        <w:pStyle w:val="PlainText"/>
        <w:rPr>
          <w:rFonts w:ascii="Times New Roman" w:hAnsi="Times New Roman" w:cs="Times New Roman"/>
          <w:i/>
          <w:sz w:val="24"/>
          <w:szCs w:val="24"/>
        </w:rPr>
      </w:pPr>
      <w:r w:rsidRPr="00344992">
        <w:rPr>
          <w:rFonts w:ascii="Times New Roman" w:hAnsi="Times New Roman" w:cs="Times New Roman"/>
          <w:i/>
          <w:sz w:val="24"/>
          <w:szCs w:val="24"/>
          <w:u w:val="single"/>
        </w:rPr>
        <w:t>Application</w:t>
      </w:r>
      <w:r w:rsidRPr="004D3481">
        <w:rPr>
          <w:rFonts w:ascii="Times New Roman" w:hAnsi="Times New Roman" w:cs="Times New Roman"/>
          <w:sz w:val="24"/>
          <w:szCs w:val="24"/>
        </w:rPr>
        <w:t>:</w:t>
      </w:r>
      <w:r>
        <w:rPr>
          <w:rFonts w:ascii="Times New Roman" w:hAnsi="Times New Roman" w:cs="Times New Roman"/>
          <w:sz w:val="24"/>
          <w:szCs w:val="24"/>
        </w:rPr>
        <w:t xml:space="preserve">  </w:t>
      </w:r>
      <w:r w:rsidRPr="00344992">
        <w:rPr>
          <w:rFonts w:ascii="Times New Roman" w:hAnsi="Times New Roman" w:cs="Times New Roman"/>
          <w:i/>
          <w:sz w:val="24"/>
          <w:szCs w:val="24"/>
        </w:rPr>
        <w:t xml:space="preserve">License applicants must submit information required under §1530.104 and §1530.110.  </w:t>
      </w:r>
      <w:r w:rsidR="007C53A7">
        <w:rPr>
          <w:rFonts w:ascii="Times New Roman" w:hAnsi="Times New Roman" w:cs="Times New Roman"/>
          <w:i/>
          <w:sz w:val="24"/>
          <w:szCs w:val="24"/>
        </w:rPr>
        <w:t xml:space="preserve">With no </w:t>
      </w:r>
      <w:r w:rsidRPr="00344992">
        <w:rPr>
          <w:rFonts w:ascii="Times New Roman" w:hAnsi="Times New Roman" w:cs="Times New Roman"/>
          <w:i/>
          <w:sz w:val="24"/>
          <w:szCs w:val="24"/>
        </w:rPr>
        <w:t>mandatory application forms</w:t>
      </w:r>
      <w:r w:rsidR="002C3AAF">
        <w:rPr>
          <w:rFonts w:ascii="Times New Roman" w:hAnsi="Times New Roman" w:cs="Times New Roman"/>
          <w:i/>
          <w:sz w:val="24"/>
          <w:szCs w:val="24"/>
        </w:rPr>
        <w:t xml:space="preserve">, interested applicants </w:t>
      </w:r>
      <w:r w:rsidR="007C53A7">
        <w:rPr>
          <w:rFonts w:ascii="Times New Roman" w:hAnsi="Times New Roman" w:cs="Times New Roman"/>
          <w:i/>
          <w:sz w:val="24"/>
          <w:szCs w:val="24"/>
        </w:rPr>
        <w:t xml:space="preserve">currently </w:t>
      </w:r>
      <w:r w:rsidR="00515646">
        <w:rPr>
          <w:rFonts w:ascii="Times New Roman" w:hAnsi="Times New Roman" w:cs="Times New Roman"/>
          <w:i/>
          <w:sz w:val="24"/>
          <w:szCs w:val="24"/>
        </w:rPr>
        <w:t>contact FAS</w:t>
      </w:r>
      <w:r w:rsidR="007C53A7">
        <w:rPr>
          <w:rFonts w:ascii="Times New Roman" w:hAnsi="Times New Roman" w:cs="Times New Roman"/>
          <w:i/>
          <w:sz w:val="24"/>
          <w:szCs w:val="24"/>
        </w:rPr>
        <w:t xml:space="preserve"> via e-mail on </w:t>
      </w:r>
      <w:r w:rsidRPr="007F6FE6" w:rsidR="007F6FE6">
        <w:rPr>
          <w:rFonts w:ascii="Times New Roman" w:hAnsi="Times New Roman" w:cs="Times New Roman"/>
          <w:i/>
          <w:sz w:val="24"/>
          <w:szCs w:val="24"/>
        </w:rPr>
        <w:t>sugars@usda.gov</w:t>
      </w:r>
      <w:r w:rsidR="007F6FE6">
        <w:rPr>
          <w:rFonts w:ascii="Times New Roman" w:hAnsi="Times New Roman" w:cs="Times New Roman"/>
          <w:i/>
          <w:sz w:val="24"/>
          <w:szCs w:val="24"/>
        </w:rPr>
        <w:t xml:space="preserve">. </w:t>
      </w:r>
      <w:r w:rsidR="007C53A7">
        <w:rPr>
          <w:rFonts w:ascii="Times New Roman" w:hAnsi="Times New Roman" w:cs="Times New Roman"/>
          <w:i/>
          <w:sz w:val="24"/>
          <w:szCs w:val="24"/>
        </w:rPr>
        <w:t xml:space="preserve">Those companies granted licenses receive accounts </w:t>
      </w:r>
      <w:r w:rsidR="002C3AAF">
        <w:rPr>
          <w:rFonts w:ascii="Times New Roman" w:hAnsi="Times New Roman" w:cs="Times New Roman"/>
          <w:i/>
          <w:sz w:val="24"/>
          <w:szCs w:val="24"/>
        </w:rPr>
        <w:t xml:space="preserve">on </w:t>
      </w:r>
      <w:r w:rsidR="007C53A7">
        <w:rPr>
          <w:rFonts w:ascii="Times New Roman" w:hAnsi="Times New Roman" w:cs="Times New Roman"/>
          <w:i/>
          <w:sz w:val="24"/>
          <w:szCs w:val="24"/>
        </w:rPr>
        <w:t>FAS’ existing</w:t>
      </w:r>
      <w:r w:rsidR="002C3AAF">
        <w:rPr>
          <w:rFonts w:ascii="Times New Roman" w:hAnsi="Times New Roman" w:cs="Times New Roman"/>
          <w:i/>
          <w:sz w:val="24"/>
          <w:szCs w:val="24"/>
        </w:rPr>
        <w:t xml:space="preserve"> </w:t>
      </w:r>
      <w:r w:rsidRPr="007C53A7" w:rsidR="007C53A7">
        <w:rPr>
          <w:rFonts w:ascii="Times New Roman" w:hAnsi="Times New Roman" w:cs="Times New Roman"/>
          <w:i/>
          <w:sz w:val="24"/>
          <w:szCs w:val="24"/>
        </w:rPr>
        <w:t>Sugars Users Group Accounting</w:t>
      </w:r>
      <w:r w:rsidR="007C53A7">
        <w:rPr>
          <w:rFonts w:ascii="Times New Roman" w:hAnsi="Times New Roman" w:cs="Times New Roman"/>
          <w:i/>
          <w:sz w:val="24"/>
          <w:szCs w:val="24"/>
        </w:rPr>
        <w:t xml:space="preserve"> </w:t>
      </w:r>
      <w:r w:rsidRPr="007C53A7" w:rsidR="007C53A7">
        <w:rPr>
          <w:rFonts w:ascii="Times New Roman" w:hAnsi="Times New Roman" w:cs="Times New Roman"/>
          <w:i/>
          <w:sz w:val="24"/>
          <w:szCs w:val="24"/>
        </w:rPr>
        <w:t>and Reporting System</w:t>
      </w:r>
      <w:r w:rsidR="007C53A7">
        <w:rPr>
          <w:rFonts w:ascii="Times New Roman" w:hAnsi="Times New Roman" w:cs="Times New Roman"/>
          <w:i/>
          <w:sz w:val="24"/>
          <w:szCs w:val="24"/>
        </w:rPr>
        <w:t xml:space="preserve"> (SUGARS).</w:t>
      </w:r>
      <w:r w:rsidRPr="007C53A7" w:rsidR="007C53A7">
        <w:t xml:space="preserve"> </w:t>
      </w:r>
      <w:r w:rsidR="00515646">
        <w:rPr>
          <w:rFonts w:ascii="Times New Roman" w:hAnsi="Times New Roman" w:cs="Times New Roman"/>
          <w:i/>
          <w:iCs/>
          <w:sz w:val="24"/>
          <w:szCs w:val="24"/>
        </w:rPr>
        <w:t xml:space="preserve">By 2024, applicants will </w:t>
      </w:r>
      <w:r w:rsidRPr="007C53A7" w:rsidR="007C53A7">
        <w:rPr>
          <w:rFonts w:ascii="Times New Roman" w:hAnsi="Times New Roman" w:cs="Times New Roman"/>
          <w:i/>
          <w:sz w:val="24"/>
          <w:szCs w:val="24"/>
        </w:rPr>
        <w:t>create an account</w:t>
      </w:r>
      <w:r w:rsidR="00515646">
        <w:rPr>
          <w:rFonts w:ascii="Times New Roman" w:hAnsi="Times New Roman" w:cs="Times New Roman"/>
          <w:i/>
          <w:sz w:val="24"/>
          <w:szCs w:val="24"/>
        </w:rPr>
        <w:t xml:space="preserve"> on a new instrument called</w:t>
      </w:r>
      <w:r w:rsidR="007C53A7">
        <w:rPr>
          <w:rFonts w:ascii="Times New Roman" w:hAnsi="Times New Roman" w:cs="Times New Roman"/>
          <w:i/>
          <w:sz w:val="24"/>
          <w:szCs w:val="24"/>
        </w:rPr>
        <w:t xml:space="preserve"> </w:t>
      </w:r>
      <w:r w:rsidR="000135D8">
        <w:rPr>
          <w:rFonts w:ascii="Times New Roman" w:hAnsi="Times New Roman" w:cs="Times New Roman"/>
          <w:i/>
          <w:sz w:val="24"/>
          <w:szCs w:val="24"/>
        </w:rPr>
        <w:t>Sugar Unified Certification Review Oversight Statistics Evaluation (</w:t>
      </w:r>
      <w:r w:rsidR="002C3AAF">
        <w:rPr>
          <w:rFonts w:ascii="Times New Roman" w:hAnsi="Times New Roman" w:cs="Times New Roman"/>
          <w:i/>
          <w:sz w:val="24"/>
          <w:szCs w:val="24"/>
        </w:rPr>
        <w:t>SUCROSE</w:t>
      </w:r>
      <w:r w:rsidR="000135D8">
        <w:rPr>
          <w:rFonts w:ascii="Times New Roman" w:hAnsi="Times New Roman" w:cs="Times New Roman"/>
          <w:i/>
          <w:sz w:val="24"/>
          <w:szCs w:val="24"/>
        </w:rPr>
        <w:t>)</w:t>
      </w:r>
      <w:r w:rsidR="002C3AAF">
        <w:rPr>
          <w:rFonts w:ascii="Times New Roman" w:hAnsi="Times New Roman" w:cs="Times New Roman"/>
          <w:i/>
          <w:sz w:val="24"/>
          <w:szCs w:val="24"/>
        </w:rPr>
        <w:t xml:space="preserve"> system and submit required application materials through the website</w:t>
      </w:r>
      <w:r w:rsidRPr="00344992">
        <w:rPr>
          <w:rFonts w:ascii="Times New Roman" w:hAnsi="Times New Roman" w:cs="Times New Roman"/>
          <w:i/>
          <w:sz w:val="24"/>
          <w:szCs w:val="24"/>
        </w:rPr>
        <w:t>.  Applications on company letterhead must contain the following information:</w:t>
      </w:r>
    </w:p>
    <w:p w:rsidR="00052711" w:rsidRPr="004D3481" w:rsidP="003C0232" w14:paraId="7892ED83" w14:textId="77777777">
      <w:pPr>
        <w:pStyle w:val="PlainText"/>
        <w:rPr>
          <w:rFonts w:ascii="Times New Roman" w:hAnsi="Times New Roman" w:cs="Times New Roman"/>
          <w:sz w:val="24"/>
          <w:szCs w:val="24"/>
        </w:rPr>
      </w:pPr>
    </w:p>
    <w:p w:rsidR="00D81E28" w:rsidP="003C0232" w14:paraId="1737D6CF" w14:textId="26DF0E94">
      <w:pPr>
        <w:pStyle w:val="PlainText"/>
        <w:rPr>
          <w:rFonts w:ascii="Times New Roman" w:hAnsi="Times New Roman" w:cs="Times New Roman"/>
          <w:b/>
          <w:bCs/>
          <w:sz w:val="24"/>
          <w:szCs w:val="24"/>
        </w:rPr>
      </w:pPr>
      <w:r>
        <w:rPr>
          <w:rFonts w:ascii="Times New Roman" w:hAnsi="Times New Roman" w:cs="Times New Roman"/>
          <w:b/>
          <w:bCs/>
          <w:sz w:val="24"/>
          <w:szCs w:val="24"/>
        </w:rPr>
        <w:t>Refiner License</w:t>
      </w:r>
    </w:p>
    <w:p w:rsidR="00D81E28" w:rsidP="003C0232" w14:paraId="19580C8B" w14:textId="4DC8A25B">
      <w:pPr>
        <w:pStyle w:val="PlainText"/>
        <w:rPr>
          <w:rFonts w:ascii="Times New Roman" w:hAnsi="Times New Roman" w:cs="Times New Roman"/>
          <w:b/>
          <w:bCs/>
          <w:sz w:val="24"/>
          <w:szCs w:val="24"/>
        </w:rPr>
      </w:pPr>
      <w:r w:rsidRPr="004D3481">
        <w:rPr>
          <w:rFonts w:ascii="Times New Roman" w:hAnsi="Times New Roman" w:cs="Times New Roman"/>
          <w:sz w:val="24"/>
          <w:szCs w:val="24"/>
        </w:rPr>
        <w:t>(1) Date of letter; (2) address of manufacturing facility(</w:t>
      </w:r>
      <w:r w:rsidRPr="004D3481">
        <w:rPr>
          <w:rFonts w:ascii="Times New Roman" w:hAnsi="Times New Roman" w:cs="Times New Roman"/>
          <w:sz w:val="24"/>
          <w:szCs w:val="24"/>
        </w:rPr>
        <w:t>ies</w:t>
      </w:r>
      <w:r w:rsidRPr="004D3481">
        <w:rPr>
          <w:rFonts w:ascii="Times New Roman" w:hAnsi="Times New Roman" w:cs="Times New Roman"/>
          <w:sz w:val="24"/>
          <w:szCs w:val="24"/>
        </w:rPr>
        <w:t>); (3) name and address of parent company and subsidiaries (if any);</w:t>
      </w:r>
      <w:r>
        <w:rPr>
          <w:rFonts w:ascii="Times New Roman" w:hAnsi="Times New Roman" w:cs="Times New Roman"/>
          <w:sz w:val="24"/>
          <w:szCs w:val="24"/>
        </w:rPr>
        <w:t xml:space="preserve"> </w:t>
      </w:r>
      <w:bookmarkStart w:id="0" w:name="_Hlk111124692"/>
      <w:r>
        <w:rPr>
          <w:rFonts w:ascii="Times New Roman" w:hAnsi="Times New Roman" w:cs="Times New Roman"/>
          <w:sz w:val="24"/>
          <w:szCs w:val="24"/>
        </w:rPr>
        <w:t>(4) statement that the applicant is not affiliated with an existing licensee;</w:t>
      </w:r>
      <w:bookmarkEnd w:id="0"/>
      <w:r>
        <w:rPr>
          <w:rFonts w:ascii="Times New Roman" w:hAnsi="Times New Roman" w:cs="Times New Roman"/>
          <w:sz w:val="24"/>
          <w:szCs w:val="24"/>
        </w:rPr>
        <w:t xml:space="preserve"> (</w:t>
      </w:r>
      <w:r w:rsidRPr="002E2CEC">
        <w:rPr>
          <w:rFonts w:ascii="Times New Roman" w:hAnsi="Times New Roman" w:cs="Times New Roman"/>
          <w:sz w:val="24"/>
          <w:szCs w:val="24"/>
        </w:rPr>
        <w:t xml:space="preserve">5) kind and polarity of sugar to be used in the </w:t>
      </w:r>
      <w:r w:rsidR="00602BAD">
        <w:rPr>
          <w:rFonts w:ascii="Times New Roman" w:hAnsi="Times New Roman" w:cs="Times New Roman"/>
          <w:sz w:val="24"/>
          <w:szCs w:val="24"/>
        </w:rPr>
        <w:t xml:space="preserve">refining </w:t>
      </w:r>
      <w:r w:rsidRPr="002E2CEC">
        <w:rPr>
          <w:rFonts w:ascii="Times New Roman" w:hAnsi="Times New Roman" w:cs="Times New Roman"/>
          <w:sz w:val="24"/>
          <w:szCs w:val="24"/>
        </w:rPr>
        <w:t>process;</w:t>
      </w:r>
      <w:r>
        <w:rPr>
          <w:rFonts w:ascii="Times New Roman" w:hAnsi="Times New Roman" w:cs="Times New Roman"/>
          <w:sz w:val="24"/>
          <w:szCs w:val="24"/>
        </w:rPr>
        <w:t xml:space="preserve"> (6) schematic displaying the particulars of the </w:t>
      </w:r>
      <w:r w:rsidR="006173C6">
        <w:rPr>
          <w:rFonts w:ascii="Times New Roman" w:hAnsi="Times New Roman" w:cs="Times New Roman"/>
          <w:sz w:val="24"/>
          <w:szCs w:val="24"/>
        </w:rPr>
        <w:t xml:space="preserve">refining </w:t>
      </w:r>
      <w:r>
        <w:rPr>
          <w:rFonts w:ascii="Times New Roman" w:hAnsi="Times New Roman" w:cs="Times New Roman"/>
          <w:sz w:val="24"/>
          <w:szCs w:val="24"/>
        </w:rPr>
        <w:t xml:space="preserve">process; </w:t>
      </w:r>
      <w:r w:rsidR="006173C6">
        <w:rPr>
          <w:rFonts w:ascii="Times New Roman" w:hAnsi="Times New Roman" w:cs="Times New Roman"/>
          <w:sz w:val="24"/>
          <w:szCs w:val="24"/>
        </w:rPr>
        <w:t>(7)</w:t>
      </w:r>
      <w:r w:rsidR="006B333B">
        <w:rPr>
          <w:rFonts w:ascii="Times New Roman" w:hAnsi="Times New Roman" w:cs="Times New Roman"/>
          <w:sz w:val="24"/>
          <w:szCs w:val="24"/>
        </w:rPr>
        <w:t xml:space="preserve"> permission for the U.S. Department of Commerce’s National Institute for Science and Technology to review the schematic</w:t>
      </w:r>
      <w:r w:rsidR="006173C6">
        <w:rPr>
          <w:rFonts w:ascii="Times New Roman" w:hAnsi="Times New Roman" w:cs="Times New Roman"/>
          <w:sz w:val="24"/>
          <w:szCs w:val="24"/>
        </w:rPr>
        <w:t xml:space="preserve"> </w:t>
      </w:r>
      <w:r>
        <w:rPr>
          <w:rFonts w:ascii="Times New Roman" w:hAnsi="Times New Roman" w:cs="Times New Roman"/>
          <w:sz w:val="24"/>
          <w:szCs w:val="24"/>
        </w:rPr>
        <w:t>(</w:t>
      </w:r>
      <w:r w:rsidR="006B333B">
        <w:rPr>
          <w:rFonts w:ascii="Times New Roman" w:hAnsi="Times New Roman" w:cs="Times New Roman"/>
          <w:sz w:val="24"/>
          <w:szCs w:val="24"/>
        </w:rPr>
        <w:t>8</w:t>
      </w:r>
      <w:r>
        <w:rPr>
          <w:rFonts w:ascii="Times New Roman" w:hAnsi="Times New Roman" w:cs="Times New Roman"/>
          <w:sz w:val="24"/>
          <w:szCs w:val="24"/>
        </w:rPr>
        <w:t>) documents showing an import of raw cane sugar; (</w:t>
      </w:r>
      <w:r w:rsidR="006B333B">
        <w:rPr>
          <w:rFonts w:ascii="Times New Roman" w:hAnsi="Times New Roman" w:cs="Times New Roman"/>
          <w:sz w:val="24"/>
          <w:szCs w:val="24"/>
        </w:rPr>
        <w:t>9</w:t>
      </w:r>
      <w:r>
        <w:rPr>
          <w:rFonts w:ascii="Times New Roman" w:hAnsi="Times New Roman" w:cs="Times New Roman"/>
          <w:sz w:val="24"/>
          <w:szCs w:val="24"/>
        </w:rPr>
        <w:t xml:space="preserve">) </w:t>
      </w:r>
      <w:bookmarkStart w:id="1" w:name="_Hlk112329632"/>
      <w:r>
        <w:rPr>
          <w:rFonts w:ascii="Times New Roman" w:hAnsi="Times New Roman" w:cs="Times New Roman"/>
          <w:sz w:val="24"/>
          <w:szCs w:val="24"/>
        </w:rPr>
        <w:t xml:space="preserve">documents showing an export of </w:t>
      </w:r>
      <w:bookmarkEnd w:id="1"/>
      <w:r>
        <w:rPr>
          <w:rFonts w:ascii="Times New Roman" w:hAnsi="Times New Roman" w:cs="Times New Roman"/>
          <w:sz w:val="24"/>
          <w:szCs w:val="24"/>
        </w:rPr>
        <w:t>refined sugar</w:t>
      </w:r>
      <w:r w:rsidR="006173C6">
        <w:rPr>
          <w:rFonts w:ascii="Times New Roman" w:hAnsi="Times New Roman" w:cs="Times New Roman"/>
          <w:sz w:val="24"/>
          <w:szCs w:val="24"/>
        </w:rPr>
        <w:t xml:space="preserve"> to at least one country</w:t>
      </w:r>
      <w:r>
        <w:rPr>
          <w:rFonts w:ascii="Times New Roman" w:hAnsi="Times New Roman" w:cs="Times New Roman"/>
          <w:sz w:val="24"/>
          <w:szCs w:val="24"/>
        </w:rPr>
        <w:t xml:space="preserve">; </w:t>
      </w:r>
      <w:r w:rsidR="006B333B">
        <w:rPr>
          <w:rFonts w:ascii="Times New Roman" w:hAnsi="Times New Roman" w:cs="Times New Roman"/>
          <w:sz w:val="24"/>
          <w:szCs w:val="24"/>
        </w:rPr>
        <w:t xml:space="preserve">(10) names and documentation of any third-party </w:t>
      </w:r>
      <w:r w:rsidR="0020065A">
        <w:rPr>
          <w:rFonts w:ascii="Times New Roman" w:hAnsi="Times New Roman" w:cs="Times New Roman"/>
          <w:sz w:val="24"/>
          <w:szCs w:val="24"/>
        </w:rPr>
        <w:t>exporters engaged by the applicant;</w:t>
      </w:r>
      <w:r w:rsidRPr="0020065A" w:rsidR="0020065A">
        <w:t xml:space="preserve"> </w:t>
      </w:r>
      <w:r w:rsidRPr="0020065A" w:rsidR="0020065A">
        <w:rPr>
          <w:rFonts w:ascii="Times New Roman" w:hAnsi="Times New Roman" w:cs="Times New Roman"/>
          <w:sz w:val="24"/>
          <w:szCs w:val="24"/>
        </w:rPr>
        <w:t>(1</w:t>
      </w:r>
      <w:r w:rsidR="0020065A">
        <w:rPr>
          <w:rFonts w:ascii="Times New Roman" w:hAnsi="Times New Roman" w:cs="Times New Roman"/>
          <w:sz w:val="24"/>
          <w:szCs w:val="24"/>
        </w:rPr>
        <w:t>1</w:t>
      </w:r>
      <w:r w:rsidRPr="0020065A" w:rsidR="0020065A">
        <w:rPr>
          <w:rFonts w:ascii="Times New Roman" w:hAnsi="Times New Roman" w:cs="Times New Roman"/>
          <w:sz w:val="24"/>
          <w:szCs w:val="24"/>
        </w:rPr>
        <w:t>) identity of a bonding agency or bank (if applicable) that will provide an optional bond or letter o</w:t>
      </w:r>
      <w:r w:rsidR="00961945">
        <w:rPr>
          <w:rFonts w:ascii="Times New Roman" w:hAnsi="Times New Roman" w:cs="Times New Roman"/>
          <w:sz w:val="24"/>
          <w:szCs w:val="24"/>
        </w:rPr>
        <w:t>f</w:t>
      </w:r>
      <w:r w:rsidRPr="0020065A" w:rsidR="0020065A">
        <w:rPr>
          <w:rFonts w:ascii="Times New Roman" w:hAnsi="Times New Roman" w:cs="Times New Roman"/>
          <w:sz w:val="24"/>
          <w:szCs w:val="24"/>
        </w:rPr>
        <w:t xml:space="preserve"> credit in favor of the U.S. Government; </w:t>
      </w:r>
      <w:r w:rsidR="0020065A">
        <w:rPr>
          <w:rFonts w:ascii="Times New Roman" w:hAnsi="Times New Roman" w:cs="Times New Roman"/>
          <w:sz w:val="24"/>
          <w:szCs w:val="24"/>
        </w:rPr>
        <w:t xml:space="preserve"> </w:t>
      </w:r>
      <w:r>
        <w:rPr>
          <w:rFonts w:ascii="Times New Roman" w:hAnsi="Times New Roman" w:cs="Times New Roman"/>
          <w:sz w:val="24"/>
          <w:szCs w:val="24"/>
        </w:rPr>
        <w:t>(</w:t>
      </w:r>
      <w:r w:rsidR="006B333B">
        <w:rPr>
          <w:rFonts w:ascii="Times New Roman" w:hAnsi="Times New Roman" w:cs="Times New Roman"/>
          <w:sz w:val="24"/>
          <w:szCs w:val="24"/>
        </w:rPr>
        <w:t>1</w:t>
      </w:r>
      <w:r w:rsidR="0020065A">
        <w:rPr>
          <w:rFonts w:ascii="Times New Roman" w:hAnsi="Times New Roman" w:cs="Times New Roman"/>
          <w:sz w:val="24"/>
          <w:szCs w:val="24"/>
        </w:rPr>
        <w:t>2</w:t>
      </w:r>
      <w:r>
        <w:rPr>
          <w:rFonts w:ascii="Times New Roman" w:hAnsi="Times New Roman" w:cs="Times New Roman"/>
          <w:sz w:val="24"/>
          <w:szCs w:val="24"/>
        </w:rPr>
        <w:t xml:space="preserve">) a prototype invoice for sales of Program sugar to </w:t>
      </w:r>
      <w:r w:rsidRPr="00602BAD" w:rsidR="00602BAD">
        <w:rPr>
          <w:rFonts w:ascii="Times New Roman" w:hAnsi="Times New Roman" w:cs="Times New Roman"/>
          <w:sz w:val="24"/>
          <w:szCs w:val="24"/>
        </w:rPr>
        <w:t>manufactur</w:t>
      </w:r>
      <w:r w:rsidR="00602BAD">
        <w:rPr>
          <w:rFonts w:ascii="Times New Roman" w:hAnsi="Times New Roman" w:cs="Times New Roman"/>
          <w:sz w:val="24"/>
          <w:szCs w:val="24"/>
        </w:rPr>
        <w:t xml:space="preserve">ers of sugar-containing products (SCP) and </w:t>
      </w:r>
      <w:r w:rsidR="00961945">
        <w:rPr>
          <w:rFonts w:ascii="Times New Roman" w:hAnsi="Times New Roman" w:cs="Times New Roman"/>
          <w:sz w:val="24"/>
          <w:szCs w:val="24"/>
        </w:rPr>
        <w:t>producers</w:t>
      </w:r>
      <w:r w:rsidR="00602BAD">
        <w:rPr>
          <w:rFonts w:ascii="Times New Roman" w:hAnsi="Times New Roman" w:cs="Times New Roman"/>
          <w:sz w:val="24"/>
          <w:szCs w:val="24"/>
        </w:rPr>
        <w:t xml:space="preserve"> of polyhydric alcohol;</w:t>
      </w:r>
      <w:r w:rsidRPr="00BE102E" w:rsidR="00BE102E">
        <w:t xml:space="preserve"> </w:t>
      </w:r>
      <w:r w:rsidRPr="00BE102E" w:rsidR="00BE102E">
        <w:rPr>
          <w:rFonts w:ascii="Times New Roman" w:hAnsi="Times New Roman" w:cs="Times New Roman"/>
          <w:sz w:val="24"/>
          <w:szCs w:val="24"/>
        </w:rPr>
        <w:t>(1</w:t>
      </w:r>
      <w:r w:rsidR="00BE102E">
        <w:rPr>
          <w:rFonts w:ascii="Times New Roman" w:hAnsi="Times New Roman" w:cs="Times New Roman"/>
          <w:sz w:val="24"/>
          <w:szCs w:val="24"/>
        </w:rPr>
        <w:t>3</w:t>
      </w:r>
      <w:r w:rsidRPr="00BE102E" w:rsidR="00BE102E">
        <w:rPr>
          <w:rFonts w:ascii="Times New Roman" w:hAnsi="Times New Roman" w:cs="Times New Roman"/>
          <w:sz w:val="24"/>
          <w:szCs w:val="24"/>
        </w:rPr>
        <w:t>) a prototype notice of transfer showing the applicant license number and the license number of the recipient</w:t>
      </w:r>
      <w:r w:rsidR="00602BAD">
        <w:rPr>
          <w:rFonts w:ascii="Times New Roman" w:hAnsi="Times New Roman" w:cs="Times New Roman"/>
          <w:sz w:val="24"/>
          <w:szCs w:val="24"/>
        </w:rPr>
        <w:t xml:space="preserve"> </w:t>
      </w:r>
      <w:r w:rsidRPr="00BE102E" w:rsidR="00CF0073">
        <w:rPr>
          <w:rFonts w:ascii="Times New Roman" w:hAnsi="Times New Roman" w:cs="Times New Roman"/>
          <w:sz w:val="24"/>
          <w:szCs w:val="24"/>
        </w:rPr>
        <w:t>(1</w:t>
      </w:r>
      <w:r w:rsidRPr="00BE102E" w:rsidR="00BE102E">
        <w:rPr>
          <w:rFonts w:ascii="Times New Roman" w:hAnsi="Times New Roman" w:cs="Times New Roman"/>
          <w:sz w:val="24"/>
          <w:szCs w:val="24"/>
        </w:rPr>
        <w:t>4</w:t>
      </w:r>
      <w:r w:rsidRPr="00BE102E" w:rsidR="00CF0073">
        <w:rPr>
          <w:rFonts w:ascii="Times New Roman" w:hAnsi="Times New Roman" w:cs="Times New Roman"/>
          <w:sz w:val="24"/>
          <w:szCs w:val="24"/>
        </w:rPr>
        <w:t xml:space="preserve">) </w:t>
      </w:r>
      <w:r w:rsidRPr="0030197B" w:rsidR="00CF0073">
        <w:rPr>
          <w:rFonts w:ascii="Times New Roman" w:hAnsi="Times New Roman" w:cs="Times New Roman"/>
          <w:sz w:val="24"/>
          <w:szCs w:val="24"/>
        </w:rPr>
        <w:t>certification that the company will not request drawback from U.S. Customs and Border Protection for products exported under the Program</w:t>
      </w:r>
      <w:r w:rsidRPr="0030197B" w:rsidR="00602BAD">
        <w:rPr>
          <w:rFonts w:ascii="Times New Roman" w:hAnsi="Times New Roman" w:cs="Times New Roman"/>
          <w:sz w:val="24"/>
          <w:szCs w:val="24"/>
        </w:rPr>
        <w:t>.</w:t>
      </w:r>
      <w:r w:rsidR="00602BAD">
        <w:rPr>
          <w:rFonts w:ascii="Times New Roman" w:hAnsi="Times New Roman" w:cs="Times New Roman"/>
          <w:sz w:val="24"/>
          <w:szCs w:val="24"/>
        </w:rPr>
        <w:t xml:space="preserve"> </w:t>
      </w:r>
    </w:p>
    <w:p w:rsidR="002E2CEC" w:rsidP="003C0232" w14:paraId="7062B9CF" w14:textId="77777777">
      <w:pPr>
        <w:pStyle w:val="PlainText"/>
        <w:rPr>
          <w:rFonts w:ascii="Times New Roman" w:hAnsi="Times New Roman" w:cs="Times New Roman"/>
          <w:b/>
          <w:bCs/>
          <w:sz w:val="24"/>
          <w:szCs w:val="24"/>
        </w:rPr>
      </w:pPr>
    </w:p>
    <w:p w:rsidR="00D81E28" w:rsidP="003C0232" w14:paraId="4852D0C2" w14:textId="19586D38">
      <w:pPr>
        <w:pStyle w:val="PlainText"/>
        <w:rPr>
          <w:rFonts w:ascii="Times New Roman" w:hAnsi="Times New Roman" w:cs="Times New Roman"/>
          <w:b/>
          <w:bCs/>
          <w:sz w:val="24"/>
          <w:szCs w:val="24"/>
        </w:rPr>
      </w:pPr>
      <w:r>
        <w:rPr>
          <w:rFonts w:ascii="Times New Roman" w:hAnsi="Times New Roman" w:cs="Times New Roman"/>
          <w:b/>
          <w:bCs/>
          <w:sz w:val="24"/>
          <w:szCs w:val="24"/>
        </w:rPr>
        <w:t>Sugar-Containing Products (SCP) License</w:t>
      </w:r>
    </w:p>
    <w:p w:rsidR="00D81E28" w:rsidP="003C0232" w14:paraId="79AB8E6F" w14:textId="3E2F4482">
      <w:pPr>
        <w:pStyle w:val="PlainText"/>
        <w:rPr>
          <w:rFonts w:ascii="Times New Roman" w:hAnsi="Times New Roman" w:cs="Times New Roman"/>
          <w:b/>
          <w:bCs/>
          <w:sz w:val="24"/>
          <w:szCs w:val="24"/>
        </w:rPr>
      </w:pPr>
      <w:r w:rsidRPr="004D3481">
        <w:rPr>
          <w:rFonts w:ascii="Times New Roman" w:hAnsi="Times New Roman" w:cs="Times New Roman"/>
          <w:sz w:val="24"/>
          <w:szCs w:val="24"/>
        </w:rPr>
        <w:t>(1) Date of letter; (2) address of manufacturing facility(</w:t>
      </w:r>
      <w:r w:rsidRPr="004D3481">
        <w:rPr>
          <w:rFonts w:ascii="Times New Roman" w:hAnsi="Times New Roman" w:cs="Times New Roman"/>
          <w:sz w:val="24"/>
          <w:szCs w:val="24"/>
        </w:rPr>
        <w:t>ies</w:t>
      </w:r>
      <w:r w:rsidRPr="004D3481">
        <w:rPr>
          <w:rFonts w:ascii="Times New Roman" w:hAnsi="Times New Roman" w:cs="Times New Roman"/>
          <w:sz w:val="24"/>
          <w:szCs w:val="24"/>
        </w:rPr>
        <w:t>); (3) name and address of parent company and subsidiaries (if any);</w:t>
      </w:r>
      <w:r>
        <w:rPr>
          <w:rFonts w:ascii="Times New Roman" w:hAnsi="Times New Roman" w:cs="Times New Roman"/>
          <w:sz w:val="24"/>
          <w:szCs w:val="24"/>
        </w:rPr>
        <w:t xml:space="preserve"> </w:t>
      </w:r>
      <w:bookmarkStart w:id="2" w:name="_Hlk112330249"/>
      <w:r>
        <w:rPr>
          <w:rFonts w:ascii="Times New Roman" w:hAnsi="Times New Roman" w:cs="Times New Roman"/>
          <w:sz w:val="24"/>
          <w:szCs w:val="24"/>
        </w:rPr>
        <w:t xml:space="preserve">(4) statement that the applicant is not affiliated with an existing licensee; </w:t>
      </w:r>
      <w:r w:rsidR="006B333B">
        <w:rPr>
          <w:rFonts w:ascii="Times New Roman" w:hAnsi="Times New Roman" w:cs="Times New Roman"/>
          <w:sz w:val="24"/>
          <w:szCs w:val="24"/>
        </w:rPr>
        <w:t>(5) i</w:t>
      </w:r>
      <w:r w:rsidRPr="006B333B" w:rsidR="006B333B">
        <w:rPr>
          <w:rFonts w:ascii="Times New Roman" w:hAnsi="Times New Roman" w:cs="Times New Roman"/>
          <w:sz w:val="24"/>
          <w:szCs w:val="24"/>
        </w:rPr>
        <w:t xml:space="preserve">dentity of agent (if any) who will </w:t>
      </w:r>
      <w:r w:rsidR="006B333B">
        <w:rPr>
          <w:rFonts w:ascii="Times New Roman" w:hAnsi="Times New Roman" w:cs="Times New Roman"/>
          <w:sz w:val="24"/>
          <w:szCs w:val="24"/>
        </w:rPr>
        <w:t>manage the license</w:t>
      </w:r>
      <w:r w:rsidR="00326FD2">
        <w:rPr>
          <w:rFonts w:ascii="Times New Roman" w:hAnsi="Times New Roman" w:cs="Times New Roman"/>
          <w:sz w:val="24"/>
          <w:szCs w:val="24"/>
        </w:rPr>
        <w:t xml:space="preserve"> </w:t>
      </w:r>
      <w:bookmarkStart w:id="3" w:name="_Hlk124144412"/>
      <w:r w:rsidR="00326FD2">
        <w:rPr>
          <w:rFonts w:ascii="Times New Roman" w:hAnsi="Times New Roman" w:cs="Times New Roman"/>
          <w:sz w:val="24"/>
          <w:szCs w:val="24"/>
        </w:rPr>
        <w:t xml:space="preserve">and letter of agreement between </w:t>
      </w:r>
      <w:r w:rsidR="00326FD2">
        <w:rPr>
          <w:rFonts w:ascii="Times New Roman" w:hAnsi="Times New Roman" w:cs="Times New Roman"/>
          <w:sz w:val="24"/>
          <w:szCs w:val="24"/>
        </w:rPr>
        <w:t>the agent and applicant</w:t>
      </w:r>
      <w:bookmarkEnd w:id="3"/>
      <w:r w:rsidRPr="006B333B" w:rsidR="006B333B">
        <w:rPr>
          <w:rFonts w:ascii="Times New Roman" w:hAnsi="Times New Roman" w:cs="Times New Roman"/>
          <w:sz w:val="24"/>
          <w:szCs w:val="24"/>
        </w:rPr>
        <w:t xml:space="preserve">; </w:t>
      </w:r>
      <w:bookmarkEnd w:id="2"/>
      <w:r>
        <w:rPr>
          <w:rFonts w:ascii="Times New Roman" w:hAnsi="Times New Roman" w:cs="Times New Roman"/>
          <w:sz w:val="24"/>
          <w:szCs w:val="24"/>
        </w:rPr>
        <w:t>(5)</w:t>
      </w:r>
      <w:r w:rsidR="006173C6">
        <w:rPr>
          <w:rFonts w:ascii="Times New Roman" w:hAnsi="Times New Roman" w:cs="Times New Roman"/>
          <w:sz w:val="24"/>
          <w:szCs w:val="24"/>
        </w:rPr>
        <w:t xml:space="preserve"> list of SCP items to be covered by the license</w:t>
      </w:r>
      <w:r w:rsidR="006B333B">
        <w:rPr>
          <w:rFonts w:ascii="Times New Roman" w:hAnsi="Times New Roman" w:cs="Times New Roman"/>
          <w:sz w:val="24"/>
          <w:szCs w:val="24"/>
        </w:rPr>
        <w:t xml:space="preserve"> and names of co-packers of such goods</w:t>
      </w:r>
      <w:r w:rsidR="006173C6">
        <w:rPr>
          <w:rFonts w:ascii="Times New Roman" w:hAnsi="Times New Roman" w:cs="Times New Roman"/>
          <w:sz w:val="24"/>
          <w:szCs w:val="24"/>
        </w:rPr>
        <w:t xml:space="preserve">; (6) </w:t>
      </w:r>
      <w:r w:rsidRPr="006173C6" w:rsidR="006173C6">
        <w:rPr>
          <w:rFonts w:ascii="Times New Roman" w:hAnsi="Times New Roman" w:cs="Times New Roman"/>
          <w:sz w:val="24"/>
          <w:szCs w:val="24"/>
        </w:rPr>
        <w:t>documents showing an export of sugar</w:t>
      </w:r>
      <w:r w:rsidR="006173C6">
        <w:rPr>
          <w:rFonts w:ascii="Times New Roman" w:hAnsi="Times New Roman" w:cs="Times New Roman"/>
          <w:sz w:val="24"/>
          <w:szCs w:val="24"/>
        </w:rPr>
        <w:t>-containing products to at least</w:t>
      </w:r>
      <w:r w:rsidR="00326FD2">
        <w:rPr>
          <w:rFonts w:ascii="Times New Roman" w:hAnsi="Times New Roman" w:cs="Times New Roman"/>
          <w:sz w:val="24"/>
          <w:szCs w:val="24"/>
        </w:rPr>
        <w:t xml:space="preserve"> one</w:t>
      </w:r>
      <w:r w:rsidR="006173C6">
        <w:rPr>
          <w:rFonts w:ascii="Times New Roman" w:hAnsi="Times New Roman" w:cs="Times New Roman"/>
          <w:sz w:val="24"/>
          <w:szCs w:val="24"/>
        </w:rPr>
        <w:t xml:space="preserve"> country; </w:t>
      </w:r>
      <w:r w:rsidR="0020065A">
        <w:rPr>
          <w:rFonts w:ascii="Times New Roman" w:hAnsi="Times New Roman" w:cs="Times New Roman"/>
          <w:sz w:val="24"/>
          <w:szCs w:val="24"/>
        </w:rPr>
        <w:t xml:space="preserve">(7) </w:t>
      </w:r>
      <w:r w:rsidRPr="0020065A" w:rsidR="0020065A">
        <w:rPr>
          <w:rFonts w:ascii="Times New Roman" w:hAnsi="Times New Roman" w:cs="Times New Roman"/>
          <w:sz w:val="24"/>
          <w:szCs w:val="24"/>
        </w:rPr>
        <w:t>names and documentation of any third-party exporters engaged by the applicant; (</w:t>
      </w:r>
      <w:r w:rsidR="0020065A">
        <w:rPr>
          <w:rFonts w:ascii="Times New Roman" w:hAnsi="Times New Roman" w:cs="Times New Roman"/>
          <w:sz w:val="24"/>
          <w:szCs w:val="24"/>
        </w:rPr>
        <w:t>8</w:t>
      </w:r>
      <w:r w:rsidRPr="0020065A" w:rsidR="0020065A">
        <w:rPr>
          <w:rFonts w:ascii="Times New Roman" w:hAnsi="Times New Roman" w:cs="Times New Roman"/>
          <w:sz w:val="24"/>
          <w:szCs w:val="24"/>
        </w:rPr>
        <w:t>) identity of a bonding agency or bank (if applicable) that will provide an optional bond or letter o</w:t>
      </w:r>
      <w:r w:rsidR="00961945">
        <w:rPr>
          <w:rFonts w:ascii="Times New Roman" w:hAnsi="Times New Roman" w:cs="Times New Roman"/>
          <w:sz w:val="24"/>
          <w:szCs w:val="24"/>
        </w:rPr>
        <w:t>f</w:t>
      </w:r>
      <w:r w:rsidRPr="0020065A" w:rsidR="0020065A">
        <w:rPr>
          <w:rFonts w:ascii="Times New Roman" w:hAnsi="Times New Roman" w:cs="Times New Roman"/>
          <w:sz w:val="24"/>
          <w:szCs w:val="24"/>
        </w:rPr>
        <w:t xml:space="preserve"> credit in favor of the U.S. Government; </w:t>
      </w:r>
      <w:bookmarkStart w:id="4" w:name="_Hlk112331045"/>
      <w:r w:rsidR="006173C6">
        <w:rPr>
          <w:rFonts w:ascii="Times New Roman" w:hAnsi="Times New Roman" w:cs="Times New Roman"/>
          <w:sz w:val="24"/>
          <w:szCs w:val="24"/>
        </w:rPr>
        <w:t>(</w:t>
      </w:r>
      <w:r w:rsidR="0020065A">
        <w:rPr>
          <w:rFonts w:ascii="Times New Roman" w:hAnsi="Times New Roman" w:cs="Times New Roman"/>
          <w:sz w:val="24"/>
          <w:szCs w:val="24"/>
        </w:rPr>
        <w:t>9</w:t>
      </w:r>
      <w:r w:rsidR="006173C6">
        <w:rPr>
          <w:rFonts w:ascii="Times New Roman" w:hAnsi="Times New Roman" w:cs="Times New Roman"/>
          <w:sz w:val="24"/>
          <w:szCs w:val="24"/>
        </w:rPr>
        <w:t xml:space="preserve">) </w:t>
      </w:r>
      <w:r w:rsidR="006B333B">
        <w:rPr>
          <w:rFonts w:ascii="Times New Roman" w:hAnsi="Times New Roman" w:cs="Times New Roman"/>
          <w:sz w:val="24"/>
          <w:szCs w:val="24"/>
        </w:rPr>
        <w:t>a sample invoice and notice of transfer from a licensed refiner.</w:t>
      </w:r>
    </w:p>
    <w:bookmarkEnd w:id="4"/>
    <w:p w:rsidR="0020065A" w:rsidP="003C0232" w14:paraId="30740E72" w14:textId="77777777">
      <w:pPr>
        <w:pStyle w:val="PlainText"/>
        <w:rPr>
          <w:rFonts w:ascii="Times New Roman" w:hAnsi="Times New Roman" w:cs="Times New Roman"/>
          <w:b/>
          <w:bCs/>
          <w:sz w:val="24"/>
          <w:szCs w:val="24"/>
        </w:rPr>
      </w:pPr>
    </w:p>
    <w:p w:rsidR="00D81E28" w:rsidP="003C0232" w14:paraId="7990E635" w14:textId="173391FB">
      <w:pPr>
        <w:pStyle w:val="PlainText"/>
        <w:rPr>
          <w:rFonts w:ascii="Times New Roman" w:hAnsi="Times New Roman" w:cs="Times New Roman"/>
          <w:b/>
          <w:bCs/>
          <w:sz w:val="24"/>
          <w:szCs w:val="24"/>
        </w:rPr>
      </w:pPr>
      <w:r>
        <w:rPr>
          <w:rFonts w:ascii="Times New Roman" w:hAnsi="Times New Roman" w:cs="Times New Roman"/>
          <w:b/>
          <w:bCs/>
          <w:sz w:val="24"/>
          <w:szCs w:val="24"/>
        </w:rPr>
        <w:t>Polyhydric Alcohol</w:t>
      </w:r>
    </w:p>
    <w:p w:rsidR="00CF0073" w:rsidRPr="00CF0073" w:rsidP="00CF0073" w14:paraId="51514BD8" w14:textId="189B76B0">
      <w:bookmarkStart w:id="5" w:name="_Hlk111124647"/>
      <w:r w:rsidRPr="004D3481">
        <w:t>(1) Date of letter; (2) address of manufacturing facility(</w:t>
      </w:r>
      <w:r w:rsidRPr="004D3481">
        <w:t>ies</w:t>
      </w:r>
      <w:r w:rsidRPr="004D3481">
        <w:t>); (3) name and address of parent company and subsidiaries (if any);</w:t>
      </w:r>
      <w:r w:rsidRPr="0020065A" w:rsidR="0020065A">
        <w:t xml:space="preserve"> (4) statement that the applicant is not affiliated with an existing licensee; (5) identity of agent (if any) who will manage the license</w:t>
      </w:r>
      <w:r w:rsidR="00326FD2">
        <w:t xml:space="preserve"> </w:t>
      </w:r>
      <w:r w:rsidRPr="00326FD2" w:rsidR="00326FD2">
        <w:t>and letter of agreement between the agent and applicant</w:t>
      </w:r>
      <w:r w:rsidRPr="0020065A" w:rsidR="0020065A">
        <w:t xml:space="preserve">; </w:t>
      </w:r>
      <w:bookmarkEnd w:id="5"/>
      <w:r w:rsidRPr="004D3481">
        <w:t>(</w:t>
      </w:r>
      <w:r w:rsidR="0020065A">
        <w:t>6</w:t>
      </w:r>
      <w:r w:rsidRPr="004D3481">
        <w:t xml:space="preserve">) description and sugar percentage of products </w:t>
      </w:r>
      <w:r w:rsidR="006B333B">
        <w:t>containing Program sugar</w:t>
      </w:r>
      <w:r w:rsidRPr="004D3481">
        <w:t>; (</w:t>
      </w:r>
      <w:r w:rsidR="0020065A">
        <w:t>7</w:t>
      </w:r>
      <w:r w:rsidRPr="004D3481">
        <w:t xml:space="preserve">) kind of sugar to be used in the manufacturing process; </w:t>
      </w:r>
      <w:bookmarkStart w:id="6" w:name="_Hlk112330553"/>
      <w:r w:rsidRPr="004D3481">
        <w:t>(</w:t>
      </w:r>
      <w:r w:rsidR="0020065A">
        <w:t>8</w:t>
      </w:r>
      <w:r w:rsidRPr="004D3481">
        <w:t>) identity of a bonding agency or bank (if applicable) that will provide a</w:t>
      </w:r>
      <w:r w:rsidR="00D81E28">
        <w:t>n optional</w:t>
      </w:r>
      <w:r w:rsidRPr="004D3481">
        <w:t xml:space="preserve"> bond or letter o</w:t>
      </w:r>
      <w:r w:rsidR="00961945">
        <w:t>f</w:t>
      </w:r>
      <w:r w:rsidRPr="004D3481">
        <w:t xml:space="preserve"> credit in favor of the U.S. Government; </w:t>
      </w:r>
      <w:bookmarkEnd w:id="6"/>
      <w:r w:rsidRPr="00CF0073">
        <w:t>(9) a sample invoice and notice of transfer from a licensed refiner.</w:t>
      </w:r>
    </w:p>
    <w:p w:rsidR="00052711" w:rsidRPr="004D3481" w:rsidP="003C0232" w14:paraId="4335A708" w14:textId="77777777">
      <w:pPr>
        <w:pStyle w:val="PlainText"/>
        <w:rPr>
          <w:rFonts w:ascii="Times New Roman" w:hAnsi="Times New Roman" w:cs="Times New Roman"/>
          <w:sz w:val="24"/>
          <w:szCs w:val="24"/>
        </w:rPr>
      </w:pPr>
    </w:p>
    <w:p w:rsidR="00052711" w:rsidRPr="004D3481" w:rsidP="003C0232" w14:paraId="7C55AD07" w14:textId="700A4FF3">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Terms and conditions for obtaining a license</w:t>
      </w:r>
      <w:r w:rsidRPr="00344992" w:rsidR="00AE3221">
        <w:rPr>
          <w:rFonts w:ascii="Times New Roman" w:hAnsi="Times New Roman" w:cs="Times New Roman"/>
          <w:i/>
          <w:sz w:val="24"/>
          <w:szCs w:val="24"/>
          <w:u w:val="single"/>
        </w:rPr>
        <w:t>:</w:t>
      </w:r>
      <w:r w:rsidRPr="00344992" w:rsidR="00AE3221">
        <w:rPr>
          <w:rFonts w:ascii="Times New Roman" w:hAnsi="Times New Roman" w:cs="Times New Roman"/>
          <w:i/>
          <w:sz w:val="24"/>
          <w:szCs w:val="24"/>
        </w:rPr>
        <w:t xml:space="preserve"> (</w:t>
      </w:r>
      <w:r w:rsidRPr="004D3481">
        <w:rPr>
          <w:rFonts w:ascii="Times New Roman" w:hAnsi="Times New Roman" w:cs="Times New Roman"/>
          <w:sz w:val="24"/>
          <w:szCs w:val="24"/>
        </w:rPr>
        <w:t xml:space="preserve">1) </w:t>
      </w:r>
      <w:r>
        <w:rPr>
          <w:rFonts w:ascii="Times New Roman" w:hAnsi="Times New Roman" w:cs="Times New Roman"/>
          <w:sz w:val="24"/>
          <w:szCs w:val="24"/>
        </w:rPr>
        <w:t>o</w:t>
      </w:r>
      <w:r w:rsidRPr="004D3481">
        <w:rPr>
          <w:rFonts w:ascii="Times New Roman" w:hAnsi="Times New Roman" w:cs="Times New Roman"/>
          <w:sz w:val="24"/>
          <w:szCs w:val="24"/>
        </w:rPr>
        <w:t>wnership and/or operation of a facility(</w:t>
      </w:r>
      <w:r w:rsidRPr="004D3481">
        <w:rPr>
          <w:rFonts w:ascii="Times New Roman" w:hAnsi="Times New Roman" w:cs="Times New Roman"/>
          <w:sz w:val="24"/>
          <w:szCs w:val="24"/>
        </w:rPr>
        <w:t>ies</w:t>
      </w:r>
      <w:r w:rsidRPr="004D3481">
        <w:rPr>
          <w:rFonts w:ascii="Times New Roman" w:hAnsi="Times New Roman" w:cs="Times New Roman"/>
          <w:sz w:val="24"/>
          <w:szCs w:val="24"/>
        </w:rPr>
        <w:t>) in the United Stat</w:t>
      </w:r>
      <w:r>
        <w:rPr>
          <w:rFonts w:ascii="Times New Roman" w:hAnsi="Times New Roman" w:cs="Times New Roman"/>
          <w:sz w:val="24"/>
          <w:szCs w:val="24"/>
        </w:rPr>
        <w:t xml:space="preserve">es, as required under §1530.103; </w:t>
      </w:r>
      <w:r w:rsidRPr="004D3481">
        <w:rPr>
          <w:rFonts w:ascii="Times New Roman" w:hAnsi="Times New Roman" w:cs="Times New Roman"/>
          <w:sz w:val="24"/>
          <w:szCs w:val="24"/>
        </w:rPr>
        <w:t xml:space="preserve">(2) </w:t>
      </w:r>
      <w:r>
        <w:rPr>
          <w:rFonts w:ascii="Times New Roman" w:hAnsi="Times New Roman" w:cs="Times New Roman"/>
          <w:sz w:val="24"/>
          <w:szCs w:val="24"/>
        </w:rPr>
        <w:t>f</w:t>
      </w:r>
      <w:r w:rsidRPr="004D3481">
        <w:rPr>
          <w:rFonts w:ascii="Times New Roman" w:hAnsi="Times New Roman" w:cs="Times New Roman"/>
          <w:sz w:val="24"/>
          <w:szCs w:val="24"/>
        </w:rPr>
        <w:t xml:space="preserve">iling an application for a license, including a proposal for a documentation agreement, as required under §1530.104 and §1530.110.  The Licensing Authority evaluates the proposal and once agreement is reached with the applicant, the applicant submits a notarized documentation agreement identifying documents to be maintained by the licensee to substantiate </w:t>
      </w:r>
      <w:r>
        <w:rPr>
          <w:rFonts w:ascii="Times New Roman" w:hAnsi="Times New Roman" w:cs="Times New Roman"/>
          <w:sz w:val="24"/>
          <w:szCs w:val="24"/>
        </w:rPr>
        <w:t>p</w:t>
      </w:r>
      <w:r w:rsidRPr="004D3481">
        <w:rPr>
          <w:rFonts w:ascii="Times New Roman" w:hAnsi="Times New Roman" w:cs="Times New Roman"/>
          <w:sz w:val="24"/>
          <w:szCs w:val="24"/>
        </w:rPr>
        <w:t xml:space="preserve">rogram </w:t>
      </w:r>
      <w:r w:rsidRPr="004D3481" w:rsidR="00515646">
        <w:rPr>
          <w:rFonts w:ascii="Times New Roman" w:hAnsi="Times New Roman" w:cs="Times New Roman"/>
          <w:sz w:val="24"/>
          <w:szCs w:val="24"/>
        </w:rPr>
        <w:t>activity and</w:t>
      </w:r>
      <w:r w:rsidRPr="004D3481">
        <w:rPr>
          <w:rFonts w:ascii="Times New Roman" w:hAnsi="Times New Roman" w:cs="Times New Roman"/>
          <w:sz w:val="24"/>
          <w:szCs w:val="24"/>
        </w:rPr>
        <w:t xml:space="preserve"> certif</w:t>
      </w:r>
      <w:r w:rsidR="00515646">
        <w:rPr>
          <w:rFonts w:ascii="Times New Roman" w:hAnsi="Times New Roman" w:cs="Times New Roman"/>
          <w:sz w:val="24"/>
          <w:szCs w:val="24"/>
        </w:rPr>
        <w:t>y</w:t>
      </w:r>
      <w:r w:rsidRPr="004D3481">
        <w:rPr>
          <w:rFonts w:ascii="Times New Roman" w:hAnsi="Times New Roman" w:cs="Times New Roman"/>
          <w:sz w:val="24"/>
          <w:szCs w:val="24"/>
        </w:rPr>
        <w:t xml:space="preserve"> that charges and credits made pursuant to</w:t>
      </w:r>
      <w:r>
        <w:rPr>
          <w:rFonts w:ascii="Times New Roman" w:hAnsi="Times New Roman" w:cs="Times New Roman"/>
          <w:sz w:val="24"/>
          <w:szCs w:val="24"/>
        </w:rPr>
        <w:t xml:space="preserve"> §1530.106 will be kept on file; </w:t>
      </w:r>
      <w:r w:rsidRPr="004D3481">
        <w:rPr>
          <w:rFonts w:ascii="Times New Roman" w:hAnsi="Times New Roman" w:cs="Times New Roman"/>
          <w:sz w:val="24"/>
          <w:szCs w:val="24"/>
        </w:rPr>
        <w:t xml:space="preserve">(3) </w:t>
      </w:r>
      <w:r>
        <w:rPr>
          <w:rFonts w:ascii="Times New Roman" w:hAnsi="Times New Roman" w:cs="Times New Roman"/>
          <w:sz w:val="24"/>
          <w:szCs w:val="24"/>
        </w:rPr>
        <w:t>b</w:t>
      </w:r>
      <w:r w:rsidRPr="004D3481">
        <w:rPr>
          <w:rFonts w:ascii="Times New Roman" w:hAnsi="Times New Roman" w:cs="Times New Roman"/>
          <w:sz w:val="24"/>
          <w:szCs w:val="24"/>
        </w:rPr>
        <w:t xml:space="preserve">onds posted under the previous </w:t>
      </w:r>
      <w:r>
        <w:rPr>
          <w:rFonts w:ascii="Times New Roman" w:hAnsi="Times New Roman" w:cs="Times New Roman"/>
          <w:sz w:val="24"/>
          <w:szCs w:val="24"/>
        </w:rPr>
        <w:t>r</w:t>
      </w:r>
      <w:r w:rsidRPr="004D3481">
        <w:rPr>
          <w:rFonts w:ascii="Times New Roman" w:hAnsi="Times New Roman" w:cs="Times New Roman"/>
          <w:sz w:val="24"/>
          <w:szCs w:val="24"/>
        </w:rPr>
        <w:t>egulation must be updated, as required under §1530.107.  Letters of credit are an acceptable alte</w:t>
      </w:r>
      <w:r>
        <w:rPr>
          <w:rFonts w:ascii="Times New Roman" w:hAnsi="Times New Roman" w:cs="Times New Roman"/>
          <w:sz w:val="24"/>
          <w:szCs w:val="24"/>
        </w:rPr>
        <w:t>rnative</w:t>
      </w:r>
      <w:r w:rsidR="0068456C">
        <w:rPr>
          <w:rFonts w:ascii="Times New Roman" w:hAnsi="Times New Roman" w:cs="Times New Roman"/>
          <w:sz w:val="24"/>
          <w:szCs w:val="24"/>
        </w:rPr>
        <w:t xml:space="preserve"> to bonds.</w:t>
      </w:r>
      <w:r>
        <w:rPr>
          <w:rFonts w:ascii="Times New Roman" w:hAnsi="Times New Roman" w:cs="Times New Roman"/>
          <w:sz w:val="24"/>
          <w:szCs w:val="24"/>
        </w:rPr>
        <w:t xml:space="preserve"> </w:t>
      </w:r>
      <w:r w:rsidRPr="004D3481">
        <w:rPr>
          <w:rFonts w:ascii="Times New Roman" w:hAnsi="Times New Roman" w:cs="Times New Roman"/>
          <w:sz w:val="24"/>
          <w:szCs w:val="24"/>
        </w:rPr>
        <w:t xml:space="preserve">(4) </w:t>
      </w:r>
      <w:r>
        <w:rPr>
          <w:rFonts w:ascii="Times New Roman" w:hAnsi="Times New Roman" w:cs="Times New Roman"/>
          <w:sz w:val="24"/>
          <w:szCs w:val="24"/>
        </w:rPr>
        <w:t>n</w:t>
      </w:r>
      <w:r w:rsidRPr="004D3481">
        <w:rPr>
          <w:rFonts w:ascii="Times New Roman" w:hAnsi="Times New Roman" w:cs="Times New Roman"/>
          <w:sz w:val="24"/>
          <w:szCs w:val="24"/>
        </w:rPr>
        <w:t>o person may hold more than one license.  Licenses are issued to</w:t>
      </w:r>
      <w:r w:rsidRPr="004D3481" w:rsidR="00AE3221">
        <w:rPr>
          <w:rFonts w:ascii="Times New Roman" w:hAnsi="Times New Roman" w:cs="Times New Roman"/>
          <w:sz w:val="24"/>
          <w:szCs w:val="24"/>
        </w:rPr>
        <w:t>: (</w:t>
      </w:r>
      <w:r w:rsidRPr="004D3481">
        <w:rPr>
          <w:rFonts w:ascii="Times New Roman" w:hAnsi="Times New Roman" w:cs="Times New Roman"/>
          <w:sz w:val="24"/>
          <w:szCs w:val="24"/>
        </w:rPr>
        <w:t xml:space="preserve">1) refiners to import raw sugar and transfer or export refined sugar and (2) manufacturers and producers to receive transfers from refiners and export sugar-containing products or produce polyhydric alcohols.  All </w:t>
      </w:r>
      <w:r w:rsidR="0068456C">
        <w:rPr>
          <w:rFonts w:ascii="Times New Roman" w:hAnsi="Times New Roman" w:cs="Times New Roman"/>
          <w:sz w:val="24"/>
          <w:szCs w:val="24"/>
        </w:rPr>
        <w:t>P</w:t>
      </w:r>
      <w:r w:rsidRPr="004D3481">
        <w:rPr>
          <w:rFonts w:ascii="Times New Roman" w:hAnsi="Times New Roman" w:cs="Times New Roman"/>
          <w:sz w:val="24"/>
          <w:szCs w:val="24"/>
        </w:rPr>
        <w:t xml:space="preserve">rogram participants must </w:t>
      </w:r>
      <w:r w:rsidR="002B2ED6">
        <w:rPr>
          <w:rFonts w:ascii="Times New Roman" w:hAnsi="Times New Roman" w:cs="Times New Roman"/>
          <w:sz w:val="24"/>
          <w:szCs w:val="24"/>
        </w:rPr>
        <w:t xml:space="preserve">maintain </w:t>
      </w:r>
      <w:r w:rsidRPr="004D3481">
        <w:rPr>
          <w:rFonts w:ascii="Times New Roman" w:hAnsi="Times New Roman" w:cs="Times New Roman"/>
          <w:sz w:val="24"/>
          <w:szCs w:val="24"/>
        </w:rPr>
        <w:t xml:space="preserve">information required by 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w:t>
      </w:r>
      <w:r w:rsidR="0068456C">
        <w:rPr>
          <w:rFonts w:ascii="Times New Roman" w:hAnsi="Times New Roman" w:cs="Times New Roman"/>
          <w:sz w:val="24"/>
          <w:szCs w:val="24"/>
        </w:rPr>
        <w:t xml:space="preserve"> </w:t>
      </w:r>
      <w:r w:rsidRPr="004D3481">
        <w:rPr>
          <w:rFonts w:ascii="Times New Roman" w:hAnsi="Times New Roman" w:cs="Times New Roman"/>
          <w:sz w:val="24"/>
          <w:szCs w:val="24"/>
        </w:rPr>
        <w:t xml:space="preserve">The licensee shall </w:t>
      </w:r>
      <w:r w:rsidR="002B2ED6">
        <w:rPr>
          <w:rFonts w:ascii="Times New Roman" w:hAnsi="Times New Roman" w:cs="Times New Roman"/>
          <w:sz w:val="24"/>
          <w:szCs w:val="24"/>
        </w:rPr>
        <w:t>keep</w:t>
      </w:r>
      <w:r w:rsidRPr="004D3481">
        <w:rPr>
          <w:rFonts w:ascii="Times New Roman" w:hAnsi="Times New Roman" w:cs="Times New Roman"/>
          <w:sz w:val="24"/>
          <w:szCs w:val="24"/>
        </w:rPr>
        <w:t xml:space="preserve"> the documentation established in the documentation agreement for five years from the date of such </w:t>
      </w:r>
      <w:r w:rsidR="002C2E1A">
        <w:rPr>
          <w:rFonts w:ascii="Times New Roman" w:hAnsi="Times New Roman" w:cs="Times New Roman"/>
          <w:sz w:val="24"/>
          <w:szCs w:val="24"/>
        </w:rPr>
        <w:t>P</w:t>
      </w:r>
      <w:r w:rsidRPr="004D3481">
        <w:rPr>
          <w:rFonts w:ascii="Times New Roman" w:hAnsi="Times New Roman" w:cs="Times New Roman"/>
          <w:sz w:val="24"/>
          <w:szCs w:val="24"/>
        </w:rPr>
        <w:t>rogram transaction</w:t>
      </w:r>
      <w:r w:rsidR="005876B0">
        <w:rPr>
          <w:rFonts w:ascii="Times New Roman" w:hAnsi="Times New Roman" w:cs="Times New Roman"/>
          <w:sz w:val="24"/>
          <w:szCs w:val="24"/>
        </w:rPr>
        <w:t xml:space="preserve"> and </w:t>
      </w:r>
      <w:r w:rsidR="001112A8">
        <w:rPr>
          <w:rFonts w:ascii="Times New Roman" w:hAnsi="Times New Roman" w:cs="Times New Roman"/>
          <w:sz w:val="24"/>
          <w:szCs w:val="24"/>
        </w:rPr>
        <w:t xml:space="preserve">maintain </w:t>
      </w:r>
      <w:r w:rsidR="005876B0">
        <w:rPr>
          <w:rFonts w:ascii="Times New Roman" w:hAnsi="Times New Roman" w:cs="Times New Roman"/>
          <w:sz w:val="24"/>
          <w:szCs w:val="24"/>
        </w:rPr>
        <w:t>the supporting documentation</w:t>
      </w:r>
      <w:r w:rsidR="002E030B">
        <w:rPr>
          <w:rFonts w:ascii="Times New Roman" w:hAnsi="Times New Roman" w:cs="Times New Roman"/>
          <w:sz w:val="24"/>
          <w:szCs w:val="24"/>
        </w:rPr>
        <w:t xml:space="preserve"> for each transaction</w:t>
      </w:r>
      <w:r w:rsidR="005876B0">
        <w:rPr>
          <w:rFonts w:ascii="Times New Roman" w:hAnsi="Times New Roman" w:cs="Times New Roman"/>
          <w:sz w:val="24"/>
          <w:szCs w:val="24"/>
        </w:rPr>
        <w:t xml:space="preserve"> </w:t>
      </w:r>
      <w:r w:rsidR="001112A8">
        <w:rPr>
          <w:rFonts w:ascii="Times New Roman" w:hAnsi="Times New Roman" w:cs="Times New Roman"/>
          <w:sz w:val="24"/>
          <w:szCs w:val="24"/>
        </w:rPr>
        <w:t xml:space="preserve">for uploading </w:t>
      </w:r>
      <w:r w:rsidR="005876B0">
        <w:rPr>
          <w:rFonts w:ascii="Times New Roman" w:hAnsi="Times New Roman" w:cs="Times New Roman"/>
          <w:sz w:val="24"/>
          <w:szCs w:val="24"/>
        </w:rPr>
        <w:t>in SUCROSE</w:t>
      </w:r>
      <w:r w:rsidR="001112A8">
        <w:rPr>
          <w:rFonts w:ascii="Times New Roman" w:hAnsi="Times New Roman" w:cs="Times New Roman"/>
          <w:sz w:val="24"/>
          <w:szCs w:val="24"/>
        </w:rPr>
        <w:t xml:space="preserve"> upon request</w:t>
      </w:r>
      <w:r w:rsidRPr="004D3481">
        <w:rPr>
          <w:rFonts w:ascii="Times New Roman" w:hAnsi="Times New Roman" w:cs="Times New Roman"/>
          <w:sz w:val="24"/>
          <w:szCs w:val="24"/>
        </w:rPr>
        <w:t>.</w:t>
      </w:r>
    </w:p>
    <w:p w:rsidR="00052711" w:rsidRPr="004D3481" w:rsidP="003C0232" w14:paraId="7DDBDE8C" w14:textId="77777777">
      <w:pPr>
        <w:pStyle w:val="PlainText"/>
        <w:rPr>
          <w:rFonts w:ascii="Times New Roman" w:hAnsi="Times New Roman" w:cs="Times New Roman"/>
          <w:sz w:val="24"/>
          <w:szCs w:val="24"/>
        </w:rPr>
      </w:pPr>
    </w:p>
    <w:p w:rsidR="00052711" w:rsidRPr="00344992" w:rsidP="003C0232" w14:paraId="76F5AE8C" w14:textId="77777777">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 xml:space="preserve">Submission of regular reports regarding licensing activity as required under §1530.109: </w:t>
      </w:r>
    </w:p>
    <w:p w:rsidR="00052711" w:rsidRPr="004D3481" w:rsidP="003C0232" w14:paraId="4A361D48" w14:textId="77777777">
      <w:pPr>
        <w:pStyle w:val="PlainText"/>
        <w:rPr>
          <w:rFonts w:ascii="Times New Roman" w:hAnsi="Times New Roman" w:cs="Times New Roman"/>
          <w:sz w:val="24"/>
          <w:szCs w:val="24"/>
        </w:rPr>
      </w:pPr>
    </w:p>
    <w:p w:rsidR="00052711" w:rsidRPr="004D3481" w:rsidP="003C0232" w14:paraId="190E26B4"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Reports are submitted on exports, imports, transfers, or license use (charges and credits against license balances).  A licensee may submit reports as often as monthly for charges and credit against a license balance.  At minimum, a licensee must submit at least a quarterly report not later than 90 days after the earliest transaction (unless there have been no transactions).  Licensees are to update data as necessary to maintain accurate information in previously submitted reports.</w:t>
      </w:r>
    </w:p>
    <w:p w:rsidR="00052711" w:rsidRPr="004D3481" w:rsidP="003C0232" w14:paraId="4EEF8F2C" w14:textId="77777777">
      <w:pPr>
        <w:pStyle w:val="PlainText"/>
        <w:rPr>
          <w:rFonts w:ascii="Times New Roman" w:hAnsi="Times New Roman" w:cs="Times New Roman"/>
          <w:sz w:val="24"/>
          <w:szCs w:val="24"/>
        </w:rPr>
      </w:pPr>
    </w:p>
    <w:p w:rsidR="00052711" w:rsidRPr="00344992" w:rsidP="003C0232" w14:paraId="57546546" w14:textId="77777777">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 xml:space="preserve">Each report must include the following for all </w:t>
      </w:r>
      <w:r w:rsidR="00D22C4D">
        <w:rPr>
          <w:rFonts w:ascii="Times New Roman" w:hAnsi="Times New Roman" w:cs="Times New Roman"/>
          <w:i/>
          <w:sz w:val="24"/>
          <w:szCs w:val="24"/>
          <w:u w:val="single"/>
        </w:rPr>
        <w:t>P</w:t>
      </w:r>
      <w:r w:rsidRPr="00344992">
        <w:rPr>
          <w:rFonts w:ascii="Times New Roman" w:hAnsi="Times New Roman" w:cs="Times New Roman"/>
          <w:i/>
          <w:sz w:val="24"/>
          <w:szCs w:val="24"/>
          <w:u w:val="single"/>
        </w:rPr>
        <w:t>rogram transactions:</w:t>
      </w:r>
    </w:p>
    <w:p w:rsidR="00052711" w:rsidRPr="004D3481" w:rsidP="003C0232" w14:paraId="5BBE038C" w14:textId="77777777">
      <w:pPr>
        <w:pStyle w:val="PlainText"/>
        <w:rPr>
          <w:rFonts w:ascii="Times New Roman" w:hAnsi="Times New Roman" w:cs="Times New Roman"/>
          <w:sz w:val="24"/>
          <w:szCs w:val="24"/>
        </w:rPr>
      </w:pPr>
    </w:p>
    <w:p w:rsidR="001112A8" w:rsidP="0065392E" w14:paraId="0BF1394A" w14:textId="6A08A366">
      <w:pPr>
        <w:pStyle w:val="PlainText"/>
        <w:numPr>
          <w:ilvl w:val="0"/>
          <w:numId w:val="5"/>
        </w:numPr>
        <w:rPr>
          <w:rFonts w:ascii="Times New Roman" w:hAnsi="Times New Roman" w:cs="Times New Roman"/>
          <w:sz w:val="24"/>
          <w:szCs w:val="24"/>
        </w:rPr>
      </w:pPr>
      <w:r w:rsidRPr="004D3481">
        <w:rPr>
          <w:rFonts w:ascii="Times New Roman" w:hAnsi="Times New Roman" w:cs="Times New Roman"/>
          <w:sz w:val="24"/>
          <w:szCs w:val="24"/>
        </w:rPr>
        <w:t>A unique number, assigned by the licensee, for the transaction; (2) date of the entry, transfer (only a refiner reports transfers to the Licensing Authority), export, or use; (3) quantity of sugar transferred</w:t>
      </w:r>
      <w:r w:rsidR="007506DD">
        <w:rPr>
          <w:rFonts w:ascii="Times New Roman" w:hAnsi="Times New Roman" w:cs="Times New Roman"/>
          <w:sz w:val="24"/>
          <w:szCs w:val="24"/>
        </w:rPr>
        <w:t xml:space="preserve"> or</w:t>
      </w:r>
      <w:r w:rsidRPr="004D3481">
        <w:rPr>
          <w:rFonts w:ascii="Times New Roman" w:hAnsi="Times New Roman" w:cs="Times New Roman"/>
          <w:sz w:val="24"/>
          <w:szCs w:val="24"/>
        </w:rPr>
        <w:t xml:space="preserve"> exported as refined sugar, or used in the production of certain polyhydric alcohols; (4) the licensee's number or if a transfer is being reported, the licensee's number as well as the transfer recipient's license number; (5) country of origin (entry of raw sugar) or final destination (refined exports), using the country code designated in the HTS</w:t>
      </w:r>
      <w:r>
        <w:rPr>
          <w:rFonts w:ascii="Times New Roman" w:hAnsi="Times New Roman" w:cs="Times New Roman"/>
          <w:sz w:val="24"/>
          <w:szCs w:val="24"/>
        </w:rPr>
        <w:t>.</w:t>
      </w:r>
    </w:p>
    <w:p w:rsidR="002B2ED6" w:rsidP="002B2ED6" w14:paraId="09294AA2" w14:textId="35BA13F0">
      <w:pPr>
        <w:pStyle w:val="PlainText"/>
        <w:ind w:left="720"/>
        <w:rPr>
          <w:rFonts w:ascii="Times New Roman" w:hAnsi="Times New Roman" w:cs="Times New Roman"/>
          <w:sz w:val="24"/>
          <w:szCs w:val="24"/>
        </w:rPr>
      </w:pPr>
    </w:p>
    <w:p w:rsidR="00052711" w:rsidRPr="00344992" w:rsidP="003C0232" w14:paraId="5470902C" w14:textId="402F8F52">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Submission of information pertaining to bonds and/or letters of credit as required under</w:t>
      </w:r>
    </w:p>
    <w:p w:rsidR="00052711" w:rsidRPr="004D3481" w:rsidP="003C0232" w14:paraId="7D57D1C8" w14:textId="77777777">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§1530.107</w:t>
      </w:r>
      <w:r w:rsidRPr="004D3481">
        <w:rPr>
          <w:rFonts w:ascii="Times New Roman" w:hAnsi="Times New Roman" w:cs="Times New Roman"/>
          <w:sz w:val="24"/>
          <w:szCs w:val="24"/>
        </w:rPr>
        <w:t>:</w:t>
      </w:r>
    </w:p>
    <w:p w:rsidR="00052711" w:rsidRPr="004D3481" w:rsidP="003C0232" w14:paraId="2D17D1C7" w14:textId="77777777">
      <w:pPr>
        <w:pStyle w:val="PlainText"/>
        <w:rPr>
          <w:rFonts w:ascii="Times New Roman" w:hAnsi="Times New Roman" w:cs="Times New Roman"/>
          <w:sz w:val="24"/>
          <w:szCs w:val="24"/>
        </w:rPr>
      </w:pPr>
    </w:p>
    <w:p w:rsidR="00052711" w:rsidRPr="004D3481" w:rsidP="003C0232" w14:paraId="05D79D55" w14:textId="07BD3161">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licensee may charge </w:t>
      </w:r>
      <w:r w:rsidR="002A2924">
        <w:rPr>
          <w:rFonts w:ascii="Times New Roman" w:hAnsi="Times New Roman" w:cs="Times New Roman"/>
          <w:sz w:val="24"/>
          <w:szCs w:val="24"/>
        </w:rPr>
        <w:t>P</w:t>
      </w:r>
      <w:r w:rsidRPr="004D3481">
        <w:rPr>
          <w:rFonts w:ascii="Times New Roman" w:hAnsi="Times New Roman" w:cs="Times New Roman"/>
          <w:sz w:val="24"/>
          <w:szCs w:val="24"/>
        </w:rPr>
        <w:t xml:space="preserve">rogram sugar in anticipation of transfer, export, or production, if the licensee </w:t>
      </w:r>
      <w:r w:rsidR="001112A8">
        <w:rPr>
          <w:rFonts w:ascii="Times New Roman" w:hAnsi="Times New Roman" w:cs="Times New Roman"/>
          <w:sz w:val="24"/>
          <w:szCs w:val="24"/>
        </w:rPr>
        <w:t xml:space="preserve">has </w:t>
      </w:r>
      <w:r w:rsidRPr="004D3481">
        <w:rPr>
          <w:rFonts w:ascii="Times New Roman" w:hAnsi="Times New Roman" w:cs="Times New Roman"/>
          <w:sz w:val="24"/>
          <w:szCs w:val="24"/>
        </w:rPr>
        <w:t>established a performance bond or a letter of credit (L/C) with USDA which meets the following criteria</w:t>
      </w:r>
      <w:r w:rsidRPr="004D3481" w:rsidR="00AE3221">
        <w:rPr>
          <w:rFonts w:ascii="Times New Roman" w:hAnsi="Times New Roman" w:cs="Times New Roman"/>
          <w:sz w:val="24"/>
          <w:szCs w:val="24"/>
        </w:rPr>
        <w:t>: (</w:t>
      </w:r>
      <w:r w:rsidRPr="004D3481">
        <w:rPr>
          <w:rFonts w:ascii="Times New Roman" w:hAnsi="Times New Roman" w:cs="Times New Roman"/>
          <w:sz w:val="24"/>
          <w:szCs w:val="24"/>
        </w:rPr>
        <w:t>1) A bond or L/C may cover entries made during the time period stated in a bond.  (2) The obligation under bond or L/C shall be effective no later than the date of entry or date of transfer.  (3) The amount of bond or L/C shall be equal to 20 cents/pound of sugar to be entered.  (4) If the licensee fails to credit a license within the given time period, a specified payment shall be made to the U.S. Treasury.</w:t>
      </w:r>
    </w:p>
    <w:p w:rsidR="00052711" w:rsidRPr="004D3481" w:rsidP="003C0232" w14:paraId="3BBB77C8" w14:textId="77777777">
      <w:pPr>
        <w:pStyle w:val="PlainText"/>
        <w:rPr>
          <w:rFonts w:ascii="Times New Roman" w:hAnsi="Times New Roman" w:cs="Times New Roman"/>
          <w:sz w:val="24"/>
          <w:szCs w:val="24"/>
        </w:rPr>
      </w:pPr>
    </w:p>
    <w:p w:rsidR="00052711" w:rsidRPr="00FC718B" w:rsidP="003C0232" w14:paraId="21EF0C73" w14:textId="77777777">
      <w:pPr>
        <w:pStyle w:val="PlainText"/>
        <w:rPr>
          <w:rFonts w:ascii="Times New Roman" w:hAnsi="Times New Roman" w:cs="Times New Roman"/>
          <w:b/>
          <w:sz w:val="24"/>
          <w:szCs w:val="24"/>
        </w:rPr>
      </w:pPr>
      <w:r w:rsidRPr="00FC718B">
        <w:rPr>
          <w:rFonts w:ascii="Times New Roman" w:hAnsi="Times New Roman" w:cs="Times New Roman"/>
          <w:b/>
          <w:sz w:val="24"/>
          <w:szCs w:val="24"/>
        </w:rPr>
        <w:t>PRACTICAL UTILITY OF THIS COLLECTION IN DETERMINING COMPLIANCE WITH THE PROGRAM</w:t>
      </w:r>
    </w:p>
    <w:p w:rsidR="00052711" w:rsidRPr="004D3481" w:rsidP="003C0232" w14:paraId="6ABD549E" w14:textId="77777777">
      <w:pPr>
        <w:pStyle w:val="PlainText"/>
        <w:rPr>
          <w:rFonts w:ascii="Times New Roman" w:hAnsi="Times New Roman" w:cs="Times New Roman"/>
          <w:sz w:val="24"/>
          <w:szCs w:val="24"/>
        </w:rPr>
      </w:pPr>
    </w:p>
    <w:p w:rsidR="00052711" w:rsidRPr="004D3481" w:rsidP="003C0232" w14:paraId="7C641E1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2E030B">
        <w:t>To set</w:t>
      </w:r>
      <w:r w:rsidRPr="004D3481">
        <w:t xml:space="preserve"> the stage for this discussion, it may be instructive to review elements of U.S. sugar policy.  The United States limits imports of raw and refined sugar through tariff-rate quotas.    </w:t>
      </w:r>
    </w:p>
    <w:p w:rsidR="00052711" w:rsidRPr="004D3481" w:rsidP="003C0232" w14:paraId="27E4543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00052711" w:rsidRPr="004D3481" w:rsidP="003C0232" w14:paraId="7D80A55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This situation poses a challenge to U.S. exporters of sugar and sugar-containing products, which must compete with less expensive foreign products.  To address this price discrepancy, the </w:t>
      </w:r>
      <w:r w:rsidR="00AF6CDE">
        <w:t>P</w:t>
      </w:r>
      <w:r w:rsidRPr="004D3481">
        <w:t>rogram was developed to provide U.S. exporters with access to world-priced sugar, thereby making them more competitive in international markets.</w:t>
      </w:r>
    </w:p>
    <w:p w:rsidR="00052711" w:rsidRPr="004D3481" w:rsidP="003C0232" w14:paraId="4B54CEA1" w14:textId="77777777">
      <w:pPr>
        <w:pStyle w:val="PlainText"/>
        <w:rPr>
          <w:rFonts w:ascii="Times New Roman" w:hAnsi="Times New Roman" w:cs="Times New Roman"/>
          <w:sz w:val="24"/>
          <w:szCs w:val="24"/>
        </w:rPr>
      </w:pPr>
    </w:p>
    <w:p w:rsidR="00945FE4" w:rsidP="00945FE4" w14:paraId="0F87DB6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The information collection serves to verify that imported world-priced sugar is actually exported and not diverted onto the domestic market, thereby undermining the objectives of U.S. sugar policies.  This collection enables USDA to monitor participants in an effort to ensure compliance with </w:t>
      </w:r>
      <w:r w:rsidR="006D54F7">
        <w:t>P</w:t>
      </w:r>
      <w:r w:rsidRPr="004D3481">
        <w:t xml:space="preserve">rogram parameters.  </w:t>
      </w:r>
    </w:p>
    <w:p w:rsidR="005B4A4C" w:rsidP="00945FE4" w14:paraId="69F9650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00052711" w:rsidRPr="00E83C20" w:rsidP="003C0232" w14:paraId="1FA65AA6"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3.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52711" w:rsidRPr="004D3481" w:rsidP="003C0232" w14:paraId="4BF04B40" w14:textId="77777777">
      <w:pPr>
        <w:pStyle w:val="PlainText"/>
        <w:rPr>
          <w:rFonts w:ascii="Times New Roman" w:hAnsi="Times New Roman" w:cs="Times New Roman"/>
          <w:sz w:val="24"/>
          <w:szCs w:val="24"/>
        </w:rPr>
      </w:pPr>
    </w:p>
    <w:p w:rsidR="00052711" w:rsidRPr="004248E5" w:rsidP="004248E5" w14:paraId="5C83B1E3" w14:textId="5C749B3F">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Integrated</w:t>
      </w:r>
      <w:r w:rsidRPr="00344992">
        <w:rPr>
          <w:rFonts w:ascii="Times New Roman" w:hAnsi="Times New Roman" w:cs="Times New Roman"/>
          <w:i/>
          <w:sz w:val="24"/>
          <w:szCs w:val="24"/>
          <w:u w:val="single"/>
        </w:rPr>
        <w:t xml:space="preserve"> Data</w:t>
      </w:r>
      <w:r w:rsidR="00C3269A">
        <w:rPr>
          <w:rFonts w:ascii="Times New Roman" w:hAnsi="Times New Roman" w:cs="Times New Roman"/>
          <w:i/>
          <w:sz w:val="24"/>
          <w:szCs w:val="24"/>
          <w:u w:val="single"/>
        </w:rPr>
        <w:t>b</w:t>
      </w:r>
      <w:r w:rsidRPr="00344992">
        <w:rPr>
          <w:rFonts w:ascii="Times New Roman" w:hAnsi="Times New Roman" w:cs="Times New Roman"/>
          <w:i/>
          <w:sz w:val="24"/>
          <w:szCs w:val="24"/>
          <w:u w:val="single"/>
        </w:rPr>
        <w:t>ase</w:t>
      </w:r>
      <w:r>
        <w:rPr>
          <w:rFonts w:ascii="Times New Roman" w:hAnsi="Times New Roman" w:cs="Times New Roman"/>
          <w:i/>
          <w:sz w:val="24"/>
          <w:szCs w:val="24"/>
          <w:u w:val="single"/>
        </w:rPr>
        <w:t>:</w:t>
      </w:r>
      <w:r>
        <w:rPr>
          <w:rFonts w:ascii="Times New Roman" w:hAnsi="Times New Roman" w:cs="Times New Roman"/>
          <w:i/>
          <w:sz w:val="24"/>
          <w:szCs w:val="24"/>
        </w:rPr>
        <w:t xml:space="preserve"> </w:t>
      </w:r>
      <w:r w:rsidR="009A623D">
        <w:rPr>
          <w:rFonts w:ascii="Times New Roman" w:hAnsi="Times New Roman" w:cs="Times New Roman"/>
          <w:sz w:val="24"/>
          <w:szCs w:val="24"/>
        </w:rPr>
        <w:t>In</w:t>
      </w:r>
      <w:r w:rsidR="002E030B">
        <w:rPr>
          <w:rFonts w:ascii="Times New Roman" w:hAnsi="Times New Roman" w:cs="Times New Roman"/>
          <w:sz w:val="24"/>
          <w:szCs w:val="24"/>
        </w:rPr>
        <w:t xml:space="preserve"> </w:t>
      </w:r>
      <w:r w:rsidRPr="004248E5">
        <w:rPr>
          <w:rFonts w:ascii="Times New Roman" w:hAnsi="Times New Roman" w:cs="Times New Roman"/>
          <w:sz w:val="24"/>
          <w:szCs w:val="24"/>
        </w:rPr>
        <w:t>20</w:t>
      </w:r>
      <w:r w:rsidR="002E030B">
        <w:rPr>
          <w:rFonts w:ascii="Times New Roman" w:hAnsi="Times New Roman" w:cs="Times New Roman"/>
          <w:sz w:val="24"/>
          <w:szCs w:val="24"/>
        </w:rPr>
        <w:t>2</w:t>
      </w:r>
      <w:r w:rsidR="002B2ED6">
        <w:rPr>
          <w:rFonts w:ascii="Times New Roman" w:hAnsi="Times New Roman" w:cs="Times New Roman"/>
          <w:sz w:val="24"/>
          <w:szCs w:val="24"/>
        </w:rPr>
        <w:t>4</w:t>
      </w:r>
      <w:r w:rsidRPr="004248E5">
        <w:rPr>
          <w:rFonts w:ascii="Times New Roman" w:hAnsi="Times New Roman" w:cs="Times New Roman"/>
          <w:sz w:val="24"/>
          <w:szCs w:val="24"/>
        </w:rPr>
        <w:t>, a</w:t>
      </w:r>
      <w:r w:rsidRPr="004248E5">
        <w:rPr>
          <w:rFonts w:ascii="Times New Roman" w:hAnsi="Times New Roman" w:cs="Times New Roman"/>
          <w:sz w:val="24"/>
          <w:szCs w:val="24"/>
        </w:rPr>
        <w:t xml:space="preserve"> web-based software sys</w:t>
      </w:r>
      <w:r w:rsidRPr="004248E5">
        <w:rPr>
          <w:rFonts w:ascii="Times New Roman" w:hAnsi="Times New Roman" w:cs="Times New Roman"/>
          <w:sz w:val="24"/>
          <w:szCs w:val="24"/>
        </w:rPr>
        <w:t xml:space="preserve">tem called </w:t>
      </w:r>
      <w:r w:rsidR="006A72CA">
        <w:rPr>
          <w:rFonts w:ascii="Times New Roman" w:hAnsi="Times New Roman" w:cs="Times New Roman"/>
          <w:sz w:val="24"/>
          <w:szCs w:val="24"/>
        </w:rPr>
        <w:t>the</w:t>
      </w:r>
      <w:r w:rsidR="002E030B">
        <w:rPr>
          <w:rFonts w:ascii="Times New Roman" w:hAnsi="Times New Roman" w:cs="Times New Roman"/>
          <w:sz w:val="24"/>
          <w:szCs w:val="24"/>
        </w:rPr>
        <w:t xml:space="preserve"> Sugar Unified Certification Review Oversight Statistics Evaluation (SUCROSE) replace</w:t>
      </w:r>
      <w:r w:rsidR="009A623D">
        <w:rPr>
          <w:rFonts w:ascii="Times New Roman" w:hAnsi="Times New Roman" w:cs="Times New Roman"/>
          <w:sz w:val="24"/>
          <w:szCs w:val="24"/>
        </w:rPr>
        <w:t>d</w:t>
      </w:r>
      <w:r w:rsidR="002E030B">
        <w:rPr>
          <w:rFonts w:ascii="Times New Roman" w:hAnsi="Times New Roman" w:cs="Times New Roman"/>
          <w:sz w:val="24"/>
          <w:szCs w:val="24"/>
        </w:rPr>
        <w:t xml:space="preserve"> the previous system for the sugar re-export program</w:t>
      </w:r>
      <w:r w:rsidR="00C908C7">
        <w:rPr>
          <w:rFonts w:ascii="Times New Roman" w:hAnsi="Times New Roman" w:cs="Times New Roman"/>
          <w:sz w:val="24"/>
          <w:szCs w:val="24"/>
        </w:rPr>
        <w:t xml:space="preserve"> which was introduced in 2004</w:t>
      </w:r>
      <w:r w:rsidR="00014C94">
        <w:rPr>
          <w:rFonts w:ascii="Times New Roman" w:hAnsi="Times New Roman" w:cs="Times New Roman"/>
          <w:sz w:val="24"/>
          <w:szCs w:val="24"/>
        </w:rPr>
        <w:t>: the</w:t>
      </w:r>
      <w:r w:rsidR="00C908C7">
        <w:rPr>
          <w:rFonts w:ascii="Times New Roman" w:hAnsi="Times New Roman" w:cs="Times New Roman"/>
          <w:sz w:val="24"/>
          <w:szCs w:val="24"/>
        </w:rPr>
        <w:t xml:space="preserve"> </w:t>
      </w:r>
      <w:r w:rsidRPr="006A72CA" w:rsidR="006A72CA">
        <w:rPr>
          <w:rFonts w:ascii="Times New Roman" w:hAnsi="Times New Roman" w:cs="Times New Roman"/>
          <w:sz w:val="24"/>
          <w:szCs w:val="24"/>
        </w:rPr>
        <w:t>Sugars Users Group Accounting and Reporting System</w:t>
      </w:r>
      <w:r w:rsidR="006A72CA">
        <w:rPr>
          <w:rFonts w:ascii="Times New Roman" w:hAnsi="Times New Roman" w:cs="Times New Roman"/>
          <w:sz w:val="24"/>
          <w:szCs w:val="24"/>
        </w:rPr>
        <w:t xml:space="preserve"> (</w:t>
      </w:r>
      <w:r w:rsidRPr="004248E5">
        <w:rPr>
          <w:rFonts w:ascii="Times New Roman" w:hAnsi="Times New Roman" w:cs="Times New Roman"/>
          <w:sz w:val="24"/>
          <w:szCs w:val="24"/>
        </w:rPr>
        <w:t>SUGARS</w:t>
      </w:r>
      <w:r w:rsidR="006A72CA">
        <w:rPr>
          <w:rFonts w:ascii="Times New Roman" w:hAnsi="Times New Roman" w:cs="Times New Roman"/>
          <w:sz w:val="24"/>
          <w:szCs w:val="24"/>
        </w:rPr>
        <w:t>)</w:t>
      </w:r>
      <w:r w:rsidRPr="004248E5">
        <w:rPr>
          <w:rFonts w:ascii="Times New Roman" w:hAnsi="Times New Roman" w:cs="Times New Roman"/>
          <w:sz w:val="24"/>
          <w:szCs w:val="24"/>
        </w:rPr>
        <w:t xml:space="preserve"> </w:t>
      </w:r>
      <w:r>
        <w:rPr>
          <w:rFonts w:ascii="Times New Roman" w:hAnsi="Times New Roman" w:cs="Times New Roman"/>
          <w:sz w:val="24"/>
          <w:szCs w:val="24"/>
        </w:rPr>
        <w:t>(</w:t>
      </w:r>
      <w:hyperlink r:id="rId8" w:history="1">
        <w:r w:rsidRPr="002C4102" w:rsidR="00014C94">
          <w:rPr>
            <w:rStyle w:val="Hyperlink"/>
            <w:rFonts w:ascii="Times New Roman" w:hAnsi="Times New Roman"/>
            <w:sz w:val="24"/>
            <w:szCs w:val="24"/>
          </w:rPr>
          <w:t>http://www.fas.usda.gov/sugars/fassugarshome.aspx</w:t>
        </w:r>
      </w:hyperlink>
      <w:r w:rsidRPr="00F62530">
        <w:rPr>
          <w:rFonts w:ascii="Times New Roman" w:hAnsi="Times New Roman" w:cs="Times New Roman"/>
          <w:sz w:val="24"/>
          <w:szCs w:val="24"/>
        </w:rPr>
        <w:t>)</w:t>
      </w:r>
      <w:r w:rsidR="00014C94">
        <w:rPr>
          <w:rFonts w:ascii="Times New Roman" w:hAnsi="Times New Roman" w:cs="Times New Roman"/>
          <w:sz w:val="24"/>
          <w:szCs w:val="24"/>
        </w:rPr>
        <w:t>; FAS anticipates 100 percent of respondents will submit responses using the web-based system</w:t>
      </w:r>
      <w:r w:rsidRPr="00F62530" w:rsidR="002E030B">
        <w:rPr>
          <w:rFonts w:ascii="Times New Roman" w:hAnsi="Times New Roman" w:cs="Times New Roman"/>
          <w:sz w:val="24"/>
          <w:szCs w:val="24"/>
        </w:rPr>
        <w:t xml:space="preserve">. </w:t>
      </w:r>
      <w:r w:rsidRPr="00F62530" w:rsidR="00F62530">
        <w:rPr>
          <w:rStyle w:val="cf01"/>
          <w:rFonts w:ascii="Times New Roman" w:hAnsi="Times New Roman" w:cs="Times New Roman"/>
          <w:sz w:val="24"/>
          <w:szCs w:val="24"/>
        </w:rPr>
        <w:t>FA</w:t>
      </w:r>
      <w:r w:rsidR="00F62530">
        <w:rPr>
          <w:rStyle w:val="cf01"/>
          <w:rFonts w:ascii="Times New Roman" w:hAnsi="Times New Roman" w:cs="Times New Roman"/>
          <w:sz w:val="24"/>
          <w:szCs w:val="24"/>
        </w:rPr>
        <w:t>S</w:t>
      </w:r>
      <w:r w:rsidRPr="00F62530" w:rsidR="00F62530">
        <w:rPr>
          <w:rStyle w:val="cf01"/>
          <w:rFonts w:ascii="Times New Roman" w:hAnsi="Times New Roman" w:cs="Times New Roman"/>
          <w:sz w:val="24"/>
          <w:szCs w:val="24"/>
        </w:rPr>
        <w:t xml:space="preserve"> makes every effort to comply with the E-Government Act, 2002 (E-Gov) and to provide for alternative submission of information collections.</w:t>
      </w:r>
      <w:r w:rsidR="00EB20F6">
        <w:rPr>
          <w:rStyle w:val="cf01"/>
          <w:rFonts w:ascii="Times New Roman" w:hAnsi="Times New Roman" w:cs="Times New Roman"/>
          <w:sz w:val="24"/>
          <w:szCs w:val="24"/>
        </w:rPr>
        <w:t xml:space="preserve"> </w:t>
      </w:r>
      <w:r w:rsidR="002E030B">
        <w:rPr>
          <w:rFonts w:ascii="Times New Roman" w:hAnsi="Times New Roman" w:cs="Times New Roman"/>
          <w:sz w:val="24"/>
          <w:szCs w:val="24"/>
        </w:rPr>
        <w:t>SUCROSE</w:t>
      </w:r>
      <w:r>
        <w:rPr>
          <w:rFonts w:ascii="Times New Roman" w:hAnsi="Times New Roman" w:cs="Times New Roman"/>
          <w:sz w:val="24"/>
          <w:szCs w:val="24"/>
        </w:rPr>
        <w:t xml:space="preserve"> </w:t>
      </w:r>
      <w:r w:rsidR="00F83DA5">
        <w:rPr>
          <w:rFonts w:ascii="Times New Roman" w:hAnsi="Times New Roman" w:cs="Times New Roman"/>
          <w:sz w:val="24"/>
          <w:szCs w:val="24"/>
        </w:rPr>
        <w:t xml:space="preserve">is being implemented to </w:t>
      </w:r>
      <w:r w:rsidR="002E030B">
        <w:rPr>
          <w:rFonts w:ascii="Times New Roman" w:hAnsi="Times New Roman" w:cs="Times New Roman"/>
          <w:sz w:val="24"/>
          <w:szCs w:val="24"/>
        </w:rPr>
        <w:t>streamline</w:t>
      </w:r>
      <w:r w:rsidRPr="004248E5">
        <w:rPr>
          <w:rFonts w:ascii="Times New Roman" w:hAnsi="Times New Roman" w:cs="Times New Roman"/>
          <w:sz w:val="24"/>
          <w:szCs w:val="24"/>
        </w:rPr>
        <w:t xml:space="preserve"> </w:t>
      </w:r>
      <w:r w:rsidR="002E030B">
        <w:rPr>
          <w:rFonts w:ascii="Times New Roman" w:hAnsi="Times New Roman" w:cs="Times New Roman"/>
          <w:sz w:val="24"/>
          <w:szCs w:val="24"/>
        </w:rPr>
        <w:t xml:space="preserve">licensees’ submission of required </w:t>
      </w:r>
      <w:r w:rsidRPr="004248E5">
        <w:rPr>
          <w:rFonts w:ascii="Times New Roman" w:hAnsi="Times New Roman" w:cs="Times New Roman"/>
          <w:sz w:val="24"/>
          <w:szCs w:val="24"/>
        </w:rPr>
        <w:t>report</w:t>
      </w:r>
      <w:r w:rsidR="002E030B">
        <w:rPr>
          <w:rFonts w:ascii="Times New Roman" w:hAnsi="Times New Roman" w:cs="Times New Roman"/>
          <w:sz w:val="24"/>
          <w:szCs w:val="24"/>
        </w:rPr>
        <w:t>ing data</w:t>
      </w:r>
      <w:r w:rsidR="00C908C7">
        <w:rPr>
          <w:rFonts w:ascii="Times New Roman" w:hAnsi="Times New Roman" w:cs="Times New Roman"/>
          <w:sz w:val="24"/>
          <w:szCs w:val="24"/>
        </w:rPr>
        <w:t xml:space="preserve"> and for the first time </w:t>
      </w:r>
      <w:r w:rsidR="00266D42">
        <w:rPr>
          <w:rFonts w:ascii="Times New Roman" w:hAnsi="Times New Roman" w:cs="Times New Roman"/>
          <w:sz w:val="24"/>
          <w:szCs w:val="24"/>
        </w:rPr>
        <w:t xml:space="preserve">will </w:t>
      </w:r>
      <w:r w:rsidR="00C908C7">
        <w:rPr>
          <w:rFonts w:ascii="Times New Roman" w:hAnsi="Times New Roman" w:cs="Times New Roman"/>
          <w:sz w:val="24"/>
          <w:szCs w:val="24"/>
        </w:rPr>
        <w:t>allow licensees to view automatically updated information on their license balance</w:t>
      </w:r>
      <w:r w:rsidR="00F83DA5">
        <w:rPr>
          <w:rFonts w:ascii="Times New Roman" w:hAnsi="Times New Roman" w:cs="Times New Roman"/>
          <w:sz w:val="24"/>
          <w:szCs w:val="24"/>
        </w:rPr>
        <w:t>s</w:t>
      </w:r>
      <w:r w:rsidR="00C908C7">
        <w:rPr>
          <w:rFonts w:ascii="Times New Roman" w:hAnsi="Times New Roman" w:cs="Times New Roman"/>
          <w:sz w:val="24"/>
          <w:szCs w:val="24"/>
        </w:rPr>
        <w:t xml:space="preserve"> without requiring an e-mail to ask FAS to provide </w:t>
      </w:r>
      <w:r w:rsidR="00F83DA5">
        <w:rPr>
          <w:rFonts w:ascii="Times New Roman" w:hAnsi="Times New Roman" w:cs="Times New Roman"/>
          <w:sz w:val="24"/>
          <w:szCs w:val="24"/>
        </w:rPr>
        <w:t xml:space="preserve">such data.  </w:t>
      </w:r>
      <w:r w:rsidR="004A73C4">
        <w:rPr>
          <w:rFonts w:ascii="Times New Roman" w:hAnsi="Times New Roman" w:cs="Times New Roman"/>
          <w:sz w:val="24"/>
          <w:szCs w:val="24"/>
        </w:rPr>
        <w:t xml:space="preserve">Approved under this request, </w:t>
      </w:r>
      <w:r w:rsidR="00C908C7">
        <w:rPr>
          <w:rFonts w:ascii="Times New Roman" w:hAnsi="Times New Roman" w:cs="Times New Roman"/>
          <w:sz w:val="24"/>
          <w:szCs w:val="24"/>
        </w:rPr>
        <w:t xml:space="preserve">SUCROSE </w:t>
      </w:r>
      <w:r w:rsidR="00266D42">
        <w:rPr>
          <w:rFonts w:ascii="Times New Roman" w:hAnsi="Times New Roman" w:cs="Times New Roman"/>
          <w:sz w:val="24"/>
          <w:szCs w:val="24"/>
        </w:rPr>
        <w:t xml:space="preserve">will </w:t>
      </w:r>
      <w:r w:rsidR="00E437B4">
        <w:rPr>
          <w:rFonts w:ascii="Times New Roman" w:hAnsi="Times New Roman" w:cs="Times New Roman"/>
          <w:sz w:val="24"/>
          <w:szCs w:val="24"/>
        </w:rPr>
        <w:t>permit licensees</w:t>
      </w:r>
      <w:r w:rsidR="00C908C7">
        <w:rPr>
          <w:rFonts w:ascii="Times New Roman" w:hAnsi="Times New Roman" w:cs="Times New Roman"/>
          <w:sz w:val="24"/>
          <w:szCs w:val="24"/>
        </w:rPr>
        <w:t xml:space="preserve"> to submit requests for waivers on overdue transaction entries, to provide updated bond information, to grant access to multiple users to their company license profile, and to provide updated </w:t>
      </w:r>
      <w:r w:rsidR="00C3269A">
        <w:rPr>
          <w:rFonts w:ascii="Times New Roman" w:hAnsi="Times New Roman" w:cs="Times New Roman"/>
          <w:sz w:val="24"/>
          <w:szCs w:val="24"/>
        </w:rPr>
        <w:t xml:space="preserve">company </w:t>
      </w:r>
      <w:r w:rsidR="00C908C7">
        <w:rPr>
          <w:rFonts w:ascii="Times New Roman" w:hAnsi="Times New Roman" w:cs="Times New Roman"/>
          <w:sz w:val="24"/>
          <w:szCs w:val="24"/>
        </w:rPr>
        <w:t xml:space="preserve">information to FAS. </w:t>
      </w:r>
      <w:r w:rsidR="00F83DA5">
        <w:rPr>
          <w:rFonts w:ascii="Times New Roman" w:hAnsi="Times New Roman" w:cs="Times New Roman"/>
          <w:sz w:val="24"/>
          <w:szCs w:val="24"/>
        </w:rPr>
        <w:t xml:space="preserve"> </w:t>
      </w:r>
      <w:r w:rsidR="00C908C7">
        <w:rPr>
          <w:rFonts w:ascii="Times New Roman" w:hAnsi="Times New Roman" w:cs="Times New Roman"/>
          <w:sz w:val="24"/>
          <w:szCs w:val="24"/>
        </w:rPr>
        <w:t xml:space="preserve">SUCROSE </w:t>
      </w:r>
      <w:r w:rsidR="00995929">
        <w:rPr>
          <w:rFonts w:ascii="Times New Roman" w:hAnsi="Times New Roman" w:cs="Times New Roman"/>
          <w:sz w:val="24"/>
          <w:szCs w:val="24"/>
        </w:rPr>
        <w:t xml:space="preserve">will </w:t>
      </w:r>
      <w:r w:rsidR="00C908C7">
        <w:rPr>
          <w:rFonts w:ascii="Times New Roman" w:hAnsi="Times New Roman" w:cs="Times New Roman"/>
          <w:sz w:val="24"/>
          <w:szCs w:val="24"/>
        </w:rPr>
        <w:t>also allow new participants to apply for licenses through the system, which streamlines the application process and allows FAS to efficiently grant</w:t>
      </w:r>
      <w:r w:rsidR="0027276A">
        <w:rPr>
          <w:rFonts w:ascii="Times New Roman" w:hAnsi="Times New Roman" w:cs="Times New Roman"/>
          <w:sz w:val="24"/>
          <w:szCs w:val="24"/>
        </w:rPr>
        <w:t xml:space="preserve"> new licensees access to SUCROSE’s license management features </w:t>
      </w:r>
      <w:r w:rsidR="007506DD">
        <w:rPr>
          <w:rFonts w:ascii="Times New Roman" w:hAnsi="Times New Roman" w:cs="Times New Roman"/>
          <w:sz w:val="24"/>
          <w:szCs w:val="24"/>
        </w:rPr>
        <w:t>upon issu</w:t>
      </w:r>
      <w:r w:rsidR="00F83DA5">
        <w:rPr>
          <w:rFonts w:ascii="Times New Roman" w:hAnsi="Times New Roman" w:cs="Times New Roman"/>
          <w:sz w:val="24"/>
          <w:szCs w:val="24"/>
        </w:rPr>
        <w:t>ing</w:t>
      </w:r>
      <w:r w:rsidR="007506DD">
        <w:rPr>
          <w:rFonts w:ascii="Times New Roman" w:hAnsi="Times New Roman" w:cs="Times New Roman"/>
          <w:sz w:val="24"/>
          <w:szCs w:val="24"/>
        </w:rPr>
        <w:t xml:space="preserve"> </w:t>
      </w:r>
      <w:r w:rsidR="0027276A">
        <w:rPr>
          <w:rFonts w:ascii="Times New Roman" w:hAnsi="Times New Roman" w:cs="Times New Roman"/>
          <w:sz w:val="24"/>
          <w:szCs w:val="24"/>
        </w:rPr>
        <w:t>a license.</w:t>
      </w:r>
      <w:r w:rsidRPr="004248E5">
        <w:rPr>
          <w:rFonts w:ascii="Times New Roman" w:hAnsi="Times New Roman" w:cs="Times New Roman"/>
          <w:sz w:val="24"/>
          <w:szCs w:val="24"/>
        </w:rPr>
        <w:t xml:space="preserve"> </w:t>
      </w:r>
    </w:p>
    <w:p w:rsidR="00052711" w:rsidRPr="004248E5" w:rsidP="003C0232" w14:paraId="434C30EC" w14:textId="77777777">
      <w:pPr>
        <w:pStyle w:val="PlainText"/>
        <w:rPr>
          <w:rFonts w:ascii="Times New Roman" w:hAnsi="Times New Roman" w:cs="Times New Roman"/>
          <w:sz w:val="24"/>
          <w:szCs w:val="24"/>
        </w:rPr>
      </w:pPr>
    </w:p>
    <w:p w:rsidR="00052711" w:rsidRPr="00344992" w:rsidP="003C0232" w14:paraId="5CFDB74F" w14:textId="56291C2B">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Objectives of the Electronic Program:</w:t>
      </w:r>
    </w:p>
    <w:p w:rsidR="00052711" w:rsidRPr="004D3481" w:rsidP="003C0232" w14:paraId="0C6E28EB" w14:textId="77777777">
      <w:pPr>
        <w:pStyle w:val="PlainText"/>
        <w:rPr>
          <w:rFonts w:ascii="Times New Roman" w:hAnsi="Times New Roman" w:cs="Times New Roman"/>
          <w:sz w:val="24"/>
          <w:szCs w:val="24"/>
        </w:rPr>
      </w:pPr>
    </w:p>
    <w:p w:rsidR="0015062A" w:rsidRPr="0015062A" w:rsidP="0015062A" w14:paraId="28CACEAF" w14:textId="601E93E0">
      <w:r>
        <w:t xml:space="preserve">1.  </w:t>
      </w:r>
      <w:r w:rsidRPr="0015062A">
        <w:t>Unlike SUGARS, SUCROSE will operate as an integrated instrument capable of monitoring compliance with the regulation and serving as a platform for new license applications.</w:t>
      </w:r>
    </w:p>
    <w:p w:rsidR="0015062A" w:rsidP="003C0232" w14:paraId="49C0AE23"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00052711" w:rsidRPr="007602D0" w:rsidP="003C0232" w14:paraId="79248354" w14:textId="615771D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rPr>
          <w:strike/>
        </w:rPr>
      </w:pPr>
      <w:r>
        <w:t>2</w:t>
      </w:r>
      <w:r w:rsidRPr="004D3481">
        <w:t xml:space="preserve">.  The </w:t>
      </w:r>
      <w:r w:rsidR="00674D4C">
        <w:t xml:space="preserve">SUCROSE </w:t>
      </w:r>
      <w:r w:rsidRPr="004D3481">
        <w:t xml:space="preserve">system </w:t>
      </w:r>
      <w:r w:rsidR="00995929">
        <w:t xml:space="preserve">will </w:t>
      </w:r>
      <w:r w:rsidRPr="004D3481">
        <w:t xml:space="preserve">provide more efficient reporting options for </w:t>
      </w:r>
      <w:r w:rsidR="003435E7">
        <w:t>P</w:t>
      </w:r>
      <w:r w:rsidRPr="004D3481">
        <w:t xml:space="preserve">rogram participants by allowing </w:t>
      </w:r>
      <w:r w:rsidR="00794484">
        <w:t xml:space="preserve">licensees </w:t>
      </w:r>
      <w:r w:rsidRPr="004D3481">
        <w:t xml:space="preserve">to upload data </w:t>
      </w:r>
      <w:r w:rsidR="00674D4C">
        <w:t>at their convenience and see automatic updates to their license balance information (similar to an on</w:t>
      </w:r>
      <w:r w:rsidR="00F83DA5">
        <w:t>-</w:t>
      </w:r>
      <w:r w:rsidR="00674D4C">
        <w:t>line checking account)</w:t>
      </w:r>
      <w:r w:rsidRPr="004D3481">
        <w:t xml:space="preserve">.  </w:t>
      </w:r>
      <w:r w:rsidR="007506DD">
        <w:t>T</w:t>
      </w:r>
      <w:r w:rsidR="00674D4C">
        <w:t xml:space="preserve">o improve FAS’ audit, </w:t>
      </w:r>
      <w:r w:rsidR="00794484">
        <w:t>monitoring</w:t>
      </w:r>
      <w:r w:rsidR="00674D4C">
        <w:t>, and enforcement capabilities, FAS will add a</w:t>
      </w:r>
      <w:r w:rsidR="00F83DA5">
        <w:t xml:space="preserve"> compliance</w:t>
      </w:r>
      <w:r w:rsidRPr="004D3481">
        <w:t xml:space="preserve"> </w:t>
      </w:r>
      <w:r w:rsidR="00F83DA5">
        <w:t xml:space="preserve">feature </w:t>
      </w:r>
      <w:r w:rsidRPr="004D3481">
        <w:t>in</w:t>
      </w:r>
      <w:r w:rsidR="00674D4C">
        <w:t xml:space="preserve"> SUCROSE</w:t>
      </w:r>
      <w:r w:rsidR="00F83DA5">
        <w:t>.</w:t>
      </w:r>
      <w:r w:rsidR="00674D4C">
        <w:t xml:space="preserve"> </w:t>
      </w:r>
      <w:r w:rsidR="00995929">
        <w:t xml:space="preserve"> </w:t>
      </w:r>
      <w:r w:rsidR="00F83DA5">
        <w:t xml:space="preserve">The system will have the capability </w:t>
      </w:r>
      <w:r w:rsidR="00AF3AD9">
        <w:t xml:space="preserve">for a licensee to upload documents upon request by </w:t>
      </w:r>
      <w:r w:rsidR="00674D4C">
        <w:t>FAS</w:t>
      </w:r>
      <w:r w:rsidR="00AF3AD9">
        <w:t>.</w:t>
      </w:r>
      <w:r w:rsidR="00674D4C">
        <w:t xml:space="preserve"> </w:t>
      </w:r>
    </w:p>
    <w:p w:rsidR="00052711" w:rsidRPr="004D3481" w:rsidP="003C0232" w14:paraId="08CF240E"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00052711" w:rsidRPr="004D3481" w:rsidP="003C0232" w14:paraId="0DA6EE5A" w14:textId="748D69B2">
      <w:pPr>
        <w:pStyle w:val="PlainText"/>
        <w:rPr>
          <w:rFonts w:ascii="Times New Roman" w:hAnsi="Times New Roman" w:cs="Times New Roman"/>
          <w:sz w:val="24"/>
          <w:szCs w:val="24"/>
        </w:rPr>
      </w:pPr>
      <w:r>
        <w:rPr>
          <w:rFonts w:ascii="Times New Roman" w:hAnsi="Times New Roman" w:cs="Times New Roman"/>
          <w:sz w:val="24"/>
          <w:szCs w:val="24"/>
        </w:rPr>
        <w:t>3</w:t>
      </w:r>
      <w:r w:rsidRPr="004D3481">
        <w:rPr>
          <w:rFonts w:ascii="Times New Roman" w:hAnsi="Times New Roman" w:cs="Times New Roman"/>
          <w:sz w:val="24"/>
          <w:szCs w:val="24"/>
        </w:rPr>
        <w:t xml:space="preserve">.  The </w:t>
      </w:r>
      <w:r w:rsidR="00674D4C">
        <w:rPr>
          <w:rFonts w:ascii="Times New Roman" w:hAnsi="Times New Roman" w:cs="Times New Roman"/>
          <w:sz w:val="24"/>
          <w:szCs w:val="24"/>
        </w:rPr>
        <w:t>SUCROSE</w:t>
      </w:r>
      <w:r w:rsidRPr="004D3481" w:rsidR="00674D4C">
        <w:rPr>
          <w:rFonts w:ascii="Times New Roman" w:hAnsi="Times New Roman" w:cs="Times New Roman"/>
          <w:sz w:val="24"/>
          <w:szCs w:val="24"/>
        </w:rPr>
        <w:t xml:space="preserve"> </w:t>
      </w:r>
      <w:r w:rsidRPr="004D3481">
        <w:rPr>
          <w:rFonts w:ascii="Times New Roman" w:hAnsi="Times New Roman" w:cs="Times New Roman"/>
          <w:sz w:val="24"/>
          <w:szCs w:val="24"/>
        </w:rPr>
        <w:t>software</w:t>
      </w:r>
      <w:r w:rsidR="00995929">
        <w:rPr>
          <w:rFonts w:ascii="Times New Roman" w:hAnsi="Times New Roman" w:cs="Times New Roman"/>
          <w:sz w:val="24"/>
          <w:szCs w:val="24"/>
        </w:rPr>
        <w:t xml:space="preserve"> will</w:t>
      </w:r>
      <w:r w:rsidRPr="004D3481">
        <w:rPr>
          <w:rFonts w:ascii="Times New Roman" w:hAnsi="Times New Roman" w:cs="Times New Roman"/>
          <w:sz w:val="24"/>
          <w:szCs w:val="24"/>
        </w:rPr>
        <w:t xml:space="preserve"> link data for manufacturers of sugar-containing products, companies making inedible polyhydric alcohol, and sugar refiners.  The </w:t>
      </w:r>
      <w:r w:rsidR="00AF3AD9">
        <w:rPr>
          <w:rFonts w:ascii="Times New Roman" w:hAnsi="Times New Roman" w:cs="Times New Roman"/>
          <w:sz w:val="24"/>
          <w:szCs w:val="24"/>
        </w:rPr>
        <w:t>developing</w:t>
      </w:r>
      <w:r w:rsidR="00650A1D">
        <w:rPr>
          <w:rFonts w:ascii="Times New Roman" w:hAnsi="Times New Roman" w:cs="Times New Roman"/>
          <w:sz w:val="24"/>
          <w:szCs w:val="24"/>
        </w:rPr>
        <w:t xml:space="preserve"> </w:t>
      </w:r>
      <w:r w:rsidRPr="004D3481">
        <w:rPr>
          <w:rFonts w:ascii="Times New Roman" w:hAnsi="Times New Roman" w:cs="Times New Roman"/>
          <w:sz w:val="24"/>
          <w:szCs w:val="24"/>
        </w:rPr>
        <w:t>on</w:t>
      </w:r>
      <w:r w:rsidR="00AF3AD9">
        <w:rPr>
          <w:rFonts w:ascii="Times New Roman" w:hAnsi="Times New Roman" w:cs="Times New Roman"/>
          <w:sz w:val="24"/>
          <w:szCs w:val="24"/>
        </w:rPr>
        <w:t>-</w:t>
      </w:r>
      <w:r w:rsidRPr="004D3481">
        <w:rPr>
          <w:rFonts w:ascii="Times New Roman" w:hAnsi="Times New Roman" w:cs="Times New Roman"/>
          <w:sz w:val="24"/>
          <w:szCs w:val="24"/>
        </w:rPr>
        <w:t xml:space="preserve">line system </w:t>
      </w:r>
      <w:r w:rsidR="00995929">
        <w:rPr>
          <w:rFonts w:ascii="Times New Roman" w:hAnsi="Times New Roman" w:cs="Times New Roman"/>
          <w:sz w:val="24"/>
          <w:szCs w:val="24"/>
        </w:rPr>
        <w:t xml:space="preserve">will </w:t>
      </w:r>
      <w:r w:rsidRPr="004D3481">
        <w:rPr>
          <w:rFonts w:ascii="Times New Roman" w:hAnsi="Times New Roman" w:cs="Times New Roman"/>
          <w:sz w:val="24"/>
          <w:szCs w:val="24"/>
        </w:rPr>
        <w:t xml:space="preserve">offer </w:t>
      </w:r>
      <w:r w:rsidR="00650A1D">
        <w:rPr>
          <w:rFonts w:ascii="Times New Roman" w:hAnsi="Times New Roman" w:cs="Times New Roman"/>
          <w:sz w:val="24"/>
          <w:szCs w:val="24"/>
        </w:rPr>
        <w:t>automatic</w:t>
      </w:r>
      <w:r w:rsidRPr="004D3481" w:rsidR="00650A1D">
        <w:rPr>
          <w:rFonts w:ascii="Times New Roman" w:hAnsi="Times New Roman" w:cs="Times New Roman"/>
          <w:sz w:val="24"/>
          <w:szCs w:val="24"/>
        </w:rPr>
        <w:t xml:space="preserve"> </w:t>
      </w:r>
      <w:r w:rsidRPr="004D3481">
        <w:rPr>
          <w:rFonts w:ascii="Times New Roman" w:hAnsi="Times New Roman" w:cs="Times New Roman"/>
          <w:sz w:val="24"/>
          <w:szCs w:val="24"/>
        </w:rPr>
        <w:t xml:space="preserve">feedback to </w:t>
      </w:r>
      <w:r w:rsidR="00794484">
        <w:rPr>
          <w:rFonts w:ascii="Times New Roman" w:hAnsi="Times New Roman" w:cs="Times New Roman"/>
          <w:sz w:val="24"/>
          <w:szCs w:val="24"/>
        </w:rPr>
        <w:t xml:space="preserve">users </w:t>
      </w:r>
      <w:r w:rsidRPr="004D3481">
        <w:rPr>
          <w:rFonts w:ascii="Times New Roman" w:hAnsi="Times New Roman" w:cs="Times New Roman"/>
          <w:sz w:val="24"/>
          <w:szCs w:val="24"/>
        </w:rPr>
        <w:t xml:space="preserve">about their </w:t>
      </w:r>
      <w:r w:rsidR="003435E7">
        <w:rPr>
          <w:rFonts w:ascii="Times New Roman" w:hAnsi="Times New Roman" w:cs="Times New Roman"/>
          <w:sz w:val="24"/>
          <w:szCs w:val="24"/>
        </w:rPr>
        <w:t>P</w:t>
      </w:r>
      <w:r w:rsidRPr="004D3481">
        <w:rPr>
          <w:rFonts w:ascii="Times New Roman" w:hAnsi="Times New Roman" w:cs="Times New Roman"/>
          <w:sz w:val="24"/>
          <w:szCs w:val="24"/>
        </w:rPr>
        <w:t xml:space="preserve">rogram balances following a submission.  </w:t>
      </w:r>
      <w:r w:rsidR="00650A1D">
        <w:rPr>
          <w:rFonts w:ascii="Times New Roman" w:hAnsi="Times New Roman" w:cs="Times New Roman"/>
          <w:sz w:val="24"/>
          <w:szCs w:val="24"/>
        </w:rPr>
        <w:t xml:space="preserve">SUCROSE </w:t>
      </w:r>
      <w:r w:rsidR="00995929">
        <w:rPr>
          <w:rFonts w:ascii="Times New Roman" w:hAnsi="Times New Roman" w:cs="Times New Roman"/>
          <w:sz w:val="24"/>
          <w:szCs w:val="24"/>
        </w:rPr>
        <w:t xml:space="preserve">will </w:t>
      </w:r>
      <w:r w:rsidR="00650A1D">
        <w:rPr>
          <w:rFonts w:ascii="Times New Roman" w:hAnsi="Times New Roman" w:cs="Times New Roman"/>
          <w:sz w:val="24"/>
          <w:szCs w:val="24"/>
        </w:rPr>
        <w:t>reduce the burden on</w:t>
      </w:r>
      <w:r w:rsidRPr="004D3481" w:rsidR="00650A1D">
        <w:rPr>
          <w:rFonts w:ascii="Times New Roman" w:hAnsi="Times New Roman" w:cs="Times New Roman"/>
          <w:sz w:val="24"/>
          <w:szCs w:val="24"/>
        </w:rPr>
        <w:t xml:space="preserve"> </w:t>
      </w:r>
      <w:r w:rsidRPr="004D3481">
        <w:rPr>
          <w:rFonts w:ascii="Times New Roman" w:hAnsi="Times New Roman" w:cs="Times New Roman"/>
          <w:sz w:val="24"/>
          <w:szCs w:val="24"/>
        </w:rPr>
        <w:t xml:space="preserve">FAS </w:t>
      </w:r>
      <w:r w:rsidR="00650A1D">
        <w:rPr>
          <w:rFonts w:ascii="Times New Roman" w:hAnsi="Times New Roman" w:cs="Times New Roman"/>
          <w:sz w:val="24"/>
          <w:szCs w:val="24"/>
        </w:rPr>
        <w:t xml:space="preserve">staff </w:t>
      </w:r>
      <w:r w:rsidRPr="004D3481">
        <w:rPr>
          <w:rFonts w:ascii="Times New Roman" w:hAnsi="Times New Roman" w:cs="Times New Roman"/>
          <w:sz w:val="24"/>
          <w:szCs w:val="24"/>
        </w:rPr>
        <w:t>to</w:t>
      </w:r>
      <w:r w:rsidR="00650A1D">
        <w:rPr>
          <w:rFonts w:ascii="Times New Roman" w:hAnsi="Times New Roman" w:cs="Times New Roman"/>
          <w:sz w:val="24"/>
          <w:szCs w:val="24"/>
        </w:rPr>
        <w:t xml:space="preserve"> manually</w:t>
      </w:r>
      <w:r w:rsidRPr="004D3481">
        <w:rPr>
          <w:rFonts w:ascii="Times New Roman" w:hAnsi="Times New Roman" w:cs="Times New Roman"/>
          <w:sz w:val="24"/>
          <w:szCs w:val="24"/>
        </w:rPr>
        <w:t xml:space="preserve"> verify each submission</w:t>
      </w:r>
      <w:r w:rsidR="00650A1D">
        <w:rPr>
          <w:rFonts w:ascii="Times New Roman" w:hAnsi="Times New Roman" w:cs="Times New Roman"/>
          <w:sz w:val="24"/>
          <w:szCs w:val="24"/>
        </w:rPr>
        <w:t xml:space="preserve"> by relying on coded compliance checks before accepting transactions; participants will also save time by not having to e-mail FAS </w:t>
      </w:r>
      <w:r w:rsidRPr="004D3481">
        <w:rPr>
          <w:rFonts w:ascii="Times New Roman" w:hAnsi="Times New Roman" w:cs="Times New Roman"/>
          <w:sz w:val="24"/>
          <w:szCs w:val="24"/>
        </w:rPr>
        <w:t xml:space="preserve">to know their </w:t>
      </w:r>
      <w:r w:rsidR="003435E7">
        <w:rPr>
          <w:rFonts w:ascii="Times New Roman" w:hAnsi="Times New Roman" w:cs="Times New Roman"/>
          <w:sz w:val="24"/>
          <w:szCs w:val="24"/>
        </w:rPr>
        <w:t>P</w:t>
      </w:r>
      <w:r w:rsidRPr="004D3481">
        <w:rPr>
          <w:rFonts w:ascii="Times New Roman" w:hAnsi="Times New Roman" w:cs="Times New Roman"/>
          <w:sz w:val="24"/>
          <w:szCs w:val="24"/>
        </w:rPr>
        <w:t xml:space="preserve">rogram status </w:t>
      </w:r>
      <w:r w:rsidR="00AF3AD9">
        <w:rPr>
          <w:rFonts w:ascii="Times New Roman" w:hAnsi="Times New Roman" w:cs="Times New Roman"/>
          <w:sz w:val="24"/>
          <w:szCs w:val="24"/>
        </w:rPr>
        <w:t xml:space="preserve">to </w:t>
      </w:r>
      <w:r w:rsidRPr="004D3481">
        <w:rPr>
          <w:rFonts w:ascii="Times New Roman" w:hAnsi="Times New Roman" w:cs="Times New Roman"/>
          <w:sz w:val="24"/>
          <w:szCs w:val="24"/>
        </w:rPr>
        <w:t xml:space="preserve">make more informed and timely decisions about purchases of </w:t>
      </w:r>
      <w:r w:rsidR="003435E7">
        <w:rPr>
          <w:rFonts w:ascii="Times New Roman" w:hAnsi="Times New Roman" w:cs="Times New Roman"/>
          <w:sz w:val="24"/>
          <w:szCs w:val="24"/>
        </w:rPr>
        <w:t>P</w:t>
      </w:r>
      <w:r w:rsidRPr="004D3481">
        <w:rPr>
          <w:rFonts w:ascii="Times New Roman" w:hAnsi="Times New Roman" w:cs="Times New Roman"/>
          <w:sz w:val="24"/>
          <w:szCs w:val="24"/>
        </w:rPr>
        <w:t xml:space="preserve">rogram sugar from licensed refiners.  </w:t>
      </w:r>
    </w:p>
    <w:p w:rsidR="00052711" w:rsidRPr="004D3481" w:rsidP="003C0232" w14:paraId="5812AE30" w14:textId="77777777">
      <w:pPr>
        <w:pStyle w:val="PlainText"/>
        <w:rPr>
          <w:rFonts w:ascii="Times New Roman" w:hAnsi="Times New Roman" w:cs="Times New Roman"/>
          <w:sz w:val="24"/>
          <w:szCs w:val="24"/>
        </w:rPr>
      </w:pPr>
    </w:p>
    <w:p w:rsidR="00C008C2" w:rsidP="003C0232" w14:paraId="6F5E978D" w14:textId="0FD00137">
      <w:pPr>
        <w:pStyle w:val="PlainText"/>
        <w:rPr>
          <w:rFonts w:ascii="Times New Roman" w:hAnsi="Times New Roman" w:cs="Times New Roman"/>
          <w:sz w:val="24"/>
          <w:szCs w:val="24"/>
        </w:rPr>
      </w:pPr>
      <w:r>
        <w:rPr>
          <w:rFonts w:ascii="Times New Roman" w:hAnsi="Times New Roman" w:cs="Times New Roman"/>
          <w:sz w:val="24"/>
          <w:szCs w:val="24"/>
        </w:rPr>
        <w:t>4</w:t>
      </w:r>
      <w:r w:rsidRPr="004D3481" w:rsidR="00052711">
        <w:rPr>
          <w:rFonts w:ascii="Times New Roman" w:hAnsi="Times New Roman" w:cs="Times New Roman"/>
          <w:sz w:val="24"/>
          <w:szCs w:val="24"/>
        </w:rPr>
        <w:t xml:space="preserve">. </w:t>
      </w:r>
      <w:r>
        <w:rPr>
          <w:rFonts w:ascii="Times New Roman" w:hAnsi="Times New Roman" w:cs="Times New Roman"/>
          <w:sz w:val="24"/>
          <w:szCs w:val="24"/>
        </w:rPr>
        <w:t>Under SUGARS, m</w:t>
      </w:r>
      <w:r w:rsidR="00734DC7">
        <w:rPr>
          <w:rFonts w:ascii="Times New Roman" w:hAnsi="Times New Roman" w:cs="Times New Roman"/>
          <w:sz w:val="24"/>
          <w:szCs w:val="24"/>
        </w:rPr>
        <w:t>anaging the refined sugar re-export</w:t>
      </w:r>
      <w:r w:rsidR="002C2E1A">
        <w:rPr>
          <w:rFonts w:ascii="Times New Roman" w:hAnsi="Times New Roman" w:cs="Times New Roman"/>
          <w:sz w:val="24"/>
          <w:szCs w:val="24"/>
        </w:rPr>
        <w:t xml:space="preserve"> licensing</w:t>
      </w:r>
      <w:r w:rsidR="00734DC7">
        <w:rPr>
          <w:rFonts w:ascii="Times New Roman" w:hAnsi="Times New Roman" w:cs="Times New Roman"/>
          <w:sz w:val="24"/>
          <w:szCs w:val="24"/>
        </w:rPr>
        <w:t xml:space="preserve"> </w:t>
      </w:r>
      <w:r w:rsidR="002C2E1A">
        <w:rPr>
          <w:rFonts w:ascii="Times New Roman" w:hAnsi="Times New Roman" w:cs="Times New Roman"/>
          <w:sz w:val="24"/>
          <w:szCs w:val="24"/>
        </w:rPr>
        <w:t>P</w:t>
      </w:r>
      <w:r w:rsidR="00734DC7">
        <w:rPr>
          <w:rFonts w:ascii="Times New Roman" w:hAnsi="Times New Roman" w:cs="Times New Roman"/>
          <w:sz w:val="24"/>
          <w:szCs w:val="24"/>
        </w:rPr>
        <w:t>rogram</w:t>
      </w:r>
      <w:r w:rsidRPr="004D3481" w:rsidR="00052711">
        <w:rPr>
          <w:rFonts w:ascii="Times New Roman" w:hAnsi="Times New Roman" w:cs="Times New Roman"/>
          <w:sz w:val="24"/>
          <w:szCs w:val="24"/>
        </w:rPr>
        <w:t xml:space="preserve"> </w:t>
      </w:r>
      <w:r w:rsidR="00734DC7">
        <w:rPr>
          <w:rFonts w:ascii="Times New Roman" w:hAnsi="Times New Roman" w:cs="Times New Roman"/>
          <w:sz w:val="24"/>
          <w:szCs w:val="24"/>
        </w:rPr>
        <w:t xml:space="preserve">no longer requires a program assistant and an import control specialist. </w:t>
      </w:r>
      <w:r w:rsidRPr="004D3481" w:rsidR="00052711">
        <w:rPr>
          <w:rFonts w:ascii="Times New Roman" w:hAnsi="Times New Roman" w:cs="Times New Roman"/>
          <w:sz w:val="24"/>
          <w:szCs w:val="24"/>
        </w:rPr>
        <w:t xml:space="preserve"> </w:t>
      </w:r>
      <w:r>
        <w:rPr>
          <w:rFonts w:ascii="Times New Roman" w:hAnsi="Times New Roman" w:cs="Times New Roman"/>
          <w:sz w:val="24"/>
          <w:szCs w:val="24"/>
        </w:rPr>
        <w:t xml:space="preserve">SUCROSE will move in the same direction.  </w:t>
      </w:r>
      <w:r w:rsidRPr="004D3481" w:rsidR="00052711">
        <w:rPr>
          <w:rFonts w:ascii="Times New Roman" w:hAnsi="Times New Roman" w:cs="Times New Roman"/>
          <w:sz w:val="24"/>
          <w:szCs w:val="24"/>
        </w:rPr>
        <w:t>By reducing human error, the</w:t>
      </w:r>
      <w:r w:rsidR="00650A1D">
        <w:rPr>
          <w:rFonts w:ascii="Times New Roman" w:hAnsi="Times New Roman" w:cs="Times New Roman"/>
          <w:sz w:val="24"/>
          <w:szCs w:val="24"/>
        </w:rPr>
        <w:t xml:space="preserve"> SUCROSE</w:t>
      </w:r>
      <w:r w:rsidRPr="004D3481" w:rsidR="00052711">
        <w:rPr>
          <w:rFonts w:ascii="Times New Roman" w:hAnsi="Times New Roman" w:cs="Times New Roman"/>
          <w:sz w:val="24"/>
          <w:szCs w:val="24"/>
        </w:rPr>
        <w:t xml:space="preserve"> database </w:t>
      </w:r>
      <w:r w:rsidR="00AF3AD9">
        <w:rPr>
          <w:rFonts w:ascii="Times New Roman" w:hAnsi="Times New Roman" w:cs="Times New Roman"/>
          <w:sz w:val="24"/>
          <w:szCs w:val="24"/>
        </w:rPr>
        <w:t xml:space="preserve">will </w:t>
      </w:r>
      <w:r w:rsidRPr="004D3481" w:rsidR="00052711">
        <w:rPr>
          <w:rFonts w:ascii="Times New Roman" w:hAnsi="Times New Roman" w:cs="Times New Roman"/>
          <w:sz w:val="24"/>
          <w:szCs w:val="24"/>
        </w:rPr>
        <w:t>notif</w:t>
      </w:r>
      <w:r w:rsidR="00AF3AD9">
        <w:rPr>
          <w:rFonts w:ascii="Times New Roman" w:hAnsi="Times New Roman" w:cs="Times New Roman"/>
          <w:sz w:val="24"/>
          <w:szCs w:val="24"/>
        </w:rPr>
        <w:t>y</w:t>
      </w:r>
      <w:r w:rsidRPr="004D3481" w:rsidR="00052711">
        <w:rPr>
          <w:rFonts w:ascii="Times New Roman" w:hAnsi="Times New Roman" w:cs="Times New Roman"/>
          <w:sz w:val="24"/>
          <w:szCs w:val="24"/>
        </w:rPr>
        <w:t xml:space="preserve"> FAS staff a</w:t>
      </w:r>
      <w:r w:rsidR="00650A1D">
        <w:rPr>
          <w:rFonts w:ascii="Times New Roman" w:hAnsi="Times New Roman" w:cs="Times New Roman"/>
          <w:sz w:val="24"/>
          <w:szCs w:val="24"/>
        </w:rPr>
        <w:t>nd</w:t>
      </w:r>
      <w:r w:rsidRPr="004D3481" w:rsidR="00052711">
        <w:rPr>
          <w:rFonts w:ascii="Times New Roman" w:hAnsi="Times New Roman" w:cs="Times New Roman"/>
          <w:sz w:val="24"/>
          <w:szCs w:val="24"/>
        </w:rPr>
        <w:t xml:space="preserve"> participant</w:t>
      </w:r>
      <w:r w:rsidR="00650A1D">
        <w:rPr>
          <w:rFonts w:ascii="Times New Roman" w:hAnsi="Times New Roman" w:cs="Times New Roman"/>
          <w:sz w:val="24"/>
          <w:szCs w:val="24"/>
        </w:rPr>
        <w:t>s when a licensee/participant</w:t>
      </w:r>
      <w:r w:rsidRPr="004D3481" w:rsidR="00052711">
        <w:rPr>
          <w:rFonts w:ascii="Times New Roman" w:hAnsi="Times New Roman" w:cs="Times New Roman"/>
          <w:sz w:val="24"/>
          <w:szCs w:val="24"/>
        </w:rPr>
        <w:t xml:space="preserve"> has exceeded their bonded or license limit. </w:t>
      </w:r>
      <w:r w:rsidR="000820D4">
        <w:rPr>
          <w:rFonts w:ascii="Times New Roman" w:hAnsi="Times New Roman" w:cs="Times New Roman"/>
          <w:sz w:val="24"/>
          <w:szCs w:val="24"/>
        </w:rPr>
        <w:t xml:space="preserve"> </w:t>
      </w:r>
      <w:r w:rsidR="00650A1D">
        <w:rPr>
          <w:rFonts w:ascii="Times New Roman" w:hAnsi="Times New Roman" w:cs="Times New Roman"/>
          <w:sz w:val="24"/>
          <w:szCs w:val="24"/>
        </w:rPr>
        <w:t xml:space="preserve">SUCROSE </w:t>
      </w:r>
      <w:r w:rsidR="00AF3AD9">
        <w:rPr>
          <w:rFonts w:ascii="Times New Roman" w:hAnsi="Times New Roman" w:cs="Times New Roman"/>
          <w:sz w:val="24"/>
          <w:szCs w:val="24"/>
        </w:rPr>
        <w:t xml:space="preserve">will </w:t>
      </w:r>
      <w:r w:rsidR="00650A1D">
        <w:rPr>
          <w:rFonts w:ascii="Times New Roman" w:hAnsi="Times New Roman" w:cs="Times New Roman"/>
          <w:sz w:val="24"/>
          <w:szCs w:val="24"/>
        </w:rPr>
        <w:t xml:space="preserve">eliminate the need for FAS staff to undertake complex mathematical cross-checking to determine if a licensee is out of compliance with their license balance and then notify the </w:t>
      </w:r>
      <w:r w:rsidR="00C3269A">
        <w:rPr>
          <w:rFonts w:ascii="Times New Roman" w:hAnsi="Times New Roman" w:cs="Times New Roman"/>
          <w:sz w:val="24"/>
          <w:szCs w:val="24"/>
        </w:rPr>
        <w:t>participant</w:t>
      </w:r>
      <w:r w:rsidR="00650A1D">
        <w:rPr>
          <w:rFonts w:ascii="Times New Roman" w:hAnsi="Times New Roman" w:cs="Times New Roman"/>
          <w:sz w:val="24"/>
          <w:szCs w:val="24"/>
        </w:rPr>
        <w:t xml:space="preserve"> via e-mail. </w:t>
      </w:r>
      <w:r w:rsidR="00EB3780">
        <w:rPr>
          <w:rFonts w:ascii="Times New Roman" w:hAnsi="Times New Roman" w:cs="Times New Roman"/>
          <w:sz w:val="24"/>
          <w:szCs w:val="24"/>
        </w:rPr>
        <w:t xml:space="preserve"> </w:t>
      </w:r>
      <w:r w:rsidR="00650A1D">
        <w:rPr>
          <w:rFonts w:ascii="Times New Roman" w:hAnsi="Times New Roman" w:cs="Times New Roman"/>
          <w:sz w:val="24"/>
          <w:szCs w:val="24"/>
        </w:rPr>
        <w:t xml:space="preserve">SUCROSE will stop participants from </w:t>
      </w:r>
      <w:r w:rsidR="00EB3780">
        <w:rPr>
          <w:rFonts w:ascii="Times New Roman" w:hAnsi="Times New Roman" w:cs="Times New Roman"/>
          <w:sz w:val="24"/>
          <w:szCs w:val="24"/>
        </w:rPr>
        <w:t xml:space="preserve">inadvertently </w:t>
      </w:r>
      <w:r w:rsidR="00650A1D">
        <w:rPr>
          <w:rFonts w:ascii="Times New Roman" w:hAnsi="Times New Roman" w:cs="Times New Roman"/>
          <w:sz w:val="24"/>
          <w:szCs w:val="24"/>
        </w:rPr>
        <w:t xml:space="preserve">submitting transactions </w:t>
      </w:r>
      <w:r w:rsidR="00EB3780">
        <w:rPr>
          <w:rFonts w:ascii="Times New Roman" w:hAnsi="Times New Roman" w:cs="Times New Roman"/>
          <w:sz w:val="24"/>
          <w:szCs w:val="24"/>
        </w:rPr>
        <w:t>which</w:t>
      </w:r>
      <w:r w:rsidR="00650A1D">
        <w:rPr>
          <w:rFonts w:ascii="Times New Roman" w:hAnsi="Times New Roman" w:cs="Times New Roman"/>
          <w:sz w:val="24"/>
          <w:szCs w:val="24"/>
        </w:rPr>
        <w:t xml:space="preserve"> put their license out of compliance and</w:t>
      </w:r>
      <w:r w:rsidR="00794484">
        <w:rPr>
          <w:rFonts w:ascii="Times New Roman" w:hAnsi="Times New Roman" w:cs="Times New Roman"/>
          <w:sz w:val="24"/>
          <w:szCs w:val="24"/>
        </w:rPr>
        <w:t xml:space="preserve"> will</w:t>
      </w:r>
      <w:r w:rsidR="00650A1D">
        <w:rPr>
          <w:rFonts w:ascii="Times New Roman" w:hAnsi="Times New Roman" w:cs="Times New Roman"/>
          <w:sz w:val="24"/>
          <w:szCs w:val="24"/>
        </w:rPr>
        <w:t xml:space="preserve"> instruct them on steps needed to remain in compliance, thereby improving FAS’ enforcement and compliance abilities.</w:t>
      </w:r>
    </w:p>
    <w:p w:rsidR="00C008C2" w:rsidP="003C0232" w14:paraId="77A44DDB" w14:textId="77777777">
      <w:pPr>
        <w:pStyle w:val="PlainText"/>
        <w:rPr>
          <w:rFonts w:ascii="Times New Roman" w:hAnsi="Times New Roman" w:cs="Times New Roman"/>
          <w:sz w:val="24"/>
          <w:szCs w:val="24"/>
        </w:rPr>
      </w:pPr>
    </w:p>
    <w:p w:rsidR="00052711" w:rsidRPr="004D3481" w:rsidP="003C0232" w14:paraId="5FB149D1" w14:textId="31277AC7">
      <w:pPr>
        <w:pStyle w:val="PlainText"/>
        <w:rPr>
          <w:rFonts w:ascii="Times New Roman" w:hAnsi="Times New Roman" w:cs="Times New Roman"/>
          <w:sz w:val="24"/>
          <w:szCs w:val="24"/>
        </w:rPr>
      </w:pPr>
      <w:r>
        <w:rPr>
          <w:rFonts w:ascii="Times New Roman" w:hAnsi="Times New Roman" w:cs="Times New Roman"/>
          <w:sz w:val="24"/>
          <w:szCs w:val="24"/>
        </w:rPr>
        <w:t>5</w:t>
      </w:r>
      <w:r w:rsidR="00C008C2">
        <w:rPr>
          <w:rFonts w:ascii="Times New Roman" w:hAnsi="Times New Roman" w:cs="Times New Roman"/>
          <w:sz w:val="24"/>
          <w:szCs w:val="24"/>
        </w:rPr>
        <w:t xml:space="preserve">. A new feature in SUCROSE </w:t>
      </w:r>
      <w:r w:rsidR="00AF3AD9">
        <w:rPr>
          <w:rFonts w:ascii="Times New Roman" w:hAnsi="Times New Roman" w:cs="Times New Roman"/>
          <w:sz w:val="24"/>
          <w:szCs w:val="24"/>
        </w:rPr>
        <w:t xml:space="preserve">will </w:t>
      </w:r>
      <w:r w:rsidR="00C008C2">
        <w:rPr>
          <w:rFonts w:ascii="Times New Roman" w:hAnsi="Times New Roman" w:cs="Times New Roman"/>
          <w:sz w:val="24"/>
          <w:szCs w:val="24"/>
        </w:rPr>
        <w:t>allow participants to submit waivers to the FAS Licensing Authority for overdue transaction data</w:t>
      </w:r>
      <w:r w:rsidR="00EB3780">
        <w:rPr>
          <w:rFonts w:ascii="Times New Roman" w:hAnsi="Times New Roman" w:cs="Times New Roman"/>
          <w:sz w:val="24"/>
          <w:szCs w:val="24"/>
        </w:rPr>
        <w:t>.</w:t>
      </w:r>
      <w:r w:rsidR="00C008C2">
        <w:rPr>
          <w:rFonts w:ascii="Times New Roman" w:hAnsi="Times New Roman" w:cs="Times New Roman"/>
          <w:sz w:val="24"/>
          <w:szCs w:val="24"/>
        </w:rPr>
        <w:t xml:space="preserve"> </w:t>
      </w:r>
      <w:r w:rsidR="00EB3780">
        <w:rPr>
          <w:rFonts w:ascii="Times New Roman" w:hAnsi="Times New Roman" w:cs="Times New Roman"/>
          <w:sz w:val="24"/>
          <w:szCs w:val="24"/>
        </w:rPr>
        <w:t xml:space="preserve"> </w:t>
      </w:r>
      <w:r w:rsidR="00C008C2">
        <w:rPr>
          <w:rFonts w:ascii="Times New Roman" w:hAnsi="Times New Roman" w:cs="Times New Roman"/>
          <w:sz w:val="24"/>
          <w:szCs w:val="24"/>
        </w:rPr>
        <w:t xml:space="preserve">Waiver submissions handled through SUCROSE </w:t>
      </w:r>
      <w:r w:rsidR="00794484">
        <w:rPr>
          <w:rFonts w:ascii="Times New Roman" w:hAnsi="Times New Roman" w:cs="Times New Roman"/>
          <w:sz w:val="24"/>
          <w:szCs w:val="24"/>
        </w:rPr>
        <w:t xml:space="preserve">will </w:t>
      </w:r>
      <w:r w:rsidR="00C008C2">
        <w:rPr>
          <w:rFonts w:ascii="Times New Roman" w:hAnsi="Times New Roman" w:cs="Times New Roman"/>
          <w:sz w:val="24"/>
          <w:szCs w:val="24"/>
        </w:rPr>
        <w:t>reduce the burden for</w:t>
      </w:r>
      <w:r w:rsidRPr="000820D4" w:rsidR="000820D4">
        <w:t xml:space="preserve"> </w:t>
      </w:r>
      <w:r w:rsidRPr="000820D4" w:rsidR="000820D4">
        <w:rPr>
          <w:rFonts w:ascii="Times New Roman" w:hAnsi="Times New Roman" w:cs="Times New Roman"/>
          <w:sz w:val="24"/>
          <w:szCs w:val="24"/>
        </w:rPr>
        <w:t>the participant</w:t>
      </w:r>
      <w:r w:rsidR="000820D4">
        <w:rPr>
          <w:rFonts w:ascii="Times New Roman" w:hAnsi="Times New Roman" w:cs="Times New Roman"/>
          <w:sz w:val="24"/>
          <w:szCs w:val="24"/>
        </w:rPr>
        <w:t xml:space="preserve"> and</w:t>
      </w:r>
      <w:r w:rsidR="00C008C2">
        <w:rPr>
          <w:rFonts w:ascii="Times New Roman" w:hAnsi="Times New Roman" w:cs="Times New Roman"/>
          <w:sz w:val="24"/>
          <w:szCs w:val="24"/>
        </w:rPr>
        <w:t xml:space="preserve"> FAS staff</w:t>
      </w:r>
      <w:r w:rsidR="00AF3AD9">
        <w:rPr>
          <w:rFonts w:ascii="Times New Roman" w:hAnsi="Times New Roman" w:cs="Times New Roman"/>
          <w:sz w:val="24"/>
          <w:szCs w:val="24"/>
        </w:rPr>
        <w:t>.</w:t>
      </w:r>
      <w:r w:rsidR="00C008C2">
        <w:rPr>
          <w:rFonts w:ascii="Times New Roman" w:hAnsi="Times New Roman" w:cs="Times New Roman"/>
          <w:sz w:val="24"/>
          <w:szCs w:val="24"/>
        </w:rPr>
        <w:t xml:space="preserve"> </w:t>
      </w:r>
      <w:r w:rsidR="00AF3AD9">
        <w:rPr>
          <w:rFonts w:ascii="Times New Roman" w:hAnsi="Times New Roman" w:cs="Times New Roman"/>
          <w:sz w:val="24"/>
          <w:szCs w:val="24"/>
        </w:rPr>
        <w:t xml:space="preserve"> I</w:t>
      </w:r>
      <w:r w:rsidR="00C008C2">
        <w:rPr>
          <w:rFonts w:ascii="Times New Roman" w:hAnsi="Times New Roman" w:cs="Times New Roman"/>
          <w:sz w:val="24"/>
          <w:szCs w:val="24"/>
        </w:rPr>
        <w:t xml:space="preserve">nstead of handling the request </w:t>
      </w:r>
      <w:r w:rsidR="00AF3AD9">
        <w:rPr>
          <w:rFonts w:ascii="Times New Roman" w:hAnsi="Times New Roman" w:cs="Times New Roman"/>
          <w:sz w:val="24"/>
          <w:szCs w:val="24"/>
        </w:rPr>
        <w:t xml:space="preserve">via </w:t>
      </w:r>
      <w:r w:rsidR="00C008C2">
        <w:rPr>
          <w:rFonts w:ascii="Times New Roman" w:hAnsi="Times New Roman" w:cs="Times New Roman"/>
          <w:sz w:val="24"/>
          <w:szCs w:val="24"/>
        </w:rPr>
        <w:t xml:space="preserve">e-mail, FAS staff </w:t>
      </w:r>
      <w:r w:rsidR="00794484">
        <w:rPr>
          <w:rFonts w:ascii="Times New Roman" w:hAnsi="Times New Roman" w:cs="Times New Roman"/>
          <w:sz w:val="24"/>
          <w:szCs w:val="24"/>
        </w:rPr>
        <w:t>will more</w:t>
      </w:r>
      <w:r w:rsidR="00C008C2">
        <w:rPr>
          <w:rFonts w:ascii="Times New Roman" w:hAnsi="Times New Roman" w:cs="Times New Roman"/>
          <w:sz w:val="24"/>
          <w:szCs w:val="24"/>
        </w:rPr>
        <w:t xml:space="preserve"> easily </w:t>
      </w:r>
      <w:r w:rsidR="00AF3AD9">
        <w:rPr>
          <w:rFonts w:ascii="Times New Roman" w:hAnsi="Times New Roman" w:cs="Times New Roman"/>
          <w:sz w:val="24"/>
          <w:szCs w:val="24"/>
        </w:rPr>
        <w:t xml:space="preserve">examine </w:t>
      </w:r>
      <w:r w:rsidR="00C008C2">
        <w:rPr>
          <w:rFonts w:ascii="Times New Roman" w:hAnsi="Times New Roman" w:cs="Times New Roman"/>
          <w:sz w:val="24"/>
          <w:szCs w:val="24"/>
        </w:rPr>
        <w:t xml:space="preserve">a waiver request in the system and </w:t>
      </w:r>
      <w:r w:rsidR="00AF3AD9">
        <w:rPr>
          <w:rFonts w:ascii="Times New Roman" w:hAnsi="Times New Roman" w:cs="Times New Roman"/>
          <w:sz w:val="24"/>
          <w:szCs w:val="24"/>
        </w:rPr>
        <w:t xml:space="preserve">will </w:t>
      </w:r>
      <w:r w:rsidR="00C008C2">
        <w:rPr>
          <w:rFonts w:ascii="Times New Roman" w:hAnsi="Times New Roman" w:cs="Times New Roman"/>
          <w:sz w:val="24"/>
          <w:szCs w:val="24"/>
        </w:rPr>
        <w:t xml:space="preserve">review the information provided and how it will impact their license balance. </w:t>
      </w:r>
      <w:r w:rsidR="00EB3780">
        <w:rPr>
          <w:rFonts w:ascii="Times New Roman" w:hAnsi="Times New Roman" w:cs="Times New Roman"/>
          <w:sz w:val="24"/>
          <w:szCs w:val="24"/>
        </w:rPr>
        <w:t xml:space="preserve"> </w:t>
      </w:r>
      <w:r w:rsidR="00C008C2">
        <w:rPr>
          <w:rFonts w:ascii="Times New Roman" w:hAnsi="Times New Roman" w:cs="Times New Roman"/>
          <w:sz w:val="24"/>
          <w:szCs w:val="24"/>
        </w:rPr>
        <w:t xml:space="preserve">The streamlined review process under SUCROSE </w:t>
      </w:r>
      <w:r w:rsidR="00AF3AD9">
        <w:rPr>
          <w:rFonts w:ascii="Times New Roman" w:hAnsi="Times New Roman" w:cs="Times New Roman"/>
          <w:sz w:val="24"/>
          <w:szCs w:val="24"/>
        </w:rPr>
        <w:t xml:space="preserve">will </w:t>
      </w:r>
      <w:r w:rsidR="00C008C2">
        <w:rPr>
          <w:rFonts w:ascii="Times New Roman" w:hAnsi="Times New Roman" w:cs="Times New Roman"/>
          <w:sz w:val="24"/>
          <w:szCs w:val="24"/>
        </w:rPr>
        <w:t xml:space="preserve">allow FAS to review and accept or reject these requests and </w:t>
      </w:r>
      <w:r w:rsidR="00AF3AD9">
        <w:rPr>
          <w:rFonts w:ascii="Times New Roman" w:hAnsi="Times New Roman" w:cs="Times New Roman"/>
          <w:sz w:val="24"/>
          <w:szCs w:val="24"/>
        </w:rPr>
        <w:t xml:space="preserve">will </w:t>
      </w:r>
      <w:r w:rsidR="00C008C2">
        <w:rPr>
          <w:rFonts w:ascii="Times New Roman" w:hAnsi="Times New Roman" w:cs="Times New Roman"/>
          <w:sz w:val="24"/>
          <w:szCs w:val="24"/>
        </w:rPr>
        <w:t xml:space="preserve">provide an automated process for a participant to update their reporting information with FAS </w:t>
      </w:r>
      <w:r w:rsidR="00D02F90">
        <w:rPr>
          <w:rFonts w:ascii="Times New Roman" w:hAnsi="Times New Roman" w:cs="Times New Roman"/>
          <w:sz w:val="24"/>
          <w:szCs w:val="24"/>
        </w:rPr>
        <w:t xml:space="preserve">to </w:t>
      </w:r>
      <w:r w:rsidR="00C008C2">
        <w:rPr>
          <w:rFonts w:ascii="Times New Roman" w:hAnsi="Times New Roman" w:cs="Times New Roman"/>
          <w:sz w:val="24"/>
          <w:szCs w:val="24"/>
        </w:rPr>
        <w:t xml:space="preserve">stay in compliance. </w:t>
      </w:r>
    </w:p>
    <w:p w:rsidR="00052711" w:rsidRPr="004D3481" w:rsidP="003C0232" w14:paraId="2F69C3B9" w14:textId="77777777">
      <w:pPr>
        <w:pStyle w:val="PlainText"/>
        <w:rPr>
          <w:rFonts w:ascii="Times New Roman" w:hAnsi="Times New Roman" w:cs="Times New Roman"/>
          <w:sz w:val="24"/>
          <w:szCs w:val="24"/>
        </w:rPr>
      </w:pPr>
    </w:p>
    <w:p w:rsidR="00052711" w:rsidP="003C0232" w14:paraId="07866029" w14:textId="529DF703">
      <w:pPr>
        <w:pStyle w:val="1Paragraph"/>
        <w:tabs>
          <w:tab w:val="left" w:pos="-1080"/>
          <w:tab w:val="left" w:pos="-720"/>
          <w:tab w:val="left" w:pos="0"/>
          <w:tab w:val="left" w:pos="45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r>
        <w:rPr>
          <w:sz w:val="24"/>
        </w:rPr>
        <w:t>6</w:t>
      </w:r>
      <w:r w:rsidRPr="004D3481">
        <w:rPr>
          <w:sz w:val="24"/>
        </w:rPr>
        <w:t>. The system</w:t>
      </w:r>
      <w:r w:rsidR="00D02F90">
        <w:rPr>
          <w:sz w:val="24"/>
        </w:rPr>
        <w:t xml:space="preserve"> will</w:t>
      </w:r>
      <w:r w:rsidRPr="004D3481">
        <w:rPr>
          <w:sz w:val="24"/>
        </w:rPr>
        <w:t xml:space="preserve"> prevent participants from entering export data for destinations </w:t>
      </w:r>
      <w:r w:rsidR="00D02F90">
        <w:rPr>
          <w:sz w:val="24"/>
        </w:rPr>
        <w:t xml:space="preserve">not </w:t>
      </w:r>
      <w:r w:rsidRPr="004D3481">
        <w:rPr>
          <w:sz w:val="24"/>
        </w:rPr>
        <w:t xml:space="preserve">approved in their documentation agreements.  This measure </w:t>
      </w:r>
      <w:r w:rsidR="00D02F90">
        <w:rPr>
          <w:sz w:val="24"/>
        </w:rPr>
        <w:t xml:space="preserve">will </w:t>
      </w:r>
      <w:r w:rsidRPr="004D3481">
        <w:rPr>
          <w:sz w:val="24"/>
        </w:rPr>
        <w:t>require companies to first modify their documentation agreements to secure additional export destinations.</w:t>
      </w:r>
      <w:r w:rsidR="003F0070">
        <w:rPr>
          <w:sz w:val="24"/>
        </w:rPr>
        <w:t xml:space="preserve"> </w:t>
      </w:r>
    </w:p>
    <w:p w:rsidR="00C008C2" w:rsidP="003C0232" w14:paraId="00D66A74" w14:textId="3CBEA361">
      <w:pPr>
        <w:pStyle w:val="1Paragraph"/>
        <w:tabs>
          <w:tab w:val="left" w:pos="-1080"/>
          <w:tab w:val="left" w:pos="-720"/>
          <w:tab w:val="left" w:pos="0"/>
          <w:tab w:val="left" w:pos="45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p>
    <w:p w:rsidR="00C008C2" w:rsidP="003C0232" w14:paraId="788EA5C4" w14:textId="111A1C50">
      <w:pPr>
        <w:pStyle w:val="1Paragraph"/>
        <w:tabs>
          <w:tab w:val="left" w:pos="-1080"/>
          <w:tab w:val="left" w:pos="-720"/>
          <w:tab w:val="left" w:pos="0"/>
          <w:tab w:val="left" w:pos="45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r>
        <w:rPr>
          <w:sz w:val="24"/>
        </w:rPr>
        <w:t>7</w:t>
      </w:r>
      <w:r>
        <w:rPr>
          <w:sz w:val="24"/>
        </w:rPr>
        <w:t>. Sugar-containing product manufacturer participants are required to update their product list</w:t>
      </w:r>
      <w:r w:rsidR="00D02F90">
        <w:rPr>
          <w:sz w:val="24"/>
        </w:rPr>
        <w:t>s</w:t>
      </w:r>
      <w:r>
        <w:rPr>
          <w:sz w:val="24"/>
        </w:rPr>
        <w:t xml:space="preserve">, usually once per year, to validate which </w:t>
      </w:r>
      <w:r w:rsidR="007E244F">
        <w:rPr>
          <w:sz w:val="24"/>
        </w:rPr>
        <w:t xml:space="preserve">exported </w:t>
      </w:r>
      <w:r>
        <w:rPr>
          <w:sz w:val="24"/>
        </w:rPr>
        <w:t xml:space="preserve">products </w:t>
      </w:r>
      <w:r w:rsidR="007E244F">
        <w:rPr>
          <w:sz w:val="24"/>
        </w:rPr>
        <w:t>are claimed under the P</w:t>
      </w:r>
      <w:r w:rsidR="00F05182">
        <w:rPr>
          <w:sz w:val="24"/>
        </w:rPr>
        <w:t xml:space="preserve">rogram. </w:t>
      </w:r>
      <w:r w:rsidR="007E244F">
        <w:rPr>
          <w:sz w:val="24"/>
        </w:rPr>
        <w:t xml:space="preserve"> </w:t>
      </w:r>
      <w:r w:rsidR="00F05182">
        <w:rPr>
          <w:sz w:val="24"/>
        </w:rPr>
        <w:t xml:space="preserve">SUCROSE will provide these participants an easy way to update their product lists in the system and </w:t>
      </w:r>
      <w:r w:rsidR="00D02F90">
        <w:rPr>
          <w:sz w:val="24"/>
        </w:rPr>
        <w:t xml:space="preserve">will </w:t>
      </w:r>
      <w:r w:rsidR="00F05182">
        <w:rPr>
          <w:sz w:val="24"/>
        </w:rPr>
        <w:t xml:space="preserve">save time in future years by quickly adding or removing products </w:t>
      </w:r>
      <w:r w:rsidR="007E244F">
        <w:rPr>
          <w:sz w:val="24"/>
        </w:rPr>
        <w:t xml:space="preserve">exported under </w:t>
      </w:r>
      <w:r w:rsidR="00F05182">
        <w:rPr>
          <w:sz w:val="24"/>
        </w:rPr>
        <w:t xml:space="preserve">the </w:t>
      </w:r>
      <w:r w:rsidR="007E244F">
        <w:rPr>
          <w:sz w:val="24"/>
        </w:rPr>
        <w:t>P</w:t>
      </w:r>
      <w:r w:rsidR="00F05182">
        <w:rPr>
          <w:sz w:val="24"/>
        </w:rPr>
        <w:t>rogram.</w:t>
      </w:r>
    </w:p>
    <w:p w:rsidR="00D02F90" w:rsidP="003C0232" w14:paraId="644CF015" w14:textId="2E7BEF8C">
      <w:pPr>
        <w:pStyle w:val="1Paragraph"/>
        <w:tabs>
          <w:tab w:val="left" w:pos="-1080"/>
          <w:tab w:val="left" w:pos="-720"/>
          <w:tab w:val="left" w:pos="0"/>
          <w:tab w:val="left" w:pos="45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p>
    <w:p w:rsidR="009A2A8A" w:rsidP="003C0232" w14:paraId="63A1877A" w14:textId="77777777">
      <w:pPr>
        <w:pStyle w:val="1Paragraph"/>
        <w:tabs>
          <w:tab w:val="left" w:pos="-1080"/>
          <w:tab w:val="left" w:pos="-720"/>
          <w:tab w:val="left" w:pos="0"/>
          <w:tab w:val="left" w:pos="45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p>
    <w:p w:rsidR="00F05182" w:rsidP="003C0232" w14:paraId="1ABB85F6" w14:textId="36CE711A">
      <w:pPr>
        <w:pStyle w:val="1Paragraph"/>
        <w:tabs>
          <w:tab w:val="left" w:pos="-1080"/>
          <w:tab w:val="left" w:pos="-720"/>
          <w:tab w:val="left" w:pos="0"/>
          <w:tab w:val="left" w:pos="45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r>
        <w:rPr>
          <w:sz w:val="24"/>
        </w:rPr>
        <w:t>8</w:t>
      </w:r>
      <w:r>
        <w:rPr>
          <w:sz w:val="24"/>
        </w:rPr>
        <w:t xml:space="preserve">. </w:t>
      </w:r>
      <w:r w:rsidR="00861233">
        <w:rPr>
          <w:sz w:val="24"/>
        </w:rPr>
        <w:t xml:space="preserve">SUCROSE will allow refiner and sugar-containing product </w:t>
      </w:r>
      <w:r w:rsidR="006A3FFE">
        <w:rPr>
          <w:sz w:val="24"/>
        </w:rPr>
        <w:t>licensees</w:t>
      </w:r>
      <w:r w:rsidR="006A3FFE">
        <w:rPr>
          <w:sz w:val="24"/>
        </w:rPr>
        <w:t xml:space="preserve"> </w:t>
      </w:r>
      <w:r w:rsidR="00861233">
        <w:rPr>
          <w:sz w:val="24"/>
        </w:rPr>
        <w:t>us</w:t>
      </w:r>
      <w:r w:rsidR="006A3FFE">
        <w:rPr>
          <w:sz w:val="24"/>
        </w:rPr>
        <w:t>ing</w:t>
      </w:r>
      <w:r w:rsidR="00861233">
        <w:rPr>
          <w:sz w:val="24"/>
        </w:rPr>
        <w:t xml:space="preserve"> third-party exporters, as negotiated with FAS in their documentation </w:t>
      </w:r>
      <w:r w:rsidR="00C01CA3">
        <w:rPr>
          <w:sz w:val="24"/>
        </w:rPr>
        <w:t xml:space="preserve">contractual </w:t>
      </w:r>
      <w:r w:rsidR="00861233">
        <w:rPr>
          <w:sz w:val="24"/>
        </w:rPr>
        <w:t xml:space="preserve">agreements, to provide FAS updated information in a streamlined manner (instead of over e-mail) on </w:t>
      </w:r>
      <w:r w:rsidR="006A3FFE">
        <w:rPr>
          <w:sz w:val="24"/>
        </w:rPr>
        <w:t xml:space="preserve">their </w:t>
      </w:r>
      <w:r w:rsidR="00861233">
        <w:rPr>
          <w:sz w:val="24"/>
        </w:rPr>
        <w:t>third-party exporters</w:t>
      </w:r>
      <w:r w:rsidR="00D02F90">
        <w:rPr>
          <w:sz w:val="24"/>
        </w:rPr>
        <w:t xml:space="preserve">. </w:t>
      </w:r>
      <w:r w:rsidR="00861233">
        <w:rPr>
          <w:sz w:val="24"/>
        </w:rPr>
        <w:t xml:space="preserve"> </w:t>
      </w:r>
      <w:r w:rsidR="00D02F90">
        <w:rPr>
          <w:sz w:val="24"/>
        </w:rPr>
        <w:t xml:space="preserve">Participants will </w:t>
      </w:r>
      <w:r w:rsidR="00861233">
        <w:rPr>
          <w:sz w:val="24"/>
        </w:rPr>
        <w:t>indicat</w:t>
      </w:r>
      <w:r w:rsidR="00D02F90">
        <w:rPr>
          <w:sz w:val="24"/>
        </w:rPr>
        <w:t>e</w:t>
      </w:r>
      <w:r w:rsidR="00861233">
        <w:rPr>
          <w:sz w:val="24"/>
        </w:rPr>
        <w:t xml:space="preserve"> when they claim </w:t>
      </w:r>
      <w:r w:rsidR="006A3FFE">
        <w:rPr>
          <w:sz w:val="24"/>
        </w:rPr>
        <w:t>third-</w:t>
      </w:r>
      <w:r w:rsidR="00861233">
        <w:rPr>
          <w:sz w:val="24"/>
        </w:rPr>
        <w:t>export transactions on their license.  The SUGARS system d</w:t>
      </w:r>
      <w:r>
        <w:rPr>
          <w:sz w:val="24"/>
        </w:rPr>
        <w:t>oes</w:t>
      </w:r>
      <w:r w:rsidR="00861233">
        <w:rPr>
          <w:sz w:val="24"/>
        </w:rPr>
        <w:t xml:space="preserve"> not provide an option for tracking third-party exporters and their exports, which add</w:t>
      </w:r>
      <w:r>
        <w:rPr>
          <w:sz w:val="24"/>
        </w:rPr>
        <w:t xml:space="preserve">s </w:t>
      </w:r>
      <w:r w:rsidR="00861233">
        <w:rPr>
          <w:sz w:val="24"/>
        </w:rPr>
        <w:t xml:space="preserve">significant burden on FAS staff’s time required to audit this information through the records of participants. </w:t>
      </w:r>
      <w:r w:rsidR="006A3FFE">
        <w:rPr>
          <w:sz w:val="24"/>
        </w:rPr>
        <w:t xml:space="preserve"> </w:t>
      </w:r>
      <w:r w:rsidR="009A2A8A">
        <w:rPr>
          <w:sz w:val="24"/>
        </w:rPr>
        <w:t xml:space="preserve">Lack of capability to identify third-party exports creates incentive for fraud.  </w:t>
      </w:r>
      <w:r w:rsidR="00861233">
        <w:rPr>
          <w:sz w:val="24"/>
        </w:rPr>
        <w:t xml:space="preserve">SUCROSE will greatly enhance FAS’ staff ability to record and audit this information over time to ensure participants stay in compliance with the Sugar Re-Export Program regulation and the associated waiver concerning third-party exporters.  </w:t>
      </w:r>
    </w:p>
    <w:p w:rsidR="00110497" w:rsidP="003C0232" w14:paraId="40BEFE98" w14:textId="77777777">
      <w:pPr>
        <w:pStyle w:val="1Paragraph"/>
        <w:tabs>
          <w:tab w:val="left" w:pos="-1080"/>
          <w:tab w:val="left" w:pos="-720"/>
          <w:tab w:val="left" w:pos="0"/>
          <w:tab w:val="left" w:pos="45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p>
    <w:p w:rsidR="00052711" w:rsidRPr="00E83C20" w:rsidP="003C0232" w14:paraId="564CA9C9"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4.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052711" w:rsidRPr="004D3481" w:rsidP="003C0232" w14:paraId="561A7276" w14:textId="77777777">
      <w:pPr>
        <w:pStyle w:val="PlainText"/>
        <w:rPr>
          <w:rFonts w:ascii="Times New Roman" w:hAnsi="Times New Roman" w:cs="Times New Roman"/>
          <w:sz w:val="24"/>
          <w:szCs w:val="24"/>
        </w:rPr>
      </w:pPr>
    </w:p>
    <w:p w:rsidR="00A3563F" w:rsidRPr="00F12D79" w:rsidP="008F0557" w14:paraId="73132124" w14:textId="090232BE">
      <w:pPr>
        <w:pStyle w:val="PlainText"/>
        <w:rPr>
          <w:rFonts w:ascii="Times New Roman" w:hAnsi="Times New Roman" w:cs="Times New Roman"/>
          <w:sz w:val="24"/>
          <w:szCs w:val="24"/>
        </w:rPr>
      </w:pPr>
      <w:r w:rsidRPr="008F0557">
        <w:rPr>
          <w:rFonts w:ascii="Times New Roman" w:hAnsi="Times New Roman" w:cs="Times New Roman"/>
          <w:sz w:val="24"/>
          <w:szCs w:val="24"/>
        </w:rPr>
        <w:t xml:space="preserve">Every effort has been made to avoid duplication. </w:t>
      </w:r>
      <w:r w:rsidRPr="004D3481">
        <w:rPr>
          <w:rFonts w:ascii="Times New Roman" w:hAnsi="Times New Roman" w:cs="Times New Roman"/>
          <w:sz w:val="24"/>
          <w:szCs w:val="24"/>
        </w:rPr>
        <w:t>The information collection does not duplicate information or data available elsewhere</w:t>
      </w:r>
      <w:r>
        <w:rPr>
          <w:rFonts w:ascii="Times New Roman" w:hAnsi="Times New Roman" w:cs="Times New Roman"/>
          <w:sz w:val="24"/>
          <w:szCs w:val="24"/>
        </w:rPr>
        <w:t>; t</w:t>
      </w:r>
      <w:r w:rsidRPr="008F0557">
        <w:rPr>
          <w:rFonts w:ascii="Times New Roman" w:hAnsi="Times New Roman" w:cs="Times New Roman"/>
          <w:sz w:val="24"/>
          <w:szCs w:val="24"/>
        </w:rPr>
        <w:t>here is no similar data collection available.</w:t>
      </w:r>
      <w:r>
        <w:rPr>
          <w:rFonts w:ascii="Times New Roman" w:hAnsi="Times New Roman"/>
          <w:sz w:val="24"/>
        </w:rPr>
        <w:t xml:space="preserve"> </w:t>
      </w:r>
    </w:p>
    <w:p w:rsidR="00A3563F" w:rsidP="00A3563F" w14:paraId="492B0138" w14:textId="00749B61">
      <w:pPr>
        <w:pStyle w:val="PlainText"/>
        <w:rPr>
          <w:rFonts w:ascii="Times New Roman" w:hAnsi="Times New Roman"/>
          <w:sz w:val="24"/>
        </w:rPr>
      </w:pPr>
      <w:r>
        <w:rPr>
          <w:rFonts w:ascii="Times New Roman" w:hAnsi="Times New Roman"/>
          <w:sz w:val="24"/>
        </w:rPr>
        <w:t>To ensure integrity, FAS solely administers t</w:t>
      </w:r>
      <w:r w:rsidRPr="006B3FE3">
        <w:rPr>
          <w:rFonts w:ascii="Times New Roman" w:hAnsi="Times New Roman"/>
          <w:sz w:val="24"/>
        </w:rPr>
        <w:t xml:space="preserve">he data required </w:t>
      </w:r>
      <w:r>
        <w:rPr>
          <w:rFonts w:ascii="Times New Roman" w:hAnsi="Times New Roman"/>
          <w:sz w:val="24"/>
        </w:rPr>
        <w:t>by</w:t>
      </w:r>
      <w:r w:rsidRPr="006B3FE3">
        <w:rPr>
          <w:rFonts w:ascii="Times New Roman" w:hAnsi="Times New Roman"/>
          <w:sz w:val="24"/>
        </w:rPr>
        <w:t xml:space="preserve"> Participants </w:t>
      </w:r>
      <w:r>
        <w:rPr>
          <w:rFonts w:ascii="Times New Roman" w:hAnsi="Times New Roman"/>
          <w:sz w:val="24"/>
        </w:rPr>
        <w:t>who</w:t>
      </w:r>
      <w:r w:rsidRPr="006B3FE3">
        <w:rPr>
          <w:rFonts w:ascii="Times New Roman" w:hAnsi="Times New Roman"/>
          <w:sz w:val="24"/>
        </w:rPr>
        <w:t xml:space="preserve"> submit</w:t>
      </w:r>
      <w:r>
        <w:rPr>
          <w:rFonts w:ascii="Times New Roman" w:hAnsi="Times New Roman"/>
          <w:sz w:val="24"/>
        </w:rPr>
        <w:t xml:space="preserve">s </w:t>
      </w:r>
      <w:r w:rsidR="008F0557">
        <w:rPr>
          <w:rFonts w:ascii="Times New Roman" w:hAnsi="Times New Roman"/>
          <w:sz w:val="24"/>
        </w:rPr>
        <w:t xml:space="preserve">data into </w:t>
      </w:r>
      <w:r w:rsidR="008F0557">
        <w:rPr>
          <w:rFonts w:ascii="Times New Roman" w:hAnsi="Times New Roman" w:cs="Times New Roman"/>
          <w:sz w:val="24"/>
          <w:szCs w:val="24"/>
        </w:rPr>
        <w:t>SUCROSE</w:t>
      </w:r>
      <w:r w:rsidR="008F0557">
        <w:rPr>
          <w:rFonts w:ascii="Times New Roman" w:hAnsi="Times New Roman"/>
          <w:sz w:val="24"/>
        </w:rPr>
        <w:t xml:space="preserve"> </w:t>
      </w:r>
      <w:r>
        <w:rPr>
          <w:rFonts w:ascii="Times New Roman" w:hAnsi="Times New Roman"/>
          <w:sz w:val="24"/>
        </w:rPr>
        <w:t xml:space="preserve">and </w:t>
      </w:r>
      <w:r w:rsidR="00C90386">
        <w:rPr>
          <w:rFonts w:ascii="Times New Roman" w:hAnsi="Times New Roman"/>
          <w:sz w:val="24"/>
        </w:rPr>
        <w:t>enters</w:t>
      </w:r>
      <w:r>
        <w:rPr>
          <w:rFonts w:ascii="Times New Roman" w:hAnsi="Times New Roman"/>
          <w:sz w:val="24"/>
        </w:rPr>
        <w:t xml:space="preserve"> business with FAS</w:t>
      </w:r>
      <w:r w:rsidRPr="006B3FE3">
        <w:rPr>
          <w:rFonts w:ascii="Times New Roman" w:hAnsi="Times New Roman"/>
          <w:sz w:val="24"/>
        </w:rPr>
        <w:t xml:space="preserve"> in accordance with contract specifications and cannot be obtained from any other source other than the Participants</w:t>
      </w:r>
    </w:p>
    <w:p w:rsidR="00A3563F" w:rsidP="00A3563F" w14:paraId="5E42583B" w14:textId="77777777">
      <w:pPr>
        <w:pStyle w:val="PlainText"/>
        <w:rPr>
          <w:rFonts w:ascii="Times New Roman" w:hAnsi="Times New Roman"/>
          <w:sz w:val="24"/>
        </w:rPr>
      </w:pPr>
    </w:p>
    <w:p w:rsidR="00052711" w:rsidRPr="004D3481" w:rsidP="003C0232" w14:paraId="309B6A8B" w14:textId="77777777">
      <w:pPr>
        <w:pStyle w:val="PlainText"/>
        <w:rPr>
          <w:rFonts w:ascii="Times New Roman" w:hAnsi="Times New Roman" w:cs="Times New Roman"/>
          <w:sz w:val="24"/>
          <w:szCs w:val="24"/>
        </w:rPr>
      </w:pPr>
    </w:p>
    <w:p w:rsidR="00052711" w:rsidRPr="00E83C20" w:rsidP="003C0232" w14:paraId="555318A8"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5.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052711" w:rsidRPr="004D3481" w:rsidP="003C0232" w14:paraId="6FE5CDC7" w14:textId="17806B09">
      <w:pPr>
        <w:pStyle w:val="PlainText"/>
        <w:rPr>
          <w:rFonts w:ascii="Times New Roman" w:hAnsi="Times New Roman" w:cs="Times New Roman"/>
          <w:sz w:val="24"/>
          <w:szCs w:val="24"/>
        </w:rPr>
      </w:pPr>
    </w:p>
    <w:p w:rsidR="00A05710" w:rsidRPr="004D3481" w:rsidP="003C0232" w14:paraId="5E1448F2" w14:textId="61AC5148">
      <w:pPr>
        <w:pStyle w:val="PlainText"/>
        <w:rPr>
          <w:rFonts w:ascii="Times New Roman" w:hAnsi="Times New Roman" w:cs="Times New Roman"/>
          <w:sz w:val="24"/>
          <w:szCs w:val="24"/>
        </w:rPr>
      </w:pPr>
      <w:r>
        <w:rPr>
          <w:rFonts w:ascii="Times New Roman" w:hAnsi="Times New Roman" w:cs="Times New Roman"/>
          <w:sz w:val="24"/>
          <w:szCs w:val="24"/>
        </w:rPr>
        <w:t>The method used to obtain information has been minimized to ensure all respondents, including small business</w:t>
      </w:r>
      <w:r w:rsidR="009A2A8A">
        <w:rPr>
          <w:rFonts w:ascii="Times New Roman" w:hAnsi="Times New Roman" w:cs="Times New Roman"/>
          <w:sz w:val="24"/>
          <w:szCs w:val="24"/>
        </w:rPr>
        <w:t>es</w:t>
      </w:r>
      <w:r>
        <w:rPr>
          <w:rFonts w:ascii="Times New Roman" w:hAnsi="Times New Roman" w:cs="Times New Roman"/>
          <w:sz w:val="24"/>
          <w:szCs w:val="24"/>
        </w:rPr>
        <w:t xml:space="preserve">, will not be burdened.  </w:t>
      </w:r>
      <w:r w:rsidR="009A2A8A">
        <w:rPr>
          <w:rFonts w:ascii="Times New Roman" w:hAnsi="Times New Roman" w:cs="Times New Roman"/>
          <w:sz w:val="24"/>
          <w:szCs w:val="24"/>
        </w:rPr>
        <w:t>T</w:t>
      </w:r>
      <w:r>
        <w:rPr>
          <w:rFonts w:ascii="Times New Roman" w:hAnsi="Times New Roman" w:cs="Times New Roman"/>
          <w:sz w:val="24"/>
          <w:szCs w:val="24"/>
        </w:rPr>
        <w:t xml:space="preserve">he agency estimates </w:t>
      </w:r>
      <w:r w:rsidR="004B7419">
        <w:rPr>
          <w:rFonts w:ascii="Times New Roman" w:hAnsi="Times New Roman" w:cs="Times New Roman"/>
          <w:sz w:val="24"/>
          <w:szCs w:val="24"/>
        </w:rPr>
        <w:t>35</w:t>
      </w:r>
      <w:r>
        <w:rPr>
          <w:rFonts w:ascii="Times New Roman" w:hAnsi="Times New Roman" w:cs="Times New Roman"/>
          <w:sz w:val="24"/>
          <w:szCs w:val="24"/>
        </w:rPr>
        <w:t xml:space="preserve"> percent </w:t>
      </w:r>
      <w:r w:rsidR="009A2A8A">
        <w:rPr>
          <w:rFonts w:ascii="Times New Roman" w:hAnsi="Times New Roman" w:cs="Times New Roman"/>
          <w:sz w:val="24"/>
          <w:szCs w:val="24"/>
        </w:rPr>
        <w:t xml:space="preserve">of participants qualify </w:t>
      </w:r>
      <w:r w:rsidR="00627E43">
        <w:rPr>
          <w:rFonts w:ascii="Times New Roman" w:hAnsi="Times New Roman" w:cs="Times New Roman"/>
          <w:sz w:val="24"/>
          <w:szCs w:val="24"/>
        </w:rPr>
        <w:t>as small</w:t>
      </w:r>
      <w:r>
        <w:rPr>
          <w:rFonts w:ascii="Times New Roman" w:hAnsi="Times New Roman" w:cs="Times New Roman"/>
          <w:sz w:val="24"/>
          <w:szCs w:val="24"/>
        </w:rPr>
        <w:t xml:space="preserve"> business</w:t>
      </w:r>
      <w:r w:rsidR="00450AD4">
        <w:rPr>
          <w:rFonts w:ascii="Times New Roman" w:hAnsi="Times New Roman" w:cs="Times New Roman"/>
          <w:sz w:val="24"/>
          <w:szCs w:val="24"/>
        </w:rPr>
        <w:t>es</w:t>
      </w:r>
      <w:r>
        <w:rPr>
          <w:rFonts w:ascii="Times New Roman" w:hAnsi="Times New Roman" w:cs="Times New Roman"/>
          <w:sz w:val="24"/>
          <w:szCs w:val="24"/>
        </w:rPr>
        <w:t>.</w:t>
      </w:r>
    </w:p>
    <w:p w:rsidR="00052711" w:rsidRPr="004D3481" w:rsidP="003C0232" w14:paraId="4B3F5D48" w14:textId="77777777">
      <w:pPr>
        <w:pStyle w:val="PlainText"/>
        <w:rPr>
          <w:rFonts w:ascii="Times New Roman" w:hAnsi="Times New Roman" w:cs="Times New Roman"/>
          <w:sz w:val="24"/>
          <w:szCs w:val="24"/>
        </w:rPr>
      </w:pPr>
    </w:p>
    <w:p w:rsidR="00052711" w:rsidRPr="00E83C20" w:rsidP="003C0232" w14:paraId="58EA662D"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6.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052711" w:rsidRPr="004D3481" w:rsidP="003C0232" w14:paraId="335EB014" w14:textId="77777777">
      <w:pPr>
        <w:pStyle w:val="PlainText"/>
        <w:rPr>
          <w:rFonts w:ascii="Times New Roman" w:hAnsi="Times New Roman" w:cs="Times New Roman"/>
          <w:sz w:val="24"/>
          <w:szCs w:val="24"/>
        </w:rPr>
      </w:pPr>
    </w:p>
    <w:p w:rsidR="00052711" w:rsidP="003C0232" w14:paraId="5295C00A" w14:textId="2AB71B7D">
      <w:pPr>
        <w:pStyle w:val="PlainText"/>
        <w:rPr>
          <w:rFonts w:ascii="Times New Roman" w:hAnsi="Times New Roman" w:cs="Times New Roman"/>
          <w:sz w:val="24"/>
          <w:szCs w:val="24"/>
        </w:rPr>
      </w:pPr>
      <w:r>
        <w:rPr>
          <w:rFonts w:ascii="Times New Roman" w:hAnsi="Times New Roman"/>
          <w:sz w:val="24"/>
        </w:rPr>
        <w:t xml:space="preserve">This is a mandatory, on-going information collection request. </w:t>
      </w:r>
      <w:r w:rsidRPr="004D3481">
        <w:rPr>
          <w:rFonts w:ascii="Times New Roman" w:hAnsi="Times New Roman" w:cs="Times New Roman"/>
          <w:sz w:val="24"/>
          <w:szCs w:val="24"/>
        </w:rPr>
        <w:t xml:space="preserve">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stipulates the frequency of data collection and reporting.  Less frequent reporting or no reporting would </w:t>
      </w:r>
      <w:r w:rsidR="00C53A87">
        <w:rPr>
          <w:rFonts w:ascii="Times New Roman" w:hAnsi="Times New Roman" w:cs="Times New Roman"/>
          <w:sz w:val="24"/>
          <w:szCs w:val="24"/>
        </w:rPr>
        <w:t xml:space="preserve">prevent </w:t>
      </w:r>
      <w:r w:rsidR="005C57DC">
        <w:rPr>
          <w:rFonts w:ascii="Times New Roman" w:hAnsi="Times New Roman" w:cs="Times New Roman"/>
          <w:sz w:val="24"/>
          <w:szCs w:val="24"/>
        </w:rPr>
        <w:t xml:space="preserve">the integrity of the </w:t>
      </w:r>
      <w:r w:rsidRPr="004D3481">
        <w:rPr>
          <w:rFonts w:ascii="Times New Roman" w:hAnsi="Times New Roman" w:cs="Times New Roman"/>
          <w:sz w:val="24"/>
          <w:szCs w:val="24"/>
        </w:rPr>
        <w:t xml:space="preserve">administration of the </w:t>
      </w:r>
      <w:r w:rsidR="005F3932">
        <w:rPr>
          <w:rFonts w:ascii="Times New Roman" w:hAnsi="Times New Roman" w:cs="Times New Roman"/>
          <w:sz w:val="24"/>
          <w:szCs w:val="24"/>
        </w:rPr>
        <w:t xml:space="preserve">refined </w:t>
      </w:r>
      <w:r w:rsidRPr="004D3481">
        <w:rPr>
          <w:rFonts w:ascii="Times New Roman" w:hAnsi="Times New Roman" w:cs="Times New Roman"/>
          <w:sz w:val="24"/>
          <w:szCs w:val="24"/>
        </w:rPr>
        <w:t xml:space="preserve">sugar </w:t>
      </w:r>
      <w:r w:rsidR="005F3932">
        <w:rPr>
          <w:rFonts w:ascii="Times New Roman" w:hAnsi="Times New Roman" w:cs="Times New Roman"/>
          <w:sz w:val="24"/>
          <w:szCs w:val="24"/>
        </w:rPr>
        <w:t xml:space="preserve">re-export </w:t>
      </w:r>
      <w:r w:rsidRPr="004D3481">
        <w:rPr>
          <w:rFonts w:ascii="Times New Roman" w:hAnsi="Times New Roman" w:cs="Times New Roman"/>
          <w:sz w:val="24"/>
          <w:szCs w:val="24"/>
        </w:rPr>
        <w:t xml:space="preserve">licensing </w:t>
      </w:r>
      <w:r w:rsidR="005F3932">
        <w:rPr>
          <w:rFonts w:ascii="Times New Roman" w:hAnsi="Times New Roman" w:cs="Times New Roman"/>
          <w:sz w:val="24"/>
          <w:szCs w:val="24"/>
        </w:rPr>
        <w:t>P</w:t>
      </w:r>
      <w:r w:rsidRPr="004D3481">
        <w:rPr>
          <w:rFonts w:ascii="Times New Roman" w:hAnsi="Times New Roman" w:cs="Times New Roman"/>
          <w:sz w:val="24"/>
          <w:szCs w:val="24"/>
        </w:rPr>
        <w:t>rogram.</w:t>
      </w:r>
    </w:p>
    <w:p w:rsidR="00945FE4" w:rsidP="003C0232" w14:paraId="55F51221" w14:textId="77777777">
      <w:pPr>
        <w:pStyle w:val="PlainText"/>
        <w:rPr>
          <w:rFonts w:ascii="Times New Roman" w:hAnsi="Times New Roman" w:cs="Times New Roman"/>
          <w:sz w:val="24"/>
          <w:szCs w:val="24"/>
        </w:rPr>
      </w:pPr>
    </w:p>
    <w:p w:rsidR="00C04518" w:rsidP="00C04518" w14:paraId="35C5554E"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7.  </w:t>
      </w:r>
      <w:r w:rsidRPr="00C04518">
        <w:rPr>
          <w:b/>
        </w:rPr>
        <w:t xml:space="preserve"> </w:t>
      </w:r>
      <w:r>
        <w:rPr>
          <w:rFonts w:ascii="Times New Roman" w:hAnsi="Times New Roman" w:cs="Times New Roman"/>
          <w:b/>
          <w:sz w:val="24"/>
          <w:szCs w:val="24"/>
        </w:rPr>
        <w:t>Explain any special circumstance that would cause an information collection to be conducted in a manner:</w:t>
      </w:r>
    </w:p>
    <w:p w:rsidR="00C04518" w:rsidP="00C04518" w14:paraId="6E665897" w14:textId="77777777">
      <w:pPr>
        <w:pStyle w:val="PlainText"/>
        <w:rPr>
          <w:rFonts w:ascii="Times New Roman" w:hAnsi="Times New Roman" w:cs="Times New Roman"/>
          <w:b/>
          <w:sz w:val="24"/>
          <w:szCs w:val="24"/>
        </w:rPr>
      </w:pPr>
    </w:p>
    <w:p w:rsidR="00C83327" w:rsidP="00C83327" w14:paraId="67618F17" w14:textId="77044A51">
      <w:pPr>
        <w:pStyle w:val="PlainText"/>
        <w:numPr>
          <w:ilvl w:val="0"/>
          <w:numId w:val="1"/>
        </w:numPr>
        <w:rPr>
          <w:rFonts w:ascii="Times New Roman" w:hAnsi="Times New Roman" w:cs="Times New Roman"/>
          <w:sz w:val="24"/>
          <w:szCs w:val="24"/>
        </w:rPr>
      </w:pPr>
      <w:r>
        <w:rPr>
          <w:rFonts w:ascii="Times New Roman" w:hAnsi="Times New Roman" w:cs="Times New Roman"/>
          <w:b/>
          <w:sz w:val="24"/>
          <w:szCs w:val="24"/>
        </w:rPr>
        <w:t>requiring respondents to report information to the agency more often than quarterly</w:t>
      </w:r>
      <w:r w:rsidR="00AE3221">
        <w:rPr>
          <w:rFonts w:ascii="Times New Roman" w:hAnsi="Times New Roman" w:cs="Times New Roman"/>
          <w:sz w:val="24"/>
          <w:szCs w:val="24"/>
        </w:rPr>
        <w:t>:</w:t>
      </w:r>
    </w:p>
    <w:p w:rsidR="00C83327" w:rsidP="00C83327" w14:paraId="24BB5779" w14:textId="77777777">
      <w:pPr>
        <w:pStyle w:val="PlainText"/>
        <w:ind w:left="720"/>
        <w:rPr>
          <w:rFonts w:ascii="Times New Roman" w:hAnsi="Times New Roman" w:cs="Times New Roman"/>
          <w:sz w:val="24"/>
          <w:szCs w:val="24"/>
        </w:rPr>
      </w:pPr>
    </w:p>
    <w:p w:rsidR="00C83327" w:rsidRPr="004D3481" w:rsidP="00C83327" w14:paraId="421788EF" w14:textId="6A8B5856">
      <w:pPr>
        <w:pStyle w:val="PlainText"/>
        <w:ind w:left="720"/>
        <w:rPr>
          <w:rFonts w:ascii="Times New Roman" w:hAnsi="Times New Roman" w:cs="Times New Roman"/>
          <w:sz w:val="24"/>
          <w:szCs w:val="24"/>
        </w:rPr>
      </w:pPr>
      <w:r>
        <w:rPr>
          <w:rFonts w:ascii="Times New Roman" w:hAnsi="Times New Roman" w:cs="Times New Roman"/>
          <w:sz w:val="24"/>
          <w:szCs w:val="24"/>
        </w:rPr>
        <w:t>U</w:t>
      </w:r>
      <w:r w:rsidRPr="004D3481">
        <w:rPr>
          <w:rFonts w:ascii="Times New Roman" w:hAnsi="Times New Roman" w:cs="Times New Roman"/>
          <w:sz w:val="24"/>
          <w:szCs w:val="24"/>
        </w:rPr>
        <w:t>nder Section 1530.105</w:t>
      </w:r>
      <w:r w:rsidRPr="004D3481" w:rsidR="00AE3221">
        <w:rPr>
          <w:rFonts w:ascii="Times New Roman" w:hAnsi="Times New Roman" w:cs="Times New Roman"/>
          <w:sz w:val="24"/>
          <w:szCs w:val="24"/>
        </w:rPr>
        <w:t>:</w:t>
      </w:r>
      <w:r w:rsidR="00AE3221">
        <w:rPr>
          <w:rFonts w:ascii="Times New Roman" w:hAnsi="Times New Roman" w:cs="Times New Roman"/>
          <w:sz w:val="24"/>
          <w:szCs w:val="24"/>
        </w:rPr>
        <w:t xml:space="preserve"> (</w:t>
      </w:r>
      <w:r w:rsidRPr="004D3481">
        <w:rPr>
          <w:rFonts w:ascii="Times New Roman" w:hAnsi="Times New Roman" w:cs="Times New Roman"/>
          <w:sz w:val="24"/>
          <w:szCs w:val="24"/>
        </w:rPr>
        <w:t xml:space="preserve">1) Refiners have 90 days to export or transfer an equivalent amount of sugar if entry results in a positive license balance, </w:t>
      </w:r>
      <w:r w:rsidR="005D7D5F">
        <w:rPr>
          <w:rFonts w:ascii="Times New Roman" w:hAnsi="Times New Roman" w:cs="Times New Roman"/>
          <w:sz w:val="24"/>
          <w:szCs w:val="24"/>
        </w:rPr>
        <w:t xml:space="preserve">(2) </w:t>
      </w:r>
      <w:r w:rsidRPr="004D3481">
        <w:rPr>
          <w:rFonts w:ascii="Times New Roman" w:hAnsi="Times New Roman" w:cs="Times New Roman"/>
          <w:sz w:val="24"/>
          <w:szCs w:val="24"/>
        </w:rPr>
        <w:t>manufacturers and producers have 18 months to export or use an equivalent amount of sugar charged against a license.</w:t>
      </w:r>
      <w:r>
        <w:rPr>
          <w:rFonts w:ascii="Times New Roman" w:hAnsi="Times New Roman" w:cs="Times New Roman"/>
          <w:sz w:val="24"/>
          <w:szCs w:val="24"/>
        </w:rPr>
        <w:t xml:space="preserve">  </w:t>
      </w:r>
      <w:r w:rsidRPr="004D3481">
        <w:rPr>
          <w:rFonts w:ascii="Times New Roman" w:hAnsi="Times New Roman" w:cs="Times New Roman"/>
          <w:sz w:val="24"/>
          <w:szCs w:val="24"/>
        </w:rPr>
        <w:t>(</w:t>
      </w:r>
      <w:r w:rsidR="005D7D5F">
        <w:rPr>
          <w:rFonts w:ascii="Times New Roman" w:hAnsi="Times New Roman" w:cs="Times New Roman"/>
          <w:sz w:val="24"/>
          <w:szCs w:val="24"/>
        </w:rPr>
        <w:t>3</w:t>
      </w:r>
      <w:r w:rsidRPr="004D3481">
        <w:rPr>
          <w:rFonts w:ascii="Times New Roman" w:hAnsi="Times New Roman" w:cs="Times New Roman"/>
          <w:sz w:val="24"/>
          <w:szCs w:val="24"/>
        </w:rPr>
        <w:t>) Licensees have 90 days to report transactions.  The 90-day reporting requirement is necessary to maintain timely information on license balances.</w:t>
      </w:r>
    </w:p>
    <w:p w:rsidR="00C04518" w:rsidP="00C83327" w14:paraId="1BED19B6" w14:textId="77777777">
      <w:pPr>
        <w:pStyle w:val="PlainText"/>
        <w:ind w:left="720"/>
        <w:rPr>
          <w:rFonts w:ascii="Times New Roman" w:hAnsi="Times New Roman" w:cs="Times New Roman"/>
          <w:b/>
          <w:sz w:val="24"/>
          <w:szCs w:val="24"/>
        </w:rPr>
      </w:pPr>
    </w:p>
    <w:p w:rsidR="00C04518" w:rsidP="00C04518" w14:paraId="72000945" w14:textId="7CCE0723">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respondents to prepare a written response to a collection of information in fewer than 30 days after receipt of it</w:t>
      </w:r>
      <w:r w:rsidR="009A2A8A">
        <w:rPr>
          <w:rFonts w:ascii="Times New Roman" w:hAnsi="Times New Roman" w:cs="Times New Roman"/>
          <w:b/>
          <w:sz w:val="24"/>
          <w:szCs w:val="24"/>
        </w:rPr>
        <w:t>:</w:t>
      </w:r>
    </w:p>
    <w:p w:rsidR="00C83327" w:rsidP="00C83327" w14:paraId="06709814" w14:textId="77777777">
      <w:pPr>
        <w:pStyle w:val="PlainText"/>
        <w:ind w:left="720"/>
        <w:rPr>
          <w:rFonts w:ascii="Times New Roman" w:hAnsi="Times New Roman" w:cs="Times New Roman"/>
          <w:b/>
          <w:sz w:val="24"/>
          <w:szCs w:val="24"/>
        </w:rPr>
      </w:pPr>
    </w:p>
    <w:p w:rsidR="00C83327" w:rsidRPr="00C83327" w:rsidP="00C83327" w14:paraId="2886DC0F" w14:textId="588654DF">
      <w:pPr>
        <w:pStyle w:val="PlainText"/>
        <w:ind w:left="720"/>
        <w:rPr>
          <w:rFonts w:ascii="Times New Roman" w:hAnsi="Times New Roman" w:cs="Times New Roman"/>
          <w:sz w:val="24"/>
          <w:szCs w:val="24"/>
        </w:rPr>
      </w:pPr>
      <w:r w:rsidRPr="00C83327">
        <w:rPr>
          <w:rFonts w:ascii="Times New Roman" w:hAnsi="Times New Roman" w:cs="Times New Roman"/>
          <w:sz w:val="24"/>
          <w:szCs w:val="24"/>
        </w:rPr>
        <w:t>Not applicable</w:t>
      </w:r>
      <w:r w:rsidR="00037F09">
        <w:rPr>
          <w:rFonts w:ascii="Times New Roman" w:hAnsi="Times New Roman" w:cs="Times New Roman"/>
          <w:sz w:val="24"/>
          <w:szCs w:val="24"/>
        </w:rPr>
        <w:t>.</w:t>
      </w:r>
    </w:p>
    <w:p w:rsidR="00C83327" w:rsidP="00C83327" w14:paraId="58B4E60B" w14:textId="54A01A38">
      <w:pPr>
        <w:pStyle w:val="PlainText"/>
        <w:ind w:left="720"/>
        <w:rPr>
          <w:rFonts w:ascii="Times New Roman" w:hAnsi="Times New Roman" w:cs="Times New Roman"/>
          <w:b/>
          <w:sz w:val="24"/>
          <w:szCs w:val="24"/>
        </w:rPr>
      </w:pPr>
    </w:p>
    <w:p w:rsidR="009A2A8A" w:rsidP="00C83327" w14:paraId="1D1AB7D4" w14:textId="77777777">
      <w:pPr>
        <w:pStyle w:val="PlainText"/>
        <w:ind w:left="720"/>
        <w:rPr>
          <w:rFonts w:ascii="Times New Roman" w:hAnsi="Times New Roman" w:cs="Times New Roman"/>
          <w:b/>
          <w:sz w:val="24"/>
          <w:szCs w:val="24"/>
        </w:rPr>
      </w:pPr>
    </w:p>
    <w:p w:rsidR="00C04518" w:rsidRPr="00C83327" w:rsidP="00C04518" w14:paraId="2EEA0F7C" w14:textId="7EC8D200">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respondents to submit more than an original and two copies of any document</w:t>
      </w:r>
      <w:r w:rsidR="00AE3221">
        <w:rPr>
          <w:rFonts w:ascii="Times New Roman" w:hAnsi="Times New Roman" w:cs="Times New Roman"/>
          <w:b/>
          <w:sz w:val="24"/>
          <w:szCs w:val="24"/>
        </w:rPr>
        <w:t>:</w:t>
      </w:r>
    </w:p>
    <w:p w:rsidR="00C83327" w:rsidP="00C83327" w14:paraId="6460D991" w14:textId="77777777">
      <w:pPr>
        <w:pStyle w:val="PlainText"/>
        <w:rPr>
          <w:rFonts w:ascii="Times New Roman" w:hAnsi="Times New Roman" w:cs="Times New Roman"/>
          <w:sz w:val="24"/>
          <w:szCs w:val="24"/>
        </w:rPr>
      </w:pPr>
    </w:p>
    <w:p w:rsidR="00C83327" w:rsidP="00C83327" w14:paraId="7287817D" w14:textId="3472DA3C">
      <w:pPr>
        <w:pStyle w:val="PlainText"/>
        <w:ind w:left="720"/>
        <w:rPr>
          <w:rFonts w:ascii="Times New Roman" w:hAnsi="Times New Roman" w:cs="Times New Roman"/>
          <w:sz w:val="24"/>
          <w:szCs w:val="24"/>
        </w:rPr>
      </w:pPr>
      <w:r>
        <w:rPr>
          <w:rFonts w:ascii="Times New Roman" w:hAnsi="Times New Roman" w:cs="Times New Roman"/>
          <w:sz w:val="24"/>
          <w:szCs w:val="24"/>
        </w:rPr>
        <w:t>Not applicable</w:t>
      </w:r>
      <w:r w:rsidR="00037F09">
        <w:rPr>
          <w:rFonts w:ascii="Times New Roman" w:hAnsi="Times New Roman" w:cs="Times New Roman"/>
          <w:sz w:val="24"/>
          <w:szCs w:val="24"/>
        </w:rPr>
        <w:t>.</w:t>
      </w:r>
    </w:p>
    <w:p w:rsidR="00C83327" w:rsidP="00C83327" w14:paraId="537F953D" w14:textId="77777777">
      <w:pPr>
        <w:pStyle w:val="PlainText"/>
        <w:ind w:left="720"/>
        <w:rPr>
          <w:rFonts w:ascii="Times New Roman" w:hAnsi="Times New Roman" w:cs="Times New Roman"/>
          <w:b/>
          <w:sz w:val="24"/>
          <w:szCs w:val="24"/>
        </w:rPr>
      </w:pPr>
    </w:p>
    <w:p w:rsidR="00C04518" w:rsidP="00C04518" w14:paraId="608D36AD" w14:textId="792D4661">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respondents to retain records, other than health, medical or government contract, grant-in-aid, or tax records for more than three years</w:t>
      </w:r>
      <w:r w:rsidR="00AE3221">
        <w:rPr>
          <w:rFonts w:ascii="Times New Roman" w:hAnsi="Times New Roman" w:cs="Times New Roman"/>
          <w:b/>
          <w:sz w:val="24"/>
          <w:szCs w:val="24"/>
        </w:rPr>
        <w:t>:</w:t>
      </w:r>
    </w:p>
    <w:p w:rsidR="00C83327" w:rsidP="00C83327" w14:paraId="24776BCF" w14:textId="77777777">
      <w:pPr>
        <w:pStyle w:val="PlainText"/>
        <w:ind w:left="720"/>
        <w:rPr>
          <w:rFonts w:ascii="Times New Roman" w:hAnsi="Times New Roman" w:cs="Times New Roman"/>
          <w:sz w:val="24"/>
          <w:szCs w:val="24"/>
        </w:rPr>
      </w:pPr>
    </w:p>
    <w:p w:rsidR="00C83327" w:rsidP="00C83327" w14:paraId="146F9954" w14:textId="26C58D6F">
      <w:pPr>
        <w:pStyle w:val="PlainText"/>
        <w:ind w:left="720"/>
        <w:rPr>
          <w:rFonts w:ascii="Times New Roman" w:hAnsi="Times New Roman" w:cs="Times New Roman"/>
          <w:sz w:val="24"/>
          <w:szCs w:val="24"/>
        </w:rPr>
      </w:pPr>
      <w:r w:rsidRPr="004D3481">
        <w:rPr>
          <w:rFonts w:ascii="Times New Roman" w:hAnsi="Times New Roman" w:cs="Times New Roman"/>
          <w:sz w:val="24"/>
          <w:szCs w:val="24"/>
        </w:rPr>
        <w:t>Under Section 1530.110(c):</w:t>
      </w:r>
      <w:r>
        <w:rPr>
          <w:rFonts w:ascii="Times New Roman" w:hAnsi="Times New Roman" w:cs="Times New Roman"/>
          <w:sz w:val="24"/>
          <w:szCs w:val="24"/>
        </w:rPr>
        <w:t xml:space="preserve">  </w:t>
      </w:r>
      <w:r w:rsidRPr="004D3481">
        <w:rPr>
          <w:rFonts w:ascii="Times New Roman" w:hAnsi="Times New Roman" w:cs="Times New Roman"/>
          <w:sz w:val="24"/>
          <w:szCs w:val="24"/>
        </w:rPr>
        <w:t xml:space="preserve">Licensees are to maintain the documentation established in the documentation agreement for five years from the date of </w:t>
      </w:r>
      <w:r>
        <w:rPr>
          <w:rFonts w:ascii="Times New Roman" w:hAnsi="Times New Roman" w:cs="Times New Roman"/>
          <w:sz w:val="24"/>
          <w:szCs w:val="24"/>
        </w:rPr>
        <w:t>each P</w:t>
      </w:r>
      <w:r w:rsidRPr="004D3481">
        <w:rPr>
          <w:rFonts w:ascii="Times New Roman" w:hAnsi="Times New Roman" w:cs="Times New Roman"/>
          <w:sz w:val="24"/>
          <w:szCs w:val="24"/>
        </w:rPr>
        <w:t>rogram transaction.  Past investigations regarding the sugar</w:t>
      </w:r>
      <w:r>
        <w:rPr>
          <w:rFonts w:ascii="Times New Roman" w:hAnsi="Times New Roman" w:cs="Times New Roman"/>
          <w:sz w:val="24"/>
          <w:szCs w:val="24"/>
        </w:rPr>
        <w:t xml:space="preserve"> </w:t>
      </w:r>
      <w:r w:rsidRPr="003D6D1B">
        <w:rPr>
          <w:rFonts w:ascii="Times New Roman" w:hAnsi="Times New Roman" w:cs="Times New Roman"/>
          <w:sz w:val="24"/>
          <w:szCs w:val="24"/>
        </w:rPr>
        <w:t>re-export</w:t>
      </w:r>
      <w:r w:rsidRPr="004D3481">
        <w:rPr>
          <w:rFonts w:ascii="Times New Roman" w:hAnsi="Times New Roman" w:cs="Times New Roman"/>
          <w:sz w:val="24"/>
          <w:szCs w:val="24"/>
        </w:rPr>
        <w:t xml:space="preserve"> licensing </w:t>
      </w:r>
      <w:r>
        <w:rPr>
          <w:rFonts w:ascii="Times New Roman" w:hAnsi="Times New Roman" w:cs="Times New Roman"/>
          <w:sz w:val="24"/>
          <w:szCs w:val="24"/>
        </w:rPr>
        <w:t>P</w:t>
      </w:r>
      <w:r w:rsidRPr="004D3481">
        <w:rPr>
          <w:rFonts w:ascii="Times New Roman" w:hAnsi="Times New Roman" w:cs="Times New Roman"/>
          <w:sz w:val="24"/>
          <w:szCs w:val="24"/>
        </w:rPr>
        <w:t xml:space="preserve">rogram have revealed that the Office of the Inspector General needs </w:t>
      </w:r>
      <w:r>
        <w:rPr>
          <w:rFonts w:ascii="Times New Roman" w:hAnsi="Times New Roman" w:cs="Times New Roman"/>
          <w:sz w:val="24"/>
          <w:szCs w:val="24"/>
        </w:rPr>
        <w:t>five</w:t>
      </w:r>
      <w:r w:rsidRPr="004D3481">
        <w:rPr>
          <w:rFonts w:ascii="Times New Roman" w:hAnsi="Times New Roman" w:cs="Times New Roman"/>
          <w:sz w:val="24"/>
          <w:szCs w:val="24"/>
        </w:rPr>
        <w:t xml:space="preserve"> years of data to substantiate compliance or non-compliance with the </w:t>
      </w:r>
      <w:r>
        <w:rPr>
          <w:rFonts w:ascii="Times New Roman" w:hAnsi="Times New Roman" w:cs="Times New Roman"/>
          <w:sz w:val="24"/>
          <w:szCs w:val="24"/>
        </w:rPr>
        <w:t>P</w:t>
      </w:r>
      <w:r w:rsidRPr="004D3481">
        <w:rPr>
          <w:rFonts w:ascii="Times New Roman" w:hAnsi="Times New Roman" w:cs="Times New Roman"/>
          <w:sz w:val="24"/>
          <w:szCs w:val="24"/>
        </w:rPr>
        <w:t xml:space="preserve">rogram. </w:t>
      </w:r>
      <w:r w:rsidR="00B444A2">
        <w:rPr>
          <w:rFonts w:ascii="Times New Roman" w:hAnsi="Times New Roman" w:cs="Times New Roman"/>
          <w:sz w:val="24"/>
          <w:szCs w:val="24"/>
        </w:rPr>
        <w:t xml:space="preserve"> </w:t>
      </w:r>
      <w:r w:rsidR="00037F09">
        <w:rPr>
          <w:rFonts w:ascii="Times New Roman" w:hAnsi="Times New Roman" w:cs="Times New Roman"/>
          <w:sz w:val="24"/>
          <w:szCs w:val="24"/>
        </w:rPr>
        <w:t>SUCROSE</w:t>
      </w:r>
      <w:r w:rsidR="003D74DE">
        <w:rPr>
          <w:rFonts w:ascii="Times New Roman" w:hAnsi="Times New Roman" w:cs="Times New Roman"/>
          <w:sz w:val="24"/>
          <w:szCs w:val="24"/>
        </w:rPr>
        <w:t xml:space="preserve"> will provide</w:t>
      </w:r>
      <w:r w:rsidR="00037F09">
        <w:rPr>
          <w:rFonts w:ascii="Times New Roman" w:hAnsi="Times New Roman" w:cs="Times New Roman"/>
          <w:sz w:val="24"/>
          <w:szCs w:val="24"/>
        </w:rPr>
        <w:t xml:space="preserve"> licensees </w:t>
      </w:r>
      <w:r w:rsidR="005D7D5F">
        <w:rPr>
          <w:rFonts w:ascii="Times New Roman" w:hAnsi="Times New Roman" w:cs="Times New Roman"/>
          <w:sz w:val="24"/>
          <w:szCs w:val="24"/>
        </w:rPr>
        <w:t>the capability</w:t>
      </w:r>
      <w:r w:rsidR="00037F09">
        <w:rPr>
          <w:rFonts w:ascii="Times New Roman" w:hAnsi="Times New Roman" w:cs="Times New Roman"/>
          <w:sz w:val="24"/>
          <w:szCs w:val="24"/>
        </w:rPr>
        <w:t xml:space="preserve"> </w:t>
      </w:r>
      <w:r w:rsidR="005D7D5F">
        <w:rPr>
          <w:rFonts w:ascii="Times New Roman" w:hAnsi="Times New Roman" w:cs="Times New Roman"/>
          <w:sz w:val="24"/>
          <w:szCs w:val="24"/>
        </w:rPr>
        <w:t xml:space="preserve">to upload </w:t>
      </w:r>
      <w:r w:rsidR="00037F09">
        <w:rPr>
          <w:rFonts w:ascii="Times New Roman" w:hAnsi="Times New Roman" w:cs="Times New Roman"/>
          <w:sz w:val="24"/>
          <w:szCs w:val="24"/>
        </w:rPr>
        <w:t>supporting documents for their transactions to allow FAS to adequately enforce compliance with the re-export program regulation, 7 CFR 1530.</w:t>
      </w:r>
      <w:r w:rsidRPr="004D3481">
        <w:rPr>
          <w:rFonts w:ascii="Times New Roman" w:hAnsi="Times New Roman" w:cs="Times New Roman"/>
          <w:sz w:val="24"/>
          <w:szCs w:val="24"/>
        </w:rPr>
        <w:t xml:space="preserve"> </w:t>
      </w:r>
    </w:p>
    <w:p w:rsidR="00C83327" w:rsidP="00C83327" w14:paraId="1859D6AD" w14:textId="77777777">
      <w:pPr>
        <w:pStyle w:val="PlainText"/>
        <w:ind w:left="720"/>
        <w:rPr>
          <w:rFonts w:ascii="Times New Roman" w:hAnsi="Times New Roman" w:cs="Times New Roman"/>
          <w:b/>
          <w:sz w:val="24"/>
          <w:szCs w:val="24"/>
        </w:rPr>
      </w:pPr>
    </w:p>
    <w:p w:rsidR="00C04518" w:rsidP="00C04518" w14:paraId="498D764D" w14:textId="52F11B5A">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in connection with a survey that is not designed to produce valid and reliable results that can be generalized to the universe of the study</w:t>
      </w:r>
      <w:r w:rsidR="00AE3221">
        <w:rPr>
          <w:rFonts w:ascii="Times New Roman" w:hAnsi="Times New Roman" w:cs="Times New Roman"/>
          <w:b/>
          <w:sz w:val="24"/>
          <w:szCs w:val="24"/>
        </w:rPr>
        <w:t>:</w:t>
      </w:r>
    </w:p>
    <w:p w:rsidR="00C83327" w:rsidP="00C83327" w14:paraId="53003E70" w14:textId="77777777">
      <w:pPr>
        <w:pStyle w:val="PlainText"/>
        <w:ind w:left="720"/>
        <w:rPr>
          <w:rFonts w:ascii="Times New Roman" w:hAnsi="Times New Roman" w:cs="Times New Roman"/>
          <w:sz w:val="24"/>
          <w:szCs w:val="24"/>
        </w:rPr>
      </w:pPr>
    </w:p>
    <w:p w:rsidR="00C83327" w:rsidP="00C83327" w14:paraId="4B68400E" w14:textId="352B06DD">
      <w:pPr>
        <w:pStyle w:val="PlainText"/>
        <w:ind w:left="720"/>
        <w:rPr>
          <w:rFonts w:ascii="Times New Roman" w:hAnsi="Times New Roman" w:cs="Times New Roman"/>
          <w:sz w:val="24"/>
          <w:szCs w:val="24"/>
        </w:rPr>
      </w:pPr>
      <w:r>
        <w:rPr>
          <w:rFonts w:ascii="Times New Roman" w:hAnsi="Times New Roman" w:cs="Times New Roman"/>
          <w:sz w:val="24"/>
          <w:szCs w:val="24"/>
        </w:rPr>
        <w:t>Not applicable</w:t>
      </w:r>
      <w:r w:rsidR="00037F09">
        <w:rPr>
          <w:rFonts w:ascii="Times New Roman" w:hAnsi="Times New Roman" w:cs="Times New Roman"/>
          <w:sz w:val="24"/>
          <w:szCs w:val="24"/>
        </w:rPr>
        <w:t>.</w:t>
      </w:r>
    </w:p>
    <w:p w:rsidR="00C83327" w:rsidRPr="00C83327" w:rsidP="00C83327" w14:paraId="796E2C1A" w14:textId="77777777">
      <w:pPr>
        <w:pStyle w:val="PlainText"/>
        <w:ind w:left="720"/>
        <w:rPr>
          <w:rFonts w:ascii="Times New Roman" w:hAnsi="Times New Roman" w:cs="Times New Roman"/>
          <w:sz w:val="24"/>
          <w:szCs w:val="24"/>
        </w:rPr>
      </w:pPr>
    </w:p>
    <w:p w:rsidR="00C04518" w:rsidP="00C04518" w14:paraId="129EEB8B" w14:textId="06B33426">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the use of statistical data classification that has not been reviewed and approved by OMB</w:t>
      </w:r>
      <w:r w:rsidR="00AE3221">
        <w:rPr>
          <w:rFonts w:ascii="Times New Roman" w:hAnsi="Times New Roman" w:cs="Times New Roman"/>
          <w:b/>
          <w:sz w:val="24"/>
          <w:szCs w:val="24"/>
        </w:rPr>
        <w:t>:</w:t>
      </w:r>
    </w:p>
    <w:p w:rsidR="00C83327" w:rsidP="00C83327" w14:paraId="75BEDDFA" w14:textId="77777777">
      <w:pPr>
        <w:pStyle w:val="PlainText"/>
        <w:ind w:left="720"/>
        <w:rPr>
          <w:rFonts w:ascii="Times New Roman" w:hAnsi="Times New Roman" w:cs="Times New Roman"/>
          <w:b/>
          <w:sz w:val="24"/>
          <w:szCs w:val="24"/>
        </w:rPr>
      </w:pPr>
    </w:p>
    <w:p w:rsidR="00C83327" w:rsidP="00C83327" w14:paraId="3656BFA6" w14:textId="4EB328AC">
      <w:pPr>
        <w:pStyle w:val="PlainText"/>
        <w:ind w:left="720"/>
        <w:rPr>
          <w:rFonts w:ascii="Times New Roman" w:hAnsi="Times New Roman" w:cs="Times New Roman"/>
          <w:sz w:val="24"/>
          <w:szCs w:val="24"/>
        </w:rPr>
      </w:pPr>
      <w:r>
        <w:rPr>
          <w:rFonts w:ascii="Times New Roman" w:hAnsi="Times New Roman" w:cs="Times New Roman"/>
          <w:sz w:val="24"/>
          <w:szCs w:val="24"/>
        </w:rPr>
        <w:t>Not applicable</w:t>
      </w:r>
      <w:r w:rsidR="00037F09">
        <w:rPr>
          <w:rFonts w:ascii="Times New Roman" w:hAnsi="Times New Roman" w:cs="Times New Roman"/>
          <w:sz w:val="24"/>
          <w:szCs w:val="24"/>
        </w:rPr>
        <w:t>.</w:t>
      </w:r>
    </w:p>
    <w:p w:rsidR="00C83327" w:rsidRPr="00C83327" w:rsidP="00C83327" w14:paraId="390318A6" w14:textId="77777777">
      <w:pPr>
        <w:pStyle w:val="PlainText"/>
        <w:ind w:left="720"/>
        <w:rPr>
          <w:rFonts w:ascii="Times New Roman" w:hAnsi="Times New Roman" w:cs="Times New Roman"/>
          <w:sz w:val="24"/>
          <w:szCs w:val="24"/>
        </w:rPr>
      </w:pPr>
    </w:p>
    <w:p w:rsidR="00C04518" w:rsidP="00C04518" w14:paraId="46D56DDF" w14:textId="77777777">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83327" w:rsidP="00C83327" w14:paraId="04E4EE7D" w14:textId="77777777">
      <w:pPr>
        <w:pStyle w:val="PlainText"/>
        <w:rPr>
          <w:rFonts w:ascii="Times New Roman" w:hAnsi="Times New Roman" w:cs="Times New Roman"/>
          <w:b/>
          <w:sz w:val="24"/>
          <w:szCs w:val="24"/>
        </w:rPr>
      </w:pPr>
    </w:p>
    <w:p w:rsidR="00C83327" w:rsidP="00C83327" w14:paraId="5D9DE928" w14:textId="3C1B531E">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Not applicable. </w:t>
      </w:r>
      <w:r w:rsidR="003D74DE">
        <w:rPr>
          <w:rFonts w:ascii="Times New Roman" w:hAnsi="Times New Roman" w:cs="Times New Roman"/>
          <w:sz w:val="24"/>
          <w:szCs w:val="24"/>
        </w:rPr>
        <w:t xml:space="preserve"> </w:t>
      </w:r>
      <w:r>
        <w:rPr>
          <w:rFonts w:ascii="Times New Roman" w:hAnsi="Times New Roman" w:cs="Times New Roman"/>
          <w:sz w:val="24"/>
          <w:szCs w:val="24"/>
        </w:rPr>
        <w:t>FOIA rules govern this material.</w:t>
      </w:r>
    </w:p>
    <w:p w:rsidR="00450AD4" w:rsidRPr="00C83327" w:rsidP="00C83327" w14:paraId="6ABC734C" w14:textId="77777777">
      <w:pPr>
        <w:pStyle w:val="PlainText"/>
        <w:ind w:firstLine="720"/>
        <w:rPr>
          <w:rFonts w:ascii="Times New Roman" w:hAnsi="Times New Roman" w:cs="Times New Roman"/>
          <w:sz w:val="24"/>
          <w:szCs w:val="24"/>
        </w:rPr>
      </w:pPr>
    </w:p>
    <w:p w:rsidR="00052711" w:rsidP="006A3CB7" w14:paraId="0E0682C5" w14:textId="77777777">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C83327" w:rsidP="00C83327" w14:paraId="2AD36DE0" w14:textId="77777777">
      <w:pPr>
        <w:pStyle w:val="PlainText"/>
        <w:rPr>
          <w:rFonts w:ascii="Times New Roman" w:hAnsi="Times New Roman" w:cs="Times New Roman"/>
          <w:b/>
          <w:sz w:val="24"/>
          <w:szCs w:val="24"/>
        </w:rPr>
      </w:pPr>
    </w:p>
    <w:p w:rsidR="00052711" w:rsidRPr="004D3481" w:rsidP="00C83327" w14:paraId="0C2AE798" w14:textId="03CFA4FC">
      <w:pPr>
        <w:pStyle w:val="PlainText"/>
        <w:ind w:left="720"/>
        <w:rPr>
          <w:rFonts w:ascii="Times New Roman" w:hAnsi="Times New Roman" w:cs="Times New Roman"/>
          <w:sz w:val="24"/>
          <w:szCs w:val="24"/>
        </w:rPr>
      </w:pPr>
      <w:r>
        <w:rPr>
          <w:rFonts w:ascii="Times New Roman" w:hAnsi="Times New Roman" w:cs="Times New Roman"/>
          <w:sz w:val="24"/>
          <w:szCs w:val="24"/>
        </w:rPr>
        <w:t xml:space="preserve">FOIA rules govern this material.  There are no other special circumstances.  This information is </w:t>
      </w:r>
      <w:r w:rsidR="003D74DE">
        <w:rPr>
          <w:rFonts w:ascii="Times New Roman" w:hAnsi="Times New Roman" w:cs="Times New Roman"/>
          <w:sz w:val="24"/>
          <w:szCs w:val="24"/>
        </w:rPr>
        <w:t xml:space="preserve">handled </w:t>
      </w:r>
      <w:r>
        <w:rPr>
          <w:rFonts w:ascii="Times New Roman" w:hAnsi="Times New Roman" w:cs="Times New Roman"/>
          <w:sz w:val="24"/>
          <w:szCs w:val="24"/>
        </w:rPr>
        <w:t>in a manner consistent with guidelines established in 5 CFR 1320.5.</w:t>
      </w:r>
    </w:p>
    <w:p w:rsidR="00666C00" w:rsidRPr="004D3481" w:rsidP="003C0232" w14:paraId="6503750E" w14:textId="77777777">
      <w:pPr>
        <w:pStyle w:val="PlainText"/>
        <w:rPr>
          <w:rFonts w:ascii="Times New Roman" w:hAnsi="Times New Roman" w:cs="Times New Roman"/>
          <w:sz w:val="24"/>
          <w:szCs w:val="24"/>
        </w:rPr>
      </w:pPr>
    </w:p>
    <w:p w:rsidR="00C04518" w:rsidP="00C04518" w14:paraId="50AE74D3" w14:textId="77777777">
      <w:pPr>
        <w:rPr>
          <w:b/>
        </w:rPr>
      </w:pPr>
      <w:r w:rsidRPr="00E83C20">
        <w:rPr>
          <w:b/>
        </w:rPr>
        <w:t xml:space="preserve">8.  </w:t>
      </w:r>
      <w:r w:rsidRPr="00C04518">
        <w:rPr>
          <w:b/>
        </w:rPr>
        <w:t xml:space="preserve"> </w:t>
      </w:r>
      <w:r>
        <w:rPr>
          <w:b/>
        </w:rPr>
        <w:t xml:space="preserve">If applicable, provide a copy and identify the date and page number of </w:t>
      </w:r>
      <w:r>
        <w:rPr>
          <w:b/>
        </w:rPr>
        <w:t>publication</w:t>
      </w:r>
      <w:r>
        <w:rPr>
          <w:b/>
        </w:rPr>
        <w:t xml:space="preserve"> in the Federal Register of the agency’s notice required by 5 CFR 1320.8(d), soliciting comments on the information collection prior to submission to OMB.  Summarize public comments received </w:t>
      </w:r>
      <w:r>
        <w:rPr>
          <w:b/>
        </w:rPr>
        <w:t>in response to that notice and describe actions taken by the agency in response to these comments.  Specifically address comments received on cost and hour burden.</w:t>
      </w:r>
    </w:p>
    <w:p w:rsidR="00C04518" w:rsidP="00C04518" w14:paraId="4FC49B38" w14:textId="77777777">
      <w:pPr>
        <w:rPr>
          <w:b/>
        </w:rPr>
      </w:pPr>
    </w:p>
    <w:p w:rsidR="00FA7213" w:rsidP="003C0232" w14:paraId="3E41EDED" w14:textId="0C165F8E">
      <w:pPr>
        <w:pStyle w:val="PlainText"/>
        <w:rPr>
          <w:rFonts w:ascii="Times New Roman" w:hAnsi="Times New Roman" w:cs="Times New Roman"/>
          <w:sz w:val="24"/>
          <w:szCs w:val="24"/>
        </w:rPr>
      </w:pPr>
      <w:r w:rsidRPr="00E05472">
        <w:rPr>
          <w:rFonts w:ascii="Times New Roman" w:hAnsi="Times New Roman" w:cs="Times New Roman"/>
          <w:sz w:val="24"/>
          <w:szCs w:val="24"/>
        </w:rPr>
        <w:t>FAS published a 60–day Notice of Proposed Information Collections for public comments in the Federal Register</w:t>
      </w:r>
      <w:r w:rsidRPr="00E05472">
        <w:rPr>
          <w:rFonts w:ascii="Times New Roman" w:hAnsi="Times New Roman" w:cs="Times New Roman"/>
          <w:sz w:val="24"/>
          <w:szCs w:val="24"/>
        </w:rPr>
        <w:t xml:space="preserve">, Volume </w:t>
      </w:r>
      <w:r w:rsidR="00A97E66">
        <w:rPr>
          <w:rFonts w:ascii="Times New Roman" w:hAnsi="Times New Roman" w:cs="Times New Roman"/>
          <w:sz w:val="24"/>
          <w:szCs w:val="24"/>
        </w:rPr>
        <w:t>90</w:t>
      </w:r>
      <w:r w:rsidRPr="00E05472">
        <w:rPr>
          <w:rFonts w:ascii="Times New Roman" w:hAnsi="Times New Roman" w:cs="Times New Roman"/>
          <w:sz w:val="24"/>
          <w:szCs w:val="24"/>
        </w:rPr>
        <w:t xml:space="preserve">; Page </w:t>
      </w:r>
      <w:r w:rsidR="00A97E66">
        <w:rPr>
          <w:rFonts w:ascii="Times New Roman" w:hAnsi="Times New Roman" w:cs="Times New Roman"/>
          <w:sz w:val="24"/>
          <w:szCs w:val="24"/>
        </w:rPr>
        <w:t xml:space="preserve">41966 </w:t>
      </w:r>
      <w:r w:rsidRPr="00E05472">
        <w:rPr>
          <w:rFonts w:ascii="Times New Roman" w:hAnsi="Times New Roman" w:cs="Times New Roman"/>
          <w:sz w:val="24"/>
          <w:szCs w:val="24"/>
        </w:rPr>
        <w:t xml:space="preserve">on </w:t>
      </w:r>
      <w:r w:rsidR="00A97E66">
        <w:rPr>
          <w:rFonts w:ascii="Times New Roman" w:hAnsi="Times New Roman" w:cs="Times New Roman"/>
          <w:sz w:val="24"/>
          <w:szCs w:val="24"/>
        </w:rPr>
        <w:t>August</w:t>
      </w:r>
      <w:r w:rsidRPr="00E05472">
        <w:rPr>
          <w:rFonts w:ascii="Times New Roman" w:hAnsi="Times New Roman" w:cs="Times New Roman"/>
          <w:sz w:val="24"/>
          <w:szCs w:val="24"/>
        </w:rPr>
        <w:t xml:space="preserve"> </w:t>
      </w:r>
      <w:r w:rsidR="00A70FFB">
        <w:rPr>
          <w:rFonts w:ascii="Times New Roman" w:hAnsi="Times New Roman" w:cs="Times New Roman"/>
          <w:sz w:val="24"/>
          <w:szCs w:val="24"/>
        </w:rPr>
        <w:t>28</w:t>
      </w:r>
      <w:r w:rsidRPr="00E05472">
        <w:rPr>
          <w:rFonts w:ascii="Times New Roman" w:hAnsi="Times New Roman" w:cs="Times New Roman"/>
          <w:sz w:val="24"/>
          <w:szCs w:val="24"/>
        </w:rPr>
        <w:t>, 202</w:t>
      </w:r>
      <w:r w:rsidR="00A97E66">
        <w:rPr>
          <w:rFonts w:ascii="Times New Roman" w:hAnsi="Times New Roman" w:cs="Times New Roman"/>
          <w:sz w:val="24"/>
          <w:szCs w:val="24"/>
        </w:rPr>
        <w:t>5</w:t>
      </w:r>
      <w:r w:rsidRPr="00E05472">
        <w:rPr>
          <w:rFonts w:ascii="Times New Roman" w:hAnsi="Times New Roman" w:cs="Times New Roman"/>
          <w:sz w:val="24"/>
          <w:szCs w:val="24"/>
        </w:rPr>
        <w:t xml:space="preserve">.  The public was given until </w:t>
      </w:r>
      <w:r w:rsidR="00A97E66">
        <w:rPr>
          <w:rFonts w:ascii="Times New Roman" w:hAnsi="Times New Roman" w:cs="Times New Roman"/>
          <w:sz w:val="24"/>
          <w:szCs w:val="24"/>
        </w:rPr>
        <w:t>October</w:t>
      </w:r>
      <w:r w:rsidRPr="00E05472">
        <w:rPr>
          <w:rFonts w:ascii="Times New Roman" w:hAnsi="Times New Roman" w:cs="Times New Roman"/>
          <w:sz w:val="24"/>
          <w:szCs w:val="24"/>
        </w:rPr>
        <w:t xml:space="preserve"> </w:t>
      </w:r>
      <w:r w:rsidR="00A70FFB">
        <w:rPr>
          <w:rFonts w:ascii="Times New Roman" w:hAnsi="Times New Roman" w:cs="Times New Roman"/>
          <w:sz w:val="24"/>
          <w:szCs w:val="24"/>
        </w:rPr>
        <w:t>27</w:t>
      </w:r>
      <w:r w:rsidRPr="00E05472">
        <w:rPr>
          <w:rFonts w:ascii="Times New Roman" w:hAnsi="Times New Roman" w:cs="Times New Roman"/>
          <w:sz w:val="24"/>
          <w:szCs w:val="24"/>
        </w:rPr>
        <w:t>, 202</w:t>
      </w:r>
      <w:r w:rsidR="00A97E66">
        <w:rPr>
          <w:rFonts w:ascii="Times New Roman" w:hAnsi="Times New Roman" w:cs="Times New Roman"/>
          <w:sz w:val="24"/>
          <w:szCs w:val="24"/>
        </w:rPr>
        <w:t>5</w:t>
      </w:r>
      <w:r w:rsidR="003D74DE">
        <w:rPr>
          <w:rFonts w:ascii="Times New Roman" w:hAnsi="Times New Roman" w:cs="Times New Roman"/>
          <w:sz w:val="24"/>
          <w:szCs w:val="24"/>
        </w:rPr>
        <w:t>,</w:t>
      </w:r>
      <w:r w:rsidRPr="00E05472">
        <w:rPr>
          <w:rFonts w:ascii="Times New Roman" w:hAnsi="Times New Roman" w:cs="Times New Roman"/>
          <w:sz w:val="24"/>
          <w:szCs w:val="24"/>
        </w:rPr>
        <w:t xml:space="preserve"> to submit comments on the proposed information collection.  </w:t>
      </w:r>
      <w:r w:rsidR="00A97E66">
        <w:rPr>
          <w:rFonts w:ascii="Times New Roman" w:hAnsi="Times New Roman" w:cs="Times New Roman"/>
          <w:sz w:val="24"/>
          <w:szCs w:val="24"/>
        </w:rPr>
        <w:t xml:space="preserve">The agency received one public </w:t>
      </w:r>
      <w:r w:rsidRPr="00E05472">
        <w:rPr>
          <w:rFonts w:ascii="Times New Roman" w:hAnsi="Times New Roman" w:cs="Times New Roman"/>
          <w:sz w:val="24"/>
          <w:szCs w:val="24"/>
        </w:rPr>
        <w:t xml:space="preserve">comment </w:t>
      </w:r>
      <w:r w:rsidR="00A97E66">
        <w:rPr>
          <w:rFonts w:ascii="Times New Roman" w:hAnsi="Times New Roman" w:cs="Times New Roman"/>
          <w:sz w:val="24"/>
          <w:szCs w:val="24"/>
        </w:rPr>
        <w:t>that was not related to the data collection being put forth</w:t>
      </w:r>
      <w:r w:rsidRPr="00E05472">
        <w:rPr>
          <w:rFonts w:ascii="Times New Roman" w:hAnsi="Times New Roman" w:cs="Times New Roman"/>
          <w:sz w:val="24"/>
          <w:szCs w:val="24"/>
        </w:rPr>
        <w:t>.</w:t>
      </w:r>
    </w:p>
    <w:p w:rsidR="00B45FEA" w:rsidP="003C0232" w14:paraId="4337F986" w14:textId="556C50C9">
      <w:pPr>
        <w:pStyle w:val="PlainText"/>
        <w:rPr>
          <w:rFonts w:ascii="Times New Roman" w:hAnsi="Times New Roman" w:cs="Times New Roman"/>
          <w:sz w:val="24"/>
          <w:szCs w:val="24"/>
        </w:rPr>
      </w:pPr>
    </w:p>
    <w:p w:rsidR="00B45FEA" w:rsidP="00B45FEA" w14:paraId="15DF78A3" w14:textId="77777777">
      <w:pPr>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45FEA" w:rsidP="00B45FEA" w14:paraId="3923C282" w14:textId="77777777">
      <w:pPr>
        <w:rPr>
          <w:b/>
        </w:rPr>
      </w:pPr>
    </w:p>
    <w:p w:rsidR="00B45FEA" w:rsidRPr="001A1700" w:rsidP="00B45FEA" w14:paraId="2BE9BF08" w14:textId="77777777">
      <w:pPr>
        <w:rPr>
          <w:b/>
        </w:rPr>
      </w:pPr>
      <w:r>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45FEA" w:rsidP="003C0232" w14:paraId="37641752" w14:textId="77777777">
      <w:pPr>
        <w:pStyle w:val="PlainText"/>
        <w:rPr>
          <w:rFonts w:ascii="Times New Roman" w:hAnsi="Times New Roman" w:cs="Times New Roman"/>
          <w:sz w:val="24"/>
          <w:szCs w:val="24"/>
        </w:rPr>
      </w:pPr>
    </w:p>
    <w:p w:rsidR="00FA7213" w:rsidP="003C0232" w14:paraId="02516A0E" w14:textId="495144F9">
      <w:pPr>
        <w:pStyle w:val="PlainText"/>
        <w:rPr>
          <w:rFonts w:ascii="Times New Roman" w:hAnsi="Times New Roman" w:cs="Times New Roman"/>
          <w:sz w:val="24"/>
          <w:szCs w:val="24"/>
        </w:rPr>
      </w:pPr>
      <w:r>
        <w:rPr>
          <w:rFonts w:ascii="Times New Roman" w:hAnsi="Times New Roman" w:cs="Times New Roman"/>
          <w:sz w:val="24"/>
          <w:szCs w:val="24"/>
        </w:rPr>
        <w:t>Consultations wit</w:t>
      </w:r>
      <w:r>
        <w:rPr>
          <w:rFonts w:ascii="Times New Roman" w:hAnsi="Times New Roman" w:cs="Times New Roman"/>
          <w:sz w:val="24"/>
          <w:szCs w:val="24"/>
        </w:rPr>
        <w:t>h the following individuals were made regarding this collection</w:t>
      </w:r>
      <w:r w:rsidR="00450AD4">
        <w:rPr>
          <w:rFonts w:ascii="Times New Roman" w:hAnsi="Times New Roman" w:cs="Times New Roman"/>
          <w:sz w:val="24"/>
          <w:szCs w:val="24"/>
        </w:rPr>
        <w:t xml:space="preserve">. </w:t>
      </w:r>
      <w:r w:rsidR="00983ABF">
        <w:rPr>
          <w:rFonts w:ascii="Times New Roman" w:hAnsi="Times New Roman" w:cs="Times New Roman"/>
          <w:sz w:val="24"/>
          <w:szCs w:val="24"/>
        </w:rPr>
        <w:t>The individuals concurred that the FAS estimates for the burden hours for the collection were reasonable.</w:t>
      </w:r>
      <w:r w:rsidR="00450AD4">
        <w:rPr>
          <w:rFonts w:ascii="Times New Roman" w:hAnsi="Times New Roman" w:cs="Times New Roman"/>
          <w:sz w:val="24"/>
          <w:szCs w:val="24"/>
        </w:rPr>
        <w:t xml:space="preserve"> </w:t>
      </w:r>
    </w:p>
    <w:p w:rsidR="00FA7213" w:rsidP="00983ABF" w14:paraId="085E3D1B" w14:textId="77777777">
      <w:pPr>
        <w:pStyle w:val="PlainText"/>
        <w:rPr>
          <w:rFonts w:ascii="Times New Roman" w:hAnsi="Times New Roman" w:cs="Times New Roman"/>
          <w:sz w:val="24"/>
          <w:szCs w:val="24"/>
        </w:rPr>
      </w:pPr>
    </w:p>
    <w:tbl>
      <w:tblPr>
        <w:tblStyle w:val="TableGrid"/>
        <w:tblW w:w="0" w:type="auto"/>
        <w:jc w:val="center"/>
        <w:tblLook w:val="04A0"/>
      </w:tblPr>
      <w:tblGrid>
        <w:gridCol w:w="1081"/>
        <w:gridCol w:w="1170"/>
        <w:gridCol w:w="3144"/>
        <w:gridCol w:w="4243"/>
      </w:tblGrid>
      <w:tr w14:paraId="3EA2469F" w14:textId="77777777" w:rsidTr="007602D0">
        <w:tblPrEx>
          <w:tblW w:w="0" w:type="auto"/>
          <w:jc w:val="center"/>
          <w:tblLook w:val="04A0"/>
        </w:tblPrEx>
        <w:trPr>
          <w:jc w:val="center"/>
        </w:trPr>
        <w:tc>
          <w:tcPr>
            <w:tcW w:w="1081" w:type="dxa"/>
          </w:tcPr>
          <w:p w:rsidR="00983ABF" w:rsidRPr="00450AD4" w:rsidP="00983ABF" w14:paraId="46D01643" w14:textId="77777777">
            <w:pPr>
              <w:rPr>
                <w:rFonts w:cs="Times New Roman"/>
                <w:sz w:val="20"/>
                <w:szCs w:val="20"/>
              </w:rPr>
            </w:pPr>
            <w:r w:rsidRPr="00450AD4">
              <w:rPr>
                <w:rFonts w:cs="Times New Roman"/>
                <w:sz w:val="20"/>
                <w:szCs w:val="20"/>
              </w:rPr>
              <w:t>Company</w:t>
            </w:r>
          </w:p>
        </w:tc>
        <w:tc>
          <w:tcPr>
            <w:tcW w:w="1170" w:type="dxa"/>
          </w:tcPr>
          <w:p w:rsidR="00983ABF" w:rsidRPr="00450AD4" w:rsidP="00983ABF" w14:paraId="37F2E1E1" w14:textId="77777777">
            <w:pPr>
              <w:rPr>
                <w:rFonts w:cs="Times New Roman"/>
                <w:sz w:val="20"/>
                <w:szCs w:val="20"/>
              </w:rPr>
            </w:pPr>
            <w:r w:rsidRPr="00450AD4">
              <w:rPr>
                <w:rFonts w:cs="Times New Roman"/>
                <w:sz w:val="20"/>
                <w:szCs w:val="20"/>
              </w:rPr>
              <w:t>Contact</w:t>
            </w:r>
          </w:p>
        </w:tc>
        <w:tc>
          <w:tcPr>
            <w:tcW w:w="3144" w:type="dxa"/>
          </w:tcPr>
          <w:p w:rsidR="00983ABF" w:rsidRPr="00450AD4" w:rsidP="00983ABF" w14:paraId="7BD050E6" w14:textId="77777777">
            <w:pPr>
              <w:rPr>
                <w:rFonts w:cs="Times New Roman"/>
                <w:sz w:val="20"/>
                <w:szCs w:val="20"/>
              </w:rPr>
            </w:pPr>
            <w:r w:rsidRPr="00450AD4">
              <w:rPr>
                <w:rFonts w:cs="Times New Roman"/>
                <w:sz w:val="20"/>
                <w:szCs w:val="20"/>
              </w:rPr>
              <w:t>E-mail</w:t>
            </w:r>
          </w:p>
        </w:tc>
        <w:tc>
          <w:tcPr>
            <w:tcW w:w="4243" w:type="dxa"/>
          </w:tcPr>
          <w:p w:rsidR="00983ABF" w:rsidRPr="00450AD4" w:rsidP="00983ABF" w14:paraId="01BC716F" w14:textId="77777777">
            <w:pPr>
              <w:rPr>
                <w:rFonts w:cs="Times New Roman"/>
                <w:sz w:val="20"/>
                <w:szCs w:val="20"/>
              </w:rPr>
            </w:pPr>
            <w:r w:rsidRPr="00450AD4">
              <w:rPr>
                <w:rFonts w:cs="Times New Roman"/>
                <w:sz w:val="20"/>
                <w:szCs w:val="20"/>
              </w:rPr>
              <w:t>Phone Number</w:t>
            </w:r>
          </w:p>
        </w:tc>
      </w:tr>
      <w:tr w14:paraId="71865426" w14:textId="77777777" w:rsidTr="007602D0">
        <w:tblPrEx>
          <w:tblW w:w="0" w:type="auto"/>
          <w:jc w:val="center"/>
          <w:tblLook w:val="04A0"/>
        </w:tblPrEx>
        <w:trPr>
          <w:jc w:val="center"/>
        </w:trPr>
        <w:tc>
          <w:tcPr>
            <w:tcW w:w="1081" w:type="dxa"/>
          </w:tcPr>
          <w:p w:rsidR="00983ABF" w:rsidRPr="00450AD4" w:rsidP="00983ABF" w14:paraId="727C0D49" w14:textId="23E4513A">
            <w:pPr>
              <w:rPr>
                <w:rFonts w:cs="Times New Roman"/>
                <w:sz w:val="20"/>
                <w:szCs w:val="20"/>
              </w:rPr>
            </w:pPr>
            <w:r w:rsidRPr="00D26EB3">
              <w:rPr>
                <w:rFonts w:cs="Times New Roman"/>
                <w:sz w:val="20"/>
                <w:szCs w:val="20"/>
              </w:rPr>
              <w:t>Eastman Chemical Company</w:t>
            </w:r>
            <w:r w:rsidRPr="00D26EB3">
              <w:rPr>
                <w:rFonts w:cs="Times New Roman"/>
                <w:sz w:val="20"/>
                <w:szCs w:val="20"/>
              </w:rPr>
              <w:t xml:space="preserve"> </w:t>
            </w:r>
          </w:p>
        </w:tc>
        <w:tc>
          <w:tcPr>
            <w:tcW w:w="1170" w:type="dxa"/>
          </w:tcPr>
          <w:p w:rsidR="00983ABF" w:rsidRPr="00450AD4" w:rsidP="00983ABF" w14:paraId="1C16AD52" w14:textId="090CD320">
            <w:pPr>
              <w:rPr>
                <w:rFonts w:cs="Times New Roman"/>
                <w:sz w:val="20"/>
                <w:szCs w:val="20"/>
              </w:rPr>
            </w:pPr>
            <w:r w:rsidRPr="00E84265">
              <w:rPr>
                <w:rFonts w:cs="Times New Roman"/>
                <w:sz w:val="20"/>
                <w:szCs w:val="20"/>
              </w:rPr>
              <w:t>Teresa D. Tipton</w:t>
            </w:r>
            <w:r w:rsidRPr="00E84265">
              <w:rPr>
                <w:rFonts w:cs="Times New Roman"/>
                <w:sz w:val="20"/>
                <w:szCs w:val="20"/>
              </w:rPr>
              <w:t xml:space="preserve"> </w:t>
            </w:r>
          </w:p>
        </w:tc>
        <w:tc>
          <w:tcPr>
            <w:tcW w:w="3144" w:type="dxa"/>
          </w:tcPr>
          <w:p w:rsidR="00983ABF" w:rsidRPr="00450AD4" w:rsidP="00983ABF" w14:paraId="2D03E9BF" w14:textId="4C0C16D1">
            <w:pPr>
              <w:rPr>
                <w:rFonts w:cs="Times New Roman"/>
                <w:sz w:val="20"/>
                <w:szCs w:val="20"/>
              </w:rPr>
            </w:pPr>
            <w:r w:rsidRPr="00E84265">
              <w:rPr>
                <w:rFonts w:cs="Times New Roman"/>
                <w:sz w:val="20"/>
                <w:szCs w:val="20"/>
              </w:rPr>
              <w:t>tdtipton@eastman.com</w:t>
            </w:r>
            <w:r w:rsidRPr="00E84265">
              <w:rPr>
                <w:rFonts w:cs="Times New Roman"/>
                <w:sz w:val="20"/>
                <w:szCs w:val="20"/>
              </w:rPr>
              <w:t xml:space="preserve"> </w:t>
            </w:r>
          </w:p>
        </w:tc>
        <w:tc>
          <w:tcPr>
            <w:tcW w:w="4243" w:type="dxa"/>
          </w:tcPr>
          <w:p w:rsidR="00983ABF" w:rsidRPr="00450AD4" w:rsidP="00983ABF" w14:paraId="0A2B1EC1" w14:textId="12C94798">
            <w:pPr>
              <w:rPr>
                <w:rFonts w:cs="Times New Roman"/>
                <w:sz w:val="20"/>
                <w:szCs w:val="20"/>
              </w:rPr>
            </w:pPr>
            <w:r w:rsidRPr="00E84265">
              <w:rPr>
                <w:rFonts w:cs="Times New Roman"/>
                <w:sz w:val="20"/>
                <w:szCs w:val="20"/>
              </w:rPr>
              <w:t>(423) 229-5060</w:t>
            </w:r>
            <w:r w:rsidRPr="00E84265">
              <w:rPr>
                <w:rFonts w:cs="Times New Roman"/>
                <w:sz w:val="20"/>
                <w:szCs w:val="20"/>
              </w:rPr>
              <w:t xml:space="preserve"> </w:t>
            </w:r>
          </w:p>
        </w:tc>
      </w:tr>
      <w:tr w14:paraId="6FEE1D5F" w14:textId="77777777" w:rsidTr="007602D0">
        <w:tblPrEx>
          <w:tblW w:w="0" w:type="auto"/>
          <w:jc w:val="center"/>
          <w:tblLook w:val="04A0"/>
        </w:tblPrEx>
        <w:trPr>
          <w:jc w:val="center"/>
        </w:trPr>
        <w:tc>
          <w:tcPr>
            <w:tcW w:w="1081" w:type="dxa"/>
          </w:tcPr>
          <w:p w:rsidR="00983ABF" w:rsidRPr="00450AD4" w:rsidP="00983ABF" w14:paraId="495735A2" w14:textId="4ECC60BE">
            <w:pPr>
              <w:rPr>
                <w:rFonts w:cs="Times New Roman"/>
                <w:sz w:val="20"/>
                <w:szCs w:val="20"/>
              </w:rPr>
            </w:pPr>
            <w:r w:rsidRPr="00D26EB3">
              <w:rPr>
                <w:rFonts w:cs="Times New Roman"/>
                <w:sz w:val="20"/>
                <w:szCs w:val="20"/>
              </w:rPr>
              <w:t>Cargill Cocoa and Chocolate North America</w:t>
            </w:r>
            <w:r w:rsidRPr="00D26EB3">
              <w:rPr>
                <w:rFonts w:cs="Times New Roman"/>
                <w:sz w:val="20"/>
                <w:szCs w:val="20"/>
              </w:rPr>
              <w:t xml:space="preserve"> </w:t>
            </w:r>
          </w:p>
        </w:tc>
        <w:tc>
          <w:tcPr>
            <w:tcW w:w="1170" w:type="dxa"/>
          </w:tcPr>
          <w:p w:rsidR="00983ABF" w:rsidRPr="00450AD4" w:rsidP="00983ABF" w14:paraId="31B15D32" w14:textId="11A840A7">
            <w:pPr>
              <w:rPr>
                <w:rFonts w:cs="Times New Roman"/>
                <w:sz w:val="20"/>
                <w:szCs w:val="20"/>
              </w:rPr>
            </w:pPr>
            <w:r w:rsidRPr="00E84265">
              <w:rPr>
                <w:rFonts w:cs="Times New Roman"/>
                <w:sz w:val="20"/>
                <w:szCs w:val="20"/>
              </w:rPr>
              <w:t>Trey O’Bryan</w:t>
            </w:r>
            <w:r w:rsidRPr="00E84265">
              <w:rPr>
                <w:rFonts w:cs="Times New Roman"/>
                <w:sz w:val="20"/>
                <w:szCs w:val="20"/>
              </w:rPr>
              <w:t xml:space="preserve"> </w:t>
            </w:r>
          </w:p>
        </w:tc>
        <w:tc>
          <w:tcPr>
            <w:tcW w:w="3144" w:type="dxa"/>
          </w:tcPr>
          <w:p w:rsidR="00983ABF" w:rsidRPr="00450AD4" w:rsidP="00983ABF" w14:paraId="7C511CBB" w14:textId="7EC50228">
            <w:pPr>
              <w:rPr>
                <w:rFonts w:cs="Times New Roman"/>
                <w:sz w:val="20"/>
                <w:szCs w:val="20"/>
              </w:rPr>
            </w:pPr>
            <w:r w:rsidRPr="00E84265">
              <w:rPr>
                <w:rFonts w:cs="Times New Roman"/>
                <w:sz w:val="20"/>
                <w:szCs w:val="20"/>
              </w:rPr>
              <w:t>Trey_OBryan@Cargill.com</w:t>
            </w:r>
            <w:r w:rsidRPr="00E84265">
              <w:rPr>
                <w:rFonts w:cs="Times New Roman"/>
                <w:sz w:val="20"/>
                <w:szCs w:val="20"/>
              </w:rPr>
              <w:t xml:space="preserve"> </w:t>
            </w:r>
          </w:p>
        </w:tc>
        <w:tc>
          <w:tcPr>
            <w:tcW w:w="4243" w:type="dxa"/>
          </w:tcPr>
          <w:p w:rsidR="00983ABF" w:rsidRPr="00450AD4" w:rsidP="00983ABF" w14:paraId="4EC81C68" w14:textId="66F0C146">
            <w:pPr>
              <w:rPr>
                <w:rFonts w:cs="Times New Roman"/>
                <w:sz w:val="20"/>
                <w:szCs w:val="20"/>
              </w:rPr>
            </w:pPr>
            <w:r w:rsidRPr="00E84265">
              <w:rPr>
                <w:rFonts w:cs="Times New Roman"/>
                <w:sz w:val="20"/>
                <w:szCs w:val="20"/>
              </w:rPr>
              <w:t>(952) 742-0748</w:t>
            </w:r>
            <w:r w:rsidRPr="00E84265">
              <w:rPr>
                <w:rFonts w:cs="Times New Roman"/>
                <w:sz w:val="20"/>
                <w:szCs w:val="20"/>
              </w:rPr>
              <w:t xml:space="preserve"> </w:t>
            </w:r>
          </w:p>
        </w:tc>
      </w:tr>
      <w:tr w14:paraId="4A9C92B3" w14:textId="77777777" w:rsidTr="007602D0">
        <w:tblPrEx>
          <w:tblW w:w="0" w:type="auto"/>
          <w:jc w:val="center"/>
          <w:tblLook w:val="04A0"/>
        </w:tblPrEx>
        <w:trPr>
          <w:jc w:val="center"/>
        </w:trPr>
        <w:tc>
          <w:tcPr>
            <w:tcW w:w="1081" w:type="dxa"/>
          </w:tcPr>
          <w:p w:rsidR="00983ABF" w:rsidRPr="00450AD4" w:rsidP="00983ABF" w14:paraId="1CE9A978" w14:textId="3D33874D">
            <w:pPr>
              <w:rPr>
                <w:rFonts w:cs="Times New Roman"/>
                <w:sz w:val="20"/>
                <w:szCs w:val="20"/>
              </w:rPr>
            </w:pPr>
            <w:r w:rsidRPr="00D26EB3">
              <w:rPr>
                <w:rFonts w:cs="Times New Roman"/>
                <w:sz w:val="20"/>
                <w:szCs w:val="20"/>
              </w:rPr>
              <w:t>Rise Baking Company</w:t>
            </w:r>
            <w:r w:rsidRPr="00D26EB3">
              <w:rPr>
                <w:rFonts w:cs="Times New Roman"/>
                <w:sz w:val="20"/>
                <w:szCs w:val="20"/>
              </w:rPr>
              <w:t xml:space="preserve"> </w:t>
            </w:r>
          </w:p>
        </w:tc>
        <w:tc>
          <w:tcPr>
            <w:tcW w:w="1170" w:type="dxa"/>
          </w:tcPr>
          <w:p w:rsidR="00983ABF" w:rsidRPr="00450AD4" w:rsidP="00983ABF" w14:paraId="4B17200F" w14:textId="7CDA6BE3">
            <w:pPr>
              <w:rPr>
                <w:rFonts w:cs="Times New Roman"/>
                <w:sz w:val="20"/>
                <w:szCs w:val="20"/>
              </w:rPr>
            </w:pPr>
            <w:r w:rsidRPr="00E84265">
              <w:rPr>
                <w:rFonts w:cs="Times New Roman"/>
                <w:sz w:val="20"/>
                <w:szCs w:val="20"/>
              </w:rPr>
              <w:t>Clint Jackson</w:t>
            </w:r>
          </w:p>
        </w:tc>
        <w:tc>
          <w:tcPr>
            <w:tcW w:w="3144" w:type="dxa"/>
          </w:tcPr>
          <w:p w:rsidR="00983ABF" w:rsidRPr="00450AD4" w:rsidP="00983ABF" w14:paraId="5135B385" w14:textId="6269D847">
            <w:pPr>
              <w:rPr>
                <w:rFonts w:cs="Times New Roman"/>
                <w:sz w:val="20"/>
                <w:szCs w:val="20"/>
              </w:rPr>
            </w:pPr>
            <w:r w:rsidRPr="00E84265">
              <w:rPr>
                <w:rFonts w:cs="Times New Roman"/>
                <w:sz w:val="20"/>
                <w:szCs w:val="20"/>
              </w:rPr>
              <w:t>c.jackson@risebakingcompany.com</w:t>
            </w:r>
            <w:r w:rsidRPr="00E84265">
              <w:rPr>
                <w:rFonts w:cs="Times New Roman"/>
                <w:sz w:val="20"/>
                <w:szCs w:val="20"/>
              </w:rPr>
              <w:t xml:space="preserve"> </w:t>
            </w:r>
          </w:p>
        </w:tc>
        <w:tc>
          <w:tcPr>
            <w:tcW w:w="4243" w:type="dxa"/>
          </w:tcPr>
          <w:p w:rsidR="00983ABF" w:rsidRPr="00450AD4" w:rsidP="00983ABF" w14:paraId="1434C784" w14:textId="119AFC87">
            <w:pPr>
              <w:rPr>
                <w:rFonts w:cs="Times New Roman"/>
                <w:sz w:val="20"/>
                <w:szCs w:val="20"/>
              </w:rPr>
            </w:pPr>
            <w:r w:rsidRPr="00E84265">
              <w:rPr>
                <w:rFonts w:cs="Times New Roman"/>
                <w:sz w:val="20"/>
                <w:szCs w:val="20"/>
              </w:rPr>
              <w:t>(801) 644-0108</w:t>
            </w:r>
            <w:r w:rsidRPr="00E84265">
              <w:rPr>
                <w:rFonts w:cs="Times New Roman"/>
                <w:sz w:val="20"/>
                <w:szCs w:val="20"/>
              </w:rPr>
              <w:t xml:space="preserve"> </w:t>
            </w:r>
          </w:p>
        </w:tc>
      </w:tr>
      <w:tr w14:paraId="46F88C1E" w14:textId="77777777" w:rsidTr="007602D0">
        <w:tblPrEx>
          <w:tblW w:w="0" w:type="auto"/>
          <w:jc w:val="center"/>
          <w:tblLook w:val="04A0"/>
        </w:tblPrEx>
        <w:trPr>
          <w:jc w:val="center"/>
        </w:trPr>
        <w:tc>
          <w:tcPr>
            <w:tcW w:w="1081" w:type="dxa"/>
          </w:tcPr>
          <w:p w:rsidR="00983ABF" w:rsidRPr="00450AD4" w:rsidP="00983ABF" w14:paraId="73B4B6B7" w14:textId="01D68DA1">
            <w:pPr>
              <w:rPr>
                <w:rFonts w:cs="Times New Roman"/>
                <w:sz w:val="20"/>
                <w:szCs w:val="20"/>
              </w:rPr>
            </w:pPr>
            <w:r w:rsidRPr="00D26EB3">
              <w:rPr>
                <w:rFonts w:cs="Times New Roman"/>
                <w:sz w:val="20"/>
                <w:szCs w:val="20"/>
              </w:rPr>
              <w:t>Calico Cottage, Inc.</w:t>
            </w:r>
            <w:r w:rsidRPr="00D26EB3">
              <w:rPr>
                <w:rFonts w:cs="Times New Roman"/>
                <w:sz w:val="20"/>
                <w:szCs w:val="20"/>
              </w:rPr>
              <w:t xml:space="preserve"> </w:t>
            </w:r>
          </w:p>
        </w:tc>
        <w:tc>
          <w:tcPr>
            <w:tcW w:w="1170" w:type="dxa"/>
          </w:tcPr>
          <w:p w:rsidR="00983ABF" w:rsidRPr="00450AD4" w:rsidP="00983ABF" w14:paraId="76D27493" w14:textId="1F041103">
            <w:pPr>
              <w:rPr>
                <w:rFonts w:cs="Times New Roman"/>
                <w:sz w:val="20"/>
                <w:szCs w:val="20"/>
              </w:rPr>
            </w:pPr>
            <w:r w:rsidRPr="00E84265">
              <w:rPr>
                <w:rFonts w:cs="Times New Roman"/>
                <w:sz w:val="20"/>
                <w:szCs w:val="20"/>
              </w:rPr>
              <w:t>Christa Ehlers</w:t>
            </w:r>
            <w:r w:rsidRPr="00E84265">
              <w:rPr>
                <w:rFonts w:cs="Times New Roman"/>
                <w:sz w:val="20"/>
                <w:szCs w:val="20"/>
              </w:rPr>
              <w:t xml:space="preserve"> </w:t>
            </w:r>
          </w:p>
        </w:tc>
        <w:tc>
          <w:tcPr>
            <w:tcW w:w="3144" w:type="dxa"/>
          </w:tcPr>
          <w:p w:rsidR="00983ABF" w:rsidRPr="00450AD4" w:rsidP="00983ABF" w14:paraId="02CF3367" w14:textId="7A0D6A6B">
            <w:pPr>
              <w:rPr>
                <w:rFonts w:cs="Times New Roman"/>
                <w:sz w:val="20"/>
                <w:szCs w:val="20"/>
              </w:rPr>
            </w:pPr>
            <w:r w:rsidRPr="00E84265">
              <w:rPr>
                <w:rFonts w:cs="Times New Roman"/>
                <w:sz w:val="20"/>
                <w:szCs w:val="20"/>
              </w:rPr>
              <w:t>christa.ehlers@calicocottage.com</w:t>
            </w:r>
            <w:r w:rsidRPr="00E84265">
              <w:rPr>
                <w:rFonts w:cs="Times New Roman"/>
                <w:sz w:val="20"/>
                <w:szCs w:val="20"/>
              </w:rPr>
              <w:t xml:space="preserve"> </w:t>
            </w:r>
          </w:p>
        </w:tc>
        <w:tc>
          <w:tcPr>
            <w:tcW w:w="4243" w:type="dxa"/>
          </w:tcPr>
          <w:p w:rsidR="00983ABF" w:rsidRPr="00450AD4" w:rsidP="00983ABF" w14:paraId="61F39D9B" w14:textId="6FB882E7">
            <w:pPr>
              <w:rPr>
                <w:rFonts w:cs="Times New Roman"/>
                <w:sz w:val="20"/>
                <w:szCs w:val="20"/>
              </w:rPr>
            </w:pPr>
            <w:r w:rsidRPr="00E84265">
              <w:rPr>
                <w:rFonts w:cs="Times New Roman"/>
                <w:sz w:val="20"/>
                <w:szCs w:val="20"/>
              </w:rPr>
              <w:t>(631) 841-2100</w:t>
            </w:r>
            <w:r w:rsidRPr="00E84265">
              <w:rPr>
                <w:rFonts w:cs="Times New Roman"/>
                <w:sz w:val="20"/>
                <w:szCs w:val="20"/>
              </w:rPr>
              <w:t xml:space="preserve"> </w:t>
            </w:r>
          </w:p>
        </w:tc>
      </w:tr>
      <w:tr w14:paraId="0158A76F" w14:textId="77777777" w:rsidTr="007602D0">
        <w:tblPrEx>
          <w:tblW w:w="0" w:type="auto"/>
          <w:jc w:val="center"/>
          <w:tblLook w:val="04A0"/>
        </w:tblPrEx>
        <w:trPr>
          <w:jc w:val="center"/>
        </w:trPr>
        <w:tc>
          <w:tcPr>
            <w:tcW w:w="1081" w:type="dxa"/>
          </w:tcPr>
          <w:p w:rsidR="00983ABF" w:rsidRPr="00450AD4" w:rsidP="00983ABF" w14:paraId="48242993" w14:textId="1482D7D3">
            <w:pPr>
              <w:rPr>
                <w:rFonts w:cs="Times New Roman"/>
                <w:sz w:val="20"/>
                <w:szCs w:val="20"/>
              </w:rPr>
            </w:pPr>
            <w:bookmarkStart w:id="7" w:name="_Hlk80709029"/>
            <w:r w:rsidRPr="00D26EB3">
              <w:rPr>
                <w:rFonts w:cs="Times New Roman"/>
                <w:sz w:val="20"/>
                <w:szCs w:val="20"/>
              </w:rPr>
              <w:t>KAV America AG, Inc.</w:t>
            </w:r>
            <w:r w:rsidRPr="00D26EB3">
              <w:rPr>
                <w:rFonts w:cs="Times New Roman"/>
                <w:sz w:val="20"/>
                <w:szCs w:val="20"/>
              </w:rPr>
              <w:t xml:space="preserve"> </w:t>
            </w:r>
          </w:p>
        </w:tc>
        <w:tc>
          <w:tcPr>
            <w:tcW w:w="1170" w:type="dxa"/>
          </w:tcPr>
          <w:p w:rsidR="00983ABF" w:rsidRPr="00450AD4" w:rsidP="00983ABF" w14:paraId="2E5BBB9A" w14:textId="7A9E6F86">
            <w:pPr>
              <w:rPr>
                <w:rFonts w:cs="Times New Roman"/>
                <w:sz w:val="20"/>
                <w:szCs w:val="20"/>
              </w:rPr>
            </w:pPr>
            <w:r w:rsidRPr="00E84265">
              <w:rPr>
                <w:rFonts w:cs="Times New Roman"/>
                <w:sz w:val="20"/>
                <w:szCs w:val="20"/>
              </w:rPr>
              <w:t>Rebecca Nam</w:t>
            </w:r>
            <w:r w:rsidRPr="00E84265">
              <w:rPr>
                <w:rFonts w:cs="Times New Roman"/>
                <w:sz w:val="20"/>
                <w:szCs w:val="20"/>
              </w:rPr>
              <w:t xml:space="preserve"> </w:t>
            </w:r>
          </w:p>
        </w:tc>
        <w:tc>
          <w:tcPr>
            <w:tcW w:w="3144" w:type="dxa"/>
          </w:tcPr>
          <w:p w:rsidR="00983ABF" w:rsidRPr="00450AD4" w:rsidP="00983ABF" w14:paraId="1038DC90" w14:textId="2B295886">
            <w:pPr>
              <w:rPr>
                <w:rFonts w:cs="Times New Roman"/>
                <w:sz w:val="20"/>
                <w:szCs w:val="20"/>
              </w:rPr>
            </w:pPr>
            <w:r w:rsidRPr="00E84265">
              <w:rPr>
                <w:rFonts w:cs="Times New Roman"/>
                <w:sz w:val="20"/>
                <w:szCs w:val="20"/>
              </w:rPr>
              <w:t>rebecca.nam@kavamerica.com</w:t>
            </w:r>
            <w:r w:rsidRPr="00E84265">
              <w:rPr>
                <w:rFonts w:cs="Times New Roman"/>
                <w:sz w:val="20"/>
                <w:szCs w:val="20"/>
              </w:rPr>
              <w:t xml:space="preserve"> </w:t>
            </w:r>
          </w:p>
        </w:tc>
        <w:tc>
          <w:tcPr>
            <w:tcW w:w="4243" w:type="dxa"/>
          </w:tcPr>
          <w:p w:rsidR="00983ABF" w:rsidRPr="00450AD4" w:rsidP="00983ABF" w14:paraId="70723D14" w14:textId="6C35D56F">
            <w:pPr>
              <w:rPr>
                <w:rFonts w:cs="Times New Roman"/>
                <w:sz w:val="20"/>
                <w:szCs w:val="20"/>
              </w:rPr>
            </w:pPr>
            <w:r w:rsidRPr="00E84265">
              <w:rPr>
                <w:rFonts w:cs="Times New Roman"/>
                <w:sz w:val="20"/>
                <w:szCs w:val="20"/>
              </w:rPr>
              <w:t>(951) 249-7772</w:t>
            </w:r>
            <w:r w:rsidRPr="00E84265">
              <w:rPr>
                <w:rFonts w:cs="Times New Roman"/>
                <w:sz w:val="20"/>
                <w:szCs w:val="20"/>
              </w:rPr>
              <w:t xml:space="preserve"> </w:t>
            </w:r>
          </w:p>
        </w:tc>
      </w:tr>
      <w:bookmarkEnd w:id="7"/>
      <w:tr w14:paraId="227666D0" w14:textId="77777777" w:rsidTr="007602D0">
        <w:tblPrEx>
          <w:tblW w:w="0" w:type="auto"/>
          <w:jc w:val="center"/>
          <w:tblLook w:val="04A0"/>
        </w:tblPrEx>
        <w:trPr>
          <w:jc w:val="center"/>
        </w:trPr>
        <w:tc>
          <w:tcPr>
            <w:tcW w:w="1081" w:type="dxa"/>
          </w:tcPr>
          <w:p w:rsidR="00983ABF" w:rsidRPr="00450AD4" w:rsidP="00983ABF" w14:paraId="411C024C" w14:textId="1F7CD39D">
            <w:pPr>
              <w:rPr>
                <w:rFonts w:cs="Times New Roman"/>
                <w:sz w:val="20"/>
                <w:szCs w:val="20"/>
              </w:rPr>
            </w:pPr>
            <w:r w:rsidRPr="00D26EB3">
              <w:rPr>
                <w:rFonts w:cs="Times New Roman"/>
                <w:sz w:val="20"/>
                <w:szCs w:val="20"/>
              </w:rPr>
              <w:t>Nutkao</w:t>
            </w:r>
            <w:r w:rsidRPr="00D26EB3">
              <w:rPr>
                <w:rFonts w:cs="Times New Roman"/>
                <w:sz w:val="20"/>
                <w:szCs w:val="20"/>
              </w:rPr>
              <w:t xml:space="preserve"> USA, Inc.</w:t>
            </w:r>
            <w:r w:rsidRPr="00D26EB3">
              <w:rPr>
                <w:rFonts w:cs="Times New Roman"/>
                <w:sz w:val="20"/>
                <w:szCs w:val="20"/>
              </w:rPr>
              <w:t xml:space="preserve"> </w:t>
            </w:r>
          </w:p>
        </w:tc>
        <w:tc>
          <w:tcPr>
            <w:tcW w:w="1170" w:type="dxa"/>
          </w:tcPr>
          <w:p w:rsidR="00983ABF" w:rsidRPr="00450AD4" w:rsidP="00983ABF" w14:paraId="6A91078F" w14:textId="12CEFA8A">
            <w:pPr>
              <w:rPr>
                <w:rFonts w:cs="Times New Roman"/>
                <w:sz w:val="20"/>
                <w:szCs w:val="20"/>
              </w:rPr>
            </w:pPr>
            <w:r w:rsidRPr="00E84265">
              <w:rPr>
                <w:rFonts w:cs="Times New Roman"/>
                <w:sz w:val="20"/>
                <w:szCs w:val="20"/>
              </w:rPr>
              <w:t>Julie Kainec</w:t>
            </w:r>
          </w:p>
        </w:tc>
        <w:tc>
          <w:tcPr>
            <w:tcW w:w="3144" w:type="dxa"/>
          </w:tcPr>
          <w:p w:rsidR="00983ABF" w:rsidRPr="00450AD4" w:rsidP="00983ABF" w14:paraId="58DBD81B" w14:textId="296E4512">
            <w:pPr>
              <w:rPr>
                <w:rFonts w:cs="Times New Roman"/>
                <w:sz w:val="20"/>
                <w:szCs w:val="20"/>
              </w:rPr>
            </w:pPr>
            <w:r w:rsidRPr="00E84265">
              <w:rPr>
                <w:rFonts w:cs="Times New Roman"/>
                <w:sz w:val="20"/>
                <w:szCs w:val="20"/>
              </w:rPr>
              <w:t>j.kainec@nutkao.com</w:t>
            </w:r>
            <w:r w:rsidRPr="00E84265">
              <w:rPr>
                <w:rFonts w:cs="Times New Roman"/>
                <w:sz w:val="20"/>
                <w:szCs w:val="20"/>
              </w:rPr>
              <w:t xml:space="preserve"> </w:t>
            </w:r>
          </w:p>
        </w:tc>
        <w:tc>
          <w:tcPr>
            <w:tcW w:w="4243" w:type="dxa"/>
          </w:tcPr>
          <w:p w:rsidR="00983ABF" w:rsidRPr="00450AD4" w:rsidP="00983ABF" w14:paraId="04FE77E0" w14:textId="065C7B37">
            <w:pPr>
              <w:rPr>
                <w:rFonts w:cs="Times New Roman"/>
                <w:sz w:val="20"/>
                <w:szCs w:val="20"/>
              </w:rPr>
            </w:pPr>
            <w:r w:rsidRPr="00E84265">
              <w:rPr>
                <w:rFonts w:cs="Times New Roman"/>
                <w:sz w:val="20"/>
                <w:szCs w:val="20"/>
              </w:rPr>
              <w:t>(252) 908-5095</w:t>
            </w:r>
            <w:r w:rsidRPr="00E84265">
              <w:rPr>
                <w:rFonts w:cs="Times New Roman"/>
                <w:sz w:val="20"/>
                <w:szCs w:val="20"/>
              </w:rPr>
              <w:t xml:space="preserve"> </w:t>
            </w:r>
          </w:p>
        </w:tc>
      </w:tr>
      <w:tr w14:paraId="2EC97662" w14:textId="77777777" w:rsidTr="007602D0">
        <w:tblPrEx>
          <w:tblW w:w="0" w:type="auto"/>
          <w:jc w:val="center"/>
          <w:tblLook w:val="04A0"/>
        </w:tblPrEx>
        <w:trPr>
          <w:jc w:val="center"/>
        </w:trPr>
        <w:tc>
          <w:tcPr>
            <w:tcW w:w="1081" w:type="dxa"/>
          </w:tcPr>
          <w:p w:rsidR="00983ABF" w:rsidRPr="00450AD4" w:rsidP="00983ABF" w14:paraId="33530085" w14:textId="24EF9EE2">
            <w:pPr>
              <w:rPr>
                <w:rFonts w:cs="Times New Roman"/>
                <w:sz w:val="20"/>
                <w:szCs w:val="20"/>
              </w:rPr>
            </w:pPr>
            <w:r w:rsidRPr="00D26EB3">
              <w:rPr>
                <w:rFonts w:cs="Times New Roman"/>
                <w:sz w:val="20"/>
                <w:szCs w:val="20"/>
              </w:rPr>
              <w:t>California Sugar Refiners, LLC</w:t>
            </w:r>
            <w:r w:rsidRPr="00D26EB3">
              <w:rPr>
                <w:rFonts w:cs="Times New Roman"/>
                <w:sz w:val="20"/>
                <w:szCs w:val="20"/>
              </w:rPr>
              <w:t xml:space="preserve"> </w:t>
            </w:r>
          </w:p>
        </w:tc>
        <w:tc>
          <w:tcPr>
            <w:tcW w:w="1170" w:type="dxa"/>
          </w:tcPr>
          <w:p w:rsidR="00983ABF" w:rsidRPr="00450AD4" w:rsidP="00983ABF" w14:paraId="1247C8AF" w14:textId="17AF1CE5">
            <w:pPr>
              <w:rPr>
                <w:rFonts w:cs="Times New Roman"/>
                <w:sz w:val="20"/>
                <w:szCs w:val="20"/>
              </w:rPr>
            </w:pPr>
            <w:r w:rsidRPr="00D26EB3">
              <w:rPr>
                <w:rFonts w:cs="Times New Roman"/>
                <w:sz w:val="20"/>
                <w:szCs w:val="20"/>
              </w:rPr>
              <w:t>Jennifer Tamez</w:t>
            </w:r>
            <w:r w:rsidRPr="00D26EB3">
              <w:rPr>
                <w:rFonts w:cs="Times New Roman"/>
                <w:sz w:val="20"/>
                <w:szCs w:val="20"/>
              </w:rPr>
              <w:t xml:space="preserve"> </w:t>
            </w:r>
          </w:p>
        </w:tc>
        <w:tc>
          <w:tcPr>
            <w:tcW w:w="3144" w:type="dxa"/>
          </w:tcPr>
          <w:p w:rsidR="00983ABF" w:rsidRPr="00450AD4" w:rsidP="00983ABF" w14:paraId="66EA974C" w14:textId="33F43A09">
            <w:pPr>
              <w:rPr>
                <w:rFonts w:cs="Times New Roman"/>
                <w:sz w:val="20"/>
                <w:szCs w:val="20"/>
              </w:rPr>
            </w:pPr>
            <w:r w:rsidRPr="00D26EB3">
              <w:rPr>
                <w:rFonts w:cs="Times New Roman"/>
                <w:sz w:val="20"/>
                <w:szCs w:val="20"/>
              </w:rPr>
              <w:t>jtamez@zucarmex.com</w:t>
            </w:r>
            <w:r w:rsidRPr="00D26EB3">
              <w:rPr>
                <w:rFonts w:cs="Times New Roman"/>
                <w:sz w:val="20"/>
                <w:szCs w:val="20"/>
              </w:rPr>
              <w:t xml:space="preserve"> </w:t>
            </w:r>
          </w:p>
        </w:tc>
        <w:tc>
          <w:tcPr>
            <w:tcW w:w="4243" w:type="dxa"/>
          </w:tcPr>
          <w:p w:rsidR="00983ABF" w:rsidRPr="00450AD4" w:rsidP="00983ABF" w14:paraId="50BB2184" w14:textId="3B6331A1">
            <w:pPr>
              <w:rPr>
                <w:rFonts w:cs="Times New Roman"/>
                <w:sz w:val="20"/>
                <w:szCs w:val="20"/>
              </w:rPr>
            </w:pPr>
            <w:r w:rsidRPr="00D26EB3">
              <w:rPr>
                <w:rFonts w:cs="Times New Roman"/>
                <w:sz w:val="20"/>
                <w:szCs w:val="20"/>
              </w:rPr>
              <w:t>(619) 934-1057</w:t>
            </w:r>
            <w:r w:rsidRPr="00D26EB3">
              <w:rPr>
                <w:rFonts w:cs="Times New Roman"/>
                <w:sz w:val="20"/>
                <w:szCs w:val="20"/>
              </w:rPr>
              <w:t xml:space="preserve"> </w:t>
            </w:r>
          </w:p>
        </w:tc>
      </w:tr>
      <w:tr w14:paraId="4171B833" w14:textId="77777777" w:rsidTr="007602D0">
        <w:tblPrEx>
          <w:tblW w:w="0" w:type="auto"/>
          <w:jc w:val="center"/>
          <w:tblLook w:val="04A0"/>
        </w:tblPrEx>
        <w:trPr>
          <w:jc w:val="center"/>
        </w:trPr>
        <w:tc>
          <w:tcPr>
            <w:tcW w:w="1081" w:type="dxa"/>
          </w:tcPr>
          <w:p w:rsidR="00C84189" w:rsidRPr="00450AD4" w:rsidP="00983ABF" w14:paraId="7CFA6A60" w14:textId="5D2BF049">
            <w:pPr>
              <w:rPr>
                <w:sz w:val="20"/>
                <w:szCs w:val="20"/>
              </w:rPr>
            </w:pPr>
            <w:r w:rsidRPr="00E84265">
              <w:rPr>
                <w:sz w:val="20"/>
                <w:szCs w:val="20"/>
              </w:rPr>
              <w:t>Monin Gourmet Flavorings</w:t>
            </w:r>
            <w:r w:rsidRPr="00E84265">
              <w:rPr>
                <w:sz w:val="20"/>
                <w:szCs w:val="20"/>
              </w:rPr>
              <w:t xml:space="preserve"> </w:t>
            </w:r>
          </w:p>
        </w:tc>
        <w:tc>
          <w:tcPr>
            <w:tcW w:w="1170" w:type="dxa"/>
          </w:tcPr>
          <w:p w:rsidR="00C84189" w:rsidRPr="00450AD4" w:rsidP="00983ABF" w14:paraId="2DCFF0B1" w14:textId="79AE006D">
            <w:pPr>
              <w:rPr>
                <w:sz w:val="20"/>
                <w:szCs w:val="20"/>
              </w:rPr>
            </w:pPr>
            <w:r w:rsidRPr="00E84265">
              <w:rPr>
                <w:sz w:val="20"/>
                <w:szCs w:val="20"/>
              </w:rPr>
              <w:t>Rodrigo Magan</w:t>
            </w:r>
          </w:p>
        </w:tc>
        <w:tc>
          <w:tcPr>
            <w:tcW w:w="3144" w:type="dxa"/>
          </w:tcPr>
          <w:p w:rsidR="00C84189" w:rsidRPr="00450AD4" w:rsidP="00983ABF" w14:paraId="1D518E0B" w14:textId="2353429F">
            <w:pPr>
              <w:rPr>
                <w:sz w:val="20"/>
                <w:szCs w:val="20"/>
              </w:rPr>
            </w:pPr>
            <w:r w:rsidRPr="00E84265">
              <w:rPr>
                <w:sz w:val="20"/>
                <w:szCs w:val="20"/>
              </w:rPr>
              <w:t>rmagan@monin.com</w:t>
            </w:r>
            <w:r w:rsidRPr="00E84265">
              <w:rPr>
                <w:sz w:val="20"/>
                <w:szCs w:val="20"/>
              </w:rPr>
              <w:t xml:space="preserve"> </w:t>
            </w:r>
          </w:p>
        </w:tc>
        <w:tc>
          <w:tcPr>
            <w:tcW w:w="4243" w:type="dxa"/>
          </w:tcPr>
          <w:p w:rsidR="00C84189" w:rsidRPr="00450AD4" w:rsidP="00983ABF" w14:paraId="5CC30A5F" w14:textId="4C2F8C54">
            <w:pPr>
              <w:rPr>
                <w:sz w:val="20"/>
                <w:szCs w:val="20"/>
              </w:rPr>
            </w:pPr>
            <w:r w:rsidRPr="00E84265">
              <w:rPr>
                <w:sz w:val="20"/>
                <w:szCs w:val="20"/>
              </w:rPr>
              <w:t>(727) 467-1229</w:t>
            </w:r>
            <w:r w:rsidRPr="00E84265">
              <w:rPr>
                <w:sz w:val="20"/>
                <w:szCs w:val="20"/>
              </w:rPr>
              <w:t xml:space="preserve"> </w:t>
            </w:r>
          </w:p>
        </w:tc>
      </w:tr>
    </w:tbl>
    <w:p w:rsidR="006A5E4D" w:rsidRPr="004D3481" w:rsidP="003C0232" w14:paraId="27A9D8E0" w14:textId="77777777">
      <w:pPr>
        <w:pStyle w:val="PlainText"/>
        <w:rPr>
          <w:rFonts w:ascii="Times New Roman" w:hAnsi="Times New Roman" w:cs="Times New Roman"/>
          <w:sz w:val="24"/>
          <w:szCs w:val="24"/>
        </w:rPr>
      </w:pPr>
    </w:p>
    <w:p w:rsidR="00052711" w:rsidRPr="00E83C20" w:rsidP="003C0232" w14:paraId="210CFC94"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9.  </w:t>
      </w:r>
      <w:r w:rsidRPr="00C04518" w:rsidR="00C04518">
        <w:rPr>
          <w:rFonts w:ascii="Times New Roman" w:hAnsi="Times New Roman" w:cs="Times New Roman"/>
          <w:b/>
          <w:sz w:val="24"/>
          <w:szCs w:val="24"/>
        </w:rPr>
        <w:t xml:space="preserve"> </w:t>
      </w:r>
      <w:r w:rsidR="00C04518">
        <w:rPr>
          <w:rFonts w:ascii="Times New Roman" w:hAnsi="Times New Roman" w:cs="Times New Roman"/>
          <w:b/>
          <w:sz w:val="24"/>
          <w:szCs w:val="24"/>
        </w:rPr>
        <w:t>Explain any decision to provide any payment or gift to respondents, other than remuneration of contractors or grantees.</w:t>
      </w:r>
    </w:p>
    <w:p w:rsidR="00052711" w:rsidRPr="004D3481" w:rsidP="003C0232" w14:paraId="0A4285B6" w14:textId="77777777">
      <w:pPr>
        <w:pStyle w:val="PlainText"/>
        <w:rPr>
          <w:rFonts w:ascii="Times New Roman" w:hAnsi="Times New Roman" w:cs="Times New Roman"/>
          <w:sz w:val="24"/>
          <w:szCs w:val="24"/>
        </w:rPr>
      </w:pPr>
    </w:p>
    <w:p w:rsidR="00052711" w:rsidP="003C0232" w14:paraId="35103AF9"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Respondents do not receive any payment or gifts for participation in the </w:t>
      </w:r>
      <w:r w:rsidR="00260778">
        <w:rPr>
          <w:rFonts w:ascii="Times New Roman" w:hAnsi="Times New Roman" w:cs="Times New Roman"/>
          <w:sz w:val="24"/>
          <w:szCs w:val="24"/>
        </w:rPr>
        <w:t>P</w:t>
      </w:r>
      <w:r w:rsidRPr="004D3481">
        <w:rPr>
          <w:rFonts w:ascii="Times New Roman" w:hAnsi="Times New Roman" w:cs="Times New Roman"/>
          <w:sz w:val="24"/>
          <w:szCs w:val="24"/>
        </w:rPr>
        <w:t>rogram.</w:t>
      </w:r>
    </w:p>
    <w:p w:rsidR="00260778" w:rsidP="003C0232" w14:paraId="4AB325DB" w14:textId="2521AB2B">
      <w:pPr>
        <w:pStyle w:val="PlainText"/>
        <w:rPr>
          <w:rFonts w:ascii="Times New Roman" w:hAnsi="Times New Roman" w:cs="Times New Roman"/>
          <w:sz w:val="24"/>
          <w:szCs w:val="24"/>
        </w:rPr>
      </w:pPr>
    </w:p>
    <w:p w:rsidR="00052711" w:rsidRPr="00E83C20" w:rsidP="003F0070" w14:paraId="55C01803" w14:textId="6BEC8528">
      <w:pPr>
        <w:rPr>
          <w:b/>
        </w:rPr>
      </w:pPr>
      <w:r w:rsidRPr="00E83C20">
        <w:rPr>
          <w:b/>
        </w:rPr>
        <w:t xml:space="preserve">10.  </w:t>
      </w:r>
      <w:r w:rsidRPr="00C04518" w:rsidR="00C04518">
        <w:rPr>
          <w:b/>
        </w:rPr>
        <w:t xml:space="preserve"> </w:t>
      </w:r>
      <w:r w:rsidR="00C04518">
        <w:rPr>
          <w:b/>
        </w:rPr>
        <w:t>Describe any assurance of confidentiality provided to respondents and the basis for the assurance in statute, regulations</w:t>
      </w:r>
      <w:r w:rsidR="00E75A40">
        <w:rPr>
          <w:b/>
        </w:rPr>
        <w:t>,</w:t>
      </w:r>
      <w:r w:rsidR="00C04518">
        <w:rPr>
          <w:b/>
        </w:rPr>
        <w:t xml:space="preserve"> or agency policy.</w:t>
      </w:r>
    </w:p>
    <w:p w:rsidR="00052711" w:rsidRPr="00E83C20" w:rsidP="003C0232" w14:paraId="45661E54" w14:textId="77777777">
      <w:pPr>
        <w:pStyle w:val="PlainText"/>
        <w:rPr>
          <w:rFonts w:ascii="Times New Roman" w:hAnsi="Times New Roman" w:cs="Times New Roman"/>
          <w:b/>
          <w:sz w:val="24"/>
          <w:szCs w:val="24"/>
        </w:rPr>
      </w:pPr>
    </w:p>
    <w:p w:rsidR="0031236D" w:rsidP="0031236D" w14:paraId="312A5EE7" w14:textId="60B5E91B">
      <w:pPr>
        <w:pStyle w:val="pf0"/>
        <w:rPr>
          <w:rFonts w:ascii="Arial" w:hAnsi="Arial" w:cs="Arial"/>
          <w:sz w:val="20"/>
          <w:szCs w:val="20"/>
        </w:rPr>
      </w:pPr>
      <w:r w:rsidRPr="007F71C7">
        <w:rPr>
          <w:color w:val="000000"/>
        </w:rPr>
        <w:t xml:space="preserve">No additional assurance of confidentiality is provided with this information collection. </w:t>
      </w:r>
      <w:r w:rsidR="00260778">
        <w:rPr>
          <w:color w:val="000000"/>
        </w:rPr>
        <w:t xml:space="preserve"> </w:t>
      </w:r>
      <w:r w:rsidRPr="007F71C7">
        <w:rPr>
          <w:color w:val="000000"/>
        </w:rPr>
        <w:t>Any and all</w:t>
      </w:r>
      <w:r w:rsidRPr="007F71C7">
        <w:rPr>
          <w:color w:val="000000"/>
        </w:rPr>
        <w:t xml:space="preserve"> information obtained in this collection shall not be disclosed except in accordance with 5 U.S.C.552a</w:t>
      </w:r>
      <w:r>
        <w:rPr>
          <w:color w:val="000000"/>
        </w:rPr>
        <w:t>.</w:t>
      </w:r>
      <w:r>
        <w:rPr>
          <w:color w:val="000000"/>
        </w:rPr>
        <w:t xml:space="preserve"> </w:t>
      </w:r>
      <w:r w:rsidR="004346CD">
        <w:rPr>
          <w:rStyle w:val="cf01"/>
          <w:rFonts w:ascii="Times New Roman" w:hAnsi="Times New Roman" w:cs="Times New Roman"/>
          <w:sz w:val="24"/>
          <w:szCs w:val="24"/>
        </w:rPr>
        <w:t>T</w:t>
      </w:r>
      <w:r w:rsidRPr="004346CD">
        <w:rPr>
          <w:rStyle w:val="cf01"/>
          <w:rFonts w:ascii="Times New Roman" w:hAnsi="Times New Roman" w:cs="Times New Roman"/>
          <w:sz w:val="24"/>
          <w:szCs w:val="24"/>
        </w:rPr>
        <w:t>his request complies with the Privacy Act 1974.</w:t>
      </w:r>
    </w:p>
    <w:p w:rsidR="00052711" w:rsidRPr="00E83C20" w:rsidP="003C0232" w14:paraId="7B3D78FC"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11.  </w:t>
      </w:r>
      <w:r w:rsidRPr="00C04518" w:rsidR="00C04518">
        <w:rPr>
          <w:rFonts w:ascii="Times New Roman" w:hAnsi="Times New Roman"/>
          <w:b/>
          <w:bCs/>
          <w:sz w:val="24"/>
        </w:rPr>
        <w:t xml:space="preserve"> </w:t>
      </w:r>
      <w:r w:rsidR="00C04518">
        <w:rPr>
          <w:rFonts w:ascii="Times New Roman" w:hAnsi="Times New Roman"/>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52711" w:rsidRPr="00E83C20" w:rsidP="003C0232" w14:paraId="0057492C" w14:textId="77777777">
      <w:pPr>
        <w:pStyle w:val="PlainText"/>
        <w:rPr>
          <w:rFonts w:ascii="Times New Roman" w:hAnsi="Times New Roman" w:cs="Times New Roman"/>
          <w:b/>
          <w:sz w:val="24"/>
          <w:szCs w:val="24"/>
        </w:rPr>
      </w:pPr>
    </w:p>
    <w:p w:rsidR="00A05710" w:rsidP="003C0232" w14:paraId="7934A19C" w14:textId="46450D3D">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information requested under the </w:t>
      </w:r>
      <w:r>
        <w:rPr>
          <w:rFonts w:ascii="Times New Roman" w:hAnsi="Times New Roman" w:cs="Times New Roman"/>
          <w:sz w:val="24"/>
          <w:szCs w:val="24"/>
        </w:rPr>
        <w:t>r</w:t>
      </w:r>
      <w:r w:rsidRPr="004D3481">
        <w:rPr>
          <w:rFonts w:ascii="Times New Roman" w:hAnsi="Times New Roman" w:cs="Times New Roman"/>
          <w:sz w:val="24"/>
          <w:szCs w:val="24"/>
        </w:rPr>
        <w:t>egulation is not of a sensiti</w:t>
      </w:r>
      <w:r w:rsidRPr="004D3481">
        <w:rPr>
          <w:rFonts w:ascii="Times New Roman" w:hAnsi="Times New Roman" w:cs="Times New Roman"/>
          <w:sz w:val="24"/>
          <w:szCs w:val="24"/>
        </w:rPr>
        <w:t>ve nature.</w:t>
      </w:r>
      <w:r w:rsidR="00425379">
        <w:rPr>
          <w:rFonts w:ascii="Times New Roman" w:hAnsi="Times New Roman" w:cs="Times New Roman"/>
          <w:sz w:val="24"/>
          <w:szCs w:val="24"/>
        </w:rPr>
        <w:t xml:space="preserve"> </w:t>
      </w:r>
      <w:r w:rsidR="00425379">
        <w:rPr>
          <w:rStyle w:val="cf01"/>
          <w:rFonts w:ascii="Times New Roman" w:hAnsi="Times New Roman" w:cs="Times New Roman"/>
          <w:sz w:val="24"/>
          <w:szCs w:val="24"/>
        </w:rPr>
        <w:t>T</w:t>
      </w:r>
      <w:r w:rsidRPr="004346CD" w:rsidR="00425379">
        <w:rPr>
          <w:rStyle w:val="cf01"/>
          <w:rFonts w:ascii="Times New Roman" w:hAnsi="Times New Roman" w:cs="Times New Roman"/>
          <w:sz w:val="24"/>
          <w:szCs w:val="24"/>
        </w:rPr>
        <w:t>his request complies with the Privacy Act 1974.</w:t>
      </w:r>
    </w:p>
    <w:p w:rsidR="00C04518" w:rsidP="00C04518" w14:paraId="7328CC57" w14:textId="77777777">
      <w:pPr>
        <w:rPr>
          <w:b/>
          <w:bCs/>
        </w:rPr>
      </w:pPr>
      <w:r w:rsidRPr="004D3481">
        <w:rPr>
          <w:b/>
        </w:rPr>
        <w:t xml:space="preserve">12.  </w:t>
      </w:r>
      <w:r w:rsidRPr="00C04518">
        <w:rPr>
          <w:b/>
          <w:bCs/>
        </w:rPr>
        <w:t xml:space="preserve"> </w:t>
      </w:r>
      <w:r>
        <w:rPr>
          <w:b/>
          <w:bCs/>
        </w:rPr>
        <w:t>Provide estimates of the hour burden of the collection of information.  The statement should:</w:t>
      </w:r>
    </w:p>
    <w:p w:rsidR="00C04518" w:rsidP="00C04518" w14:paraId="7F340A61" w14:textId="77777777">
      <w:pPr>
        <w:rPr>
          <w:b/>
          <w:bCs/>
        </w:rPr>
      </w:pPr>
    </w:p>
    <w:p w:rsidR="00C04518" w:rsidRPr="00065F46" w:rsidP="00C04518" w14:paraId="0A7F3748" w14:textId="77777777">
      <w:pPr>
        <w:pStyle w:val="ListParagraph"/>
        <w:numPr>
          <w:ilvl w:val="0"/>
          <w:numId w:val="2"/>
        </w:numPr>
        <w:rPr>
          <w:b/>
          <w:bCs/>
        </w:rPr>
      </w:pPr>
      <w:r w:rsidRPr="00065F46">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04518" w:rsidP="00C04518" w14:paraId="4D788B5D" w14:textId="77777777">
      <w:pPr>
        <w:rPr>
          <w:b/>
          <w:bCs/>
        </w:rPr>
      </w:pPr>
    </w:p>
    <w:p w:rsidR="00C04518" w:rsidRPr="00065F46" w:rsidP="00C04518" w14:paraId="24875032" w14:textId="77777777">
      <w:pPr>
        <w:pStyle w:val="ListParagraph"/>
        <w:numPr>
          <w:ilvl w:val="0"/>
          <w:numId w:val="2"/>
        </w:numPr>
        <w:rPr>
          <w:b/>
          <w:bCs/>
        </w:rPr>
      </w:pPr>
      <w:r w:rsidRPr="00065F46">
        <w:rPr>
          <w:b/>
          <w:bCs/>
        </w:rPr>
        <w:t>If this request for approval covers more than one form, provide separate hour burden estimates for each form and aggregate the hour burdens in Item 13 of OMB Form 83–1.</w:t>
      </w:r>
    </w:p>
    <w:p w:rsidR="00C04518" w:rsidP="00C04518" w14:paraId="761C46BB" w14:textId="77777777">
      <w:pPr>
        <w:rPr>
          <w:b/>
          <w:bCs/>
        </w:rPr>
      </w:pPr>
    </w:p>
    <w:p w:rsidR="00C04518" w:rsidP="00C04518" w14:paraId="35D27975" w14:textId="77777777">
      <w:pPr>
        <w:pStyle w:val="ListParagraph"/>
        <w:numPr>
          <w:ilvl w:val="0"/>
          <w:numId w:val="2"/>
        </w:numPr>
      </w:pPr>
      <w:r w:rsidRPr="00065F46">
        <w:rPr>
          <w:b/>
          <w:bCs/>
        </w:rPr>
        <w:t>Provide estimates of annualized cost to respondents for the hour burdens for collections of information, identifying and using appropriate wage rate categories.  The cost of contraction out or paying outside parties for information collection activities should not be included here.  Instead, this cost should be included in Item 14.</w:t>
      </w:r>
    </w:p>
    <w:p w:rsidR="00052711" w:rsidP="003C0232" w14:paraId="668A4B5A" w14:textId="4DCFEABC">
      <w:pPr>
        <w:pStyle w:val="PlainText"/>
        <w:rPr>
          <w:rFonts w:ascii="Times New Roman" w:hAnsi="Times New Roman" w:cs="Times New Roman"/>
          <w:b/>
          <w:sz w:val="24"/>
          <w:szCs w:val="24"/>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17"/>
        <w:gridCol w:w="1283"/>
        <w:gridCol w:w="1237"/>
        <w:gridCol w:w="1350"/>
        <w:gridCol w:w="900"/>
        <w:gridCol w:w="1170"/>
        <w:gridCol w:w="1170"/>
      </w:tblGrid>
      <w:tr w14:paraId="1F60E4D0" w14:textId="3370E1F9" w:rsidTr="00E8794F">
        <w:tblPrEx>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548" w:type="dxa"/>
            <w:vAlign w:val="center"/>
          </w:tcPr>
          <w:p w:rsidR="00DE436C" w:rsidRPr="000A1362" w:rsidP="00DE436C" w14:paraId="175CCD40" w14:textId="0DE58B46">
            <w:pPr>
              <w:jc w:val="center"/>
              <w:rPr>
                <w:b/>
                <w:sz w:val="20"/>
                <w:szCs w:val="20"/>
              </w:rPr>
            </w:pPr>
            <w:bookmarkStart w:id="8" w:name="_Hlk125014066"/>
            <w:r>
              <w:rPr>
                <w:b/>
                <w:bCs/>
                <w:color w:val="000000"/>
                <w:sz w:val="20"/>
                <w:szCs w:val="20"/>
              </w:rPr>
              <w:t>Activity</w:t>
            </w:r>
          </w:p>
        </w:tc>
        <w:tc>
          <w:tcPr>
            <w:tcW w:w="1417" w:type="dxa"/>
            <w:vAlign w:val="center"/>
          </w:tcPr>
          <w:p w:rsidR="00DE436C" w:rsidRPr="000A1362" w:rsidP="00DE436C" w14:paraId="5E3ACA3E" w14:textId="7841F836">
            <w:pPr>
              <w:jc w:val="center"/>
              <w:rPr>
                <w:b/>
                <w:sz w:val="20"/>
                <w:szCs w:val="20"/>
              </w:rPr>
            </w:pPr>
            <w:r>
              <w:rPr>
                <w:b/>
                <w:bCs/>
                <w:color w:val="000000"/>
                <w:sz w:val="20"/>
                <w:szCs w:val="20"/>
              </w:rPr>
              <w:t>No. of Respondents</w:t>
            </w:r>
          </w:p>
        </w:tc>
        <w:tc>
          <w:tcPr>
            <w:tcW w:w="1283" w:type="dxa"/>
            <w:vAlign w:val="center"/>
          </w:tcPr>
          <w:p w:rsidR="00DE436C" w:rsidRPr="000A1362" w:rsidP="00DE436C" w14:paraId="106D9CFE" w14:textId="3934F348">
            <w:pPr>
              <w:jc w:val="center"/>
              <w:rPr>
                <w:b/>
                <w:sz w:val="20"/>
                <w:szCs w:val="20"/>
              </w:rPr>
            </w:pPr>
            <w:r>
              <w:rPr>
                <w:b/>
                <w:bCs/>
                <w:color w:val="000000"/>
                <w:sz w:val="20"/>
                <w:szCs w:val="20"/>
              </w:rPr>
              <w:t>Frequency of Responses</w:t>
            </w:r>
          </w:p>
        </w:tc>
        <w:tc>
          <w:tcPr>
            <w:tcW w:w="1237" w:type="dxa"/>
            <w:vAlign w:val="center"/>
          </w:tcPr>
          <w:p w:rsidR="00DE436C" w:rsidRPr="000A1362" w:rsidP="00DE436C" w14:paraId="3F799FE0" w14:textId="41ECC1B7">
            <w:pPr>
              <w:jc w:val="center"/>
              <w:rPr>
                <w:b/>
                <w:sz w:val="20"/>
                <w:szCs w:val="20"/>
              </w:rPr>
            </w:pPr>
            <w:r>
              <w:rPr>
                <w:b/>
                <w:bCs/>
                <w:color w:val="000000"/>
                <w:sz w:val="20"/>
                <w:szCs w:val="20"/>
              </w:rPr>
              <w:t>Total Annual Responses (A*B)</w:t>
            </w:r>
          </w:p>
        </w:tc>
        <w:tc>
          <w:tcPr>
            <w:tcW w:w="1350" w:type="dxa"/>
            <w:vAlign w:val="center"/>
          </w:tcPr>
          <w:p w:rsidR="00DE436C" w:rsidRPr="000A1362" w:rsidP="00DE436C" w14:paraId="37F720A7" w14:textId="01FA55E2">
            <w:pPr>
              <w:jc w:val="center"/>
              <w:rPr>
                <w:b/>
                <w:sz w:val="20"/>
                <w:szCs w:val="20"/>
              </w:rPr>
            </w:pPr>
            <w:r>
              <w:rPr>
                <w:b/>
                <w:bCs/>
                <w:color w:val="000000"/>
                <w:sz w:val="20"/>
                <w:szCs w:val="20"/>
              </w:rPr>
              <w:t>Average Hours per Respondent</w:t>
            </w:r>
          </w:p>
        </w:tc>
        <w:tc>
          <w:tcPr>
            <w:tcW w:w="900" w:type="dxa"/>
            <w:vAlign w:val="center"/>
          </w:tcPr>
          <w:p w:rsidR="00DE436C" w:rsidRPr="00A03649" w:rsidP="00DE436C" w14:paraId="1EAC7D10" w14:textId="2F4E7904">
            <w:pPr>
              <w:jc w:val="center"/>
              <w:rPr>
                <w:b/>
                <w:sz w:val="20"/>
                <w:szCs w:val="20"/>
              </w:rPr>
            </w:pPr>
            <w:r>
              <w:rPr>
                <w:b/>
                <w:bCs/>
                <w:color w:val="000000"/>
                <w:sz w:val="20"/>
                <w:szCs w:val="20"/>
              </w:rPr>
              <w:t>Total Annual Burden Hours</w:t>
            </w:r>
          </w:p>
        </w:tc>
        <w:tc>
          <w:tcPr>
            <w:tcW w:w="1170" w:type="dxa"/>
            <w:vAlign w:val="center"/>
          </w:tcPr>
          <w:p w:rsidR="00DE436C" w:rsidRPr="00A03649" w:rsidP="00DE436C" w14:paraId="69A72C97" w14:textId="48AE5A8A">
            <w:pPr>
              <w:jc w:val="center"/>
              <w:rPr>
                <w:b/>
                <w:bCs/>
                <w:sz w:val="20"/>
                <w:szCs w:val="20"/>
              </w:rPr>
            </w:pPr>
            <w:r>
              <w:rPr>
                <w:b/>
                <w:bCs/>
                <w:color w:val="000000"/>
                <w:sz w:val="20"/>
                <w:szCs w:val="20"/>
              </w:rPr>
              <w:t>*Hourly Costs</w:t>
            </w:r>
          </w:p>
        </w:tc>
        <w:tc>
          <w:tcPr>
            <w:tcW w:w="1170" w:type="dxa"/>
            <w:vAlign w:val="center"/>
          </w:tcPr>
          <w:p w:rsidR="00DE436C" w:rsidRPr="00A03649" w:rsidP="00DE436C" w14:paraId="0C99D2FE" w14:textId="5FC0D721">
            <w:pPr>
              <w:jc w:val="center"/>
              <w:rPr>
                <w:b/>
                <w:bCs/>
                <w:sz w:val="20"/>
                <w:szCs w:val="20"/>
              </w:rPr>
            </w:pPr>
            <w:r>
              <w:rPr>
                <w:b/>
                <w:bCs/>
                <w:color w:val="000000"/>
                <w:sz w:val="20"/>
                <w:szCs w:val="20"/>
              </w:rPr>
              <w:t>Annual Costs</w:t>
            </w:r>
          </w:p>
        </w:tc>
      </w:tr>
      <w:tr w14:paraId="1DEFD909" w14:textId="04402355" w:rsidTr="00E8794F">
        <w:tblPrEx>
          <w:tblW w:w="10075" w:type="dxa"/>
          <w:jc w:val="center"/>
          <w:tblLayout w:type="fixed"/>
          <w:tblLook w:val="01E0"/>
        </w:tblPrEx>
        <w:trPr>
          <w:jc w:val="center"/>
        </w:trPr>
        <w:tc>
          <w:tcPr>
            <w:tcW w:w="1548" w:type="dxa"/>
            <w:vAlign w:val="center"/>
          </w:tcPr>
          <w:p w:rsidR="00DE436C" w:rsidRPr="000A1362" w:rsidP="00DE436C" w14:paraId="6336D3DB" w14:textId="0AD7E578">
            <w:pPr>
              <w:rPr>
                <w:sz w:val="20"/>
                <w:szCs w:val="20"/>
              </w:rPr>
            </w:pPr>
            <w:r>
              <w:rPr>
                <w:color w:val="000000"/>
                <w:sz w:val="20"/>
                <w:szCs w:val="20"/>
              </w:rPr>
              <w:t>Applications</w:t>
            </w:r>
          </w:p>
        </w:tc>
        <w:tc>
          <w:tcPr>
            <w:tcW w:w="1417" w:type="dxa"/>
            <w:vAlign w:val="center"/>
          </w:tcPr>
          <w:p w:rsidR="00DE436C" w:rsidRPr="00A03649" w:rsidP="00DE436C" w14:paraId="496A5FA9" w14:textId="43A67C86">
            <w:pPr>
              <w:jc w:val="right"/>
              <w:rPr>
                <w:sz w:val="20"/>
                <w:szCs w:val="20"/>
              </w:rPr>
            </w:pPr>
            <w:r>
              <w:rPr>
                <w:color w:val="000000"/>
                <w:sz w:val="20"/>
                <w:szCs w:val="20"/>
              </w:rPr>
              <w:t>1</w:t>
            </w:r>
          </w:p>
        </w:tc>
        <w:tc>
          <w:tcPr>
            <w:tcW w:w="1283" w:type="dxa"/>
            <w:vAlign w:val="center"/>
          </w:tcPr>
          <w:p w:rsidR="00DE436C" w:rsidRPr="00A03649" w:rsidP="00DE436C" w14:paraId="10E4ADD7" w14:textId="65BCC5D4">
            <w:pPr>
              <w:jc w:val="right"/>
              <w:rPr>
                <w:sz w:val="20"/>
                <w:szCs w:val="20"/>
              </w:rPr>
            </w:pPr>
            <w:r>
              <w:rPr>
                <w:color w:val="000000"/>
                <w:sz w:val="20"/>
                <w:szCs w:val="20"/>
              </w:rPr>
              <w:t>1</w:t>
            </w:r>
          </w:p>
        </w:tc>
        <w:tc>
          <w:tcPr>
            <w:tcW w:w="1237" w:type="dxa"/>
            <w:vAlign w:val="center"/>
          </w:tcPr>
          <w:p w:rsidR="00DE436C" w:rsidRPr="00B77635" w:rsidP="00DE436C" w14:paraId="2FEDC39C" w14:textId="589D7B42">
            <w:pPr>
              <w:jc w:val="right"/>
              <w:rPr>
                <w:sz w:val="20"/>
                <w:szCs w:val="20"/>
              </w:rPr>
            </w:pPr>
            <w:r>
              <w:rPr>
                <w:color w:val="000000"/>
                <w:sz w:val="20"/>
                <w:szCs w:val="20"/>
              </w:rPr>
              <w:t>1</w:t>
            </w:r>
          </w:p>
        </w:tc>
        <w:tc>
          <w:tcPr>
            <w:tcW w:w="1350" w:type="dxa"/>
            <w:vAlign w:val="center"/>
          </w:tcPr>
          <w:p w:rsidR="00DE436C" w:rsidRPr="008C31B4" w:rsidP="00DE436C" w14:paraId="4F75FB7B" w14:textId="6EF71F56">
            <w:pPr>
              <w:jc w:val="right"/>
              <w:rPr>
                <w:sz w:val="20"/>
                <w:szCs w:val="20"/>
              </w:rPr>
            </w:pPr>
            <w:r>
              <w:rPr>
                <w:color w:val="000000"/>
                <w:sz w:val="20"/>
                <w:szCs w:val="20"/>
              </w:rPr>
              <w:t>20</w:t>
            </w:r>
          </w:p>
        </w:tc>
        <w:tc>
          <w:tcPr>
            <w:tcW w:w="900" w:type="dxa"/>
            <w:vAlign w:val="center"/>
          </w:tcPr>
          <w:p w:rsidR="00DE436C" w:rsidRPr="008C31B4" w:rsidP="00DE436C" w14:paraId="7C3D8648" w14:textId="7CD44429">
            <w:pPr>
              <w:jc w:val="right"/>
              <w:rPr>
                <w:sz w:val="20"/>
                <w:szCs w:val="20"/>
              </w:rPr>
            </w:pPr>
            <w:r>
              <w:rPr>
                <w:color w:val="000000"/>
                <w:sz w:val="20"/>
                <w:szCs w:val="20"/>
              </w:rPr>
              <w:t>20</w:t>
            </w:r>
          </w:p>
        </w:tc>
        <w:tc>
          <w:tcPr>
            <w:tcW w:w="1170" w:type="dxa"/>
            <w:vAlign w:val="center"/>
          </w:tcPr>
          <w:p w:rsidR="00DE436C" w:rsidRPr="008C31B4" w:rsidP="00DE436C" w14:paraId="74A6F9FD" w14:textId="3B411E59">
            <w:pPr>
              <w:jc w:val="right"/>
              <w:rPr>
                <w:sz w:val="20"/>
                <w:szCs w:val="20"/>
              </w:rPr>
            </w:pPr>
            <w:r>
              <w:rPr>
                <w:color w:val="000000"/>
                <w:sz w:val="20"/>
                <w:szCs w:val="20"/>
              </w:rPr>
              <w:t xml:space="preserve">$76.21 </w:t>
            </w:r>
          </w:p>
        </w:tc>
        <w:tc>
          <w:tcPr>
            <w:tcW w:w="1170" w:type="dxa"/>
            <w:vAlign w:val="center"/>
          </w:tcPr>
          <w:p w:rsidR="00DE436C" w:rsidRPr="008C31B4" w:rsidP="00DE436C" w14:paraId="2B982B2D" w14:textId="50037E6B">
            <w:pPr>
              <w:jc w:val="right"/>
              <w:rPr>
                <w:sz w:val="20"/>
                <w:szCs w:val="20"/>
              </w:rPr>
            </w:pPr>
            <w:r>
              <w:rPr>
                <w:color w:val="000000"/>
                <w:sz w:val="20"/>
                <w:szCs w:val="20"/>
              </w:rPr>
              <w:t xml:space="preserve">$1,524 </w:t>
            </w:r>
          </w:p>
        </w:tc>
      </w:tr>
      <w:tr w14:paraId="5929742D" w14:textId="07BD3923" w:rsidTr="00E8794F">
        <w:tblPrEx>
          <w:tblW w:w="10075" w:type="dxa"/>
          <w:jc w:val="center"/>
          <w:tblLayout w:type="fixed"/>
          <w:tblLook w:val="01E0"/>
        </w:tblPrEx>
        <w:trPr>
          <w:jc w:val="center"/>
        </w:trPr>
        <w:tc>
          <w:tcPr>
            <w:tcW w:w="1548" w:type="dxa"/>
            <w:vAlign w:val="center"/>
          </w:tcPr>
          <w:p w:rsidR="00DE436C" w:rsidRPr="000A1362" w:rsidP="00DE436C" w14:paraId="1565F2AF" w14:textId="265AE6C6">
            <w:pPr>
              <w:rPr>
                <w:sz w:val="20"/>
                <w:szCs w:val="20"/>
              </w:rPr>
            </w:pPr>
            <w:r>
              <w:rPr>
                <w:color w:val="000000"/>
                <w:sz w:val="20"/>
                <w:szCs w:val="20"/>
              </w:rPr>
              <w:t xml:space="preserve">Reporting </w:t>
            </w:r>
          </w:p>
        </w:tc>
        <w:tc>
          <w:tcPr>
            <w:tcW w:w="1417" w:type="dxa"/>
            <w:vAlign w:val="center"/>
          </w:tcPr>
          <w:p w:rsidR="00DE436C" w:rsidRPr="00A03649" w:rsidP="00DE436C" w14:paraId="031BD0D6" w14:textId="1B50CC35">
            <w:pPr>
              <w:jc w:val="right"/>
              <w:rPr>
                <w:sz w:val="20"/>
                <w:szCs w:val="20"/>
              </w:rPr>
            </w:pPr>
            <w:r>
              <w:rPr>
                <w:color w:val="000000"/>
                <w:sz w:val="20"/>
                <w:szCs w:val="20"/>
              </w:rPr>
              <w:t>129</w:t>
            </w:r>
          </w:p>
        </w:tc>
        <w:tc>
          <w:tcPr>
            <w:tcW w:w="1283" w:type="dxa"/>
            <w:vAlign w:val="center"/>
          </w:tcPr>
          <w:p w:rsidR="00DE436C" w:rsidRPr="00A03649" w:rsidP="00DE436C" w14:paraId="5D274A21" w14:textId="5270B08C">
            <w:pPr>
              <w:jc w:val="right"/>
              <w:rPr>
                <w:sz w:val="20"/>
                <w:szCs w:val="20"/>
              </w:rPr>
            </w:pPr>
            <w:r>
              <w:rPr>
                <w:color w:val="000000"/>
                <w:sz w:val="20"/>
                <w:szCs w:val="20"/>
              </w:rPr>
              <w:t>8.3</w:t>
            </w:r>
          </w:p>
        </w:tc>
        <w:tc>
          <w:tcPr>
            <w:tcW w:w="1237" w:type="dxa"/>
            <w:vAlign w:val="center"/>
          </w:tcPr>
          <w:p w:rsidR="00DE436C" w:rsidRPr="00B77635" w:rsidP="00DE436C" w14:paraId="4753AA28" w14:textId="3B78B47D">
            <w:pPr>
              <w:jc w:val="right"/>
              <w:rPr>
                <w:sz w:val="20"/>
                <w:szCs w:val="20"/>
              </w:rPr>
            </w:pPr>
            <w:r>
              <w:rPr>
                <w:color w:val="000000"/>
                <w:sz w:val="20"/>
                <w:szCs w:val="20"/>
              </w:rPr>
              <w:t>1,071</w:t>
            </w:r>
          </w:p>
        </w:tc>
        <w:tc>
          <w:tcPr>
            <w:tcW w:w="1350" w:type="dxa"/>
            <w:vAlign w:val="center"/>
          </w:tcPr>
          <w:p w:rsidR="00DE436C" w:rsidRPr="008C31B4" w:rsidP="00DE436C" w14:paraId="6FB3AD06" w14:textId="3FD2A3DF">
            <w:pPr>
              <w:jc w:val="right"/>
              <w:rPr>
                <w:sz w:val="20"/>
                <w:szCs w:val="20"/>
              </w:rPr>
            </w:pPr>
            <w:r>
              <w:rPr>
                <w:color w:val="000000"/>
                <w:sz w:val="20"/>
                <w:szCs w:val="20"/>
              </w:rPr>
              <w:t>0.21</w:t>
            </w:r>
          </w:p>
        </w:tc>
        <w:tc>
          <w:tcPr>
            <w:tcW w:w="900" w:type="dxa"/>
            <w:vAlign w:val="center"/>
          </w:tcPr>
          <w:p w:rsidR="00DE436C" w:rsidRPr="008C31B4" w:rsidP="00DE436C" w14:paraId="5B01BFFB" w14:textId="1465B087">
            <w:pPr>
              <w:jc w:val="right"/>
              <w:rPr>
                <w:sz w:val="20"/>
                <w:szCs w:val="20"/>
              </w:rPr>
            </w:pPr>
            <w:r>
              <w:rPr>
                <w:color w:val="000000"/>
                <w:sz w:val="20"/>
                <w:szCs w:val="20"/>
              </w:rPr>
              <w:t>224.91</w:t>
            </w:r>
          </w:p>
        </w:tc>
        <w:tc>
          <w:tcPr>
            <w:tcW w:w="1170" w:type="dxa"/>
            <w:vAlign w:val="center"/>
          </w:tcPr>
          <w:p w:rsidR="00DE436C" w:rsidRPr="008C31B4" w:rsidP="00DE436C" w14:paraId="2E8B553F" w14:textId="3F5DAF8F">
            <w:pPr>
              <w:jc w:val="right"/>
              <w:rPr>
                <w:sz w:val="20"/>
                <w:szCs w:val="20"/>
              </w:rPr>
            </w:pPr>
            <w:r>
              <w:rPr>
                <w:color w:val="000000"/>
                <w:sz w:val="20"/>
                <w:szCs w:val="20"/>
              </w:rPr>
              <w:t xml:space="preserve">$76.21 </w:t>
            </w:r>
          </w:p>
        </w:tc>
        <w:tc>
          <w:tcPr>
            <w:tcW w:w="1170" w:type="dxa"/>
            <w:vAlign w:val="center"/>
          </w:tcPr>
          <w:p w:rsidR="00DE436C" w:rsidRPr="008C31B4" w:rsidP="00DE436C" w14:paraId="0145BAC0" w14:textId="088E4D32">
            <w:pPr>
              <w:jc w:val="right"/>
              <w:rPr>
                <w:sz w:val="20"/>
                <w:szCs w:val="20"/>
              </w:rPr>
            </w:pPr>
            <w:r>
              <w:rPr>
                <w:color w:val="000000"/>
                <w:sz w:val="20"/>
                <w:szCs w:val="20"/>
              </w:rPr>
              <w:t xml:space="preserve">$17,139 </w:t>
            </w:r>
          </w:p>
        </w:tc>
      </w:tr>
      <w:tr w14:paraId="13046497" w14:textId="6B1A12B7" w:rsidTr="00E8794F">
        <w:tblPrEx>
          <w:tblW w:w="10075" w:type="dxa"/>
          <w:jc w:val="center"/>
          <w:tblLayout w:type="fixed"/>
          <w:tblLook w:val="01E0"/>
        </w:tblPrEx>
        <w:trPr>
          <w:jc w:val="center"/>
        </w:trPr>
        <w:tc>
          <w:tcPr>
            <w:tcW w:w="1548" w:type="dxa"/>
            <w:vAlign w:val="center"/>
          </w:tcPr>
          <w:p w:rsidR="00DE436C" w:rsidRPr="000A1362" w:rsidP="00DE436C" w14:paraId="265AC69B" w14:textId="2CC74B0F">
            <w:pPr>
              <w:rPr>
                <w:sz w:val="20"/>
                <w:szCs w:val="20"/>
              </w:rPr>
            </w:pPr>
            <w:r>
              <w:rPr>
                <w:color w:val="000000"/>
                <w:sz w:val="20"/>
                <w:szCs w:val="20"/>
              </w:rPr>
              <w:t>Recordkeeping</w:t>
            </w:r>
          </w:p>
        </w:tc>
        <w:tc>
          <w:tcPr>
            <w:tcW w:w="1417" w:type="dxa"/>
            <w:vAlign w:val="center"/>
          </w:tcPr>
          <w:p w:rsidR="00DE436C" w:rsidRPr="00A03649" w:rsidP="00DE436C" w14:paraId="0381DD23" w14:textId="6AAA7D01">
            <w:pPr>
              <w:jc w:val="right"/>
              <w:rPr>
                <w:sz w:val="20"/>
                <w:szCs w:val="20"/>
              </w:rPr>
            </w:pPr>
            <w:r>
              <w:rPr>
                <w:color w:val="000000"/>
                <w:sz w:val="20"/>
                <w:szCs w:val="20"/>
              </w:rPr>
              <w:t>129</w:t>
            </w:r>
          </w:p>
        </w:tc>
        <w:tc>
          <w:tcPr>
            <w:tcW w:w="1283" w:type="dxa"/>
            <w:vAlign w:val="center"/>
          </w:tcPr>
          <w:p w:rsidR="00DE436C" w:rsidRPr="00A03649" w:rsidP="00DE436C" w14:paraId="280D3D5E" w14:textId="418A982E">
            <w:pPr>
              <w:jc w:val="right"/>
              <w:rPr>
                <w:sz w:val="20"/>
                <w:szCs w:val="20"/>
              </w:rPr>
            </w:pPr>
            <w:r>
              <w:rPr>
                <w:color w:val="000000"/>
                <w:sz w:val="20"/>
                <w:szCs w:val="20"/>
              </w:rPr>
              <w:t>1</w:t>
            </w:r>
          </w:p>
        </w:tc>
        <w:tc>
          <w:tcPr>
            <w:tcW w:w="1237" w:type="dxa"/>
            <w:vAlign w:val="center"/>
          </w:tcPr>
          <w:p w:rsidR="00DE436C" w:rsidRPr="00B77635" w:rsidP="00DE436C" w14:paraId="1EF7F4B9" w14:textId="0D522A81">
            <w:pPr>
              <w:jc w:val="right"/>
              <w:rPr>
                <w:sz w:val="20"/>
                <w:szCs w:val="20"/>
              </w:rPr>
            </w:pPr>
            <w:r>
              <w:rPr>
                <w:color w:val="000000"/>
                <w:sz w:val="20"/>
                <w:szCs w:val="20"/>
              </w:rPr>
              <w:t>129</w:t>
            </w:r>
          </w:p>
        </w:tc>
        <w:tc>
          <w:tcPr>
            <w:tcW w:w="1350" w:type="dxa"/>
            <w:vAlign w:val="center"/>
          </w:tcPr>
          <w:p w:rsidR="00DE436C" w:rsidRPr="008C31B4" w:rsidP="00DE436C" w14:paraId="2974322D" w14:textId="2CED2C35">
            <w:pPr>
              <w:jc w:val="right"/>
              <w:rPr>
                <w:sz w:val="20"/>
                <w:szCs w:val="20"/>
              </w:rPr>
            </w:pPr>
            <w:r>
              <w:rPr>
                <w:color w:val="000000"/>
                <w:sz w:val="20"/>
                <w:szCs w:val="20"/>
              </w:rPr>
              <w:t>0.07</w:t>
            </w:r>
          </w:p>
        </w:tc>
        <w:tc>
          <w:tcPr>
            <w:tcW w:w="900" w:type="dxa"/>
            <w:vAlign w:val="center"/>
          </w:tcPr>
          <w:p w:rsidR="00DE436C" w:rsidRPr="008C31B4" w:rsidP="00DE436C" w14:paraId="69B5C16F" w14:textId="3A5A0211">
            <w:pPr>
              <w:jc w:val="right"/>
              <w:rPr>
                <w:sz w:val="20"/>
                <w:szCs w:val="20"/>
              </w:rPr>
            </w:pPr>
            <w:r>
              <w:rPr>
                <w:color w:val="000000"/>
                <w:sz w:val="20"/>
                <w:szCs w:val="20"/>
              </w:rPr>
              <w:t>9.03</w:t>
            </w:r>
          </w:p>
        </w:tc>
        <w:tc>
          <w:tcPr>
            <w:tcW w:w="1170" w:type="dxa"/>
            <w:vAlign w:val="center"/>
          </w:tcPr>
          <w:p w:rsidR="00DE436C" w:rsidRPr="008C31B4" w:rsidP="00DE436C" w14:paraId="14D77695" w14:textId="78262B32">
            <w:pPr>
              <w:jc w:val="right"/>
              <w:rPr>
                <w:sz w:val="20"/>
                <w:szCs w:val="20"/>
              </w:rPr>
            </w:pPr>
            <w:r>
              <w:rPr>
                <w:color w:val="000000"/>
                <w:sz w:val="20"/>
                <w:szCs w:val="20"/>
              </w:rPr>
              <w:t xml:space="preserve">$76.21 </w:t>
            </w:r>
          </w:p>
        </w:tc>
        <w:tc>
          <w:tcPr>
            <w:tcW w:w="1170" w:type="dxa"/>
            <w:vAlign w:val="center"/>
          </w:tcPr>
          <w:p w:rsidR="00DE436C" w:rsidRPr="008C31B4" w:rsidP="00DE436C" w14:paraId="624CF4CF" w14:textId="12D54978">
            <w:pPr>
              <w:jc w:val="right"/>
              <w:rPr>
                <w:sz w:val="20"/>
                <w:szCs w:val="20"/>
              </w:rPr>
            </w:pPr>
            <w:r>
              <w:rPr>
                <w:color w:val="000000"/>
                <w:sz w:val="20"/>
                <w:szCs w:val="20"/>
              </w:rPr>
              <w:t xml:space="preserve">$688 </w:t>
            </w:r>
          </w:p>
        </w:tc>
      </w:tr>
      <w:tr w14:paraId="06A749C0" w14:textId="3D589805" w:rsidTr="00E8794F">
        <w:tblPrEx>
          <w:tblW w:w="10075" w:type="dxa"/>
          <w:jc w:val="center"/>
          <w:tblLayout w:type="fixed"/>
          <w:tblLook w:val="01E0"/>
        </w:tblPrEx>
        <w:trPr>
          <w:jc w:val="center"/>
        </w:trPr>
        <w:tc>
          <w:tcPr>
            <w:tcW w:w="1548" w:type="dxa"/>
            <w:vAlign w:val="center"/>
          </w:tcPr>
          <w:p w:rsidR="00DE436C" w:rsidRPr="000A1362" w:rsidP="00DE436C" w14:paraId="2A939E11" w14:textId="3DE301AC">
            <w:pPr>
              <w:rPr>
                <w:sz w:val="20"/>
                <w:szCs w:val="20"/>
              </w:rPr>
            </w:pPr>
            <w:r>
              <w:rPr>
                <w:color w:val="000000"/>
                <w:sz w:val="20"/>
                <w:szCs w:val="20"/>
              </w:rPr>
              <w:t xml:space="preserve">Bonds </w:t>
            </w:r>
          </w:p>
        </w:tc>
        <w:tc>
          <w:tcPr>
            <w:tcW w:w="1417" w:type="dxa"/>
            <w:vAlign w:val="center"/>
          </w:tcPr>
          <w:p w:rsidR="00DE436C" w:rsidRPr="00A03649" w:rsidP="00DE436C" w14:paraId="7C23C844" w14:textId="21B7AC61">
            <w:pPr>
              <w:jc w:val="right"/>
              <w:rPr>
                <w:sz w:val="20"/>
                <w:szCs w:val="20"/>
              </w:rPr>
            </w:pPr>
            <w:r>
              <w:rPr>
                <w:color w:val="000000"/>
                <w:sz w:val="20"/>
                <w:szCs w:val="20"/>
              </w:rPr>
              <w:t>15</w:t>
            </w:r>
          </w:p>
        </w:tc>
        <w:tc>
          <w:tcPr>
            <w:tcW w:w="1283" w:type="dxa"/>
            <w:vAlign w:val="center"/>
          </w:tcPr>
          <w:p w:rsidR="00DE436C" w:rsidRPr="00A03649" w:rsidP="00DE436C" w14:paraId="03C6CD98" w14:textId="67BF43C9">
            <w:pPr>
              <w:jc w:val="right"/>
              <w:rPr>
                <w:sz w:val="20"/>
                <w:szCs w:val="20"/>
              </w:rPr>
            </w:pPr>
            <w:r>
              <w:rPr>
                <w:color w:val="000000"/>
                <w:sz w:val="20"/>
                <w:szCs w:val="20"/>
              </w:rPr>
              <w:t>1</w:t>
            </w:r>
          </w:p>
        </w:tc>
        <w:tc>
          <w:tcPr>
            <w:tcW w:w="1237" w:type="dxa"/>
            <w:vAlign w:val="center"/>
          </w:tcPr>
          <w:p w:rsidR="00DE436C" w:rsidRPr="00B77635" w:rsidP="00DE436C" w14:paraId="7CCA017A" w14:textId="05754BF9">
            <w:pPr>
              <w:jc w:val="right"/>
              <w:rPr>
                <w:sz w:val="20"/>
                <w:szCs w:val="20"/>
              </w:rPr>
            </w:pPr>
            <w:r>
              <w:rPr>
                <w:color w:val="000000"/>
                <w:sz w:val="20"/>
                <w:szCs w:val="20"/>
              </w:rPr>
              <w:t>15</w:t>
            </w:r>
          </w:p>
        </w:tc>
        <w:tc>
          <w:tcPr>
            <w:tcW w:w="1350" w:type="dxa"/>
            <w:vAlign w:val="center"/>
          </w:tcPr>
          <w:p w:rsidR="00DE436C" w:rsidRPr="008C31B4" w:rsidP="00DE436C" w14:paraId="6CA7AD8A" w14:textId="3CF47723">
            <w:pPr>
              <w:jc w:val="right"/>
              <w:rPr>
                <w:sz w:val="20"/>
                <w:szCs w:val="20"/>
              </w:rPr>
            </w:pPr>
            <w:r>
              <w:rPr>
                <w:color w:val="000000"/>
                <w:sz w:val="20"/>
                <w:szCs w:val="20"/>
              </w:rPr>
              <w:t>1</w:t>
            </w:r>
          </w:p>
        </w:tc>
        <w:tc>
          <w:tcPr>
            <w:tcW w:w="900" w:type="dxa"/>
            <w:vAlign w:val="center"/>
          </w:tcPr>
          <w:p w:rsidR="00DE436C" w:rsidRPr="008C31B4" w:rsidP="00DE436C" w14:paraId="77B969A9" w14:textId="41BDB880">
            <w:pPr>
              <w:jc w:val="right"/>
              <w:rPr>
                <w:sz w:val="20"/>
                <w:szCs w:val="20"/>
              </w:rPr>
            </w:pPr>
            <w:r>
              <w:rPr>
                <w:color w:val="000000"/>
                <w:sz w:val="20"/>
                <w:szCs w:val="20"/>
              </w:rPr>
              <w:t>15</w:t>
            </w:r>
          </w:p>
        </w:tc>
        <w:tc>
          <w:tcPr>
            <w:tcW w:w="1170" w:type="dxa"/>
            <w:vAlign w:val="center"/>
          </w:tcPr>
          <w:p w:rsidR="00DE436C" w:rsidRPr="008C31B4" w:rsidP="00DE436C" w14:paraId="24A40C4D" w14:textId="2B19998B">
            <w:pPr>
              <w:jc w:val="right"/>
              <w:rPr>
                <w:sz w:val="20"/>
                <w:szCs w:val="20"/>
              </w:rPr>
            </w:pPr>
            <w:r>
              <w:rPr>
                <w:color w:val="000000"/>
                <w:sz w:val="20"/>
                <w:szCs w:val="20"/>
              </w:rPr>
              <w:t xml:space="preserve">$76.21 </w:t>
            </w:r>
          </w:p>
        </w:tc>
        <w:tc>
          <w:tcPr>
            <w:tcW w:w="1170" w:type="dxa"/>
            <w:vAlign w:val="center"/>
          </w:tcPr>
          <w:p w:rsidR="00DE436C" w:rsidRPr="008C31B4" w:rsidP="00DE436C" w14:paraId="0ACCC419" w14:textId="553045DA">
            <w:pPr>
              <w:jc w:val="right"/>
              <w:rPr>
                <w:sz w:val="20"/>
                <w:szCs w:val="20"/>
              </w:rPr>
            </w:pPr>
            <w:r>
              <w:rPr>
                <w:color w:val="000000"/>
                <w:sz w:val="20"/>
                <w:szCs w:val="20"/>
              </w:rPr>
              <w:t xml:space="preserve">$1,143 </w:t>
            </w:r>
          </w:p>
        </w:tc>
      </w:tr>
      <w:tr w14:paraId="1D8D86A1" w14:textId="6C8BA31C" w:rsidTr="00E8794F">
        <w:tblPrEx>
          <w:tblW w:w="10075" w:type="dxa"/>
          <w:jc w:val="center"/>
          <w:tblLayout w:type="fixed"/>
          <w:tblLook w:val="01E0"/>
        </w:tblPrEx>
        <w:trPr>
          <w:jc w:val="center"/>
        </w:trPr>
        <w:tc>
          <w:tcPr>
            <w:tcW w:w="1548" w:type="dxa"/>
            <w:vAlign w:val="center"/>
          </w:tcPr>
          <w:p w:rsidR="00DE436C" w:rsidRPr="000A1362" w:rsidP="00DE436C" w14:paraId="5AC4F9E1" w14:textId="3DD36171">
            <w:pPr>
              <w:rPr>
                <w:sz w:val="20"/>
                <w:szCs w:val="20"/>
              </w:rPr>
            </w:pPr>
            <w:r>
              <w:rPr>
                <w:color w:val="000000"/>
                <w:sz w:val="20"/>
                <w:szCs w:val="20"/>
              </w:rPr>
              <w:t>Waivers (Exemptions)</w:t>
            </w:r>
          </w:p>
        </w:tc>
        <w:tc>
          <w:tcPr>
            <w:tcW w:w="1417" w:type="dxa"/>
            <w:vAlign w:val="center"/>
          </w:tcPr>
          <w:p w:rsidR="00DE436C" w:rsidRPr="00A03649" w:rsidP="00DE436C" w14:paraId="51B3103E" w14:textId="57E05D89">
            <w:pPr>
              <w:jc w:val="right"/>
              <w:rPr>
                <w:sz w:val="20"/>
                <w:szCs w:val="20"/>
              </w:rPr>
            </w:pPr>
            <w:r>
              <w:rPr>
                <w:color w:val="000000"/>
                <w:sz w:val="20"/>
                <w:szCs w:val="20"/>
              </w:rPr>
              <w:t>27</w:t>
            </w:r>
          </w:p>
        </w:tc>
        <w:tc>
          <w:tcPr>
            <w:tcW w:w="1283" w:type="dxa"/>
            <w:vAlign w:val="center"/>
          </w:tcPr>
          <w:p w:rsidR="00DE436C" w:rsidRPr="00A03649" w:rsidP="00DE436C" w14:paraId="5D82FCC1" w14:textId="73485FA6">
            <w:pPr>
              <w:jc w:val="right"/>
              <w:rPr>
                <w:sz w:val="20"/>
                <w:szCs w:val="20"/>
              </w:rPr>
            </w:pPr>
            <w:r>
              <w:rPr>
                <w:color w:val="000000"/>
                <w:sz w:val="20"/>
                <w:szCs w:val="20"/>
              </w:rPr>
              <w:t>1</w:t>
            </w:r>
          </w:p>
        </w:tc>
        <w:tc>
          <w:tcPr>
            <w:tcW w:w="1237" w:type="dxa"/>
            <w:vAlign w:val="center"/>
          </w:tcPr>
          <w:p w:rsidR="00DE436C" w:rsidRPr="00B77635" w:rsidP="00DE436C" w14:paraId="052756FA" w14:textId="68F3112A">
            <w:pPr>
              <w:jc w:val="right"/>
              <w:rPr>
                <w:sz w:val="20"/>
                <w:szCs w:val="20"/>
              </w:rPr>
            </w:pPr>
            <w:r>
              <w:rPr>
                <w:color w:val="000000"/>
                <w:sz w:val="20"/>
                <w:szCs w:val="20"/>
              </w:rPr>
              <w:t>27</w:t>
            </w:r>
          </w:p>
        </w:tc>
        <w:tc>
          <w:tcPr>
            <w:tcW w:w="1350" w:type="dxa"/>
            <w:vAlign w:val="center"/>
          </w:tcPr>
          <w:p w:rsidR="00DE436C" w:rsidRPr="008C31B4" w:rsidP="00DE436C" w14:paraId="514066A6" w14:textId="52A33259">
            <w:pPr>
              <w:jc w:val="right"/>
              <w:rPr>
                <w:sz w:val="20"/>
                <w:szCs w:val="20"/>
              </w:rPr>
            </w:pPr>
            <w:r>
              <w:rPr>
                <w:color w:val="000000"/>
                <w:sz w:val="20"/>
                <w:szCs w:val="20"/>
              </w:rPr>
              <w:t>1.5</w:t>
            </w:r>
          </w:p>
        </w:tc>
        <w:tc>
          <w:tcPr>
            <w:tcW w:w="900" w:type="dxa"/>
            <w:vAlign w:val="center"/>
          </w:tcPr>
          <w:p w:rsidR="00DE436C" w:rsidRPr="008C31B4" w:rsidP="00DE436C" w14:paraId="2EAEC021" w14:textId="02CBBB46">
            <w:pPr>
              <w:jc w:val="right"/>
              <w:rPr>
                <w:sz w:val="20"/>
                <w:szCs w:val="20"/>
              </w:rPr>
            </w:pPr>
            <w:r>
              <w:rPr>
                <w:color w:val="000000"/>
                <w:sz w:val="20"/>
                <w:szCs w:val="20"/>
              </w:rPr>
              <w:t>40.5</w:t>
            </w:r>
          </w:p>
        </w:tc>
        <w:tc>
          <w:tcPr>
            <w:tcW w:w="1170" w:type="dxa"/>
            <w:vAlign w:val="center"/>
          </w:tcPr>
          <w:p w:rsidR="00DE436C" w:rsidRPr="008C31B4" w:rsidP="00DE436C" w14:paraId="626439C8" w14:textId="01D54F13">
            <w:pPr>
              <w:jc w:val="right"/>
              <w:rPr>
                <w:sz w:val="20"/>
                <w:szCs w:val="20"/>
              </w:rPr>
            </w:pPr>
            <w:r>
              <w:rPr>
                <w:color w:val="000000"/>
                <w:sz w:val="20"/>
                <w:szCs w:val="20"/>
              </w:rPr>
              <w:t xml:space="preserve">$76.21 </w:t>
            </w:r>
          </w:p>
        </w:tc>
        <w:tc>
          <w:tcPr>
            <w:tcW w:w="1170" w:type="dxa"/>
            <w:vAlign w:val="center"/>
          </w:tcPr>
          <w:p w:rsidR="00DE436C" w:rsidRPr="008C31B4" w:rsidP="00DE436C" w14:paraId="43FD5392" w14:textId="1B1800C3">
            <w:pPr>
              <w:jc w:val="right"/>
              <w:rPr>
                <w:sz w:val="20"/>
                <w:szCs w:val="20"/>
              </w:rPr>
            </w:pPr>
            <w:r>
              <w:rPr>
                <w:color w:val="000000"/>
                <w:sz w:val="20"/>
                <w:szCs w:val="20"/>
              </w:rPr>
              <w:t xml:space="preserve">$3,086 </w:t>
            </w:r>
          </w:p>
        </w:tc>
      </w:tr>
      <w:tr w14:paraId="51623252" w14:textId="687BDF2E" w:rsidTr="00E8794F">
        <w:tblPrEx>
          <w:tblW w:w="10075" w:type="dxa"/>
          <w:jc w:val="center"/>
          <w:tblLayout w:type="fixed"/>
          <w:tblLook w:val="01E0"/>
        </w:tblPrEx>
        <w:trPr>
          <w:jc w:val="center"/>
        </w:trPr>
        <w:tc>
          <w:tcPr>
            <w:tcW w:w="1548" w:type="dxa"/>
            <w:vAlign w:val="center"/>
          </w:tcPr>
          <w:p w:rsidR="00DE436C" w:rsidRPr="00A03649" w:rsidP="00DE436C" w14:paraId="59729F09" w14:textId="2FEEB434">
            <w:pPr>
              <w:rPr>
                <w:b/>
                <w:bCs/>
                <w:sz w:val="20"/>
                <w:szCs w:val="20"/>
              </w:rPr>
            </w:pPr>
            <w:r>
              <w:rPr>
                <w:b/>
                <w:bCs/>
                <w:color w:val="000000"/>
                <w:sz w:val="20"/>
                <w:szCs w:val="20"/>
              </w:rPr>
              <w:t>TOTAL</w:t>
            </w:r>
          </w:p>
        </w:tc>
        <w:tc>
          <w:tcPr>
            <w:tcW w:w="1417" w:type="dxa"/>
            <w:vAlign w:val="center"/>
          </w:tcPr>
          <w:p w:rsidR="00DE436C" w:rsidRPr="000A1362" w:rsidP="00DE436C" w14:paraId="1D4C003A" w14:textId="28D1B352">
            <w:pPr>
              <w:jc w:val="right"/>
              <w:rPr>
                <w:b/>
                <w:bCs/>
                <w:sz w:val="20"/>
                <w:szCs w:val="20"/>
              </w:rPr>
            </w:pPr>
            <w:r>
              <w:rPr>
                <w:b/>
                <w:bCs/>
                <w:color w:val="000000"/>
                <w:sz w:val="20"/>
                <w:szCs w:val="20"/>
              </w:rPr>
              <w:t>301</w:t>
            </w:r>
          </w:p>
        </w:tc>
        <w:tc>
          <w:tcPr>
            <w:tcW w:w="1283" w:type="dxa"/>
            <w:vAlign w:val="center"/>
          </w:tcPr>
          <w:p w:rsidR="00DE436C" w:rsidRPr="000A1362" w:rsidP="00DE436C" w14:paraId="07B17063" w14:textId="16FACE8C">
            <w:pPr>
              <w:jc w:val="right"/>
              <w:rPr>
                <w:b/>
                <w:bCs/>
                <w:sz w:val="20"/>
                <w:szCs w:val="20"/>
              </w:rPr>
            </w:pPr>
            <w:r>
              <w:rPr>
                <w:b/>
                <w:bCs/>
                <w:color w:val="000000"/>
                <w:sz w:val="20"/>
                <w:szCs w:val="20"/>
              </w:rPr>
              <w:t>Varies</w:t>
            </w:r>
          </w:p>
        </w:tc>
        <w:tc>
          <w:tcPr>
            <w:tcW w:w="1237" w:type="dxa"/>
            <w:vAlign w:val="center"/>
          </w:tcPr>
          <w:p w:rsidR="00DE436C" w:rsidRPr="000A1362" w:rsidP="00DE436C" w14:paraId="3D314C19" w14:textId="5C9BEF61">
            <w:pPr>
              <w:jc w:val="right"/>
              <w:rPr>
                <w:b/>
                <w:bCs/>
                <w:sz w:val="20"/>
                <w:szCs w:val="20"/>
              </w:rPr>
            </w:pPr>
            <w:r>
              <w:rPr>
                <w:b/>
                <w:bCs/>
                <w:color w:val="000000"/>
                <w:sz w:val="20"/>
                <w:szCs w:val="20"/>
              </w:rPr>
              <w:t xml:space="preserve">           1,243 </w:t>
            </w:r>
          </w:p>
        </w:tc>
        <w:tc>
          <w:tcPr>
            <w:tcW w:w="1350" w:type="dxa"/>
            <w:vAlign w:val="center"/>
          </w:tcPr>
          <w:p w:rsidR="00DE436C" w:rsidRPr="000A1362" w:rsidP="00DE436C" w14:paraId="27413586" w14:textId="2DA75725">
            <w:pPr>
              <w:jc w:val="right"/>
              <w:rPr>
                <w:b/>
                <w:bCs/>
                <w:sz w:val="20"/>
                <w:szCs w:val="20"/>
              </w:rPr>
            </w:pPr>
            <w:r>
              <w:rPr>
                <w:b/>
                <w:bCs/>
                <w:color w:val="000000"/>
                <w:sz w:val="20"/>
                <w:szCs w:val="20"/>
              </w:rPr>
              <w:t>Varies</w:t>
            </w:r>
          </w:p>
        </w:tc>
        <w:tc>
          <w:tcPr>
            <w:tcW w:w="900" w:type="dxa"/>
            <w:vAlign w:val="center"/>
          </w:tcPr>
          <w:p w:rsidR="00DE436C" w:rsidRPr="000A1362" w:rsidP="00DE436C" w14:paraId="0BAF1260" w14:textId="73EA8F4C">
            <w:pPr>
              <w:jc w:val="right"/>
              <w:rPr>
                <w:b/>
                <w:bCs/>
                <w:sz w:val="20"/>
                <w:szCs w:val="20"/>
              </w:rPr>
            </w:pPr>
            <w:r>
              <w:rPr>
                <w:b/>
                <w:bCs/>
                <w:color w:val="000000"/>
                <w:sz w:val="20"/>
                <w:szCs w:val="20"/>
              </w:rPr>
              <w:t>309</w:t>
            </w:r>
          </w:p>
        </w:tc>
        <w:tc>
          <w:tcPr>
            <w:tcW w:w="1170" w:type="dxa"/>
            <w:vAlign w:val="center"/>
          </w:tcPr>
          <w:p w:rsidR="00DE436C" w:rsidRPr="000A1362" w:rsidP="00DE436C" w14:paraId="1F2C106F" w14:textId="6FFBCC61">
            <w:pPr>
              <w:jc w:val="right"/>
              <w:rPr>
                <w:b/>
                <w:bCs/>
                <w:sz w:val="20"/>
                <w:szCs w:val="20"/>
              </w:rPr>
            </w:pPr>
            <w:r>
              <w:rPr>
                <w:color w:val="000000"/>
                <w:sz w:val="20"/>
                <w:szCs w:val="20"/>
              </w:rPr>
              <w:t xml:space="preserve">$76.21 </w:t>
            </w:r>
          </w:p>
        </w:tc>
        <w:tc>
          <w:tcPr>
            <w:tcW w:w="1170" w:type="dxa"/>
            <w:vAlign w:val="center"/>
          </w:tcPr>
          <w:p w:rsidR="00DE436C" w:rsidRPr="000A1362" w:rsidP="00DE436C" w14:paraId="732DCB10" w14:textId="0D067CF1">
            <w:pPr>
              <w:jc w:val="right"/>
              <w:rPr>
                <w:b/>
                <w:bCs/>
                <w:sz w:val="20"/>
                <w:szCs w:val="20"/>
              </w:rPr>
            </w:pPr>
            <w:bookmarkStart w:id="9" w:name="RANGE!Q20"/>
            <w:r>
              <w:rPr>
                <w:b/>
                <w:bCs/>
                <w:color w:val="000000"/>
                <w:sz w:val="20"/>
                <w:szCs w:val="20"/>
              </w:rPr>
              <w:t xml:space="preserve">$23,581 </w:t>
            </w:r>
            <w:bookmarkEnd w:id="9"/>
          </w:p>
        </w:tc>
      </w:tr>
      <w:bookmarkEnd w:id="8"/>
      <w:tr w14:paraId="6906854C" w14:textId="1B5DD4FB" w:rsidTr="00A03649">
        <w:tblPrEx>
          <w:tblW w:w="10075" w:type="dxa"/>
          <w:jc w:val="center"/>
          <w:tblLayout w:type="fixed"/>
          <w:tblLook w:val="01E0"/>
        </w:tblPrEx>
        <w:trPr>
          <w:jc w:val="center"/>
        </w:trPr>
        <w:tc>
          <w:tcPr>
            <w:tcW w:w="7735" w:type="dxa"/>
            <w:gridSpan w:val="6"/>
          </w:tcPr>
          <w:p w:rsidR="008C31B4" w:rsidRPr="00A03649" w:rsidP="008C31B4" w14:paraId="3263AFB7" w14:textId="08F876BD">
            <w:pPr>
              <w:rPr>
                <w:sz w:val="20"/>
                <w:szCs w:val="20"/>
              </w:rPr>
            </w:pPr>
            <w:r w:rsidRPr="000A1362">
              <w:rPr>
                <w:sz w:val="20"/>
                <w:szCs w:val="20"/>
              </w:rPr>
              <w:t>Total Annual Responses =</w:t>
            </w:r>
            <w:r w:rsidRPr="00A03649">
              <w:rPr>
                <w:sz w:val="20"/>
                <w:szCs w:val="20"/>
              </w:rPr>
              <w:t>1,</w:t>
            </w:r>
            <w:r w:rsidR="005E2C6A">
              <w:rPr>
                <w:sz w:val="20"/>
                <w:szCs w:val="20"/>
              </w:rPr>
              <w:t>2</w:t>
            </w:r>
            <w:r w:rsidR="00273A3C">
              <w:rPr>
                <w:sz w:val="20"/>
                <w:szCs w:val="20"/>
              </w:rPr>
              <w:t>4</w:t>
            </w:r>
            <w:r w:rsidR="00BB04B2">
              <w:rPr>
                <w:sz w:val="20"/>
                <w:szCs w:val="20"/>
              </w:rPr>
              <w:t>3</w:t>
            </w:r>
            <w:r w:rsidRPr="00A03649">
              <w:rPr>
                <w:sz w:val="20"/>
                <w:szCs w:val="20"/>
              </w:rPr>
              <w:t xml:space="preserve"> and </w:t>
            </w:r>
            <w:r w:rsidR="005E2C6A">
              <w:rPr>
                <w:sz w:val="20"/>
                <w:szCs w:val="20"/>
              </w:rPr>
              <w:t>3</w:t>
            </w:r>
            <w:r w:rsidR="00BB04B2">
              <w:rPr>
                <w:sz w:val="20"/>
                <w:szCs w:val="20"/>
              </w:rPr>
              <w:t>09</w:t>
            </w:r>
            <w:r w:rsidRPr="00A03649">
              <w:rPr>
                <w:sz w:val="20"/>
                <w:szCs w:val="20"/>
              </w:rPr>
              <w:t xml:space="preserve"> hours</w:t>
            </w:r>
          </w:p>
          <w:p w:rsidR="008C31B4" w:rsidRPr="00A03649" w:rsidP="008C31B4" w14:paraId="3558CBAF" w14:textId="4399743C">
            <w:pPr>
              <w:rPr>
                <w:i/>
                <w:sz w:val="20"/>
                <w:szCs w:val="20"/>
              </w:rPr>
            </w:pPr>
            <w:r w:rsidRPr="00A03649">
              <w:rPr>
                <w:i/>
                <w:sz w:val="20"/>
                <w:szCs w:val="20"/>
              </w:rPr>
              <w:t>*(both include Recordkeeping</w:t>
            </w:r>
            <w:r w:rsidR="004336DA">
              <w:rPr>
                <w:i/>
                <w:sz w:val="20"/>
                <w:szCs w:val="20"/>
              </w:rPr>
              <w:t xml:space="preserve"> and Fringe Benefits</w:t>
            </w:r>
          </w:p>
        </w:tc>
        <w:tc>
          <w:tcPr>
            <w:tcW w:w="1170" w:type="dxa"/>
          </w:tcPr>
          <w:p w:rsidR="008C31B4" w:rsidRPr="00A03649" w:rsidP="008C31B4" w14:paraId="78CC628E" w14:textId="77777777">
            <w:pPr>
              <w:rPr>
                <w:sz w:val="20"/>
                <w:szCs w:val="20"/>
              </w:rPr>
            </w:pPr>
          </w:p>
        </w:tc>
        <w:tc>
          <w:tcPr>
            <w:tcW w:w="1170" w:type="dxa"/>
          </w:tcPr>
          <w:p w:rsidR="008C31B4" w:rsidRPr="00A03649" w:rsidP="008C31B4" w14:paraId="79C04F90" w14:textId="6B74BEE6">
            <w:pPr>
              <w:rPr>
                <w:sz w:val="20"/>
                <w:szCs w:val="20"/>
              </w:rPr>
            </w:pPr>
          </w:p>
        </w:tc>
      </w:tr>
    </w:tbl>
    <w:p w:rsidR="008C31B4" w:rsidP="00704BBE" w14:paraId="5B00FDF8" w14:textId="77777777">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FA7213" w:rsidRPr="00172688" w:rsidP="00FA7213" w14:paraId="18A904CF" w14:textId="6BC27E30">
      <w:pPr>
        <w:rPr>
          <w:szCs w:val="20"/>
        </w:rPr>
      </w:pPr>
      <w:r>
        <w:t>*</w:t>
      </w:r>
      <w:r w:rsidRPr="00172688">
        <w:rPr>
          <w:szCs w:val="20"/>
        </w:rPr>
        <w:t>Based on data from the Bureau of Labor Statistics</w:t>
      </w:r>
      <w:r>
        <w:rPr>
          <w:szCs w:val="20"/>
        </w:rPr>
        <w:t xml:space="preserve"> for</w:t>
      </w:r>
      <w:r w:rsidRPr="004F30BB" w:rsidR="004F30BB">
        <w:t xml:space="preserve"> </w:t>
      </w:r>
      <w:r w:rsidRPr="004F30BB" w:rsidR="004F30BB">
        <w:rPr>
          <w:szCs w:val="20"/>
        </w:rPr>
        <w:t>Administrative Services and Facilities Managers</w:t>
      </w:r>
      <w:r>
        <w:rPr>
          <w:szCs w:val="20"/>
        </w:rPr>
        <w:t xml:space="preserve"> </w:t>
      </w:r>
      <w:r w:rsidR="00F261B9">
        <w:rPr>
          <w:szCs w:val="20"/>
        </w:rPr>
        <w:t xml:space="preserve">provided </w:t>
      </w:r>
      <w:r w:rsidRPr="00172688">
        <w:rPr>
          <w:szCs w:val="20"/>
        </w:rPr>
        <w:t xml:space="preserve">a reasonable estimate of </w:t>
      </w:r>
      <w:r w:rsidRPr="007602D0">
        <w:rPr>
          <w:szCs w:val="20"/>
        </w:rPr>
        <w:t>$</w:t>
      </w:r>
      <w:r w:rsidR="009B2CC5">
        <w:rPr>
          <w:szCs w:val="20"/>
        </w:rPr>
        <w:t>76.21</w:t>
      </w:r>
      <w:r w:rsidR="000239A7">
        <w:rPr>
          <w:szCs w:val="20"/>
        </w:rPr>
        <w:t xml:space="preserve"> </w:t>
      </w:r>
      <w:r w:rsidRPr="00172688">
        <w:rPr>
          <w:szCs w:val="20"/>
        </w:rPr>
        <w:t xml:space="preserve">per hour </w:t>
      </w:r>
      <w:r w:rsidRPr="00F956B5" w:rsidR="004F30BB">
        <w:t>(which incl</w:t>
      </w:r>
      <w:r w:rsidRPr="00F956B5" w:rsidR="004F30BB">
        <w:t xml:space="preserve">udes </w:t>
      </w:r>
      <w:r w:rsidR="006A193C">
        <w:t xml:space="preserve">fringe </w:t>
      </w:r>
      <w:r w:rsidRPr="00F956B5" w:rsidR="004F30BB">
        <w:t xml:space="preserve">benefits of </w:t>
      </w:r>
      <w:r w:rsidR="006A193C">
        <w:t>30</w:t>
      </w:r>
      <w:r w:rsidRPr="00F956B5" w:rsidR="004F30BB">
        <w:t xml:space="preserve">%) per hour has been used as the average cost for respondents' program participation. </w:t>
      </w:r>
      <w:r w:rsidRPr="00172688">
        <w:rPr>
          <w:szCs w:val="20"/>
        </w:rPr>
        <w:t>The total annual</w:t>
      </w:r>
      <w:r>
        <w:rPr>
          <w:szCs w:val="20"/>
        </w:rPr>
        <w:t xml:space="preserve"> estimated</w:t>
      </w:r>
      <w:r w:rsidRPr="00172688">
        <w:rPr>
          <w:szCs w:val="20"/>
        </w:rPr>
        <w:t xml:space="preserve"> burden in dollars </w:t>
      </w:r>
      <w:r w:rsidR="00EB68D7">
        <w:rPr>
          <w:szCs w:val="20"/>
        </w:rPr>
        <w:t xml:space="preserve">for FY25 </w:t>
      </w:r>
      <w:r w:rsidRPr="00172688">
        <w:rPr>
          <w:szCs w:val="20"/>
        </w:rPr>
        <w:t>is</w:t>
      </w:r>
      <w:r>
        <w:rPr>
          <w:szCs w:val="20"/>
        </w:rPr>
        <w:t xml:space="preserve"> </w:t>
      </w:r>
      <w:r w:rsidR="007C3BA1">
        <w:rPr>
          <w:szCs w:val="20"/>
        </w:rPr>
        <w:t>$</w:t>
      </w:r>
      <w:r w:rsidR="00DE436C">
        <w:rPr>
          <w:szCs w:val="20"/>
        </w:rPr>
        <w:t>23,581</w:t>
      </w:r>
      <w:r>
        <w:rPr>
          <w:szCs w:val="20"/>
        </w:rPr>
        <w:t xml:space="preserve">. </w:t>
      </w:r>
      <w:r w:rsidRPr="00172688">
        <w:rPr>
          <w:szCs w:val="20"/>
        </w:rPr>
        <w:t xml:space="preserve"> </w:t>
      </w:r>
    </w:p>
    <w:p w:rsidR="00FA7213" w:rsidP="007F2C22" w14:paraId="272A4986" w14:textId="77777777">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00C04518" w:rsidP="00C04518" w14:paraId="1C5368BB" w14:textId="77777777">
      <w:pPr>
        <w:rPr>
          <w:b/>
          <w:bCs/>
        </w:rPr>
      </w:pPr>
      <w:r w:rsidRPr="007F2C22">
        <w:rPr>
          <w:b/>
        </w:rPr>
        <w:t xml:space="preserve">13.  </w:t>
      </w:r>
      <w:r w:rsidRPr="00C04518">
        <w:rPr>
          <w:b/>
          <w:bCs/>
        </w:rPr>
        <w:t xml:space="preserve"> </w:t>
      </w:r>
      <w:r>
        <w:rPr>
          <w:b/>
          <w:bCs/>
        </w:rPr>
        <w:t>Provide an estimate of the total annual cost burden to respondents or recordkeepers resulting from the collection of information.  (Do not include the cost of any hour burden shown in Items 12 and 14).</w:t>
      </w:r>
    </w:p>
    <w:p w:rsidR="00C04518" w:rsidP="00C04518" w14:paraId="46E5999C" w14:textId="77777777">
      <w:pPr>
        <w:rPr>
          <w:b/>
          <w:bCs/>
        </w:rPr>
      </w:pPr>
    </w:p>
    <w:p w:rsidR="00C04518" w:rsidRPr="00065F46" w:rsidP="00C04518" w14:paraId="7142E10B" w14:textId="77777777">
      <w:pPr>
        <w:pStyle w:val="ListParagraph"/>
        <w:numPr>
          <w:ilvl w:val="0"/>
          <w:numId w:val="3"/>
        </w:numPr>
        <w:rPr>
          <w:b/>
          <w:bCs/>
        </w:rPr>
      </w:pPr>
      <w:r w:rsidRPr="00065F46">
        <w:rPr>
          <w:b/>
          <w:bCs/>
        </w:rPr>
        <w:t xml:space="preserve">The cost estimate should be split into two components: (a) a capital and start–up cost component (annualized over its expected useful life); and (b) a total operation and maintenance and purchase of services component.  The estimates should </w:t>
      </w:r>
      <w:r w:rsidRPr="00065F46">
        <w:rPr>
          <w:b/>
          <w:bCs/>
        </w:rPr>
        <w:t>take into account</w:t>
      </w:r>
      <w:r w:rsidRPr="00065F46">
        <w:rPr>
          <w:b/>
          <w:bCs/>
        </w:rPr>
        <w:t xml:space="preserve"> costs associated with generating, maintaining, and disclosing or providing the information.  Include descriptions of the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collection information such as purchasing computers and software; monitoring, sampling, drilling and testing equipment; and record storage facilities.</w:t>
      </w:r>
    </w:p>
    <w:p w:rsidR="00C04518" w:rsidP="00C04518" w14:paraId="2DC04800" w14:textId="77777777">
      <w:pPr>
        <w:rPr>
          <w:b/>
          <w:bCs/>
        </w:rPr>
      </w:pPr>
    </w:p>
    <w:p w:rsidR="00C04518" w:rsidP="00C04518" w14:paraId="4496FC25" w14:textId="77777777">
      <w:pPr>
        <w:pStyle w:val="ListParagraph"/>
        <w:numPr>
          <w:ilvl w:val="0"/>
          <w:numId w:val="3"/>
        </w:numPr>
        <w:rPr>
          <w:b/>
          <w:bCs/>
        </w:rPr>
      </w:pPr>
      <w:r w:rsidRPr="00065F46">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04518" w:rsidRPr="00065F46" w:rsidP="00C04518" w14:paraId="6F53F09A" w14:textId="77777777">
      <w:pPr>
        <w:pStyle w:val="ListParagraph"/>
        <w:rPr>
          <w:b/>
          <w:bCs/>
        </w:rPr>
      </w:pPr>
    </w:p>
    <w:p w:rsidR="00C04518" w:rsidP="00C04518" w14:paraId="024249FF" w14:textId="77777777">
      <w:pPr>
        <w:pStyle w:val="ListParagraph"/>
        <w:numPr>
          <w:ilvl w:val="0"/>
          <w:numId w:val="3"/>
        </w:numPr>
      </w:pPr>
      <w:r w:rsidRPr="00065F46">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w:t>
      </w:r>
      <w:r w:rsidRPr="00EC5CAB">
        <w:rPr>
          <w:b/>
          <w:bCs/>
        </w:rPr>
        <w:t xml:space="preserve"> (4) as part of customary and usual business or private practices.</w:t>
      </w:r>
    </w:p>
    <w:p w:rsidR="00052711" w:rsidRPr="007F2C22" w:rsidP="007F2C22" w14:paraId="441D6D77" w14:textId="77777777">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00052711" w:rsidP="00344992" w14:paraId="37FD400E" w14:textId="61C43D32">
      <w:pPr>
        <w:pStyle w:val="PlainText"/>
        <w:rPr>
          <w:rFonts w:ascii="Times New Roman" w:hAnsi="Times New Roman" w:cs="Times New Roman"/>
          <w:sz w:val="24"/>
          <w:szCs w:val="24"/>
        </w:rPr>
      </w:pPr>
      <w:r w:rsidRPr="00B90EC7">
        <w:rPr>
          <w:rFonts w:ascii="Times New Roman" w:hAnsi="Times New Roman" w:cs="Times New Roman"/>
          <w:sz w:val="24"/>
          <w:szCs w:val="24"/>
        </w:rPr>
        <w:t>There are no capital/start–up or ongoing operation/maintenance costs associated with this information collection.</w:t>
      </w:r>
    </w:p>
    <w:p w:rsidR="00052711" w:rsidP="00344992" w14:paraId="098F310E" w14:textId="2D15011A">
      <w:pPr>
        <w:pStyle w:val="PlainText"/>
        <w:rPr>
          <w:rFonts w:ascii="Times New Roman" w:hAnsi="Times New Roman" w:cs="Times New Roman"/>
          <w:sz w:val="24"/>
          <w:szCs w:val="24"/>
        </w:rPr>
      </w:pPr>
    </w:p>
    <w:p w:rsidR="00052711" w:rsidRPr="00D4158F" w:rsidP="00344992" w14:paraId="5559A300"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14</w:t>
      </w:r>
      <w:r w:rsidRPr="00D4158F">
        <w:rPr>
          <w:rFonts w:ascii="Times New Roman" w:hAnsi="Times New Roman" w:cs="Times New Roman"/>
          <w:b/>
          <w:sz w:val="24"/>
          <w:szCs w:val="24"/>
        </w:rPr>
        <w:t xml:space="preserve">.  </w:t>
      </w:r>
      <w:r w:rsidRPr="00D4158F" w:rsidR="00C04518">
        <w:rPr>
          <w:rFonts w:ascii="Times New Roman" w:hAnsi="Times New Roman" w:cs="Times New Roman"/>
          <w:b/>
          <w:bCs/>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52711" w:rsidP="00704BBE" w14:paraId="6ACF2AB0" w14:textId="02A66773">
      <w:pPr>
        <w:pStyle w:val="PlainText"/>
        <w:rPr>
          <w:rFonts w:ascii="Times New Roman" w:hAnsi="Times New Roman" w:cs="Times New Roman"/>
          <w:sz w:val="24"/>
          <w:szCs w:val="24"/>
        </w:rPr>
      </w:pPr>
    </w:p>
    <w:tbl>
      <w:tblPr>
        <w:tblW w:w="9280" w:type="dxa"/>
        <w:tblLook w:val="04A0"/>
      </w:tblPr>
      <w:tblGrid>
        <w:gridCol w:w="1428"/>
        <w:gridCol w:w="1306"/>
        <w:gridCol w:w="1138"/>
        <w:gridCol w:w="1119"/>
        <w:gridCol w:w="1228"/>
        <w:gridCol w:w="988"/>
        <w:gridCol w:w="1082"/>
        <w:gridCol w:w="991"/>
      </w:tblGrid>
      <w:tr w14:paraId="33AC9AF5" w14:textId="77777777" w:rsidTr="00F50058">
        <w:tblPrEx>
          <w:tblW w:w="9280" w:type="dxa"/>
          <w:tblLook w:val="04A0"/>
        </w:tblPrEx>
        <w:trPr>
          <w:trHeight w:val="1068"/>
        </w:trPr>
        <w:tc>
          <w:tcPr>
            <w:tcW w:w="1241" w:type="dxa"/>
            <w:tcBorders>
              <w:top w:val="single" w:sz="8" w:space="0" w:color="auto"/>
              <w:left w:val="single" w:sz="8" w:space="0" w:color="auto"/>
              <w:bottom w:val="single" w:sz="8" w:space="0" w:color="auto"/>
              <w:right w:val="single" w:sz="4" w:space="0" w:color="auto"/>
            </w:tcBorders>
            <w:vAlign w:val="center"/>
            <w:hideMark/>
          </w:tcPr>
          <w:p w:rsidR="00F50058" w14:paraId="731748B7" w14:textId="77777777">
            <w:pPr>
              <w:jc w:val="center"/>
              <w:rPr>
                <w:b/>
                <w:bCs/>
                <w:color w:val="000000"/>
                <w:sz w:val="20"/>
                <w:szCs w:val="20"/>
              </w:rPr>
            </w:pPr>
            <w:r>
              <w:rPr>
                <w:b/>
                <w:bCs/>
                <w:color w:val="000000"/>
                <w:sz w:val="20"/>
                <w:szCs w:val="20"/>
              </w:rPr>
              <w:t>Activity</w:t>
            </w:r>
          </w:p>
        </w:tc>
        <w:tc>
          <w:tcPr>
            <w:tcW w:w="1158" w:type="dxa"/>
            <w:tcBorders>
              <w:top w:val="single" w:sz="8" w:space="0" w:color="auto"/>
              <w:left w:val="nil"/>
              <w:bottom w:val="single" w:sz="8" w:space="0" w:color="auto"/>
              <w:right w:val="single" w:sz="4" w:space="0" w:color="auto"/>
            </w:tcBorders>
            <w:vAlign w:val="center"/>
            <w:hideMark/>
          </w:tcPr>
          <w:p w:rsidR="00F50058" w14:paraId="5F4D7F67" w14:textId="77777777">
            <w:pPr>
              <w:jc w:val="center"/>
              <w:rPr>
                <w:b/>
                <w:bCs/>
                <w:color w:val="000000"/>
                <w:sz w:val="20"/>
                <w:szCs w:val="20"/>
              </w:rPr>
            </w:pPr>
            <w:r>
              <w:rPr>
                <w:b/>
                <w:bCs/>
                <w:color w:val="000000"/>
                <w:sz w:val="20"/>
                <w:szCs w:val="20"/>
              </w:rPr>
              <w:t>No. of Respondents</w:t>
            </w:r>
          </w:p>
        </w:tc>
        <w:tc>
          <w:tcPr>
            <w:tcW w:w="1151" w:type="dxa"/>
            <w:tcBorders>
              <w:top w:val="single" w:sz="8" w:space="0" w:color="auto"/>
              <w:left w:val="nil"/>
              <w:bottom w:val="single" w:sz="8" w:space="0" w:color="auto"/>
              <w:right w:val="single" w:sz="4" w:space="0" w:color="auto"/>
            </w:tcBorders>
            <w:vAlign w:val="center"/>
            <w:hideMark/>
          </w:tcPr>
          <w:p w:rsidR="00F50058" w14:paraId="3B1D740D" w14:textId="77777777">
            <w:pPr>
              <w:jc w:val="center"/>
              <w:rPr>
                <w:b/>
                <w:bCs/>
                <w:color w:val="000000"/>
                <w:sz w:val="20"/>
                <w:szCs w:val="20"/>
              </w:rPr>
            </w:pPr>
            <w:r>
              <w:rPr>
                <w:b/>
                <w:bCs/>
                <w:color w:val="000000"/>
                <w:sz w:val="20"/>
                <w:szCs w:val="20"/>
              </w:rPr>
              <w:t>Frequency of Responses</w:t>
            </w:r>
          </w:p>
        </w:tc>
        <w:tc>
          <w:tcPr>
            <w:tcW w:w="1149" w:type="dxa"/>
            <w:tcBorders>
              <w:top w:val="single" w:sz="8" w:space="0" w:color="auto"/>
              <w:left w:val="nil"/>
              <w:bottom w:val="single" w:sz="8" w:space="0" w:color="auto"/>
              <w:right w:val="single" w:sz="4" w:space="0" w:color="auto"/>
            </w:tcBorders>
            <w:vAlign w:val="center"/>
            <w:hideMark/>
          </w:tcPr>
          <w:p w:rsidR="00F50058" w14:paraId="73F9E432" w14:textId="77777777">
            <w:pPr>
              <w:jc w:val="center"/>
              <w:rPr>
                <w:b/>
                <w:bCs/>
                <w:color w:val="000000"/>
                <w:sz w:val="20"/>
                <w:szCs w:val="20"/>
              </w:rPr>
            </w:pPr>
            <w:r>
              <w:rPr>
                <w:b/>
                <w:bCs/>
                <w:color w:val="000000"/>
                <w:sz w:val="20"/>
                <w:szCs w:val="20"/>
              </w:rPr>
              <w:t>Total Annual Responses (A*B)</w:t>
            </w:r>
          </w:p>
        </w:tc>
        <w:tc>
          <w:tcPr>
            <w:tcW w:w="1155" w:type="dxa"/>
            <w:tcBorders>
              <w:top w:val="single" w:sz="8" w:space="0" w:color="auto"/>
              <w:left w:val="nil"/>
              <w:bottom w:val="single" w:sz="8" w:space="0" w:color="auto"/>
              <w:right w:val="single" w:sz="4" w:space="0" w:color="auto"/>
            </w:tcBorders>
            <w:vAlign w:val="center"/>
            <w:hideMark/>
          </w:tcPr>
          <w:p w:rsidR="00F50058" w14:paraId="54B44B52" w14:textId="77777777">
            <w:pPr>
              <w:jc w:val="center"/>
              <w:rPr>
                <w:b/>
                <w:bCs/>
                <w:color w:val="000000"/>
                <w:sz w:val="20"/>
                <w:szCs w:val="20"/>
              </w:rPr>
            </w:pPr>
            <w:r>
              <w:rPr>
                <w:b/>
                <w:bCs/>
                <w:color w:val="000000"/>
                <w:sz w:val="20"/>
                <w:szCs w:val="20"/>
              </w:rPr>
              <w:t>Average Hours per Respondent</w:t>
            </w:r>
          </w:p>
        </w:tc>
        <w:tc>
          <w:tcPr>
            <w:tcW w:w="1139" w:type="dxa"/>
            <w:tcBorders>
              <w:top w:val="single" w:sz="8" w:space="0" w:color="auto"/>
              <w:left w:val="nil"/>
              <w:bottom w:val="single" w:sz="8" w:space="0" w:color="auto"/>
              <w:right w:val="single" w:sz="4" w:space="0" w:color="auto"/>
            </w:tcBorders>
            <w:vAlign w:val="center"/>
            <w:hideMark/>
          </w:tcPr>
          <w:p w:rsidR="00F50058" w14:paraId="23BA7E0E" w14:textId="77777777">
            <w:pPr>
              <w:jc w:val="center"/>
              <w:rPr>
                <w:b/>
                <w:bCs/>
                <w:color w:val="000000"/>
                <w:sz w:val="20"/>
                <w:szCs w:val="20"/>
              </w:rPr>
            </w:pPr>
            <w:r>
              <w:rPr>
                <w:b/>
                <w:bCs/>
                <w:color w:val="000000"/>
                <w:sz w:val="20"/>
                <w:szCs w:val="20"/>
              </w:rPr>
              <w:t>Total Annual Burden Hours</w:t>
            </w:r>
          </w:p>
        </w:tc>
        <w:tc>
          <w:tcPr>
            <w:tcW w:w="1147" w:type="dxa"/>
            <w:tcBorders>
              <w:top w:val="single" w:sz="8" w:space="0" w:color="auto"/>
              <w:left w:val="nil"/>
              <w:bottom w:val="single" w:sz="8" w:space="0" w:color="auto"/>
              <w:right w:val="single" w:sz="4" w:space="0" w:color="auto"/>
            </w:tcBorders>
            <w:vAlign w:val="center"/>
            <w:hideMark/>
          </w:tcPr>
          <w:p w:rsidR="00F50058" w14:paraId="44829CD4" w14:textId="77777777">
            <w:pPr>
              <w:jc w:val="center"/>
              <w:rPr>
                <w:b/>
                <w:bCs/>
                <w:color w:val="000000"/>
                <w:sz w:val="20"/>
                <w:szCs w:val="20"/>
              </w:rPr>
            </w:pPr>
            <w:r>
              <w:rPr>
                <w:b/>
                <w:bCs/>
                <w:color w:val="000000"/>
                <w:sz w:val="20"/>
                <w:szCs w:val="20"/>
              </w:rPr>
              <w:t>**Hourly Rate</w:t>
            </w:r>
          </w:p>
        </w:tc>
        <w:tc>
          <w:tcPr>
            <w:tcW w:w="1140" w:type="dxa"/>
            <w:tcBorders>
              <w:top w:val="single" w:sz="8" w:space="0" w:color="auto"/>
              <w:left w:val="nil"/>
              <w:bottom w:val="single" w:sz="8" w:space="0" w:color="auto"/>
              <w:right w:val="single" w:sz="8" w:space="0" w:color="auto"/>
            </w:tcBorders>
            <w:vAlign w:val="center"/>
            <w:hideMark/>
          </w:tcPr>
          <w:p w:rsidR="00F50058" w14:paraId="61C73E44" w14:textId="77777777">
            <w:pPr>
              <w:jc w:val="center"/>
              <w:rPr>
                <w:b/>
                <w:bCs/>
                <w:color w:val="000000"/>
                <w:sz w:val="20"/>
                <w:szCs w:val="20"/>
              </w:rPr>
            </w:pPr>
            <w:r>
              <w:rPr>
                <w:b/>
                <w:bCs/>
                <w:color w:val="000000"/>
                <w:sz w:val="20"/>
                <w:szCs w:val="20"/>
              </w:rPr>
              <w:t>Fed Gov. Annual Costs</w:t>
            </w:r>
          </w:p>
        </w:tc>
      </w:tr>
      <w:tr w14:paraId="68C476A0" w14:textId="77777777" w:rsidTr="00F50058">
        <w:tblPrEx>
          <w:tblW w:w="9280" w:type="dxa"/>
          <w:tblLook w:val="04A0"/>
        </w:tblPrEx>
        <w:trPr>
          <w:trHeight w:val="276"/>
        </w:trPr>
        <w:tc>
          <w:tcPr>
            <w:tcW w:w="1241" w:type="dxa"/>
            <w:tcBorders>
              <w:top w:val="nil"/>
              <w:left w:val="single" w:sz="4" w:space="0" w:color="auto"/>
              <w:bottom w:val="single" w:sz="4" w:space="0" w:color="auto"/>
              <w:right w:val="single" w:sz="4" w:space="0" w:color="auto"/>
            </w:tcBorders>
            <w:vAlign w:val="center"/>
            <w:hideMark/>
          </w:tcPr>
          <w:p w:rsidR="00F50058" w14:paraId="7FC18430" w14:textId="77777777">
            <w:pPr>
              <w:rPr>
                <w:color w:val="000000"/>
                <w:sz w:val="20"/>
                <w:szCs w:val="20"/>
              </w:rPr>
            </w:pPr>
            <w:r>
              <w:rPr>
                <w:color w:val="000000"/>
                <w:sz w:val="20"/>
                <w:szCs w:val="20"/>
              </w:rPr>
              <w:t>Applications</w:t>
            </w:r>
          </w:p>
        </w:tc>
        <w:tc>
          <w:tcPr>
            <w:tcW w:w="1158" w:type="dxa"/>
            <w:tcBorders>
              <w:top w:val="nil"/>
              <w:left w:val="nil"/>
              <w:bottom w:val="single" w:sz="4" w:space="0" w:color="auto"/>
              <w:right w:val="single" w:sz="4" w:space="0" w:color="auto"/>
            </w:tcBorders>
            <w:vAlign w:val="center"/>
            <w:hideMark/>
          </w:tcPr>
          <w:p w:rsidR="00F50058" w14:paraId="3DF927D0" w14:textId="77777777">
            <w:pPr>
              <w:jc w:val="right"/>
              <w:rPr>
                <w:color w:val="000000"/>
                <w:sz w:val="20"/>
                <w:szCs w:val="20"/>
              </w:rPr>
            </w:pPr>
            <w:r>
              <w:rPr>
                <w:color w:val="000000"/>
                <w:sz w:val="20"/>
                <w:szCs w:val="20"/>
              </w:rPr>
              <w:t>1</w:t>
            </w:r>
          </w:p>
        </w:tc>
        <w:tc>
          <w:tcPr>
            <w:tcW w:w="1151" w:type="dxa"/>
            <w:tcBorders>
              <w:top w:val="nil"/>
              <w:left w:val="nil"/>
              <w:bottom w:val="single" w:sz="4" w:space="0" w:color="auto"/>
              <w:right w:val="single" w:sz="4" w:space="0" w:color="auto"/>
            </w:tcBorders>
            <w:vAlign w:val="center"/>
            <w:hideMark/>
          </w:tcPr>
          <w:p w:rsidR="00F50058" w14:paraId="1A793281" w14:textId="77777777">
            <w:pPr>
              <w:jc w:val="right"/>
              <w:rPr>
                <w:color w:val="000000"/>
                <w:sz w:val="20"/>
                <w:szCs w:val="20"/>
              </w:rPr>
            </w:pPr>
            <w:r>
              <w:rPr>
                <w:color w:val="000000"/>
                <w:sz w:val="20"/>
                <w:szCs w:val="20"/>
              </w:rPr>
              <w:t>1</w:t>
            </w:r>
          </w:p>
        </w:tc>
        <w:tc>
          <w:tcPr>
            <w:tcW w:w="1149" w:type="dxa"/>
            <w:tcBorders>
              <w:top w:val="nil"/>
              <w:left w:val="nil"/>
              <w:bottom w:val="single" w:sz="4" w:space="0" w:color="auto"/>
              <w:right w:val="single" w:sz="4" w:space="0" w:color="auto"/>
            </w:tcBorders>
            <w:vAlign w:val="center"/>
            <w:hideMark/>
          </w:tcPr>
          <w:p w:rsidR="00F50058" w14:paraId="36932D78" w14:textId="77777777">
            <w:pPr>
              <w:jc w:val="right"/>
              <w:rPr>
                <w:color w:val="000000"/>
                <w:sz w:val="20"/>
                <w:szCs w:val="20"/>
              </w:rPr>
            </w:pPr>
            <w:r>
              <w:rPr>
                <w:color w:val="000000"/>
                <w:sz w:val="20"/>
                <w:szCs w:val="20"/>
              </w:rPr>
              <w:t>1</w:t>
            </w:r>
          </w:p>
        </w:tc>
        <w:tc>
          <w:tcPr>
            <w:tcW w:w="1155" w:type="dxa"/>
            <w:tcBorders>
              <w:top w:val="nil"/>
              <w:left w:val="nil"/>
              <w:bottom w:val="single" w:sz="4" w:space="0" w:color="auto"/>
              <w:right w:val="single" w:sz="4" w:space="0" w:color="auto"/>
            </w:tcBorders>
            <w:vAlign w:val="center"/>
            <w:hideMark/>
          </w:tcPr>
          <w:p w:rsidR="00F50058" w14:paraId="47442DAF" w14:textId="77777777">
            <w:pPr>
              <w:jc w:val="right"/>
              <w:rPr>
                <w:color w:val="000000"/>
                <w:sz w:val="20"/>
                <w:szCs w:val="20"/>
              </w:rPr>
            </w:pPr>
            <w:r>
              <w:rPr>
                <w:color w:val="000000"/>
                <w:sz w:val="20"/>
                <w:szCs w:val="20"/>
              </w:rPr>
              <w:t>20</w:t>
            </w:r>
          </w:p>
        </w:tc>
        <w:tc>
          <w:tcPr>
            <w:tcW w:w="1139" w:type="dxa"/>
            <w:tcBorders>
              <w:top w:val="nil"/>
              <w:left w:val="nil"/>
              <w:bottom w:val="single" w:sz="4" w:space="0" w:color="auto"/>
              <w:right w:val="single" w:sz="4" w:space="0" w:color="auto"/>
            </w:tcBorders>
            <w:vAlign w:val="center"/>
            <w:hideMark/>
          </w:tcPr>
          <w:p w:rsidR="00F50058" w14:paraId="1D996B4B" w14:textId="77777777">
            <w:pPr>
              <w:jc w:val="right"/>
              <w:rPr>
                <w:color w:val="000000"/>
                <w:sz w:val="20"/>
                <w:szCs w:val="20"/>
              </w:rPr>
            </w:pPr>
            <w:r>
              <w:rPr>
                <w:color w:val="000000"/>
                <w:sz w:val="20"/>
                <w:szCs w:val="20"/>
              </w:rPr>
              <w:t>20</w:t>
            </w:r>
          </w:p>
        </w:tc>
        <w:tc>
          <w:tcPr>
            <w:tcW w:w="1147" w:type="dxa"/>
            <w:tcBorders>
              <w:top w:val="nil"/>
              <w:left w:val="nil"/>
              <w:bottom w:val="single" w:sz="4" w:space="0" w:color="auto"/>
              <w:right w:val="single" w:sz="4" w:space="0" w:color="auto"/>
            </w:tcBorders>
            <w:vAlign w:val="center"/>
            <w:hideMark/>
          </w:tcPr>
          <w:p w:rsidR="00F50058" w14:paraId="21B5D21F" w14:textId="77777777">
            <w:pPr>
              <w:jc w:val="right"/>
              <w:rPr>
                <w:color w:val="000000"/>
                <w:sz w:val="20"/>
                <w:szCs w:val="20"/>
              </w:rPr>
            </w:pPr>
            <w:r>
              <w:rPr>
                <w:color w:val="000000"/>
                <w:sz w:val="20"/>
                <w:szCs w:val="20"/>
              </w:rPr>
              <w:t xml:space="preserve">$90.77 </w:t>
            </w:r>
          </w:p>
        </w:tc>
        <w:tc>
          <w:tcPr>
            <w:tcW w:w="1140" w:type="dxa"/>
            <w:tcBorders>
              <w:top w:val="nil"/>
              <w:left w:val="nil"/>
              <w:bottom w:val="single" w:sz="4" w:space="0" w:color="auto"/>
              <w:right w:val="single" w:sz="4" w:space="0" w:color="auto"/>
            </w:tcBorders>
            <w:vAlign w:val="center"/>
            <w:hideMark/>
          </w:tcPr>
          <w:p w:rsidR="00F50058" w14:paraId="574AB9BD" w14:textId="77777777">
            <w:pPr>
              <w:jc w:val="right"/>
              <w:rPr>
                <w:color w:val="000000"/>
                <w:sz w:val="20"/>
                <w:szCs w:val="20"/>
              </w:rPr>
            </w:pPr>
            <w:r>
              <w:rPr>
                <w:color w:val="000000"/>
                <w:sz w:val="20"/>
                <w:szCs w:val="20"/>
              </w:rPr>
              <w:t xml:space="preserve">$1,815 </w:t>
            </w:r>
          </w:p>
        </w:tc>
      </w:tr>
      <w:tr w14:paraId="40852E51" w14:textId="77777777" w:rsidTr="00F50058">
        <w:tblPrEx>
          <w:tblW w:w="9280" w:type="dxa"/>
          <w:tblLook w:val="04A0"/>
        </w:tblPrEx>
        <w:trPr>
          <w:trHeight w:val="276"/>
        </w:trPr>
        <w:tc>
          <w:tcPr>
            <w:tcW w:w="1241" w:type="dxa"/>
            <w:tcBorders>
              <w:top w:val="nil"/>
              <w:left w:val="single" w:sz="4" w:space="0" w:color="auto"/>
              <w:bottom w:val="single" w:sz="4" w:space="0" w:color="auto"/>
              <w:right w:val="single" w:sz="4" w:space="0" w:color="auto"/>
            </w:tcBorders>
            <w:vAlign w:val="center"/>
            <w:hideMark/>
          </w:tcPr>
          <w:p w:rsidR="00F50058" w14:paraId="5407D8B3" w14:textId="77777777">
            <w:pPr>
              <w:rPr>
                <w:color w:val="000000"/>
                <w:sz w:val="20"/>
                <w:szCs w:val="20"/>
              </w:rPr>
            </w:pPr>
            <w:r>
              <w:rPr>
                <w:color w:val="000000"/>
                <w:sz w:val="20"/>
                <w:szCs w:val="20"/>
              </w:rPr>
              <w:t xml:space="preserve">Reporting </w:t>
            </w:r>
          </w:p>
        </w:tc>
        <w:tc>
          <w:tcPr>
            <w:tcW w:w="1158" w:type="dxa"/>
            <w:tcBorders>
              <w:top w:val="nil"/>
              <w:left w:val="nil"/>
              <w:bottom w:val="single" w:sz="4" w:space="0" w:color="auto"/>
              <w:right w:val="single" w:sz="4" w:space="0" w:color="auto"/>
            </w:tcBorders>
            <w:vAlign w:val="center"/>
            <w:hideMark/>
          </w:tcPr>
          <w:p w:rsidR="00F50058" w14:paraId="4C113F8A" w14:textId="77777777">
            <w:pPr>
              <w:jc w:val="right"/>
              <w:rPr>
                <w:color w:val="000000"/>
                <w:sz w:val="20"/>
                <w:szCs w:val="20"/>
              </w:rPr>
            </w:pPr>
            <w:r>
              <w:rPr>
                <w:color w:val="000000"/>
                <w:sz w:val="20"/>
                <w:szCs w:val="20"/>
              </w:rPr>
              <w:t>129</w:t>
            </w:r>
          </w:p>
        </w:tc>
        <w:tc>
          <w:tcPr>
            <w:tcW w:w="1151" w:type="dxa"/>
            <w:tcBorders>
              <w:top w:val="nil"/>
              <w:left w:val="nil"/>
              <w:bottom w:val="single" w:sz="4" w:space="0" w:color="auto"/>
              <w:right w:val="single" w:sz="4" w:space="0" w:color="auto"/>
            </w:tcBorders>
            <w:vAlign w:val="center"/>
            <w:hideMark/>
          </w:tcPr>
          <w:p w:rsidR="00F50058" w14:paraId="4CBF7C48" w14:textId="77777777">
            <w:pPr>
              <w:jc w:val="right"/>
              <w:rPr>
                <w:color w:val="000000"/>
                <w:sz w:val="20"/>
                <w:szCs w:val="20"/>
              </w:rPr>
            </w:pPr>
            <w:r>
              <w:rPr>
                <w:color w:val="000000"/>
                <w:sz w:val="20"/>
                <w:szCs w:val="20"/>
              </w:rPr>
              <w:t>8.3</w:t>
            </w:r>
          </w:p>
        </w:tc>
        <w:tc>
          <w:tcPr>
            <w:tcW w:w="1149" w:type="dxa"/>
            <w:tcBorders>
              <w:top w:val="nil"/>
              <w:left w:val="nil"/>
              <w:bottom w:val="single" w:sz="4" w:space="0" w:color="auto"/>
              <w:right w:val="single" w:sz="4" w:space="0" w:color="auto"/>
            </w:tcBorders>
            <w:vAlign w:val="center"/>
            <w:hideMark/>
          </w:tcPr>
          <w:p w:rsidR="00F50058" w14:paraId="690FA641" w14:textId="77777777">
            <w:pPr>
              <w:jc w:val="right"/>
              <w:rPr>
                <w:color w:val="000000"/>
                <w:sz w:val="20"/>
                <w:szCs w:val="20"/>
              </w:rPr>
            </w:pPr>
            <w:r>
              <w:rPr>
                <w:color w:val="000000"/>
                <w:sz w:val="20"/>
                <w:szCs w:val="20"/>
              </w:rPr>
              <w:t>1,071</w:t>
            </w:r>
          </w:p>
        </w:tc>
        <w:tc>
          <w:tcPr>
            <w:tcW w:w="1155" w:type="dxa"/>
            <w:tcBorders>
              <w:top w:val="nil"/>
              <w:left w:val="nil"/>
              <w:bottom w:val="single" w:sz="4" w:space="0" w:color="auto"/>
              <w:right w:val="single" w:sz="4" w:space="0" w:color="auto"/>
            </w:tcBorders>
            <w:vAlign w:val="center"/>
            <w:hideMark/>
          </w:tcPr>
          <w:p w:rsidR="00F50058" w14:paraId="1869EC20" w14:textId="77777777">
            <w:pPr>
              <w:jc w:val="right"/>
              <w:rPr>
                <w:color w:val="000000"/>
                <w:sz w:val="20"/>
                <w:szCs w:val="20"/>
              </w:rPr>
            </w:pPr>
            <w:r>
              <w:rPr>
                <w:color w:val="000000"/>
                <w:sz w:val="20"/>
                <w:szCs w:val="20"/>
              </w:rPr>
              <w:t>0.21</w:t>
            </w:r>
          </w:p>
        </w:tc>
        <w:tc>
          <w:tcPr>
            <w:tcW w:w="1139" w:type="dxa"/>
            <w:tcBorders>
              <w:top w:val="nil"/>
              <w:left w:val="nil"/>
              <w:bottom w:val="single" w:sz="4" w:space="0" w:color="auto"/>
              <w:right w:val="single" w:sz="4" w:space="0" w:color="auto"/>
            </w:tcBorders>
            <w:vAlign w:val="center"/>
            <w:hideMark/>
          </w:tcPr>
          <w:p w:rsidR="00F50058" w14:paraId="3294394E" w14:textId="77777777">
            <w:pPr>
              <w:jc w:val="right"/>
              <w:rPr>
                <w:color w:val="000000"/>
                <w:sz w:val="20"/>
                <w:szCs w:val="20"/>
              </w:rPr>
            </w:pPr>
            <w:r>
              <w:rPr>
                <w:color w:val="000000"/>
                <w:sz w:val="20"/>
                <w:szCs w:val="20"/>
              </w:rPr>
              <w:t>225</w:t>
            </w:r>
          </w:p>
        </w:tc>
        <w:tc>
          <w:tcPr>
            <w:tcW w:w="1147" w:type="dxa"/>
            <w:tcBorders>
              <w:top w:val="nil"/>
              <w:left w:val="nil"/>
              <w:bottom w:val="single" w:sz="4" w:space="0" w:color="auto"/>
              <w:right w:val="single" w:sz="4" w:space="0" w:color="auto"/>
            </w:tcBorders>
            <w:vAlign w:val="center"/>
            <w:hideMark/>
          </w:tcPr>
          <w:p w:rsidR="00F50058" w14:paraId="7B672938" w14:textId="77777777">
            <w:pPr>
              <w:jc w:val="right"/>
              <w:rPr>
                <w:color w:val="000000"/>
                <w:sz w:val="20"/>
                <w:szCs w:val="20"/>
              </w:rPr>
            </w:pPr>
            <w:r>
              <w:rPr>
                <w:color w:val="000000"/>
                <w:sz w:val="20"/>
                <w:szCs w:val="20"/>
              </w:rPr>
              <w:t xml:space="preserve">$89.04 </w:t>
            </w:r>
          </w:p>
        </w:tc>
        <w:tc>
          <w:tcPr>
            <w:tcW w:w="1140" w:type="dxa"/>
            <w:tcBorders>
              <w:top w:val="nil"/>
              <w:left w:val="nil"/>
              <w:bottom w:val="single" w:sz="4" w:space="0" w:color="auto"/>
              <w:right w:val="single" w:sz="4" w:space="0" w:color="auto"/>
            </w:tcBorders>
            <w:vAlign w:val="center"/>
            <w:hideMark/>
          </w:tcPr>
          <w:p w:rsidR="00F50058" w14:paraId="3FA538EA" w14:textId="77777777">
            <w:pPr>
              <w:jc w:val="right"/>
              <w:rPr>
                <w:color w:val="000000"/>
                <w:sz w:val="20"/>
                <w:szCs w:val="20"/>
              </w:rPr>
            </w:pPr>
            <w:r>
              <w:rPr>
                <w:color w:val="000000"/>
                <w:sz w:val="20"/>
                <w:szCs w:val="20"/>
              </w:rPr>
              <w:t xml:space="preserve">$20,035 </w:t>
            </w:r>
          </w:p>
        </w:tc>
      </w:tr>
      <w:tr w14:paraId="5D25B1EA" w14:textId="77777777" w:rsidTr="00F50058">
        <w:tblPrEx>
          <w:tblW w:w="9280" w:type="dxa"/>
          <w:tblLook w:val="04A0"/>
        </w:tblPrEx>
        <w:trPr>
          <w:trHeight w:val="528"/>
        </w:trPr>
        <w:tc>
          <w:tcPr>
            <w:tcW w:w="1241" w:type="dxa"/>
            <w:tcBorders>
              <w:top w:val="nil"/>
              <w:left w:val="single" w:sz="4" w:space="0" w:color="auto"/>
              <w:bottom w:val="single" w:sz="4" w:space="0" w:color="auto"/>
              <w:right w:val="single" w:sz="4" w:space="0" w:color="auto"/>
            </w:tcBorders>
            <w:vAlign w:val="center"/>
            <w:hideMark/>
          </w:tcPr>
          <w:p w:rsidR="00F50058" w14:paraId="504EB3F0" w14:textId="77777777">
            <w:pPr>
              <w:rPr>
                <w:color w:val="000000"/>
                <w:sz w:val="20"/>
                <w:szCs w:val="20"/>
              </w:rPr>
            </w:pPr>
            <w:r>
              <w:rPr>
                <w:color w:val="000000"/>
                <w:sz w:val="20"/>
                <w:szCs w:val="20"/>
              </w:rPr>
              <w:t>Recordkeeping</w:t>
            </w:r>
          </w:p>
        </w:tc>
        <w:tc>
          <w:tcPr>
            <w:tcW w:w="1158" w:type="dxa"/>
            <w:tcBorders>
              <w:top w:val="nil"/>
              <w:left w:val="nil"/>
              <w:bottom w:val="single" w:sz="4" w:space="0" w:color="auto"/>
              <w:right w:val="single" w:sz="4" w:space="0" w:color="auto"/>
            </w:tcBorders>
            <w:vAlign w:val="center"/>
            <w:hideMark/>
          </w:tcPr>
          <w:p w:rsidR="00F50058" w14:paraId="7659E835" w14:textId="77777777">
            <w:pPr>
              <w:jc w:val="right"/>
              <w:rPr>
                <w:color w:val="000000"/>
                <w:sz w:val="20"/>
                <w:szCs w:val="20"/>
              </w:rPr>
            </w:pPr>
            <w:r>
              <w:rPr>
                <w:color w:val="000000"/>
                <w:sz w:val="20"/>
                <w:szCs w:val="20"/>
              </w:rPr>
              <w:t>129</w:t>
            </w:r>
          </w:p>
        </w:tc>
        <w:tc>
          <w:tcPr>
            <w:tcW w:w="1151" w:type="dxa"/>
            <w:tcBorders>
              <w:top w:val="nil"/>
              <w:left w:val="nil"/>
              <w:bottom w:val="single" w:sz="4" w:space="0" w:color="auto"/>
              <w:right w:val="single" w:sz="4" w:space="0" w:color="auto"/>
            </w:tcBorders>
            <w:vAlign w:val="center"/>
            <w:hideMark/>
          </w:tcPr>
          <w:p w:rsidR="00F50058" w14:paraId="722E3A47" w14:textId="77777777">
            <w:pPr>
              <w:jc w:val="right"/>
              <w:rPr>
                <w:color w:val="000000"/>
                <w:sz w:val="20"/>
                <w:szCs w:val="20"/>
              </w:rPr>
            </w:pPr>
            <w:r>
              <w:rPr>
                <w:color w:val="000000"/>
                <w:sz w:val="20"/>
                <w:szCs w:val="20"/>
              </w:rPr>
              <w:t>1</w:t>
            </w:r>
          </w:p>
        </w:tc>
        <w:tc>
          <w:tcPr>
            <w:tcW w:w="1149" w:type="dxa"/>
            <w:tcBorders>
              <w:top w:val="nil"/>
              <w:left w:val="nil"/>
              <w:bottom w:val="single" w:sz="4" w:space="0" w:color="auto"/>
              <w:right w:val="single" w:sz="4" w:space="0" w:color="auto"/>
            </w:tcBorders>
            <w:vAlign w:val="center"/>
            <w:hideMark/>
          </w:tcPr>
          <w:p w:rsidR="00F50058" w14:paraId="727EADE6" w14:textId="77777777">
            <w:pPr>
              <w:jc w:val="right"/>
              <w:rPr>
                <w:color w:val="000000"/>
                <w:sz w:val="20"/>
                <w:szCs w:val="20"/>
              </w:rPr>
            </w:pPr>
            <w:r>
              <w:rPr>
                <w:color w:val="000000"/>
                <w:sz w:val="20"/>
                <w:szCs w:val="20"/>
              </w:rPr>
              <w:t>129</w:t>
            </w:r>
          </w:p>
        </w:tc>
        <w:tc>
          <w:tcPr>
            <w:tcW w:w="1155" w:type="dxa"/>
            <w:tcBorders>
              <w:top w:val="nil"/>
              <w:left w:val="nil"/>
              <w:bottom w:val="single" w:sz="4" w:space="0" w:color="auto"/>
              <w:right w:val="single" w:sz="4" w:space="0" w:color="auto"/>
            </w:tcBorders>
            <w:vAlign w:val="center"/>
            <w:hideMark/>
          </w:tcPr>
          <w:p w:rsidR="00F50058" w14:paraId="00E2575B" w14:textId="77777777">
            <w:pPr>
              <w:jc w:val="right"/>
              <w:rPr>
                <w:color w:val="000000"/>
                <w:sz w:val="20"/>
                <w:szCs w:val="20"/>
              </w:rPr>
            </w:pPr>
            <w:r>
              <w:rPr>
                <w:color w:val="000000"/>
                <w:sz w:val="20"/>
                <w:szCs w:val="20"/>
              </w:rPr>
              <w:t>0.07</w:t>
            </w:r>
          </w:p>
        </w:tc>
        <w:tc>
          <w:tcPr>
            <w:tcW w:w="1139" w:type="dxa"/>
            <w:tcBorders>
              <w:top w:val="nil"/>
              <w:left w:val="nil"/>
              <w:bottom w:val="single" w:sz="4" w:space="0" w:color="auto"/>
              <w:right w:val="single" w:sz="4" w:space="0" w:color="auto"/>
            </w:tcBorders>
            <w:vAlign w:val="center"/>
            <w:hideMark/>
          </w:tcPr>
          <w:p w:rsidR="00F50058" w14:paraId="063DE8D9" w14:textId="77777777">
            <w:pPr>
              <w:jc w:val="right"/>
              <w:rPr>
                <w:color w:val="000000"/>
                <w:sz w:val="20"/>
                <w:szCs w:val="20"/>
              </w:rPr>
            </w:pPr>
            <w:r>
              <w:rPr>
                <w:color w:val="000000"/>
                <w:sz w:val="20"/>
                <w:szCs w:val="20"/>
              </w:rPr>
              <w:t>9</w:t>
            </w:r>
          </w:p>
        </w:tc>
        <w:tc>
          <w:tcPr>
            <w:tcW w:w="1147" w:type="dxa"/>
            <w:tcBorders>
              <w:top w:val="nil"/>
              <w:left w:val="nil"/>
              <w:bottom w:val="single" w:sz="4" w:space="0" w:color="auto"/>
              <w:right w:val="single" w:sz="4" w:space="0" w:color="auto"/>
            </w:tcBorders>
            <w:vAlign w:val="center"/>
            <w:hideMark/>
          </w:tcPr>
          <w:p w:rsidR="00F50058" w14:paraId="101A7573" w14:textId="77777777">
            <w:pPr>
              <w:jc w:val="right"/>
              <w:rPr>
                <w:color w:val="000000"/>
                <w:sz w:val="20"/>
                <w:szCs w:val="20"/>
              </w:rPr>
            </w:pPr>
            <w:r>
              <w:rPr>
                <w:color w:val="000000"/>
                <w:sz w:val="20"/>
                <w:szCs w:val="20"/>
              </w:rPr>
              <w:t xml:space="preserve">$89.04 </w:t>
            </w:r>
          </w:p>
        </w:tc>
        <w:tc>
          <w:tcPr>
            <w:tcW w:w="1140" w:type="dxa"/>
            <w:tcBorders>
              <w:top w:val="nil"/>
              <w:left w:val="nil"/>
              <w:bottom w:val="single" w:sz="4" w:space="0" w:color="auto"/>
              <w:right w:val="single" w:sz="4" w:space="0" w:color="auto"/>
            </w:tcBorders>
            <w:vAlign w:val="center"/>
            <w:hideMark/>
          </w:tcPr>
          <w:p w:rsidR="00F50058" w14:paraId="6218669E" w14:textId="77777777">
            <w:pPr>
              <w:jc w:val="right"/>
              <w:rPr>
                <w:color w:val="000000"/>
                <w:sz w:val="20"/>
                <w:szCs w:val="20"/>
              </w:rPr>
            </w:pPr>
            <w:r>
              <w:rPr>
                <w:color w:val="000000"/>
                <w:sz w:val="20"/>
                <w:szCs w:val="20"/>
              </w:rPr>
              <w:t xml:space="preserve">$801 </w:t>
            </w:r>
          </w:p>
        </w:tc>
      </w:tr>
      <w:tr w14:paraId="696A9BF2" w14:textId="77777777" w:rsidTr="00F50058">
        <w:tblPrEx>
          <w:tblW w:w="9280" w:type="dxa"/>
          <w:tblLook w:val="04A0"/>
        </w:tblPrEx>
        <w:trPr>
          <w:trHeight w:val="276"/>
        </w:trPr>
        <w:tc>
          <w:tcPr>
            <w:tcW w:w="1241" w:type="dxa"/>
            <w:tcBorders>
              <w:top w:val="nil"/>
              <w:left w:val="single" w:sz="4" w:space="0" w:color="auto"/>
              <w:bottom w:val="single" w:sz="4" w:space="0" w:color="auto"/>
              <w:right w:val="single" w:sz="4" w:space="0" w:color="auto"/>
            </w:tcBorders>
            <w:vAlign w:val="center"/>
            <w:hideMark/>
          </w:tcPr>
          <w:p w:rsidR="00F50058" w14:paraId="0A274D5B" w14:textId="77777777">
            <w:pPr>
              <w:rPr>
                <w:color w:val="000000"/>
                <w:sz w:val="20"/>
                <w:szCs w:val="20"/>
              </w:rPr>
            </w:pPr>
            <w:r>
              <w:rPr>
                <w:color w:val="000000"/>
                <w:sz w:val="20"/>
                <w:szCs w:val="20"/>
              </w:rPr>
              <w:t xml:space="preserve">Bonds </w:t>
            </w:r>
          </w:p>
        </w:tc>
        <w:tc>
          <w:tcPr>
            <w:tcW w:w="1158" w:type="dxa"/>
            <w:tcBorders>
              <w:top w:val="nil"/>
              <w:left w:val="nil"/>
              <w:bottom w:val="single" w:sz="4" w:space="0" w:color="auto"/>
              <w:right w:val="single" w:sz="4" w:space="0" w:color="auto"/>
            </w:tcBorders>
            <w:vAlign w:val="center"/>
            <w:hideMark/>
          </w:tcPr>
          <w:p w:rsidR="00F50058" w14:paraId="20CF4C64" w14:textId="77777777">
            <w:pPr>
              <w:jc w:val="right"/>
              <w:rPr>
                <w:color w:val="000000"/>
                <w:sz w:val="20"/>
                <w:szCs w:val="20"/>
              </w:rPr>
            </w:pPr>
            <w:r>
              <w:rPr>
                <w:color w:val="000000"/>
                <w:sz w:val="20"/>
                <w:szCs w:val="20"/>
              </w:rPr>
              <w:t>15</w:t>
            </w:r>
          </w:p>
        </w:tc>
        <w:tc>
          <w:tcPr>
            <w:tcW w:w="1151" w:type="dxa"/>
            <w:tcBorders>
              <w:top w:val="nil"/>
              <w:left w:val="nil"/>
              <w:bottom w:val="single" w:sz="4" w:space="0" w:color="auto"/>
              <w:right w:val="single" w:sz="4" w:space="0" w:color="auto"/>
            </w:tcBorders>
            <w:vAlign w:val="center"/>
            <w:hideMark/>
          </w:tcPr>
          <w:p w:rsidR="00F50058" w14:paraId="4BB251DF" w14:textId="77777777">
            <w:pPr>
              <w:jc w:val="right"/>
              <w:rPr>
                <w:color w:val="000000"/>
                <w:sz w:val="20"/>
                <w:szCs w:val="20"/>
              </w:rPr>
            </w:pPr>
            <w:r>
              <w:rPr>
                <w:color w:val="000000"/>
                <w:sz w:val="20"/>
                <w:szCs w:val="20"/>
              </w:rPr>
              <w:t>1</w:t>
            </w:r>
          </w:p>
        </w:tc>
        <w:tc>
          <w:tcPr>
            <w:tcW w:w="1149" w:type="dxa"/>
            <w:tcBorders>
              <w:top w:val="nil"/>
              <w:left w:val="nil"/>
              <w:bottom w:val="single" w:sz="4" w:space="0" w:color="auto"/>
              <w:right w:val="single" w:sz="4" w:space="0" w:color="auto"/>
            </w:tcBorders>
            <w:vAlign w:val="center"/>
            <w:hideMark/>
          </w:tcPr>
          <w:p w:rsidR="00F50058" w14:paraId="12FBC509" w14:textId="77777777">
            <w:pPr>
              <w:jc w:val="right"/>
              <w:rPr>
                <w:color w:val="000000"/>
                <w:sz w:val="20"/>
                <w:szCs w:val="20"/>
              </w:rPr>
            </w:pPr>
            <w:r>
              <w:rPr>
                <w:color w:val="000000"/>
                <w:sz w:val="20"/>
                <w:szCs w:val="20"/>
              </w:rPr>
              <w:t>15</w:t>
            </w:r>
          </w:p>
        </w:tc>
        <w:tc>
          <w:tcPr>
            <w:tcW w:w="1155" w:type="dxa"/>
            <w:tcBorders>
              <w:top w:val="nil"/>
              <w:left w:val="nil"/>
              <w:bottom w:val="single" w:sz="4" w:space="0" w:color="auto"/>
              <w:right w:val="single" w:sz="4" w:space="0" w:color="auto"/>
            </w:tcBorders>
            <w:vAlign w:val="center"/>
            <w:hideMark/>
          </w:tcPr>
          <w:p w:rsidR="00F50058" w14:paraId="5FC2A8C2" w14:textId="77777777">
            <w:pPr>
              <w:jc w:val="right"/>
              <w:rPr>
                <w:color w:val="000000"/>
                <w:sz w:val="20"/>
                <w:szCs w:val="20"/>
              </w:rPr>
            </w:pPr>
            <w:r>
              <w:rPr>
                <w:color w:val="000000"/>
                <w:sz w:val="20"/>
                <w:szCs w:val="20"/>
              </w:rPr>
              <w:t>1</w:t>
            </w:r>
          </w:p>
        </w:tc>
        <w:tc>
          <w:tcPr>
            <w:tcW w:w="1139" w:type="dxa"/>
            <w:tcBorders>
              <w:top w:val="nil"/>
              <w:left w:val="nil"/>
              <w:bottom w:val="single" w:sz="4" w:space="0" w:color="auto"/>
              <w:right w:val="single" w:sz="4" w:space="0" w:color="auto"/>
            </w:tcBorders>
            <w:vAlign w:val="center"/>
            <w:hideMark/>
          </w:tcPr>
          <w:p w:rsidR="00F50058" w14:paraId="49D1070C" w14:textId="77777777">
            <w:pPr>
              <w:jc w:val="right"/>
              <w:rPr>
                <w:color w:val="000000"/>
                <w:sz w:val="20"/>
                <w:szCs w:val="20"/>
              </w:rPr>
            </w:pPr>
            <w:r>
              <w:rPr>
                <w:color w:val="000000"/>
                <w:sz w:val="20"/>
                <w:szCs w:val="20"/>
              </w:rPr>
              <w:t>15</w:t>
            </w:r>
          </w:p>
        </w:tc>
        <w:tc>
          <w:tcPr>
            <w:tcW w:w="1147" w:type="dxa"/>
            <w:tcBorders>
              <w:top w:val="nil"/>
              <w:left w:val="nil"/>
              <w:bottom w:val="single" w:sz="4" w:space="0" w:color="auto"/>
              <w:right w:val="single" w:sz="4" w:space="0" w:color="auto"/>
            </w:tcBorders>
            <w:vAlign w:val="center"/>
            <w:hideMark/>
          </w:tcPr>
          <w:p w:rsidR="00F50058" w14:paraId="730838C3" w14:textId="77777777">
            <w:pPr>
              <w:jc w:val="right"/>
              <w:rPr>
                <w:color w:val="000000"/>
                <w:sz w:val="20"/>
                <w:szCs w:val="20"/>
              </w:rPr>
            </w:pPr>
            <w:r>
              <w:rPr>
                <w:color w:val="000000"/>
                <w:sz w:val="20"/>
                <w:szCs w:val="20"/>
              </w:rPr>
              <w:t xml:space="preserve">$89.04 </w:t>
            </w:r>
          </w:p>
        </w:tc>
        <w:tc>
          <w:tcPr>
            <w:tcW w:w="1140" w:type="dxa"/>
            <w:tcBorders>
              <w:top w:val="nil"/>
              <w:left w:val="nil"/>
              <w:bottom w:val="single" w:sz="4" w:space="0" w:color="auto"/>
              <w:right w:val="single" w:sz="4" w:space="0" w:color="auto"/>
            </w:tcBorders>
            <w:vAlign w:val="center"/>
            <w:hideMark/>
          </w:tcPr>
          <w:p w:rsidR="00F50058" w14:paraId="1D769624" w14:textId="77777777">
            <w:pPr>
              <w:jc w:val="right"/>
              <w:rPr>
                <w:color w:val="000000"/>
                <w:sz w:val="20"/>
                <w:szCs w:val="20"/>
              </w:rPr>
            </w:pPr>
            <w:r>
              <w:rPr>
                <w:color w:val="000000"/>
                <w:sz w:val="20"/>
                <w:szCs w:val="20"/>
              </w:rPr>
              <w:t xml:space="preserve">$1,336 </w:t>
            </w:r>
          </w:p>
        </w:tc>
      </w:tr>
      <w:tr w14:paraId="75401421" w14:textId="77777777" w:rsidTr="00F50058">
        <w:tblPrEx>
          <w:tblW w:w="9280" w:type="dxa"/>
          <w:tblLook w:val="04A0"/>
        </w:tblPrEx>
        <w:trPr>
          <w:trHeight w:val="276"/>
        </w:trPr>
        <w:tc>
          <w:tcPr>
            <w:tcW w:w="1241" w:type="dxa"/>
            <w:tcBorders>
              <w:top w:val="nil"/>
              <w:left w:val="single" w:sz="4" w:space="0" w:color="auto"/>
              <w:bottom w:val="single" w:sz="4" w:space="0" w:color="auto"/>
              <w:right w:val="single" w:sz="4" w:space="0" w:color="auto"/>
            </w:tcBorders>
            <w:vAlign w:val="center"/>
            <w:hideMark/>
          </w:tcPr>
          <w:p w:rsidR="00F50058" w14:paraId="39ED8DF2" w14:textId="77777777">
            <w:pPr>
              <w:rPr>
                <w:color w:val="000000"/>
                <w:sz w:val="20"/>
                <w:szCs w:val="20"/>
              </w:rPr>
            </w:pPr>
            <w:r>
              <w:rPr>
                <w:color w:val="000000"/>
                <w:sz w:val="20"/>
                <w:szCs w:val="20"/>
              </w:rPr>
              <w:t>Waivers</w:t>
            </w:r>
          </w:p>
        </w:tc>
        <w:tc>
          <w:tcPr>
            <w:tcW w:w="1158" w:type="dxa"/>
            <w:tcBorders>
              <w:top w:val="nil"/>
              <w:left w:val="nil"/>
              <w:bottom w:val="single" w:sz="4" w:space="0" w:color="auto"/>
              <w:right w:val="single" w:sz="4" w:space="0" w:color="auto"/>
            </w:tcBorders>
            <w:vAlign w:val="center"/>
            <w:hideMark/>
          </w:tcPr>
          <w:p w:rsidR="00F50058" w14:paraId="696B607E" w14:textId="77777777">
            <w:pPr>
              <w:jc w:val="right"/>
              <w:rPr>
                <w:color w:val="000000"/>
                <w:sz w:val="20"/>
                <w:szCs w:val="20"/>
              </w:rPr>
            </w:pPr>
            <w:r>
              <w:rPr>
                <w:color w:val="000000"/>
                <w:sz w:val="20"/>
                <w:szCs w:val="20"/>
              </w:rPr>
              <w:t>27</w:t>
            </w:r>
          </w:p>
        </w:tc>
        <w:tc>
          <w:tcPr>
            <w:tcW w:w="1151" w:type="dxa"/>
            <w:tcBorders>
              <w:top w:val="nil"/>
              <w:left w:val="nil"/>
              <w:bottom w:val="single" w:sz="4" w:space="0" w:color="auto"/>
              <w:right w:val="single" w:sz="4" w:space="0" w:color="auto"/>
            </w:tcBorders>
            <w:vAlign w:val="center"/>
            <w:hideMark/>
          </w:tcPr>
          <w:p w:rsidR="00F50058" w14:paraId="5761AAF9" w14:textId="77777777">
            <w:pPr>
              <w:jc w:val="right"/>
              <w:rPr>
                <w:color w:val="000000"/>
                <w:sz w:val="20"/>
                <w:szCs w:val="20"/>
              </w:rPr>
            </w:pPr>
            <w:r>
              <w:rPr>
                <w:color w:val="000000"/>
                <w:sz w:val="20"/>
                <w:szCs w:val="20"/>
              </w:rPr>
              <w:t>1</w:t>
            </w:r>
          </w:p>
        </w:tc>
        <w:tc>
          <w:tcPr>
            <w:tcW w:w="1149" w:type="dxa"/>
            <w:tcBorders>
              <w:top w:val="nil"/>
              <w:left w:val="nil"/>
              <w:bottom w:val="single" w:sz="4" w:space="0" w:color="auto"/>
              <w:right w:val="single" w:sz="4" w:space="0" w:color="auto"/>
            </w:tcBorders>
            <w:vAlign w:val="center"/>
            <w:hideMark/>
          </w:tcPr>
          <w:p w:rsidR="00F50058" w14:paraId="58E8ED32" w14:textId="77777777">
            <w:pPr>
              <w:jc w:val="right"/>
              <w:rPr>
                <w:color w:val="000000"/>
                <w:sz w:val="20"/>
                <w:szCs w:val="20"/>
              </w:rPr>
            </w:pPr>
            <w:r>
              <w:rPr>
                <w:color w:val="000000"/>
                <w:sz w:val="20"/>
                <w:szCs w:val="20"/>
              </w:rPr>
              <w:t>27</w:t>
            </w:r>
          </w:p>
        </w:tc>
        <w:tc>
          <w:tcPr>
            <w:tcW w:w="1155" w:type="dxa"/>
            <w:tcBorders>
              <w:top w:val="nil"/>
              <w:left w:val="nil"/>
              <w:bottom w:val="single" w:sz="4" w:space="0" w:color="auto"/>
              <w:right w:val="single" w:sz="4" w:space="0" w:color="auto"/>
            </w:tcBorders>
            <w:vAlign w:val="center"/>
            <w:hideMark/>
          </w:tcPr>
          <w:p w:rsidR="00F50058" w14:paraId="7AE06FBA" w14:textId="77777777">
            <w:pPr>
              <w:jc w:val="right"/>
              <w:rPr>
                <w:color w:val="000000"/>
                <w:sz w:val="20"/>
                <w:szCs w:val="20"/>
              </w:rPr>
            </w:pPr>
            <w:r>
              <w:rPr>
                <w:color w:val="000000"/>
                <w:sz w:val="20"/>
                <w:szCs w:val="20"/>
              </w:rPr>
              <w:t>1.5</w:t>
            </w:r>
          </w:p>
        </w:tc>
        <w:tc>
          <w:tcPr>
            <w:tcW w:w="1139" w:type="dxa"/>
            <w:tcBorders>
              <w:top w:val="nil"/>
              <w:left w:val="nil"/>
              <w:bottom w:val="single" w:sz="4" w:space="0" w:color="auto"/>
              <w:right w:val="single" w:sz="4" w:space="0" w:color="auto"/>
            </w:tcBorders>
            <w:vAlign w:val="center"/>
            <w:hideMark/>
          </w:tcPr>
          <w:p w:rsidR="00F50058" w14:paraId="0F2B273D" w14:textId="77777777">
            <w:pPr>
              <w:jc w:val="right"/>
              <w:rPr>
                <w:color w:val="000000"/>
                <w:sz w:val="20"/>
                <w:szCs w:val="20"/>
              </w:rPr>
            </w:pPr>
            <w:r>
              <w:rPr>
                <w:color w:val="000000"/>
                <w:sz w:val="20"/>
                <w:szCs w:val="20"/>
              </w:rPr>
              <w:t>41</w:t>
            </w:r>
          </w:p>
        </w:tc>
        <w:tc>
          <w:tcPr>
            <w:tcW w:w="1147" w:type="dxa"/>
            <w:tcBorders>
              <w:top w:val="nil"/>
              <w:left w:val="nil"/>
              <w:bottom w:val="single" w:sz="4" w:space="0" w:color="auto"/>
              <w:right w:val="single" w:sz="4" w:space="0" w:color="auto"/>
            </w:tcBorders>
            <w:vAlign w:val="center"/>
            <w:hideMark/>
          </w:tcPr>
          <w:p w:rsidR="00F50058" w14:paraId="058CFB99" w14:textId="77777777">
            <w:pPr>
              <w:jc w:val="right"/>
              <w:rPr>
                <w:color w:val="000000"/>
                <w:sz w:val="20"/>
                <w:szCs w:val="20"/>
              </w:rPr>
            </w:pPr>
            <w:r>
              <w:rPr>
                <w:color w:val="000000"/>
                <w:sz w:val="20"/>
                <w:szCs w:val="20"/>
              </w:rPr>
              <w:t xml:space="preserve">$89.04 </w:t>
            </w:r>
          </w:p>
        </w:tc>
        <w:tc>
          <w:tcPr>
            <w:tcW w:w="1140" w:type="dxa"/>
            <w:tcBorders>
              <w:top w:val="nil"/>
              <w:left w:val="nil"/>
              <w:bottom w:val="single" w:sz="4" w:space="0" w:color="auto"/>
              <w:right w:val="single" w:sz="4" w:space="0" w:color="auto"/>
            </w:tcBorders>
            <w:vAlign w:val="center"/>
            <w:hideMark/>
          </w:tcPr>
          <w:p w:rsidR="00F50058" w14:paraId="0C9CC50C" w14:textId="77777777">
            <w:pPr>
              <w:jc w:val="right"/>
              <w:rPr>
                <w:color w:val="000000"/>
                <w:sz w:val="20"/>
                <w:szCs w:val="20"/>
              </w:rPr>
            </w:pPr>
            <w:r>
              <w:rPr>
                <w:color w:val="000000"/>
                <w:sz w:val="20"/>
                <w:szCs w:val="20"/>
              </w:rPr>
              <w:t xml:space="preserve">$3,651 </w:t>
            </w:r>
          </w:p>
        </w:tc>
      </w:tr>
      <w:tr w14:paraId="37FE1BEF" w14:textId="77777777" w:rsidTr="00F50058">
        <w:tblPrEx>
          <w:tblW w:w="9280" w:type="dxa"/>
          <w:tblLook w:val="04A0"/>
        </w:tblPrEx>
        <w:trPr>
          <w:trHeight w:val="1056"/>
        </w:trPr>
        <w:tc>
          <w:tcPr>
            <w:tcW w:w="1241" w:type="dxa"/>
            <w:tcBorders>
              <w:top w:val="nil"/>
              <w:left w:val="single" w:sz="4" w:space="0" w:color="auto"/>
              <w:bottom w:val="single" w:sz="4" w:space="0" w:color="auto"/>
              <w:right w:val="single" w:sz="4" w:space="0" w:color="auto"/>
            </w:tcBorders>
            <w:vAlign w:val="center"/>
            <w:hideMark/>
          </w:tcPr>
          <w:p w:rsidR="00F50058" w14:paraId="36512DBA" w14:textId="77777777">
            <w:pPr>
              <w:rPr>
                <w:color w:val="000000"/>
                <w:sz w:val="20"/>
                <w:szCs w:val="20"/>
              </w:rPr>
            </w:pPr>
            <w:r>
              <w:rPr>
                <w:color w:val="000000"/>
                <w:sz w:val="20"/>
                <w:szCs w:val="20"/>
              </w:rPr>
              <w:t>Inquiries about re-export Program</w:t>
            </w:r>
          </w:p>
        </w:tc>
        <w:tc>
          <w:tcPr>
            <w:tcW w:w="1158" w:type="dxa"/>
            <w:tcBorders>
              <w:top w:val="nil"/>
              <w:left w:val="nil"/>
              <w:bottom w:val="single" w:sz="4" w:space="0" w:color="auto"/>
              <w:right w:val="single" w:sz="4" w:space="0" w:color="auto"/>
            </w:tcBorders>
            <w:vAlign w:val="center"/>
            <w:hideMark/>
          </w:tcPr>
          <w:p w:rsidR="00F50058" w14:paraId="6353F63C" w14:textId="77777777">
            <w:pPr>
              <w:jc w:val="center"/>
              <w:rPr>
                <w:color w:val="000000"/>
                <w:sz w:val="20"/>
                <w:szCs w:val="20"/>
              </w:rPr>
            </w:pPr>
            <w:r>
              <w:rPr>
                <w:color w:val="000000"/>
                <w:sz w:val="20"/>
                <w:szCs w:val="20"/>
              </w:rPr>
              <w:t>varies</w:t>
            </w:r>
          </w:p>
        </w:tc>
        <w:tc>
          <w:tcPr>
            <w:tcW w:w="1151" w:type="dxa"/>
            <w:tcBorders>
              <w:top w:val="nil"/>
              <w:left w:val="nil"/>
              <w:bottom w:val="single" w:sz="4" w:space="0" w:color="auto"/>
              <w:right w:val="single" w:sz="4" w:space="0" w:color="auto"/>
            </w:tcBorders>
            <w:vAlign w:val="center"/>
            <w:hideMark/>
          </w:tcPr>
          <w:p w:rsidR="00F50058" w14:paraId="271A4872" w14:textId="77777777">
            <w:pPr>
              <w:jc w:val="center"/>
              <w:rPr>
                <w:color w:val="000000"/>
                <w:sz w:val="20"/>
                <w:szCs w:val="20"/>
              </w:rPr>
            </w:pPr>
            <w:r>
              <w:rPr>
                <w:color w:val="000000"/>
                <w:sz w:val="20"/>
                <w:szCs w:val="20"/>
              </w:rPr>
              <w:t>varies</w:t>
            </w:r>
          </w:p>
        </w:tc>
        <w:tc>
          <w:tcPr>
            <w:tcW w:w="1149" w:type="dxa"/>
            <w:tcBorders>
              <w:top w:val="nil"/>
              <w:left w:val="nil"/>
              <w:bottom w:val="single" w:sz="4" w:space="0" w:color="auto"/>
              <w:right w:val="single" w:sz="4" w:space="0" w:color="auto"/>
            </w:tcBorders>
            <w:vAlign w:val="center"/>
            <w:hideMark/>
          </w:tcPr>
          <w:p w:rsidR="00F50058" w14:paraId="3659FF6D" w14:textId="77777777">
            <w:pPr>
              <w:jc w:val="center"/>
              <w:rPr>
                <w:color w:val="000000"/>
                <w:sz w:val="20"/>
                <w:szCs w:val="20"/>
              </w:rPr>
            </w:pPr>
            <w:r>
              <w:rPr>
                <w:color w:val="000000"/>
                <w:sz w:val="20"/>
                <w:szCs w:val="20"/>
              </w:rPr>
              <w:t>varies</w:t>
            </w:r>
          </w:p>
        </w:tc>
        <w:tc>
          <w:tcPr>
            <w:tcW w:w="1155" w:type="dxa"/>
            <w:tcBorders>
              <w:top w:val="nil"/>
              <w:left w:val="nil"/>
              <w:bottom w:val="single" w:sz="4" w:space="0" w:color="auto"/>
              <w:right w:val="single" w:sz="4" w:space="0" w:color="auto"/>
            </w:tcBorders>
            <w:vAlign w:val="center"/>
            <w:hideMark/>
          </w:tcPr>
          <w:p w:rsidR="00F50058" w14:paraId="35A8D369" w14:textId="77777777">
            <w:pPr>
              <w:jc w:val="center"/>
              <w:rPr>
                <w:color w:val="000000"/>
                <w:sz w:val="20"/>
                <w:szCs w:val="20"/>
              </w:rPr>
            </w:pPr>
            <w:r>
              <w:rPr>
                <w:color w:val="000000"/>
                <w:sz w:val="20"/>
                <w:szCs w:val="20"/>
              </w:rPr>
              <w:t>varies</w:t>
            </w:r>
          </w:p>
        </w:tc>
        <w:tc>
          <w:tcPr>
            <w:tcW w:w="1139" w:type="dxa"/>
            <w:tcBorders>
              <w:top w:val="nil"/>
              <w:left w:val="nil"/>
              <w:bottom w:val="single" w:sz="4" w:space="0" w:color="auto"/>
              <w:right w:val="single" w:sz="4" w:space="0" w:color="auto"/>
            </w:tcBorders>
            <w:vAlign w:val="center"/>
            <w:hideMark/>
          </w:tcPr>
          <w:p w:rsidR="00F50058" w14:paraId="28C342AE" w14:textId="77777777">
            <w:pPr>
              <w:jc w:val="right"/>
              <w:rPr>
                <w:color w:val="000000"/>
                <w:sz w:val="20"/>
                <w:szCs w:val="20"/>
              </w:rPr>
            </w:pPr>
            <w:r>
              <w:rPr>
                <w:color w:val="000000"/>
                <w:sz w:val="20"/>
                <w:szCs w:val="20"/>
              </w:rPr>
              <w:t>30</w:t>
            </w:r>
          </w:p>
        </w:tc>
        <w:tc>
          <w:tcPr>
            <w:tcW w:w="1147" w:type="dxa"/>
            <w:tcBorders>
              <w:top w:val="nil"/>
              <w:left w:val="nil"/>
              <w:bottom w:val="single" w:sz="4" w:space="0" w:color="auto"/>
              <w:right w:val="single" w:sz="4" w:space="0" w:color="auto"/>
            </w:tcBorders>
            <w:vAlign w:val="center"/>
            <w:hideMark/>
          </w:tcPr>
          <w:p w:rsidR="00F50058" w14:paraId="65E1D763" w14:textId="77777777">
            <w:pPr>
              <w:jc w:val="right"/>
              <w:rPr>
                <w:color w:val="000000"/>
                <w:sz w:val="20"/>
                <w:szCs w:val="20"/>
              </w:rPr>
            </w:pPr>
            <w:r>
              <w:rPr>
                <w:color w:val="000000"/>
                <w:sz w:val="20"/>
                <w:szCs w:val="20"/>
              </w:rPr>
              <w:t xml:space="preserve">$89.04 </w:t>
            </w:r>
          </w:p>
        </w:tc>
        <w:tc>
          <w:tcPr>
            <w:tcW w:w="1140" w:type="dxa"/>
            <w:tcBorders>
              <w:top w:val="nil"/>
              <w:left w:val="nil"/>
              <w:bottom w:val="single" w:sz="4" w:space="0" w:color="auto"/>
              <w:right w:val="single" w:sz="4" w:space="0" w:color="auto"/>
            </w:tcBorders>
            <w:vAlign w:val="center"/>
            <w:hideMark/>
          </w:tcPr>
          <w:p w:rsidR="00F50058" w14:paraId="2410EA6D" w14:textId="77777777">
            <w:pPr>
              <w:jc w:val="right"/>
              <w:rPr>
                <w:color w:val="000000"/>
                <w:sz w:val="20"/>
                <w:szCs w:val="20"/>
              </w:rPr>
            </w:pPr>
            <w:r>
              <w:rPr>
                <w:color w:val="000000"/>
                <w:sz w:val="20"/>
                <w:szCs w:val="20"/>
              </w:rPr>
              <w:t xml:space="preserve">$2,671 </w:t>
            </w:r>
          </w:p>
        </w:tc>
      </w:tr>
      <w:tr w14:paraId="62FCBBEB" w14:textId="77777777" w:rsidTr="00F50058">
        <w:tblPrEx>
          <w:tblW w:w="9280" w:type="dxa"/>
          <w:tblLook w:val="04A0"/>
        </w:tblPrEx>
        <w:trPr>
          <w:trHeight w:val="1056"/>
        </w:trPr>
        <w:tc>
          <w:tcPr>
            <w:tcW w:w="1241" w:type="dxa"/>
            <w:tcBorders>
              <w:top w:val="nil"/>
              <w:left w:val="single" w:sz="4" w:space="0" w:color="auto"/>
              <w:bottom w:val="single" w:sz="4" w:space="0" w:color="auto"/>
              <w:right w:val="single" w:sz="4" w:space="0" w:color="auto"/>
            </w:tcBorders>
            <w:vAlign w:val="center"/>
            <w:hideMark/>
          </w:tcPr>
          <w:p w:rsidR="00F50058" w14:paraId="2A826C7A" w14:textId="77777777">
            <w:pPr>
              <w:rPr>
                <w:color w:val="000000"/>
                <w:sz w:val="20"/>
                <w:szCs w:val="20"/>
              </w:rPr>
            </w:pPr>
            <w:r>
              <w:rPr>
                <w:color w:val="000000"/>
                <w:sz w:val="20"/>
                <w:szCs w:val="20"/>
              </w:rPr>
              <w:t>Time devoted to developing SUCROSE</w:t>
            </w:r>
          </w:p>
        </w:tc>
        <w:tc>
          <w:tcPr>
            <w:tcW w:w="1158" w:type="dxa"/>
            <w:tcBorders>
              <w:top w:val="nil"/>
              <w:left w:val="nil"/>
              <w:bottom w:val="single" w:sz="4" w:space="0" w:color="auto"/>
              <w:right w:val="single" w:sz="4" w:space="0" w:color="auto"/>
            </w:tcBorders>
            <w:vAlign w:val="center"/>
            <w:hideMark/>
          </w:tcPr>
          <w:p w:rsidR="00F50058" w14:paraId="68885730" w14:textId="77777777">
            <w:pPr>
              <w:jc w:val="center"/>
              <w:rPr>
                <w:color w:val="000000"/>
                <w:sz w:val="20"/>
                <w:szCs w:val="20"/>
              </w:rPr>
            </w:pPr>
            <w:r>
              <w:rPr>
                <w:color w:val="000000"/>
                <w:sz w:val="20"/>
                <w:szCs w:val="20"/>
              </w:rPr>
              <w:t>varies</w:t>
            </w:r>
          </w:p>
        </w:tc>
        <w:tc>
          <w:tcPr>
            <w:tcW w:w="1151" w:type="dxa"/>
            <w:tcBorders>
              <w:top w:val="nil"/>
              <w:left w:val="nil"/>
              <w:bottom w:val="single" w:sz="4" w:space="0" w:color="auto"/>
              <w:right w:val="single" w:sz="4" w:space="0" w:color="auto"/>
            </w:tcBorders>
            <w:vAlign w:val="center"/>
            <w:hideMark/>
          </w:tcPr>
          <w:p w:rsidR="00F50058" w14:paraId="5185C898" w14:textId="77777777">
            <w:pPr>
              <w:jc w:val="center"/>
              <w:rPr>
                <w:color w:val="000000"/>
                <w:sz w:val="20"/>
                <w:szCs w:val="20"/>
              </w:rPr>
            </w:pPr>
            <w:r>
              <w:rPr>
                <w:color w:val="000000"/>
                <w:sz w:val="20"/>
                <w:szCs w:val="20"/>
              </w:rPr>
              <w:t>varies</w:t>
            </w:r>
          </w:p>
        </w:tc>
        <w:tc>
          <w:tcPr>
            <w:tcW w:w="1149" w:type="dxa"/>
            <w:tcBorders>
              <w:top w:val="nil"/>
              <w:left w:val="nil"/>
              <w:bottom w:val="single" w:sz="4" w:space="0" w:color="auto"/>
              <w:right w:val="single" w:sz="4" w:space="0" w:color="auto"/>
            </w:tcBorders>
            <w:vAlign w:val="center"/>
            <w:hideMark/>
          </w:tcPr>
          <w:p w:rsidR="00F50058" w14:paraId="146D483D" w14:textId="77777777">
            <w:pPr>
              <w:jc w:val="center"/>
              <w:rPr>
                <w:color w:val="000000"/>
                <w:sz w:val="20"/>
                <w:szCs w:val="20"/>
              </w:rPr>
            </w:pPr>
            <w:r>
              <w:rPr>
                <w:color w:val="000000"/>
                <w:sz w:val="20"/>
                <w:szCs w:val="20"/>
              </w:rPr>
              <w:t>varies</w:t>
            </w:r>
          </w:p>
        </w:tc>
        <w:tc>
          <w:tcPr>
            <w:tcW w:w="1155" w:type="dxa"/>
            <w:tcBorders>
              <w:top w:val="nil"/>
              <w:left w:val="nil"/>
              <w:bottom w:val="single" w:sz="4" w:space="0" w:color="auto"/>
              <w:right w:val="single" w:sz="4" w:space="0" w:color="auto"/>
            </w:tcBorders>
            <w:vAlign w:val="center"/>
            <w:hideMark/>
          </w:tcPr>
          <w:p w:rsidR="00F50058" w14:paraId="3F78F78B" w14:textId="77777777">
            <w:pPr>
              <w:jc w:val="center"/>
              <w:rPr>
                <w:color w:val="000000"/>
                <w:sz w:val="20"/>
                <w:szCs w:val="20"/>
              </w:rPr>
            </w:pPr>
            <w:r>
              <w:rPr>
                <w:color w:val="000000"/>
                <w:sz w:val="20"/>
                <w:szCs w:val="20"/>
              </w:rPr>
              <w:t>varies</w:t>
            </w:r>
          </w:p>
        </w:tc>
        <w:tc>
          <w:tcPr>
            <w:tcW w:w="1139" w:type="dxa"/>
            <w:tcBorders>
              <w:top w:val="nil"/>
              <w:left w:val="nil"/>
              <w:bottom w:val="single" w:sz="4" w:space="0" w:color="auto"/>
              <w:right w:val="single" w:sz="4" w:space="0" w:color="auto"/>
            </w:tcBorders>
            <w:vAlign w:val="center"/>
            <w:hideMark/>
          </w:tcPr>
          <w:p w:rsidR="00F50058" w14:paraId="1EBD6FDB" w14:textId="77777777">
            <w:pPr>
              <w:jc w:val="right"/>
              <w:rPr>
                <w:color w:val="000000"/>
                <w:sz w:val="20"/>
                <w:szCs w:val="20"/>
              </w:rPr>
            </w:pPr>
            <w:r>
              <w:rPr>
                <w:color w:val="000000"/>
                <w:sz w:val="20"/>
                <w:szCs w:val="20"/>
              </w:rPr>
              <w:t>200</w:t>
            </w:r>
          </w:p>
        </w:tc>
        <w:tc>
          <w:tcPr>
            <w:tcW w:w="1147" w:type="dxa"/>
            <w:tcBorders>
              <w:top w:val="nil"/>
              <w:left w:val="nil"/>
              <w:bottom w:val="single" w:sz="4" w:space="0" w:color="auto"/>
              <w:right w:val="single" w:sz="4" w:space="0" w:color="auto"/>
            </w:tcBorders>
            <w:vAlign w:val="center"/>
            <w:hideMark/>
          </w:tcPr>
          <w:p w:rsidR="00F50058" w14:paraId="6478EEA9" w14:textId="77777777">
            <w:pPr>
              <w:jc w:val="right"/>
              <w:rPr>
                <w:color w:val="000000"/>
                <w:sz w:val="20"/>
                <w:szCs w:val="20"/>
              </w:rPr>
            </w:pPr>
            <w:r>
              <w:rPr>
                <w:color w:val="000000"/>
                <w:sz w:val="20"/>
                <w:szCs w:val="20"/>
              </w:rPr>
              <w:t xml:space="preserve">$89.04 </w:t>
            </w:r>
          </w:p>
        </w:tc>
        <w:tc>
          <w:tcPr>
            <w:tcW w:w="1140" w:type="dxa"/>
            <w:tcBorders>
              <w:top w:val="nil"/>
              <w:left w:val="nil"/>
              <w:bottom w:val="single" w:sz="4" w:space="0" w:color="auto"/>
              <w:right w:val="single" w:sz="4" w:space="0" w:color="auto"/>
            </w:tcBorders>
            <w:vAlign w:val="center"/>
            <w:hideMark/>
          </w:tcPr>
          <w:p w:rsidR="00F50058" w14:paraId="0E68BBE3" w14:textId="77777777">
            <w:pPr>
              <w:jc w:val="right"/>
              <w:rPr>
                <w:color w:val="000000"/>
                <w:sz w:val="20"/>
                <w:szCs w:val="20"/>
              </w:rPr>
            </w:pPr>
            <w:r>
              <w:rPr>
                <w:color w:val="000000"/>
                <w:sz w:val="20"/>
                <w:szCs w:val="20"/>
              </w:rPr>
              <w:t xml:space="preserve">$17,809 </w:t>
            </w:r>
          </w:p>
        </w:tc>
      </w:tr>
      <w:tr w14:paraId="491D9577" w14:textId="77777777" w:rsidTr="00F50058">
        <w:tblPrEx>
          <w:tblW w:w="9280" w:type="dxa"/>
          <w:tblLook w:val="04A0"/>
        </w:tblPrEx>
        <w:trPr>
          <w:trHeight w:val="264"/>
        </w:trPr>
        <w:tc>
          <w:tcPr>
            <w:tcW w:w="1241" w:type="dxa"/>
            <w:tcBorders>
              <w:top w:val="nil"/>
              <w:left w:val="single" w:sz="4" w:space="0" w:color="auto"/>
              <w:bottom w:val="single" w:sz="4" w:space="0" w:color="auto"/>
              <w:right w:val="single" w:sz="4" w:space="0" w:color="auto"/>
            </w:tcBorders>
            <w:vAlign w:val="center"/>
            <w:hideMark/>
          </w:tcPr>
          <w:p w:rsidR="00F50058" w14:paraId="14C21904" w14:textId="77777777">
            <w:pPr>
              <w:rPr>
                <w:b/>
                <w:bCs/>
                <w:color w:val="000000"/>
                <w:sz w:val="20"/>
                <w:szCs w:val="20"/>
              </w:rPr>
            </w:pPr>
            <w:r>
              <w:rPr>
                <w:b/>
                <w:bCs/>
                <w:color w:val="000000"/>
                <w:sz w:val="20"/>
                <w:szCs w:val="20"/>
              </w:rPr>
              <w:t>TOTAL</w:t>
            </w:r>
          </w:p>
        </w:tc>
        <w:tc>
          <w:tcPr>
            <w:tcW w:w="1158" w:type="dxa"/>
            <w:tcBorders>
              <w:top w:val="nil"/>
              <w:left w:val="nil"/>
              <w:bottom w:val="single" w:sz="4" w:space="0" w:color="auto"/>
              <w:right w:val="single" w:sz="4" w:space="0" w:color="auto"/>
            </w:tcBorders>
            <w:vAlign w:val="center"/>
            <w:hideMark/>
          </w:tcPr>
          <w:p w:rsidR="00F50058" w14:paraId="75465E7B" w14:textId="77777777">
            <w:pPr>
              <w:jc w:val="right"/>
              <w:rPr>
                <w:b/>
                <w:bCs/>
                <w:color w:val="000000"/>
                <w:sz w:val="20"/>
                <w:szCs w:val="20"/>
              </w:rPr>
            </w:pPr>
            <w:r>
              <w:rPr>
                <w:b/>
                <w:bCs/>
                <w:color w:val="000000"/>
                <w:sz w:val="20"/>
                <w:szCs w:val="20"/>
              </w:rPr>
              <w:t>301</w:t>
            </w:r>
          </w:p>
        </w:tc>
        <w:tc>
          <w:tcPr>
            <w:tcW w:w="1151" w:type="dxa"/>
            <w:tcBorders>
              <w:top w:val="nil"/>
              <w:left w:val="nil"/>
              <w:bottom w:val="single" w:sz="4" w:space="0" w:color="auto"/>
              <w:right w:val="single" w:sz="4" w:space="0" w:color="auto"/>
            </w:tcBorders>
            <w:vAlign w:val="center"/>
            <w:hideMark/>
          </w:tcPr>
          <w:p w:rsidR="00F50058" w14:paraId="27A37F15" w14:textId="77777777">
            <w:pPr>
              <w:rPr>
                <w:b/>
                <w:bCs/>
                <w:color w:val="000000"/>
                <w:sz w:val="20"/>
                <w:szCs w:val="20"/>
              </w:rPr>
            </w:pPr>
            <w:r>
              <w:rPr>
                <w:b/>
                <w:bCs/>
                <w:color w:val="000000"/>
                <w:sz w:val="20"/>
                <w:szCs w:val="20"/>
              </w:rPr>
              <w:t> </w:t>
            </w:r>
          </w:p>
        </w:tc>
        <w:tc>
          <w:tcPr>
            <w:tcW w:w="1149" w:type="dxa"/>
            <w:tcBorders>
              <w:top w:val="nil"/>
              <w:left w:val="nil"/>
              <w:bottom w:val="single" w:sz="4" w:space="0" w:color="auto"/>
              <w:right w:val="single" w:sz="4" w:space="0" w:color="auto"/>
            </w:tcBorders>
            <w:vAlign w:val="center"/>
            <w:hideMark/>
          </w:tcPr>
          <w:p w:rsidR="00F50058" w14:paraId="464F1FC5" w14:textId="77777777">
            <w:pPr>
              <w:jc w:val="right"/>
              <w:rPr>
                <w:b/>
                <w:bCs/>
                <w:color w:val="000000"/>
                <w:sz w:val="20"/>
                <w:szCs w:val="20"/>
              </w:rPr>
            </w:pPr>
            <w:r>
              <w:rPr>
                <w:b/>
                <w:bCs/>
                <w:color w:val="000000"/>
                <w:sz w:val="20"/>
                <w:szCs w:val="20"/>
              </w:rPr>
              <w:t>1,243</w:t>
            </w:r>
          </w:p>
        </w:tc>
        <w:tc>
          <w:tcPr>
            <w:tcW w:w="1155" w:type="dxa"/>
            <w:tcBorders>
              <w:top w:val="nil"/>
              <w:left w:val="nil"/>
              <w:bottom w:val="single" w:sz="4" w:space="0" w:color="auto"/>
              <w:right w:val="single" w:sz="4" w:space="0" w:color="auto"/>
            </w:tcBorders>
            <w:vAlign w:val="center"/>
            <w:hideMark/>
          </w:tcPr>
          <w:p w:rsidR="00F50058" w14:paraId="6482ABEB" w14:textId="77777777">
            <w:pPr>
              <w:jc w:val="right"/>
              <w:rPr>
                <w:b/>
                <w:bCs/>
                <w:color w:val="000000"/>
                <w:sz w:val="20"/>
                <w:szCs w:val="20"/>
              </w:rPr>
            </w:pPr>
            <w:r>
              <w:rPr>
                <w:b/>
                <w:bCs/>
                <w:color w:val="000000"/>
                <w:sz w:val="20"/>
                <w:szCs w:val="20"/>
              </w:rPr>
              <w:t> </w:t>
            </w:r>
          </w:p>
        </w:tc>
        <w:tc>
          <w:tcPr>
            <w:tcW w:w="1139" w:type="dxa"/>
            <w:tcBorders>
              <w:top w:val="nil"/>
              <w:left w:val="nil"/>
              <w:bottom w:val="single" w:sz="4" w:space="0" w:color="auto"/>
              <w:right w:val="single" w:sz="4" w:space="0" w:color="auto"/>
            </w:tcBorders>
            <w:vAlign w:val="center"/>
            <w:hideMark/>
          </w:tcPr>
          <w:p w:rsidR="00F50058" w14:paraId="040A5108" w14:textId="77777777">
            <w:pPr>
              <w:jc w:val="right"/>
              <w:rPr>
                <w:b/>
                <w:bCs/>
                <w:color w:val="000000"/>
                <w:sz w:val="20"/>
                <w:szCs w:val="20"/>
              </w:rPr>
            </w:pPr>
            <w:r>
              <w:rPr>
                <w:b/>
                <w:bCs/>
                <w:color w:val="000000"/>
                <w:sz w:val="20"/>
                <w:szCs w:val="20"/>
              </w:rPr>
              <w:t>540</w:t>
            </w:r>
          </w:p>
        </w:tc>
        <w:tc>
          <w:tcPr>
            <w:tcW w:w="1147" w:type="dxa"/>
            <w:tcBorders>
              <w:top w:val="nil"/>
              <w:left w:val="nil"/>
              <w:bottom w:val="single" w:sz="4" w:space="0" w:color="auto"/>
              <w:right w:val="single" w:sz="4" w:space="0" w:color="auto"/>
            </w:tcBorders>
            <w:vAlign w:val="center"/>
            <w:hideMark/>
          </w:tcPr>
          <w:p w:rsidR="00F50058" w14:paraId="1AD360A6" w14:textId="11BDE90B">
            <w:pPr>
              <w:jc w:val="right"/>
              <w:rPr>
                <w:color w:val="000000"/>
                <w:sz w:val="20"/>
                <w:szCs w:val="20"/>
              </w:rPr>
            </w:pPr>
          </w:p>
        </w:tc>
        <w:tc>
          <w:tcPr>
            <w:tcW w:w="1140" w:type="dxa"/>
            <w:tcBorders>
              <w:top w:val="nil"/>
              <w:left w:val="nil"/>
              <w:bottom w:val="single" w:sz="4" w:space="0" w:color="auto"/>
              <w:right w:val="single" w:sz="4" w:space="0" w:color="auto"/>
            </w:tcBorders>
            <w:vAlign w:val="center"/>
            <w:hideMark/>
          </w:tcPr>
          <w:p w:rsidR="00F50058" w14:paraId="3A2F7162" w14:textId="77777777">
            <w:pPr>
              <w:jc w:val="right"/>
              <w:rPr>
                <w:b/>
                <w:bCs/>
                <w:color w:val="000000"/>
                <w:sz w:val="20"/>
                <w:szCs w:val="20"/>
              </w:rPr>
            </w:pPr>
            <w:r>
              <w:rPr>
                <w:b/>
                <w:bCs/>
                <w:color w:val="000000"/>
                <w:sz w:val="20"/>
                <w:szCs w:val="20"/>
              </w:rPr>
              <w:t xml:space="preserve">$48,118 </w:t>
            </w:r>
          </w:p>
        </w:tc>
      </w:tr>
    </w:tbl>
    <w:p w:rsidR="00FA0A74" w:rsidP="00704BBE" w14:paraId="44DB64F8" w14:textId="2FBD4ECC">
      <w:pPr>
        <w:pStyle w:val="PlainText"/>
        <w:rPr>
          <w:rFonts w:ascii="Times New Roman" w:hAnsi="Times New Roman" w:cs="Times New Roman"/>
          <w:sz w:val="24"/>
          <w:szCs w:val="24"/>
        </w:rPr>
      </w:pPr>
    </w:p>
    <w:p w:rsidR="00FA0A74" w:rsidRPr="004D3481" w:rsidP="00704BBE" w14:paraId="0C84A448" w14:textId="77777777">
      <w:pPr>
        <w:pStyle w:val="PlainText"/>
        <w:rPr>
          <w:rFonts w:ascii="Times New Roman" w:hAnsi="Times New Roman" w:cs="Times New Roman"/>
          <w:sz w:val="24"/>
          <w:szCs w:val="24"/>
        </w:rPr>
      </w:pPr>
    </w:p>
    <w:p w:rsidR="00052711" w:rsidP="00704BBE" w14:paraId="72253509" w14:textId="3EA25D08">
      <w:pPr>
        <w:pStyle w:val="PlainText"/>
        <w:rPr>
          <w:rFonts w:ascii="Times New Roman" w:hAnsi="Times New Roman" w:cs="Times New Roman"/>
          <w:sz w:val="24"/>
          <w:szCs w:val="24"/>
        </w:rPr>
      </w:pPr>
      <w:r>
        <w:rPr>
          <w:rFonts w:ascii="Times New Roman" w:hAnsi="Times New Roman" w:cs="Times New Roman"/>
          <w:sz w:val="24"/>
          <w:szCs w:val="24"/>
        </w:rPr>
        <w:t>**</w:t>
      </w:r>
      <w:r w:rsidRPr="004D3481">
        <w:rPr>
          <w:rFonts w:ascii="Times New Roman" w:hAnsi="Times New Roman" w:cs="Times New Roman"/>
          <w:sz w:val="24"/>
          <w:szCs w:val="24"/>
        </w:rPr>
        <w:t xml:space="preserve">Government officials are responsible for administering 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Their annual salary </w:t>
      </w:r>
      <w:r w:rsidR="008B130C">
        <w:rPr>
          <w:rFonts w:ascii="Times New Roman" w:hAnsi="Times New Roman" w:cs="Times New Roman"/>
          <w:sz w:val="24"/>
          <w:szCs w:val="24"/>
        </w:rPr>
        <w:t xml:space="preserve">with 30 percent fringe benefits </w:t>
      </w:r>
      <w:r w:rsidRPr="004D3481">
        <w:rPr>
          <w:rFonts w:ascii="Times New Roman" w:hAnsi="Times New Roman" w:cs="Times New Roman"/>
          <w:sz w:val="24"/>
          <w:szCs w:val="24"/>
        </w:rPr>
        <w:t xml:space="preserve">(based on </w:t>
      </w:r>
      <w:r w:rsidR="00AA7E71">
        <w:rPr>
          <w:rFonts w:ascii="Times New Roman" w:hAnsi="Times New Roman" w:cs="Times New Roman"/>
          <w:sz w:val="24"/>
          <w:szCs w:val="24"/>
        </w:rPr>
        <w:t>FY 202</w:t>
      </w:r>
      <w:r w:rsidR="008F2016">
        <w:rPr>
          <w:rFonts w:ascii="Times New Roman" w:hAnsi="Times New Roman" w:cs="Times New Roman"/>
          <w:sz w:val="24"/>
          <w:szCs w:val="24"/>
        </w:rPr>
        <w:t>4</w:t>
      </w:r>
      <w:r w:rsidR="00AA7E71">
        <w:rPr>
          <w:rFonts w:ascii="Times New Roman" w:hAnsi="Times New Roman" w:cs="Times New Roman"/>
          <w:sz w:val="24"/>
          <w:szCs w:val="24"/>
        </w:rPr>
        <w:t xml:space="preserve"> </w:t>
      </w:r>
      <w:r>
        <w:rPr>
          <w:rFonts w:ascii="Times New Roman" w:hAnsi="Times New Roman" w:cs="Times New Roman"/>
          <w:sz w:val="24"/>
          <w:szCs w:val="24"/>
        </w:rPr>
        <w:t>GS-13/</w:t>
      </w:r>
      <w:r w:rsidRPr="004D3481">
        <w:rPr>
          <w:rFonts w:ascii="Times New Roman" w:hAnsi="Times New Roman" w:cs="Times New Roman"/>
          <w:sz w:val="24"/>
          <w:szCs w:val="24"/>
        </w:rPr>
        <w:t xml:space="preserve">step </w:t>
      </w:r>
      <w:r w:rsidRPr="008F1EFE">
        <w:rPr>
          <w:rFonts w:ascii="Times New Roman" w:hAnsi="Times New Roman" w:cs="Times New Roman"/>
          <w:sz w:val="24"/>
          <w:szCs w:val="24"/>
        </w:rPr>
        <w:t>5</w:t>
      </w:r>
      <w:r w:rsidRPr="004D3481">
        <w:rPr>
          <w:rFonts w:ascii="Times New Roman" w:hAnsi="Times New Roman" w:cs="Times New Roman"/>
          <w:sz w:val="24"/>
          <w:szCs w:val="24"/>
        </w:rPr>
        <w:t xml:space="preserve">) and estimated percentage of work hours devoted to the </w:t>
      </w:r>
      <w:r>
        <w:rPr>
          <w:rFonts w:ascii="Times New Roman" w:hAnsi="Times New Roman" w:cs="Times New Roman"/>
          <w:sz w:val="24"/>
          <w:szCs w:val="24"/>
        </w:rPr>
        <w:t>p</w:t>
      </w:r>
      <w:r w:rsidRPr="004D3481">
        <w:rPr>
          <w:rFonts w:ascii="Times New Roman" w:hAnsi="Times New Roman" w:cs="Times New Roman"/>
          <w:sz w:val="24"/>
          <w:szCs w:val="24"/>
        </w:rPr>
        <w:t xml:space="preserve">rogram result in an estimated </w:t>
      </w:r>
      <w:r w:rsidRPr="00AA7E71">
        <w:rPr>
          <w:rFonts w:ascii="Times New Roman" w:hAnsi="Times New Roman" w:cs="Times New Roman"/>
          <w:sz w:val="24"/>
          <w:szCs w:val="24"/>
        </w:rPr>
        <w:t>FY 20</w:t>
      </w:r>
      <w:r w:rsidRPr="00AA7E71" w:rsidR="006A5E4D">
        <w:rPr>
          <w:rFonts w:ascii="Times New Roman" w:hAnsi="Times New Roman" w:cs="Times New Roman"/>
          <w:sz w:val="24"/>
          <w:szCs w:val="24"/>
        </w:rPr>
        <w:t>2</w:t>
      </w:r>
      <w:r w:rsidR="00EB68D7">
        <w:rPr>
          <w:rFonts w:ascii="Times New Roman" w:hAnsi="Times New Roman" w:cs="Times New Roman"/>
          <w:sz w:val="24"/>
          <w:szCs w:val="24"/>
        </w:rPr>
        <w:t>5</w:t>
      </w:r>
      <w:r w:rsidRPr="00AA7E71">
        <w:rPr>
          <w:rFonts w:ascii="Times New Roman" w:hAnsi="Times New Roman" w:cs="Times New Roman"/>
          <w:sz w:val="24"/>
          <w:szCs w:val="24"/>
        </w:rPr>
        <w:t xml:space="preserve"> cost of </w:t>
      </w:r>
      <w:r w:rsidRPr="00AA7E71" w:rsidR="006A5E4D">
        <w:rPr>
          <w:rFonts w:ascii="Times New Roman" w:hAnsi="Times New Roman" w:cs="Times New Roman"/>
          <w:sz w:val="24"/>
          <w:szCs w:val="24"/>
        </w:rPr>
        <w:t>$</w:t>
      </w:r>
      <w:r w:rsidR="00F50058">
        <w:rPr>
          <w:rFonts w:ascii="Times New Roman" w:hAnsi="Times New Roman" w:cs="Times New Roman"/>
          <w:sz w:val="24"/>
          <w:szCs w:val="24"/>
        </w:rPr>
        <w:t>48,118</w:t>
      </w:r>
      <w:r w:rsidRPr="00AA7E71">
        <w:rPr>
          <w:rFonts w:ascii="Times New Roman" w:hAnsi="Times New Roman" w:cs="Times New Roman"/>
          <w:sz w:val="24"/>
          <w:szCs w:val="24"/>
        </w:rPr>
        <w:t>.</w:t>
      </w:r>
      <w:r w:rsidRPr="008F1EFE">
        <w:rPr>
          <w:rFonts w:ascii="Times New Roman" w:hAnsi="Times New Roman" w:cs="Times New Roman"/>
          <w:sz w:val="24"/>
          <w:szCs w:val="24"/>
        </w:rPr>
        <w:t xml:space="preserve">  </w:t>
      </w:r>
    </w:p>
    <w:p w:rsidR="006C4FE2" w:rsidP="00704BBE" w14:paraId="6EEE8B51" w14:textId="506386E7">
      <w:pPr>
        <w:pStyle w:val="PlainText"/>
        <w:rPr>
          <w:rFonts w:ascii="Times New Roman" w:hAnsi="Times New Roman" w:cs="Times New Roman"/>
          <w:sz w:val="24"/>
          <w:szCs w:val="24"/>
        </w:rPr>
      </w:pPr>
    </w:p>
    <w:p w:rsidR="00AA7E71" w:rsidRPr="004D3481" w:rsidP="00704BBE" w14:paraId="6A54052E" w14:textId="77777777">
      <w:pPr>
        <w:pStyle w:val="PlainText"/>
        <w:rPr>
          <w:rFonts w:ascii="Times New Roman" w:hAnsi="Times New Roman" w:cs="Times New Roman"/>
          <w:sz w:val="24"/>
          <w:szCs w:val="24"/>
        </w:rPr>
      </w:pPr>
    </w:p>
    <w:p w:rsidR="00C04518" w:rsidRPr="001A1700" w:rsidP="00C04518" w14:paraId="18707DA1" w14:textId="77777777">
      <w:pPr>
        <w:pStyle w:val="PlainText"/>
        <w:rPr>
          <w:rFonts w:ascii="Times New Roman" w:hAnsi="Times New Roman" w:cs="Times New Roman"/>
          <w:sz w:val="24"/>
          <w:szCs w:val="24"/>
        </w:rPr>
      </w:pPr>
      <w:r w:rsidRPr="00E83C20">
        <w:rPr>
          <w:rFonts w:ascii="Times New Roman" w:hAnsi="Times New Roman" w:cs="Times New Roman"/>
          <w:b/>
          <w:sz w:val="24"/>
          <w:szCs w:val="24"/>
        </w:rPr>
        <w:t xml:space="preserve">15.  </w:t>
      </w:r>
      <w:r w:rsidRPr="00C04518">
        <w:rPr>
          <w:b/>
          <w:bCs/>
        </w:rPr>
        <w:t xml:space="preserve"> </w:t>
      </w:r>
      <w:r>
        <w:rPr>
          <w:rFonts w:ascii="Times New Roman" w:hAnsi="Times New Roman"/>
          <w:b/>
          <w:bCs/>
          <w:sz w:val="24"/>
        </w:rPr>
        <w:t>Explain the reasons for any program changes or adjustments reported in Items 13 or 14 of the OMB Form 83–I.</w:t>
      </w:r>
    </w:p>
    <w:p w:rsidR="00052711" w:rsidRPr="00E83C20" w:rsidP="00704BBE" w14:paraId="2E903792" w14:textId="77777777">
      <w:pPr>
        <w:pStyle w:val="PlainText"/>
        <w:rPr>
          <w:rFonts w:ascii="Times New Roman" w:hAnsi="Times New Roman" w:cs="Times New Roman"/>
          <w:b/>
          <w:sz w:val="24"/>
          <w:szCs w:val="24"/>
        </w:rPr>
      </w:pPr>
    </w:p>
    <w:p w:rsidR="00B00CD2" w:rsidRPr="0039321B" w:rsidP="00B00CD2" w14:paraId="1A93CA4C" w14:textId="30D43670">
      <w:r>
        <w:t>This collection is an extension</w:t>
      </w:r>
      <w:r w:rsidRPr="009478B0">
        <w:t>, without change, of a previously approved collection for which approval has expired</w:t>
      </w:r>
      <w:r>
        <w:t>.</w:t>
      </w:r>
      <w:r w:rsidRPr="0039321B">
        <w:t xml:space="preserve"> </w:t>
      </w:r>
      <w:r w:rsidRPr="0039321B" w:rsidR="009662C4">
        <w:t xml:space="preserve">SUCROSE </w:t>
      </w:r>
      <w:r>
        <w:t xml:space="preserve">has </w:t>
      </w:r>
      <w:r w:rsidRPr="0039321B" w:rsidR="009662C4">
        <w:t>streamline</w:t>
      </w:r>
      <w:r w:rsidRPr="0039321B" w:rsidR="009662C4">
        <w:t xml:space="preserve"> several processes which result in a reduction in activity.  FAS reached out to several participants to so</w:t>
      </w:r>
      <w:r w:rsidRPr="0039321B" w:rsidR="009662C4">
        <w:t xml:space="preserve">licit feedback on burden estimates.  Based on feedback, the agency reduced the total annual </w:t>
      </w:r>
      <w:r w:rsidRPr="0039321B" w:rsidR="00693D76">
        <w:t>responses</w:t>
      </w:r>
      <w:r w:rsidRPr="0039321B" w:rsidR="009662C4">
        <w:t xml:space="preserve"> from 1,486 to 1,243, a decrease of 243 </w:t>
      </w:r>
      <w:r w:rsidRPr="0039321B" w:rsidR="00693D76">
        <w:t>responses</w:t>
      </w:r>
      <w:r w:rsidRPr="0039321B" w:rsidR="009662C4">
        <w:t xml:space="preserve">.  </w:t>
      </w:r>
      <w:r w:rsidRPr="0039321B">
        <w:t>The annual burden hours decreased from 428 to 309 resulting in a decrease of 119 burden hours.</w:t>
      </w:r>
    </w:p>
    <w:p w:rsidR="00693D76" w:rsidRPr="0039321B" w:rsidP="008A69F2" w14:paraId="3BFF9CF9" w14:textId="32C47A96"/>
    <w:p w:rsidR="00930FAB" w:rsidP="00B00CD2" w14:paraId="3EBD3BF8" w14:textId="015F5C6D">
      <w:r w:rsidRPr="0039321B">
        <w:t xml:space="preserve">FAS </w:t>
      </w:r>
      <w:r w:rsidRPr="0039321B" w:rsidR="00B00CD2">
        <w:t xml:space="preserve">also </w:t>
      </w:r>
      <w:r w:rsidRPr="0039321B">
        <w:t xml:space="preserve">reduced the number of respondents from </w:t>
      </w:r>
      <w:r w:rsidRPr="0039321B" w:rsidR="00693D76">
        <w:t xml:space="preserve">333 to 301 as licensees who haven’t reported for </w:t>
      </w:r>
      <w:r w:rsidRPr="0039321B" w:rsidR="00B00CD2">
        <w:t>three</w:t>
      </w:r>
      <w:r w:rsidRPr="0039321B" w:rsidR="00693D76">
        <w:t xml:space="preserve"> or more years </w:t>
      </w:r>
      <w:r w:rsidRPr="0039321B" w:rsidR="00B00CD2">
        <w:t xml:space="preserve">have </w:t>
      </w:r>
      <w:r w:rsidRPr="0039321B" w:rsidR="00693D76">
        <w:t xml:space="preserve">had their access deactivated.  </w:t>
      </w:r>
    </w:p>
    <w:p w:rsidR="009662C4" w:rsidP="008A69F2" w14:paraId="451242FE" w14:textId="7E3F61DA"/>
    <w:p w:rsidR="00052711" w:rsidRPr="00E83C20" w:rsidP="00704BBE" w14:paraId="54BDD5E6" w14:textId="77777777">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16.  </w:t>
      </w:r>
      <w:r w:rsidRPr="00C04518" w:rsidR="00C04518">
        <w:rPr>
          <w:rFonts w:ascii="Times New Roman" w:hAnsi="Times New Roman"/>
          <w:b/>
          <w:bCs/>
          <w:sz w:val="24"/>
        </w:rPr>
        <w:t xml:space="preserve"> </w:t>
      </w:r>
      <w:r w:rsidR="00C04518">
        <w:rPr>
          <w:rFonts w:ascii="Times New Roman" w:hAnsi="Times New Roman"/>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52711" w:rsidRPr="004D3481" w:rsidP="00704BBE" w14:paraId="11C3C2A8" w14:textId="77777777">
      <w:pPr>
        <w:pStyle w:val="PlainText"/>
        <w:rPr>
          <w:rFonts w:ascii="Times New Roman" w:hAnsi="Times New Roman" w:cs="Times New Roman"/>
          <w:sz w:val="24"/>
          <w:szCs w:val="24"/>
        </w:rPr>
      </w:pPr>
    </w:p>
    <w:p w:rsidR="00052711" w:rsidP="00704BBE" w14:paraId="1E0F624D" w14:textId="77777777">
      <w:pPr>
        <w:pStyle w:val="PlainText"/>
        <w:rPr>
          <w:rFonts w:ascii="Times New Roman" w:hAnsi="Times New Roman" w:cs="Times New Roman"/>
          <w:sz w:val="24"/>
          <w:szCs w:val="24"/>
        </w:rPr>
      </w:pPr>
      <w:r w:rsidRPr="002C33B7">
        <w:rPr>
          <w:rFonts w:ascii="Times New Roman" w:hAnsi="Times New Roman" w:cs="Times New Roman"/>
          <w:sz w:val="24"/>
          <w:szCs w:val="24"/>
        </w:rPr>
        <w:t>This collection of information will not be published.</w:t>
      </w:r>
    </w:p>
    <w:p w:rsidR="001D6C17" w:rsidP="00704BBE" w14:paraId="4F3AF173" w14:textId="77777777">
      <w:pPr>
        <w:pStyle w:val="PlainText"/>
        <w:rPr>
          <w:rFonts w:ascii="Times New Roman" w:hAnsi="Times New Roman" w:cs="Times New Roman"/>
          <w:sz w:val="24"/>
          <w:szCs w:val="24"/>
        </w:rPr>
      </w:pPr>
    </w:p>
    <w:p w:rsidR="00052711" w:rsidRPr="00D4158F" w:rsidP="00704BBE" w14:paraId="234D9B93" w14:textId="77777777">
      <w:pPr>
        <w:pStyle w:val="PlainText"/>
        <w:rPr>
          <w:rFonts w:ascii="Times New Roman" w:hAnsi="Times New Roman" w:cs="Times New Roman"/>
          <w:b/>
          <w:sz w:val="24"/>
          <w:szCs w:val="24"/>
        </w:rPr>
      </w:pPr>
      <w:r w:rsidRPr="00D4158F">
        <w:rPr>
          <w:rFonts w:ascii="Times New Roman" w:hAnsi="Times New Roman" w:cs="Times New Roman"/>
          <w:b/>
          <w:sz w:val="24"/>
          <w:szCs w:val="24"/>
        </w:rPr>
        <w:t xml:space="preserve">17.  </w:t>
      </w:r>
      <w:r w:rsidRPr="00D4158F" w:rsidR="00C04518">
        <w:rPr>
          <w:rFonts w:ascii="Times New Roman" w:hAnsi="Times New Roman" w:cs="Times New Roman"/>
          <w:b/>
          <w:bCs/>
          <w:sz w:val="24"/>
          <w:szCs w:val="24"/>
        </w:rPr>
        <w:t xml:space="preserve"> If seeking approval to not display the expiration date for OMB approval of the information collection, explain the reasons that display would be inappropriate.</w:t>
      </w:r>
    </w:p>
    <w:p w:rsidR="00052711" w:rsidRPr="00D4158F" w:rsidP="00704BBE" w14:paraId="73562539" w14:textId="77777777">
      <w:pPr>
        <w:pStyle w:val="PlainText"/>
        <w:rPr>
          <w:rFonts w:ascii="Times New Roman" w:hAnsi="Times New Roman" w:cs="Times New Roman"/>
          <w:sz w:val="24"/>
          <w:szCs w:val="24"/>
        </w:rPr>
      </w:pPr>
    </w:p>
    <w:p w:rsidR="00052711" w:rsidP="00704BBE" w14:paraId="4ADEFF35" w14:textId="77777777">
      <w:pPr>
        <w:pStyle w:val="PlainText"/>
        <w:rPr>
          <w:rFonts w:ascii="Times New Roman" w:hAnsi="Times New Roman" w:cs="Times New Roman"/>
          <w:sz w:val="24"/>
          <w:szCs w:val="24"/>
        </w:rPr>
      </w:pPr>
      <w:r>
        <w:rPr>
          <w:rFonts w:ascii="Times New Roman" w:hAnsi="Times New Roman" w:cs="Times New Roman"/>
          <w:sz w:val="24"/>
          <w:szCs w:val="24"/>
        </w:rPr>
        <w:t>There are no forms in this collection.</w:t>
      </w:r>
    </w:p>
    <w:p w:rsidR="00052711" w:rsidRPr="004D3481" w:rsidP="00704BBE" w14:paraId="67F165B3" w14:textId="77777777">
      <w:pPr>
        <w:pStyle w:val="PlainText"/>
        <w:rPr>
          <w:rFonts w:ascii="Times New Roman" w:hAnsi="Times New Roman" w:cs="Times New Roman"/>
          <w:sz w:val="24"/>
          <w:szCs w:val="24"/>
        </w:rPr>
      </w:pPr>
    </w:p>
    <w:p w:rsidR="00C04518" w:rsidP="00C04518" w14:paraId="32D76EE0" w14:textId="77777777">
      <w:pPr>
        <w:rPr>
          <w:b/>
          <w:bCs/>
        </w:rPr>
      </w:pPr>
      <w:r w:rsidRPr="00E83C20">
        <w:rPr>
          <w:b/>
        </w:rPr>
        <w:t xml:space="preserve">18.  </w:t>
      </w:r>
      <w:r w:rsidRPr="00C04518">
        <w:rPr>
          <w:b/>
          <w:bCs/>
        </w:rPr>
        <w:t xml:space="preserve"> </w:t>
      </w:r>
      <w:r>
        <w:rPr>
          <w:b/>
          <w:bCs/>
        </w:rPr>
        <w:t>Explain each exception to the certification statement identified in Item 19, “Certification for Paperwork Reduction Act Submissions” of OMB Form 83–1.</w:t>
      </w:r>
    </w:p>
    <w:p w:rsidR="00052711" w:rsidRPr="004D3481" w:rsidP="00704BBE" w14:paraId="0DC561F7" w14:textId="77777777">
      <w:pPr>
        <w:pStyle w:val="PlainText"/>
        <w:rPr>
          <w:rFonts w:ascii="Times New Roman" w:hAnsi="Times New Roman" w:cs="Times New Roman"/>
          <w:sz w:val="24"/>
          <w:szCs w:val="24"/>
        </w:rPr>
      </w:pPr>
      <w:r w:rsidRPr="004D3481">
        <w:rPr>
          <w:rFonts w:ascii="Times New Roman" w:hAnsi="Times New Roman" w:cs="Times New Roman"/>
          <w:sz w:val="24"/>
          <w:szCs w:val="24"/>
        </w:rPr>
        <w:t>There are no exceptions.</w:t>
      </w:r>
    </w:p>
    <w:p w:rsidR="00052711" w:rsidRPr="004D3481" w:rsidP="00704BBE" w14:paraId="684C0B5B" w14:textId="77777777">
      <w:pPr>
        <w:pStyle w:val="PlainText"/>
        <w:rPr>
          <w:rFonts w:ascii="Times New Roman" w:hAnsi="Times New Roman" w:cs="Times New Roman"/>
          <w:sz w:val="24"/>
          <w:szCs w:val="24"/>
        </w:rPr>
      </w:pPr>
    </w:p>
    <w:p w:rsidR="00052711" w:rsidRPr="00CB15D7" w:rsidP="00704BBE" w14:paraId="485C9EF7" w14:textId="77777777">
      <w:pPr>
        <w:pStyle w:val="PlainText"/>
        <w:rPr>
          <w:rFonts w:ascii="Times New Roman" w:hAnsi="Times New Roman" w:cs="Times New Roman"/>
          <w:b/>
          <w:sz w:val="24"/>
          <w:szCs w:val="24"/>
        </w:rPr>
      </w:pPr>
      <w:r w:rsidRPr="00CB15D7">
        <w:rPr>
          <w:rFonts w:ascii="Times New Roman" w:hAnsi="Times New Roman" w:cs="Times New Roman"/>
          <w:b/>
          <w:sz w:val="24"/>
          <w:szCs w:val="24"/>
        </w:rPr>
        <w:t>B.  COLLECTION OF INFORMATION EMPLOYING STATISTICAL METHODS</w:t>
      </w:r>
    </w:p>
    <w:p w:rsidR="00052711" w:rsidRPr="004D3481" w:rsidP="00704BBE" w14:paraId="244B3BB4" w14:textId="77777777">
      <w:pPr>
        <w:pStyle w:val="PlainText"/>
        <w:rPr>
          <w:rFonts w:ascii="Times New Roman" w:hAnsi="Times New Roman" w:cs="Times New Roman"/>
          <w:sz w:val="24"/>
          <w:szCs w:val="24"/>
        </w:rPr>
      </w:pPr>
    </w:p>
    <w:p w:rsidR="00052711" w:rsidP="00704BBE" w14:paraId="753E374A" w14:textId="77777777">
      <w:r w:rsidRPr="004D3481">
        <w:t>The collection of data does not employ statistical methods.</w:t>
      </w:r>
    </w:p>
    <w:sectPr w:rsidSect="00B77635">
      <w:headerReference w:type="default" r:id="rId9"/>
      <w:footerReference w:type="default" r:id="rId10"/>
      <w:pgSz w:w="12240" w:h="15840"/>
      <w:pgMar w:top="720" w:right="1296" w:bottom="720" w:left="1296"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96546321"/>
      <w:docPartObj>
        <w:docPartGallery w:val="Page Numbers (Bottom of Page)"/>
        <w:docPartUnique/>
      </w:docPartObj>
    </w:sdtPr>
    <w:sdtEndPr>
      <w:rPr>
        <w:noProof/>
      </w:rPr>
    </w:sdtEndPr>
    <w:sdtContent>
      <w:p w:rsidR="008E6210" w14:paraId="4ED9D673" w14:textId="77777777">
        <w:pPr>
          <w:pStyle w:val="Footer"/>
          <w:jc w:val="center"/>
        </w:pPr>
        <w:r>
          <w:fldChar w:fldCharType="begin"/>
        </w:r>
        <w:r>
          <w:instrText xml:space="preserve"> PAGE   \* MERGEFORMAT </w:instrText>
        </w:r>
        <w:r>
          <w:fldChar w:fldCharType="separate"/>
        </w:r>
        <w:r w:rsidR="00FA7213">
          <w:rPr>
            <w:noProof/>
          </w:rPr>
          <w:t>7</w:t>
        </w:r>
        <w:r>
          <w:rPr>
            <w:noProof/>
          </w:rPr>
          <w:fldChar w:fldCharType="end"/>
        </w:r>
      </w:p>
    </w:sdtContent>
  </w:sdt>
  <w:p w:rsidR="008E6210" w14:paraId="1604C8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27CFC" w:rsidP="00027CFC" w14:paraId="145DB62D" w14:textId="77DA23CC">
    <w:pPr>
      <w:pStyle w:val="Header"/>
      <w:jc w:val="right"/>
    </w:pPr>
    <w:r>
      <w:t xml:space="preserve">Paperwork Reduction Act Submission </w:t>
    </w:r>
    <w:r>
      <w:t xml:space="preserve">OMB </w:t>
    </w:r>
    <w:r>
      <w:t>##</w:t>
    </w:r>
    <w:r>
      <w:t xml:space="preserve"> 0551-0015</w:t>
    </w:r>
  </w:p>
  <w:p w:rsidR="00B77635" w:rsidP="00027CFC" w14:paraId="069C4C16"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D3306B"/>
    <w:multiLevelType w:val="hybridMultilevel"/>
    <w:tmpl w:val="C0CA9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15647F"/>
    <w:multiLevelType w:val="hybridMultilevel"/>
    <w:tmpl w:val="29B09E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AC16E6"/>
    <w:multiLevelType w:val="hybridMultilevel"/>
    <w:tmpl w:val="3B54529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
    <w:nsid w:val="3D523FA3"/>
    <w:multiLevelType w:val="hybridMultilevel"/>
    <w:tmpl w:val="BA1C7A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7F02B8"/>
    <w:multiLevelType w:val="hybridMultilevel"/>
    <w:tmpl w:val="91142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B47FEE"/>
    <w:multiLevelType w:val="hybridMultilevel"/>
    <w:tmpl w:val="9F3AF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2480870">
    <w:abstractNumId w:val="4"/>
  </w:num>
  <w:num w:numId="2" w16cid:durableId="1424110759">
    <w:abstractNumId w:val="3"/>
  </w:num>
  <w:num w:numId="3" w16cid:durableId="10302873">
    <w:abstractNumId w:val="5"/>
  </w:num>
  <w:num w:numId="4" w16cid:durableId="1651054645">
    <w:abstractNumId w:val="1"/>
  </w:num>
  <w:num w:numId="5" w16cid:durableId="643973255">
    <w:abstractNumId w:val="0"/>
  </w:num>
  <w:num w:numId="6" w16cid:durableId="231362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gland-Greene, Rachelle - OCIO-OCIO, DC">
    <w15:presenceInfo w15:providerId="AD" w15:userId="S::rachelle.ragland-greene@usda.gov::b22f69bd-7b27-4450-9903-9c04f006b98a"/>
  </w15:person>
  <w15:person w15:author="Vernon, Kenneth - TFAA-FAS, DC">
    <w15:presenceInfo w15:providerId="AD" w15:userId="S::Kenneth.Vernon@usda.gov::7964c21b-04ed-493b-88fe-fe11d3e78f12"/>
  </w15:person>
  <w15:person w15:author="Daniels, Dylan - TFAA-FAS, DC">
    <w15:presenceInfo w15:providerId="AD" w15:userId="S::Dylan.Daniels@usda.gov::408ec2f4-32fb-4e1b-8725-4a40de6725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revisionView w:comments="1" w:formatting="1" w:inkAnnotations="1" w:insDel="1" w:markup="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32"/>
    <w:rsid w:val="00001D45"/>
    <w:rsid w:val="000135D8"/>
    <w:rsid w:val="00013CE7"/>
    <w:rsid w:val="00014C94"/>
    <w:rsid w:val="0002383C"/>
    <w:rsid w:val="000239A7"/>
    <w:rsid w:val="000270A2"/>
    <w:rsid w:val="00027B4B"/>
    <w:rsid w:val="00027CFC"/>
    <w:rsid w:val="00037F09"/>
    <w:rsid w:val="00040420"/>
    <w:rsid w:val="00041B96"/>
    <w:rsid w:val="00052711"/>
    <w:rsid w:val="00053563"/>
    <w:rsid w:val="00056234"/>
    <w:rsid w:val="00062471"/>
    <w:rsid w:val="000654B2"/>
    <w:rsid w:val="00065E2D"/>
    <w:rsid w:val="00065F46"/>
    <w:rsid w:val="000762DE"/>
    <w:rsid w:val="00077435"/>
    <w:rsid w:val="000820D4"/>
    <w:rsid w:val="0009040F"/>
    <w:rsid w:val="0009429C"/>
    <w:rsid w:val="000A1362"/>
    <w:rsid w:val="000A2614"/>
    <w:rsid w:val="000A37E4"/>
    <w:rsid w:val="000B65D2"/>
    <w:rsid w:val="000C22AD"/>
    <w:rsid w:val="000C54CF"/>
    <w:rsid w:val="000C67D2"/>
    <w:rsid w:val="000D735D"/>
    <w:rsid w:val="000E19EA"/>
    <w:rsid w:val="000E1FFD"/>
    <w:rsid w:val="000F7548"/>
    <w:rsid w:val="00101A29"/>
    <w:rsid w:val="0010490E"/>
    <w:rsid w:val="00105D07"/>
    <w:rsid w:val="00110497"/>
    <w:rsid w:val="001112A8"/>
    <w:rsid w:val="001141F1"/>
    <w:rsid w:val="00122967"/>
    <w:rsid w:val="00126D94"/>
    <w:rsid w:val="0014452F"/>
    <w:rsid w:val="0015062A"/>
    <w:rsid w:val="00150EFB"/>
    <w:rsid w:val="001546CA"/>
    <w:rsid w:val="001565B9"/>
    <w:rsid w:val="00161F0F"/>
    <w:rsid w:val="00172688"/>
    <w:rsid w:val="00183E22"/>
    <w:rsid w:val="00191AAB"/>
    <w:rsid w:val="001A1700"/>
    <w:rsid w:val="001B3C64"/>
    <w:rsid w:val="001C586F"/>
    <w:rsid w:val="001D0727"/>
    <w:rsid w:val="001D2031"/>
    <w:rsid w:val="001D6C17"/>
    <w:rsid w:val="001D79DF"/>
    <w:rsid w:val="001E2DEF"/>
    <w:rsid w:val="001F0AE0"/>
    <w:rsid w:val="0020065A"/>
    <w:rsid w:val="00212AD3"/>
    <w:rsid w:val="00227A53"/>
    <w:rsid w:val="00231E70"/>
    <w:rsid w:val="0023667D"/>
    <w:rsid w:val="0023765D"/>
    <w:rsid w:val="002453E4"/>
    <w:rsid w:val="00260778"/>
    <w:rsid w:val="00265415"/>
    <w:rsid w:val="00266D42"/>
    <w:rsid w:val="0027276A"/>
    <w:rsid w:val="00273A3C"/>
    <w:rsid w:val="002864DE"/>
    <w:rsid w:val="00290506"/>
    <w:rsid w:val="002905EA"/>
    <w:rsid w:val="002969C2"/>
    <w:rsid w:val="002A2924"/>
    <w:rsid w:val="002A4819"/>
    <w:rsid w:val="002A5B0A"/>
    <w:rsid w:val="002B05E1"/>
    <w:rsid w:val="002B2ED6"/>
    <w:rsid w:val="002C1768"/>
    <w:rsid w:val="002C2E1A"/>
    <w:rsid w:val="002C2F78"/>
    <w:rsid w:val="002C33B7"/>
    <w:rsid w:val="002C3AAF"/>
    <w:rsid w:val="002C4102"/>
    <w:rsid w:val="002D5BBD"/>
    <w:rsid w:val="002D7A93"/>
    <w:rsid w:val="002E030B"/>
    <w:rsid w:val="002E2CEC"/>
    <w:rsid w:val="002F196D"/>
    <w:rsid w:val="002F2D51"/>
    <w:rsid w:val="002F3556"/>
    <w:rsid w:val="0030197B"/>
    <w:rsid w:val="003043DA"/>
    <w:rsid w:val="003104AB"/>
    <w:rsid w:val="00310996"/>
    <w:rsid w:val="0031236D"/>
    <w:rsid w:val="003140FA"/>
    <w:rsid w:val="00326FD2"/>
    <w:rsid w:val="003330E7"/>
    <w:rsid w:val="0033667B"/>
    <w:rsid w:val="00340F48"/>
    <w:rsid w:val="003435E7"/>
    <w:rsid w:val="00344992"/>
    <w:rsid w:val="003559EF"/>
    <w:rsid w:val="00365AD2"/>
    <w:rsid w:val="0039321B"/>
    <w:rsid w:val="003A4846"/>
    <w:rsid w:val="003C0232"/>
    <w:rsid w:val="003C35EA"/>
    <w:rsid w:val="003D3D8F"/>
    <w:rsid w:val="003D6D1B"/>
    <w:rsid w:val="003D74DE"/>
    <w:rsid w:val="003F0070"/>
    <w:rsid w:val="00403201"/>
    <w:rsid w:val="00405537"/>
    <w:rsid w:val="00411E08"/>
    <w:rsid w:val="00423AF9"/>
    <w:rsid w:val="004248E5"/>
    <w:rsid w:val="00425379"/>
    <w:rsid w:val="004300F6"/>
    <w:rsid w:val="004336DA"/>
    <w:rsid w:val="004346CD"/>
    <w:rsid w:val="00442034"/>
    <w:rsid w:val="00450AD4"/>
    <w:rsid w:val="00450DE8"/>
    <w:rsid w:val="00454E2A"/>
    <w:rsid w:val="00460186"/>
    <w:rsid w:val="004732F5"/>
    <w:rsid w:val="00473D59"/>
    <w:rsid w:val="004820FC"/>
    <w:rsid w:val="00484F2A"/>
    <w:rsid w:val="00487318"/>
    <w:rsid w:val="004A04CB"/>
    <w:rsid w:val="004A16F3"/>
    <w:rsid w:val="004A2A78"/>
    <w:rsid w:val="004A39D9"/>
    <w:rsid w:val="004A6957"/>
    <w:rsid w:val="004A7129"/>
    <w:rsid w:val="004A73C4"/>
    <w:rsid w:val="004B3AA5"/>
    <w:rsid w:val="004B7419"/>
    <w:rsid w:val="004B7DCC"/>
    <w:rsid w:val="004D1815"/>
    <w:rsid w:val="004D3481"/>
    <w:rsid w:val="004E2D9F"/>
    <w:rsid w:val="004F30BB"/>
    <w:rsid w:val="00515646"/>
    <w:rsid w:val="005165E2"/>
    <w:rsid w:val="005233C3"/>
    <w:rsid w:val="00535B93"/>
    <w:rsid w:val="00536386"/>
    <w:rsid w:val="0053686B"/>
    <w:rsid w:val="00537FE5"/>
    <w:rsid w:val="00542F4A"/>
    <w:rsid w:val="00565D80"/>
    <w:rsid w:val="0057320A"/>
    <w:rsid w:val="00583116"/>
    <w:rsid w:val="0058411E"/>
    <w:rsid w:val="005876B0"/>
    <w:rsid w:val="005877AD"/>
    <w:rsid w:val="00591773"/>
    <w:rsid w:val="005B4A4C"/>
    <w:rsid w:val="005C57DC"/>
    <w:rsid w:val="005D7D5F"/>
    <w:rsid w:val="005E2C6A"/>
    <w:rsid w:val="005F3932"/>
    <w:rsid w:val="00601933"/>
    <w:rsid w:val="00602BAD"/>
    <w:rsid w:val="006131AD"/>
    <w:rsid w:val="006143E4"/>
    <w:rsid w:val="006173C6"/>
    <w:rsid w:val="00627E43"/>
    <w:rsid w:val="006331F7"/>
    <w:rsid w:val="00644C7D"/>
    <w:rsid w:val="00650A1D"/>
    <w:rsid w:val="0065102E"/>
    <w:rsid w:val="0065166C"/>
    <w:rsid w:val="00651671"/>
    <w:rsid w:val="00651803"/>
    <w:rsid w:val="0065392E"/>
    <w:rsid w:val="00653DC7"/>
    <w:rsid w:val="006634CA"/>
    <w:rsid w:val="00666C00"/>
    <w:rsid w:val="00671D2E"/>
    <w:rsid w:val="00674D4C"/>
    <w:rsid w:val="0068456C"/>
    <w:rsid w:val="00693D76"/>
    <w:rsid w:val="00694B7D"/>
    <w:rsid w:val="006973E8"/>
    <w:rsid w:val="006A193C"/>
    <w:rsid w:val="006A3CB7"/>
    <w:rsid w:val="006A3FFE"/>
    <w:rsid w:val="006A5E4D"/>
    <w:rsid w:val="006A72CA"/>
    <w:rsid w:val="006B333B"/>
    <w:rsid w:val="006B3FE3"/>
    <w:rsid w:val="006B4632"/>
    <w:rsid w:val="006C4FE2"/>
    <w:rsid w:val="006D54F7"/>
    <w:rsid w:val="006E0973"/>
    <w:rsid w:val="006E27A9"/>
    <w:rsid w:val="00704BBE"/>
    <w:rsid w:val="007060AF"/>
    <w:rsid w:val="007153A8"/>
    <w:rsid w:val="00734DC7"/>
    <w:rsid w:val="00735484"/>
    <w:rsid w:val="00737823"/>
    <w:rsid w:val="00744249"/>
    <w:rsid w:val="007443EA"/>
    <w:rsid w:val="0074665B"/>
    <w:rsid w:val="007467B1"/>
    <w:rsid w:val="007506DD"/>
    <w:rsid w:val="007551C6"/>
    <w:rsid w:val="007602D0"/>
    <w:rsid w:val="00762332"/>
    <w:rsid w:val="00764347"/>
    <w:rsid w:val="00767D76"/>
    <w:rsid w:val="00767FA3"/>
    <w:rsid w:val="007815E6"/>
    <w:rsid w:val="00792A5C"/>
    <w:rsid w:val="00794484"/>
    <w:rsid w:val="007964C4"/>
    <w:rsid w:val="007A01D1"/>
    <w:rsid w:val="007A225F"/>
    <w:rsid w:val="007A52A1"/>
    <w:rsid w:val="007A5D85"/>
    <w:rsid w:val="007C150D"/>
    <w:rsid w:val="007C3BA1"/>
    <w:rsid w:val="007C4BE7"/>
    <w:rsid w:val="007C53A7"/>
    <w:rsid w:val="007D0EF4"/>
    <w:rsid w:val="007D25AD"/>
    <w:rsid w:val="007E244F"/>
    <w:rsid w:val="007E60F4"/>
    <w:rsid w:val="007F2C22"/>
    <w:rsid w:val="007F6FE6"/>
    <w:rsid w:val="007F71C7"/>
    <w:rsid w:val="0080047D"/>
    <w:rsid w:val="0080665C"/>
    <w:rsid w:val="008115BA"/>
    <w:rsid w:val="00814A2E"/>
    <w:rsid w:val="00833A48"/>
    <w:rsid w:val="00835CCF"/>
    <w:rsid w:val="008410C8"/>
    <w:rsid w:val="0084312C"/>
    <w:rsid w:val="00844A2B"/>
    <w:rsid w:val="008463C5"/>
    <w:rsid w:val="008502F4"/>
    <w:rsid w:val="00851201"/>
    <w:rsid w:val="0085773A"/>
    <w:rsid w:val="00861233"/>
    <w:rsid w:val="008677CE"/>
    <w:rsid w:val="00867A1E"/>
    <w:rsid w:val="0087519C"/>
    <w:rsid w:val="00882320"/>
    <w:rsid w:val="00884BC9"/>
    <w:rsid w:val="00885286"/>
    <w:rsid w:val="00892602"/>
    <w:rsid w:val="00892BA6"/>
    <w:rsid w:val="00894BCD"/>
    <w:rsid w:val="008956E0"/>
    <w:rsid w:val="008A41B4"/>
    <w:rsid w:val="008A5403"/>
    <w:rsid w:val="008A69F2"/>
    <w:rsid w:val="008B130C"/>
    <w:rsid w:val="008C31B4"/>
    <w:rsid w:val="008E6210"/>
    <w:rsid w:val="008F0557"/>
    <w:rsid w:val="008F1EFE"/>
    <w:rsid w:val="008F2016"/>
    <w:rsid w:val="008F7338"/>
    <w:rsid w:val="009038B5"/>
    <w:rsid w:val="009223F3"/>
    <w:rsid w:val="009254AD"/>
    <w:rsid w:val="00925B80"/>
    <w:rsid w:val="00930FAB"/>
    <w:rsid w:val="0093590A"/>
    <w:rsid w:val="00945FE4"/>
    <w:rsid w:val="009478B0"/>
    <w:rsid w:val="00952AAF"/>
    <w:rsid w:val="00953B66"/>
    <w:rsid w:val="0095462C"/>
    <w:rsid w:val="00955F1F"/>
    <w:rsid w:val="00961896"/>
    <w:rsid w:val="00961945"/>
    <w:rsid w:val="009662C4"/>
    <w:rsid w:val="00966FAC"/>
    <w:rsid w:val="00983ABF"/>
    <w:rsid w:val="009869B6"/>
    <w:rsid w:val="00987991"/>
    <w:rsid w:val="0099471D"/>
    <w:rsid w:val="00995929"/>
    <w:rsid w:val="009A2A8A"/>
    <w:rsid w:val="009A623D"/>
    <w:rsid w:val="009A780B"/>
    <w:rsid w:val="009B2CC5"/>
    <w:rsid w:val="009B56F1"/>
    <w:rsid w:val="009B6E69"/>
    <w:rsid w:val="009B7D5B"/>
    <w:rsid w:val="009C327F"/>
    <w:rsid w:val="009D3756"/>
    <w:rsid w:val="00A03649"/>
    <w:rsid w:val="00A05710"/>
    <w:rsid w:val="00A06496"/>
    <w:rsid w:val="00A068CE"/>
    <w:rsid w:val="00A11EDF"/>
    <w:rsid w:val="00A121A1"/>
    <w:rsid w:val="00A34372"/>
    <w:rsid w:val="00A349C2"/>
    <w:rsid w:val="00A3563F"/>
    <w:rsid w:val="00A41941"/>
    <w:rsid w:val="00A504F7"/>
    <w:rsid w:val="00A65971"/>
    <w:rsid w:val="00A65C50"/>
    <w:rsid w:val="00A70FFB"/>
    <w:rsid w:val="00A712E7"/>
    <w:rsid w:val="00A7195F"/>
    <w:rsid w:val="00A8006D"/>
    <w:rsid w:val="00A977C8"/>
    <w:rsid w:val="00A97E66"/>
    <w:rsid w:val="00AA7E71"/>
    <w:rsid w:val="00AB49ED"/>
    <w:rsid w:val="00AB5D87"/>
    <w:rsid w:val="00AC7043"/>
    <w:rsid w:val="00AD309C"/>
    <w:rsid w:val="00AE2D0B"/>
    <w:rsid w:val="00AE3221"/>
    <w:rsid w:val="00AE5702"/>
    <w:rsid w:val="00AF12CD"/>
    <w:rsid w:val="00AF3AD9"/>
    <w:rsid w:val="00AF6CDE"/>
    <w:rsid w:val="00B00CD2"/>
    <w:rsid w:val="00B15893"/>
    <w:rsid w:val="00B179AB"/>
    <w:rsid w:val="00B17AC6"/>
    <w:rsid w:val="00B444A2"/>
    <w:rsid w:val="00B45FEA"/>
    <w:rsid w:val="00B56142"/>
    <w:rsid w:val="00B7335F"/>
    <w:rsid w:val="00B73A26"/>
    <w:rsid w:val="00B77635"/>
    <w:rsid w:val="00B90EC7"/>
    <w:rsid w:val="00BB00C3"/>
    <w:rsid w:val="00BB04B2"/>
    <w:rsid w:val="00BC248A"/>
    <w:rsid w:val="00BC44C5"/>
    <w:rsid w:val="00BC529F"/>
    <w:rsid w:val="00BE102E"/>
    <w:rsid w:val="00BF650E"/>
    <w:rsid w:val="00C008C2"/>
    <w:rsid w:val="00C01CA3"/>
    <w:rsid w:val="00C04518"/>
    <w:rsid w:val="00C05F31"/>
    <w:rsid w:val="00C074C9"/>
    <w:rsid w:val="00C1161C"/>
    <w:rsid w:val="00C14715"/>
    <w:rsid w:val="00C15FB4"/>
    <w:rsid w:val="00C16ED2"/>
    <w:rsid w:val="00C22FF5"/>
    <w:rsid w:val="00C3269A"/>
    <w:rsid w:val="00C36FF0"/>
    <w:rsid w:val="00C40ABD"/>
    <w:rsid w:val="00C532D4"/>
    <w:rsid w:val="00C53A87"/>
    <w:rsid w:val="00C82F66"/>
    <w:rsid w:val="00C83327"/>
    <w:rsid w:val="00C84189"/>
    <w:rsid w:val="00C90386"/>
    <w:rsid w:val="00C908C7"/>
    <w:rsid w:val="00C90D0A"/>
    <w:rsid w:val="00CB03EE"/>
    <w:rsid w:val="00CB15D7"/>
    <w:rsid w:val="00CC62C3"/>
    <w:rsid w:val="00CD5C49"/>
    <w:rsid w:val="00CE255A"/>
    <w:rsid w:val="00CF0073"/>
    <w:rsid w:val="00CF22FF"/>
    <w:rsid w:val="00CF2E2E"/>
    <w:rsid w:val="00CF3051"/>
    <w:rsid w:val="00CF518E"/>
    <w:rsid w:val="00CF7797"/>
    <w:rsid w:val="00D00998"/>
    <w:rsid w:val="00D00B06"/>
    <w:rsid w:val="00D02F90"/>
    <w:rsid w:val="00D042A5"/>
    <w:rsid w:val="00D22C4D"/>
    <w:rsid w:val="00D23139"/>
    <w:rsid w:val="00D24058"/>
    <w:rsid w:val="00D26EB3"/>
    <w:rsid w:val="00D3347D"/>
    <w:rsid w:val="00D4158F"/>
    <w:rsid w:val="00D5449E"/>
    <w:rsid w:val="00D61F8A"/>
    <w:rsid w:val="00D81E28"/>
    <w:rsid w:val="00D93598"/>
    <w:rsid w:val="00D96F29"/>
    <w:rsid w:val="00DA77B9"/>
    <w:rsid w:val="00DC4A99"/>
    <w:rsid w:val="00DC77CA"/>
    <w:rsid w:val="00DC7ED6"/>
    <w:rsid w:val="00DE436C"/>
    <w:rsid w:val="00DF2DD1"/>
    <w:rsid w:val="00DF3538"/>
    <w:rsid w:val="00DF3A1C"/>
    <w:rsid w:val="00E05472"/>
    <w:rsid w:val="00E3127A"/>
    <w:rsid w:val="00E32711"/>
    <w:rsid w:val="00E437B4"/>
    <w:rsid w:val="00E57519"/>
    <w:rsid w:val="00E63F94"/>
    <w:rsid w:val="00E75A40"/>
    <w:rsid w:val="00E83C20"/>
    <w:rsid w:val="00E84265"/>
    <w:rsid w:val="00E85B76"/>
    <w:rsid w:val="00E92D58"/>
    <w:rsid w:val="00E97BAA"/>
    <w:rsid w:val="00EB0506"/>
    <w:rsid w:val="00EB20F6"/>
    <w:rsid w:val="00EB3780"/>
    <w:rsid w:val="00EB68D7"/>
    <w:rsid w:val="00EC5CAB"/>
    <w:rsid w:val="00EF755C"/>
    <w:rsid w:val="00F026C4"/>
    <w:rsid w:val="00F05182"/>
    <w:rsid w:val="00F12D79"/>
    <w:rsid w:val="00F17E7D"/>
    <w:rsid w:val="00F208F7"/>
    <w:rsid w:val="00F21A3A"/>
    <w:rsid w:val="00F261B9"/>
    <w:rsid w:val="00F34AD0"/>
    <w:rsid w:val="00F50058"/>
    <w:rsid w:val="00F515A3"/>
    <w:rsid w:val="00F52C7F"/>
    <w:rsid w:val="00F62099"/>
    <w:rsid w:val="00F62530"/>
    <w:rsid w:val="00F75D9F"/>
    <w:rsid w:val="00F83DA5"/>
    <w:rsid w:val="00F956B5"/>
    <w:rsid w:val="00F959D7"/>
    <w:rsid w:val="00FA0A74"/>
    <w:rsid w:val="00FA3131"/>
    <w:rsid w:val="00FA7213"/>
    <w:rsid w:val="00FB2B3B"/>
    <w:rsid w:val="00FB3F1C"/>
    <w:rsid w:val="00FB4CE6"/>
    <w:rsid w:val="00FB71E4"/>
    <w:rsid w:val="00FB7B94"/>
    <w:rsid w:val="00FC1FEE"/>
    <w:rsid w:val="00FC71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CDF972"/>
  <w15:docId w15:val="{B9B78135-CB9B-425D-A500-8C6F6315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232"/>
    <w:rPr>
      <w:rFonts w:ascii="Times New Roman" w:eastAsia="Times New Roman" w:hAnsi="Times New Roman"/>
      <w:sz w:val="24"/>
      <w:szCs w:val="24"/>
    </w:rPr>
  </w:style>
  <w:style w:type="paragraph" w:styleId="Heading1">
    <w:name w:val="heading 1"/>
    <w:basedOn w:val="Normal"/>
    <w:next w:val="Normal"/>
    <w:link w:val="Heading1Char"/>
    <w:qFormat/>
    <w:locked/>
    <w:rsid w:val="004F30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9"/>
    <w:qFormat/>
    <w:locked/>
    <w:rsid w:val="00C0451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C0232"/>
    <w:rPr>
      <w:rFonts w:ascii="Courier New" w:hAnsi="Courier New" w:cs="Courier New"/>
      <w:sz w:val="20"/>
      <w:szCs w:val="20"/>
    </w:rPr>
  </w:style>
  <w:style w:type="character" w:customStyle="1" w:styleId="PlainTextChar">
    <w:name w:val="Plain Text Char"/>
    <w:basedOn w:val="DefaultParagraphFont"/>
    <w:link w:val="PlainText"/>
    <w:uiPriority w:val="99"/>
    <w:locked/>
    <w:rsid w:val="003C0232"/>
    <w:rPr>
      <w:rFonts w:ascii="Courier New" w:hAnsi="Courier New" w:cs="Courier New"/>
      <w:sz w:val="20"/>
      <w:szCs w:val="20"/>
    </w:rPr>
  </w:style>
  <w:style w:type="paragraph" w:customStyle="1" w:styleId="1Paragraph">
    <w:name w:val="1Paragraph"/>
    <w:uiPriority w:val="99"/>
    <w:rsid w:val="003C0232"/>
    <w:pPr>
      <w:widowControl w:val="0"/>
      <w:tabs>
        <w:tab w:val="left" w:pos="720"/>
      </w:tabs>
      <w:autoSpaceDE w:val="0"/>
      <w:autoSpaceDN w:val="0"/>
      <w:adjustRightInd w:val="0"/>
      <w:ind w:left="720" w:hanging="720"/>
    </w:pPr>
    <w:rPr>
      <w:rFonts w:ascii="Times New Roman" w:eastAsia="Times New Roman" w:hAnsi="Times New Roman"/>
      <w:sz w:val="20"/>
      <w:szCs w:val="24"/>
    </w:rPr>
  </w:style>
  <w:style w:type="paragraph" w:styleId="Header">
    <w:name w:val="header"/>
    <w:basedOn w:val="Normal"/>
    <w:link w:val="HeaderChar"/>
    <w:uiPriority w:val="99"/>
    <w:semiHidden/>
    <w:rsid w:val="00E83C20"/>
    <w:pPr>
      <w:tabs>
        <w:tab w:val="center" w:pos="4680"/>
        <w:tab w:val="right" w:pos="9360"/>
      </w:tabs>
    </w:pPr>
  </w:style>
  <w:style w:type="character" w:customStyle="1" w:styleId="HeaderChar">
    <w:name w:val="Header Char"/>
    <w:basedOn w:val="DefaultParagraphFont"/>
    <w:link w:val="Header"/>
    <w:uiPriority w:val="99"/>
    <w:semiHidden/>
    <w:locked/>
    <w:rsid w:val="00E83C20"/>
    <w:rPr>
      <w:rFonts w:ascii="Times New Roman" w:hAnsi="Times New Roman" w:cs="Times New Roman"/>
      <w:sz w:val="24"/>
      <w:szCs w:val="24"/>
    </w:rPr>
  </w:style>
  <w:style w:type="paragraph" w:styleId="Footer">
    <w:name w:val="footer"/>
    <w:basedOn w:val="Normal"/>
    <w:link w:val="FooterChar"/>
    <w:uiPriority w:val="99"/>
    <w:rsid w:val="00E83C20"/>
    <w:pPr>
      <w:tabs>
        <w:tab w:val="center" w:pos="4680"/>
        <w:tab w:val="right" w:pos="9360"/>
      </w:tabs>
    </w:pPr>
  </w:style>
  <w:style w:type="character" w:customStyle="1" w:styleId="FooterChar">
    <w:name w:val="Footer Char"/>
    <w:basedOn w:val="DefaultParagraphFont"/>
    <w:link w:val="Footer"/>
    <w:uiPriority w:val="99"/>
    <w:locked/>
    <w:rsid w:val="00E83C20"/>
    <w:rPr>
      <w:rFonts w:ascii="Times New Roman" w:hAnsi="Times New Roman" w:cs="Times New Roman"/>
      <w:sz w:val="24"/>
      <w:szCs w:val="24"/>
    </w:rPr>
  </w:style>
  <w:style w:type="character" w:styleId="Hyperlink">
    <w:name w:val="Hyperlink"/>
    <w:basedOn w:val="DefaultParagraphFont"/>
    <w:uiPriority w:val="99"/>
    <w:rsid w:val="00265415"/>
    <w:rPr>
      <w:rFonts w:cs="Times New Roman"/>
      <w:color w:val="0000FF"/>
      <w:u w:val="single"/>
    </w:rPr>
  </w:style>
  <w:style w:type="paragraph" w:styleId="BalloonText">
    <w:name w:val="Balloon Text"/>
    <w:basedOn w:val="Normal"/>
    <w:link w:val="BalloonTextChar"/>
    <w:uiPriority w:val="99"/>
    <w:semiHidden/>
    <w:unhideWhenUsed/>
    <w:rsid w:val="000654B2"/>
    <w:rPr>
      <w:rFonts w:ascii="Tahoma" w:hAnsi="Tahoma" w:cs="Tahoma"/>
      <w:sz w:val="16"/>
      <w:szCs w:val="16"/>
    </w:rPr>
  </w:style>
  <w:style w:type="character" w:customStyle="1" w:styleId="BalloonTextChar">
    <w:name w:val="Balloon Text Char"/>
    <w:basedOn w:val="DefaultParagraphFont"/>
    <w:link w:val="BalloonText"/>
    <w:uiPriority w:val="99"/>
    <w:semiHidden/>
    <w:rsid w:val="000654B2"/>
    <w:rPr>
      <w:rFonts w:ascii="Tahoma" w:eastAsia="Times New Roman" w:hAnsi="Tahoma" w:cs="Tahoma"/>
      <w:sz w:val="16"/>
      <w:szCs w:val="16"/>
    </w:rPr>
  </w:style>
  <w:style w:type="character" w:customStyle="1" w:styleId="Heading2Char">
    <w:name w:val="Heading 2 Char"/>
    <w:basedOn w:val="DefaultParagraphFont"/>
    <w:link w:val="Heading2"/>
    <w:uiPriority w:val="99"/>
    <w:rsid w:val="00C04518"/>
    <w:rPr>
      <w:rFonts w:ascii="Times New Roman" w:eastAsia="Times New Roman" w:hAnsi="Times New Roman"/>
      <w:b/>
      <w:bCs/>
      <w:sz w:val="36"/>
      <w:szCs w:val="36"/>
    </w:rPr>
  </w:style>
  <w:style w:type="paragraph" w:styleId="ListParagraph">
    <w:name w:val="List Paragraph"/>
    <w:basedOn w:val="Normal"/>
    <w:uiPriority w:val="99"/>
    <w:qFormat/>
    <w:rsid w:val="00C04518"/>
    <w:pPr>
      <w:ind w:left="720"/>
      <w:contextualSpacing/>
    </w:pPr>
  </w:style>
  <w:style w:type="character" w:styleId="CommentReference">
    <w:name w:val="annotation reference"/>
    <w:basedOn w:val="DefaultParagraphFont"/>
    <w:uiPriority w:val="99"/>
    <w:semiHidden/>
    <w:unhideWhenUsed/>
    <w:rsid w:val="00DC4A99"/>
    <w:rPr>
      <w:sz w:val="16"/>
      <w:szCs w:val="16"/>
    </w:rPr>
  </w:style>
  <w:style w:type="paragraph" w:styleId="CommentText">
    <w:name w:val="annotation text"/>
    <w:basedOn w:val="Normal"/>
    <w:link w:val="CommentTextChar"/>
    <w:uiPriority w:val="99"/>
    <w:unhideWhenUsed/>
    <w:rsid w:val="00DC4A99"/>
    <w:rPr>
      <w:sz w:val="20"/>
      <w:szCs w:val="20"/>
    </w:rPr>
  </w:style>
  <w:style w:type="character" w:customStyle="1" w:styleId="CommentTextChar">
    <w:name w:val="Comment Text Char"/>
    <w:basedOn w:val="DefaultParagraphFont"/>
    <w:link w:val="CommentText"/>
    <w:uiPriority w:val="99"/>
    <w:rsid w:val="00DC4A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C4A99"/>
    <w:rPr>
      <w:b/>
      <w:bCs/>
    </w:rPr>
  </w:style>
  <w:style w:type="character" w:customStyle="1" w:styleId="CommentSubjectChar">
    <w:name w:val="Comment Subject Char"/>
    <w:basedOn w:val="CommentTextChar"/>
    <w:link w:val="CommentSubject"/>
    <w:uiPriority w:val="99"/>
    <w:semiHidden/>
    <w:rsid w:val="00DC4A99"/>
    <w:rPr>
      <w:rFonts w:ascii="Times New Roman" w:eastAsia="Times New Roman" w:hAnsi="Times New Roman"/>
      <w:b/>
      <w:bCs/>
      <w:sz w:val="20"/>
      <w:szCs w:val="20"/>
    </w:rPr>
  </w:style>
  <w:style w:type="table" w:styleId="TableGrid">
    <w:name w:val="Table Grid"/>
    <w:basedOn w:val="TableNormal"/>
    <w:uiPriority w:val="39"/>
    <w:locked/>
    <w:rsid w:val="00450AD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F30B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30197B"/>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7C53A7"/>
    <w:rPr>
      <w:color w:val="605E5C"/>
      <w:shd w:val="clear" w:color="auto" w:fill="E1DFDD"/>
    </w:rPr>
  </w:style>
  <w:style w:type="character" w:styleId="FootnoteReference">
    <w:name w:val="footnote reference"/>
    <w:semiHidden/>
    <w:rsid w:val="00A3563F"/>
  </w:style>
  <w:style w:type="paragraph" w:styleId="Title">
    <w:name w:val="Title"/>
    <w:basedOn w:val="Normal"/>
    <w:link w:val="TitleChar"/>
    <w:qFormat/>
    <w:locked/>
    <w:rsid w:val="00F34AD0"/>
    <w:pPr>
      <w:autoSpaceDE w:val="0"/>
      <w:autoSpaceDN w:val="0"/>
      <w:adjustRightInd w:val="0"/>
      <w:jc w:val="center"/>
    </w:pPr>
  </w:style>
  <w:style w:type="character" w:customStyle="1" w:styleId="TitleChar">
    <w:name w:val="Title Char"/>
    <w:basedOn w:val="DefaultParagraphFont"/>
    <w:link w:val="Title"/>
    <w:rsid w:val="00F34AD0"/>
    <w:rPr>
      <w:rFonts w:ascii="Times New Roman" w:eastAsia="Times New Roman" w:hAnsi="Times New Roman"/>
      <w:sz w:val="24"/>
      <w:szCs w:val="24"/>
    </w:rPr>
  </w:style>
  <w:style w:type="paragraph" w:styleId="HTMLPreformatted">
    <w:name w:val="HTML Preformatted"/>
    <w:basedOn w:val="Normal"/>
    <w:link w:val="HTMLPreformattedChar"/>
    <w:rsid w:val="00F34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34AD0"/>
    <w:rPr>
      <w:rFonts w:ascii="Courier New" w:eastAsia="Times New Roman" w:hAnsi="Courier New" w:cs="Courier New"/>
      <w:sz w:val="20"/>
      <w:szCs w:val="20"/>
    </w:rPr>
  </w:style>
  <w:style w:type="character" w:customStyle="1" w:styleId="cf01">
    <w:name w:val="cf01"/>
    <w:basedOn w:val="DefaultParagraphFont"/>
    <w:rsid w:val="00F62530"/>
    <w:rPr>
      <w:rFonts w:ascii="Segoe UI" w:hAnsi="Segoe UI" w:cs="Segoe UI" w:hint="default"/>
      <w:sz w:val="18"/>
      <w:szCs w:val="18"/>
    </w:rPr>
  </w:style>
  <w:style w:type="paragraph" w:customStyle="1" w:styleId="pf0">
    <w:name w:val="pf0"/>
    <w:basedOn w:val="Normal"/>
    <w:rsid w:val="003123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fas.usda.gov/sugars/fassugarshome.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06280d1-1693-4880-bece-258a51d9801f">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7A26568623A54F8E4C7A53B0079DD4" ma:contentTypeVersion="21" ma:contentTypeDescription="Create a new document." ma:contentTypeScope="" ma:versionID="59df881371d30afa16d740e1dbe886d2">
  <xsd:schema xmlns:xsd="http://www.w3.org/2001/XMLSchema" xmlns:xs="http://www.w3.org/2001/XMLSchema" xmlns:p="http://schemas.microsoft.com/office/2006/metadata/properties" xmlns:ns1="http://schemas.microsoft.com/sharepoint/v3" xmlns:ns2="a06280d1-1693-4880-bece-258a51d9801f" xmlns:ns3="73fb875a-8af9-4255-b008-0995492d31cd" xmlns:ns4="5d3e3dcc-97b5-463b-88db-23f4b0104a63" targetNamespace="http://schemas.microsoft.com/office/2006/metadata/properties" ma:root="true" ma:fieldsID="6f3c6f40dea060b113055f562ede217e" ns1:_="" ns2:_="" ns3:_="" ns4:_="">
    <xsd:import namespace="http://schemas.microsoft.com/sharepoint/v3"/>
    <xsd:import namespace="a06280d1-1693-4880-bece-258a51d9801f"/>
    <xsd:import namespace="73fb875a-8af9-4255-b008-0995492d31cd"/>
    <xsd:import namespace="5d3e3dcc-97b5-463b-88db-23f4b0104a6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280d1-1693-4880-bece-258a51d980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B72B1-BDF6-459A-A38F-1E7EFB34CD7A}">
  <ds:schemaRefs>
    <ds:schemaRef ds:uri="http://schemas.microsoft.com/office/2006/metadata/properties"/>
    <ds:schemaRef ds:uri="http://schemas.microsoft.com/office/infopath/2007/PartnerControls"/>
    <ds:schemaRef ds:uri="http://schemas.microsoft.com/sharepoint/v3"/>
    <ds:schemaRef ds:uri="a06280d1-1693-4880-bece-258a51d9801f"/>
    <ds:schemaRef ds:uri="73fb875a-8af9-4255-b008-0995492d31cd"/>
  </ds:schemaRefs>
</ds:datastoreItem>
</file>

<file path=customXml/itemProps2.xml><?xml version="1.0" encoding="utf-8"?>
<ds:datastoreItem xmlns:ds="http://schemas.openxmlformats.org/officeDocument/2006/customXml" ds:itemID="{82A24C3E-5B95-44E9-BD10-877050C54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6280d1-1693-4880-bece-258a51d9801f"/>
    <ds:schemaRef ds:uri="73fb875a-8af9-4255-b008-0995492d31cd"/>
    <ds:schemaRef ds:uri="5d3e3dcc-97b5-463b-88db-23f4b010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E3131-4BA1-4C60-8B83-0234468946B1}">
  <ds:schemaRefs>
    <ds:schemaRef ds:uri="http://schemas.microsoft.com/sharepoint/v3/contenttype/forms"/>
  </ds:schemaRefs>
</ds:datastoreItem>
</file>

<file path=customXml/itemProps4.xml><?xml version="1.0" encoding="utf-8"?>
<ds:datastoreItem xmlns:ds="http://schemas.openxmlformats.org/officeDocument/2006/customXml" ds:itemID="{5E28F272-E25D-4CFF-9913-C94E488AEA18}">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5050</Words>
  <Characters>29076</Characters>
  <Application>Microsoft Office Word</Application>
  <DocSecurity>0</DocSecurity>
  <Lines>785</Lines>
  <Paragraphs>325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33801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Thompsont</dc:creator>
  <cp:lastModifiedBy>Vernon, Kenneth - TFAA-FAS, DC</cp:lastModifiedBy>
  <cp:revision>3</cp:revision>
  <cp:lastPrinted>2018-06-22T15:24:00Z</cp:lastPrinted>
  <dcterms:created xsi:type="dcterms:W3CDTF">2026-03-27T20:20:00Z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0x010100827A26568623A54F8E4C7A53B0079DD4</vt:lpwstr>
  </property>
  <property fmtid="{D5CDD505-2E9C-101B-9397-08002B2CF9AE}" pid="3" name="MediaServiceImageTags">
    <vt:lpwstr/>
  </property>
  <property fmtid="{D5CDD505-2E9C-101B-9397-08002B2CF9AE}" pid="4" name="Order">
    <vt:r8>47667400</vt:r8>
  </property>
</Properties>
</file>