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Arial" w:cs="Arial" w:eastAsia="Arial" w:hAnsi="Arial"/>
          <w:b/>
          <w:bCs/>
          <w:color w:val="B22222"/>
          <w:sz w:val="20"/>
          <w:szCs w:val="20"/>
        </w:rPr>
        <w:t xml:space="preserve">IMPORTANT DOCUMENT NOTICE</w:t>
      </w:r>
    </w:p>
    <w:p>
      <w:pPr>
        <w:spacing w:before="60" w:after="60"/>
      </w:pPr>
      <w:r>
        <w:rPr>
          <w:rFonts w:ascii="Arial" w:cs="Arial" w:eastAsia="Arial" w:hAnsi="Arial"/>
          <w:sz w:val="22"/>
          <w:szCs w:val="22"/>
        </w:rPr>
        <w:t xml:space="preserve">This sworn analytic statement constitutes material evidence under the APA, PRA (44 U.S.C. ch. 35), RFA, Small Business Paperwork Relief Act, OMB Circulars A-4/A-11, 5 C.F.R. Part 1320, E-Government Act, OPEN Government Data Act, Clinger-Cohen Act, Information Quality Act, Federal Records Act, CRA, and Privacy Act. Permanently preserve and transmit to OIRA per 44 U.S.C. § 3514.</w:t>
      </w:r>
    </w:p>
    <w:p>
      <w:pPr>
        <w:spacing w:before="120" w:after="120"/>
      </w:pPr>
    </w:p>
    <w:p>
      <w:pPr>
        <w:spacing w:before="120" w:after="60"/>
        <w:jc w:val="center"/>
      </w:pPr>
      <w:r>
        <w:rPr>
          <w:rFonts w:ascii="Arial" w:cs="Arial" w:eastAsia="Arial" w:hAnsi="Arial"/>
          <w:b/>
          <w:bCs/>
          <w:color w:val="1B3A6B"/>
          <w:sz w:val="26"/>
          <w:szCs w:val="26"/>
        </w:rPr>
        <w:t xml:space="preserve">SWORN ANALYTIC STATEMENT — Comment 2 of 10</w:t>
      </w:r>
    </w:p>
    <w:p>
      <w:pPr>
        <w:spacing w:after="40"/>
        <w:jc w:val="center"/>
      </w:pPr>
      <w:r>
        <w:rPr>
          <w:rFonts w:ascii="Arial" w:cs="Arial" w:eastAsia="Arial" w:hAnsi="Arial"/>
          <w:b/>
          <w:bCs/>
          <w:color w:val="2E5B8A"/>
          <w:sz w:val="24"/>
          <w:szCs w:val="24"/>
        </w:rPr>
        <w:t xml:space="preserve">OMITTED BURDEN CATEGORIES UNDER § 3502(2)(A)–(F)</w:t>
      </w:r>
    </w:p>
    <w:p>
      <w:pPr>
        <w:spacing w:before="120" w:after="120"/>
      </w:pPr>
    </w:p>
    <w:p>
      <w:pPr>
        <w:spacing w:before="60" w:after="60"/>
      </w:pPr>
      <w:r>
        <w:rPr>
          <w:rFonts w:ascii="Arial" w:cs="Arial" w:eastAsia="Arial" w:hAnsi="Arial"/>
          <w:b/>
          <w:bCs/>
          <w:sz w:val="22"/>
          <w:szCs w:val="22"/>
        </w:rPr>
        <w:t xml:space="preserve">OMB Control Number: </w:t>
      </w:r>
      <w:r>
        <w:rPr>
          <w:rFonts w:ascii="Arial" w:cs="Arial" w:eastAsia="Arial" w:hAnsi="Arial"/>
          <w:sz w:val="22"/>
          <w:szCs w:val="22"/>
        </w:rPr>
        <w:t xml:space="preserve">0560-0309</w:t>
      </w:r>
    </w:p>
    <w:p>
      <w:pPr>
        <w:spacing w:before="60" w:after="60"/>
      </w:pPr>
      <w:r>
        <w:rPr>
          <w:rFonts w:ascii="Arial" w:cs="Arial" w:eastAsia="Arial" w:hAnsi="Arial"/>
          <w:b/>
          <w:bCs/>
          <w:sz w:val="22"/>
          <w:szCs w:val="22"/>
        </w:rPr>
        <w:t xml:space="preserve">Agency: </w:t>
      </w:r>
      <w:r>
        <w:rPr>
          <w:rFonts w:ascii="Arial" w:cs="Arial" w:eastAsia="Arial" w:hAnsi="Arial"/>
          <w:sz w:val="22"/>
          <w:szCs w:val="22"/>
        </w:rPr>
        <w:t xml:space="preserve">Farm Service Agency (FSA), Department of Agriculture</w:t>
      </w:r>
    </w:p>
    <w:p>
      <w:pPr>
        <w:spacing w:before="60" w:after="60"/>
      </w:pPr>
      <w:r>
        <w:rPr>
          <w:rFonts w:ascii="Arial" w:cs="Arial" w:eastAsia="Arial" w:hAnsi="Arial"/>
          <w:b/>
          <w:bCs/>
          <w:sz w:val="22"/>
          <w:szCs w:val="22"/>
        </w:rPr>
        <w:t xml:space="preserve">Collection Title: </w:t>
      </w:r>
      <w:r>
        <w:rPr>
          <w:rFonts w:ascii="Arial" w:cs="Arial" w:eastAsia="Arial" w:hAnsi="Arial"/>
          <w:sz w:val="22"/>
          <w:szCs w:val="22"/>
        </w:rPr>
        <w:t xml:space="preserve">Emergency Relief Program (ERP) Phase 1 and Phase 2</w:t>
      </w:r>
    </w:p>
    <w:p>
      <w:pPr>
        <w:spacing w:before="60" w:after="60"/>
      </w:pPr>
      <w:r>
        <w:rPr>
          <w:rFonts w:ascii="Arial" w:cs="Arial" w:eastAsia="Arial" w:hAnsi="Arial"/>
          <w:b/>
          <w:bCs/>
          <w:sz w:val="22"/>
          <w:szCs w:val="22"/>
        </w:rPr>
        <w:t xml:space="preserve">Submitted By: </w:t>
      </w:r>
      <w:r>
        <w:rPr>
          <w:rFonts w:ascii="Arial" w:cs="Arial" w:eastAsia="Arial" w:hAnsi="Arial"/>
          <w:sz w:val="22"/>
          <w:szCs w:val="22"/>
        </w:rPr>
        <w:t xml:space="preserve">James Hunter Poole, CEO, Obelisk Tech Systems Inc.</w:t>
      </w:r>
    </w:p>
    <w:p>
      <w:pPr>
        <w:spacing w:before="60" w:after="60"/>
      </w:pPr>
      <w:r>
        <w:rPr>
          <w:rFonts w:ascii="Arial" w:cs="Arial" w:eastAsia="Arial" w:hAnsi="Arial"/>
          <w:b/>
          <w:bCs/>
          <w:sz w:val="22"/>
          <w:szCs w:val="22"/>
        </w:rPr>
        <w:t xml:space="preserve">CAGE: </w:t>
      </w:r>
      <w:r>
        <w:rPr>
          <w:rFonts w:ascii="Arial" w:cs="Arial" w:eastAsia="Arial" w:hAnsi="Arial"/>
          <w:sz w:val="22"/>
          <w:szCs w:val="22"/>
        </w:rPr>
        <w:t xml:space="preserve">9S0L8</w:t>
      </w:r>
    </w:p>
    <w:p>
      <w:pPr>
        <w:spacing w:before="60" w:after="60"/>
      </w:pPr>
      <w:r>
        <w:rPr>
          <w:rFonts w:ascii="Arial" w:cs="Arial" w:eastAsia="Arial" w:hAnsi="Arial"/>
          <w:b/>
          <w:bCs/>
          <w:sz w:val="22"/>
          <w:szCs w:val="22"/>
        </w:rPr>
        <w:t xml:space="preserve">UEI: </w:t>
      </w:r>
      <w:r>
        <w:rPr>
          <w:rFonts w:ascii="Arial" w:cs="Arial" w:eastAsia="Arial" w:hAnsi="Arial"/>
          <w:sz w:val="22"/>
          <w:szCs w:val="22"/>
        </w:rPr>
        <w:t xml:space="preserve">U34MSJ6A6413</w:t>
      </w:r>
    </w:p>
    <w:p>
      <w:pPr>
        <w:spacing w:before="60" w:after="60"/>
      </w:pPr>
      <w:r>
        <w:rPr>
          <w:rFonts w:ascii="Arial" w:cs="Arial" w:eastAsia="Arial" w:hAnsi="Arial"/>
          <w:b/>
          <w:bCs/>
          <w:sz w:val="22"/>
          <w:szCs w:val="22"/>
        </w:rPr>
        <w:t xml:space="preserve">Date: </w:t>
      </w:r>
      <w:r>
        <w:rPr>
          <w:rFonts w:ascii="Arial" w:cs="Arial" w:eastAsia="Arial" w:hAnsi="Arial"/>
          <w:sz w:val="22"/>
          <w:szCs w:val="22"/>
        </w:rPr>
        <w:t xml:space="preserve">March 24, 2026</w:t>
      </w:r>
    </w:p>
    <w:p>
      <w:pPr>
        <w:spacing w:before="60" w:after="60"/>
      </w:pPr>
      <w:r>
        <w:rPr>
          <w:rFonts w:ascii="Arial" w:cs="Arial" w:eastAsia="Arial" w:hAnsi="Arial"/>
          <w:b/>
          <w:bCs/>
          <w:sz w:val="22"/>
          <w:szCs w:val="22"/>
        </w:rPr>
        <w:t xml:space="preserve">Location: </w:t>
      </w:r>
      <w:r>
        <w:rPr>
          <w:rFonts w:ascii="Arial" w:cs="Arial" w:eastAsia="Arial" w:hAnsi="Arial"/>
          <w:sz w:val="22"/>
          <w:szCs w:val="22"/>
        </w:rPr>
        <w:t xml:space="preserve">Thomasville, GA 31757</w:t>
      </w:r>
    </w:p>
    <w:p>
      <w:pPr>
        <w:spacing w:before="120" w:after="120"/>
      </w:pPr>
    </w:p>
    <w:p>
      <w:pPr>
        <w:pBdr>
          <w:left w:val="single" w:color="B22222" w:sz="6" w:space="8"/>
        </w:pBdr>
        <w:spacing w:before="80" w:after="80"/>
        <w:ind w:left="360"/>
      </w:pPr>
      <w:r>
        <w:rPr>
          <w:rFonts w:ascii="Arial" w:cs="Arial" w:eastAsia="Arial" w:hAnsi="Arial"/>
          <w:b/>
          <w:bCs/>
          <w:color w:val="B22222"/>
          <w:sz w:val="22"/>
          <w:szCs w:val="22"/>
        </w:rPr>
        <w:t xml:space="preserve">⚠ ROUTING: Forward to agency PRA Officer and OIRA Desk Officer per 5 CFR 1320.11. Copy to SBA Chief Counsel per 5 U.S.C. § 612.</w:t>
      </w:r>
    </w:p>
    <w:p>
      <w:pPr>
        <w:spacing w:before="120" w:after="120"/>
      </w:pPr>
    </w:p>
    <w:p>
      <w:pPr>
        <w:spacing w:before="300" w:after="120"/>
      </w:pPr>
      <w:r>
        <w:rPr>
          <w:rFonts w:ascii="Arial" w:cs="Arial" w:eastAsia="Arial" w:hAnsi="Arial"/>
          <w:b/>
          <w:bCs/>
          <w:color w:val="1B3A6B"/>
          <w:sz w:val="28"/>
          <w:szCs w:val="28"/>
        </w:rPr>
        <w:t xml:space="preserve">II. FSA Has Excluded Six Statutory Burden Categories</w:t>
      </w:r>
    </w:p>
    <w:p>
      <w:pPr>
        <w:spacing w:before="120" w:after="120"/>
      </w:pPr>
    </w:p>
    <w:p>
      <w:pPr>
        <w:spacing w:before="240" w:after="80"/>
      </w:pPr>
      <w:r>
        <w:rPr>
          <w:rFonts w:ascii="Arial" w:cs="Arial" w:eastAsia="Arial" w:hAnsi="Arial"/>
          <w:b/>
          <w:bCs/>
          <w:color w:val="2E5B8A"/>
          <w:sz w:val="24"/>
          <w:szCs w:val="24"/>
        </w:rPr>
        <w:t xml:space="preserve">A. Instructions — § 3502(2)(A)</w:t>
      </w:r>
    </w:p>
    <w:p>
      <w:pPr>
        <w:spacing w:before="60" w:after="60"/>
      </w:pPr>
      <w:r>
        <w:rPr>
          <w:rFonts w:ascii="Arial" w:cs="Arial" w:eastAsia="Arial" w:hAnsi="Arial"/>
          <w:sz w:val="22"/>
          <w:szCs w:val="22"/>
        </w:rPr>
        <w:t xml:space="preserve">ERP program rules, eligibility criteria, payment calculations, and application procedures require significant interpretation. FSA fact sheets, notices, and county office guidance vary. Producers must understand how ERP interacts with crop insurance, WHIP+, ELAP, and other disaster programs.</w:t>
      </w:r>
    </w:p>
    <w:p>
      <w:pPr>
        <w:spacing w:before="60" w:after="60"/>
      </w:pPr>
      <w:r>
        <w:rPr>
          <w:rFonts w:ascii="Arial" w:cs="Arial" w:eastAsia="Arial" w:hAnsi="Arial"/>
          <w:b/>
          <w:bCs/>
          <w:sz w:val="22"/>
          <w:szCs w:val="22"/>
        </w:rPr>
        <w:t xml:space="preserve">Understated by: </w:t>
      </w:r>
      <w:r>
        <w:rPr>
          <w:rFonts w:ascii="Arial" w:cs="Arial" w:eastAsia="Arial" w:hAnsi="Arial"/>
          <w:sz w:val="22"/>
          <w:szCs w:val="22"/>
        </w:rPr>
        <w:t xml:space="preserve">5–20 hours per applicant.</w:t>
      </w:r>
    </w:p>
    <w:p>
      <w:pPr>
        <w:spacing w:before="120" w:after="120"/>
      </w:pPr>
    </w:p>
    <w:p>
      <w:pPr>
        <w:spacing w:before="240" w:after="80"/>
      </w:pPr>
      <w:r>
        <w:rPr>
          <w:rFonts w:ascii="Arial" w:cs="Arial" w:eastAsia="Arial" w:hAnsi="Arial"/>
          <w:b/>
          <w:bCs/>
          <w:color w:val="2E5B8A"/>
          <w:sz w:val="24"/>
          <w:szCs w:val="24"/>
        </w:rPr>
        <w:t xml:space="preserve">B. Technology — § 3502(2)(B)</w:t>
      </w:r>
    </w:p>
    <w:p>
      <w:pPr>
        <w:spacing w:before="60" w:after="60"/>
      </w:pPr>
      <w:r>
        <w:rPr>
          <w:rFonts w:ascii="Arial" w:cs="Arial" w:eastAsia="Arial" w:hAnsi="Arial"/>
          <w:sz w:val="22"/>
          <w:szCs w:val="22"/>
        </w:rPr>
        <w:t xml:space="preserve">Computer access, broadband connectivity, FSA portal navigation, form download, document scanning, and digital submission. Rural producers face acute technology barriers.</w:t>
      </w:r>
    </w:p>
    <w:p>
      <w:pPr>
        <w:spacing w:before="60" w:after="60"/>
      </w:pPr>
      <w:r>
        <w:rPr>
          <w:rFonts w:ascii="Arial" w:cs="Arial" w:eastAsia="Arial" w:hAnsi="Arial"/>
          <w:b/>
          <w:bCs/>
          <w:sz w:val="22"/>
          <w:szCs w:val="22"/>
        </w:rPr>
        <w:t xml:space="preserve">Understated by: </w:t>
      </w:r>
      <w:r>
        <w:rPr>
          <w:rFonts w:ascii="Arial" w:cs="Arial" w:eastAsia="Arial" w:hAnsi="Arial"/>
          <w:sz w:val="22"/>
          <w:szCs w:val="22"/>
        </w:rPr>
        <w:t xml:space="preserve">2–8 hours per applicant plus technology access costs.</w:t>
      </w:r>
    </w:p>
    <w:p>
      <w:pPr>
        <w:spacing w:before="120" w:after="120"/>
      </w:pPr>
    </w:p>
    <w:p>
      <w:pPr>
        <w:spacing w:before="240" w:after="80"/>
      </w:pPr>
      <w:r>
        <w:rPr>
          <w:rFonts w:ascii="Arial" w:cs="Arial" w:eastAsia="Arial" w:hAnsi="Arial"/>
          <w:b/>
          <w:bCs/>
          <w:color w:val="2E5B8A"/>
          <w:sz w:val="24"/>
          <w:szCs w:val="24"/>
        </w:rPr>
        <w:t xml:space="preserve">C. Workflow Adjustment — § 3502(2)(C)</w:t>
      </w:r>
    </w:p>
    <w:p>
      <w:pPr>
        <w:spacing w:before="60" w:after="60"/>
      </w:pPr>
      <w:r>
        <w:rPr>
          <w:rFonts w:ascii="Arial" w:cs="Arial" w:eastAsia="Arial" w:hAnsi="Arial"/>
          <w:sz w:val="22"/>
          <w:szCs w:val="22"/>
        </w:rPr>
        <w:t xml:space="preserve">When FSA changes program rules, deadlines, or documentation requirements between Phase 1 and Phase 2, producers must adjust applications, gather additional records, and resubmit.</w:t>
      </w:r>
    </w:p>
    <w:p>
      <w:pPr>
        <w:spacing w:before="60" w:after="60"/>
      </w:pPr>
      <w:r>
        <w:rPr>
          <w:rFonts w:ascii="Arial" w:cs="Arial" w:eastAsia="Arial" w:hAnsi="Arial"/>
          <w:b/>
          <w:bCs/>
          <w:sz w:val="22"/>
          <w:szCs w:val="22"/>
        </w:rPr>
        <w:t xml:space="preserve">Understated by: </w:t>
      </w:r>
      <w:r>
        <w:rPr>
          <w:rFonts w:ascii="Arial" w:cs="Arial" w:eastAsia="Arial" w:hAnsi="Arial"/>
          <w:sz w:val="22"/>
          <w:szCs w:val="22"/>
        </w:rPr>
        <w:t xml:space="preserve">3–10 hours per phase change.</w:t>
      </w:r>
    </w:p>
    <w:p>
      <w:pPr>
        <w:spacing w:before="120" w:after="120"/>
      </w:pPr>
    </w:p>
    <w:p>
      <w:pPr>
        <w:spacing w:before="240" w:after="80"/>
      </w:pPr>
      <w:r>
        <w:rPr>
          <w:rFonts w:ascii="Arial" w:cs="Arial" w:eastAsia="Arial" w:hAnsi="Arial"/>
          <w:b/>
          <w:bCs/>
          <w:color w:val="2E5B8A"/>
          <w:sz w:val="24"/>
          <w:szCs w:val="24"/>
        </w:rPr>
        <w:t xml:space="preserve">D. Data Search — § 3502(2)(D)</w:t>
      </w:r>
    </w:p>
    <w:p>
      <w:pPr>
        <w:spacing w:before="60" w:after="60"/>
      </w:pPr>
      <w:r>
        <w:rPr>
          <w:rFonts w:ascii="Arial" w:cs="Arial" w:eastAsia="Arial" w:hAnsi="Arial"/>
          <w:sz w:val="22"/>
          <w:szCs w:val="22"/>
        </w:rPr>
        <w:t xml:space="preserve">Compiling production records, yield histories, revenue documentation, tax returns, insurance records, and disaster-impact evidence from multiple sources.</w:t>
      </w:r>
    </w:p>
    <w:p>
      <w:pPr>
        <w:spacing w:before="60" w:after="60"/>
      </w:pPr>
      <w:r>
        <w:rPr>
          <w:rFonts w:ascii="Arial" w:cs="Arial" w:eastAsia="Arial" w:hAnsi="Arial"/>
          <w:b/>
          <w:bCs/>
          <w:sz w:val="22"/>
          <w:szCs w:val="22"/>
        </w:rPr>
        <w:t xml:space="preserve">Understated by: </w:t>
      </w:r>
      <w:r>
        <w:rPr>
          <w:rFonts w:ascii="Arial" w:cs="Arial" w:eastAsia="Arial" w:hAnsi="Arial"/>
          <w:sz w:val="22"/>
          <w:szCs w:val="22"/>
        </w:rPr>
        <w:t xml:space="preserve">10–40 hours for diversified operations.</w:t>
      </w:r>
    </w:p>
    <w:p>
      <w:pPr>
        <w:spacing w:before="120" w:after="120"/>
      </w:pPr>
    </w:p>
    <w:p>
      <w:pPr>
        <w:spacing w:before="240" w:after="80"/>
      </w:pPr>
      <w:r>
        <w:rPr>
          <w:rFonts w:ascii="Arial" w:cs="Arial" w:eastAsia="Arial" w:hAnsi="Arial"/>
          <w:b/>
          <w:bCs/>
          <w:color w:val="2E5B8A"/>
          <w:sz w:val="24"/>
          <w:szCs w:val="24"/>
        </w:rPr>
        <w:t xml:space="preserve">E. Review — § 3502(2)(E)</w:t>
      </w:r>
    </w:p>
    <w:p>
      <w:pPr>
        <w:spacing w:before="60" w:after="60"/>
      </w:pPr>
      <w:r>
        <w:rPr>
          <w:rFonts w:ascii="Arial" w:cs="Arial" w:eastAsia="Arial" w:hAnsi="Arial"/>
          <w:sz w:val="22"/>
          <w:szCs w:val="22"/>
        </w:rPr>
        <w:t xml:space="preserve">Multi-level review: producer self-check, accountant/preparer review, spouse/partner review, and pre-submission verification. Errors risk payment delays or denials.</w:t>
      </w:r>
    </w:p>
    <w:p>
      <w:pPr>
        <w:spacing w:before="60" w:after="60"/>
      </w:pPr>
      <w:r>
        <w:rPr>
          <w:rFonts w:ascii="Arial" w:cs="Arial" w:eastAsia="Arial" w:hAnsi="Arial"/>
          <w:b/>
          <w:bCs/>
          <w:sz w:val="22"/>
          <w:szCs w:val="22"/>
        </w:rPr>
        <w:t xml:space="preserve">Understated by: </w:t>
      </w:r>
      <w:r>
        <w:rPr>
          <w:rFonts w:ascii="Arial" w:cs="Arial" w:eastAsia="Arial" w:hAnsi="Arial"/>
          <w:sz w:val="22"/>
          <w:szCs w:val="22"/>
        </w:rPr>
        <w:t xml:space="preserve">3–10 hours per application.</w:t>
      </w:r>
    </w:p>
    <w:p>
      <w:pPr>
        <w:spacing w:before="120" w:after="120"/>
      </w:pPr>
    </w:p>
    <w:p>
      <w:pPr>
        <w:spacing w:before="240" w:after="80"/>
      </w:pPr>
      <w:r>
        <w:rPr>
          <w:rFonts w:ascii="Arial" w:cs="Arial" w:eastAsia="Arial" w:hAnsi="Arial"/>
          <w:b/>
          <w:bCs/>
          <w:color w:val="2E5B8A"/>
          <w:sz w:val="24"/>
          <w:szCs w:val="24"/>
        </w:rPr>
        <w:t xml:space="preserve">F. Transmission — § 3502(2)(F)</w:t>
      </w:r>
    </w:p>
    <w:p>
      <w:pPr>
        <w:spacing w:before="60" w:after="60"/>
      </w:pPr>
      <w:r>
        <w:rPr>
          <w:rFonts w:ascii="Arial" w:cs="Arial" w:eastAsia="Arial" w:hAnsi="Arial"/>
          <w:sz w:val="22"/>
          <w:szCs w:val="22"/>
        </w:rPr>
        <w:t xml:space="preserve">Travel to county office, wait time, document submission, or digital upload with verification. Multiple visits common.</w:t>
      </w:r>
    </w:p>
    <w:p>
      <w:pPr>
        <w:spacing w:before="60" w:after="60"/>
      </w:pPr>
      <w:r>
        <w:rPr>
          <w:rFonts w:ascii="Arial" w:cs="Arial" w:eastAsia="Arial" w:hAnsi="Arial"/>
          <w:b/>
          <w:bCs/>
          <w:sz w:val="22"/>
          <w:szCs w:val="22"/>
        </w:rPr>
        <w:t xml:space="preserve">Understated by: </w:t>
      </w:r>
      <w:r>
        <w:rPr>
          <w:rFonts w:ascii="Arial" w:cs="Arial" w:eastAsia="Arial" w:hAnsi="Arial"/>
          <w:sz w:val="22"/>
          <w:szCs w:val="22"/>
        </w:rPr>
        <w:t xml:space="preserve">2–8 hours total across submission visits.</w:t>
      </w:r>
    </w:p>
    <w:p>
      <w:pPr>
        <w:spacing w:before="120" w:after="120"/>
      </w:pPr>
    </w:p>
    <w:p>
      <w:pPr>
        <w:pBdr>
          <w:left w:val="single" w:color="8B7500" w:sz="6" w:space="8"/>
        </w:pBdr>
        <w:spacing w:before="80" w:after="80"/>
        <w:ind w:left="360"/>
      </w:pPr>
      <w:r>
        <w:rPr>
          <w:rFonts w:ascii="Arial" w:cs="Arial" w:eastAsia="Arial" w:hAnsi="Arial"/>
          <w:b/>
          <w:bCs/>
          <w:color w:val="8B7500"/>
          <w:sz w:val="22"/>
          <w:szCs w:val="22"/>
        </w:rPr>
        <w:t xml:space="preserve">► REQUESTED RELIEF: OIRA should require FSA to resubmit with producer-realistic burden accounting including professional assistance and county office interaction.</w:t>
      </w:r>
    </w:p>
    <w:p>
      <w:pPr>
        <w:spacing w:before="120" w:after="120"/>
      </w:pPr>
    </w:p>
    <w:p>
      <w:pPr>
        <w:pBdr>
          <w:top w:val="single" w:color="1B3A6B" w:sz="4"/>
        </w:pBdr>
        <w:spacing w:before="200" w:after="60"/>
      </w:pPr>
      <w:r>
        <w:rPr>
          <w:rFonts w:ascii="Arial" w:cs="Arial" w:eastAsia="Arial" w:hAnsi="Arial"/>
          <w:b/>
          <w:bCs/>
          <w:color w:val="1B3A6B"/>
          <w:sz w:val="24"/>
          <w:szCs w:val="24"/>
        </w:rPr>
        <w:t xml:space="preserve">SWORN DECLARATION UNDER PENALTY OF PERJURY</w:t>
      </w:r>
    </w:p>
    <w:p>
      <w:pPr>
        <w:spacing w:before="60" w:after="60"/>
      </w:pPr>
      <w:r>
        <w:rPr>
          <w:rFonts w:ascii="Arial" w:cs="Arial" w:eastAsia="Arial" w:hAnsi="Arial"/>
          <w:sz w:val="22"/>
          <w:szCs w:val="22"/>
        </w:rPr>
        <w:t xml:space="preserve">I, James Hunter Poole, declare under penalty of perjury pursuant to 28 U.S.C. § 1746, consistent with 5 U.S.C. § 553(c), 44 U.S.C. § 3511(b), 5 CFR 1320.5, 5 CFR 1320.8, 5 CFR 1320.11, the APA, RFA, Small Business Paperwork Relief Act, Small Business Act, E-Government Act, GPEA, OPEN Government Data Act, FISMA, Clinger-Cohen Act, Information Quality Act, Federal Records Act, IG Act, FOIA, Privacy Act, and Executive Orders governing PRA compliance and federal information integrity, that the foregoing is true and correct.</w:t>
      </w:r>
    </w:p>
    <w:p>
      <w:pPr>
        <w:spacing w:before="120" w:after="120"/>
      </w:pPr>
    </w:p>
    <w:p>
      <w:pPr>
        <w:spacing w:before="60" w:after="60"/>
      </w:pPr>
      <w:r>
        <w:rPr>
          <w:rFonts w:ascii="Arial" w:cs="Arial" w:eastAsia="Arial" w:hAnsi="Arial"/>
          <w:sz w:val="22"/>
          <w:szCs w:val="22"/>
        </w:rPr>
        <w:t xml:space="preserve">Executed this 24th day of March 2026.</w:t>
      </w:r>
    </w:p>
    <w:p>
      <w:pPr>
        <w:spacing w:before="120" w:after="120"/>
      </w:pPr>
    </w:p>
    <w:p>
      <w:pPr>
        <w:spacing w:before="60" w:after="60"/>
      </w:pPr>
      <w:r>
        <w:rPr>
          <w:rFonts w:ascii="Arial" w:cs="Arial" w:eastAsia="Arial" w:hAnsi="Arial"/>
          <w:sz w:val="22"/>
          <w:szCs w:val="22"/>
        </w:rPr>
        <w:t xml:space="preserve">James Hunter Poole</w:t>
      </w:r>
    </w:p>
    <w:p>
      <w:pPr>
        <w:spacing w:before="60" w:after="60"/>
      </w:pPr>
      <w:r>
        <w:rPr>
          <w:rFonts w:ascii="Arial" w:cs="Arial" w:eastAsia="Arial" w:hAnsi="Arial"/>
          <w:sz w:val="22"/>
          <w:szCs w:val="22"/>
        </w:rPr>
        <w:t xml:space="preserve">Executive Chairman &amp; CEO, Obelisk Tech Systems Inc. (CAGE: 9S0L8 | UEI: U34MSJ6A6413)</w:t>
      </w:r>
    </w:p>
    <w:p>
      <w:pPr>
        <w:spacing w:before="60" w:after="60"/>
      </w:pPr>
      <w:r>
        <w:rPr>
          <w:rFonts w:ascii="Arial" w:cs="Arial" w:eastAsia="Arial" w:hAnsi="Arial"/>
          <w:sz w:val="22"/>
          <w:szCs w:val="22"/>
        </w:rPr>
        <w:t xml:space="preserve">HUBZone-Certified Small Business | ITAR-Registered Defense Contractor</w:t>
      </w:r>
    </w:p>
    <w:p>
      <w:pPr>
        <w:spacing w:before="60" w:after="60"/>
      </w:pPr>
      <w:r>
        <w:rPr>
          <w:rFonts w:ascii="Arial" w:cs="Arial" w:eastAsia="Arial" w:hAnsi="Arial"/>
          <w:sz w:val="22"/>
          <w:szCs w:val="22"/>
        </w:rPr>
        <w:t xml:space="preserve">Delaware C-Corp | Thomasville, Thomas County, Georgia 31757</w:t>
      </w:r>
    </w:p>
    <w:p>
      <w:pPr>
        <w:spacing w:before="60" w:after="60"/>
      </w:pPr>
      <w:r>
        <w:rPr>
          <w:rFonts w:ascii="Arial" w:cs="Arial" w:eastAsia="Arial" w:hAnsi="Arial"/>
          <w:sz w:val="22"/>
          <w:szCs w:val="22"/>
        </w:rPr>
        <w:t xml:space="preserve">Email: savetheamericancommunities@gmail.com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2026-03-24T19:50:39.260Z</dcterms:created>
  <dcterms:modified xsi:type="dcterms:W3CDTF">2026-03-24T19:50:39.260Z</dcterms:modified>
</cp:coreProperties>
</file>

<file path=docProps/custom.xml><?xml version="1.0" encoding="utf-8"?>
<Properties xmlns="http://schemas.openxmlformats.org/officeDocument/2006/custom-properties" xmlns:vt="http://schemas.openxmlformats.org/officeDocument/2006/docPropsVTypes"/>
</file>