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B22222"/>
          <w:sz w:val="20"/>
          <w:szCs w:val="20"/>
        </w:rPr>
        <w:t xml:space="preserve">IMPORTANT DOCUMENT NOTICE</w:t>
      </w:r>
    </w:p>
    <w:p>
      <w:pPr>
        <w:spacing w:before="60" w:after="60"/>
      </w:pPr>
      <w:r>
        <w:rPr>
          <w:rFonts w:ascii="Arial" w:cs="Arial" w:eastAsia="Arial" w:hAnsi="Arial"/>
          <w:sz w:val="22"/>
          <w:szCs w:val="22"/>
        </w:rPr>
        <w:t xml:space="preserve">This sworn analytic statement constitutes material evidence under the APA, PRA (44 U.S.C. ch. 35), RFA, Small Business Paperwork Relief Act, OMB Circulars A-4/A-11, 5 C.F.R. Part 1320, E-Government Act, OPEN Government Data Act, Clinger-Cohen Act, Information Quality Act, Federal Records Act, CRA, and Privacy Act. Permanently preserve and transmit to OIRA per 44 U.S.C. § 3514.</w:t>
      </w:r>
    </w:p>
    <w:p>
      <w:pPr>
        <w:spacing w:before="120" w:after="120"/>
      </w:pPr>
    </w:p>
    <w:p>
      <w:pPr>
        <w:spacing w:before="120" w:after="60"/>
        <w:jc w:val="center"/>
      </w:pPr>
      <w:r>
        <w:rPr>
          <w:rFonts w:ascii="Arial" w:cs="Arial" w:eastAsia="Arial" w:hAnsi="Arial"/>
          <w:b/>
          <w:bCs/>
          <w:color w:val="1B3A6B"/>
          <w:sz w:val="26"/>
          <w:szCs w:val="26"/>
        </w:rPr>
        <w:t xml:space="preserve">SWORN ANALYTIC STATEMENT — Comment 9 of 10</w:t>
      </w:r>
    </w:p>
    <w:p>
      <w:pPr>
        <w:spacing w:after="40"/>
        <w:jc w:val="center"/>
      </w:pPr>
      <w:r>
        <w:rPr>
          <w:rFonts w:ascii="Arial" w:cs="Arial" w:eastAsia="Arial" w:hAnsi="Arial"/>
          <w:b/>
          <w:bCs/>
          <w:color w:val="2E5B8A"/>
          <w:sz w:val="24"/>
          <w:szCs w:val="24"/>
        </w:rPr>
        <w:t xml:space="preserve">AGENCY USE PLAN / COUNTY OFFICE OPERATIONAL READINESS</w:t>
      </w:r>
    </w:p>
    <w:p>
      <w:pPr>
        <w:spacing w:before="120" w:after="120"/>
      </w:pPr>
    </w:p>
    <w:p>
      <w:pPr>
        <w:spacing w:before="60" w:after="60"/>
      </w:pPr>
      <w:r>
        <w:rPr>
          <w:rFonts w:ascii="Arial" w:cs="Arial" w:eastAsia="Arial" w:hAnsi="Arial"/>
          <w:b/>
          <w:bCs/>
          <w:sz w:val="22"/>
          <w:szCs w:val="22"/>
        </w:rPr>
        <w:t xml:space="preserve">OMB Control Number: </w:t>
      </w:r>
      <w:r>
        <w:rPr>
          <w:rFonts w:ascii="Arial" w:cs="Arial" w:eastAsia="Arial" w:hAnsi="Arial"/>
          <w:sz w:val="22"/>
          <w:szCs w:val="22"/>
        </w:rPr>
        <w:t xml:space="preserve">0560-0309</w:t>
      </w:r>
    </w:p>
    <w:p>
      <w:pPr>
        <w:spacing w:before="60" w:after="60"/>
      </w:pPr>
      <w:r>
        <w:rPr>
          <w:rFonts w:ascii="Arial" w:cs="Arial" w:eastAsia="Arial" w:hAnsi="Arial"/>
          <w:b/>
          <w:bCs/>
          <w:sz w:val="22"/>
          <w:szCs w:val="22"/>
        </w:rPr>
        <w:t xml:space="preserve">Agency: </w:t>
      </w:r>
      <w:r>
        <w:rPr>
          <w:rFonts w:ascii="Arial" w:cs="Arial" w:eastAsia="Arial" w:hAnsi="Arial"/>
          <w:sz w:val="22"/>
          <w:szCs w:val="22"/>
        </w:rPr>
        <w:t xml:space="preserve">Farm Service Agency (FSA), Department of Agriculture</w:t>
      </w:r>
    </w:p>
    <w:p>
      <w:pPr>
        <w:spacing w:before="60" w:after="60"/>
      </w:pPr>
      <w:r>
        <w:rPr>
          <w:rFonts w:ascii="Arial" w:cs="Arial" w:eastAsia="Arial" w:hAnsi="Arial"/>
          <w:b/>
          <w:bCs/>
          <w:sz w:val="22"/>
          <w:szCs w:val="22"/>
        </w:rPr>
        <w:t xml:space="preserve">Collection Title: </w:t>
      </w:r>
      <w:r>
        <w:rPr>
          <w:rFonts w:ascii="Arial" w:cs="Arial" w:eastAsia="Arial" w:hAnsi="Arial"/>
          <w:sz w:val="22"/>
          <w:szCs w:val="22"/>
        </w:rPr>
        <w:t xml:space="preserve">Emergency Relief Program (ERP) Phase 1 and Phase 2</w:t>
      </w:r>
    </w:p>
    <w:p>
      <w:pPr>
        <w:spacing w:before="60" w:after="60"/>
      </w:pPr>
      <w:r>
        <w:rPr>
          <w:rFonts w:ascii="Arial" w:cs="Arial" w:eastAsia="Arial" w:hAnsi="Arial"/>
          <w:b/>
          <w:bCs/>
          <w:sz w:val="22"/>
          <w:szCs w:val="22"/>
        </w:rPr>
        <w:t xml:space="preserve">Submitted By: </w:t>
      </w:r>
      <w:r>
        <w:rPr>
          <w:rFonts w:ascii="Arial" w:cs="Arial" w:eastAsia="Arial" w:hAnsi="Arial"/>
          <w:sz w:val="22"/>
          <w:szCs w:val="22"/>
        </w:rPr>
        <w:t xml:space="preserve">James Hunter Poole, CEO, Obelisk Tech Systems Inc.</w:t>
      </w:r>
    </w:p>
    <w:p>
      <w:pPr>
        <w:spacing w:before="60" w:after="60"/>
      </w:pPr>
      <w:r>
        <w:rPr>
          <w:rFonts w:ascii="Arial" w:cs="Arial" w:eastAsia="Arial" w:hAnsi="Arial"/>
          <w:b/>
          <w:bCs/>
          <w:sz w:val="22"/>
          <w:szCs w:val="22"/>
        </w:rPr>
        <w:t xml:space="preserve">CAGE: </w:t>
      </w:r>
      <w:r>
        <w:rPr>
          <w:rFonts w:ascii="Arial" w:cs="Arial" w:eastAsia="Arial" w:hAnsi="Arial"/>
          <w:sz w:val="22"/>
          <w:szCs w:val="22"/>
        </w:rPr>
        <w:t xml:space="preserve">9S0L8</w:t>
      </w:r>
    </w:p>
    <w:p>
      <w:pPr>
        <w:spacing w:before="60" w:after="60"/>
      </w:pPr>
      <w:r>
        <w:rPr>
          <w:rFonts w:ascii="Arial" w:cs="Arial" w:eastAsia="Arial" w:hAnsi="Arial"/>
          <w:b/>
          <w:bCs/>
          <w:sz w:val="22"/>
          <w:szCs w:val="22"/>
        </w:rPr>
        <w:t xml:space="preserve">UEI: </w:t>
      </w:r>
      <w:r>
        <w:rPr>
          <w:rFonts w:ascii="Arial" w:cs="Arial" w:eastAsia="Arial" w:hAnsi="Arial"/>
          <w:sz w:val="22"/>
          <w:szCs w:val="22"/>
        </w:rPr>
        <w:t xml:space="preserve">U34MSJ6A6413</w:t>
      </w:r>
    </w:p>
    <w:p>
      <w:pPr>
        <w:spacing w:before="60" w:after="60"/>
      </w:pPr>
      <w:r>
        <w:rPr>
          <w:rFonts w:ascii="Arial" w:cs="Arial" w:eastAsia="Arial" w:hAnsi="Arial"/>
          <w:b/>
          <w:bCs/>
          <w:sz w:val="22"/>
          <w:szCs w:val="22"/>
        </w:rPr>
        <w:t xml:space="preserve">Date: </w:t>
      </w:r>
      <w:r>
        <w:rPr>
          <w:rFonts w:ascii="Arial" w:cs="Arial" w:eastAsia="Arial" w:hAnsi="Arial"/>
          <w:sz w:val="22"/>
          <w:szCs w:val="22"/>
        </w:rPr>
        <w:t xml:space="preserve">March 24, 2026</w:t>
      </w:r>
    </w:p>
    <w:p>
      <w:pPr>
        <w:spacing w:before="60" w:after="60"/>
      </w:pPr>
      <w:r>
        <w:rPr>
          <w:rFonts w:ascii="Arial" w:cs="Arial" w:eastAsia="Arial" w:hAnsi="Arial"/>
          <w:b/>
          <w:bCs/>
          <w:sz w:val="22"/>
          <w:szCs w:val="22"/>
        </w:rPr>
        <w:t xml:space="preserve">Location: </w:t>
      </w:r>
      <w:r>
        <w:rPr>
          <w:rFonts w:ascii="Arial" w:cs="Arial" w:eastAsia="Arial" w:hAnsi="Arial"/>
          <w:sz w:val="22"/>
          <w:szCs w:val="22"/>
        </w:rPr>
        <w:t xml:space="preserve">Thomasville, GA 31757</w:t>
      </w:r>
    </w:p>
    <w:p>
      <w:pPr>
        <w:spacing w:before="120" w:after="120"/>
      </w:pPr>
    </w:p>
    <w:p>
      <w:pPr>
        <w:pBdr>
          <w:left w:val="single" w:color="B22222" w:sz="6" w:space="8"/>
        </w:pBdr>
        <w:spacing w:before="80" w:after="80"/>
        <w:ind w:left="360"/>
      </w:pPr>
      <w:r>
        <w:rPr>
          <w:rFonts w:ascii="Arial" w:cs="Arial" w:eastAsia="Arial" w:hAnsi="Arial"/>
          <w:b/>
          <w:bCs/>
          <w:color w:val="B22222"/>
          <w:sz w:val="22"/>
          <w:szCs w:val="22"/>
        </w:rPr>
        <w:t xml:space="preserve">⚠ ROUTING: Forward to agency PRA Officer and OIRA Desk Officer per 5 CFR 1320.11. Copy to SBA Chief Counsel per 5 U.S.C. § 612.</w:t>
      </w:r>
    </w:p>
    <w:p>
      <w:pPr>
        <w:spacing w:before="120" w:after="120"/>
      </w:pPr>
    </w:p>
    <w:p>
      <w:pPr>
        <w:spacing w:before="300" w:after="120"/>
      </w:pPr>
      <w:r>
        <w:rPr>
          <w:rFonts w:ascii="Arial" w:cs="Arial" w:eastAsia="Arial" w:hAnsi="Arial"/>
          <w:b/>
          <w:bCs/>
          <w:color w:val="1B3A6B"/>
          <w:sz w:val="28"/>
          <w:szCs w:val="28"/>
        </w:rPr>
        <w:t xml:space="preserve">IX. FSA Must Prove Operational Readiness</w:t>
      </w:r>
    </w:p>
    <w:p>
      <w:pPr>
        <w:spacing w:before="120" w:after="120"/>
      </w:pPr>
    </w:p>
    <w:p>
      <w:pPr>
        <w:spacing w:before="240" w:after="80"/>
      </w:pPr>
      <w:r>
        <w:rPr>
          <w:rFonts w:ascii="Arial" w:cs="Arial" w:eastAsia="Arial" w:hAnsi="Arial"/>
          <w:b/>
          <w:bCs/>
          <w:color w:val="2E5B8A"/>
          <w:sz w:val="24"/>
          <w:szCs w:val="24"/>
        </w:rPr>
        <w:t xml:space="preserve">A. Processing Timeline</w:t>
      </w:r>
    </w:p>
    <w:p>
      <w:pPr>
        <w:spacing w:before="60" w:after="60"/>
      </w:pPr>
      <w:r>
        <w:rPr>
          <w:rFonts w:ascii="Arial" w:cs="Arial" w:eastAsia="Arial" w:hAnsi="Arial"/>
          <w:sz w:val="22"/>
          <w:szCs w:val="22"/>
        </w:rPr>
        <w:t xml:space="preserve">How quickly does FSA process ERP applications? If disaster relief designed for urgent need takes 6–18 months to process, the collection’s practical utility is severely undermined.</w:t>
      </w:r>
    </w:p>
    <w:p>
      <w:pPr>
        <w:spacing w:before="120" w:after="120"/>
      </w:pPr>
    </w:p>
    <w:p>
      <w:pPr>
        <w:spacing w:before="240" w:after="80"/>
      </w:pPr>
      <w:r>
        <w:rPr>
          <w:rFonts w:ascii="Arial" w:cs="Arial" w:eastAsia="Arial" w:hAnsi="Arial"/>
          <w:b/>
          <w:bCs/>
          <w:color w:val="2E5B8A"/>
          <w:sz w:val="24"/>
          <w:szCs w:val="24"/>
        </w:rPr>
        <w:t xml:space="preserve">B. County Office Capacity</w:t>
      </w:r>
    </w:p>
    <w:p>
      <w:pPr>
        <w:spacing w:before="60" w:after="60"/>
      </w:pPr>
      <w:r>
        <w:rPr>
          <w:rFonts w:ascii="Arial" w:cs="Arial" w:eastAsia="Arial" w:hAnsi="Arial"/>
          <w:sz w:val="22"/>
          <w:szCs w:val="22"/>
        </w:rPr>
        <w:t xml:space="preserve">Do county offices have sufficient staff to process ERP applications? If staffing shortages create backlogs, collecting detailed documentation from producers only feeds a processing bottleneck.</w:t>
      </w:r>
    </w:p>
    <w:p>
      <w:pPr>
        <w:spacing w:before="120" w:after="120"/>
      </w:pPr>
    </w:p>
    <w:p>
      <w:pPr>
        <w:spacing w:before="240" w:after="80"/>
      </w:pPr>
      <w:r>
        <w:rPr>
          <w:rFonts w:ascii="Arial" w:cs="Arial" w:eastAsia="Arial" w:hAnsi="Arial"/>
          <w:b/>
          <w:bCs/>
          <w:color w:val="2E5B8A"/>
          <w:sz w:val="24"/>
          <w:szCs w:val="24"/>
        </w:rPr>
        <w:t xml:space="preserve">C. Denial Rates</w:t>
      </w:r>
    </w:p>
    <w:p>
      <w:pPr>
        <w:spacing w:before="60" w:after="60"/>
      </w:pPr>
      <w:r>
        <w:rPr>
          <w:rFonts w:ascii="Arial" w:cs="Arial" w:eastAsia="Arial" w:hAnsi="Arial"/>
          <w:sz w:val="22"/>
          <w:szCs w:val="22"/>
        </w:rPr>
        <w:t xml:space="preserve">FSA should disclose application denial rates and reasons. If denials are primarily due to documentation deficiencies rather than substantive ineligibility, the documentation burden is producing administrative waste rather than program integrity.</w:t>
      </w:r>
    </w:p>
    <w:p>
      <w:pPr>
        <w:spacing w:before="120" w:after="120"/>
      </w:pPr>
    </w:p>
    <w:p>
      <w:pPr>
        <w:spacing w:before="240" w:after="80"/>
      </w:pPr>
      <w:r>
        <w:rPr>
          <w:rFonts w:ascii="Arial" w:cs="Arial" w:eastAsia="Arial" w:hAnsi="Arial"/>
          <w:b/>
          <w:bCs/>
          <w:color w:val="2E5B8A"/>
          <w:sz w:val="24"/>
          <w:szCs w:val="24"/>
        </w:rPr>
        <w:t xml:space="preserve">D. Payment Accuracy</w:t>
      </w:r>
    </w:p>
    <w:p>
      <w:pPr>
        <w:spacing w:before="60" w:after="60"/>
      </w:pPr>
      <w:r>
        <w:rPr>
          <w:rFonts w:ascii="Arial" w:cs="Arial" w:eastAsia="Arial" w:hAnsi="Arial"/>
          <w:sz w:val="22"/>
          <w:szCs w:val="22"/>
        </w:rPr>
        <w:t xml:space="preserve">FSA should demonstrate that detailed documentation actually improves payment accuracy versus a simplified presumptive approach based on existing USDA data.</w:t>
      </w:r>
    </w:p>
    <w:p>
      <w:pPr>
        <w:spacing w:before="120" w:after="120"/>
      </w:pPr>
    </w:p>
    <w:p>
      <w:pPr>
        <w:pBdr>
          <w:left w:val="single" w:color="8B7500" w:sz="6" w:space="8"/>
        </w:pBdr>
        <w:spacing w:before="80" w:after="80"/>
        <w:ind w:left="360"/>
      </w:pPr>
      <w:r>
        <w:rPr>
          <w:rFonts w:ascii="Arial" w:cs="Arial" w:eastAsia="Arial" w:hAnsi="Arial"/>
          <w:b/>
          <w:bCs/>
          <w:color w:val="8B7500"/>
          <w:sz w:val="22"/>
          <w:szCs w:val="22"/>
        </w:rPr>
        <w:t xml:space="preserve">► REQUESTED RELIEF: OIRA should require FSA to disclose processing timelines, county staffing adequacy, denial rates with reasons, and payment accuracy analysis.</w:t>
      </w:r>
    </w:p>
    <w:p>
      <w:pPr>
        <w:spacing w:before="120" w:after="120"/>
      </w:pPr>
    </w:p>
    <w:p>
      <w:pPr>
        <w:pBdr>
          <w:top w:val="single" w:color="1B3A6B" w:sz="4"/>
        </w:pBdr>
        <w:spacing w:before="200" w:after="60"/>
      </w:pPr>
      <w:r>
        <w:rPr>
          <w:rFonts w:ascii="Arial" w:cs="Arial" w:eastAsia="Arial" w:hAnsi="Arial"/>
          <w:b/>
          <w:bCs/>
          <w:color w:val="1B3A6B"/>
          <w:sz w:val="24"/>
          <w:szCs w:val="24"/>
        </w:rPr>
        <w:t xml:space="preserve">SWORN DECLARATION UNDER PENALTY OF PERJURY</w:t>
      </w:r>
    </w:p>
    <w:p>
      <w:pPr>
        <w:spacing w:before="60" w:after="60"/>
      </w:pPr>
      <w:r>
        <w:rPr>
          <w:rFonts w:ascii="Arial" w:cs="Arial" w:eastAsia="Arial" w:hAnsi="Arial"/>
          <w:sz w:val="22"/>
          <w:szCs w:val="22"/>
        </w:rPr>
        <w:t xml:space="preserve">I, James Hunter Poole, declare under penalty of perjury pursuant to 28 U.S.C. § 1746, consistent with 5 U.S.C. § 553(c), 44 U.S.C. § 3511(b), 5 CFR 1320.5, 5 CFR 1320.8, 5 CFR 1320.11, the APA, RFA, Small Business Paperwork Relief Act, Small Business Act, E-Government Act, GPEA, OPEN Government Data Act, FISMA, Clinger-Cohen Act, Information Quality Act, Federal Records Act, IG Act, FOIA, Privacy Act, and Executive Orders governing PRA compliance and federal information integrity, that the foregoing is true and correct.</w:t>
      </w:r>
    </w:p>
    <w:p>
      <w:pPr>
        <w:spacing w:before="120" w:after="120"/>
      </w:pPr>
    </w:p>
    <w:p>
      <w:pPr>
        <w:spacing w:before="60" w:after="60"/>
      </w:pPr>
      <w:r>
        <w:rPr>
          <w:rFonts w:ascii="Arial" w:cs="Arial" w:eastAsia="Arial" w:hAnsi="Arial"/>
          <w:sz w:val="22"/>
          <w:szCs w:val="22"/>
        </w:rPr>
        <w:t xml:space="preserve">Executed this 24th day of March 2026.</w:t>
      </w:r>
    </w:p>
    <w:p>
      <w:pPr>
        <w:spacing w:before="120" w:after="120"/>
      </w:pPr>
    </w:p>
    <w:p>
      <w:pPr>
        <w:spacing w:before="60" w:after="60"/>
      </w:pPr>
      <w:r>
        <w:rPr>
          <w:rFonts w:ascii="Arial" w:cs="Arial" w:eastAsia="Arial" w:hAnsi="Arial"/>
          <w:sz w:val="22"/>
          <w:szCs w:val="22"/>
        </w:rPr>
        <w:t xml:space="preserve">James Hunter Poole</w:t>
      </w:r>
    </w:p>
    <w:p>
      <w:pPr>
        <w:spacing w:before="60" w:after="60"/>
      </w:pPr>
      <w:r>
        <w:rPr>
          <w:rFonts w:ascii="Arial" w:cs="Arial" w:eastAsia="Arial" w:hAnsi="Arial"/>
          <w:sz w:val="22"/>
          <w:szCs w:val="22"/>
        </w:rPr>
        <w:t xml:space="preserve">Executive Chairman &amp; CEO, Obelisk Tech Systems Inc. (CAGE: 9S0L8 | UEI: U34MSJ6A6413)</w:t>
      </w:r>
    </w:p>
    <w:p>
      <w:pPr>
        <w:spacing w:before="60" w:after="60"/>
      </w:pPr>
      <w:r>
        <w:rPr>
          <w:rFonts w:ascii="Arial" w:cs="Arial" w:eastAsia="Arial" w:hAnsi="Arial"/>
          <w:sz w:val="22"/>
          <w:szCs w:val="22"/>
        </w:rPr>
        <w:t xml:space="preserve">HUBZone-Certified Small Business | ITAR-Registered Defense Contractor</w:t>
      </w:r>
    </w:p>
    <w:p>
      <w:pPr>
        <w:spacing w:before="60" w:after="60"/>
      </w:pPr>
      <w:r>
        <w:rPr>
          <w:rFonts w:ascii="Arial" w:cs="Arial" w:eastAsia="Arial" w:hAnsi="Arial"/>
          <w:sz w:val="22"/>
          <w:szCs w:val="22"/>
        </w:rPr>
        <w:t xml:space="preserve">Delaware C-Corp | Thomasville, Thomas County, Georgia 31757</w:t>
      </w:r>
    </w:p>
    <w:p>
      <w:pPr>
        <w:spacing w:before="60" w:after="60"/>
      </w:pPr>
      <w:r>
        <w:rPr>
          <w:rFonts w:ascii="Arial" w:cs="Arial" w:eastAsia="Arial" w:hAnsi="Arial"/>
          <w:sz w:val="22"/>
          <w:szCs w:val="22"/>
        </w:rPr>
        <w:t xml:space="preserve">Email: savetheamericancommunities@gmail.com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2026-03-24T19:50:39.415Z</dcterms:created>
  <dcterms:modified xsi:type="dcterms:W3CDTF">2026-03-24T19:50:39.415Z</dcterms:modified>
</cp:coreProperties>
</file>

<file path=docProps/custom.xml><?xml version="1.0" encoding="utf-8"?>
<Properties xmlns="http://schemas.openxmlformats.org/officeDocument/2006/custom-properties" xmlns:vt="http://schemas.openxmlformats.org/officeDocument/2006/docPropsVTypes"/>
</file>