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3C75" w:rsidRPr="00F01721" w:rsidP="005D3C75" w14:paraId="01716BE5" w14:textId="77777777">
      <w:pPr>
        <w:jc w:val="center"/>
        <w:rPr>
          <w:b/>
        </w:rPr>
      </w:pPr>
    </w:p>
    <w:p w:rsidR="005D3C75" w:rsidRPr="00CD17A7" w:rsidP="005D3C75" w14:paraId="7744E83C" w14:textId="77777777">
      <w:pPr>
        <w:pStyle w:val="Heading1"/>
        <w:jc w:val="center"/>
        <w:rPr>
          <w:rFonts w:ascii="Times New Roman" w:hAnsi="Times New Roman"/>
          <w:sz w:val="28"/>
          <w:szCs w:val="28"/>
        </w:rPr>
      </w:pPr>
      <w:r w:rsidRPr="00CD17A7">
        <w:rPr>
          <w:rFonts w:ascii="Times New Roman" w:hAnsi="Times New Roman"/>
          <w:sz w:val="28"/>
          <w:szCs w:val="28"/>
        </w:rPr>
        <w:t>UNITED STATES DEPARTMENT OF AGRICULTURE (USDA)</w:t>
      </w:r>
    </w:p>
    <w:p w:rsidR="005D3C75" w:rsidRPr="00CD17A7" w:rsidP="005D3C75" w14:paraId="298E40E8" w14:textId="77777777">
      <w:pPr>
        <w:pStyle w:val="Heading1"/>
        <w:rPr>
          <w:rFonts w:ascii="Times New Roman" w:hAnsi="Times New Roman"/>
        </w:rPr>
      </w:pPr>
    </w:p>
    <w:p w:rsidR="005D3C75" w:rsidRPr="00CD17A7" w:rsidP="005D3C75" w14:paraId="515CD414" w14:textId="7742E5D8">
      <w:pPr>
        <w:pStyle w:val="Heading1"/>
        <w:jc w:val="center"/>
        <w:rPr>
          <w:rFonts w:ascii="Times New Roman" w:hAnsi="Times New Roman"/>
          <w:sz w:val="28"/>
          <w:szCs w:val="28"/>
        </w:rPr>
      </w:pPr>
      <w:r w:rsidRPr="00CD17A7">
        <w:rPr>
          <w:rFonts w:ascii="Times New Roman" w:hAnsi="Times New Roman"/>
          <w:sz w:val="28"/>
          <w:szCs w:val="28"/>
        </w:rPr>
        <w:t xml:space="preserve">SUPPORTING STATEMENT </w:t>
      </w:r>
      <w:r w:rsidRPr="00CD17A7" w:rsidR="00CD17A7">
        <w:rPr>
          <w:rFonts w:ascii="Times New Roman" w:hAnsi="Times New Roman"/>
          <w:sz w:val="28"/>
          <w:szCs w:val="28"/>
        </w:rPr>
        <w:t xml:space="preserve">Part A </w:t>
      </w:r>
      <w:r w:rsidRPr="00CD17A7">
        <w:rPr>
          <w:rFonts w:ascii="Times New Roman" w:hAnsi="Times New Roman"/>
          <w:sz w:val="28"/>
          <w:szCs w:val="28"/>
        </w:rPr>
        <w:t>for</w:t>
      </w:r>
    </w:p>
    <w:p w:rsidR="005D3C75" w:rsidRPr="00AF4847" w:rsidP="005D3C75" w14:paraId="7140EE43" w14:textId="77777777"/>
    <w:p w:rsidR="005D3C75" w:rsidRPr="00AF4847" w:rsidP="005D3C75" w14:paraId="630168DD" w14:textId="385FFD80">
      <w:pPr>
        <w:jc w:val="center"/>
        <w:rPr>
          <w:b/>
        </w:rPr>
      </w:pPr>
      <w:r w:rsidRPr="00AF4847">
        <w:rPr>
          <w:b/>
        </w:rPr>
        <w:t xml:space="preserve">OMB Control Number: </w:t>
      </w:r>
      <w:r>
        <w:rPr>
          <w:b/>
        </w:rPr>
        <w:t>0579-04</w:t>
      </w:r>
      <w:r>
        <w:rPr>
          <w:b/>
        </w:rPr>
        <w:t>50</w:t>
      </w:r>
    </w:p>
    <w:p w:rsidR="005D3C75" w:rsidRPr="00AF4847" w:rsidP="005D3C75" w14:paraId="4820CF1C" w14:textId="77777777">
      <w:pPr>
        <w:pStyle w:val="Heading1"/>
      </w:pPr>
    </w:p>
    <w:p w:rsidR="005D3C75" w:rsidRPr="00CD17A7" w:rsidP="005D3C75" w14:paraId="625573CC" w14:textId="77777777">
      <w:pPr>
        <w:jc w:val="center"/>
        <w:rPr>
          <w:bCs/>
        </w:rPr>
      </w:pPr>
      <w:r w:rsidRPr="00CD17A7">
        <w:rPr>
          <w:b/>
          <w:bCs/>
        </w:rPr>
        <w:t>Title:</w:t>
      </w:r>
      <w:r w:rsidRPr="00AF4847">
        <w:t xml:space="preserve"> </w:t>
      </w:r>
      <w:r w:rsidRPr="00CD17A7">
        <w:rPr>
          <w:bCs/>
        </w:rPr>
        <w:t xml:space="preserve">Standardizing Phytosanitary Treatment Regulations: </w:t>
      </w:r>
    </w:p>
    <w:p w:rsidR="005D3C75" w:rsidRPr="00CD17A7" w:rsidP="005D3C75" w14:paraId="670B9C54" w14:textId="55B6D6A6">
      <w:pPr>
        <w:jc w:val="center"/>
        <w:rPr>
          <w:bCs/>
        </w:rPr>
      </w:pPr>
      <w:r w:rsidRPr="00CD17A7">
        <w:rPr>
          <w:bCs/>
        </w:rPr>
        <w:t xml:space="preserve">Approval of Cold Treatment and Irradiation </w:t>
      </w:r>
      <w:r w:rsidRPr="00CD17A7">
        <w:rPr>
          <w:bCs/>
        </w:rPr>
        <w:t>Facilities;</w:t>
      </w:r>
      <w:r w:rsidRPr="00CD17A7">
        <w:rPr>
          <w:bCs/>
        </w:rPr>
        <w:t xml:space="preserve"> </w:t>
      </w:r>
    </w:p>
    <w:p w:rsidR="005D3C75" w:rsidRPr="00CD17A7" w:rsidP="005D3C75" w14:paraId="43793B26" w14:textId="77777777">
      <w:pPr>
        <w:jc w:val="center"/>
        <w:rPr>
          <w:bCs/>
        </w:rPr>
      </w:pPr>
      <w:r w:rsidRPr="00CD17A7">
        <w:rPr>
          <w:bCs/>
        </w:rPr>
        <w:t>Cold Treatment Schedules; and</w:t>
      </w:r>
    </w:p>
    <w:p w:rsidR="005D3C75" w:rsidRPr="00CD17A7" w:rsidP="005D3C75" w14:paraId="1CDF0B94" w14:textId="77777777">
      <w:pPr>
        <w:jc w:val="center"/>
        <w:rPr>
          <w:bCs/>
        </w:rPr>
      </w:pPr>
      <w:r w:rsidRPr="00CD17A7">
        <w:rPr>
          <w:bCs/>
        </w:rPr>
        <w:t>Establishment of Fumigation and Cold Treatment Compliance Agreements</w:t>
      </w:r>
    </w:p>
    <w:p w:rsidR="005D3C75" w:rsidRPr="00AF4847" w:rsidP="005D3C75" w14:paraId="42E8A4C7" w14:textId="33CC0063">
      <w:pPr>
        <w:jc w:val="center"/>
        <w:rPr>
          <w:b/>
        </w:rPr>
      </w:pPr>
    </w:p>
    <w:p w:rsidR="005D3C75" w:rsidP="005D3C75" w14:paraId="4A4A3488" w14:textId="4FFB89C1">
      <w:pPr>
        <w:pStyle w:val="Heading2"/>
        <w:spacing w:before="0" w:after="0"/>
      </w:pPr>
      <w:r w:rsidRPr="005D3C75">
        <w:rPr>
          <w:b w:val="0"/>
          <w:bCs w:val="0"/>
          <w:sz w:val="24"/>
          <w:szCs w:val="24"/>
        </w:rPr>
        <w:t xml:space="preserve">Mr. </w:t>
      </w:r>
      <w:r w:rsidRPr="005D3C75">
        <w:rPr>
          <w:b w:val="0"/>
          <w:bCs w:val="0"/>
          <w:sz w:val="24"/>
          <w:szCs w:val="24"/>
        </w:rPr>
        <w:t>Xiangbing</w:t>
      </w:r>
      <w:r w:rsidRPr="003E108A">
        <w:rPr>
          <w:b w:val="0"/>
          <w:bCs w:val="0"/>
          <w:sz w:val="24"/>
          <w:szCs w:val="24"/>
        </w:rPr>
        <w:t xml:space="preserve"> </w:t>
      </w:r>
      <w:r w:rsidRPr="005D3C75">
        <w:rPr>
          <w:b w:val="0"/>
          <w:bCs w:val="0"/>
          <w:sz w:val="24"/>
          <w:szCs w:val="24"/>
        </w:rPr>
        <w:t xml:space="preserve">Yang, </w:t>
      </w:r>
    </w:p>
    <w:p w:rsidR="005D3C75" w:rsidRPr="005D3C75" w:rsidP="005D3C75" w14:paraId="766997EA" w14:textId="46A886D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5D3C75">
        <w:t>Laboratory Director</w:t>
      </w:r>
    </w:p>
    <w:p w:rsidR="005D3C75" w:rsidRPr="005D3C75" w:rsidP="005D3C75" w14:paraId="4BF5EA69" w14:textId="0173B93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 xml:space="preserve">Office: </w:t>
      </w:r>
      <w:r w:rsidRPr="005D3C75">
        <w:rPr>
          <w:b/>
          <w:bCs/>
        </w:rPr>
        <w:t>(</w:t>
      </w:r>
      <w:r w:rsidRPr="005D3C75">
        <w:t>305) 278–4881</w:t>
      </w:r>
    </w:p>
    <w:p w:rsidR="005D3C75" w:rsidRPr="005D3C75" w:rsidP="005D3C75" w14:paraId="342EA87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5D3C75" w:rsidRPr="00AF4847" w:rsidP="005D3C75" w14:paraId="7D01D3C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AF4847">
        <w:t>USDA, Animal and Plant Health Inspection Service (</w:t>
      </w:r>
      <w:r w:rsidRPr="00AF4847">
        <w:rPr>
          <w:color w:val="000000" w:themeColor="text1"/>
        </w:rPr>
        <w:t>APHIS)</w:t>
      </w:r>
    </w:p>
    <w:p w:rsidR="005D3C75" w:rsidRPr="005D3C75" w:rsidP="005D3C75" w14:paraId="340F946C" w14:textId="412981E8">
      <w:pPr>
        <w:contextualSpacing/>
        <w:jc w:val="center"/>
      </w:pPr>
      <w:r w:rsidRPr="005D3C75">
        <w:t>Plant Protection and Quarantine, Treatment and Inspection Methods Laboratory</w:t>
      </w:r>
    </w:p>
    <w:p w:rsidR="005D3C75" w:rsidRPr="005D3C75" w:rsidP="005D3C75" w14:paraId="54BDB852" w14:textId="350FFB53">
      <w:pPr>
        <w:contextualSpacing/>
        <w:jc w:val="center"/>
      </w:pPr>
      <w:r w:rsidRPr="005D3C75">
        <w:t>Science &amp; Technology</w:t>
      </w:r>
    </w:p>
    <w:p w:rsidR="005D3C75" w:rsidP="005D3C75" w14:paraId="74EBF4A5" w14:textId="667ED6D1">
      <w:pPr>
        <w:pStyle w:val="Heading2"/>
        <w:spacing w:before="0" w:after="0"/>
        <w:rPr>
          <w:b w:val="0"/>
          <w:bCs w:val="0"/>
          <w:sz w:val="24"/>
          <w:szCs w:val="24"/>
        </w:rPr>
      </w:pPr>
      <w:r w:rsidRPr="005D3C75">
        <w:rPr>
          <w:b w:val="0"/>
          <w:bCs w:val="0"/>
          <w:sz w:val="24"/>
          <w:szCs w:val="24"/>
        </w:rPr>
        <w:t xml:space="preserve">13601 Old Cutler Rd., </w:t>
      </w:r>
      <w:r>
        <w:rPr>
          <w:b w:val="0"/>
          <w:bCs w:val="0"/>
          <w:sz w:val="24"/>
          <w:szCs w:val="24"/>
        </w:rPr>
        <w:t>Bldg. 63</w:t>
      </w:r>
    </w:p>
    <w:p w:rsidR="005D3C75" w:rsidRPr="005D3C75" w:rsidP="005D3C75" w14:paraId="6973749D" w14:textId="39C1CFBB">
      <w:pPr>
        <w:pStyle w:val="Heading2"/>
        <w:spacing w:before="0" w:after="0"/>
        <w:rPr>
          <w:b w:val="0"/>
          <w:bCs w:val="0"/>
          <w:sz w:val="24"/>
          <w:szCs w:val="24"/>
        </w:rPr>
      </w:pPr>
      <w:r w:rsidRPr="005D3C75">
        <w:rPr>
          <w:b w:val="0"/>
          <w:bCs w:val="0"/>
          <w:sz w:val="24"/>
          <w:szCs w:val="24"/>
        </w:rPr>
        <w:t>Miami, FL</w:t>
      </w:r>
      <w:r w:rsidR="003E108A">
        <w:rPr>
          <w:b w:val="0"/>
          <w:bCs w:val="0"/>
          <w:sz w:val="24"/>
          <w:szCs w:val="24"/>
        </w:rPr>
        <w:t xml:space="preserve">, </w:t>
      </w:r>
      <w:r>
        <w:rPr>
          <w:b w:val="0"/>
          <w:bCs w:val="0"/>
          <w:sz w:val="24"/>
          <w:szCs w:val="24"/>
        </w:rPr>
        <w:t>33158</w:t>
      </w:r>
    </w:p>
    <w:p w:rsidR="005D3C75" w:rsidP="005D3C75" w14:paraId="2EEA120A" w14:textId="77777777">
      <w:pPr>
        <w:contextualSpacing/>
        <w:jc w:val="center"/>
        <w:rPr>
          <w:b/>
          <w:bCs/>
          <w:color w:val="000000" w:themeColor="text1"/>
        </w:rPr>
      </w:pPr>
    </w:p>
    <w:p w:rsidR="005D3C75" w:rsidRPr="00AF4847" w:rsidP="005D3C75" w14:paraId="64C2DB87" w14:textId="6CF77A1B">
      <w:pPr>
        <w:contextualSpacing/>
        <w:jc w:val="center"/>
        <w:rPr>
          <w:color w:val="000000" w:themeColor="text1"/>
        </w:rPr>
      </w:pPr>
      <w:r w:rsidRPr="00AF4847">
        <w:rPr>
          <w:b/>
          <w:bCs/>
          <w:color w:val="000000" w:themeColor="text1"/>
        </w:rPr>
        <w:t xml:space="preserve">Date Prepared: </w:t>
      </w:r>
      <w:r>
        <w:rPr>
          <w:color w:val="000000" w:themeColor="text1"/>
        </w:rPr>
        <w:t>March</w:t>
      </w:r>
      <w:r w:rsidRPr="00AF4847">
        <w:rPr>
          <w:color w:val="000000" w:themeColor="text1"/>
        </w:rPr>
        <w:t xml:space="preserve"> 202</w:t>
      </w:r>
      <w:r>
        <w:rPr>
          <w:color w:val="000000" w:themeColor="text1"/>
        </w:rPr>
        <w:t>6</w:t>
      </w:r>
    </w:p>
    <w:p w:rsidR="005D3C75" w:rsidRPr="00AF4847" w:rsidP="005D3C75" w14:paraId="226CB857" w14:textId="77777777">
      <w:pPr>
        <w:contextualSpacing/>
        <w:jc w:val="center"/>
        <w:rPr>
          <w:color w:val="000000" w:themeColor="text1"/>
        </w:rPr>
      </w:pPr>
    </w:p>
    <w:p w:rsidR="005D3C75" w:rsidRPr="00AF4847" w:rsidP="005D3C75" w14:paraId="3FE8A378" w14:textId="77777777">
      <w:pPr>
        <w:contextualSpacing/>
        <w:jc w:val="center"/>
        <w:rPr>
          <w:color w:val="000000" w:themeColor="text1"/>
        </w:rPr>
      </w:pPr>
    </w:p>
    <w:p w:rsidR="005D3C75" w:rsidRPr="00AF4847" w:rsidP="005D3C75" w14:paraId="5AD3FF78" w14:textId="77777777">
      <w:pPr>
        <w:contextualSpacing/>
        <w:jc w:val="center"/>
        <w:rPr>
          <w:color w:val="000000" w:themeColor="text1"/>
        </w:rPr>
      </w:pPr>
    </w:p>
    <w:p w:rsidR="005D3C75" w:rsidP="005D3C75" w14:paraId="114D541C" w14:textId="77777777">
      <w:pPr>
        <w:pStyle w:val="Heading2"/>
      </w:pPr>
    </w:p>
    <w:p w:rsidR="005D3C75" w:rsidP="005D3C75" w14:paraId="40C8C936" w14:textId="77777777">
      <w:pPr>
        <w:pStyle w:val="Heading2"/>
      </w:pPr>
    </w:p>
    <w:p w:rsidR="005D3C75" w:rsidRPr="00AF4847" w:rsidP="005D3C75" w14:paraId="1F680E38" w14:textId="77777777">
      <w:pPr>
        <w:pStyle w:val="Heading2"/>
      </w:pPr>
    </w:p>
    <w:p w:rsidR="005D3C75" w:rsidRPr="00AF4847" w:rsidP="005D3C75" w14:paraId="5EA06B98" w14:textId="77777777">
      <w:pPr>
        <w:pStyle w:val="Heading2"/>
      </w:pPr>
    </w:p>
    <w:p w:rsidR="005D3C75" w:rsidRPr="00AF4847" w:rsidP="005D3C75" w14:paraId="4B4C939D" w14:textId="77777777">
      <w:pPr>
        <w:pStyle w:val="Heading2"/>
      </w:pPr>
    </w:p>
    <w:p w:rsidR="005D3C75" w:rsidP="005D3C75" w14:paraId="53C7CF5E" w14:textId="77777777"/>
    <w:p w:rsidR="005D3C75" w:rsidP="005D3C75" w14:paraId="336B211E" w14:textId="77777777"/>
    <w:p w:rsidR="005D3C75" w:rsidP="005D3C75" w14:paraId="2FE238D1" w14:textId="77777777"/>
    <w:p w:rsidR="005D3C75" w:rsidRPr="00AF4847" w:rsidP="005D3C75" w14:paraId="14AA7741" w14:textId="77777777">
      <w:pPr>
        <w:pStyle w:val="Heading2"/>
      </w:pPr>
    </w:p>
    <w:p w:rsidR="005D3C75" w:rsidRPr="00AF4847" w:rsidP="005D3C75" w14:paraId="6AADBD78" w14:textId="77777777">
      <w:pPr>
        <w:pStyle w:val="Heading2"/>
      </w:pPr>
    </w:p>
    <w:p w:rsidR="00F22E39" w:rsidRPr="008C211A" w:rsidP="00F22E39" w14:paraId="6AFABBB1" w14:textId="00BEAA5A">
      <w:pPr>
        <w:autoSpaceDE w:val="0"/>
        <w:autoSpaceDN w:val="0"/>
        <w:adjustRightInd w:val="0"/>
      </w:pPr>
      <w:r w:rsidRPr="00963EEC">
        <w:rPr>
          <w:b/>
          <w:bCs/>
        </w:rPr>
        <w:t>TERMS OF CLEARANCE:</w:t>
      </w:r>
      <w:r w:rsidRPr="00963EEC">
        <w:t xml:space="preserve"> </w:t>
      </w:r>
      <w:r w:rsidRPr="00963EEC" w:rsidR="00963EEC">
        <w:t>“</w:t>
      </w:r>
      <w:r w:rsidRPr="00963EEC">
        <w:t>Before this ICR is renewed, USDA should convert PPQ 519 and PPQ 530 to common forms or explain why that has not been done.</w:t>
      </w:r>
      <w:r w:rsidRPr="00963EEC" w:rsidR="00963EEC">
        <w:t xml:space="preserve">”  APHIS </w:t>
      </w:r>
      <w:r w:rsidR="003E108A">
        <w:t xml:space="preserve">has </w:t>
      </w:r>
      <w:r w:rsidR="003E108A">
        <w:t>moved to</w:t>
      </w:r>
      <w:r w:rsidR="003E108A">
        <w:t xml:space="preserve"> these forms to a new PPQ Permit Common Forms ICR</w:t>
      </w:r>
      <w:r w:rsidRPr="00963EEC" w:rsidR="00963EEC">
        <w:t xml:space="preserve">. </w:t>
      </w:r>
    </w:p>
    <w:p w:rsidR="00963EEC" w:rsidRPr="008C211A" w:rsidP="00F22E39" w14:paraId="7C6D3DC5" w14:textId="05E7AFD2">
      <w:pPr>
        <w:autoSpaceDE w:val="0"/>
        <w:autoSpaceDN w:val="0"/>
        <w:adjustRightInd w:val="0"/>
        <w:rPr>
          <w:rFonts w:eastAsiaTheme="minorHAnsi"/>
        </w:rPr>
      </w:pPr>
    </w:p>
    <w:p w:rsidR="001B216F" w:rsidRPr="008C211A" w:rsidP="001B216F" w14:paraId="406CC210" w14:textId="2FFF5775">
      <w:pPr>
        <w:jc w:val="both"/>
        <w:rPr>
          <w:b/>
        </w:rPr>
      </w:pPr>
      <w:r w:rsidRPr="008C211A">
        <w:rPr>
          <w:b/>
        </w:rPr>
        <w:t>A.  Justification</w:t>
      </w:r>
    </w:p>
    <w:p w:rsidR="001B216F" w:rsidRPr="008C211A" w:rsidP="001B216F" w14:paraId="406CC211" w14:textId="77777777">
      <w:pPr>
        <w:rPr>
          <w:b/>
        </w:rPr>
      </w:pPr>
    </w:p>
    <w:p w:rsidR="001B216F" w:rsidP="001B216F" w14:paraId="406CC212" w14:textId="77777777">
      <w:r w:rsidRPr="008C211A">
        <w:rPr>
          <w:b/>
        </w:rPr>
        <w:t xml:space="preserve">1.  Explain </w:t>
      </w:r>
      <w:r>
        <w:rPr>
          <w:b/>
        </w:rPr>
        <w:t>the circumstances that make the collection of information necessary.  Identify any legal or administrative requirements that necessitate the collection.</w:t>
      </w:r>
    </w:p>
    <w:p w:rsidR="001B216F" w:rsidP="001B216F" w14:paraId="406CC213" w14:textId="77777777"/>
    <w:p w:rsidR="005E346C" w:rsidRPr="00D64DA0" w:rsidP="005E346C" w14:paraId="3A8D578E" w14:textId="77777777">
      <w:r>
        <w:t xml:space="preserve">This is a request for renewal of and changes to </w:t>
      </w:r>
      <w:r>
        <w:t>an</w:t>
      </w:r>
      <w:r>
        <w:t xml:space="preserve"> existing information collection. </w:t>
      </w:r>
      <w:r w:rsidRPr="007A1626">
        <w:t>APHIS is asking OMB to renew the approval of the collection activities for 3 years to</w:t>
      </w:r>
      <w:r w:rsidRPr="00D64DA0">
        <w:t xml:space="preserve"> prevent the spread of plant pests and plant diseases in the United States.</w:t>
      </w:r>
    </w:p>
    <w:p w:rsidR="005E346C" w:rsidP="005E346C" w14:paraId="5B64BD9F" w14:textId="77777777"/>
    <w:p w:rsidR="00B70E25" w:rsidRPr="00D64DA0" w:rsidP="00B70E25" w14:paraId="766729DA" w14:textId="77777777">
      <w:r w:rsidRPr="00D64DA0">
        <w:t xml:space="preserve">The United States Department of Agriculture (USDA) is responsible for preventing plant diseases or insect pests from entering the United States, preventing the spread of pests and noxious weeds not widely distributed into the United States, and eradicating those imported pests when eradication is feasible.  The Plant Protection Act (7 U.S.C. 7701 – </w:t>
      </w:r>
      <w:r w:rsidRPr="00D64DA0">
        <w:rPr>
          <w:u w:val="single"/>
        </w:rPr>
        <w:t>et</w:t>
      </w:r>
      <w:r w:rsidRPr="00D64DA0">
        <w:t xml:space="preserve"> </w:t>
      </w:r>
      <w:r w:rsidRPr="00D64DA0">
        <w:rPr>
          <w:u w:val="single"/>
        </w:rPr>
        <w:t>seq.</w:t>
      </w:r>
      <w:r w:rsidRPr="00D64DA0">
        <w:t>) authorizes the Department to carry out this mission.</w:t>
      </w:r>
    </w:p>
    <w:p w:rsidR="00B70E25" w:rsidP="00B70E25" w14:paraId="3D15966A" w14:textId="77777777"/>
    <w:p w:rsidR="00B70E25" w:rsidRPr="00D64DA0" w:rsidP="00B70E25" w14:paraId="6EBD745F" w14:textId="349E6F03">
      <w:r w:rsidRPr="00D64DA0">
        <w:t>Under the Plant Protection Act, the Animal and Plant Health Inspection Service (APHIS) is authorized, among other things, to regulate the importation of plants, plant products, and other articles to prevent the introduction of plant pests into the United States.</w:t>
      </w:r>
    </w:p>
    <w:p w:rsidR="00B70E25" w:rsidP="00B70E25" w14:paraId="42D98180" w14:textId="77777777"/>
    <w:p w:rsidR="00B70E25" w:rsidRPr="00D64DA0" w:rsidP="00B70E25" w14:paraId="75265B2B" w14:textId="06854CA1">
      <w:r w:rsidRPr="00D64DA0">
        <w:t xml:space="preserve">The Phytosanitary treatment regulations contained in 7 CFR, Part 305.1 thru 305.9 (referred to below as the regulations), set out the general requirements for performing treatments and certifying or approving treatment facilities for fruits, vegetables, and other articles to prevent the introduction or dissemination of plant pests or noxious weeds into or throughout the </w:t>
      </w:r>
    </w:p>
    <w:p w:rsidR="00B70E25" w:rsidRPr="00D64DA0" w:rsidP="00B70E25" w14:paraId="5B8467CC" w14:textId="77777777">
      <w:r w:rsidRPr="00D64DA0">
        <w:t>United States.</w:t>
      </w:r>
    </w:p>
    <w:p w:rsidR="00B70E25" w:rsidP="00B70E25" w14:paraId="045F2BF9" w14:textId="77777777"/>
    <w:p w:rsidR="00B70E25" w:rsidRPr="00D64DA0" w:rsidP="00B70E25" w14:paraId="018EDB99" w14:textId="68CC54A0">
      <w:pPr>
        <w:rPr>
          <w:color w:val="000000"/>
        </w:rPr>
      </w:pPr>
      <w:r>
        <w:rPr>
          <w:color w:val="000000"/>
        </w:rPr>
        <w:t>T</w:t>
      </w:r>
      <w:r w:rsidRPr="00D64DA0">
        <w:rPr>
          <w:color w:val="000000"/>
        </w:rPr>
        <w:t xml:space="preserve">he </w:t>
      </w:r>
      <w:r w:rsidRPr="00E10185">
        <w:t>phytosanitary treatment regulations establish</w:t>
      </w:r>
      <w:r w:rsidRPr="00E10185" w:rsidR="00EA3F1B">
        <w:t>ed</w:t>
      </w:r>
      <w:r w:rsidRPr="00E10185">
        <w:t xml:space="preserve"> generic criteria that </w:t>
      </w:r>
      <w:r w:rsidRPr="00D64DA0">
        <w:rPr>
          <w:color w:val="000000"/>
        </w:rPr>
        <w:t>allow</w:t>
      </w:r>
      <w:r w:rsidRPr="00BD7786" w:rsidR="00EA3F1B">
        <w:t>s</w:t>
      </w:r>
      <w:r w:rsidRPr="00D64DA0">
        <w:rPr>
          <w:color w:val="000000"/>
        </w:rPr>
        <w:t xml:space="preserve"> for the approval of new </w:t>
      </w:r>
      <w:r w:rsidRPr="00E10185">
        <w:t xml:space="preserve">cold treatment and irradiation facilities; cold treatment schedules; and </w:t>
      </w:r>
      <w:r w:rsidRPr="00E10185" w:rsidR="001D4F44">
        <w:t xml:space="preserve">the </w:t>
      </w:r>
      <w:r w:rsidRPr="00E10185">
        <w:t xml:space="preserve">establishment of fumigation and cold treatment compliance agreements.  These criteria, </w:t>
      </w:r>
      <w:r w:rsidRPr="00E10185" w:rsidR="00E10185">
        <w:t>if</w:t>
      </w:r>
      <w:r w:rsidRPr="00E10185" w:rsidR="001D4F44">
        <w:t xml:space="preserve"> </w:t>
      </w:r>
      <w:r w:rsidRPr="00E10185">
        <w:t>met, allow APHIS to approve new cold treatment facilities without rulemaking and facilitate the importation of fruit requiring cold treatment while continuing to provide protection against the introduction of pests of concern into the United States.  The fruit cutting and inspection requirements in the cold treatment regulations expands cutting and inspection to commodities that have been treated for a wider variety of pests of concern.  Th</w:t>
      </w:r>
      <w:r w:rsidRPr="00E10185" w:rsidR="001D4F44">
        <w:t>ese</w:t>
      </w:r>
      <w:r w:rsidRPr="00E10185" w:rsidR="00E10185">
        <w:t xml:space="preserve"> </w:t>
      </w:r>
      <w:r w:rsidRPr="00E10185">
        <w:t>action</w:t>
      </w:r>
      <w:r w:rsidRPr="00E10185" w:rsidR="001D4F44">
        <w:t>s</w:t>
      </w:r>
      <w:r w:rsidRPr="00E10185">
        <w:t xml:space="preserve"> provide for a greater degree of phytosanitary protection.  APHIS also requires the establishment of compliance agreements for those entities that operate fumigation facilities.  Finally, APHIS require</w:t>
      </w:r>
      <w:r w:rsidRPr="00E10185" w:rsidR="001D4F44">
        <w:t>s</w:t>
      </w:r>
      <w:r w:rsidRPr="00E10185">
        <w:t xml:space="preserve"> harmonize language concerning State compliance with facility establishment and parameters for the movement of consignments from the port of entry or points of origin in the United States to the treatment facility in the irradiation treatment regulations language in the cold treatment regulations.  These actions would </w:t>
      </w:r>
      <w:r w:rsidRPr="00D64DA0">
        <w:rPr>
          <w:color w:val="000000"/>
        </w:rPr>
        <w:t>serve to codify and make enforceable existing procedures concerning compliance agreements for these facilities.</w:t>
      </w:r>
    </w:p>
    <w:p w:rsidR="001B216F" w:rsidP="001B216F" w14:paraId="406CC21F" w14:textId="77777777">
      <w:pPr>
        <w:rPr>
          <w:b/>
        </w:rPr>
      </w:pPr>
      <w:r w:rsidRPr="00543FFA">
        <w:rPr>
          <w:b/>
        </w:rPr>
        <w:t>2</w:t>
      </w:r>
      <w:r w:rsidRPr="00543FFA">
        <w:rPr>
          <w:b/>
        </w:rPr>
        <w:t>.  Indicate</w:t>
      </w:r>
      <w:r w:rsidRPr="00543FFA">
        <w:rPr>
          <w:b/>
        </w:rPr>
        <w:t xml:space="preserve"> how, by whom, and for what purpose the information is to be used.  Except for a new collection, indicate the actual use the agency has made of the information received from the current collection.</w:t>
      </w:r>
    </w:p>
    <w:p w:rsidR="001B216F" w:rsidP="001B216F" w14:paraId="406CC220" w14:textId="77777777">
      <w:pPr>
        <w:rPr>
          <w:b/>
        </w:rPr>
      </w:pPr>
    </w:p>
    <w:p w:rsidR="001B216F" w:rsidP="001B216F" w14:paraId="406CC221" w14:textId="11FBACE1">
      <w:r>
        <w:t xml:space="preserve">APHIS </w:t>
      </w:r>
      <w:r w:rsidR="005E346C">
        <w:t>uses</w:t>
      </w:r>
      <w:r>
        <w:t xml:space="preserve"> the following information activities to provide generic criteria for new </w:t>
      </w:r>
      <w:r w:rsidR="002965CE">
        <w:t xml:space="preserve">cold </w:t>
      </w:r>
      <w:r>
        <w:t>trea</w:t>
      </w:r>
      <w:r w:rsidR="001C366C">
        <w:t xml:space="preserve">tment and irradiation </w:t>
      </w:r>
      <w:r w:rsidR="00DD6D1E">
        <w:t>facilities,</w:t>
      </w:r>
      <w:r w:rsidR="001C366C">
        <w:t xml:space="preserve"> cold treatment schedules, and the establishment of fumigation and cold treatment compliance agreements</w:t>
      </w:r>
      <w:r>
        <w:t xml:space="preserve">.   </w:t>
      </w:r>
    </w:p>
    <w:p w:rsidR="00CE2D7B" w:rsidP="001B216F" w14:paraId="406CC222" w14:textId="77777777"/>
    <w:p w:rsidR="00D26A21" w:rsidP="001B216F" w14:paraId="406CC22E" w14:textId="2ABB9EBD">
      <w:pPr>
        <w:rPr>
          <w:color w:val="000000"/>
        </w:rPr>
      </w:pPr>
      <w:r>
        <w:rPr>
          <w:b/>
          <w:u w:val="single"/>
        </w:rPr>
        <w:t>Facility Certification</w:t>
      </w:r>
      <w:r w:rsidR="00987F9E">
        <w:rPr>
          <w:b/>
          <w:u w:val="single"/>
        </w:rPr>
        <w:t>;</w:t>
      </w:r>
      <w:r>
        <w:rPr>
          <w:b/>
          <w:u w:val="single"/>
        </w:rPr>
        <w:t xml:space="preserve"> (</w:t>
      </w:r>
      <w:r w:rsidR="00987F9E">
        <w:rPr>
          <w:b/>
          <w:u w:val="single"/>
        </w:rPr>
        <w:t>B</w:t>
      </w:r>
      <w:r>
        <w:rPr>
          <w:b/>
          <w:u w:val="single"/>
        </w:rPr>
        <w:t>usiness)</w:t>
      </w:r>
      <w:r w:rsidR="00987F9E">
        <w:rPr>
          <w:b/>
          <w:u w:val="single"/>
        </w:rPr>
        <w:t>;</w:t>
      </w:r>
      <w:r>
        <w:rPr>
          <w:b/>
          <w:u w:val="single"/>
        </w:rPr>
        <w:t xml:space="preserve"> </w:t>
      </w:r>
      <w:r w:rsidR="003E108A">
        <w:rPr>
          <w:b/>
          <w:u w:val="single"/>
        </w:rPr>
        <w:t xml:space="preserve">7 CFR </w:t>
      </w:r>
      <w:r>
        <w:rPr>
          <w:b/>
          <w:u w:val="single"/>
        </w:rPr>
        <w:t>305.6 (a)</w:t>
      </w:r>
      <w:r w:rsidR="00987F9E">
        <w:rPr>
          <w:b/>
          <w:u w:val="single"/>
        </w:rPr>
        <w:br/>
      </w:r>
      <w:r w:rsidR="00CA79B7">
        <w:rPr>
          <w:color w:val="000000"/>
        </w:rPr>
        <w:t xml:space="preserve">A facility will only be certified or recertified if the Administrator determines that the location of the facility is such that those Federal agencies involved in its operation and oversight have adequate resources to conduct the necessary operations at the facility, that the pest risks can be managed at that location, and that the facility meets all criteria for approval. </w:t>
      </w:r>
    </w:p>
    <w:p w:rsidR="00CA79B7" w:rsidP="001B216F" w14:paraId="406CC22F" w14:textId="77777777">
      <w:pPr>
        <w:rPr>
          <w:color w:val="000000"/>
        </w:rPr>
      </w:pPr>
    </w:p>
    <w:p w:rsidR="00D26A21" w:rsidRPr="00D26A21" w:rsidP="001B216F" w14:paraId="406CC230" w14:textId="09050501">
      <w:r>
        <w:rPr>
          <w:b/>
          <w:color w:val="000000"/>
          <w:u w:val="single"/>
        </w:rPr>
        <w:t>Facility to Provide Detailed Layout</w:t>
      </w:r>
      <w:r w:rsidR="00FA42FE">
        <w:rPr>
          <w:b/>
          <w:color w:val="000000"/>
          <w:u w:val="single"/>
        </w:rPr>
        <w:t xml:space="preserve"> Map</w:t>
      </w:r>
      <w:r w:rsidR="00987F9E">
        <w:rPr>
          <w:b/>
          <w:color w:val="000000"/>
          <w:u w:val="single"/>
        </w:rPr>
        <w:t>;</w:t>
      </w:r>
      <w:r w:rsidR="00FA42FE">
        <w:rPr>
          <w:b/>
          <w:color w:val="000000"/>
          <w:u w:val="single"/>
        </w:rPr>
        <w:t xml:space="preserve"> (</w:t>
      </w:r>
      <w:r w:rsidR="00987F9E">
        <w:rPr>
          <w:b/>
          <w:color w:val="000000"/>
          <w:u w:val="single"/>
        </w:rPr>
        <w:t>B</w:t>
      </w:r>
      <w:r w:rsidR="00FA42FE">
        <w:rPr>
          <w:b/>
          <w:color w:val="000000"/>
          <w:u w:val="single"/>
        </w:rPr>
        <w:t>usiness)</w:t>
      </w:r>
      <w:r w:rsidR="00987F9E">
        <w:rPr>
          <w:b/>
          <w:color w:val="000000"/>
          <w:u w:val="single"/>
        </w:rPr>
        <w:t>;</w:t>
      </w:r>
      <w:r w:rsidR="00FA42FE">
        <w:rPr>
          <w:b/>
          <w:color w:val="000000"/>
          <w:u w:val="single"/>
        </w:rPr>
        <w:t xml:space="preserve"> </w:t>
      </w:r>
      <w:r w:rsidR="003E108A">
        <w:rPr>
          <w:b/>
          <w:u w:val="single"/>
        </w:rPr>
        <w:t xml:space="preserve">7 CFR </w:t>
      </w:r>
      <w:r w:rsidR="00FA42FE">
        <w:rPr>
          <w:b/>
          <w:color w:val="000000"/>
          <w:u w:val="single"/>
        </w:rPr>
        <w:t>305.6 (b)(1)(i)</w:t>
      </w:r>
      <w:r w:rsidR="00FA42FE">
        <w:rPr>
          <w:color w:val="000000"/>
        </w:rPr>
        <w:t xml:space="preserve"> </w:t>
      </w:r>
      <w:r w:rsidR="00987F9E">
        <w:rPr>
          <w:color w:val="000000"/>
        </w:rPr>
        <w:br/>
        <w:t>P</w:t>
      </w:r>
      <w:r w:rsidRPr="00AC5AE0">
        <w:rPr>
          <w:color w:val="000000"/>
        </w:rPr>
        <w:t>rospective facility</w:t>
      </w:r>
      <w:r>
        <w:rPr>
          <w:color w:val="000000"/>
        </w:rPr>
        <w:t xml:space="preserve"> </w:t>
      </w:r>
      <w:r w:rsidR="00A148FA">
        <w:rPr>
          <w:color w:val="000000"/>
        </w:rPr>
        <w:t>operators</w:t>
      </w:r>
      <w:r w:rsidRPr="00AC5AE0">
        <w:rPr>
          <w:color w:val="000000"/>
        </w:rPr>
        <w:t xml:space="preserve"> would have</w:t>
      </w:r>
      <w:r>
        <w:rPr>
          <w:color w:val="000000"/>
        </w:rPr>
        <w:t xml:space="preserve"> </w:t>
      </w:r>
      <w:r w:rsidRPr="00AC5AE0">
        <w:rPr>
          <w:color w:val="000000"/>
        </w:rPr>
        <w:t>to submit a detailed layout of the facility</w:t>
      </w:r>
      <w:r>
        <w:rPr>
          <w:color w:val="000000"/>
        </w:rPr>
        <w:t xml:space="preserve"> </w:t>
      </w:r>
      <w:r w:rsidRPr="00AC5AE0">
        <w:rPr>
          <w:color w:val="000000"/>
        </w:rPr>
        <w:t xml:space="preserve">site and its location to APHIS. </w:t>
      </w:r>
      <w:r>
        <w:rPr>
          <w:color w:val="000000"/>
        </w:rPr>
        <w:t xml:space="preserve"> </w:t>
      </w:r>
    </w:p>
    <w:p w:rsidR="001B216F" w:rsidP="001B216F" w14:paraId="406CC231" w14:textId="77777777">
      <w:pPr>
        <w:rPr>
          <w:b/>
        </w:rPr>
      </w:pPr>
    </w:p>
    <w:p w:rsidR="00E86E2C" w:rsidP="001B216F" w14:paraId="406CC232" w14:textId="209D9F27">
      <w:pPr>
        <w:rPr>
          <w:b/>
        </w:rPr>
      </w:pPr>
      <w:r>
        <w:rPr>
          <w:b/>
          <w:color w:val="000000"/>
          <w:u w:val="single"/>
        </w:rPr>
        <w:t>State Written Concurrence</w:t>
      </w:r>
      <w:r w:rsidR="00142D51">
        <w:rPr>
          <w:b/>
          <w:color w:val="000000"/>
          <w:u w:val="single"/>
        </w:rPr>
        <w:t>;</w:t>
      </w:r>
      <w:r w:rsidR="00FA42FE">
        <w:rPr>
          <w:b/>
          <w:color w:val="000000"/>
          <w:u w:val="single"/>
        </w:rPr>
        <w:t xml:space="preserve"> (</w:t>
      </w:r>
      <w:r w:rsidR="00FD42F8">
        <w:rPr>
          <w:b/>
          <w:color w:val="000000"/>
          <w:u w:val="single"/>
        </w:rPr>
        <w:t xml:space="preserve">State </w:t>
      </w:r>
      <w:r w:rsidR="00987F9E">
        <w:rPr>
          <w:b/>
          <w:color w:val="000000"/>
          <w:u w:val="single"/>
        </w:rPr>
        <w:t>G</w:t>
      </w:r>
      <w:r w:rsidR="00FD42F8">
        <w:rPr>
          <w:b/>
          <w:color w:val="000000"/>
          <w:u w:val="single"/>
        </w:rPr>
        <w:t>overnment)</w:t>
      </w:r>
      <w:r w:rsidR="00987F9E">
        <w:rPr>
          <w:b/>
          <w:color w:val="000000"/>
          <w:u w:val="single"/>
        </w:rPr>
        <w:t>;</w:t>
      </w:r>
      <w:r w:rsidR="00FD42F8">
        <w:rPr>
          <w:b/>
          <w:color w:val="000000"/>
          <w:u w:val="single"/>
        </w:rPr>
        <w:t xml:space="preserve"> </w:t>
      </w:r>
      <w:r w:rsidR="003E108A">
        <w:rPr>
          <w:b/>
          <w:u w:val="single"/>
        </w:rPr>
        <w:t xml:space="preserve">7 CFR </w:t>
      </w:r>
      <w:r w:rsidR="00FD42F8">
        <w:rPr>
          <w:b/>
          <w:color w:val="000000"/>
          <w:u w:val="single"/>
        </w:rPr>
        <w:t>305.6 (b)(1)(ii)</w:t>
      </w:r>
      <w:r w:rsidR="00987F9E">
        <w:rPr>
          <w:b/>
          <w:color w:val="000000"/>
          <w:u w:val="single"/>
        </w:rPr>
        <w:br/>
      </w:r>
      <w:r w:rsidR="00FD42F8">
        <w:rPr>
          <w:color w:val="000000"/>
        </w:rPr>
        <w:t>T</w:t>
      </w:r>
      <w:r w:rsidRPr="00AC5AE0">
        <w:rPr>
          <w:color w:val="000000"/>
        </w:rPr>
        <w:t>he</w:t>
      </w:r>
      <w:r>
        <w:rPr>
          <w:color w:val="000000"/>
        </w:rPr>
        <w:t xml:space="preserve"> </w:t>
      </w:r>
      <w:r w:rsidR="00A148FA">
        <w:rPr>
          <w:color w:val="000000"/>
        </w:rPr>
        <w:t xml:space="preserve">government of the </w:t>
      </w:r>
      <w:r w:rsidRPr="00AC5AE0">
        <w:rPr>
          <w:color w:val="000000"/>
        </w:rPr>
        <w:t>State in</w:t>
      </w:r>
      <w:r>
        <w:rPr>
          <w:color w:val="000000"/>
        </w:rPr>
        <w:t xml:space="preserve"> </w:t>
      </w:r>
      <w:r w:rsidRPr="00AC5AE0">
        <w:rPr>
          <w:color w:val="000000"/>
        </w:rPr>
        <w:t>which the facility would be located</w:t>
      </w:r>
      <w:r>
        <w:rPr>
          <w:color w:val="000000"/>
        </w:rPr>
        <w:t xml:space="preserve"> </w:t>
      </w:r>
      <w:r w:rsidR="00A148FA">
        <w:rPr>
          <w:color w:val="000000"/>
        </w:rPr>
        <w:t>must</w:t>
      </w:r>
      <w:r w:rsidRPr="00AC5AE0">
        <w:rPr>
          <w:color w:val="000000"/>
        </w:rPr>
        <w:t xml:space="preserve"> concur in writing</w:t>
      </w:r>
      <w:r>
        <w:rPr>
          <w:color w:val="000000"/>
        </w:rPr>
        <w:t xml:space="preserve"> </w:t>
      </w:r>
      <w:r w:rsidR="00A148FA">
        <w:rPr>
          <w:color w:val="000000"/>
        </w:rPr>
        <w:t>with the location of the facility, or</w:t>
      </w:r>
      <w:r w:rsidRPr="00AC5AE0">
        <w:rPr>
          <w:color w:val="000000"/>
        </w:rPr>
        <w:t xml:space="preserve"> if it does not concur, the State</w:t>
      </w:r>
      <w:r>
        <w:rPr>
          <w:color w:val="000000"/>
        </w:rPr>
        <w:t xml:space="preserve"> </w:t>
      </w:r>
      <w:r w:rsidRPr="00AC5AE0">
        <w:rPr>
          <w:color w:val="000000"/>
        </w:rPr>
        <w:t>government must provide a written</w:t>
      </w:r>
      <w:r>
        <w:rPr>
          <w:color w:val="000000"/>
        </w:rPr>
        <w:t xml:space="preserve"> </w:t>
      </w:r>
      <w:r w:rsidRPr="00AC5AE0">
        <w:rPr>
          <w:color w:val="000000"/>
        </w:rPr>
        <w:t>explanation of concern based on pest</w:t>
      </w:r>
      <w:r>
        <w:rPr>
          <w:color w:val="000000"/>
        </w:rPr>
        <w:t xml:space="preserve"> </w:t>
      </w:r>
      <w:r w:rsidRPr="00AC5AE0">
        <w:rPr>
          <w:color w:val="000000"/>
        </w:rPr>
        <w:t xml:space="preserve">risks. </w:t>
      </w:r>
      <w:r>
        <w:rPr>
          <w:color w:val="000000"/>
        </w:rPr>
        <w:t xml:space="preserve"> </w:t>
      </w:r>
    </w:p>
    <w:p w:rsidR="00E86E2C" w:rsidP="001B216F" w14:paraId="406CC233" w14:textId="77777777">
      <w:pPr>
        <w:rPr>
          <w:b/>
        </w:rPr>
      </w:pPr>
    </w:p>
    <w:p w:rsidR="001B216F" w:rsidP="001B216F" w14:paraId="406CC234" w14:textId="59EF5FF3">
      <w:r w:rsidRPr="009F2376">
        <w:rPr>
          <w:b/>
          <w:u w:val="single"/>
        </w:rPr>
        <w:t>Facility to Provide Updated Map</w:t>
      </w:r>
      <w:r w:rsidR="00FD42F8">
        <w:rPr>
          <w:b/>
          <w:u w:val="single"/>
        </w:rPr>
        <w:t>s</w:t>
      </w:r>
      <w:r w:rsidRPr="009F2376">
        <w:rPr>
          <w:b/>
          <w:u w:val="single"/>
        </w:rPr>
        <w:t xml:space="preserve"> Identifying </w:t>
      </w:r>
      <w:r w:rsidR="00FD42F8">
        <w:rPr>
          <w:b/>
          <w:u w:val="single"/>
        </w:rPr>
        <w:t xml:space="preserve">Where </w:t>
      </w:r>
      <w:r w:rsidRPr="009F2376">
        <w:rPr>
          <w:b/>
          <w:u w:val="single"/>
        </w:rPr>
        <w:t>Horticultural/Crops are Grown</w:t>
      </w:r>
      <w:r w:rsidR="00142D51">
        <w:rPr>
          <w:b/>
          <w:u w:val="single"/>
        </w:rPr>
        <w:t>;</w:t>
      </w:r>
      <w:r w:rsidR="00FD42F8">
        <w:rPr>
          <w:b/>
          <w:u w:val="single"/>
        </w:rPr>
        <w:t xml:space="preserve"> (</w:t>
      </w:r>
      <w:r w:rsidR="00987F9E">
        <w:rPr>
          <w:b/>
          <w:u w:val="single"/>
        </w:rPr>
        <w:t>B</w:t>
      </w:r>
      <w:r w:rsidR="00FD42F8">
        <w:rPr>
          <w:b/>
          <w:u w:val="single"/>
        </w:rPr>
        <w:t>usiness)</w:t>
      </w:r>
      <w:r w:rsidR="00987F9E">
        <w:rPr>
          <w:b/>
          <w:u w:val="single"/>
        </w:rPr>
        <w:t>;</w:t>
      </w:r>
      <w:r w:rsidR="00FD42F8">
        <w:rPr>
          <w:b/>
          <w:u w:val="single"/>
        </w:rPr>
        <w:t xml:space="preserve"> </w:t>
      </w:r>
      <w:r w:rsidR="003E108A">
        <w:rPr>
          <w:b/>
          <w:u w:val="single"/>
        </w:rPr>
        <w:t xml:space="preserve">7 CFR </w:t>
      </w:r>
      <w:r w:rsidR="00FD42F8">
        <w:rPr>
          <w:b/>
          <w:u w:val="single"/>
        </w:rPr>
        <w:t>305.6 (b)(1)(x)</w:t>
      </w:r>
      <w:r w:rsidR="00987F9E">
        <w:rPr>
          <w:b/>
          <w:u w:val="single"/>
        </w:rPr>
        <w:br/>
      </w:r>
      <w:r>
        <w:t>The facility must maintain and provide APHIS with an updated map identifying places where horticultural or other crops are g</w:t>
      </w:r>
      <w:r w:rsidR="00967262">
        <w:t>r</w:t>
      </w:r>
      <w:r>
        <w:t>own within a 4-mile radius of the facility.  Proximity of host material to the facility will necessitate trapping or other pests monitoring activities to help prevent establishment of any escaped pests of concern, as approved by APHIS.</w:t>
      </w:r>
    </w:p>
    <w:p w:rsidR="001B216F" w:rsidRPr="009F2376" w:rsidP="001B216F" w14:paraId="406CC235" w14:textId="77777777"/>
    <w:p w:rsidR="001B216F" w:rsidP="001B216F" w14:paraId="406CC236" w14:textId="4F40E3BD">
      <w:r>
        <w:rPr>
          <w:b/>
          <w:u w:val="single"/>
        </w:rPr>
        <w:t>Contingency Plan</w:t>
      </w:r>
      <w:r w:rsidR="00142D51">
        <w:rPr>
          <w:b/>
          <w:u w:val="single"/>
        </w:rPr>
        <w:t>;</w:t>
      </w:r>
      <w:r w:rsidR="00FD42F8">
        <w:rPr>
          <w:b/>
          <w:u w:val="single"/>
        </w:rPr>
        <w:t xml:space="preserve"> (</w:t>
      </w:r>
      <w:r w:rsidR="00987F9E">
        <w:rPr>
          <w:b/>
          <w:u w:val="single"/>
        </w:rPr>
        <w:t>B</w:t>
      </w:r>
      <w:r w:rsidR="00FD42F8">
        <w:rPr>
          <w:b/>
          <w:u w:val="single"/>
        </w:rPr>
        <w:t>usiness)</w:t>
      </w:r>
      <w:r w:rsidR="00987F9E">
        <w:rPr>
          <w:b/>
          <w:u w:val="single"/>
        </w:rPr>
        <w:t>;</w:t>
      </w:r>
      <w:r w:rsidR="00FD42F8">
        <w:rPr>
          <w:b/>
          <w:u w:val="single"/>
        </w:rPr>
        <w:t xml:space="preserve"> </w:t>
      </w:r>
      <w:r w:rsidR="003E108A">
        <w:rPr>
          <w:b/>
          <w:u w:val="single"/>
        </w:rPr>
        <w:t xml:space="preserve">7 CFR </w:t>
      </w:r>
      <w:r w:rsidR="00FD42F8">
        <w:rPr>
          <w:b/>
          <w:u w:val="single"/>
        </w:rPr>
        <w:t>305.6 (b)(1)(iv)</w:t>
      </w:r>
      <w:r w:rsidR="00987F9E">
        <w:rPr>
          <w:b/>
          <w:u w:val="single"/>
        </w:rPr>
        <w:br/>
      </w:r>
      <w:r>
        <w:t xml:space="preserve">The facility must have contingency plans, approved by APHIS, for safely destroying or </w:t>
      </w:r>
      <w:r w:rsidR="005029B0">
        <w:t xml:space="preserve">disposing of regulated </w:t>
      </w:r>
      <w:r w:rsidR="00915E22">
        <w:t>articles if</w:t>
      </w:r>
      <w:r w:rsidR="005029B0">
        <w:t xml:space="preserve"> the shipment is unable to properly treat a shipment.</w:t>
      </w:r>
    </w:p>
    <w:p w:rsidR="00C6417E" w:rsidP="00685777" w14:paraId="7C3BA2DC" w14:textId="77777777">
      <w:pPr>
        <w:tabs>
          <w:tab w:val="left" w:pos="720"/>
        </w:tabs>
        <w:rPr>
          <w:color w:val="000000"/>
        </w:rPr>
      </w:pPr>
    </w:p>
    <w:p w:rsidR="001B216F" w:rsidP="001B216F" w14:paraId="406CC239" w14:textId="28232B8A">
      <w:pPr>
        <w:rPr>
          <w:b/>
        </w:rPr>
      </w:pPr>
      <w:r>
        <w:rPr>
          <w:b/>
        </w:rPr>
        <w:t>3</w:t>
      </w:r>
      <w:r w:rsidRPr="000A36DE">
        <w:rPr>
          <w:b/>
        </w:rPr>
        <w:t>.  Describe</w:t>
      </w:r>
      <w:r w:rsidRPr="000A36DE">
        <w:rPr>
          <w:b/>
        </w:rPr>
        <w:t xml:space="preserve"> whether, and to what extent, the collection of information involves the use of automated, electronic, mechanical, or other forms of information technology, </w:t>
      </w:r>
      <w:r w:rsidRPr="000A36DE" w:rsidR="00DD6D1E">
        <w:rPr>
          <w:b/>
        </w:rPr>
        <w:t>e.g.,</w:t>
      </w:r>
      <w:r w:rsidRPr="000A36DE">
        <w:rPr>
          <w:b/>
        </w:rPr>
        <w:t xml:space="preserve"> permitting electronic submission of responses, and the basis for the decision for adopting this means of collection.  Also describe any considerations of using information technology to reduce burden.</w:t>
      </w:r>
    </w:p>
    <w:p w:rsidR="00AD51A6" w:rsidP="001B216F" w14:paraId="6BF7E02B" w14:textId="77777777">
      <w:pPr>
        <w:rPr>
          <w:b/>
        </w:rPr>
      </w:pPr>
    </w:p>
    <w:p w:rsidR="001B216F" w:rsidRPr="009A4CE2" w:rsidP="001B216F" w14:paraId="406CC23B" w14:textId="37667B67">
      <w:r>
        <w:t xml:space="preserve">Letters for facility approval </w:t>
      </w:r>
      <w:r w:rsidR="00CB4929">
        <w:t>m</w:t>
      </w:r>
      <w:r>
        <w:t>ay be submitted electronically.</w:t>
      </w:r>
    </w:p>
    <w:p w:rsidR="001B216F" w:rsidP="001B216F" w14:paraId="406CC23C" w14:textId="77777777">
      <w:pPr>
        <w:rPr>
          <w:b/>
        </w:rPr>
      </w:pPr>
    </w:p>
    <w:p w:rsidR="005E346C" w:rsidP="001B216F" w14:paraId="557FB4CC" w14:textId="77777777">
      <w:pPr>
        <w:rPr>
          <w:b/>
        </w:rPr>
      </w:pPr>
    </w:p>
    <w:p w:rsidR="005E346C" w:rsidP="001B216F" w14:paraId="209153FF" w14:textId="77777777">
      <w:pPr>
        <w:rPr>
          <w:b/>
        </w:rPr>
      </w:pPr>
    </w:p>
    <w:p w:rsidR="001B216F" w:rsidP="001B216F" w14:paraId="406CC23E" w14:textId="1F47CD07">
      <w:pPr>
        <w:rPr>
          <w:b/>
        </w:rPr>
      </w:pPr>
      <w:r>
        <w:rPr>
          <w:b/>
        </w:rPr>
        <w:t>4</w:t>
      </w:r>
      <w:r w:rsidRPr="000B6718">
        <w:rPr>
          <w:b/>
        </w:rPr>
        <w:t>.  Describe</w:t>
      </w:r>
      <w:r w:rsidRPr="000B6718">
        <w:rPr>
          <w:b/>
        </w:rPr>
        <w:t xml:space="preserve"> efforts to identify duplication.  Show specifically why any similar information already available cannot be used or modified for use of the purpose described in item 2 above.</w:t>
      </w:r>
    </w:p>
    <w:p w:rsidR="001B216F" w:rsidP="001B216F" w14:paraId="406CC23F" w14:textId="77777777">
      <w:pPr>
        <w:rPr>
          <w:b/>
        </w:rPr>
      </w:pPr>
    </w:p>
    <w:p w:rsidR="001B216F" w:rsidP="001B216F" w14:paraId="406CC240" w14:textId="77777777">
      <w:r>
        <w:t xml:space="preserve">The information APHIS collects is exclusive to its mission to prevent the introduction of plant pests and plant diseases into the </w:t>
      </w:r>
      <w:smartTag w:uri="urn:schemas-microsoft-com:office:smarttags" w:element="place">
        <w:smartTag w:uri="urn:schemas-microsoft-com:office:smarttags" w:element="country-region">
          <w:r>
            <w:t>United States</w:t>
          </w:r>
        </w:smartTag>
      </w:smartTag>
      <w:r>
        <w:t>.  The information is not available from any other source.</w:t>
      </w:r>
    </w:p>
    <w:p w:rsidR="001B216F" w:rsidP="001B216F" w14:paraId="406CC242" w14:textId="77777777"/>
    <w:p w:rsidR="001B216F" w:rsidRPr="00892FC6" w:rsidP="001B216F" w14:paraId="406CC243" w14:textId="77777777">
      <w:pPr>
        <w:rPr>
          <w:b/>
        </w:rPr>
      </w:pPr>
      <w:r w:rsidRPr="00892FC6">
        <w:rPr>
          <w:b/>
        </w:rPr>
        <w:t>5</w:t>
      </w:r>
      <w:r w:rsidRPr="00892FC6">
        <w:rPr>
          <w:b/>
        </w:rPr>
        <w:t>.  If</w:t>
      </w:r>
      <w:r w:rsidRPr="00892FC6">
        <w:rPr>
          <w:b/>
        </w:rPr>
        <w:t xml:space="preserve"> the collection of information impacts small businesses or other small entities, describe any methods used to minimize burden.</w:t>
      </w:r>
    </w:p>
    <w:p w:rsidR="001B216F" w:rsidP="001B216F" w14:paraId="406CC244" w14:textId="77777777">
      <w:pPr>
        <w:rPr>
          <w:b/>
        </w:rPr>
      </w:pPr>
    </w:p>
    <w:p w:rsidR="001B216F" w:rsidRPr="00C616F4" w:rsidP="001B216F" w14:paraId="406CC245" w14:textId="45EA6D4D">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place">
        <w:smartTag w:uri="urn:schemas-microsoft-com:office:smarttags" w:element="country-region">
          <w:r>
            <w:t>United States</w:t>
          </w:r>
        </w:smartTag>
      </w:smartTag>
      <w:r w:rsidR="00FD42F8">
        <w:t xml:space="preserve">.  APHIS has determined </w:t>
      </w:r>
      <w:r w:rsidRPr="008F102C" w:rsidR="00FD42F8">
        <w:t>70</w:t>
      </w:r>
      <w:r>
        <w:t xml:space="preserve"> percent of the </w:t>
      </w:r>
      <w:r w:rsidR="00ED7B35">
        <w:t xml:space="preserve">business </w:t>
      </w:r>
      <w:r>
        <w:t>respondents are small entities.</w:t>
      </w:r>
    </w:p>
    <w:p w:rsidR="001B216F" w:rsidRPr="00892FC6" w:rsidP="001B216F" w14:paraId="406CC247" w14:textId="77777777">
      <w:pPr>
        <w:rPr>
          <w:b/>
        </w:rPr>
      </w:pPr>
    </w:p>
    <w:p w:rsidR="001B216F" w:rsidP="001B216F" w14:paraId="406CC248" w14:textId="77777777">
      <w:pPr>
        <w:rPr>
          <w:b/>
        </w:rPr>
      </w:pPr>
      <w:r w:rsidRPr="00892FC6">
        <w:rPr>
          <w:b/>
        </w:rPr>
        <w:t>6</w:t>
      </w:r>
      <w:r w:rsidRPr="00892FC6">
        <w:rPr>
          <w:b/>
        </w:rPr>
        <w:t>.  Describe</w:t>
      </w:r>
      <w:r w:rsidRPr="00892FC6">
        <w:rPr>
          <w:b/>
        </w:rPr>
        <w:t xml:space="preserve"> the consequences to Federal program or policy activities if the collection is not conducted or is conducted less frequently, as well as any technical or legal obstacles to reducing burden.</w:t>
      </w:r>
    </w:p>
    <w:p w:rsidR="001B216F" w:rsidP="001B216F" w14:paraId="406CC249" w14:textId="77777777">
      <w:pPr>
        <w:rPr>
          <w:b/>
        </w:rPr>
      </w:pPr>
    </w:p>
    <w:p w:rsidR="001B216F" w:rsidP="001B216F" w14:paraId="406CC24A" w14:textId="2D5BC660">
      <w:r>
        <w:t xml:space="preserve">If the information was collected less frequently or not collected at all, APHIS would have no practical way of determining that any given commodity had actually been </w:t>
      </w:r>
      <w:r w:rsidR="009E7A59">
        <w:t>treated.</w:t>
      </w:r>
      <w:r>
        <w:t xml:space="preserve">  </w:t>
      </w:r>
    </w:p>
    <w:p w:rsidR="009E7A59" w:rsidP="001B216F" w14:paraId="406CC24B" w14:textId="77777777"/>
    <w:p w:rsidR="001B216F" w:rsidP="001B216F" w14:paraId="406CC24C" w14:textId="77777777">
      <w:pPr>
        <w:rPr>
          <w:b/>
        </w:rPr>
      </w:pPr>
      <w:r w:rsidRPr="009264A5">
        <w:rPr>
          <w:b/>
        </w:rPr>
        <w:t>7.  Explain any special circumstances that require the collection to be conducted in a manner inconsistent with the general information collection guidelines in 5 CFR 1320.5.</w:t>
      </w:r>
    </w:p>
    <w:p w:rsidR="001B216F" w:rsidP="001B216F" w14:paraId="406CC24D" w14:textId="77777777">
      <w:pPr>
        <w:pStyle w:val="300"/>
        <w:rPr>
          <w:sz w:val="24"/>
          <w:szCs w:val="24"/>
        </w:rPr>
      </w:pPr>
    </w:p>
    <w:p w:rsidR="001B216F" w:rsidP="001B216F" w14:paraId="406CC24E" w14:textId="77777777">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216F" w:rsidP="001B216F" w14:paraId="406CC24F" w14:textId="77777777">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1B216F" w:rsidP="001B216F" w14:paraId="406CC250" w14:textId="77777777">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216F" w:rsidP="001B216F" w14:paraId="406CC251" w14:textId="77777777">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1B216F" w:rsidP="001B216F" w14:paraId="406CC252" w14:textId="77777777">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216F" w:rsidP="001B216F" w14:paraId="406CC253" w14:textId="77777777">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216F" w:rsidP="001B216F" w14:paraId="406CC254" w14:textId="77777777">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1B216F" w:rsidRPr="00DC70C5" w:rsidP="001B216F" w14:paraId="406CC255" w14:textId="77777777">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1B216F" w:rsidRPr="00D03A03" w:rsidP="00886926" w14:paraId="406CC256" w14:textId="77777777">
      <w:pPr>
        <w:spacing w:after="80"/>
        <w:ind w:left="1170"/>
        <w:rPr>
          <w:rFonts w:ascii="CG Times" w:hAnsi="CG Times"/>
        </w:rPr>
      </w:pPr>
    </w:p>
    <w:p w:rsidR="001B216F" w:rsidP="001B216F" w14:paraId="406CC257" w14:textId="0311D44F">
      <w:r>
        <w:t>There are no</w:t>
      </w:r>
      <w:r w:rsidRPr="00473B64">
        <w:t xml:space="preserve"> special circumstances associated with this information collection</w:t>
      </w:r>
      <w:r>
        <w:t xml:space="preserve"> that would require it to be conducted in a manner inconsistent with the general information collection guidelines in 5 CFR 1320.5.</w:t>
      </w:r>
    </w:p>
    <w:p w:rsidR="000718B3" w:rsidP="001B216F" w14:paraId="5E0A7C31" w14:textId="77777777"/>
    <w:p w:rsidR="001B216F" w:rsidRPr="001321BE" w:rsidP="001B216F" w14:paraId="406CC25A" w14:textId="77777777">
      <w:pPr>
        <w:rPr>
          <w:b/>
        </w:rPr>
      </w:pPr>
      <w:r w:rsidRPr="001321BE">
        <w:rPr>
          <w:b/>
        </w:rPr>
        <w:t>8</w:t>
      </w:r>
      <w:r w:rsidRPr="001321BE">
        <w:rPr>
          <w:b/>
        </w:rPr>
        <w:t>.  Describe</w:t>
      </w:r>
      <w:r w:rsidRPr="001321BE">
        <w:rPr>
          <w:b/>
        </w:rPr>
        <w:t xml:space="preserve"> efforts to consult with </w:t>
      </w:r>
      <w:r w:rsidRPr="001321BE">
        <w:rPr>
          <w:b/>
        </w:rPr>
        <w:t>persons</w:t>
      </w:r>
      <w:r w:rsidRPr="001321BE">
        <w:rPr>
          <w:b/>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216F" w:rsidP="001B216F" w14:paraId="406CC25B" w14:textId="77777777"/>
    <w:p w:rsidR="00DD6D1E" w:rsidP="00DD6D1E" w14:paraId="66BE33FC" w14:textId="2AB0783B">
      <w:r>
        <w:t xml:space="preserve">APHIS recently consulted with the </w:t>
      </w:r>
      <w:r w:rsidRPr="00786936">
        <w:t xml:space="preserve">following individuals </w:t>
      </w:r>
      <w:r>
        <w:t>regarding this program. The consultation with each individual stakeholder occurred during conference calls and emails, which gave APHIS the opportunity to address questions regarding the Cold Treatment and Irradiation Facilities program. The respondents had no questions or concerns about availability of data, frequency of collection, the clarity of instructions and disclosure, or reporting.</w:t>
      </w:r>
    </w:p>
    <w:p w:rsidR="00523238" w:rsidP="00DD6D1E" w14:paraId="4F01411B" w14:textId="7E2B8232"/>
    <w:p w:rsidR="00E236D8" w:rsidP="00E236D8" w14:paraId="3AB3F7DD" w14:textId="77777777">
      <w:r>
        <w:t>Curtis Foltz</w:t>
      </w:r>
    </w:p>
    <w:p w:rsidR="00E236D8" w:rsidP="00E236D8" w14:paraId="25389A40" w14:textId="77777777">
      <w:r>
        <w:t>Georgia Port Authority</w:t>
      </w:r>
    </w:p>
    <w:p w:rsidR="00E236D8" w:rsidRPr="00D7620D" w:rsidP="00E236D8" w14:paraId="07824F3D" w14:textId="77777777">
      <w:pPr>
        <w:rPr>
          <w:rFonts w:cs="Arial"/>
        </w:rPr>
      </w:pPr>
      <w:r w:rsidRPr="00D7620D">
        <w:rPr>
          <w:rFonts w:cs="Arial"/>
        </w:rPr>
        <w:t xml:space="preserve">P.O. Box 2406, </w:t>
      </w:r>
    </w:p>
    <w:p w:rsidR="00E236D8" w:rsidRPr="00D7620D" w:rsidP="00E236D8" w14:paraId="2D267D4D" w14:textId="77777777">
      <w:r w:rsidRPr="00D7620D">
        <w:rPr>
          <w:rFonts w:cs="Arial"/>
        </w:rPr>
        <w:t>Savannah, GA 31402</w:t>
      </w:r>
    </w:p>
    <w:p w:rsidR="00E236D8" w:rsidRPr="00D7620D" w:rsidP="00E236D8" w14:paraId="38A1B7E8" w14:textId="77777777">
      <w:r>
        <w:rPr>
          <w:rFonts w:cs="Arial"/>
        </w:rPr>
        <w:t>800-</w:t>
      </w:r>
      <w:r w:rsidRPr="00D7620D">
        <w:rPr>
          <w:rFonts w:cs="Arial"/>
        </w:rPr>
        <w:t>342-8012</w:t>
      </w:r>
    </w:p>
    <w:p w:rsidR="00E236D8" w:rsidP="00E236D8" w14:paraId="2F191D51" w14:textId="77777777"/>
    <w:p w:rsidR="00E236D8" w:rsidP="00E236D8" w14:paraId="718684B0" w14:textId="77777777">
      <w:r w:rsidRPr="00D7620D">
        <w:t>Bill Johnson</w:t>
      </w:r>
      <w:r>
        <w:t>, Port Director</w:t>
      </w:r>
    </w:p>
    <w:p w:rsidR="00E236D8" w:rsidRPr="00D7620D" w:rsidP="00E236D8" w14:paraId="509D5317" w14:textId="77777777">
      <w:r>
        <w:t>Port of Miami</w:t>
      </w:r>
    </w:p>
    <w:p w:rsidR="00E236D8" w:rsidRPr="00D7620D" w:rsidP="00E236D8" w14:paraId="3E897CA3" w14:textId="77777777">
      <w:pPr>
        <w:rPr>
          <w:color w:val="212121"/>
        </w:rPr>
      </w:pPr>
      <w:r w:rsidRPr="00D7620D">
        <w:rPr>
          <w:color w:val="212121"/>
        </w:rPr>
        <w:t xml:space="preserve">1015 N. America Way, </w:t>
      </w:r>
    </w:p>
    <w:p w:rsidR="00E236D8" w:rsidRPr="00D7620D" w:rsidP="00E236D8" w14:paraId="3B7F468B" w14:textId="77777777">
      <w:r w:rsidRPr="00D7620D">
        <w:rPr>
          <w:color w:val="212121"/>
        </w:rPr>
        <w:t>Miami, Florida 33132</w:t>
      </w:r>
    </w:p>
    <w:p w:rsidR="00E236D8" w:rsidRPr="00D7620D" w:rsidP="00E236D8" w14:paraId="1CC2075C" w14:textId="77777777">
      <w:r w:rsidRPr="00D7620D">
        <w:t>305-347-4800</w:t>
      </w:r>
    </w:p>
    <w:p w:rsidR="00E236D8" w:rsidRPr="00D7620D" w:rsidP="00E236D8" w14:paraId="5AA10520" w14:textId="77777777"/>
    <w:p w:rsidR="00E236D8" w:rsidP="00E236D8" w14:paraId="6E4E7902" w14:textId="77777777">
      <w:r>
        <w:t>Glen Wiltshire, Deputy Port Director</w:t>
      </w:r>
    </w:p>
    <w:p w:rsidR="00E236D8" w:rsidP="00E236D8" w14:paraId="53854081" w14:textId="77777777">
      <w:r>
        <w:t>Port Everglades</w:t>
      </w:r>
    </w:p>
    <w:p w:rsidR="00E236D8" w:rsidRPr="00D7620D" w:rsidP="00E236D8" w14:paraId="3A087B97" w14:textId="77777777">
      <w:pPr>
        <w:shd w:val="clear" w:color="auto" w:fill="FFFFFF"/>
      </w:pPr>
      <w:r w:rsidRPr="00D7620D">
        <w:t xml:space="preserve">1850 Eller Drive </w:t>
      </w:r>
    </w:p>
    <w:p w:rsidR="00E236D8" w:rsidP="00E236D8" w14:paraId="727A2AD1" w14:textId="77777777">
      <w:pPr>
        <w:shd w:val="clear" w:color="auto" w:fill="FFFFFF"/>
      </w:pPr>
      <w:r>
        <w:t>Fort Lauderdale, FL 33316</w:t>
      </w:r>
    </w:p>
    <w:p w:rsidR="00E236D8" w:rsidP="00E236D8" w14:paraId="53C98165" w14:textId="77777777">
      <w:pPr>
        <w:shd w:val="clear" w:color="auto" w:fill="FFFFFF"/>
        <w:rPr>
          <w:rFonts w:eastAsiaTheme="minorHAnsi"/>
        </w:rPr>
      </w:pPr>
      <w:r w:rsidRPr="003E26AF">
        <w:rPr>
          <w:rFonts w:eastAsiaTheme="minorHAnsi"/>
        </w:rPr>
        <w:t>954-523-3404</w:t>
      </w:r>
    </w:p>
    <w:p w:rsidR="001F4B0E" w:rsidP="00D7620D" w14:paraId="045B1F4B" w14:textId="77777777">
      <w:pPr>
        <w:shd w:val="clear" w:color="auto" w:fill="FFFFFF"/>
      </w:pPr>
    </w:p>
    <w:p w:rsidR="00E236D8" w:rsidRPr="00E236D8" w:rsidP="00E236D8" w14:paraId="2278B43A" w14:textId="5ACED437">
      <w:pPr>
        <w:pStyle w:val="300"/>
        <w:rPr>
          <w:sz w:val="24"/>
          <w:szCs w:val="24"/>
        </w:rPr>
      </w:pPr>
      <w:bookmarkStart w:id="0" w:name="_Hlk60128196"/>
      <w:r w:rsidRPr="00E236D8">
        <w:rPr>
          <w:rFonts w:eastAsia="Calibri"/>
          <w:sz w:val="24"/>
          <w:szCs w:val="24"/>
        </w:rPr>
        <w:t xml:space="preserve">On </w:t>
      </w:r>
      <w:r w:rsidRPr="00E236D8">
        <w:rPr>
          <w:rFonts w:eastAsia="Calibri"/>
          <w:sz w:val="24"/>
          <w:szCs w:val="24"/>
        </w:rPr>
        <w:t>Fri</w:t>
      </w:r>
      <w:r w:rsidRPr="00E236D8">
        <w:rPr>
          <w:rFonts w:eastAsia="Calibri"/>
          <w:sz w:val="24"/>
          <w:szCs w:val="24"/>
        </w:rPr>
        <w:t xml:space="preserve">day, </w:t>
      </w:r>
      <w:r w:rsidRPr="00E236D8">
        <w:rPr>
          <w:rFonts w:eastAsia="Calibri"/>
          <w:sz w:val="24"/>
          <w:szCs w:val="24"/>
        </w:rPr>
        <w:t>Septe</w:t>
      </w:r>
      <w:r w:rsidRPr="00E236D8">
        <w:rPr>
          <w:rFonts w:eastAsia="Calibri"/>
          <w:sz w:val="24"/>
          <w:szCs w:val="24"/>
        </w:rPr>
        <w:t>mber 2</w:t>
      </w:r>
      <w:r w:rsidRPr="00E236D8">
        <w:rPr>
          <w:rFonts w:eastAsia="Calibri"/>
          <w:sz w:val="24"/>
          <w:szCs w:val="24"/>
        </w:rPr>
        <w:t>6</w:t>
      </w:r>
      <w:r w:rsidRPr="00E236D8">
        <w:rPr>
          <w:rFonts w:eastAsia="Calibri"/>
          <w:sz w:val="24"/>
          <w:szCs w:val="24"/>
        </w:rPr>
        <w:t>, 202</w:t>
      </w:r>
      <w:r w:rsidRPr="00E236D8">
        <w:rPr>
          <w:rFonts w:eastAsia="Calibri"/>
          <w:sz w:val="24"/>
          <w:szCs w:val="24"/>
        </w:rPr>
        <w:t>5</w:t>
      </w:r>
      <w:r w:rsidRPr="00E236D8">
        <w:rPr>
          <w:rFonts w:eastAsia="Calibri"/>
          <w:sz w:val="24"/>
          <w:szCs w:val="24"/>
        </w:rPr>
        <w:t>, APHIS published in the Federal Register</w:t>
      </w:r>
      <w:r w:rsidRPr="00E236D8" w:rsidR="00967262">
        <w:rPr>
          <w:rFonts w:eastAsia="Calibri"/>
          <w:sz w:val="24"/>
          <w:szCs w:val="24"/>
        </w:rPr>
        <w:t xml:space="preserve"> Notice,</w:t>
      </w:r>
      <w:r w:rsidRPr="00E236D8" w:rsidR="006126A8">
        <w:rPr>
          <w:rFonts w:eastAsia="Calibri"/>
          <w:sz w:val="24"/>
          <w:szCs w:val="24"/>
        </w:rPr>
        <w:t xml:space="preserve"> </w:t>
      </w:r>
      <w:r w:rsidRPr="00E236D8">
        <w:rPr>
          <w:rFonts w:eastAsia="Calibri"/>
          <w:sz w:val="24"/>
          <w:szCs w:val="24"/>
        </w:rPr>
        <w:t>(</w:t>
      </w:r>
      <w:r w:rsidRPr="00E236D8">
        <w:rPr>
          <w:rFonts w:eastAsia="Calibri"/>
          <w:sz w:val="24"/>
          <w:szCs w:val="24"/>
        </w:rPr>
        <w:t>V</w:t>
      </w:r>
      <w:r w:rsidRPr="00E236D8">
        <w:rPr>
          <w:rFonts w:eastAsia="Calibri"/>
          <w:sz w:val="24"/>
          <w:szCs w:val="24"/>
        </w:rPr>
        <w:t>ol.</w:t>
      </w:r>
      <w:r w:rsidRPr="00E236D8">
        <w:rPr>
          <w:rFonts w:eastAsia="Calibri"/>
          <w:sz w:val="24"/>
          <w:szCs w:val="24"/>
        </w:rPr>
        <w:t xml:space="preserve"> </w:t>
      </w:r>
      <w:r w:rsidRPr="00E236D8">
        <w:rPr>
          <w:rFonts w:eastAsia="Calibri"/>
          <w:sz w:val="24"/>
          <w:szCs w:val="24"/>
        </w:rPr>
        <w:t>1</w:t>
      </w:r>
      <w:r w:rsidRPr="00E236D8">
        <w:rPr>
          <w:rFonts w:eastAsia="Calibri"/>
          <w:sz w:val="24"/>
          <w:szCs w:val="24"/>
        </w:rPr>
        <w:t>85 N</w:t>
      </w:r>
      <w:r w:rsidRPr="00E236D8">
        <w:rPr>
          <w:rFonts w:eastAsia="Calibri"/>
          <w:sz w:val="24"/>
          <w:szCs w:val="24"/>
        </w:rPr>
        <w:t>o.</w:t>
      </w:r>
      <w:r w:rsidRPr="00E236D8" w:rsidR="00E10185">
        <w:rPr>
          <w:rFonts w:eastAsia="Calibri"/>
          <w:sz w:val="24"/>
          <w:szCs w:val="24"/>
        </w:rPr>
        <w:t> </w:t>
      </w:r>
      <w:r w:rsidRPr="00E236D8">
        <w:rPr>
          <w:rFonts w:eastAsia="Calibri"/>
          <w:sz w:val="24"/>
          <w:szCs w:val="24"/>
        </w:rPr>
        <w:t>90</w:t>
      </w:r>
      <w:r w:rsidRPr="00E236D8" w:rsidR="00DB4A40">
        <w:rPr>
          <w:rFonts w:eastAsia="Calibri"/>
          <w:sz w:val="24"/>
          <w:szCs w:val="24"/>
        </w:rPr>
        <w:t xml:space="preserve"> P</w:t>
      </w:r>
      <w:r w:rsidRPr="00E236D8">
        <w:rPr>
          <w:rFonts w:eastAsia="Calibri"/>
          <w:sz w:val="24"/>
          <w:szCs w:val="24"/>
        </w:rPr>
        <w:t>ages 46381-46382)</w:t>
      </w:r>
      <w:r w:rsidRPr="00E236D8">
        <w:rPr>
          <w:rFonts w:eastAsia="Calibri"/>
          <w:sz w:val="24"/>
          <w:szCs w:val="24"/>
        </w:rPr>
        <w:t>, a 60</w:t>
      </w:r>
      <w:r w:rsidRPr="00E236D8">
        <w:rPr>
          <w:rFonts w:eastAsia="Calibri"/>
          <w:sz w:val="24"/>
          <w:szCs w:val="24"/>
        </w:rPr>
        <w:noBreakHyphen/>
        <w:t xml:space="preserve">day notice seeking public comments on its plan to request a 3-year renewal of this collection of information. </w:t>
      </w:r>
      <w:r w:rsidRPr="00E236D8">
        <w:rPr>
          <w:rFonts w:eastAsia="Calibri"/>
          <w:sz w:val="24"/>
          <w:szCs w:val="24"/>
        </w:rPr>
        <w:t xml:space="preserve">APHIS received 3 comments during this time. The first comment </w:t>
      </w:r>
      <w:r w:rsidRPr="00E236D8">
        <w:rPr>
          <w:sz w:val="24"/>
          <w:szCs w:val="24"/>
        </w:rPr>
        <w:t xml:space="preserve">had no relevance to the purpose of the collection. </w:t>
      </w:r>
      <w:r>
        <w:rPr>
          <w:sz w:val="24"/>
          <w:szCs w:val="24"/>
        </w:rPr>
        <w:t>The other two comments were in support of APHIS’ efforts to protect safeguards against destructive plant past and to ensure that APHIS</w:t>
      </w:r>
      <w:r w:rsidR="00667FC0">
        <w:rPr>
          <w:sz w:val="24"/>
          <w:szCs w:val="24"/>
        </w:rPr>
        <w:t xml:space="preserve"> has Standards for existing and new facilities to see if they are available for staff. PPQ has standards that are provided to each facility to ensure compliance with regulations.</w:t>
      </w:r>
    </w:p>
    <w:bookmarkEnd w:id="0"/>
    <w:p w:rsidR="001B216F" w:rsidP="001B216F" w14:paraId="406CC274" w14:textId="212DBB61">
      <w:pPr>
        <w:rPr>
          <w:b/>
        </w:rPr>
      </w:pPr>
      <w:r w:rsidRPr="00CE174E">
        <w:rPr>
          <w:b/>
        </w:rPr>
        <w:t>9</w:t>
      </w:r>
      <w:r w:rsidRPr="00CE174E">
        <w:rPr>
          <w:b/>
        </w:rPr>
        <w:t>.  Explain</w:t>
      </w:r>
      <w:r w:rsidRPr="00CE174E">
        <w:rPr>
          <w:b/>
        </w:rPr>
        <w:t xml:space="preserve"> any decision to provide any payment or gif</w:t>
      </w:r>
      <w:r w:rsidR="00915E22">
        <w:rPr>
          <w:b/>
        </w:rPr>
        <w:t>t to respondents, other than re-</w:t>
      </w:r>
      <w:r w:rsidRPr="00CE174E">
        <w:rPr>
          <w:b/>
        </w:rPr>
        <w:t>numeration of contractors or grantees.</w:t>
      </w:r>
    </w:p>
    <w:p w:rsidR="001B216F" w:rsidP="001B216F" w14:paraId="406CC275" w14:textId="77777777">
      <w:pPr>
        <w:rPr>
          <w:b/>
        </w:rPr>
      </w:pPr>
    </w:p>
    <w:p w:rsidR="001B216F" w:rsidP="001B216F" w14:paraId="406CC276" w14:textId="77777777">
      <w:r>
        <w:t>This information collection activity involves no payments or gifts to respondents.</w:t>
      </w:r>
    </w:p>
    <w:p w:rsidR="001B216F" w:rsidP="001B216F" w14:paraId="406CC277" w14:textId="77777777"/>
    <w:p w:rsidR="001B216F" w:rsidP="001B216F" w14:paraId="406CC278" w14:textId="77777777"/>
    <w:p w:rsidR="001B216F" w:rsidRPr="00CE174E" w:rsidP="001B216F" w14:paraId="406CC279" w14:textId="77777777">
      <w:pPr>
        <w:rPr>
          <w:b/>
        </w:rPr>
      </w:pPr>
      <w:r w:rsidRPr="00CE174E">
        <w:rPr>
          <w:b/>
        </w:rPr>
        <w:t>10.  Describe any assurance of confidentiality provided to respondents and the basis for the assurance in statute, regulation, or agency policy.</w:t>
      </w:r>
    </w:p>
    <w:p w:rsidR="001B216F" w:rsidRPr="00CE174E" w:rsidP="001B216F" w14:paraId="406CC27A" w14:textId="77777777"/>
    <w:p w:rsidR="001B216F" w:rsidP="001B216F" w14:paraId="406CC27C" w14:textId="1BB88029">
      <w:r w:rsidRPr="0057447F">
        <w:t xml:space="preserve">No additional assurance of </w:t>
      </w:r>
      <w:r w:rsidRPr="0057447F">
        <w:rPr>
          <w:rStyle w:val="cf01"/>
        </w:rPr>
        <w:t>privacy, safeguards, or protections are</w:t>
      </w:r>
      <w:r w:rsidRPr="0057447F">
        <w:t xml:space="preserve"> provided with this information collection. However, the safeguard of information is protected under 5 U.S.C. 552a.</w:t>
      </w:r>
    </w:p>
    <w:p w:rsidR="001B216F" w:rsidP="001B216F" w14:paraId="406CC27D" w14:textId="77777777"/>
    <w:p w:rsidR="001B216F" w:rsidP="001B216F" w14:paraId="406CC27E" w14:textId="605F1353">
      <w:pPr>
        <w:rPr>
          <w:b/>
        </w:rPr>
      </w:pPr>
      <w:r w:rsidRPr="00AE1E01">
        <w:rPr>
          <w:b/>
        </w:rPr>
        <w:t>11.  Provide additional justification for any questions of a sensitive nature, such as sexual behavior and attitudes, religious beliefs, and others that are considered private.  This justification should include the reaso</w:t>
      </w:r>
      <w:r>
        <w:rPr>
          <w:b/>
        </w:rPr>
        <w:t>ns why the agency considers the</w:t>
      </w:r>
    </w:p>
    <w:p w:rsidR="001B216F" w:rsidP="001B216F" w14:paraId="406CC27F" w14:textId="77777777">
      <w:pPr>
        <w:rPr>
          <w:b/>
        </w:rPr>
      </w:pPr>
      <w:r w:rsidRPr="00AE1E01">
        <w:rPr>
          <w:b/>
        </w:rPr>
        <w:t>questions necessary, the specific uses to be made of the information, the explanation to be given to persons from whom the information is requested, and any steps to be taken to obtain their consent.</w:t>
      </w:r>
    </w:p>
    <w:p w:rsidR="001B216F" w:rsidP="001B216F" w14:paraId="406CC280" w14:textId="77777777">
      <w:pPr>
        <w:rPr>
          <w:b/>
        </w:rPr>
      </w:pPr>
    </w:p>
    <w:p w:rsidR="001B216F" w:rsidP="001B216F" w14:paraId="406CC281" w14:textId="77777777">
      <w:r>
        <w:t>This information collection activity asks no questions of a personal or sensitive nature.</w:t>
      </w:r>
    </w:p>
    <w:p w:rsidR="001B216F" w:rsidP="001B216F" w14:paraId="406CC283" w14:textId="77777777"/>
    <w:p w:rsidR="001B216F" w:rsidP="001B216F" w14:paraId="406CC284" w14:textId="77777777">
      <w:r w:rsidRPr="00AE1E01">
        <w:rPr>
          <w:b/>
        </w:rPr>
        <w:t>12</w:t>
      </w:r>
      <w:r w:rsidRPr="00AE1E01">
        <w:rPr>
          <w:b/>
        </w:rPr>
        <w:t>.  Provide</w:t>
      </w:r>
      <w:r w:rsidRPr="00AE1E01">
        <w:rPr>
          <w:b/>
        </w:rPr>
        <w:t xml:space="preserve"> estimates of hour burden of the collection of information.  Indicate the number of respondents, frequency of response, annual hour burden, and an explanation of how the burden was estimated</w:t>
      </w:r>
      <w:r>
        <w:t>.</w:t>
      </w:r>
    </w:p>
    <w:p w:rsidR="001B216F" w:rsidP="001B216F" w14:paraId="406CC285" w14:textId="77777777"/>
    <w:p w:rsidR="001B216F" w:rsidRPr="000E2202" w:rsidP="000E2202" w14:paraId="406CC286" w14:textId="6F44DB21">
      <w:pPr>
        <w:pStyle w:val="ListParagraph"/>
        <w:numPr>
          <w:ilvl w:val="0"/>
          <w:numId w:val="10"/>
        </w:numPr>
        <w:rPr>
          <w:b/>
        </w:rPr>
      </w:pPr>
      <w:r w:rsidRPr="000E2202">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216F" w:rsidP="001B216F" w14:paraId="406CC287" w14:textId="77777777">
      <w:pPr>
        <w:rPr>
          <w:b/>
        </w:rPr>
      </w:pPr>
    </w:p>
    <w:p w:rsidR="003B280A" w:rsidRPr="000A7B73" w:rsidP="003B280A" w14:paraId="0BA23412" w14:textId="34342009">
      <w:pPr>
        <w:tabs>
          <w:tab w:val="left" w:pos="540"/>
        </w:tabs>
      </w:pPr>
      <w:r w:rsidRPr="00B275F0">
        <w:t xml:space="preserve">See APHIS Form 71.  APHIS estimates there are </w:t>
      </w:r>
      <w:r>
        <w:t>4</w:t>
      </w:r>
      <w:r>
        <w:t>6</w:t>
      </w:r>
      <w:r w:rsidRPr="00B275F0">
        <w:t xml:space="preserve"> respondents</w:t>
      </w:r>
      <w:r w:rsidRPr="00D46E61">
        <w:rPr>
          <w:bCs/>
        </w:rPr>
        <w:t xml:space="preserve">, (affected public: </w:t>
      </w:r>
      <w:r>
        <w:rPr>
          <w:bCs/>
        </w:rPr>
        <w:t xml:space="preserve">29 </w:t>
      </w:r>
      <w:r w:rsidRPr="00D46E61">
        <w:rPr>
          <w:bCs/>
        </w:rPr>
        <w:t xml:space="preserve">Business; </w:t>
      </w:r>
      <w:r>
        <w:rPr>
          <w:bCs/>
        </w:rPr>
        <w:t xml:space="preserve">17 </w:t>
      </w:r>
      <w:r w:rsidRPr="00D46E61">
        <w:rPr>
          <w:bCs/>
        </w:rPr>
        <w:t>State, Local, and Tribal)</w:t>
      </w:r>
      <w:r w:rsidRPr="00B275F0">
        <w:t xml:space="preserve">.  </w:t>
      </w:r>
      <w:r>
        <w:t xml:space="preserve">The </w:t>
      </w:r>
      <w:r>
        <w:t>109</w:t>
      </w:r>
      <w:r>
        <w:t xml:space="preserve"> r</w:t>
      </w:r>
      <w:r w:rsidRPr="00B275F0">
        <w:t>esponse</w:t>
      </w:r>
      <w:r>
        <w:t>s</w:t>
      </w:r>
      <w:r w:rsidRPr="00B275F0">
        <w:t xml:space="preserve"> and </w:t>
      </w:r>
      <w:r>
        <w:t>57</w:t>
      </w:r>
      <w:r>
        <w:t xml:space="preserve"> </w:t>
      </w:r>
      <w:r w:rsidRPr="00B275F0">
        <w:t xml:space="preserve">burden </w:t>
      </w:r>
      <w:r>
        <w:t xml:space="preserve">hour </w:t>
      </w:r>
      <w:r w:rsidRPr="00B275F0">
        <w:t xml:space="preserve">estimates were developed using </w:t>
      </w:r>
      <w:r>
        <w:t xml:space="preserve">current data, </w:t>
      </w:r>
      <w:r w:rsidRPr="00B275F0">
        <w:t>historical data, and discussions with field and industry personnel.</w:t>
      </w:r>
      <w:r>
        <w:t xml:space="preserve"> </w:t>
      </w:r>
    </w:p>
    <w:p w:rsidR="003B280A" w:rsidP="000E2202" w14:paraId="078207A3" w14:textId="77777777">
      <w:pPr>
        <w:rPr>
          <w:bCs/>
        </w:rPr>
      </w:pPr>
    </w:p>
    <w:p w:rsidR="001B216F" w:rsidRPr="000E2202" w:rsidP="000E2202" w14:paraId="406CC28A" w14:textId="3F612DFF">
      <w:pPr>
        <w:pStyle w:val="ListParagraph"/>
        <w:numPr>
          <w:ilvl w:val="0"/>
          <w:numId w:val="10"/>
        </w:numPr>
        <w:rPr>
          <w:b/>
        </w:rPr>
      </w:pPr>
      <w:r w:rsidRPr="000E2202">
        <w:rPr>
          <w:b/>
        </w:rPr>
        <w:t xml:space="preserve">  </w:t>
      </w:r>
      <w:r w:rsidRPr="000E2202" w:rsidR="00E5281E">
        <w:rPr>
          <w:b/>
        </w:rPr>
        <w:t xml:space="preserve"> Provide estimate</w:t>
      </w:r>
      <w:r w:rsidRPr="000E2202">
        <w:rPr>
          <w:b/>
        </w:rPr>
        <w:t xml:space="preserve"> of annualized cost to respondents for the hour of burden for collections of information, identifying and using appropriate wage rate categories.  </w:t>
      </w:r>
    </w:p>
    <w:p w:rsidR="00E10185" w:rsidRPr="00C6417E" w:rsidP="001B216F" w14:paraId="2FACDA1D" w14:textId="77777777">
      <w:pPr>
        <w:rPr>
          <w:b/>
          <w:highlight w:val="yellow"/>
        </w:rPr>
      </w:pPr>
      <w:bookmarkStart w:id="1" w:name="_Hlk60923556"/>
    </w:p>
    <w:p w:rsidR="00D521B2" w:rsidRPr="00C6417E" w:rsidP="00D521B2" w14:paraId="58CEF53D" w14:textId="7B2C462E">
      <w:bookmarkStart w:id="2" w:name="_Hlk57641823"/>
      <w:r w:rsidRPr="00C6417E">
        <w:t xml:space="preserve">APHIS estimates the total annualized cost </w:t>
      </w:r>
      <w:r w:rsidRPr="00C6417E">
        <w:t>to</w:t>
      </w:r>
      <w:r w:rsidRPr="00C6417E">
        <w:t xml:space="preserve"> respondents for this collection to be $</w:t>
      </w:r>
      <w:r w:rsidRPr="008567DF" w:rsidR="008567DF">
        <w:t xml:space="preserve"> </w:t>
      </w:r>
      <w:r w:rsidRPr="008567DF" w:rsidR="008567DF">
        <w:t>3,450.7</w:t>
      </w:r>
      <w:r w:rsidR="008567DF">
        <w:t>4</w:t>
      </w:r>
      <w:r w:rsidRPr="00C6417E">
        <w:t>. This was computed by multiplying the hours of estimated response time (</w:t>
      </w:r>
      <w:r w:rsidR="00F01249">
        <w:t>5</w:t>
      </w:r>
      <w:r w:rsidR="003B280A">
        <w:t>7</w:t>
      </w:r>
      <w:r w:rsidRPr="00C6417E">
        <w:t xml:space="preserve"> hours) by the estimated average hourly wage of the above respondents ($</w:t>
      </w:r>
      <w:r w:rsidR="008567DF">
        <w:t>41.78</w:t>
      </w:r>
      <w:r w:rsidRPr="00C6417E">
        <w:t>) and then multiplying the result ($</w:t>
      </w:r>
      <w:r w:rsidRPr="008567DF" w:rsidR="008567DF">
        <w:t>2,381.46</w:t>
      </w:r>
      <w:r w:rsidRPr="00C6417E">
        <w:t>) by 1.4</w:t>
      </w:r>
      <w:r w:rsidR="003B280A">
        <w:t>4</w:t>
      </w:r>
      <w:r w:rsidRPr="00C6417E">
        <w:t xml:space="preserve">9 to capture benefit costs. </w:t>
      </w:r>
    </w:p>
    <w:p w:rsidR="00D521B2" w:rsidRPr="00C6417E" w:rsidP="00D521B2" w14:paraId="16A30E83" w14:textId="77777777"/>
    <w:bookmarkEnd w:id="2"/>
    <w:p w:rsidR="001B216F" w:rsidP="001B216F" w14:paraId="406CC28E" w14:textId="757F3ECB">
      <w:r w:rsidRPr="009F0B50">
        <w:t>According to DOL BLS news release USDL-2</w:t>
      </w:r>
      <w:r>
        <w:t>5</w:t>
      </w:r>
      <w:r w:rsidRPr="009F0B50">
        <w:t>-04</w:t>
      </w:r>
      <w:r>
        <w:t>51</w:t>
      </w:r>
      <w:r w:rsidRPr="009F0B50">
        <w:t xml:space="preserve"> dated </w:t>
      </w:r>
      <w:r>
        <w:t>April</w:t>
      </w:r>
      <w:r w:rsidRPr="009F0B50">
        <w:t xml:space="preserve"> </w:t>
      </w:r>
      <w:r>
        <w:t>2,</w:t>
      </w:r>
      <w:r w:rsidRPr="009F0B50">
        <w:t xml:space="preserve"> 202</w:t>
      </w:r>
      <w:r>
        <w:t>5</w:t>
      </w:r>
      <w:r w:rsidRPr="009F0B50">
        <w:t xml:space="preserve">, (see https://www.bls.gov/news.release/ecec.pdf), benefits account for </w:t>
      </w:r>
      <w:r>
        <w:t>29.5</w:t>
      </w:r>
      <w:r w:rsidRPr="009F0B50">
        <w:t xml:space="preserve">% of employee costs, and wages account for the remaining </w:t>
      </w:r>
      <w:r>
        <w:t>70.5</w:t>
      </w:r>
      <w:r w:rsidRPr="009F0B50">
        <w:t>%.  Mathematically, total costs can be calculated as a function of wages, resulting in a multiplier of 1.449.</w:t>
      </w:r>
      <w:r w:rsidR="008567DF">
        <w:t xml:space="preserve"> </w:t>
      </w:r>
      <w:r w:rsidRPr="007565E8">
        <w:t>$</w:t>
      </w:r>
      <w:r w:rsidR="008567DF">
        <w:t>41.78</w:t>
      </w:r>
      <w:r w:rsidRPr="007565E8">
        <w:t xml:space="preserve"> is the hourly rate derived from the </w:t>
      </w:r>
      <w:r w:rsidRPr="007565E8">
        <w:t>U.S. Department of Labor, Bure</w:t>
      </w:r>
      <w:r w:rsidRPr="007565E8" w:rsidR="00E5281E">
        <w:t xml:space="preserve">au of Labor Statistics </w:t>
      </w:r>
      <w:r w:rsidRPr="007565E8">
        <w:t>Report – Occupational</w:t>
      </w:r>
      <w:r>
        <w:t xml:space="preserve"> Employment and Wa</w:t>
      </w:r>
      <w:r w:rsidR="00E5281E">
        <w:t xml:space="preserve">ges in the United States. </w:t>
      </w:r>
      <w:r w:rsidRPr="00523238" w:rsidR="00523238">
        <w:t>http://www.bls.gov/news.release/pdf/ocwage.pdf</w:t>
      </w:r>
      <w:r w:rsidR="00E10185">
        <w:t>.</w:t>
      </w:r>
    </w:p>
    <w:p w:rsidR="00523238" w:rsidP="001B216F" w14:paraId="17E36504" w14:textId="09A70B7F"/>
    <w:bookmarkEnd w:id="1"/>
    <w:p w:rsidR="001B216F" w:rsidP="001B216F" w14:paraId="406CC291" w14:textId="4F0D546E">
      <w:pPr>
        <w:rPr>
          <w:b/>
        </w:rPr>
      </w:pPr>
      <w:r w:rsidRPr="00D95F4A">
        <w:rPr>
          <w:b/>
        </w:rPr>
        <w:t>13</w:t>
      </w:r>
      <w:r w:rsidRPr="00D95F4A">
        <w:rPr>
          <w:b/>
        </w:rPr>
        <w:t>.  Provide</w:t>
      </w:r>
      <w:r w:rsidRPr="00D95F4A">
        <w:rPr>
          <w:b/>
        </w:rPr>
        <w:t xml:space="preserve"> estimates of the total annual cost burden to respondents or record</w:t>
      </w:r>
      <w:r w:rsidR="00CB4929">
        <w:rPr>
          <w:b/>
        </w:rPr>
        <w:t xml:space="preserve"> </w:t>
      </w:r>
      <w:r w:rsidRPr="00D95F4A">
        <w:rPr>
          <w:b/>
        </w:rPr>
        <w:t>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216F" w:rsidP="001B216F" w14:paraId="406CC292" w14:textId="77777777">
      <w:pPr>
        <w:rPr>
          <w:b/>
        </w:rPr>
      </w:pPr>
    </w:p>
    <w:p w:rsidR="001B216F" w:rsidP="001B216F" w14:paraId="406CC293" w14:textId="3A89CB54">
      <w:r w:rsidRPr="00142D51">
        <w:t>There is zero annual cost burden associated with capital and start-up costs, maintenance costs, and purchase of services in connection with this program.</w:t>
      </w:r>
    </w:p>
    <w:p w:rsidR="001B216F" w:rsidP="001B216F" w14:paraId="406CC294" w14:textId="77777777"/>
    <w:p w:rsidR="001B216F" w:rsidRPr="00D95F4A" w:rsidP="001B216F" w14:paraId="406CC296" w14:textId="77777777">
      <w:pPr>
        <w:rPr>
          <w:b/>
        </w:rPr>
      </w:pPr>
      <w:r w:rsidRPr="00D95F4A">
        <w:rPr>
          <w:b/>
        </w:rPr>
        <w:t>14</w:t>
      </w:r>
      <w:r w:rsidRPr="00D95F4A">
        <w:rPr>
          <w:b/>
        </w:rPr>
        <w:t>.  Provide</w:t>
      </w:r>
      <w:r w:rsidRPr="00D95F4A">
        <w:rPr>
          <w:b/>
        </w:rPr>
        <w:t xml:space="preserve"> estimates of annualized cost the Federal government.  Provide a description of the method used to estimate cost and any other expense that would not have been incurred without this collection of information.</w:t>
      </w:r>
    </w:p>
    <w:p w:rsidR="001B216F" w:rsidRPr="00D95F4A" w:rsidP="001B216F" w14:paraId="406CC297" w14:textId="77777777"/>
    <w:p w:rsidR="001B216F" w:rsidP="001B216F" w14:paraId="406CC298" w14:textId="51295168">
      <w:r>
        <w:t>The estimated cost for the Federal Government is</w:t>
      </w:r>
      <w:r w:rsidRPr="00C80F85">
        <w:t xml:space="preserve"> $</w:t>
      </w:r>
      <w:r w:rsidR="00F01249">
        <w:t>5</w:t>
      </w:r>
      <w:r w:rsidR="00D521B2">
        <w:t>,</w:t>
      </w:r>
      <w:r w:rsidR="00F01249">
        <w:t>659</w:t>
      </w:r>
      <w:r>
        <w:t>. (See APHIS Form 79.)</w:t>
      </w:r>
    </w:p>
    <w:p w:rsidR="00F01249" w:rsidP="001B216F" w14:paraId="02A8C5CC" w14:textId="77777777">
      <w:pPr>
        <w:rPr>
          <w:b/>
        </w:rPr>
      </w:pPr>
    </w:p>
    <w:p w:rsidR="001B216F" w:rsidP="001B216F" w14:paraId="406CC29B" w14:textId="56B1EB9D">
      <w:pPr>
        <w:rPr>
          <w:b/>
        </w:rPr>
      </w:pPr>
      <w:r w:rsidRPr="00D95F4A">
        <w:rPr>
          <w:b/>
        </w:rPr>
        <w:t>15.  Explain the reasons for any program changes or adjustments reported in Items 13 or 14 of the OMB 83-1.</w:t>
      </w:r>
    </w:p>
    <w:p w:rsidR="00865D78" w:rsidP="001B216F" w14:paraId="7BA5C9B5" w14:textId="56559F0E">
      <w:pPr>
        <w:rPr>
          <w:color w:val="FF0000"/>
        </w:rPr>
      </w:pPr>
    </w:p>
    <w:tbl>
      <w:tblPr>
        <w:tblW w:w="5346" w:type="pct"/>
        <w:tblInd w:w="-278" w:type="dxa"/>
        <w:tblBorders>
          <w:top w:val="single" w:sz="6" w:space="0" w:color="C5DBEC"/>
          <w:left w:val="single" w:sz="6" w:space="0" w:color="C5DBEC"/>
          <w:bottom w:val="single" w:sz="6" w:space="0" w:color="C5DBEC"/>
          <w:right w:val="single" w:sz="6" w:space="0" w:color="C5DBEC"/>
        </w:tblBorders>
        <w:tblLook w:val="04A0"/>
      </w:tblPr>
      <w:tblGrid>
        <w:gridCol w:w="2213"/>
        <w:gridCol w:w="919"/>
        <w:gridCol w:w="1367"/>
        <w:gridCol w:w="1371"/>
        <w:gridCol w:w="1329"/>
        <w:gridCol w:w="1533"/>
        <w:gridCol w:w="1259"/>
      </w:tblGrid>
      <w:tr w14:paraId="5DDCB091" w14:textId="77777777" w:rsidTr="00ED7B35">
        <w:tblPrEx>
          <w:tblW w:w="5346" w:type="pct"/>
          <w:tblInd w:w="-278" w:type="dxa"/>
          <w:tblBorders>
            <w:top w:val="single" w:sz="6" w:space="0" w:color="C5DBEC"/>
            <w:left w:val="single" w:sz="6" w:space="0" w:color="C5DBEC"/>
            <w:bottom w:val="single" w:sz="6" w:space="0" w:color="C5DBEC"/>
            <w:right w:val="single" w:sz="6" w:space="0" w:color="C5DBEC"/>
          </w:tblBorders>
          <w:tblLook w:val="04A0"/>
        </w:tblPrEx>
        <w:tc>
          <w:tcPr>
            <w:tcW w:w="1107"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2C0B5E2B" w14:textId="77777777">
            <w:pPr>
              <w:rPr>
                <w:sz w:val="20"/>
                <w:szCs w:val="20"/>
              </w:rPr>
            </w:pPr>
          </w:p>
        </w:tc>
        <w:tc>
          <w:tcPr>
            <w:tcW w:w="46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4B286B8A"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Requested</w:t>
            </w:r>
          </w:p>
        </w:tc>
        <w:tc>
          <w:tcPr>
            <w:tcW w:w="684"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68B277C1" w14:textId="77777777">
            <w:pPr>
              <w:spacing w:line="276" w:lineRule="auto"/>
              <w:jc w:val="center"/>
              <w:rPr>
                <w:rFonts w:ascii="Arial" w:hAnsi="Arial" w:eastAsiaTheme="minorHAnsi" w:cs="Arial"/>
                <w:b/>
                <w:bCs/>
                <w:color w:val="FFFFFF" w:themeColor="background1"/>
                <w:sz w:val="20"/>
                <w:szCs w:val="20"/>
              </w:rPr>
            </w:pPr>
            <w:r w:rsidRPr="00AE60B6">
              <w:rPr>
                <w:b/>
                <w:bCs/>
                <w:color w:val="FFFFFF" w:themeColor="background1"/>
                <w:sz w:val="20"/>
                <w:szCs w:val="20"/>
              </w:rPr>
              <w:t>Program Change Due to New Statute</w:t>
            </w:r>
          </w:p>
        </w:tc>
        <w:tc>
          <w:tcPr>
            <w:tcW w:w="686"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21A91329"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Program Change Due to Agency Discretion</w:t>
            </w:r>
          </w:p>
        </w:tc>
        <w:tc>
          <w:tcPr>
            <w:tcW w:w="665"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6E50E2E2"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Change Due to Adjustment in Agency Estimate</w:t>
            </w:r>
          </w:p>
        </w:tc>
        <w:tc>
          <w:tcPr>
            <w:tcW w:w="767"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301CF3E2"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Change Due to Potential Violation of the PRA</w:t>
            </w:r>
          </w:p>
        </w:tc>
        <w:tc>
          <w:tcPr>
            <w:tcW w:w="63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00589A"/>
            <w:tcMar>
              <w:top w:w="15" w:type="dxa"/>
              <w:left w:w="15" w:type="dxa"/>
              <w:bottom w:w="15" w:type="dxa"/>
              <w:right w:w="15" w:type="dxa"/>
            </w:tcMar>
            <w:vAlign w:val="center"/>
            <w:hideMark/>
          </w:tcPr>
          <w:p w:rsidR="00AE60B6" w:rsidRPr="00AE60B6" w14:paraId="61C501A3" w14:textId="77777777">
            <w:pPr>
              <w:spacing w:line="276" w:lineRule="auto"/>
              <w:jc w:val="center"/>
              <w:rPr>
                <w:rFonts w:ascii="Arial" w:hAnsi="Arial" w:cs="Arial"/>
                <w:b/>
                <w:bCs/>
                <w:color w:val="FFFFFF" w:themeColor="background1"/>
                <w:sz w:val="20"/>
                <w:szCs w:val="20"/>
              </w:rPr>
            </w:pPr>
            <w:r w:rsidRPr="00AE60B6">
              <w:rPr>
                <w:b/>
                <w:bCs/>
                <w:color w:val="FFFFFF" w:themeColor="background1"/>
                <w:sz w:val="20"/>
                <w:szCs w:val="20"/>
              </w:rPr>
              <w:t>Previously Approved</w:t>
            </w:r>
          </w:p>
        </w:tc>
      </w:tr>
      <w:tr w14:paraId="3FB1A977" w14:textId="77777777" w:rsidTr="00ED7B35">
        <w:tblPrEx>
          <w:tblW w:w="5346" w:type="pct"/>
          <w:tblInd w:w="-278" w:type="dxa"/>
          <w:tblLook w:val="04A0"/>
        </w:tblPrEx>
        <w:tc>
          <w:tcPr>
            <w:tcW w:w="1107"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hideMark/>
          </w:tcPr>
          <w:p w:rsidR="00AE60B6" w:rsidRPr="00150D68" w14:paraId="766E8928" w14:textId="77777777">
            <w:pPr>
              <w:spacing w:line="276" w:lineRule="auto"/>
              <w:jc w:val="center"/>
              <w:rPr>
                <w:rFonts w:ascii="Arial" w:hAnsi="Arial" w:cs="Arial"/>
                <w:color w:val="000000"/>
                <w:sz w:val="20"/>
                <w:szCs w:val="20"/>
              </w:rPr>
            </w:pPr>
            <w:r w:rsidRPr="00150D68">
              <w:rPr>
                <w:color w:val="000000"/>
                <w:sz w:val="20"/>
                <w:szCs w:val="20"/>
              </w:rPr>
              <w:t>Annual Number of Responses for this IC</w:t>
            </w:r>
          </w:p>
        </w:tc>
        <w:tc>
          <w:tcPr>
            <w:tcW w:w="460"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C6417E" w14:paraId="0990C59C" w14:textId="10E82640">
            <w:pPr>
              <w:spacing w:line="276" w:lineRule="auto"/>
              <w:jc w:val="right"/>
              <w:rPr>
                <w:color w:val="000000"/>
                <w:sz w:val="20"/>
                <w:szCs w:val="20"/>
              </w:rPr>
            </w:pPr>
            <w:r>
              <w:rPr>
                <w:color w:val="000000"/>
                <w:sz w:val="20"/>
                <w:szCs w:val="20"/>
              </w:rPr>
              <w:t>109</w:t>
            </w:r>
          </w:p>
        </w:tc>
        <w:tc>
          <w:tcPr>
            <w:tcW w:w="684"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11F9B1BD"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86"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rsidP="00941ABB" w14:paraId="33245EC0" w14:textId="780C6C75">
            <w:pPr>
              <w:jc w:val="right"/>
              <w:rPr>
                <w:rFonts w:cstheme="minorHAnsi"/>
                <w:color w:val="000000"/>
                <w:sz w:val="20"/>
                <w:szCs w:val="20"/>
              </w:rPr>
            </w:pPr>
            <w:r>
              <w:rPr>
                <w:rFonts w:cstheme="minorHAnsi"/>
                <w:color w:val="000000"/>
                <w:sz w:val="20"/>
                <w:szCs w:val="20"/>
              </w:rPr>
              <w:t>-276</w:t>
            </w:r>
          </w:p>
        </w:tc>
        <w:tc>
          <w:tcPr>
            <w:tcW w:w="665"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rsidP="00AE60B6" w14:paraId="1553C358" w14:textId="7F42619E">
            <w:pPr>
              <w:jc w:val="right"/>
              <w:rPr>
                <w:sz w:val="20"/>
                <w:szCs w:val="20"/>
              </w:rPr>
            </w:pPr>
            <w:r>
              <w:rPr>
                <w:sz w:val="20"/>
                <w:szCs w:val="20"/>
              </w:rPr>
              <w:t>0</w:t>
            </w:r>
          </w:p>
        </w:tc>
        <w:tc>
          <w:tcPr>
            <w:tcW w:w="767"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4979C768"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30" w:type="pct"/>
            <w:tcBorders>
              <w:top w:val="outset" w:sz="6" w:space="0" w:color="FFFFFF" w:themeColor="background1"/>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5FE3C2B6" w14:textId="7311E74A">
            <w:pPr>
              <w:spacing w:line="276" w:lineRule="auto"/>
              <w:jc w:val="right"/>
              <w:rPr>
                <w:rFonts w:cstheme="minorHAnsi"/>
                <w:color w:val="000000"/>
                <w:sz w:val="20"/>
                <w:szCs w:val="20"/>
              </w:rPr>
            </w:pPr>
            <w:r>
              <w:rPr>
                <w:rFonts w:cstheme="minorHAnsi"/>
                <w:color w:val="000000"/>
                <w:sz w:val="20"/>
                <w:szCs w:val="20"/>
              </w:rPr>
              <w:t>385</w:t>
            </w:r>
          </w:p>
        </w:tc>
      </w:tr>
      <w:tr w14:paraId="3AEE1FBB" w14:textId="77777777" w:rsidTr="00ED7B35">
        <w:tblPrEx>
          <w:tblW w:w="5346" w:type="pct"/>
          <w:tblInd w:w="-278" w:type="dxa"/>
          <w:tblLook w:val="04A0"/>
        </w:tblPrEx>
        <w:tc>
          <w:tcPr>
            <w:tcW w:w="110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E60B6" w:rsidRPr="00150D68" w14:paraId="1DBF22E8" w14:textId="77777777">
            <w:pPr>
              <w:spacing w:line="276" w:lineRule="auto"/>
              <w:jc w:val="center"/>
              <w:rPr>
                <w:rFonts w:ascii="Arial" w:hAnsi="Arial" w:cs="Arial"/>
                <w:color w:val="000000"/>
                <w:sz w:val="20"/>
                <w:szCs w:val="20"/>
              </w:rPr>
            </w:pPr>
            <w:r w:rsidRPr="00150D68">
              <w:rPr>
                <w:color w:val="000000"/>
                <w:sz w:val="20"/>
                <w:szCs w:val="20"/>
              </w:rPr>
              <w:t>Annual IC Time Burden (Hours)</w:t>
            </w:r>
          </w:p>
        </w:tc>
        <w:tc>
          <w:tcPr>
            <w:tcW w:w="46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48AAEE9B" w14:textId="6C2308D8">
            <w:pPr>
              <w:spacing w:line="276" w:lineRule="auto"/>
              <w:jc w:val="right"/>
              <w:rPr>
                <w:rFonts w:asciiTheme="minorHAnsi" w:hAnsiTheme="minorHAnsi" w:cstheme="minorHAnsi"/>
                <w:color w:val="000000"/>
                <w:sz w:val="20"/>
                <w:szCs w:val="20"/>
              </w:rPr>
            </w:pPr>
            <w:r>
              <w:rPr>
                <w:rFonts w:cstheme="minorHAnsi"/>
                <w:color w:val="000000"/>
                <w:sz w:val="20"/>
                <w:szCs w:val="20"/>
              </w:rPr>
              <w:t>57</w:t>
            </w:r>
          </w:p>
        </w:tc>
        <w:tc>
          <w:tcPr>
            <w:tcW w:w="6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60907F5B"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rsidP="00941ABB" w14:paraId="2272B81A" w14:textId="46181589">
            <w:pPr>
              <w:jc w:val="right"/>
              <w:rPr>
                <w:rFonts w:cstheme="minorHAnsi"/>
                <w:color w:val="000000"/>
                <w:sz w:val="20"/>
                <w:szCs w:val="20"/>
              </w:rPr>
            </w:pPr>
            <w:r>
              <w:rPr>
                <w:rFonts w:cstheme="minorHAnsi"/>
                <w:color w:val="000000"/>
                <w:sz w:val="20"/>
                <w:szCs w:val="20"/>
              </w:rPr>
              <w:t>-139</w:t>
            </w:r>
          </w:p>
        </w:tc>
        <w:tc>
          <w:tcPr>
            <w:tcW w:w="6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rsidP="00AE60B6" w14:paraId="260D8275" w14:textId="67EE3701">
            <w:pPr>
              <w:jc w:val="right"/>
              <w:rPr>
                <w:sz w:val="20"/>
                <w:szCs w:val="20"/>
              </w:rPr>
            </w:pPr>
            <w:r>
              <w:rPr>
                <w:sz w:val="20"/>
                <w:szCs w:val="20"/>
              </w:rPr>
              <w:t>0</w:t>
            </w:r>
          </w:p>
        </w:tc>
        <w:tc>
          <w:tcPr>
            <w:tcW w:w="7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6F528124" w14:textId="77777777">
            <w:pPr>
              <w:spacing w:line="276" w:lineRule="auto"/>
              <w:jc w:val="right"/>
              <w:rPr>
                <w:rFonts w:cstheme="minorHAnsi"/>
                <w:color w:val="000000"/>
                <w:sz w:val="20"/>
                <w:szCs w:val="20"/>
              </w:rPr>
            </w:pPr>
            <w:r w:rsidRPr="00150D68">
              <w:rPr>
                <w:rFonts w:cstheme="minorHAnsi"/>
                <w:color w:val="000000"/>
                <w:sz w:val="20"/>
                <w:szCs w:val="20"/>
              </w:rPr>
              <w:t>0</w:t>
            </w:r>
          </w:p>
        </w:tc>
        <w:tc>
          <w:tcPr>
            <w:tcW w:w="6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E60B6" w:rsidRPr="00150D68" w14:paraId="4B313C96" w14:textId="5D0C88BD">
            <w:pPr>
              <w:spacing w:line="276" w:lineRule="auto"/>
              <w:jc w:val="right"/>
              <w:rPr>
                <w:rFonts w:cstheme="minorHAnsi"/>
                <w:color w:val="000000"/>
                <w:sz w:val="20"/>
                <w:szCs w:val="20"/>
              </w:rPr>
            </w:pPr>
            <w:r>
              <w:rPr>
                <w:rFonts w:cstheme="minorHAnsi"/>
                <w:color w:val="000000"/>
                <w:sz w:val="20"/>
                <w:szCs w:val="20"/>
              </w:rPr>
              <w:t>196</w:t>
            </w:r>
          </w:p>
        </w:tc>
      </w:tr>
    </w:tbl>
    <w:p w:rsidR="00AE60B6" w:rsidP="001B216F" w14:paraId="28D0F6AB" w14:textId="433DCB7B">
      <w:pPr>
        <w:rPr>
          <w:color w:val="FF0000"/>
        </w:rPr>
      </w:pPr>
    </w:p>
    <w:p w:rsidR="00F01249" w:rsidP="00F01249" w14:paraId="0C47C237" w14:textId="1110ADBC">
      <w:r>
        <w:t xml:space="preserve">There is a program change decrease of </w:t>
      </w:r>
      <w:r w:rsidR="008567DF">
        <w:t xml:space="preserve">- 46 Respondents and </w:t>
      </w:r>
      <w:r>
        <w:t>-</w:t>
      </w:r>
      <w:r>
        <w:t>276</w:t>
      </w:r>
      <w:r>
        <w:t xml:space="preserve"> responses resulting in a decrease of -</w:t>
      </w:r>
      <w:r>
        <w:t>13</w:t>
      </w:r>
      <w:r>
        <w:t>9 total burden hours because of APHIS removing several activities and moving them to a new common form information collection. The removed activities are as follows:</w:t>
      </w:r>
    </w:p>
    <w:p w:rsidR="00F01249" w:rsidP="00F01249" w14:paraId="37F27B7E" w14:textId="77777777"/>
    <w:p w:rsidR="00F01249" w:rsidRPr="0097618A" w:rsidP="00F01249" w14:paraId="52754B78" w14:textId="77777777">
      <w:pPr>
        <w:pStyle w:val="ListParagraph"/>
        <w:numPr>
          <w:ilvl w:val="0"/>
          <w:numId w:val="8"/>
        </w:numPr>
        <w:tabs>
          <w:tab w:val="clear" w:pos="360"/>
        </w:tabs>
        <w:ind w:left="720"/>
        <w:contextualSpacing w:val="0"/>
        <w:rPr>
          <w:bCs/>
        </w:rPr>
      </w:pPr>
      <w:r w:rsidRPr="0097618A">
        <w:rPr>
          <w:bCs/>
          <w:color w:val="000000"/>
        </w:rPr>
        <w:t>PPQ Form 519, Compliance Agreements with importers and facility operators for fumigation in the United States</w:t>
      </w:r>
      <w:r w:rsidRPr="0097618A">
        <w:rPr>
          <w:bCs/>
        </w:rPr>
        <w:t xml:space="preserve"> </w:t>
      </w:r>
    </w:p>
    <w:p w:rsidR="00F01249" w:rsidRPr="0097618A" w:rsidP="00F01249" w14:paraId="183AD29C" w14:textId="77777777">
      <w:pPr>
        <w:pStyle w:val="ListParagraph"/>
        <w:numPr>
          <w:ilvl w:val="0"/>
          <w:numId w:val="8"/>
        </w:numPr>
        <w:tabs>
          <w:tab w:val="clear" w:pos="360"/>
        </w:tabs>
        <w:ind w:left="720"/>
        <w:contextualSpacing w:val="0"/>
        <w:rPr>
          <w:bCs/>
        </w:rPr>
      </w:pPr>
      <w:r w:rsidRPr="0097618A">
        <w:rPr>
          <w:bCs/>
          <w:color w:val="000000"/>
        </w:rPr>
        <w:t>PPQ Form 519, Compliance Agreements with fumigation treatment facilities treating articles moved interstate from Hawaii and United States territories</w:t>
      </w:r>
      <w:r w:rsidRPr="0097618A">
        <w:rPr>
          <w:bCs/>
        </w:rPr>
        <w:t xml:space="preserve"> </w:t>
      </w:r>
    </w:p>
    <w:p w:rsidR="0097618A" w:rsidRPr="0097618A" w:rsidP="001B216F" w14:paraId="436A05EC" w14:textId="77777777">
      <w:pPr>
        <w:pStyle w:val="ListParagraph"/>
        <w:numPr>
          <w:ilvl w:val="0"/>
          <w:numId w:val="8"/>
        </w:numPr>
        <w:tabs>
          <w:tab w:val="clear" w:pos="360"/>
        </w:tabs>
        <w:ind w:left="720"/>
        <w:contextualSpacing w:val="0"/>
        <w:rPr>
          <w:bCs/>
        </w:rPr>
      </w:pPr>
      <w:r w:rsidRPr="0097618A">
        <w:rPr>
          <w:bCs/>
          <w:color w:val="000000"/>
        </w:rPr>
        <w:t>PPQ Form 519, Compliance Agreements with fumigation treatment facilities treating articles moved interstate from areas quarantined for fruit flies</w:t>
      </w:r>
      <w:r w:rsidRPr="0097618A">
        <w:rPr>
          <w:bCs/>
        </w:rPr>
        <w:t xml:space="preserve"> </w:t>
      </w:r>
    </w:p>
    <w:p w:rsidR="00F01249" w:rsidRPr="0097618A" w:rsidP="001B216F" w14:paraId="1E646372" w14:textId="7E7E03F0">
      <w:pPr>
        <w:pStyle w:val="ListParagraph"/>
        <w:numPr>
          <w:ilvl w:val="0"/>
          <w:numId w:val="8"/>
        </w:numPr>
        <w:tabs>
          <w:tab w:val="clear" w:pos="360"/>
        </w:tabs>
        <w:ind w:left="720"/>
        <w:contextualSpacing w:val="0"/>
        <w:rPr>
          <w:rStyle w:val="InitialStyle"/>
          <w:rFonts w:ascii="Times New Roman" w:hAnsi="Times New Roman" w:cs="Times New Roman"/>
          <w:bCs/>
        </w:rPr>
      </w:pPr>
      <w:r w:rsidRPr="0097618A">
        <w:rPr>
          <w:bCs/>
        </w:rPr>
        <w:t>PPQ Form 530, Limited Permit</w:t>
      </w:r>
    </w:p>
    <w:p w:rsidR="00BD7786" w:rsidRPr="00EF1BFC" w:rsidP="001B216F" w14:paraId="1033D8E5" w14:textId="77777777"/>
    <w:p w:rsidR="00865D78" w:rsidP="001B216F" w14:paraId="5EFCFC07" w14:textId="1A908520"/>
    <w:p w:rsidR="008567DF" w:rsidP="001B216F" w14:paraId="558097FC" w14:textId="77777777"/>
    <w:p w:rsidR="008567DF" w:rsidP="001B216F" w14:paraId="3C7A45E7" w14:textId="77777777"/>
    <w:p w:rsidR="001B216F" w:rsidP="001B216F" w14:paraId="406CC29F" w14:textId="77777777">
      <w:r w:rsidRPr="00D95F4A">
        <w:rPr>
          <w:b/>
        </w:rPr>
        <w:t>16.  For collections of information whose results are planned to be published, outline plans for tabulation and publication</w:t>
      </w:r>
      <w:r>
        <w:t>.</w:t>
      </w:r>
    </w:p>
    <w:p w:rsidR="001B216F" w:rsidP="001B216F" w14:paraId="406CC2A0" w14:textId="77777777"/>
    <w:p w:rsidR="001B216F" w:rsidP="001B216F" w14:paraId="406CC2A1" w14:textId="77777777">
      <w:r>
        <w:t>APHIS has no plans to publish information collected in connection with this program.</w:t>
      </w:r>
    </w:p>
    <w:p w:rsidR="001B216F" w:rsidP="001B216F" w14:paraId="406CC2A2" w14:textId="77777777"/>
    <w:p w:rsidR="001B216F" w:rsidP="001B216F" w14:paraId="406CC2A3" w14:textId="77777777"/>
    <w:p w:rsidR="001B216F" w:rsidP="001B216F" w14:paraId="406CC2A4" w14:textId="7777777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ED7B35" w:rsidP="001B216F" w14:paraId="56D3E3EF" w14:textId="77777777"/>
    <w:p w:rsidR="0097618A" w:rsidRPr="0097618A" w:rsidP="0097618A" w14:paraId="76C7106B" w14:textId="77777777">
      <w:pPr>
        <w:pStyle w:val="300"/>
        <w:outlineLvl w:val="0"/>
        <w:rPr>
          <w:sz w:val="24"/>
          <w:szCs w:val="24"/>
        </w:rPr>
      </w:pPr>
      <w:r w:rsidRPr="0097618A">
        <w:rPr>
          <w:sz w:val="24"/>
          <w:szCs w:val="24"/>
        </w:rPr>
        <w:t>There are no forms associated with this information collection.</w:t>
      </w:r>
    </w:p>
    <w:p w:rsidR="001B216F" w:rsidP="001B216F" w14:paraId="406CC2A7" w14:textId="77777777"/>
    <w:p w:rsidR="001B216F" w:rsidP="001B216F" w14:paraId="406CC2A9" w14:textId="77777777">
      <w:pPr>
        <w:rPr>
          <w:b/>
        </w:rPr>
      </w:pPr>
      <w:r w:rsidRPr="00F60BC6">
        <w:rPr>
          <w:b/>
        </w:rPr>
        <w:t xml:space="preserve">18.  Explain each exception to the certification </w:t>
      </w:r>
      <w:r>
        <w:rPr>
          <w:b/>
        </w:rPr>
        <w:t>statement identified in the “</w:t>
      </w:r>
      <w:r w:rsidRPr="00F60BC6">
        <w:rPr>
          <w:b/>
        </w:rPr>
        <w:t>Certification for Paperwork Reduction Act.”</w:t>
      </w:r>
    </w:p>
    <w:p w:rsidR="001B216F" w:rsidP="001B216F" w14:paraId="406CC2AA" w14:textId="77777777">
      <w:pPr>
        <w:rPr>
          <w:b/>
        </w:rPr>
      </w:pPr>
    </w:p>
    <w:p w:rsidR="001B216F" w:rsidP="001B216F" w14:paraId="406CC2AB" w14:textId="77777777">
      <w:r>
        <w:t>APHIS is able to certify compliance with all the provisions identified in the Act.</w:t>
      </w:r>
    </w:p>
    <w:p w:rsidR="001B216F" w:rsidP="001B216F" w14:paraId="406CC2AC" w14:textId="77777777"/>
    <w:p w:rsidR="001B216F" w:rsidP="001B216F" w14:paraId="406CC2AD" w14:textId="77777777"/>
    <w:p w:rsidR="001B216F" w:rsidRPr="00F60BC6" w:rsidP="001B216F" w14:paraId="406CC2AE" w14:textId="77777777">
      <w:pPr>
        <w:rPr>
          <w:b/>
        </w:rPr>
      </w:pPr>
      <w:r w:rsidRPr="00F60BC6">
        <w:rPr>
          <w:b/>
        </w:rPr>
        <w:t>B.  Collections of Information Employing Statistical Methods.</w:t>
      </w:r>
    </w:p>
    <w:p w:rsidR="001B216F" w:rsidP="001B216F" w14:paraId="406CC2AF" w14:textId="77777777"/>
    <w:p w:rsidR="004F06AA" w:rsidP="001B216F" w14:paraId="406CC2B3" w14:textId="7350FCC1">
      <w:r>
        <w:t xml:space="preserve">Statistical methods are not used in this information collection.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E1FF1"/>
    <w:multiLevelType w:val="hybridMultilevel"/>
    <w:tmpl w:val="EEC8F2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6F4EA1"/>
    <w:multiLevelType w:val="hybridMultilevel"/>
    <w:tmpl w:val="C6CE78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0122083">
    <w:abstractNumId w:val="4"/>
  </w:num>
  <w:num w:numId="2" w16cid:durableId="561452214">
    <w:abstractNumId w:val="3"/>
  </w:num>
  <w:num w:numId="3" w16cid:durableId="468323571">
    <w:abstractNumId w:val="9"/>
  </w:num>
  <w:num w:numId="4" w16cid:durableId="496262758">
    <w:abstractNumId w:val="8"/>
  </w:num>
  <w:num w:numId="5" w16cid:durableId="91174119">
    <w:abstractNumId w:val="6"/>
  </w:num>
  <w:num w:numId="6" w16cid:durableId="1544904162">
    <w:abstractNumId w:val="1"/>
  </w:num>
  <w:num w:numId="7" w16cid:durableId="1694266797">
    <w:abstractNumId w:val="5"/>
  </w:num>
  <w:num w:numId="8" w16cid:durableId="1997146807">
    <w:abstractNumId w:val="7"/>
  </w:num>
  <w:num w:numId="9" w16cid:durableId="843978573">
    <w:abstractNumId w:val="0"/>
  </w:num>
  <w:num w:numId="10" w16cid:durableId="155616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6F"/>
    <w:rsid w:val="000718B3"/>
    <w:rsid w:val="000945E2"/>
    <w:rsid w:val="000A36DE"/>
    <w:rsid w:val="000A7B73"/>
    <w:rsid w:val="000B6718"/>
    <w:rsid w:val="000E2202"/>
    <w:rsid w:val="000F3AF1"/>
    <w:rsid w:val="001321BE"/>
    <w:rsid w:val="00142D51"/>
    <w:rsid w:val="00146553"/>
    <w:rsid w:val="00150D68"/>
    <w:rsid w:val="001720F7"/>
    <w:rsid w:val="001760E0"/>
    <w:rsid w:val="001B216F"/>
    <w:rsid w:val="001C34AE"/>
    <w:rsid w:val="001C366C"/>
    <w:rsid w:val="001D4F44"/>
    <w:rsid w:val="001F4B0E"/>
    <w:rsid w:val="002235C8"/>
    <w:rsid w:val="00244E8A"/>
    <w:rsid w:val="00253082"/>
    <w:rsid w:val="00253D3F"/>
    <w:rsid w:val="002937D8"/>
    <w:rsid w:val="002946AC"/>
    <w:rsid w:val="002965CE"/>
    <w:rsid w:val="002A6FA3"/>
    <w:rsid w:val="002C3EE6"/>
    <w:rsid w:val="003242E5"/>
    <w:rsid w:val="003315E2"/>
    <w:rsid w:val="003B280A"/>
    <w:rsid w:val="003E108A"/>
    <w:rsid w:val="003E26AF"/>
    <w:rsid w:val="003E27D9"/>
    <w:rsid w:val="00425879"/>
    <w:rsid w:val="00473B64"/>
    <w:rsid w:val="004A5B72"/>
    <w:rsid w:val="004F06AA"/>
    <w:rsid w:val="005029B0"/>
    <w:rsid w:val="00523238"/>
    <w:rsid w:val="00535608"/>
    <w:rsid w:val="00542D30"/>
    <w:rsid w:val="00543FFA"/>
    <w:rsid w:val="00544AF6"/>
    <w:rsid w:val="00561D67"/>
    <w:rsid w:val="0057447F"/>
    <w:rsid w:val="005D3C75"/>
    <w:rsid w:val="005E346C"/>
    <w:rsid w:val="006126A8"/>
    <w:rsid w:val="00667FC0"/>
    <w:rsid w:val="00685777"/>
    <w:rsid w:val="00706FFA"/>
    <w:rsid w:val="00747BE2"/>
    <w:rsid w:val="00755271"/>
    <w:rsid w:val="007565E8"/>
    <w:rsid w:val="00786936"/>
    <w:rsid w:val="007A1626"/>
    <w:rsid w:val="007E1483"/>
    <w:rsid w:val="008567DF"/>
    <w:rsid w:val="008638F4"/>
    <w:rsid w:val="00865D78"/>
    <w:rsid w:val="0088414B"/>
    <w:rsid w:val="00886926"/>
    <w:rsid w:val="00892FC6"/>
    <w:rsid w:val="00893FA4"/>
    <w:rsid w:val="008C211A"/>
    <w:rsid w:val="008F102C"/>
    <w:rsid w:val="00904316"/>
    <w:rsid w:val="00915E22"/>
    <w:rsid w:val="00920748"/>
    <w:rsid w:val="009264A5"/>
    <w:rsid w:val="00941ABB"/>
    <w:rsid w:val="00963EEC"/>
    <w:rsid w:val="00967262"/>
    <w:rsid w:val="0097618A"/>
    <w:rsid w:val="00987F9E"/>
    <w:rsid w:val="009A12A3"/>
    <w:rsid w:val="009A4CE2"/>
    <w:rsid w:val="009E7A59"/>
    <w:rsid w:val="009F0B50"/>
    <w:rsid w:val="009F2376"/>
    <w:rsid w:val="00A148FA"/>
    <w:rsid w:val="00A323DC"/>
    <w:rsid w:val="00AC5AE0"/>
    <w:rsid w:val="00AD51A6"/>
    <w:rsid w:val="00AE1E01"/>
    <w:rsid w:val="00AE60B6"/>
    <w:rsid w:val="00AF4847"/>
    <w:rsid w:val="00B16713"/>
    <w:rsid w:val="00B24DBB"/>
    <w:rsid w:val="00B275F0"/>
    <w:rsid w:val="00B60BA6"/>
    <w:rsid w:val="00B70E25"/>
    <w:rsid w:val="00B961EC"/>
    <w:rsid w:val="00BB048C"/>
    <w:rsid w:val="00BD7786"/>
    <w:rsid w:val="00C616F4"/>
    <w:rsid w:val="00C6417E"/>
    <w:rsid w:val="00C80F85"/>
    <w:rsid w:val="00CA79B7"/>
    <w:rsid w:val="00CB4929"/>
    <w:rsid w:val="00CB77AF"/>
    <w:rsid w:val="00CD17A7"/>
    <w:rsid w:val="00CE174E"/>
    <w:rsid w:val="00CE2D7B"/>
    <w:rsid w:val="00CE3247"/>
    <w:rsid w:val="00D03A03"/>
    <w:rsid w:val="00D066D9"/>
    <w:rsid w:val="00D15E52"/>
    <w:rsid w:val="00D26A21"/>
    <w:rsid w:val="00D453D9"/>
    <w:rsid w:val="00D46E61"/>
    <w:rsid w:val="00D521B2"/>
    <w:rsid w:val="00D64DA0"/>
    <w:rsid w:val="00D7620D"/>
    <w:rsid w:val="00D95F4A"/>
    <w:rsid w:val="00DB4A40"/>
    <w:rsid w:val="00DB78B6"/>
    <w:rsid w:val="00DC70C5"/>
    <w:rsid w:val="00DD6D1E"/>
    <w:rsid w:val="00E10185"/>
    <w:rsid w:val="00E1635C"/>
    <w:rsid w:val="00E236D8"/>
    <w:rsid w:val="00E460AE"/>
    <w:rsid w:val="00E5281E"/>
    <w:rsid w:val="00E86E2C"/>
    <w:rsid w:val="00E93CB4"/>
    <w:rsid w:val="00EA3F1B"/>
    <w:rsid w:val="00ED6AB7"/>
    <w:rsid w:val="00ED7B35"/>
    <w:rsid w:val="00EF1BFC"/>
    <w:rsid w:val="00F01249"/>
    <w:rsid w:val="00F01721"/>
    <w:rsid w:val="00F22E39"/>
    <w:rsid w:val="00F60BC6"/>
    <w:rsid w:val="00FA42FE"/>
    <w:rsid w:val="00FB42D9"/>
    <w:rsid w:val="00FB62DB"/>
    <w:rsid w:val="00FD42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CC209"/>
  <w15:docId w15:val="{D56E6470-A746-4DAB-8167-A0A38415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16F"/>
    <w:pPr>
      <w:spacing w:after="0" w:line="240" w:lineRule="auto"/>
    </w:pPr>
    <w:rPr>
      <w:rFonts w:eastAsia="Times New Roman" w:cs="Times New Roman"/>
      <w:szCs w:val="24"/>
    </w:rPr>
  </w:style>
  <w:style w:type="paragraph" w:styleId="Heading1">
    <w:name w:val="heading 1"/>
    <w:basedOn w:val="Normal"/>
    <w:next w:val="Normal"/>
    <w:link w:val="Heading1Char"/>
    <w:qFormat/>
    <w:rsid w:val="005D3C75"/>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5D3C75"/>
    <w:pPr>
      <w:spacing w:before="200" w:after="100"/>
      <w:jc w:val="center"/>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1B216F"/>
    <w:pPr>
      <w:overflowPunct w:val="0"/>
      <w:autoSpaceDE w:val="0"/>
      <w:autoSpaceDN w:val="0"/>
      <w:adjustRightInd w:val="0"/>
      <w:textAlignment w:val="baseline"/>
    </w:pPr>
    <w:rPr>
      <w:sz w:val="20"/>
      <w:szCs w:val="20"/>
    </w:rPr>
  </w:style>
  <w:style w:type="character" w:styleId="Hyperlink">
    <w:name w:val="Hyperlink"/>
    <w:basedOn w:val="DefaultParagraphFont"/>
    <w:rsid w:val="001B216F"/>
    <w:rPr>
      <w:color w:val="0000FF"/>
      <w:u w:val="single"/>
    </w:rPr>
  </w:style>
  <w:style w:type="paragraph" w:styleId="BalloonText">
    <w:name w:val="Balloon Text"/>
    <w:basedOn w:val="Normal"/>
    <w:link w:val="BalloonTextChar"/>
    <w:uiPriority w:val="99"/>
    <w:semiHidden/>
    <w:unhideWhenUsed/>
    <w:rsid w:val="00CB77AF"/>
    <w:rPr>
      <w:rFonts w:ascii="Tahoma" w:hAnsi="Tahoma" w:cs="Tahoma"/>
      <w:sz w:val="16"/>
      <w:szCs w:val="16"/>
    </w:rPr>
  </w:style>
  <w:style w:type="character" w:customStyle="1" w:styleId="BalloonTextChar">
    <w:name w:val="Balloon Text Char"/>
    <w:basedOn w:val="DefaultParagraphFont"/>
    <w:link w:val="BalloonText"/>
    <w:uiPriority w:val="99"/>
    <w:semiHidden/>
    <w:rsid w:val="00CB77AF"/>
    <w:rPr>
      <w:rFonts w:ascii="Tahoma" w:eastAsia="Times New Roman" w:hAnsi="Tahoma" w:cs="Tahoma"/>
      <w:sz w:val="16"/>
      <w:szCs w:val="16"/>
    </w:rPr>
  </w:style>
  <w:style w:type="paragraph" w:customStyle="1" w:styleId="296">
    <w:name w:val="296"/>
    <w:basedOn w:val="Normal"/>
    <w:rsid w:val="00544AF6"/>
    <w:pPr>
      <w:overflowPunct w:val="0"/>
      <w:autoSpaceDE w:val="0"/>
      <w:autoSpaceDN w:val="0"/>
      <w:adjustRightInd w:val="0"/>
    </w:pPr>
  </w:style>
  <w:style w:type="character" w:customStyle="1" w:styleId="InitialStyle">
    <w:name w:val="InitialStyle"/>
    <w:rsid w:val="00AE60B6"/>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06FFA"/>
    <w:rPr>
      <w:color w:val="800080" w:themeColor="followedHyperlink"/>
      <w:u w:val="single"/>
    </w:rPr>
  </w:style>
  <w:style w:type="paragraph" w:styleId="ListParagraph">
    <w:name w:val="List Paragraph"/>
    <w:basedOn w:val="Normal"/>
    <w:uiPriority w:val="34"/>
    <w:qFormat/>
    <w:rsid w:val="00E10185"/>
    <w:pPr>
      <w:ind w:left="720"/>
      <w:contextualSpacing/>
    </w:pPr>
  </w:style>
  <w:style w:type="character" w:styleId="UnresolvedMention">
    <w:name w:val="Unresolved Mention"/>
    <w:basedOn w:val="DefaultParagraphFont"/>
    <w:uiPriority w:val="99"/>
    <w:semiHidden/>
    <w:unhideWhenUsed/>
    <w:rsid w:val="001F4B0E"/>
    <w:rPr>
      <w:color w:val="605E5C"/>
      <w:shd w:val="clear" w:color="auto" w:fill="E1DFDD"/>
    </w:rPr>
  </w:style>
  <w:style w:type="character" w:customStyle="1" w:styleId="Heading1Char">
    <w:name w:val="Heading 1 Char"/>
    <w:basedOn w:val="DefaultParagraphFont"/>
    <w:link w:val="Heading1"/>
    <w:rsid w:val="005D3C7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5D3C75"/>
    <w:rPr>
      <w:rFonts w:eastAsia="Times New Roman" w:cs="Times New Roman"/>
      <w:b/>
      <w:bCs/>
      <w:sz w:val="20"/>
      <w:szCs w:val="20"/>
    </w:rPr>
  </w:style>
  <w:style w:type="character" w:customStyle="1" w:styleId="cf01">
    <w:name w:val="cf01"/>
    <w:basedOn w:val="DefaultParagraphFont"/>
    <w:rsid w:val="000E22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Cold Treatment Southern and Western Facilities</Project_x0020_Name>
    <OMB_x0020_control_x0020__x0023_ xmlns="64E31D74-685E-46CD-AE51-A264634057B8" xsi:nil="true"/>
    <APHIS_x0020_docket_x0020__x0023_ xmlns="64E31D74-685E-46CD-AE51-A264634057B8">2013-0081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A7UXA6N55WET-2455-448</_dlc_DocId>
    <_dlc_DocIdUrl xmlns="ed6d8045-9bce-45b8-96e9-ffa15b628daa">
      <Url>http://sp.we.aphis.gov/PPQ/policy/php/rpm/Paperwork Burden/_layouts/DocIdRedir.aspx?ID=A7UXA6N55WET-2455-448</Url>
      <Description>A7UXA6N55WET-2455-448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2CB6E-27E6-476C-878F-8F87A718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4E81D-9678-4C72-9BF9-0676C68BDA37}">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AB9F8244-6AFC-472D-8E80-80A0396A0908}">
  <ds:schemaRefs>
    <ds:schemaRef ds:uri="http://schemas.microsoft.com/sharepoint/events"/>
  </ds:schemaRefs>
</ds:datastoreItem>
</file>

<file path=customXml/itemProps4.xml><?xml version="1.0" encoding="utf-8"?>
<ds:datastoreItem xmlns:ds="http://schemas.openxmlformats.org/officeDocument/2006/customXml" ds:itemID="{E7884DA5-1CEF-4D47-AE3E-75AE97AAD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2333</Words>
  <Characters>14535</Characters>
  <Application>Microsoft Office Word</Application>
  <DocSecurity>0</DocSecurity>
  <Lines>330</Lines>
  <Paragraphs>129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Harris, Sheniqua - MRP-APHIS</cp:lastModifiedBy>
  <cp:revision>2</cp:revision>
  <cp:lastPrinted>2017-07-05T15:32:00Z</cp:lastPrinted>
  <dcterms:created xsi:type="dcterms:W3CDTF">2026-03-12T12:29:00Z</dcterms:created>
  <dcterms:modified xsi:type="dcterms:W3CDTF">2026-03-12T12:29:00Z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24c665a8-347f-4536-a2a9-90e78545bbe6</vt:lpwstr>
  </property>
</Properties>
</file>