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8244C5" w:rsidP="00B848FF" w14:paraId="3CB041FD" w14:textId="14F24FA2">
      <w:pPr>
        <w:pStyle w:val="NoSpacing"/>
        <w:jc w:val="center"/>
        <w:rPr>
          <w:b/>
        </w:rPr>
      </w:pPr>
      <w:r w:rsidRPr="00B848FF">
        <w:rPr>
          <w:b/>
        </w:rPr>
        <w:t>SUPPORTING STATEMENT</w:t>
      </w:r>
    </w:p>
    <w:p w:rsidR="00927637" w:rsidRPr="00B701E8" w:rsidP="00927637" w14:paraId="3F05E0DB" w14:textId="77777777">
      <w:pPr>
        <w:jc w:val="center"/>
        <w:rPr>
          <w:b/>
          <w:szCs w:val="24"/>
        </w:rPr>
      </w:pPr>
      <w:r w:rsidRPr="00B701E8">
        <w:rPr>
          <w:b/>
          <w:szCs w:val="24"/>
        </w:rPr>
        <w:t>U.S. Department of Commerce</w:t>
      </w:r>
    </w:p>
    <w:p w:rsidR="00927637" w:rsidP="00424492" w14:paraId="2EE5C010" w14:textId="7D7A096D">
      <w:pPr>
        <w:jc w:val="center"/>
        <w:rPr>
          <w:b/>
          <w:szCs w:val="24"/>
        </w:rPr>
      </w:pPr>
      <w:r w:rsidRPr="00B701E8">
        <w:rPr>
          <w:b/>
          <w:szCs w:val="24"/>
        </w:rPr>
        <w:t>National Oceanic &amp; Atmospheric Administration</w:t>
      </w:r>
    </w:p>
    <w:p w:rsidR="00056326" w:rsidP="00A90BA6" w14:paraId="09688A3A" w14:textId="77777777">
      <w:pPr>
        <w:jc w:val="center"/>
        <w:rPr>
          <w:b/>
          <w:szCs w:val="24"/>
        </w:rPr>
      </w:pPr>
      <w:r>
        <w:rPr>
          <w:b/>
          <w:szCs w:val="24"/>
        </w:rPr>
        <w:t>Electronic Monitoring Systems for Atlantic Highly Migratory Species (HMS)</w:t>
      </w:r>
      <w:r>
        <w:rPr>
          <w:b/>
          <w:szCs w:val="24"/>
        </w:rPr>
        <w:t xml:space="preserve"> </w:t>
      </w:r>
    </w:p>
    <w:p w:rsidR="00A90BA6" w:rsidP="00A90BA6" w14:paraId="78AAEB5A" w14:textId="54C44A70">
      <w:pPr>
        <w:jc w:val="center"/>
        <w:rPr>
          <w:b/>
          <w:szCs w:val="24"/>
        </w:rPr>
      </w:pPr>
      <w:r>
        <w:rPr>
          <w:b/>
          <w:szCs w:val="24"/>
        </w:rPr>
        <w:t>Temporary Data Collection</w:t>
      </w:r>
    </w:p>
    <w:p w:rsidR="008244C5" w:rsidRPr="00A90BA6" w:rsidP="00A90BA6" w14:paraId="47717684" w14:textId="382B486C">
      <w:pPr>
        <w:jc w:val="center"/>
        <w:rPr>
          <w:b/>
          <w:szCs w:val="24"/>
        </w:rPr>
      </w:pPr>
      <w:r w:rsidRPr="00B848FF">
        <w:rPr>
          <w:b/>
        </w:rPr>
        <w:t>OMB C</w:t>
      </w:r>
      <w:r w:rsidR="00A90BA6">
        <w:rPr>
          <w:b/>
        </w:rPr>
        <w:t>ontrol</w:t>
      </w:r>
      <w:r w:rsidRPr="00B848FF">
        <w:rPr>
          <w:b/>
        </w:rPr>
        <w:t xml:space="preserve"> N</w:t>
      </w:r>
      <w:r w:rsidR="00A90BA6">
        <w:rPr>
          <w:b/>
        </w:rPr>
        <w:t>o</w:t>
      </w:r>
      <w:r w:rsidRPr="00B848FF">
        <w:rPr>
          <w:b/>
        </w:rPr>
        <w:t>. 0648-</w:t>
      </w:r>
      <w:r w:rsidR="003E5FE9">
        <w:rPr>
          <w:b/>
        </w:rPr>
        <w:t>0816</w:t>
      </w:r>
    </w:p>
    <w:p w:rsidR="008244C5" w:rsidP="007432A6" w14:paraId="66DC81D0" w14:textId="77777777">
      <w:pPr>
        <w:spacing w:after="120"/>
      </w:pPr>
    </w:p>
    <w:p w:rsidR="008244C5" w:rsidP="007432A6" w14:paraId="346CFCED" w14:textId="6600B5C6">
      <w:pPr>
        <w:spacing w:after="120"/>
        <w:ind w:left="720" w:hanging="720"/>
      </w:pPr>
      <w:r>
        <w:rPr>
          <w:b/>
        </w:rPr>
        <w:t>Abstract</w:t>
      </w:r>
    </w:p>
    <w:p w:rsidR="001B3D19" w:rsidP="007432A6" w14:paraId="7E7AF3C2" w14:textId="1F738606">
      <w:pPr>
        <w:spacing w:after="120"/>
        <w:rPr>
          <w:szCs w:val="24"/>
        </w:rPr>
      </w:pPr>
      <w:r w:rsidRPr="001B3D19">
        <w:rPr>
          <w:szCs w:val="24"/>
        </w:rPr>
        <w:t>This is a new</w:t>
      </w:r>
      <w:r w:rsidR="003E5FE9">
        <w:rPr>
          <w:szCs w:val="24"/>
        </w:rPr>
        <w:t>, temporary</w:t>
      </w:r>
      <w:r w:rsidRPr="001B3D19">
        <w:rPr>
          <w:szCs w:val="24"/>
        </w:rPr>
        <w:t xml:space="preserve"> collection of information pursuant to </w:t>
      </w:r>
      <w:r w:rsidR="009075D6">
        <w:rPr>
          <w:szCs w:val="24"/>
        </w:rPr>
        <w:t xml:space="preserve">Amendment 15 to the 2006 Consolidated </w:t>
      </w:r>
      <w:r w:rsidR="00BD6CCE">
        <w:rPr>
          <w:szCs w:val="24"/>
        </w:rPr>
        <w:t xml:space="preserve">Atlantic </w:t>
      </w:r>
      <w:r w:rsidR="009075D6">
        <w:rPr>
          <w:szCs w:val="24"/>
        </w:rPr>
        <w:t>Highly Migratory Species (HMS) Fishery Management Plan (FMP) (Amendment 15)</w:t>
      </w:r>
      <w:r w:rsidR="005F0C60">
        <w:rPr>
          <w:szCs w:val="24"/>
        </w:rPr>
        <w:t xml:space="preserve"> and associated rulemaking</w:t>
      </w:r>
      <w:r w:rsidR="009075D6">
        <w:rPr>
          <w:szCs w:val="24"/>
        </w:rPr>
        <w:t xml:space="preserve">, or </w:t>
      </w:r>
      <w:r w:rsidRPr="001B3D19">
        <w:rPr>
          <w:szCs w:val="24"/>
        </w:rPr>
        <w:t>RIN 0648-BI10. This temporary collection</w:t>
      </w:r>
      <w:r w:rsidR="003E5FE9">
        <w:rPr>
          <w:szCs w:val="24"/>
        </w:rPr>
        <w:t>, OMB Control Number 0648-0816,</w:t>
      </w:r>
      <w:r w:rsidRPr="001B3D19">
        <w:rPr>
          <w:szCs w:val="24"/>
        </w:rPr>
        <w:t xml:space="preserve"> </w:t>
      </w:r>
      <w:r w:rsidR="003E5FE9">
        <w:rPr>
          <w:szCs w:val="24"/>
        </w:rPr>
        <w:t>was</w:t>
      </w:r>
      <w:r w:rsidRPr="001B3D19">
        <w:rPr>
          <w:szCs w:val="24"/>
        </w:rPr>
        <w:t xml:space="preserve"> created due to timing conflicts with OMB Control Number 0648-0372</w:t>
      </w:r>
      <w:r w:rsidRPr="00E83300">
        <w:rPr>
          <w:szCs w:val="24"/>
        </w:rPr>
        <w:t xml:space="preserve">, which </w:t>
      </w:r>
      <w:r w:rsidR="003E5FE9">
        <w:rPr>
          <w:szCs w:val="24"/>
        </w:rPr>
        <w:t>came</w:t>
      </w:r>
      <w:r w:rsidRPr="00E83300">
        <w:rPr>
          <w:szCs w:val="24"/>
        </w:rPr>
        <w:t xml:space="preserve"> up for renewal before </w:t>
      </w:r>
      <w:r w:rsidR="003E5FE9">
        <w:rPr>
          <w:szCs w:val="24"/>
        </w:rPr>
        <w:t xml:space="preserve">publication of </w:t>
      </w:r>
      <w:r w:rsidR="00E83300">
        <w:rPr>
          <w:szCs w:val="24"/>
        </w:rPr>
        <w:t xml:space="preserve">the final rule for </w:t>
      </w:r>
      <w:r w:rsidR="009075D6">
        <w:rPr>
          <w:rFonts w:eastAsia="Cambria"/>
          <w:szCs w:val="24"/>
        </w:rPr>
        <w:t>Amendment 15</w:t>
      </w:r>
      <w:r w:rsidR="00E83300">
        <w:rPr>
          <w:rFonts w:eastAsia="Cambria"/>
          <w:szCs w:val="24"/>
        </w:rPr>
        <w:t xml:space="preserve">. </w:t>
      </w:r>
      <w:r w:rsidR="00E83300">
        <w:rPr>
          <w:szCs w:val="24"/>
        </w:rPr>
        <w:t xml:space="preserve">Once 0648-0372 is renewed and the </w:t>
      </w:r>
      <w:r w:rsidR="009075D6">
        <w:rPr>
          <w:szCs w:val="24"/>
        </w:rPr>
        <w:t>Amendment 15</w:t>
      </w:r>
      <w:r w:rsidR="00E83300">
        <w:rPr>
          <w:szCs w:val="24"/>
        </w:rPr>
        <w:t xml:space="preserve"> final rule information collection is approved, </w:t>
      </w:r>
      <w:r w:rsidR="007403A1">
        <w:rPr>
          <w:szCs w:val="24"/>
        </w:rPr>
        <w:t xml:space="preserve">the </w:t>
      </w:r>
      <w:r w:rsidR="007403A1">
        <w:rPr>
          <w:bCs/>
          <w:szCs w:val="24"/>
        </w:rPr>
        <w:t>National Marine Fisheries Service</w:t>
      </w:r>
      <w:r w:rsidR="007403A1">
        <w:rPr>
          <w:szCs w:val="24"/>
        </w:rPr>
        <w:t xml:space="preserve"> (</w:t>
      </w:r>
      <w:r w:rsidR="00E83300">
        <w:rPr>
          <w:szCs w:val="24"/>
        </w:rPr>
        <w:t>N</w:t>
      </w:r>
      <w:r w:rsidR="00831D08">
        <w:rPr>
          <w:szCs w:val="24"/>
        </w:rPr>
        <w:t>MFS</w:t>
      </w:r>
      <w:r w:rsidR="007403A1">
        <w:rPr>
          <w:szCs w:val="24"/>
        </w:rPr>
        <w:t>)</w:t>
      </w:r>
      <w:r w:rsidR="00E83300">
        <w:rPr>
          <w:szCs w:val="24"/>
        </w:rPr>
        <w:t xml:space="preserve"> will submit a request to merge this temporary collection into 0648-0372.</w:t>
      </w:r>
      <w:r w:rsidR="007403A1">
        <w:rPr>
          <w:szCs w:val="24"/>
        </w:rPr>
        <w:t xml:space="preserve"> Amendment 15</w:t>
      </w:r>
      <w:r w:rsidRPr="00E83300" w:rsidR="007403A1">
        <w:rPr>
          <w:szCs w:val="24"/>
        </w:rPr>
        <w:t xml:space="preserve"> </w:t>
      </w:r>
      <w:r w:rsidR="007403A1">
        <w:rPr>
          <w:szCs w:val="24"/>
        </w:rPr>
        <w:t>will establish two pelagic longline (PLL) monitoring areas, in which PLL vessels that are approved to fish will be required to report interactions with select bycatch species by set via their vessel monitoring system (VMS) units.</w:t>
      </w:r>
    </w:p>
    <w:p w:rsidR="007403A1" w:rsidP="007403A1" w14:paraId="4AEBCA5E" w14:textId="63B9EF68">
      <w:pPr>
        <w:spacing w:after="120"/>
        <w:rPr>
          <w:rFonts w:eastAsia="Cambria"/>
          <w:szCs w:val="24"/>
        </w:rPr>
      </w:pPr>
      <w:r>
        <w:rPr>
          <w:bCs/>
          <w:szCs w:val="24"/>
        </w:rPr>
        <w:t xml:space="preserve">Several changes were made to this information collection (ICR) from the proposed to the final rule that resulted in changes to the burden and cost estimates for this collection. Previously, NMFS had proposed to make the pelagic longline fleet responsible for covering their EM monitoring costs </w:t>
      </w:r>
      <w:r w:rsidRPr="009F4071">
        <w:t>consistent with the NOAA Cost Allocation Policy (Procedure 04-115-02)</w:t>
      </w:r>
      <w:r>
        <w:t xml:space="preserve">. Based in part on public comment, NMFS has decided to maintain the status quo, and continue to cover these costs, for now, for vessels fishing outside of the proposed monitoring areas. </w:t>
      </w:r>
      <w:r w:rsidR="00374941">
        <w:rPr>
          <w:szCs w:val="24"/>
        </w:rPr>
        <w:t>However</w:t>
      </w:r>
      <w:r>
        <w:rPr>
          <w:szCs w:val="24"/>
        </w:rPr>
        <w:t xml:space="preserve">, vessel owners would </w:t>
      </w:r>
      <w:r w:rsidR="00374941">
        <w:rPr>
          <w:szCs w:val="24"/>
        </w:rPr>
        <w:t xml:space="preserve">still </w:t>
      </w:r>
      <w:r>
        <w:rPr>
          <w:szCs w:val="24"/>
        </w:rPr>
        <w:t>need to pay for and arrange for video review of sets from trips that occur wholly or in part in monitoring areas.</w:t>
      </w:r>
      <w:r w:rsidR="00374941">
        <w:rPr>
          <w:szCs w:val="24"/>
        </w:rPr>
        <w:t xml:space="preserve"> Under the proposed rule, 100 percent of sets for trips that occurred within the monitoring areas were to be reviewed, but under the final rule that sampling rate has been lowered to 50 percent.</w:t>
      </w:r>
      <w:r>
        <w:rPr>
          <w:szCs w:val="24"/>
        </w:rPr>
        <w:t xml:space="preserve"> </w:t>
      </w:r>
      <w:r>
        <w:t xml:space="preserve">To mitigate the economic impact of this added cost to the PLL fleet, NMFS is </w:t>
      </w:r>
      <w:r w:rsidR="00374941">
        <w:t>still</w:t>
      </w:r>
      <w:r>
        <w:t xml:space="preserve"> establishing a vendor certification process to encourage additional EM vendors to enter the market, and decrease costs through competition and by leveraging the existing infrastructure of vendors already providing video services to other fisheries. </w:t>
      </w:r>
      <w:r w:rsidR="00374941">
        <w:t>However, vessel owners would only be allowed to employ these vendors for EM monitoring and video review for trips within the monitoring areas. For trips outside of monitoring areas, where NMFS will still pay for EM monitoring, vessel owners must continue to use the government contracted EM vendor. Additionally, NMFS has increased the effort caps for pelagic longline sets conducted within the monitoring areas, based on public comments expressing concerns that the proposed caps were too low to provide the needed data to evaluate the effectiveness of closed areas. This increase in the monitoring area effort caps will result in higher burden estimates as vessel owners will be required to submit effort and catch reports via their VMS units for each set within the monitoring areas.</w:t>
      </w:r>
    </w:p>
    <w:p w:rsidR="007403A1" w:rsidP="007432A6" w14:paraId="558ADA76" w14:textId="3E31362B">
      <w:pPr>
        <w:spacing w:after="120"/>
        <w:rPr>
          <w:szCs w:val="24"/>
        </w:rPr>
      </w:pPr>
    </w:p>
    <w:p w:rsidR="006B4DBE" w:rsidP="007432A6" w14:paraId="00F7F527" w14:textId="4384915D">
      <w:pPr>
        <w:spacing w:after="120"/>
        <w:rPr>
          <w:szCs w:val="24"/>
        </w:rPr>
      </w:pPr>
    </w:p>
    <w:p w:rsidR="006B4DBE" w:rsidRPr="001B3D19" w:rsidP="007432A6" w14:paraId="4FC97F77" w14:textId="77777777">
      <w:pPr>
        <w:spacing w:after="120"/>
        <w:rPr>
          <w:szCs w:val="24"/>
        </w:rPr>
      </w:pPr>
    </w:p>
    <w:p w:rsidR="00E529E6" w:rsidP="00E529E6" w14:paraId="4DAFC80A" w14:textId="4DDC8687">
      <w:pPr>
        <w:spacing w:after="120"/>
      </w:pPr>
    </w:p>
    <w:p w:rsidR="003F389D" w:rsidRPr="003F389D" w:rsidP="00E529E6" w14:paraId="2021D0E5" w14:textId="3D88A124">
      <w:pPr>
        <w:spacing w:after="120"/>
        <w:rPr>
          <w:b/>
        </w:rPr>
      </w:pPr>
      <w:r w:rsidRPr="003F389D">
        <w:rPr>
          <w:b/>
        </w:rPr>
        <w:t>Justification</w:t>
      </w:r>
    </w:p>
    <w:p w:rsidR="003F389D" w:rsidRPr="00BD7237" w:rsidP="003F389D" w14:paraId="645C15BB" w14:textId="77777777">
      <w:pPr>
        <w:pStyle w:val="ListParagraph"/>
        <w:widowControl w:val="0"/>
        <w:tabs>
          <w:tab w:val="left" w:pos="360"/>
        </w:tabs>
        <w:autoSpaceDE w:val="0"/>
        <w:autoSpaceDN w:val="0"/>
        <w:spacing w:before="182" w:line="259" w:lineRule="auto"/>
        <w:ind w:left="0"/>
        <w:contextualSpacing w:val="0"/>
        <w:rPr>
          <w:b/>
          <w:szCs w:val="24"/>
        </w:rPr>
      </w:pPr>
      <w:r>
        <w:rPr>
          <w:b/>
        </w:rPr>
        <w:t>1.</w:t>
      </w:r>
      <w:r w:rsidR="00B1698A">
        <w:rPr>
          <w:b/>
        </w:rPr>
        <w:t xml:space="preserve"> </w:t>
      </w:r>
      <w:r w:rsidRPr="00BD7237">
        <w:rPr>
          <w:b/>
          <w:szCs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89629C" w:rsidP="007432A6" w14:paraId="0F1A666A" w14:textId="63D08D89">
      <w:pPr>
        <w:spacing w:after="120"/>
        <w:rPr>
          <w:szCs w:val="24"/>
        </w:rPr>
      </w:pPr>
      <w:r>
        <w:rPr>
          <w:szCs w:val="24"/>
          <w:lang w:val="en-CA"/>
        </w:rPr>
        <w:t xml:space="preserve">The Secretary of Commerce is authorized to regulate fisheries for Atlantic HMS </w:t>
      </w:r>
      <w:r w:rsidR="00753140">
        <w:rPr>
          <w:szCs w:val="24"/>
          <w:lang w:val="en-CA"/>
        </w:rPr>
        <w:t xml:space="preserve">pursuant to </w:t>
      </w:r>
      <w:r>
        <w:rPr>
          <w:szCs w:val="24"/>
          <w:lang w:val="en-CA"/>
        </w:rPr>
        <w:t xml:space="preserve">the </w:t>
      </w:r>
      <w:hyperlink r:id="rId5" w:history="1">
        <w:r w:rsidRPr="00170B92">
          <w:rPr>
            <w:rStyle w:val="Hyperlink"/>
            <w:szCs w:val="24"/>
            <w:lang w:val="en-CA"/>
          </w:rPr>
          <w:t>Magnuson-Stevens Fishery Conservation and Management Act</w:t>
        </w:r>
      </w:hyperlink>
      <w:r w:rsidR="00240635">
        <w:rPr>
          <w:szCs w:val="24"/>
          <w:lang w:val="en-CA"/>
        </w:rPr>
        <w:t xml:space="preserve"> (Magnuson-Stevens Act</w:t>
      </w:r>
      <w:r>
        <w:rPr>
          <w:szCs w:val="24"/>
        </w:rPr>
        <w:t xml:space="preserve">; 16 U.S.C. 1801 </w:t>
      </w:r>
      <w:r>
        <w:rPr>
          <w:i/>
          <w:iCs/>
          <w:szCs w:val="24"/>
        </w:rPr>
        <w:t>et. seq.</w:t>
      </w:r>
      <w:r>
        <w:rPr>
          <w:szCs w:val="24"/>
          <w:lang w:val="en-CA"/>
        </w:rPr>
        <w:t xml:space="preserve">) and </w:t>
      </w:r>
      <w:r w:rsidR="00753140">
        <w:rPr>
          <w:szCs w:val="24"/>
          <w:lang w:val="en-CA"/>
        </w:rPr>
        <w:t xml:space="preserve">consistent with </w:t>
      </w:r>
      <w:r>
        <w:rPr>
          <w:szCs w:val="24"/>
          <w:lang w:val="en-CA"/>
        </w:rPr>
        <w:t xml:space="preserve">the </w:t>
      </w:r>
      <w:hyperlink r:id="rId6" w:history="1">
        <w:r w:rsidRPr="006C3EB3">
          <w:rPr>
            <w:rStyle w:val="Hyperlink"/>
            <w:szCs w:val="24"/>
          </w:rPr>
          <w:t>Atlantic Tunas Convention Act of 1975</w:t>
        </w:r>
      </w:hyperlink>
      <w:r>
        <w:rPr>
          <w:szCs w:val="24"/>
        </w:rPr>
        <w:t xml:space="preserve"> </w:t>
      </w:r>
      <w:r>
        <w:rPr>
          <w:szCs w:val="24"/>
          <w:lang w:val="en-CA"/>
        </w:rPr>
        <w:t>(ATCA</w:t>
      </w:r>
      <w:r>
        <w:rPr>
          <w:szCs w:val="24"/>
        </w:rPr>
        <w:t xml:space="preserve">; 16 U.S.C. 971 </w:t>
      </w:r>
      <w:r>
        <w:rPr>
          <w:i/>
          <w:iCs/>
          <w:szCs w:val="24"/>
        </w:rPr>
        <w:t>et. seq.</w:t>
      </w:r>
      <w:r>
        <w:rPr>
          <w:szCs w:val="24"/>
          <w:lang w:val="en-CA"/>
        </w:rPr>
        <w:t>), as amended</w:t>
      </w:r>
      <w:r>
        <w:rPr>
          <w:szCs w:val="24"/>
          <w:lang w:val="en-CA"/>
        </w:rPr>
        <w:t>.</w:t>
      </w:r>
      <w:r w:rsidR="00B1698A">
        <w:rPr>
          <w:szCs w:val="24"/>
          <w:lang w:val="en-CA"/>
        </w:rPr>
        <w:t xml:space="preserve"> </w:t>
      </w:r>
      <w:r>
        <w:rPr>
          <w:szCs w:val="24"/>
        </w:rPr>
        <w:t>Under ATCA, the Secretary of Commerce is required to promulgate regulations as may be necessary and appropriate to implement binding recommendations adopted by the International Commission on the Conservation of Atlantic Tunas (ICCAT).</w:t>
      </w:r>
    </w:p>
    <w:p w:rsidR="00F043F7" w:rsidP="00F043F7" w14:paraId="2E6D95C3" w14:textId="197756B9">
      <w:pPr>
        <w:spacing w:before="240" w:after="240"/>
      </w:pPr>
      <w:r>
        <w:t>To comply with the Magnuson-Stevens Act and ATCA, NMFS uses a variety of conservation and management measures to maintain appropriate levels of catch consistent with applicable science-based quotas or other management goals, to limit bycatch to the extent practicable, and to limit interactions with protected species as required. HMS management measures include permitting requirements, regional and seasonal quotas, reporting and monitoring requirements, gear restrictions, closed areas, minimum fish sizes, trip limits, and others. Of particular relevance to this document are management measures commonly referred to as “</w:t>
      </w:r>
      <w:r w:rsidR="00D2048A">
        <w:t>spatial management areas</w:t>
      </w:r>
      <w:r>
        <w:t>” which refer to a range of different fisheries conservation and management measures that are based on geographic area</w:t>
      </w:r>
      <w:r w:rsidR="00D2048A">
        <w:t xml:space="preserve"> (e.g., time/area closures, gear restricted areas, and monitoring areas)</w:t>
      </w:r>
      <w:r>
        <w:t xml:space="preserve">. </w:t>
      </w:r>
      <w:r w:rsidR="00D2048A">
        <w:t xml:space="preserve">Spatial management </w:t>
      </w:r>
      <w:r>
        <w:t>areas are typically discrete geographic areas where certain types of fishing are restricted or prohibited (usually by restricting a particular type of gear) for limited periods or the entire year</w:t>
      </w:r>
      <w:r w:rsidR="00D2048A">
        <w:t xml:space="preserve"> and can</w:t>
      </w:r>
      <w:r>
        <w:t xml:space="preserve"> be particularly effective in reducing or eliminating fishing interactions between particular species and gears. </w:t>
      </w:r>
    </w:p>
    <w:p w:rsidR="00F043F7" w:rsidP="00F043F7" w14:paraId="3D171795" w14:textId="4B3E5588">
      <w:pPr>
        <w:spacing w:before="240" w:after="240"/>
        <w:rPr>
          <w:color w:val="000000"/>
        </w:rPr>
      </w:pPr>
      <w:bookmarkStart w:id="0" w:name="_5exoftw22mro" w:colFirst="0" w:colLast="0"/>
      <w:bookmarkEnd w:id="0"/>
      <w:r>
        <w:t xml:space="preserve">Since 1999, </w:t>
      </w:r>
      <w:r w:rsidR="00326CB6">
        <w:t>NMFS</w:t>
      </w:r>
      <w:r>
        <w:t xml:space="preserve"> </w:t>
      </w:r>
      <w:r w:rsidR="00C60454">
        <w:t xml:space="preserve">has </w:t>
      </w:r>
      <w:r>
        <w:t xml:space="preserve">implemented a number of </w:t>
      </w:r>
      <w:r w:rsidR="00830A85">
        <w:t xml:space="preserve">spatial management </w:t>
      </w:r>
      <w:r>
        <w:t xml:space="preserve">areas that curtail or prohibit fishing for certain HMS or that restrict the use of certain HMS gear types. </w:t>
      </w:r>
      <w:r w:rsidR="00A00BE3">
        <w:t>Some</w:t>
      </w:r>
      <w:r w:rsidR="00830A85">
        <w:t xml:space="preserve"> of these spatial management</w:t>
      </w:r>
      <w:r w:rsidRPr="00830A85" w:rsidR="00830A85">
        <w:t xml:space="preserve"> areas have been in place for up to 20 years and the prohibition on fishing during all or part of the year has led to a commensurate decrease in fishery-dependent data. Without these data, </w:t>
      </w:r>
      <w:r w:rsidR="00C60454">
        <w:t>NMFS</w:t>
      </w:r>
      <w:r w:rsidRPr="00830A85" w:rsidR="00830A85">
        <w:t xml:space="preserve"> is unable to assess the effectiveness of the existing closed areas in meeting conservation and management goals</w:t>
      </w:r>
      <w:r w:rsidR="00830A85">
        <w:t xml:space="preserve">. </w:t>
      </w:r>
      <w:r>
        <w:t xml:space="preserve">The need to assess the effectiveness of spatial management measures is heightened due to the static nature of the existing spatial management measures, the highly dynamic nature of HMS fisheries, and the highly dynamic nature of the ocean environment. When each of the areas was implemented, </w:t>
      </w:r>
      <w:r w:rsidR="00326CB6">
        <w:t>NMFS</w:t>
      </w:r>
      <w:r>
        <w:t xml:space="preserve"> stated its intent that they be monitored, and that </w:t>
      </w:r>
      <w:r w:rsidR="00326CB6">
        <w:t>NMFS</w:t>
      </w:r>
      <w:r>
        <w:t xml:space="preserve"> might reconfigure them in the future. </w:t>
      </w:r>
      <w:r w:rsidR="00326CB6">
        <w:rPr>
          <w:color w:val="000000"/>
        </w:rPr>
        <w:t>NMFS</w:t>
      </w:r>
      <w:r>
        <w:rPr>
          <w:color w:val="000000"/>
        </w:rPr>
        <w:t xml:space="preserve"> is following through with that intent in Amendment 15 to the 2006 </w:t>
      </w:r>
      <w:r w:rsidR="00C60454">
        <w:rPr>
          <w:color w:val="000000"/>
        </w:rPr>
        <w:t xml:space="preserve">Consolidated </w:t>
      </w:r>
      <w:r>
        <w:rPr>
          <w:color w:val="000000"/>
        </w:rPr>
        <w:t xml:space="preserve">HMS FMP. </w:t>
      </w:r>
    </w:p>
    <w:p w:rsidR="006E3750" w:rsidP="006E3750" w14:paraId="54BF7C0B" w14:textId="7972EB70">
      <w:pPr>
        <w:spacing w:after="120"/>
      </w:pPr>
      <w:bookmarkStart w:id="1" w:name="_itjmh64wrr7q" w:colFirst="0" w:colLast="0"/>
      <w:bookmarkStart w:id="2" w:name="_kncacqyywtda" w:colFirst="0" w:colLast="0"/>
      <w:bookmarkEnd w:id="1"/>
      <w:bookmarkEnd w:id="2"/>
      <w:r>
        <w:rPr>
          <w:szCs w:val="24"/>
        </w:rPr>
        <w:t xml:space="preserve">Under Amendment 15, NMFS will </w:t>
      </w:r>
      <w:r w:rsidR="00A00BE3">
        <w:rPr>
          <w:szCs w:val="24"/>
        </w:rPr>
        <w:t xml:space="preserve">modify </w:t>
      </w:r>
      <w:r w:rsidR="008D5AB1">
        <w:rPr>
          <w:szCs w:val="24"/>
        </w:rPr>
        <w:t xml:space="preserve">four </w:t>
      </w:r>
      <w:r>
        <w:rPr>
          <w:szCs w:val="24"/>
        </w:rPr>
        <w:t>spatial management areas</w:t>
      </w:r>
      <w:r w:rsidR="00753140">
        <w:rPr>
          <w:szCs w:val="24"/>
        </w:rPr>
        <w:t>. In two of those four areas, Amendment 15 will establish</w:t>
      </w:r>
      <w:r>
        <w:rPr>
          <w:szCs w:val="24"/>
        </w:rPr>
        <w:t xml:space="preserve"> monitoring areas</w:t>
      </w:r>
      <w:r w:rsidR="00753140">
        <w:rPr>
          <w:szCs w:val="24"/>
        </w:rPr>
        <w:t xml:space="preserve"> where limited fishing would be allowed provided vessel owners/operators follow strict effort and reporting requirements</w:t>
      </w:r>
      <w:r>
        <w:rPr>
          <w:szCs w:val="24"/>
        </w:rPr>
        <w:t xml:space="preserve">. </w:t>
      </w:r>
      <w:r w:rsidR="00753140">
        <w:rPr>
          <w:szCs w:val="24"/>
        </w:rPr>
        <w:t xml:space="preserve">Specifically, </w:t>
      </w:r>
      <w:r>
        <w:rPr>
          <w:szCs w:val="24"/>
        </w:rPr>
        <w:t>PLL vessel</w:t>
      </w:r>
      <w:r w:rsidR="00AC5D3C">
        <w:rPr>
          <w:szCs w:val="24"/>
        </w:rPr>
        <w:t xml:space="preserve"> operator</w:t>
      </w:r>
      <w:r>
        <w:rPr>
          <w:szCs w:val="24"/>
        </w:rPr>
        <w:t xml:space="preserve">s will be required to declare when they are fishing within these </w:t>
      </w:r>
      <w:r w:rsidR="00D80991">
        <w:rPr>
          <w:szCs w:val="24"/>
        </w:rPr>
        <w:t xml:space="preserve">monitoring </w:t>
      </w:r>
      <w:r>
        <w:rPr>
          <w:szCs w:val="24"/>
        </w:rPr>
        <w:t>areas as part of their already</w:t>
      </w:r>
      <w:r w:rsidR="00D80991">
        <w:rPr>
          <w:szCs w:val="24"/>
        </w:rPr>
        <w:t xml:space="preserve"> required </w:t>
      </w:r>
      <w:r w:rsidR="00AC5D3C">
        <w:rPr>
          <w:szCs w:val="24"/>
        </w:rPr>
        <w:t xml:space="preserve">pre-trip or in-trip </w:t>
      </w:r>
      <w:r w:rsidR="00D80991">
        <w:rPr>
          <w:szCs w:val="24"/>
        </w:rPr>
        <w:t xml:space="preserve">VMS hail-outs. </w:t>
      </w:r>
      <w:r w:rsidR="008D5AB1">
        <w:rPr>
          <w:szCs w:val="24"/>
        </w:rPr>
        <w:t xml:space="preserve">Current VMS catch reporting requirements would be expanded to include </w:t>
      </w:r>
      <w:r w:rsidRPr="00C85C4E" w:rsidR="00D80991">
        <w:rPr>
          <w:color w:val="222222"/>
          <w:szCs w:val="24"/>
          <w:shd w:val="clear" w:color="auto" w:fill="FFFFFF"/>
        </w:rPr>
        <w:t xml:space="preserve">blue marlin, white marlin, </w:t>
      </w:r>
      <w:r w:rsidRPr="00C85C4E" w:rsidR="00D80991">
        <w:rPr>
          <w:color w:val="222222"/>
          <w:szCs w:val="24"/>
          <w:shd w:val="clear" w:color="auto" w:fill="FFFFFF"/>
        </w:rPr>
        <w:t>roundscale</w:t>
      </w:r>
      <w:r w:rsidRPr="00C85C4E" w:rsidR="00D80991">
        <w:rPr>
          <w:color w:val="222222"/>
          <w:szCs w:val="24"/>
          <w:shd w:val="clear" w:color="auto" w:fill="FFFFFF"/>
        </w:rPr>
        <w:t xml:space="preserve"> spearfish, sailfish, leatherback sea turtles, loggerhead sea turtles, and shortfin </w:t>
      </w:r>
      <w:r w:rsidRPr="00C85C4E" w:rsidR="00D80991">
        <w:rPr>
          <w:color w:val="222222"/>
          <w:szCs w:val="24"/>
          <w:shd w:val="clear" w:color="auto" w:fill="FFFFFF"/>
        </w:rPr>
        <w:t>mako</w:t>
      </w:r>
      <w:r w:rsidRPr="00C85C4E" w:rsidR="00D80991">
        <w:rPr>
          <w:color w:val="222222"/>
          <w:szCs w:val="24"/>
          <w:shd w:val="clear" w:color="auto" w:fill="FFFFFF"/>
        </w:rPr>
        <w:t xml:space="preserve"> sharks</w:t>
      </w:r>
      <w:r w:rsidR="008D5AB1">
        <w:rPr>
          <w:color w:val="222222"/>
          <w:szCs w:val="24"/>
          <w:shd w:val="clear" w:color="auto" w:fill="FFFFFF"/>
        </w:rPr>
        <w:t xml:space="preserve"> in addition to the current bluefin tuna reporting requirements. Reports</w:t>
      </w:r>
      <w:r w:rsidR="008D5AB1">
        <w:rPr>
          <w:szCs w:val="24"/>
        </w:rPr>
        <w:t xml:space="preserve"> </w:t>
      </w:r>
      <w:r w:rsidR="00D80991">
        <w:rPr>
          <w:szCs w:val="24"/>
        </w:rPr>
        <w:t xml:space="preserve">via VMS units </w:t>
      </w:r>
      <w:r w:rsidR="008D5AB1">
        <w:rPr>
          <w:szCs w:val="24"/>
        </w:rPr>
        <w:t xml:space="preserve">must be made </w:t>
      </w:r>
      <w:r w:rsidR="00D80991">
        <w:rPr>
          <w:szCs w:val="24"/>
        </w:rPr>
        <w:t>within 12 hours of the completion of each set on these trips.</w:t>
      </w:r>
      <w:r w:rsidR="008D5AB1">
        <w:rPr>
          <w:szCs w:val="24"/>
        </w:rPr>
        <w:t xml:space="preserve"> Additionally, </w:t>
      </w:r>
      <w:r w:rsidR="003A6A44">
        <w:rPr>
          <w:szCs w:val="24"/>
        </w:rPr>
        <w:t xml:space="preserve">when </w:t>
      </w:r>
      <w:r w:rsidR="00AC5D3C">
        <w:rPr>
          <w:szCs w:val="24"/>
        </w:rPr>
        <w:t>submitting video data</w:t>
      </w:r>
      <w:r w:rsidR="003A6A44">
        <w:rPr>
          <w:szCs w:val="24"/>
        </w:rPr>
        <w:t xml:space="preserve"> to an approved vendor for video review, </w:t>
      </w:r>
      <w:r w:rsidR="00FD4FB3">
        <w:rPr>
          <w:szCs w:val="24"/>
        </w:rPr>
        <w:t xml:space="preserve">PLL </w:t>
      </w:r>
      <w:r w:rsidR="003A6A44">
        <w:rPr>
          <w:szCs w:val="24"/>
        </w:rPr>
        <w:t xml:space="preserve">vessel owners </w:t>
      </w:r>
      <w:r w:rsidR="00D12E20">
        <w:rPr>
          <w:szCs w:val="24"/>
        </w:rPr>
        <w:t xml:space="preserve">would </w:t>
      </w:r>
      <w:r w:rsidR="003A6A44">
        <w:rPr>
          <w:szCs w:val="24"/>
        </w:rPr>
        <w:t>need to arrange and pay for expanded video review of sets that occurred on trips operating wholly or in part in monitoring areas.</w:t>
      </w:r>
      <w:r w:rsidR="00FD4FB3">
        <w:rPr>
          <w:szCs w:val="24"/>
        </w:rPr>
        <w:t xml:space="preserve"> In those instances, </w:t>
      </w:r>
      <w:r>
        <w:rPr>
          <w:szCs w:val="24"/>
        </w:rPr>
        <w:t xml:space="preserve">50 </w:t>
      </w:r>
      <w:r w:rsidR="00FD4FB3">
        <w:rPr>
          <w:szCs w:val="24"/>
        </w:rPr>
        <w:t xml:space="preserve">percent of the sets </w:t>
      </w:r>
      <w:r w:rsidR="00C60454">
        <w:rPr>
          <w:szCs w:val="24"/>
        </w:rPr>
        <w:t xml:space="preserve">would need to </w:t>
      </w:r>
      <w:r w:rsidR="00FD4FB3">
        <w:rPr>
          <w:szCs w:val="24"/>
        </w:rPr>
        <w:t>be reviewed at the vessel owner’s expense.</w:t>
      </w:r>
      <w:r>
        <w:rPr>
          <w:szCs w:val="24"/>
        </w:rPr>
        <w:t xml:space="preserve"> </w:t>
      </w:r>
      <w:r>
        <w:t xml:space="preserve">Amendment 15 would also open the HMS EM </w:t>
      </w:r>
      <w:r w:rsidR="002D3C76">
        <w:t>p</w:t>
      </w:r>
      <w:r>
        <w:t>rogram up to additional vendors</w:t>
      </w:r>
      <w:r w:rsidR="002D3C76">
        <w:t xml:space="preserve"> for fishermen operating in newly designated monitoring areas</w:t>
      </w:r>
      <w:r>
        <w:t>, and establish application and reporting standards for potential EM vendors.</w:t>
      </w:r>
    </w:p>
    <w:p w:rsidR="0029746C" w:rsidP="0029746C" w14:paraId="10E37108" w14:textId="77777777">
      <w:pPr>
        <w:pStyle w:val="NoSpacing"/>
      </w:pPr>
    </w:p>
    <w:p w:rsidR="003F389D" w:rsidRPr="00BD7237" w:rsidP="003F389D" w14:paraId="2AF755CE" w14:textId="3454A12C">
      <w:pPr>
        <w:pStyle w:val="Heading1"/>
        <w:tabs>
          <w:tab w:val="left" w:pos="360"/>
        </w:tabs>
        <w:spacing w:before="197"/>
        <w:ind w:left="0"/>
        <w:rPr>
          <w:rFonts w:ascii="Times New Roman" w:hAnsi="Times New Roman" w:cs="Times New Roman"/>
        </w:rPr>
      </w:pPr>
      <w:r>
        <w:t>2.</w:t>
      </w:r>
      <w:r w:rsidR="00B1698A">
        <w:t xml:space="preserve"> </w:t>
      </w:r>
      <w:r w:rsidRPr="00BD7237">
        <w:rPr>
          <w:rFonts w:ascii="Times New Roman" w:hAnsi="Times New Roman" w:cs="Times New Roman"/>
          <w:bCs w:val="0"/>
        </w:rPr>
        <w:t>Indicate how, by whom, and for what purpose the information is to be used. Except for a</w:t>
      </w:r>
      <w:r w:rsidRPr="00BD7237">
        <w:rPr>
          <w:rFonts w:ascii="Times New Roman" w:hAnsi="Times New Roman" w:cs="Times New Roman"/>
        </w:rPr>
        <w:t xml:space="preserve"> </w:t>
      </w:r>
      <w:r w:rsidRPr="00BD7237">
        <w:rPr>
          <w:rFonts w:ascii="Times New Roman" w:hAnsi="Times New Roman" w:cs="Times New Roman"/>
          <w:bCs w:val="0"/>
        </w:rPr>
        <w:t>new collection, indicate the actual use the agency has made of the information received from the</w:t>
      </w:r>
      <w:r w:rsidRPr="00BD7237">
        <w:rPr>
          <w:rFonts w:ascii="Times New Roman" w:hAnsi="Times New Roman" w:cs="Times New Roman"/>
        </w:rPr>
        <w:t xml:space="preserve"> current</w:t>
      </w:r>
      <w:r w:rsidRPr="00BD7237">
        <w:rPr>
          <w:rFonts w:ascii="Times New Roman" w:hAnsi="Times New Roman" w:cs="Times New Roman"/>
          <w:spacing w:val="-1"/>
        </w:rPr>
        <w:t xml:space="preserve"> </w:t>
      </w:r>
      <w:r w:rsidRPr="00BD7237">
        <w:rPr>
          <w:rFonts w:ascii="Times New Roman" w:hAnsi="Times New Roman" w:cs="Times New Roman"/>
        </w:rPr>
        <w:t>collection.</w:t>
      </w:r>
    </w:p>
    <w:p w:rsidR="008244C5" w:rsidP="007432A6" w14:paraId="00740119" w14:textId="750AD1D0">
      <w:pPr>
        <w:spacing w:after="120"/>
        <w:rPr>
          <w:b/>
        </w:rPr>
      </w:pPr>
    </w:p>
    <w:p w:rsidR="002D0B55" w:rsidP="007432A6" w14:paraId="3B2019F7" w14:textId="1AF6CC58">
      <w:pPr>
        <w:spacing w:after="120"/>
        <w:rPr>
          <w:b/>
        </w:rPr>
      </w:pPr>
      <w:r>
        <w:rPr>
          <w:b/>
        </w:rPr>
        <w:t>Vessel Monitoring System (VMS) – Requirement for PLL vessels fishing in spatial monitoring areas</w:t>
      </w:r>
    </w:p>
    <w:p w:rsidR="002D0B55" w:rsidRPr="002D0B55" w:rsidP="007432A6" w14:paraId="090A0B10" w14:textId="26A44215">
      <w:pPr>
        <w:spacing w:after="120"/>
        <w:rPr>
          <w:b/>
        </w:rPr>
      </w:pPr>
      <w:r w:rsidRPr="00C85C4E">
        <w:rPr>
          <w:color w:val="222222"/>
          <w:shd w:val="clear" w:color="auto" w:fill="FFFFFF"/>
        </w:rPr>
        <w:t xml:space="preserve">Access to </w:t>
      </w:r>
      <w:r w:rsidR="00FD4FB3">
        <w:rPr>
          <w:color w:val="222222"/>
          <w:shd w:val="clear" w:color="auto" w:fill="FFFFFF"/>
        </w:rPr>
        <w:t>m</w:t>
      </w:r>
      <w:r w:rsidRPr="00C85C4E" w:rsidR="00FD4FB3">
        <w:rPr>
          <w:color w:val="222222"/>
          <w:shd w:val="clear" w:color="auto" w:fill="FFFFFF"/>
        </w:rPr>
        <w:t xml:space="preserve">onitoring </w:t>
      </w:r>
      <w:r w:rsidR="00FD4FB3">
        <w:rPr>
          <w:color w:val="222222"/>
          <w:shd w:val="clear" w:color="auto" w:fill="FFFFFF"/>
        </w:rPr>
        <w:t>a</w:t>
      </w:r>
      <w:r w:rsidRPr="00C85C4E" w:rsidR="00FD4FB3">
        <w:rPr>
          <w:color w:val="222222"/>
          <w:shd w:val="clear" w:color="auto" w:fill="FFFFFF"/>
        </w:rPr>
        <w:t>rea</w:t>
      </w:r>
      <w:r w:rsidR="00FD4FB3">
        <w:rPr>
          <w:color w:val="222222"/>
          <w:shd w:val="clear" w:color="auto" w:fill="FFFFFF"/>
        </w:rPr>
        <w:t>s</w:t>
      </w:r>
      <w:r w:rsidRPr="00C85C4E" w:rsidR="00FD4FB3">
        <w:rPr>
          <w:color w:val="222222"/>
          <w:shd w:val="clear" w:color="auto" w:fill="FFFFFF"/>
        </w:rPr>
        <w:t xml:space="preserve"> </w:t>
      </w:r>
      <w:r w:rsidRPr="00C85C4E">
        <w:rPr>
          <w:color w:val="222222"/>
          <w:shd w:val="clear" w:color="auto" w:fill="FFFFFF"/>
        </w:rPr>
        <w:t xml:space="preserve">would include </w:t>
      </w:r>
      <w:r w:rsidR="002D3C76">
        <w:rPr>
          <w:color w:val="222222"/>
          <w:shd w:val="clear" w:color="auto" w:fill="FFFFFF"/>
        </w:rPr>
        <w:t>two</w:t>
      </w:r>
      <w:r w:rsidRPr="00C85C4E" w:rsidR="002D3C76">
        <w:rPr>
          <w:color w:val="222222"/>
          <w:shd w:val="clear" w:color="auto" w:fill="FFFFFF"/>
        </w:rPr>
        <w:t xml:space="preserve"> </w:t>
      </w:r>
      <w:r w:rsidRPr="00C85C4E">
        <w:rPr>
          <w:color w:val="222222"/>
          <w:shd w:val="clear" w:color="auto" w:fill="FFFFFF"/>
        </w:rPr>
        <w:t xml:space="preserve">additional reporting requirements using VMS. </w:t>
      </w:r>
      <w:r w:rsidR="00D70DDD">
        <w:rPr>
          <w:color w:val="222222"/>
          <w:shd w:val="clear" w:color="auto" w:fill="FFFFFF"/>
        </w:rPr>
        <w:t xml:space="preserve">No vessels are required to fish in the monitoring areas; only those that voluntarily decide to go into the monitoring areas would need to meet these two additional requirements. </w:t>
      </w:r>
      <w:r w:rsidRPr="00C85C4E">
        <w:rPr>
          <w:color w:val="222222"/>
          <w:shd w:val="clear" w:color="auto" w:fill="FFFFFF"/>
        </w:rPr>
        <w:t xml:space="preserve">First, vessel operators that intend to fish in a monitoring area would need to declare that intention via VMS </w:t>
      </w:r>
      <w:r>
        <w:rPr>
          <w:color w:val="222222"/>
          <w:shd w:val="clear" w:color="auto" w:fill="FFFFFF"/>
        </w:rPr>
        <w:t xml:space="preserve">as part of their already required </w:t>
      </w:r>
      <w:r w:rsidR="00AC5D3C">
        <w:rPr>
          <w:color w:val="222222"/>
          <w:shd w:val="clear" w:color="auto" w:fill="FFFFFF"/>
        </w:rPr>
        <w:t xml:space="preserve">pre-trip or in-trip </w:t>
      </w:r>
      <w:r>
        <w:rPr>
          <w:color w:val="222222"/>
          <w:shd w:val="clear" w:color="auto" w:fill="FFFFFF"/>
        </w:rPr>
        <w:t>hail-out report</w:t>
      </w:r>
      <w:r w:rsidRPr="00C85C4E">
        <w:rPr>
          <w:color w:val="222222"/>
          <w:shd w:val="clear" w:color="auto" w:fill="FFFFFF"/>
        </w:rPr>
        <w:t xml:space="preserve">. </w:t>
      </w:r>
      <w:r w:rsidR="002D3C76">
        <w:rPr>
          <w:color w:val="222222"/>
          <w:shd w:val="clear" w:color="auto" w:fill="FFFFFF"/>
        </w:rPr>
        <w:t>Second</w:t>
      </w:r>
      <w:r w:rsidRPr="00C85C4E">
        <w:rPr>
          <w:color w:val="222222"/>
          <w:shd w:val="clear" w:color="auto" w:fill="FFFFFF"/>
        </w:rPr>
        <w:t xml:space="preserve">, vessel operators would be required to report the catch of the following species, in addition to current bluefin tuna reporting requirements, through VMS within 12 hours after the end of a longline set: blue marlin, white marlin, </w:t>
      </w:r>
      <w:r w:rsidRPr="00C85C4E">
        <w:rPr>
          <w:color w:val="222222"/>
          <w:shd w:val="clear" w:color="auto" w:fill="FFFFFF"/>
        </w:rPr>
        <w:t>roundscale</w:t>
      </w:r>
      <w:r w:rsidRPr="00C85C4E">
        <w:rPr>
          <w:color w:val="222222"/>
          <w:shd w:val="clear" w:color="auto" w:fill="FFFFFF"/>
        </w:rPr>
        <w:t xml:space="preserve"> spearfish, sailfish, leatherback sea turtles, loggerhead sea turtles, and shortfin </w:t>
      </w:r>
      <w:r w:rsidRPr="00C85C4E">
        <w:rPr>
          <w:color w:val="222222"/>
          <w:shd w:val="clear" w:color="auto" w:fill="FFFFFF"/>
        </w:rPr>
        <w:t>mako</w:t>
      </w:r>
      <w:r w:rsidRPr="00C85C4E">
        <w:rPr>
          <w:color w:val="222222"/>
          <w:shd w:val="clear" w:color="auto" w:fill="FFFFFF"/>
        </w:rPr>
        <w:t xml:space="preserve"> sharks. Vessels would be allowed to fish inside and outside of a monitoring area on the same trip, but any fishing effort would be considered to have occurred from within the monitoring area.</w:t>
      </w:r>
      <w:r w:rsidR="00D70DDD">
        <w:rPr>
          <w:color w:val="222222"/>
          <w:shd w:val="clear" w:color="auto" w:fill="FFFFFF"/>
        </w:rPr>
        <w:t xml:space="preserve"> </w:t>
      </w:r>
    </w:p>
    <w:p w:rsidR="002D0B55" w:rsidRPr="002D0B55" w:rsidP="007432A6" w14:paraId="3B55006C" w14:textId="77777777">
      <w:pPr>
        <w:spacing w:after="120"/>
        <w:rPr>
          <w:b/>
        </w:rPr>
      </w:pPr>
    </w:p>
    <w:p w:rsidR="00270129" w:rsidRPr="00270129" w:rsidP="007432A6" w14:paraId="266F4B0B" w14:textId="21F833CD">
      <w:pPr>
        <w:spacing w:after="120"/>
        <w:rPr>
          <w:b/>
        </w:rPr>
      </w:pPr>
      <w:r>
        <w:rPr>
          <w:b/>
        </w:rPr>
        <w:t xml:space="preserve">EM </w:t>
      </w:r>
      <w:r w:rsidRPr="00270129">
        <w:rPr>
          <w:b/>
        </w:rPr>
        <w:t>system</w:t>
      </w:r>
      <w:r>
        <w:rPr>
          <w:b/>
        </w:rPr>
        <w:t xml:space="preserve"> – </w:t>
      </w:r>
      <w:r w:rsidR="0059422B">
        <w:rPr>
          <w:b/>
        </w:rPr>
        <w:t>R</w:t>
      </w:r>
      <w:r>
        <w:rPr>
          <w:b/>
        </w:rPr>
        <w:t>equirement</w:t>
      </w:r>
      <w:r w:rsidR="007A24D7">
        <w:rPr>
          <w:b/>
        </w:rPr>
        <w:t xml:space="preserve"> for PLL vessels</w:t>
      </w:r>
      <w:r w:rsidR="002D3C76">
        <w:rPr>
          <w:b/>
        </w:rPr>
        <w:t xml:space="preserve"> operating in monitoring areas</w:t>
      </w:r>
    </w:p>
    <w:p w:rsidR="006C129A" w:rsidP="007A001C" w14:paraId="00CAE37A" w14:textId="48BF1D40">
      <w:pPr>
        <w:spacing w:after="120"/>
      </w:pPr>
      <w:r>
        <w:t xml:space="preserve">Currently, all HMS pelagic longline vessels </w:t>
      </w:r>
      <w:r w:rsidR="00CB1688">
        <w:t>are already required to</w:t>
      </w:r>
      <w:r>
        <w:t xml:space="preserve"> have a functioning EM system on board and powered on when fishing. To date, NMFS has paid 100</w:t>
      </w:r>
      <w:r w:rsidR="00142076">
        <w:t xml:space="preserve"> </w:t>
      </w:r>
      <w:r>
        <w:t>percent of the cost of the program through contracts with two vendors to install and maintain EM equipmen</w:t>
      </w:r>
      <w:r w:rsidR="00AD46E9">
        <w:t>t on the vessels and to receive</w:t>
      </w:r>
      <w:r>
        <w:t xml:space="preserve"> and review video footage and metadata. NMFS uses the recorded data to verify the accuracy of counts and identification of bluefin tuna reported by the vessel owner/operator</w:t>
      </w:r>
      <w:r w:rsidR="00DA2ED6">
        <w:t xml:space="preserve"> in support of the bluefin tuna </w:t>
      </w:r>
      <w:r w:rsidR="0027297E">
        <w:t>individual bluefin quota (</w:t>
      </w:r>
      <w:r w:rsidR="00DA2ED6">
        <w:t>IBQ</w:t>
      </w:r>
      <w:r w:rsidR="0027297E">
        <w:t>)</w:t>
      </w:r>
      <w:r w:rsidR="00DA2ED6">
        <w:t xml:space="preserve"> program</w:t>
      </w:r>
      <w:r>
        <w:t xml:space="preserve">. EM enables the collection of video images that may be used in conjunction with other sources of information to verify or estimate bluefin catch, or monitor shortfin </w:t>
      </w:r>
      <w:r>
        <w:t>mako</w:t>
      </w:r>
      <w:r>
        <w:t xml:space="preserve"> retention, consistent with international obligations. </w:t>
      </w:r>
    </w:p>
    <w:p w:rsidR="002950C4" w:rsidP="007432A6" w14:paraId="169EBB51" w14:textId="66D1F9F0">
      <w:pPr>
        <w:spacing w:after="120"/>
      </w:pPr>
      <w:r>
        <w:t>Amendment 15 would not alter the fleet-wide EM requirements in support of the bluefin tuna IBQ program. Amendment 15 would, however, implement changes to EM requirements when fishing in newly designated monitoring areas. Vessel owners</w:t>
      </w:r>
      <w:r w:rsidR="00D70DDD">
        <w:t xml:space="preserve"> who decide to</w:t>
      </w:r>
      <w:r>
        <w:t xml:space="preserve"> fish in </w:t>
      </w:r>
      <w:r w:rsidR="00D70DDD">
        <w:t xml:space="preserve">the </w:t>
      </w:r>
      <w:r>
        <w:t>monitoring areas would be responsible for arranging and paying for enhanced EM video review.</w:t>
      </w:r>
      <w:r w:rsidRPr="00D70DDD" w:rsidR="00D70DDD">
        <w:rPr>
          <w:color w:val="222222"/>
          <w:shd w:val="clear" w:color="auto" w:fill="FFFFFF"/>
        </w:rPr>
        <w:t xml:space="preserve"> </w:t>
      </w:r>
      <w:r w:rsidR="00D70DDD">
        <w:rPr>
          <w:color w:val="222222"/>
          <w:shd w:val="clear" w:color="auto" w:fill="FFFFFF"/>
        </w:rPr>
        <w:t>No vessels are required to fish in the monitoring areas; only those that voluntarily decide to go into the monitoring areas would need to meet this EM requirement.</w:t>
      </w:r>
      <w:r w:rsidR="00CB1688">
        <w:t xml:space="preserve"> </w:t>
      </w:r>
      <w:r w:rsidR="0030592B">
        <w:t>While NMFS w</w:t>
      </w:r>
      <w:r w:rsidR="0029305F">
        <w:t>ould</w:t>
      </w:r>
      <w:r w:rsidR="0030592B">
        <w:t xml:space="preserve"> continue to cover EM sampling costs for PLL trips conducted exclusively outside of the new </w:t>
      </w:r>
      <w:r w:rsidR="00FE4850">
        <w:t>m</w:t>
      </w:r>
      <w:r w:rsidR="0030592B">
        <w:t xml:space="preserve">onitoring </w:t>
      </w:r>
      <w:r w:rsidR="009F12B9">
        <w:t>a</w:t>
      </w:r>
      <w:r w:rsidR="0030592B">
        <w:t>reas, a</w:t>
      </w:r>
      <w:r w:rsidR="001C2D07">
        <w:t>ll PLL vessel</w:t>
      </w:r>
      <w:r w:rsidR="0041189C">
        <w:t xml:space="preserve"> owners </w:t>
      </w:r>
      <w:r w:rsidR="005E66A6">
        <w:t>that</w:t>
      </w:r>
      <w:r w:rsidR="006911CC">
        <w:t xml:space="preserve"> </w:t>
      </w:r>
      <w:r w:rsidR="009F12B9">
        <w:t>deploy</w:t>
      </w:r>
      <w:r w:rsidR="00FE4850">
        <w:t xml:space="preserve"> PLL gear</w:t>
      </w:r>
      <w:r w:rsidR="006911CC">
        <w:t xml:space="preserve"> within the established </w:t>
      </w:r>
      <w:r w:rsidR="00FE4850">
        <w:t>m</w:t>
      </w:r>
      <w:r w:rsidR="006911CC">
        <w:t xml:space="preserve">onitoring </w:t>
      </w:r>
      <w:r w:rsidR="009F12B9">
        <w:t>a</w:t>
      </w:r>
      <w:r w:rsidR="006911CC">
        <w:t xml:space="preserve">reas </w:t>
      </w:r>
      <w:r w:rsidR="0030592B">
        <w:t xml:space="preserve">will be required to cover the EM sampling costs associated with the additional video </w:t>
      </w:r>
      <w:r w:rsidR="0030592B">
        <w:t xml:space="preserve">review </w:t>
      </w:r>
      <w:r w:rsidR="00F2769F">
        <w:t xml:space="preserve">of 50 percent of sets </w:t>
      </w:r>
      <w:r w:rsidR="0030592B">
        <w:t xml:space="preserve">required within those areas. For trips conducted wholly or partially within a </w:t>
      </w:r>
      <w:r w:rsidR="009F12B9">
        <w:t>m</w:t>
      </w:r>
      <w:r w:rsidR="0030592B">
        <w:t xml:space="preserve">onitoring </w:t>
      </w:r>
      <w:r w:rsidR="009F12B9">
        <w:t>a</w:t>
      </w:r>
      <w:r w:rsidR="0030592B">
        <w:t xml:space="preserve">rea, the vessel owner will have the choice of paying the NMFS-contracted EM provider for the extra video review, or they will be </w:t>
      </w:r>
      <w:r w:rsidR="00F2769F">
        <w:t>able</w:t>
      </w:r>
      <w:r w:rsidR="0030592B">
        <w:t xml:space="preserve"> </w:t>
      </w:r>
      <w:r w:rsidR="0041189C">
        <w:t>to coordinate with a</w:t>
      </w:r>
      <w:r w:rsidR="0030592B">
        <w:t>nother</w:t>
      </w:r>
      <w:r w:rsidR="0041189C">
        <w:t xml:space="preserve"> </w:t>
      </w:r>
      <w:r w:rsidR="001C2D07">
        <w:t xml:space="preserve">NMFS-approved </w:t>
      </w:r>
      <w:r w:rsidR="00CB1688">
        <w:t>EM service provider</w:t>
      </w:r>
      <w:r w:rsidR="001C2D07">
        <w:t xml:space="preserve"> </w:t>
      </w:r>
      <w:r w:rsidR="0041189C">
        <w:t>to provide support for EM requirements including equipment maintenance and replacement and review of video data.</w:t>
      </w:r>
      <w:r w:rsidR="00B1698A">
        <w:t xml:space="preserve"> </w:t>
      </w:r>
      <w:r w:rsidR="001C2D07">
        <w:t>The</w:t>
      </w:r>
      <w:r w:rsidR="00C452DE">
        <w:t xml:space="preserve"> owners of such vessels</w:t>
      </w:r>
      <w:r w:rsidR="001C2D07">
        <w:t xml:space="preserve"> </w:t>
      </w:r>
      <w:r w:rsidR="00CB1688">
        <w:t>would then be required to</w:t>
      </w:r>
      <w:r w:rsidR="001C2D07">
        <w:t xml:space="preserve"> properly maintain the video cameras and associated data recording and monitoring equipment, which will record all longline catch and relevant data regarding </w:t>
      </w:r>
      <w:r w:rsidR="0051486E">
        <w:t>PLL</w:t>
      </w:r>
      <w:r w:rsidR="001C2D07">
        <w:t xml:space="preserve"> gear retrieval.</w:t>
      </w:r>
      <w:r w:rsidR="00B1698A">
        <w:t xml:space="preserve"> </w:t>
      </w:r>
    </w:p>
    <w:p w:rsidR="00E3304D" w:rsidRPr="00C85C4E" w:rsidP="00E3304D" w14:paraId="24BA188B" w14:textId="2F21F7C6">
      <w:pPr>
        <w:rPr>
          <w:rFonts w:eastAsia="Cambria"/>
          <w:szCs w:val="24"/>
        </w:rPr>
      </w:pPr>
      <w:r w:rsidRPr="00C85C4E">
        <w:rPr>
          <w:rFonts w:eastAsia="Cambria"/>
          <w:szCs w:val="24"/>
        </w:rPr>
        <w:t xml:space="preserve">The policy identifies two broad categories of costs: sampling and administrative costs. For all EM programs, </w:t>
      </w:r>
      <w:r w:rsidR="00326CB6">
        <w:rPr>
          <w:rFonts w:eastAsia="Cambria"/>
          <w:szCs w:val="24"/>
        </w:rPr>
        <w:t>NMFS</w:t>
      </w:r>
      <w:r w:rsidRPr="00C85C4E">
        <w:rPr>
          <w:rFonts w:eastAsia="Cambria"/>
          <w:szCs w:val="24"/>
        </w:rPr>
        <w:t xml:space="preserve"> will be responsible for the administrative costs, including the costs of setting standards for such programs, monitoring program performance, and providing administrative support to address science, enforcement, and management needs. </w:t>
      </w:r>
      <w:r w:rsidR="00F2769F">
        <w:rPr>
          <w:rFonts w:eastAsia="Cambria"/>
          <w:szCs w:val="24"/>
        </w:rPr>
        <w:t>Vessel owners fishing in monitoring areas would be responsible for sampling costs including</w:t>
      </w:r>
      <w:r w:rsidRPr="00C85C4E">
        <w:rPr>
          <w:rFonts w:eastAsia="Cambria"/>
          <w:szCs w:val="24"/>
        </w:rPr>
        <w:t xml:space="preserve"> EM equipment, data storage, </w:t>
      </w:r>
      <w:r w:rsidR="00F2769F">
        <w:rPr>
          <w:rFonts w:eastAsia="Cambria"/>
          <w:szCs w:val="24"/>
        </w:rPr>
        <w:t>and video</w:t>
      </w:r>
      <w:r w:rsidRPr="00C85C4E">
        <w:rPr>
          <w:rFonts w:eastAsia="Cambria"/>
          <w:szCs w:val="24"/>
        </w:rPr>
        <w:t xml:space="preserve"> review</w:t>
      </w:r>
      <w:r w:rsidRPr="008674B4">
        <w:rPr>
          <w:rFonts w:eastAsia="Cambria"/>
          <w:szCs w:val="24"/>
        </w:rPr>
        <w:t xml:space="preserve">. Tables </w:t>
      </w:r>
      <w:r w:rsidRPr="008674B4" w:rsidR="009B2004">
        <w:rPr>
          <w:rFonts w:eastAsia="Cambria"/>
          <w:szCs w:val="24"/>
        </w:rPr>
        <w:t>1</w:t>
      </w:r>
      <w:r w:rsidRPr="008674B4">
        <w:rPr>
          <w:rFonts w:eastAsia="Cambria"/>
          <w:szCs w:val="24"/>
        </w:rPr>
        <w:t xml:space="preserve"> and </w:t>
      </w:r>
      <w:r w:rsidRPr="008674B4" w:rsidR="009B2004">
        <w:rPr>
          <w:rFonts w:eastAsia="Cambria"/>
          <w:szCs w:val="24"/>
        </w:rPr>
        <w:t>2</w:t>
      </w:r>
      <w:r w:rsidRPr="008674B4">
        <w:rPr>
          <w:rFonts w:eastAsia="Cambria"/>
          <w:szCs w:val="24"/>
        </w:rPr>
        <w:t xml:space="preserve"> </w:t>
      </w:r>
      <w:r w:rsidRPr="00C85C4E">
        <w:rPr>
          <w:rFonts w:eastAsia="Cambria"/>
          <w:szCs w:val="24"/>
        </w:rPr>
        <w:t xml:space="preserve">provide a detailed breakdown of these sampling and administrative cost categories, respectively. </w:t>
      </w:r>
    </w:p>
    <w:p w:rsidR="00E3304D" w:rsidRPr="00C85C4E" w:rsidP="00E3304D" w14:paraId="124C43F2" w14:textId="77777777">
      <w:pPr>
        <w:rPr>
          <w:rFonts w:eastAsia="Cambria"/>
          <w:szCs w:val="24"/>
        </w:rPr>
      </w:pPr>
      <w:bookmarkStart w:id="3" w:name="_urswizo2e7pc" w:colFirst="0" w:colLast="0"/>
      <w:bookmarkEnd w:id="3"/>
    </w:p>
    <w:p w:rsidR="00E3304D" w:rsidRPr="00C85C4E" w:rsidP="00E3304D" w14:paraId="12D75E47" w14:textId="077C13E2">
      <w:pPr>
        <w:rPr>
          <w:rFonts w:eastAsia="Cambria"/>
          <w:szCs w:val="24"/>
        </w:rPr>
      </w:pPr>
      <w:bookmarkStart w:id="4" w:name="_qant0n59ezb9" w:colFirst="0" w:colLast="0"/>
      <w:bookmarkEnd w:id="4"/>
      <w:r w:rsidRPr="00C85C4E">
        <w:rPr>
          <w:rFonts w:eastAsia="Cambria"/>
          <w:szCs w:val="24"/>
        </w:rPr>
        <w:t xml:space="preserve">As such, </w:t>
      </w:r>
      <w:r w:rsidR="00326CB6">
        <w:rPr>
          <w:rFonts w:eastAsia="Cambria"/>
          <w:szCs w:val="24"/>
        </w:rPr>
        <w:t>NMFS</w:t>
      </w:r>
      <w:r w:rsidRPr="00C85C4E">
        <w:rPr>
          <w:rFonts w:eastAsia="Cambria"/>
          <w:szCs w:val="24"/>
        </w:rPr>
        <w:t xml:space="preserve">’ EM administrative costs will be included in its estimation of recoverable costs (see Amendment </w:t>
      </w:r>
      <w:r w:rsidRPr="00C85C4E" w:rsidR="0020154D">
        <w:rPr>
          <w:rFonts w:eastAsia="Cambria"/>
          <w:szCs w:val="24"/>
        </w:rPr>
        <w:t>1</w:t>
      </w:r>
      <w:r w:rsidR="0020154D">
        <w:rPr>
          <w:rFonts w:eastAsia="Cambria"/>
          <w:szCs w:val="24"/>
        </w:rPr>
        <w:t>5</w:t>
      </w:r>
      <w:r w:rsidRPr="00C85C4E" w:rsidR="0020154D">
        <w:rPr>
          <w:rFonts w:eastAsia="Cambria"/>
          <w:szCs w:val="24"/>
        </w:rPr>
        <w:t xml:space="preserve"> </w:t>
      </w:r>
      <w:r w:rsidR="00C37434">
        <w:rPr>
          <w:rFonts w:eastAsia="Cambria"/>
          <w:szCs w:val="24"/>
        </w:rPr>
        <w:t>F</w:t>
      </w:r>
      <w:r w:rsidRPr="00C85C4E" w:rsidR="00C37434">
        <w:rPr>
          <w:rFonts w:eastAsia="Cambria"/>
          <w:szCs w:val="24"/>
        </w:rPr>
        <w:t>EIS</w:t>
      </w:r>
      <w:r w:rsidRPr="00C85C4E">
        <w:rPr>
          <w:rFonts w:eastAsia="Cambria"/>
          <w:szCs w:val="24"/>
        </w:rPr>
        <w:t>, p.</w:t>
      </w:r>
      <w:r w:rsidR="00742F77">
        <w:rPr>
          <w:rFonts w:eastAsia="Cambria"/>
          <w:szCs w:val="24"/>
        </w:rPr>
        <w:t xml:space="preserve"> </w:t>
      </w:r>
      <w:r w:rsidR="0020154D">
        <w:rPr>
          <w:rFonts w:eastAsia="Cambria"/>
          <w:szCs w:val="24"/>
        </w:rPr>
        <w:t>3-</w:t>
      </w:r>
      <w:r w:rsidR="00C37434">
        <w:rPr>
          <w:rFonts w:eastAsia="Cambria"/>
          <w:szCs w:val="24"/>
        </w:rPr>
        <w:t>88</w:t>
      </w:r>
      <w:r w:rsidRPr="00C85C4E" w:rsidR="00C37434">
        <w:rPr>
          <w:rFonts w:eastAsia="Cambria"/>
          <w:szCs w:val="24"/>
        </w:rPr>
        <w:t xml:space="preserve"> </w:t>
      </w:r>
      <w:r w:rsidRPr="00C85C4E">
        <w:rPr>
          <w:rFonts w:eastAsia="Cambria"/>
          <w:szCs w:val="24"/>
        </w:rPr>
        <w:t xml:space="preserve">and Section </w:t>
      </w:r>
      <w:r w:rsidR="0020154D">
        <w:rPr>
          <w:rFonts w:eastAsia="Cambria"/>
          <w:szCs w:val="24"/>
        </w:rPr>
        <w:t>3.6</w:t>
      </w:r>
      <w:r w:rsidRPr="00C85C4E">
        <w:rPr>
          <w:rFonts w:eastAsia="Cambria"/>
          <w:szCs w:val="24"/>
        </w:rPr>
        <w:t>).</w:t>
      </w:r>
    </w:p>
    <w:p w:rsidR="00E3304D" w:rsidP="00E3304D" w14:paraId="6B488895" w14:textId="3CDE4B78">
      <w:pPr>
        <w:rPr>
          <w:rFonts w:eastAsia="Cambria"/>
          <w:szCs w:val="24"/>
        </w:rPr>
      </w:pPr>
      <w:bookmarkStart w:id="5" w:name="_q01v3p569ano" w:colFirst="0" w:colLast="0"/>
      <w:bookmarkEnd w:id="5"/>
    </w:p>
    <w:p w:rsidR="00131C3B" w:rsidRPr="00C85C4E" w:rsidP="00E3304D" w14:paraId="0F23237B" w14:textId="77777777">
      <w:pPr>
        <w:rPr>
          <w:rFonts w:eastAsia="Cambria"/>
          <w:szCs w:val="24"/>
        </w:rPr>
      </w:pPr>
    </w:p>
    <w:p w:rsidR="00E3304D" w:rsidP="00E3304D" w14:paraId="58AC9E35" w14:textId="204DA3D9">
      <w:pPr>
        <w:rPr>
          <w:rFonts w:eastAsia="Cambria"/>
          <w:szCs w:val="24"/>
        </w:rPr>
      </w:pPr>
      <w:bookmarkStart w:id="6" w:name="_vm8aq940iuqn" w:colFirst="0" w:colLast="0"/>
      <w:bookmarkEnd w:id="6"/>
      <w:r w:rsidRPr="002A5FAB">
        <w:rPr>
          <w:rFonts w:eastAsia="Cambria"/>
          <w:szCs w:val="24"/>
        </w:rPr>
        <w:t xml:space="preserve">Table </w:t>
      </w:r>
      <w:r w:rsidRPr="002A5FAB" w:rsidR="009B2004">
        <w:rPr>
          <w:rFonts w:eastAsia="Cambria"/>
          <w:szCs w:val="24"/>
        </w:rPr>
        <w:t>1</w:t>
      </w:r>
      <w:r w:rsidR="009B2004">
        <w:rPr>
          <w:rFonts w:eastAsia="Cambria"/>
          <w:szCs w:val="24"/>
        </w:rPr>
        <w:t xml:space="preserve">. </w:t>
      </w:r>
      <w:r w:rsidRPr="00C85C4E">
        <w:rPr>
          <w:rFonts w:eastAsia="Cambria"/>
          <w:szCs w:val="24"/>
        </w:rPr>
        <w:t xml:space="preserve"> E</w:t>
      </w:r>
      <w:r w:rsidR="00742F77">
        <w:rPr>
          <w:rFonts w:eastAsia="Cambria"/>
          <w:szCs w:val="24"/>
        </w:rPr>
        <w:t>M</w:t>
      </w:r>
      <w:r w:rsidRPr="00C85C4E">
        <w:rPr>
          <w:rFonts w:eastAsia="Cambria"/>
          <w:szCs w:val="24"/>
        </w:rPr>
        <w:t xml:space="preserve"> Sampling Cost Categories* - paid for by the industry</w:t>
      </w:r>
      <w:r w:rsidR="00F2769F">
        <w:rPr>
          <w:rFonts w:eastAsia="Cambria"/>
          <w:szCs w:val="24"/>
        </w:rPr>
        <w:t xml:space="preserve"> when fishing in monitoring areas</w:t>
      </w: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9360"/>
      </w:tblGrid>
      <w:tr w14:paraId="780E06C0" w14:textId="77777777" w:rsidTr="0020154D">
        <w:tblPrEx>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Ex>
        <w:tc>
          <w:tcPr>
            <w:tcW w:w="9360" w:type="dxa"/>
            <w:shd w:val="clear" w:color="auto" w:fill="auto"/>
            <w:tcMar>
              <w:top w:w="100" w:type="dxa"/>
              <w:left w:w="100" w:type="dxa"/>
              <w:bottom w:w="100" w:type="dxa"/>
              <w:right w:w="100" w:type="dxa"/>
            </w:tcMar>
          </w:tcPr>
          <w:p w:rsidR="00E564A4" w:rsidP="0020154D" w14:paraId="3D336748" w14:textId="77777777">
            <w:pPr>
              <w:pStyle w:val="TableParagraph"/>
            </w:pPr>
            <w:r w:rsidRPr="000013FA">
              <w:rPr>
                <w:b/>
              </w:rPr>
              <w:t>Equipment purchases, leases and installation</w:t>
            </w:r>
            <w:r w:rsidRPr="000013FA">
              <w:t>- including, but not limited to, the cameras, hard drives, video screens, software, and other materials needed to outfit the vessel to comply with the requirements of the EM program(s)</w:t>
            </w:r>
          </w:p>
        </w:tc>
      </w:tr>
      <w:tr w14:paraId="42F0161E" w14:textId="77777777" w:rsidTr="0020154D">
        <w:tblPrEx>
          <w:tblW w:w="9360" w:type="dxa"/>
          <w:tblLayout w:type="fixed"/>
          <w:tblLook w:val="0600"/>
        </w:tblPrEx>
        <w:tc>
          <w:tcPr>
            <w:tcW w:w="9360" w:type="dxa"/>
            <w:shd w:val="clear" w:color="auto" w:fill="auto"/>
            <w:tcMar>
              <w:top w:w="100" w:type="dxa"/>
              <w:left w:w="100" w:type="dxa"/>
              <w:bottom w:w="100" w:type="dxa"/>
              <w:right w:w="100" w:type="dxa"/>
            </w:tcMar>
          </w:tcPr>
          <w:p w:rsidR="00E564A4" w:rsidP="0020154D" w14:paraId="4D25EC89" w14:textId="77777777">
            <w:pPr>
              <w:pStyle w:val="TableParagraph"/>
            </w:pPr>
            <w:r w:rsidRPr="000013FA">
              <w:rPr>
                <w:b/>
              </w:rPr>
              <w:t>Equipment maintenance and upkeep</w:t>
            </w:r>
            <w:r w:rsidRPr="000013FA">
              <w:t>, including, but not limited to, regular software and system upgrades, ensuring that cameras are clean and free of debris, replacing cameras, monitors, and other equipment as needed, and periodically checking the system to ensure operation</w:t>
            </w:r>
          </w:p>
        </w:tc>
      </w:tr>
      <w:tr w14:paraId="3A1A9B4B" w14:textId="77777777" w:rsidTr="0020154D">
        <w:tblPrEx>
          <w:tblW w:w="9360" w:type="dxa"/>
          <w:tblLayout w:type="fixed"/>
          <w:tblLook w:val="0600"/>
        </w:tblPrEx>
        <w:tc>
          <w:tcPr>
            <w:tcW w:w="9360" w:type="dxa"/>
            <w:shd w:val="clear" w:color="auto" w:fill="auto"/>
            <w:tcMar>
              <w:top w:w="100" w:type="dxa"/>
              <w:left w:w="100" w:type="dxa"/>
              <w:bottom w:w="100" w:type="dxa"/>
              <w:right w:w="100" w:type="dxa"/>
            </w:tcMar>
          </w:tcPr>
          <w:p w:rsidR="00E564A4" w:rsidP="0020154D" w14:paraId="0F8D4848" w14:textId="77777777">
            <w:pPr>
              <w:pStyle w:val="TableParagraph"/>
            </w:pPr>
            <w:r w:rsidRPr="000013FA">
              <w:rPr>
                <w:b/>
              </w:rPr>
              <w:t>Training</w:t>
            </w:r>
            <w:r w:rsidRPr="000013FA">
              <w:t xml:space="preserve"> </w:t>
            </w:r>
            <w:r w:rsidRPr="000013FA">
              <w:rPr>
                <w:b/>
              </w:rPr>
              <w:t>for captain and crew</w:t>
            </w:r>
            <w:r w:rsidRPr="000013FA">
              <w:t xml:space="preserve"> (as appropriate) to use, troubleshoot, and maintain EM equipment and systems while at sea</w:t>
            </w:r>
          </w:p>
        </w:tc>
      </w:tr>
      <w:tr w14:paraId="6CF21E28" w14:textId="77777777" w:rsidTr="0020154D">
        <w:tblPrEx>
          <w:tblW w:w="9360" w:type="dxa"/>
          <w:tblLayout w:type="fixed"/>
          <w:tblLook w:val="0600"/>
        </w:tblPrEx>
        <w:tc>
          <w:tcPr>
            <w:tcW w:w="9360" w:type="dxa"/>
            <w:shd w:val="clear" w:color="auto" w:fill="auto"/>
            <w:tcMar>
              <w:top w:w="100" w:type="dxa"/>
              <w:left w:w="100" w:type="dxa"/>
              <w:bottom w:w="100" w:type="dxa"/>
              <w:right w:w="100" w:type="dxa"/>
            </w:tcMar>
          </w:tcPr>
          <w:p w:rsidR="00E564A4" w:rsidP="00C37434" w14:paraId="29C45B5F" w14:textId="0D084BCD">
            <w:pPr>
              <w:pStyle w:val="TableParagraph"/>
            </w:pPr>
            <w:r w:rsidRPr="000013FA">
              <w:rPr>
                <w:b/>
              </w:rPr>
              <w:t xml:space="preserve">Development and implementation of vessel monitoring plans (VMPs) </w:t>
            </w:r>
            <w:r w:rsidRPr="000013FA">
              <w:t xml:space="preserve">(in coordination with </w:t>
            </w:r>
            <w:r w:rsidR="00C37434">
              <w:t>NMFS</w:t>
            </w:r>
            <w:r w:rsidRPr="000013FA">
              <w:t xml:space="preserve"> or a </w:t>
            </w:r>
            <w:r w:rsidR="00C37434">
              <w:t>NMFS</w:t>
            </w:r>
            <w:r w:rsidRPr="000013FA">
              <w:t>-approved contractor), including identification of camera placement, catch handling protocols, and other requirements to facilitate third party video review</w:t>
            </w:r>
          </w:p>
        </w:tc>
      </w:tr>
      <w:tr w14:paraId="6B459D2F" w14:textId="77777777" w:rsidTr="0020154D">
        <w:tblPrEx>
          <w:tblW w:w="9360" w:type="dxa"/>
          <w:tblLayout w:type="fixed"/>
          <w:tblLook w:val="0600"/>
        </w:tblPrEx>
        <w:tc>
          <w:tcPr>
            <w:tcW w:w="9360" w:type="dxa"/>
            <w:shd w:val="clear" w:color="auto" w:fill="auto"/>
            <w:tcMar>
              <w:top w:w="100" w:type="dxa"/>
              <w:left w:w="100" w:type="dxa"/>
              <w:bottom w:w="100" w:type="dxa"/>
              <w:right w:w="100" w:type="dxa"/>
            </w:tcMar>
          </w:tcPr>
          <w:p w:rsidR="00E564A4" w:rsidP="0020154D" w14:paraId="1F7BCBC9" w14:textId="77777777">
            <w:pPr>
              <w:pStyle w:val="TableParagraph"/>
            </w:pPr>
            <w:r w:rsidRPr="000013FA">
              <w:rPr>
                <w:b/>
              </w:rPr>
              <w:t>Data transmittal</w:t>
            </w:r>
            <w:r w:rsidRPr="000013FA">
              <w:t>, i.e., transmitting data collected through the EM system, including raw video, imagery, and associated metadata, to the appropriate review entity (or entities), whether by physical transfer of hard drives or sending data electronically, and tracking and oversight of data transmittal and storage</w:t>
            </w:r>
          </w:p>
        </w:tc>
      </w:tr>
      <w:tr w14:paraId="278813AF" w14:textId="77777777" w:rsidTr="0020154D">
        <w:tblPrEx>
          <w:tblW w:w="9360" w:type="dxa"/>
          <w:tblLayout w:type="fixed"/>
          <w:tblLook w:val="0600"/>
        </w:tblPrEx>
        <w:tc>
          <w:tcPr>
            <w:tcW w:w="9360" w:type="dxa"/>
            <w:shd w:val="clear" w:color="auto" w:fill="auto"/>
            <w:tcMar>
              <w:top w:w="100" w:type="dxa"/>
              <w:left w:w="100" w:type="dxa"/>
              <w:bottom w:w="100" w:type="dxa"/>
              <w:right w:w="100" w:type="dxa"/>
            </w:tcMar>
          </w:tcPr>
          <w:p w:rsidR="00E564A4" w:rsidP="0020154D" w14:paraId="68ABF2A2" w14:textId="77777777">
            <w:pPr>
              <w:pStyle w:val="TableParagraph"/>
            </w:pPr>
            <w:r w:rsidRPr="000013FA">
              <w:rPr>
                <w:b/>
              </w:rPr>
              <w:t>Video processing and storage</w:t>
            </w:r>
            <w:r w:rsidRPr="000013FA">
              <w:t>, including initial review, processing, and storage of data from EM video, imagery, and associated metadata. Processing may include both manual and automated methods to summarize the collected data.</w:t>
            </w:r>
          </w:p>
        </w:tc>
      </w:tr>
      <w:tr w14:paraId="6F9A41B9" w14:textId="77777777" w:rsidTr="0020154D">
        <w:tblPrEx>
          <w:tblW w:w="9360" w:type="dxa"/>
          <w:tblLayout w:type="fixed"/>
          <w:tblLook w:val="0600"/>
        </w:tblPrEx>
        <w:tc>
          <w:tcPr>
            <w:tcW w:w="9360" w:type="dxa"/>
            <w:shd w:val="clear" w:color="auto" w:fill="auto"/>
            <w:tcMar>
              <w:top w:w="100" w:type="dxa"/>
              <w:left w:w="100" w:type="dxa"/>
              <w:bottom w:w="100" w:type="dxa"/>
              <w:right w:w="100" w:type="dxa"/>
            </w:tcMar>
          </w:tcPr>
          <w:p w:rsidR="00E564A4" w:rsidP="0020154D" w14:paraId="2A67EA75" w14:textId="77777777">
            <w:pPr>
              <w:pStyle w:val="TableParagraph"/>
            </w:pPr>
            <w:r w:rsidRPr="000013FA">
              <w:rPr>
                <w:b/>
              </w:rPr>
              <w:t>Service provider fees and overhead</w:t>
            </w:r>
            <w:r w:rsidRPr="000013FA">
              <w:t>, including any fees or overhead the service provider charges as part of its EM system service contract with industry</w:t>
            </w:r>
          </w:p>
        </w:tc>
      </w:tr>
    </w:tbl>
    <w:p w:rsidR="00E3304D" w:rsidRPr="00C85C4E" w:rsidP="00E3304D" w14:paraId="3DD24537" w14:textId="7C1988C8">
      <w:pPr>
        <w:spacing w:before="240" w:after="240"/>
        <w:rPr>
          <w:rFonts w:eastAsia="Cambria"/>
          <w:szCs w:val="24"/>
        </w:rPr>
      </w:pPr>
      <w:r w:rsidRPr="00C85C4E">
        <w:rPr>
          <w:rFonts w:eastAsia="Cambria"/>
          <w:szCs w:val="24"/>
        </w:rPr>
        <w:t>*Based on NMFS Procedure 04-115-02, May 7, 2019</w:t>
      </w:r>
    </w:p>
    <w:p w:rsidR="0020154D" w:rsidP="00E3304D" w14:paraId="36D43407" w14:textId="08E065C9">
      <w:pPr>
        <w:spacing w:before="240" w:after="240"/>
        <w:rPr>
          <w:rFonts w:eastAsia="Cambria"/>
          <w:szCs w:val="24"/>
        </w:rPr>
      </w:pPr>
    </w:p>
    <w:p w:rsidR="00E3304D" w:rsidP="00E3304D" w14:paraId="46B62E4A" w14:textId="3D9268BD">
      <w:pPr>
        <w:spacing w:before="240" w:after="240"/>
        <w:rPr>
          <w:rFonts w:eastAsia="Cambria"/>
          <w:szCs w:val="24"/>
        </w:rPr>
      </w:pPr>
      <w:r w:rsidRPr="002A5FAB">
        <w:rPr>
          <w:rFonts w:eastAsia="Cambria"/>
          <w:szCs w:val="24"/>
        </w:rPr>
        <w:t xml:space="preserve">Table </w:t>
      </w:r>
      <w:r w:rsidRPr="002A5FAB" w:rsidR="009B2004">
        <w:rPr>
          <w:rFonts w:eastAsia="Cambria"/>
          <w:szCs w:val="24"/>
        </w:rPr>
        <w:t>2</w:t>
      </w:r>
      <w:r w:rsidR="009B2004">
        <w:rPr>
          <w:rFonts w:eastAsia="Cambria"/>
          <w:szCs w:val="24"/>
        </w:rPr>
        <w:t xml:space="preserve">. </w:t>
      </w:r>
      <w:r w:rsidRPr="00C85C4E">
        <w:rPr>
          <w:rFonts w:eastAsia="Cambria"/>
          <w:szCs w:val="24"/>
        </w:rPr>
        <w:t xml:space="preserve"> Electronic Monitoring Administrative Cost Categories* </w:t>
      </w: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9360"/>
      </w:tblGrid>
      <w:tr w14:paraId="1C68E169" w14:textId="77777777" w:rsidTr="0020154D">
        <w:tblPrEx>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Ex>
        <w:tc>
          <w:tcPr>
            <w:tcW w:w="9360" w:type="dxa"/>
            <w:shd w:val="clear" w:color="auto" w:fill="auto"/>
            <w:tcMar>
              <w:top w:w="100" w:type="dxa"/>
              <w:left w:w="100" w:type="dxa"/>
              <w:bottom w:w="100" w:type="dxa"/>
              <w:right w:w="100" w:type="dxa"/>
            </w:tcMar>
          </w:tcPr>
          <w:p w:rsidR="00E564A4" w:rsidRPr="00E564A4" w:rsidP="00E564A4" w14:paraId="0951A663" w14:textId="77777777">
            <w:pPr>
              <w:widowControl w:val="0"/>
              <w:rPr>
                <w:rFonts w:ascii="Cambria" w:eastAsia="Cambria" w:hAnsi="Cambria" w:cs="Cambria"/>
                <w:color w:val="0D0D0D"/>
                <w:sz w:val="22"/>
                <w:szCs w:val="22"/>
              </w:rPr>
            </w:pPr>
            <w:r w:rsidRPr="00E564A4">
              <w:rPr>
                <w:rFonts w:ascii="Cambria" w:eastAsia="Cambria" w:hAnsi="Cambria" w:cs="Cambria"/>
                <w:b/>
                <w:color w:val="0D0D0D"/>
                <w:sz w:val="22"/>
                <w:szCs w:val="22"/>
              </w:rPr>
              <w:t>Program administration support</w:t>
            </w:r>
            <w:r w:rsidRPr="00E564A4">
              <w:rPr>
                <w:rFonts w:ascii="Cambria" w:eastAsia="Cambria" w:hAnsi="Cambria" w:cs="Cambria"/>
                <w:color w:val="0D0D0D"/>
                <w:sz w:val="22"/>
                <w:szCs w:val="22"/>
              </w:rPr>
              <w:t xml:space="preserve"> to address science, enforcement, and management needs, including staff time and equipment to develop and implement regulations, review VMPs, troubleshoot system issues that arise; facilitate communication between industry participants and EM service providers, as needed</w:t>
            </w:r>
          </w:p>
        </w:tc>
      </w:tr>
      <w:tr w14:paraId="49D16134" w14:textId="77777777" w:rsidTr="0020154D">
        <w:tblPrEx>
          <w:tblW w:w="9360" w:type="dxa"/>
          <w:tblLayout w:type="fixed"/>
          <w:tblLook w:val="0600"/>
        </w:tblPrEx>
        <w:tc>
          <w:tcPr>
            <w:tcW w:w="9360" w:type="dxa"/>
            <w:shd w:val="clear" w:color="auto" w:fill="auto"/>
            <w:tcMar>
              <w:top w:w="100" w:type="dxa"/>
              <w:left w:w="100" w:type="dxa"/>
              <w:bottom w:w="100" w:type="dxa"/>
              <w:right w:w="100" w:type="dxa"/>
            </w:tcMar>
          </w:tcPr>
          <w:p w:rsidR="00E564A4" w:rsidRPr="00E564A4" w:rsidP="00E564A4" w14:paraId="7E9C3605" w14:textId="77777777">
            <w:pPr>
              <w:widowControl w:val="0"/>
              <w:rPr>
                <w:rFonts w:ascii="Cambria" w:eastAsia="Cambria" w:hAnsi="Cambria" w:cs="Cambria"/>
                <w:color w:val="0D0D0D"/>
                <w:sz w:val="22"/>
                <w:szCs w:val="22"/>
              </w:rPr>
            </w:pPr>
            <w:r w:rsidRPr="00E564A4">
              <w:rPr>
                <w:rFonts w:ascii="Cambria" w:eastAsia="Cambria" w:hAnsi="Cambria" w:cs="Cambria"/>
                <w:b/>
                <w:color w:val="0D0D0D"/>
                <w:sz w:val="22"/>
                <w:szCs w:val="22"/>
              </w:rPr>
              <w:t>Certification of EM service providers</w:t>
            </w:r>
            <w:r w:rsidRPr="00E564A4">
              <w:rPr>
                <w:rFonts w:ascii="Cambria" w:eastAsia="Cambria" w:hAnsi="Cambria" w:cs="Cambria"/>
                <w:color w:val="0D0D0D"/>
                <w:sz w:val="22"/>
                <w:szCs w:val="22"/>
              </w:rPr>
              <w:t>, including staff time to review EM provider contracts and data from EM video and imagery to ensure data quality standards are met</w:t>
            </w:r>
          </w:p>
        </w:tc>
      </w:tr>
      <w:tr w14:paraId="6B0E1416" w14:textId="77777777" w:rsidTr="0020154D">
        <w:tblPrEx>
          <w:tblW w:w="9360" w:type="dxa"/>
          <w:tblLayout w:type="fixed"/>
          <w:tblLook w:val="0600"/>
        </w:tblPrEx>
        <w:tc>
          <w:tcPr>
            <w:tcW w:w="9360" w:type="dxa"/>
            <w:shd w:val="clear" w:color="auto" w:fill="auto"/>
            <w:tcMar>
              <w:top w:w="100" w:type="dxa"/>
              <w:left w:w="100" w:type="dxa"/>
              <w:bottom w:w="100" w:type="dxa"/>
              <w:right w:w="100" w:type="dxa"/>
            </w:tcMar>
          </w:tcPr>
          <w:p w:rsidR="00E564A4" w:rsidRPr="00E564A4" w:rsidP="00E564A4" w14:paraId="008AE209" w14:textId="77777777">
            <w:pPr>
              <w:widowControl w:val="0"/>
              <w:rPr>
                <w:rFonts w:ascii="Cambria" w:eastAsia="Cambria" w:hAnsi="Cambria" w:cs="Cambria"/>
                <w:color w:val="0D0D0D"/>
                <w:sz w:val="22"/>
                <w:szCs w:val="22"/>
              </w:rPr>
            </w:pPr>
            <w:r w:rsidRPr="00E564A4">
              <w:rPr>
                <w:rFonts w:ascii="Cambria" w:eastAsia="Cambria" w:hAnsi="Cambria" w:cs="Cambria"/>
                <w:b/>
                <w:color w:val="0D0D0D"/>
                <w:sz w:val="22"/>
                <w:szCs w:val="22"/>
              </w:rPr>
              <w:t>EM program sample design and performance monitoring</w:t>
            </w:r>
            <w:r w:rsidRPr="00E564A4">
              <w:rPr>
                <w:rFonts w:ascii="Cambria" w:eastAsia="Cambria" w:hAnsi="Cambria" w:cs="Cambria"/>
                <w:color w:val="0D0D0D"/>
                <w:sz w:val="22"/>
                <w:szCs w:val="22"/>
              </w:rPr>
              <w:t xml:space="preserve">, including costs to develop the required data elements to meet specific management objectives (e.g., bluefin tuna and the IBQ Program, shortfin </w:t>
            </w:r>
            <w:r w:rsidRPr="00E564A4">
              <w:rPr>
                <w:rFonts w:ascii="Cambria" w:eastAsia="Cambria" w:hAnsi="Cambria" w:cs="Cambria"/>
                <w:color w:val="0D0D0D"/>
                <w:sz w:val="22"/>
                <w:szCs w:val="22"/>
              </w:rPr>
              <w:t>mako</w:t>
            </w:r>
            <w:r w:rsidRPr="00E564A4">
              <w:rPr>
                <w:rFonts w:ascii="Cambria" w:eastAsia="Cambria" w:hAnsi="Cambria" w:cs="Cambria"/>
                <w:color w:val="0D0D0D"/>
                <w:sz w:val="22"/>
                <w:szCs w:val="22"/>
              </w:rPr>
              <w:t xml:space="preserve"> shark monitoring, spatial management, or other), audit service provider reviewers, review video to determine optimal sampling rates, manage vessel selection processes, as needed, and analyze data to ensure quality and effective program performance</w:t>
            </w:r>
          </w:p>
        </w:tc>
      </w:tr>
      <w:tr w14:paraId="379008AE" w14:textId="77777777" w:rsidTr="0020154D">
        <w:tblPrEx>
          <w:tblW w:w="9360" w:type="dxa"/>
          <w:tblLayout w:type="fixed"/>
          <w:tblLook w:val="0600"/>
        </w:tblPrEx>
        <w:tc>
          <w:tcPr>
            <w:tcW w:w="9360" w:type="dxa"/>
            <w:shd w:val="clear" w:color="auto" w:fill="auto"/>
            <w:tcMar>
              <w:top w:w="100" w:type="dxa"/>
              <w:left w:w="100" w:type="dxa"/>
              <w:bottom w:w="100" w:type="dxa"/>
              <w:right w:w="100" w:type="dxa"/>
            </w:tcMar>
          </w:tcPr>
          <w:p w:rsidR="00E564A4" w:rsidRPr="00E564A4" w:rsidP="00C37434" w14:paraId="16257F44" w14:textId="34C902BD">
            <w:pPr>
              <w:widowControl w:val="0"/>
              <w:rPr>
                <w:rFonts w:ascii="Cambria" w:eastAsia="Cambria" w:hAnsi="Cambria" w:cs="Cambria"/>
                <w:color w:val="0D0D0D"/>
                <w:sz w:val="22"/>
                <w:szCs w:val="22"/>
              </w:rPr>
            </w:pPr>
            <w:r w:rsidRPr="00E564A4">
              <w:rPr>
                <w:rFonts w:ascii="Cambria" w:eastAsia="Cambria" w:hAnsi="Cambria" w:cs="Cambria"/>
                <w:b/>
                <w:color w:val="0D0D0D"/>
                <w:sz w:val="22"/>
                <w:szCs w:val="22"/>
              </w:rPr>
              <w:t xml:space="preserve">Data analysis and storage of Federal records, </w:t>
            </w:r>
            <w:r w:rsidRPr="00E564A4">
              <w:rPr>
                <w:rFonts w:ascii="Cambria" w:eastAsia="Cambria" w:hAnsi="Cambria" w:cs="Cambria"/>
                <w:color w:val="0D0D0D"/>
                <w:sz w:val="22"/>
                <w:szCs w:val="22"/>
              </w:rPr>
              <w:t xml:space="preserve">including analysis of data that are transmitted to </w:t>
            </w:r>
            <w:r w:rsidR="00C37434">
              <w:rPr>
                <w:rFonts w:ascii="Cambria" w:eastAsia="Cambria" w:hAnsi="Cambria" w:cs="Cambria"/>
                <w:color w:val="0D0D0D"/>
                <w:sz w:val="22"/>
                <w:szCs w:val="22"/>
              </w:rPr>
              <w:t>NMFS</w:t>
            </w:r>
            <w:r w:rsidRPr="00E564A4">
              <w:rPr>
                <w:rFonts w:ascii="Cambria" w:eastAsia="Cambria" w:hAnsi="Cambria" w:cs="Cambria"/>
                <w:color w:val="0D0D0D"/>
                <w:sz w:val="22"/>
                <w:szCs w:val="22"/>
              </w:rPr>
              <w:t xml:space="preserve"> and storage of that data consistent with federal record retention requirements</w:t>
            </w:r>
          </w:p>
        </w:tc>
      </w:tr>
    </w:tbl>
    <w:p w:rsidR="00E3304D" w:rsidRPr="00C85C4E" w:rsidP="00E3304D" w14:paraId="378041EC" w14:textId="5B6AD35A">
      <w:pPr>
        <w:spacing w:before="240" w:after="240"/>
        <w:rPr>
          <w:rFonts w:eastAsia="Cambria"/>
          <w:szCs w:val="24"/>
        </w:rPr>
      </w:pPr>
      <w:bookmarkStart w:id="7" w:name="_7869zeyize13" w:colFirst="0" w:colLast="0"/>
      <w:bookmarkEnd w:id="7"/>
      <w:r w:rsidRPr="00C85C4E">
        <w:rPr>
          <w:rFonts w:eastAsia="Cambria"/>
          <w:szCs w:val="24"/>
        </w:rPr>
        <w:t>*Based on NMFS Procedure 04-115-02, May 7, 2019</w:t>
      </w:r>
    </w:p>
    <w:p w:rsidR="00F170B6" w:rsidP="007432A6" w14:paraId="5184155E" w14:textId="77777777">
      <w:pPr>
        <w:spacing w:after="120"/>
      </w:pPr>
      <w:bookmarkStart w:id="8" w:name="_48qs1vzajnn6" w:colFirst="0" w:colLast="0"/>
      <w:bookmarkStart w:id="9" w:name="_cscdm2ch3bnx" w:colFirst="0" w:colLast="0"/>
      <w:bookmarkEnd w:id="8"/>
      <w:bookmarkEnd w:id="9"/>
    </w:p>
    <w:p w:rsidR="00912CAD" w:rsidRPr="002A5FAB" w:rsidP="007432A6" w14:paraId="629BA45D" w14:textId="27D0B232">
      <w:pPr>
        <w:spacing w:after="120"/>
      </w:pPr>
      <w:r w:rsidRPr="004D78BF">
        <w:t xml:space="preserve">For </w:t>
      </w:r>
      <w:r w:rsidRPr="006141FF">
        <w:t xml:space="preserve">all vessels issued an Atlantic Tunas Longline </w:t>
      </w:r>
      <w:r w:rsidR="00C452DE">
        <w:t xml:space="preserve">category </w:t>
      </w:r>
      <w:r w:rsidRPr="006141FF">
        <w:t xml:space="preserve">permit that fish with </w:t>
      </w:r>
      <w:r w:rsidR="00907620">
        <w:t>PLL</w:t>
      </w:r>
      <w:r w:rsidRPr="006141FF">
        <w:t xml:space="preserve"> gear</w:t>
      </w:r>
      <w:r w:rsidR="00DD02AE">
        <w:t xml:space="preserve"> within the new</w:t>
      </w:r>
      <w:r w:rsidR="0027297E">
        <w:t>ly designated</w:t>
      </w:r>
      <w:r w:rsidR="00DD02AE">
        <w:t xml:space="preserve"> </w:t>
      </w:r>
      <w:r w:rsidR="007070C0">
        <w:t>m</w:t>
      </w:r>
      <w:r w:rsidR="00DD02AE">
        <w:t xml:space="preserve">onitoring </w:t>
      </w:r>
      <w:r w:rsidR="007070C0">
        <w:t>a</w:t>
      </w:r>
      <w:r w:rsidR="00DD02AE">
        <w:t>reas</w:t>
      </w:r>
      <w:r w:rsidRPr="006141FF">
        <w:t xml:space="preserve">, vessel owners (or their representatives) must coordinate with </w:t>
      </w:r>
      <w:r w:rsidR="006F71FE">
        <w:t>a</w:t>
      </w:r>
      <w:r w:rsidRPr="006141FF" w:rsidR="006F71FE">
        <w:t xml:space="preserve"> </w:t>
      </w:r>
      <w:r w:rsidRPr="006141FF">
        <w:t xml:space="preserve">NMFS-approved </w:t>
      </w:r>
      <w:r w:rsidR="00326CB6">
        <w:t>vendor</w:t>
      </w:r>
      <w:r w:rsidRPr="006141FF">
        <w:t xml:space="preserve"> to </w:t>
      </w:r>
      <w:r>
        <w:t xml:space="preserve">provide support for EM requirements. An approved VMP must be prepared in partnership between the vessel owner and vendor and submitted to NMFS or a NMFS-designated entity for approval. </w:t>
      </w:r>
      <w:r w:rsidRPr="002A5FAB">
        <w:t>Table 3 details the vessel owner requirements.</w:t>
      </w:r>
    </w:p>
    <w:p w:rsidR="00F170B6" w:rsidP="007432A6" w14:paraId="22888D23" w14:textId="77777777">
      <w:pPr>
        <w:spacing w:after="120"/>
      </w:pPr>
    </w:p>
    <w:p w:rsidR="00912CAD" w:rsidP="007432A6" w14:paraId="5EDE369C" w14:textId="6DE6E9FC">
      <w:pPr>
        <w:spacing w:after="120"/>
      </w:pPr>
      <w:r w:rsidRPr="002A5FAB">
        <w:t>Table 3</w:t>
      </w:r>
      <w:r w:rsidR="002A5FAB">
        <w:t>.</w:t>
      </w:r>
      <w:r>
        <w:t xml:space="preserve"> Vessel Owner Requirements</w:t>
      </w: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9360"/>
      </w:tblGrid>
      <w:tr w14:paraId="0FB56500" w14:textId="77777777" w:rsidTr="00AD6FEC">
        <w:tblPrEx>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Ex>
        <w:tc>
          <w:tcPr>
            <w:tcW w:w="9360" w:type="dxa"/>
            <w:shd w:val="clear" w:color="auto" w:fill="auto"/>
            <w:tcMar>
              <w:top w:w="100" w:type="dxa"/>
              <w:left w:w="100" w:type="dxa"/>
              <w:bottom w:w="100" w:type="dxa"/>
              <w:right w:w="100" w:type="dxa"/>
            </w:tcMar>
          </w:tcPr>
          <w:p w:rsidR="005439EF" w:rsidRPr="00EE01B5" w:rsidP="00AD6FEC" w14:paraId="480F5825" w14:textId="77777777">
            <w:pPr>
              <w:widowControl w:val="0"/>
              <w:pBdr>
                <w:top w:val="nil"/>
                <w:left w:val="nil"/>
                <w:bottom w:val="nil"/>
                <w:right w:val="nil"/>
                <w:between w:val="nil"/>
              </w:pBdr>
              <w:rPr>
                <w:b/>
                <w:sz w:val="22"/>
                <w:szCs w:val="22"/>
              </w:rPr>
            </w:pPr>
            <w:r w:rsidRPr="00EE01B5">
              <w:rPr>
                <w:b/>
                <w:sz w:val="22"/>
                <w:szCs w:val="22"/>
              </w:rPr>
              <w:t>Cost responsibility and equipment</w:t>
            </w:r>
          </w:p>
        </w:tc>
      </w:tr>
      <w:tr w14:paraId="70258D24" w14:textId="77777777" w:rsidTr="00AD6FEC">
        <w:tblPrEx>
          <w:tblW w:w="9360" w:type="dxa"/>
          <w:tblLayout w:type="fixed"/>
          <w:tblLook w:val="0600"/>
        </w:tblPrEx>
        <w:tc>
          <w:tcPr>
            <w:tcW w:w="9360" w:type="dxa"/>
            <w:shd w:val="clear" w:color="auto" w:fill="auto"/>
            <w:tcMar>
              <w:top w:w="100" w:type="dxa"/>
              <w:left w:w="100" w:type="dxa"/>
              <w:bottom w:w="100" w:type="dxa"/>
              <w:right w:w="100" w:type="dxa"/>
            </w:tcMar>
          </w:tcPr>
          <w:p w:rsidR="005439EF" w:rsidRPr="00EE01B5" w:rsidP="00AD6FEC" w14:paraId="3CF07782" w14:textId="77777777">
            <w:pPr>
              <w:rPr>
                <w:sz w:val="22"/>
                <w:szCs w:val="22"/>
              </w:rPr>
            </w:pPr>
            <w:r w:rsidRPr="00EE01B5">
              <w:rPr>
                <w:sz w:val="22"/>
                <w:szCs w:val="22"/>
              </w:rPr>
              <w:t>Vessel owners would be responsible for obtaining required EM services and for EM sampling costs. It would be up to the vessel owner and approved EM vendor to agree upon a cost structure (e.g., flat cost per set submitted, an invoice for only those sets reviewed, or an annual subscription).</w:t>
            </w:r>
          </w:p>
        </w:tc>
      </w:tr>
      <w:tr w14:paraId="23A41590" w14:textId="77777777" w:rsidTr="00AD6FEC">
        <w:tblPrEx>
          <w:tblW w:w="9360" w:type="dxa"/>
          <w:tblLayout w:type="fixed"/>
          <w:tblLook w:val="0600"/>
        </w:tblPrEx>
        <w:tc>
          <w:tcPr>
            <w:tcW w:w="9360" w:type="dxa"/>
            <w:shd w:val="clear" w:color="auto" w:fill="auto"/>
            <w:tcMar>
              <w:top w:w="100" w:type="dxa"/>
              <w:left w:w="100" w:type="dxa"/>
              <w:bottom w:w="100" w:type="dxa"/>
              <w:right w:w="100" w:type="dxa"/>
            </w:tcMar>
          </w:tcPr>
          <w:p w:rsidR="005439EF" w:rsidRPr="00EE01B5" w:rsidP="00AD6FEC" w14:paraId="6BA492E4" w14:textId="77777777">
            <w:pPr>
              <w:rPr>
                <w:sz w:val="22"/>
                <w:szCs w:val="22"/>
              </w:rPr>
            </w:pPr>
            <w:r w:rsidRPr="00EE01B5">
              <w:rPr>
                <w:sz w:val="22"/>
                <w:szCs w:val="22"/>
              </w:rPr>
              <w:t xml:space="preserve">Equipment currently installed on pelagic longline vessels would remain the property of NMFS. However, vessel owners and/or operators may </w:t>
            </w:r>
            <w:r>
              <w:rPr>
                <w:sz w:val="22"/>
                <w:szCs w:val="22"/>
              </w:rPr>
              <w:t xml:space="preserve">choose </w:t>
            </w:r>
            <w:r w:rsidRPr="00EE01B5">
              <w:rPr>
                <w:sz w:val="22"/>
                <w:szCs w:val="22"/>
              </w:rPr>
              <w:t>to use the currently-installed equipment if the EM vendor they are using deems it appropriate. Any equipment costs accrued th</w:t>
            </w:r>
            <w:r>
              <w:rPr>
                <w:sz w:val="22"/>
                <w:szCs w:val="22"/>
              </w:rPr>
              <w:t>r</w:t>
            </w:r>
            <w:r w:rsidRPr="00EE01B5">
              <w:rPr>
                <w:sz w:val="22"/>
                <w:szCs w:val="22"/>
              </w:rPr>
              <w:t>ough an arrangement with an approved EM vendor to meet EM requirements in the monitoring areas would be the responsibility of vessel owners.</w:t>
            </w:r>
          </w:p>
        </w:tc>
      </w:tr>
      <w:tr w14:paraId="5A5E3DF2" w14:textId="77777777" w:rsidTr="00AD6FEC">
        <w:tblPrEx>
          <w:tblW w:w="9360" w:type="dxa"/>
          <w:tblLayout w:type="fixed"/>
          <w:tblLook w:val="0600"/>
        </w:tblPrEx>
        <w:tc>
          <w:tcPr>
            <w:tcW w:w="9360" w:type="dxa"/>
            <w:shd w:val="clear" w:color="auto" w:fill="auto"/>
            <w:tcMar>
              <w:top w:w="100" w:type="dxa"/>
              <w:left w:w="100" w:type="dxa"/>
              <w:bottom w:w="100" w:type="dxa"/>
              <w:right w:w="100" w:type="dxa"/>
            </w:tcMar>
          </w:tcPr>
          <w:p w:rsidR="005439EF" w:rsidRPr="00EE01B5" w:rsidP="00AD6FEC" w14:paraId="68DBFBF8" w14:textId="77777777">
            <w:pPr>
              <w:widowControl w:val="0"/>
              <w:pBdr>
                <w:top w:val="nil"/>
                <w:left w:val="nil"/>
                <w:bottom w:val="nil"/>
                <w:right w:val="nil"/>
                <w:between w:val="nil"/>
              </w:pBdr>
              <w:rPr>
                <w:b/>
                <w:sz w:val="22"/>
                <w:szCs w:val="22"/>
              </w:rPr>
            </w:pPr>
            <w:r w:rsidRPr="00EE01B5">
              <w:rPr>
                <w:b/>
                <w:sz w:val="22"/>
                <w:szCs w:val="22"/>
              </w:rPr>
              <w:t>Operational requirements</w:t>
            </w:r>
          </w:p>
        </w:tc>
      </w:tr>
      <w:tr w14:paraId="5975B80F" w14:textId="77777777" w:rsidTr="00AD6FEC">
        <w:tblPrEx>
          <w:tblW w:w="9360" w:type="dxa"/>
          <w:tblLayout w:type="fixed"/>
          <w:tblLook w:val="0600"/>
        </w:tblPrEx>
        <w:tc>
          <w:tcPr>
            <w:tcW w:w="9360" w:type="dxa"/>
            <w:shd w:val="clear" w:color="auto" w:fill="auto"/>
            <w:tcMar>
              <w:top w:w="100" w:type="dxa"/>
              <w:left w:w="100" w:type="dxa"/>
              <w:bottom w:w="100" w:type="dxa"/>
              <w:right w:w="100" w:type="dxa"/>
            </w:tcMar>
          </w:tcPr>
          <w:p w:rsidR="005439EF" w:rsidRPr="00EE01B5" w:rsidP="00AD6FEC" w14:paraId="6C7B597C" w14:textId="77777777">
            <w:pPr>
              <w:rPr>
                <w:color w:val="000000"/>
                <w:sz w:val="22"/>
                <w:szCs w:val="22"/>
              </w:rPr>
            </w:pPr>
            <w:r w:rsidRPr="00EE01B5">
              <w:rPr>
                <w:color w:val="000000"/>
                <w:sz w:val="22"/>
                <w:szCs w:val="22"/>
              </w:rPr>
              <w:t>Before embarking on a trip, vessel owners and/or operators must:</w:t>
            </w:r>
          </w:p>
          <w:p w:rsidR="005439EF" w:rsidRPr="00EE01B5" w:rsidP="005439EF" w14:paraId="5324CB74" w14:textId="77777777">
            <w:pPr>
              <w:numPr>
                <w:ilvl w:val="0"/>
                <w:numId w:val="15"/>
              </w:numPr>
              <w:ind w:left="702"/>
              <w:rPr>
                <w:color w:val="000000"/>
                <w:sz w:val="22"/>
                <w:szCs w:val="22"/>
              </w:rPr>
            </w:pPr>
            <w:r w:rsidRPr="00EE01B5">
              <w:rPr>
                <w:color w:val="000000"/>
                <w:sz w:val="22"/>
                <w:szCs w:val="22"/>
              </w:rPr>
              <w:t>Have on board and available for inspe</w:t>
            </w:r>
            <w:r>
              <w:rPr>
                <w:color w:val="000000"/>
                <w:sz w:val="22"/>
                <w:szCs w:val="22"/>
              </w:rPr>
              <w:t xml:space="preserve">ction an approved VMP (would </w:t>
            </w:r>
            <w:r w:rsidRPr="00EE01B5">
              <w:rPr>
                <w:color w:val="000000"/>
                <w:sz w:val="22"/>
                <w:szCs w:val="22"/>
              </w:rPr>
              <w:t>only</w:t>
            </w:r>
            <w:r>
              <w:rPr>
                <w:color w:val="000000"/>
                <w:sz w:val="22"/>
                <w:szCs w:val="22"/>
              </w:rPr>
              <w:t xml:space="preserve"> be</w:t>
            </w:r>
            <w:r w:rsidRPr="00EE01B5">
              <w:rPr>
                <w:color w:val="000000"/>
                <w:sz w:val="22"/>
                <w:szCs w:val="22"/>
              </w:rPr>
              <w:t xml:space="preserve"> valid when there is an existing, signed contract between vessel owner and vendor for EM services).</w:t>
            </w:r>
          </w:p>
          <w:p w:rsidR="005439EF" w:rsidRPr="00EE01B5" w:rsidP="005439EF" w14:paraId="459E0013" w14:textId="77777777">
            <w:pPr>
              <w:numPr>
                <w:ilvl w:val="0"/>
                <w:numId w:val="12"/>
              </w:numPr>
              <w:rPr>
                <w:sz w:val="22"/>
                <w:szCs w:val="22"/>
              </w:rPr>
            </w:pPr>
            <w:r w:rsidRPr="00EE01B5">
              <w:rPr>
                <w:color w:val="000000"/>
                <w:sz w:val="22"/>
                <w:szCs w:val="22"/>
              </w:rPr>
              <w:t>Have implemented all of the requirements of the VMP by the dates noted in the VMP.</w:t>
            </w:r>
          </w:p>
        </w:tc>
      </w:tr>
      <w:tr w14:paraId="1F7D884B" w14:textId="77777777" w:rsidTr="00AD6FEC">
        <w:tblPrEx>
          <w:tblW w:w="9360" w:type="dxa"/>
          <w:tblLayout w:type="fixed"/>
          <w:tblLook w:val="0600"/>
        </w:tblPrEx>
        <w:tc>
          <w:tcPr>
            <w:tcW w:w="9360" w:type="dxa"/>
            <w:shd w:val="clear" w:color="auto" w:fill="auto"/>
            <w:tcMar>
              <w:top w:w="100" w:type="dxa"/>
              <w:left w:w="100" w:type="dxa"/>
              <w:bottom w:w="100" w:type="dxa"/>
              <w:right w:w="100" w:type="dxa"/>
            </w:tcMar>
          </w:tcPr>
          <w:p w:rsidR="005439EF" w:rsidRPr="00EE01B5" w:rsidP="00AD6FEC" w14:paraId="14230B84" w14:textId="77777777">
            <w:pPr>
              <w:rPr>
                <w:color w:val="000000"/>
                <w:sz w:val="22"/>
                <w:szCs w:val="22"/>
              </w:rPr>
            </w:pPr>
            <w:r w:rsidRPr="00EE01B5">
              <w:rPr>
                <w:sz w:val="22"/>
                <w:szCs w:val="22"/>
              </w:rPr>
              <w:t>Before deploying pelagic longline sets in Monitoring Areas (described in “D” packages above) a vessel owner and/or operator must declare such intent through pre-trip or in-trip hail out using VMS.</w:t>
            </w:r>
          </w:p>
        </w:tc>
      </w:tr>
      <w:tr w14:paraId="61B16903" w14:textId="77777777" w:rsidTr="00AD6FEC">
        <w:tblPrEx>
          <w:tblW w:w="9360" w:type="dxa"/>
          <w:tblLayout w:type="fixed"/>
          <w:tblLook w:val="0600"/>
        </w:tblPrEx>
        <w:tc>
          <w:tcPr>
            <w:tcW w:w="9360" w:type="dxa"/>
            <w:shd w:val="clear" w:color="auto" w:fill="auto"/>
            <w:tcMar>
              <w:top w:w="100" w:type="dxa"/>
              <w:left w:w="100" w:type="dxa"/>
              <w:bottom w:w="100" w:type="dxa"/>
              <w:right w:w="100" w:type="dxa"/>
            </w:tcMar>
          </w:tcPr>
          <w:p w:rsidR="005439EF" w:rsidRPr="00EE01B5" w:rsidP="00AD6FEC" w14:paraId="2DE267B5" w14:textId="53402A28">
            <w:pPr>
              <w:rPr>
                <w:sz w:val="22"/>
                <w:szCs w:val="22"/>
              </w:rPr>
            </w:pPr>
            <w:r w:rsidRPr="00EE01B5">
              <w:rPr>
                <w:sz w:val="22"/>
                <w:szCs w:val="22"/>
              </w:rPr>
              <w:t xml:space="preserve">Vessels may not fish in a monitoring area if the EM system designed for monitoring areas is not functioning properly, as determined by captain inspection, pre-trip system test, notification from vendor about poor or missing video, or other indications. </w:t>
            </w:r>
          </w:p>
        </w:tc>
      </w:tr>
      <w:tr w14:paraId="710327C4" w14:textId="77777777" w:rsidTr="00AD6FEC">
        <w:tblPrEx>
          <w:tblW w:w="9360" w:type="dxa"/>
          <w:tblLayout w:type="fixed"/>
          <w:tblLook w:val="0600"/>
        </w:tblPrEx>
        <w:tc>
          <w:tcPr>
            <w:tcW w:w="9360" w:type="dxa"/>
            <w:shd w:val="clear" w:color="auto" w:fill="auto"/>
            <w:tcMar>
              <w:top w:w="100" w:type="dxa"/>
              <w:left w:w="100" w:type="dxa"/>
              <w:bottom w:w="100" w:type="dxa"/>
              <w:right w:w="100" w:type="dxa"/>
            </w:tcMar>
          </w:tcPr>
          <w:p w:rsidR="005439EF" w:rsidRPr="00EE01B5" w:rsidP="00AD6FEC" w14:paraId="6E168542" w14:textId="77777777">
            <w:pPr>
              <w:rPr>
                <w:sz w:val="22"/>
                <w:szCs w:val="22"/>
              </w:rPr>
            </w:pPr>
            <w:r w:rsidRPr="00EE01B5">
              <w:rPr>
                <w:sz w:val="22"/>
                <w:szCs w:val="22"/>
              </w:rPr>
              <w:t>Vessels must abide by the relevant EM requirements triggered by the gear or location.</w:t>
            </w:r>
            <w:r w:rsidRPr="00EE01B5">
              <w:t xml:space="preserve"> </w:t>
            </w:r>
            <w:r w:rsidRPr="00EE01B5">
              <w:rPr>
                <w:sz w:val="22"/>
                <w:szCs w:val="22"/>
              </w:rPr>
              <w:t>Requirements in current 50 CFR 635.9 on EM system components, activating EM, ensuring proper continuous functioning of the EM system, and handling of fish remain the same</w:t>
            </w:r>
          </w:p>
        </w:tc>
      </w:tr>
      <w:tr w14:paraId="67B239A3" w14:textId="77777777" w:rsidTr="00AD6FEC">
        <w:tblPrEx>
          <w:tblW w:w="9360" w:type="dxa"/>
          <w:tblLayout w:type="fixed"/>
          <w:tblLook w:val="0600"/>
        </w:tblPrEx>
        <w:tc>
          <w:tcPr>
            <w:tcW w:w="9360" w:type="dxa"/>
            <w:shd w:val="clear" w:color="auto" w:fill="auto"/>
            <w:tcMar>
              <w:top w:w="100" w:type="dxa"/>
              <w:left w:w="100" w:type="dxa"/>
              <w:bottom w:w="100" w:type="dxa"/>
              <w:right w:w="100" w:type="dxa"/>
            </w:tcMar>
          </w:tcPr>
          <w:p w:rsidR="005439EF" w:rsidRPr="00EE01B5" w:rsidP="00AD6FEC" w14:paraId="21196E89" w14:textId="77777777">
            <w:pPr>
              <w:widowControl w:val="0"/>
              <w:rPr>
                <w:b/>
                <w:sz w:val="22"/>
                <w:szCs w:val="22"/>
              </w:rPr>
            </w:pPr>
            <w:r w:rsidRPr="00EE01B5">
              <w:rPr>
                <w:b/>
                <w:sz w:val="22"/>
                <w:szCs w:val="22"/>
              </w:rPr>
              <w:t>Reporting</w:t>
            </w:r>
          </w:p>
        </w:tc>
      </w:tr>
      <w:tr w14:paraId="06E80E19" w14:textId="77777777" w:rsidTr="00AD6FEC">
        <w:tblPrEx>
          <w:tblW w:w="9360" w:type="dxa"/>
          <w:tblLayout w:type="fixed"/>
          <w:tblLook w:val="0600"/>
        </w:tblPrEx>
        <w:tc>
          <w:tcPr>
            <w:tcW w:w="9360" w:type="dxa"/>
            <w:shd w:val="clear" w:color="auto" w:fill="auto"/>
            <w:tcMar>
              <w:top w:w="100" w:type="dxa"/>
              <w:left w:w="100" w:type="dxa"/>
              <w:bottom w:w="100" w:type="dxa"/>
              <w:right w:w="100" w:type="dxa"/>
            </w:tcMar>
          </w:tcPr>
          <w:p w:rsidR="005439EF" w:rsidRPr="00EE01B5" w:rsidP="00AD6FEC" w14:paraId="3B5A0113" w14:textId="77777777">
            <w:pPr>
              <w:rPr>
                <w:sz w:val="22"/>
                <w:szCs w:val="22"/>
              </w:rPr>
            </w:pPr>
            <w:r w:rsidRPr="00EE01B5">
              <w:rPr>
                <w:sz w:val="22"/>
                <w:szCs w:val="22"/>
              </w:rPr>
              <w:t xml:space="preserve">Vessel owners and/or operators of a vessel fishing with pelagic longline gear within Monitoring Areas must report through VMS within 12 hours of the completion of each pelagic longline set: date and area of the set, number of hooks, the number of individuals of the following species that are retained, discarded dead, and discarded alive: blue marlin, white marlin, </w:t>
            </w:r>
            <w:r w:rsidRPr="00EE01B5">
              <w:rPr>
                <w:sz w:val="22"/>
                <w:szCs w:val="22"/>
              </w:rPr>
              <w:t>roundscale</w:t>
            </w:r>
            <w:r w:rsidRPr="00EE01B5">
              <w:rPr>
                <w:sz w:val="22"/>
                <w:szCs w:val="22"/>
              </w:rPr>
              <w:t xml:space="preserve"> spearfish, sailfish, leatherback sea turtles, loggerhead sea turtles, and shortfin </w:t>
            </w:r>
            <w:r w:rsidRPr="00EE01B5">
              <w:rPr>
                <w:sz w:val="22"/>
                <w:szCs w:val="22"/>
              </w:rPr>
              <w:t>mako</w:t>
            </w:r>
            <w:r w:rsidRPr="00EE01B5">
              <w:rPr>
                <w:sz w:val="22"/>
                <w:szCs w:val="22"/>
              </w:rPr>
              <w:t xml:space="preserve"> sharks.</w:t>
            </w:r>
          </w:p>
        </w:tc>
      </w:tr>
      <w:tr w14:paraId="105D1576" w14:textId="77777777" w:rsidTr="00AD6FEC">
        <w:tblPrEx>
          <w:tblW w:w="9360" w:type="dxa"/>
          <w:tblLayout w:type="fixed"/>
          <w:tblLook w:val="0600"/>
        </w:tblPrEx>
        <w:tc>
          <w:tcPr>
            <w:tcW w:w="9360" w:type="dxa"/>
            <w:shd w:val="clear" w:color="auto" w:fill="auto"/>
            <w:tcMar>
              <w:top w:w="100" w:type="dxa"/>
              <w:left w:w="100" w:type="dxa"/>
              <w:bottom w:w="100" w:type="dxa"/>
              <w:right w:w="100" w:type="dxa"/>
            </w:tcMar>
          </w:tcPr>
          <w:p w:rsidR="005439EF" w:rsidRPr="00EE01B5" w:rsidP="00AD6FEC" w14:paraId="0F71808B" w14:textId="77777777">
            <w:pPr>
              <w:rPr>
                <w:sz w:val="22"/>
                <w:szCs w:val="22"/>
              </w:rPr>
            </w:pPr>
            <w:r w:rsidRPr="00EE01B5">
              <w:rPr>
                <w:sz w:val="22"/>
                <w:szCs w:val="22"/>
              </w:rPr>
              <w:t>Vessels must also comply with other applicable notification, catch, and effort reporting requirements that may apply when fishing in Monitoring Areas.</w:t>
            </w:r>
          </w:p>
        </w:tc>
      </w:tr>
    </w:tbl>
    <w:p w:rsidR="00E564A4" w:rsidP="007432A6" w14:paraId="4EAB678D" w14:textId="20B06191">
      <w:pPr>
        <w:spacing w:after="120"/>
      </w:pPr>
    </w:p>
    <w:p w:rsidR="00DA7400" w:rsidRPr="009F4071" w:rsidP="007432A6" w14:paraId="5199C1B9" w14:textId="11CB7437">
      <w:pPr>
        <w:spacing w:after="120"/>
        <w:rPr>
          <w:i/>
        </w:rPr>
      </w:pPr>
      <w:r w:rsidRPr="009F4071">
        <w:rPr>
          <w:i/>
        </w:rPr>
        <w:t>Submission of</w:t>
      </w:r>
      <w:r w:rsidR="00C86E53">
        <w:rPr>
          <w:i/>
        </w:rPr>
        <w:t xml:space="preserve"> video data</w:t>
      </w:r>
    </w:p>
    <w:p w:rsidR="002950C4" w:rsidP="007432A6" w14:paraId="16B63363" w14:textId="56A60409">
      <w:pPr>
        <w:spacing w:after="120"/>
      </w:pPr>
      <w:r>
        <w:t>Under Amendment 15, u</w:t>
      </w:r>
      <w:r>
        <w:t xml:space="preserve">pon completion of </w:t>
      </w:r>
      <w:r w:rsidR="00AA706C">
        <w:t>every other</w:t>
      </w:r>
      <w:r>
        <w:t xml:space="preserve"> fishing trip</w:t>
      </w:r>
      <w:r w:rsidR="00AA706C">
        <w:t>,</w:t>
      </w:r>
      <w:r>
        <w:t xml:space="preserve"> the vessel operator </w:t>
      </w:r>
      <w:r>
        <w:t>would be required to</w:t>
      </w:r>
      <w:r>
        <w:t xml:space="preserve"> </w:t>
      </w:r>
      <w:r w:rsidR="00C86E53">
        <w:t xml:space="preserve">submit video data, likely as a removable hard drive, </w:t>
      </w:r>
      <w:r>
        <w:t xml:space="preserve">containing all data to </w:t>
      </w:r>
      <w:r>
        <w:t xml:space="preserve">the </w:t>
      </w:r>
      <w:r>
        <w:t xml:space="preserve">NMFS-approved </w:t>
      </w:r>
      <w:r>
        <w:t>EM service provider that they have contracted with</w:t>
      </w:r>
      <w:r>
        <w:t>.</w:t>
      </w:r>
      <w:r w:rsidR="00B1698A">
        <w:t xml:space="preserve"> </w:t>
      </w:r>
      <w:r>
        <w:t>T</w:t>
      </w:r>
      <w:r>
        <w:t xml:space="preserve">he NMFS-approved </w:t>
      </w:r>
      <w:r>
        <w:t>EM service providers</w:t>
      </w:r>
      <w:r>
        <w:t xml:space="preserve">, </w:t>
      </w:r>
      <w:r w:rsidR="007432A6">
        <w:t>with the vessel owner or operat</w:t>
      </w:r>
      <w:r>
        <w:t>ors’ input, will develop and provide a written V</w:t>
      </w:r>
      <w:r w:rsidR="00C46F33">
        <w:t>MP</w:t>
      </w:r>
      <w:r>
        <w:t>, to document the standardized procedures relating to electronic monitoring and facilitate communication of such procedures to the vessel crew.</w:t>
      </w:r>
      <w:r w:rsidR="00B1698A">
        <w:t xml:space="preserve"> </w:t>
      </w:r>
      <w:r>
        <w:t>The vessel owner or operator is responsible for ensuring that the EM system remains powered for the duration of each trip</w:t>
      </w:r>
      <w:r w:rsidR="00C46F33">
        <w:t>,</w:t>
      </w:r>
      <w:r w:rsidR="00E564A4">
        <w:t xml:space="preserve"> if required,</w:t>
      </w:r>
      <w:r>
        <w:t xml:space="preserve"> </w:t>
      </w:r>
      <w:r>
        <w:t>that cameras are cleaned routinely to ensure unobstructed views, and the EM system components are not tampered with.</w:t>
      </w:r>
    </w:p>
    <w:p w:rsidR="00AD46E9" w:rsidRPr="00DC5093" w:rsidP="00DC5093" w14:paraId="45C74336" w14:textId="7B745F5C">
      <w:bookmarkStart w:id="10" w:name="_Toc116044798"/>
    </w:p>
    <w:p w:rsidR="00326CB6" w:rsidRPr="00C85C4E" w:rsidP="00326CB6" w14:paraId="16A0DB01" w14:textId="2E8DD214">
      <w:pPr>
        <w:pStyle w:val="Heading3"/>
        <w:spacing w:before="200" w:after="200"/>
        <w:rPr>
          <w:rFonts w:ascii="Times New Roman" w:hAnsi="Times New Roman" w:cs="Times New Roman"/>
          <w:color w:val="auto"/>
        </w:rPr>
      </w:pPr>
      <w:r w:rsidRPr="00C85C4E">
        <w:rPr>
          <w:rFonts w:ascii="Times New Roman" w:hAnsi="Times New Roman" w:cs="Times New Roman"/>
          <w:b/>
          <w:color w:val="auto"/>
        </w:rPr>
        <w:t>Electronic monitoring (EM) system –</w:t>
      </w:r>
      <w:r>
        <w:rPr>
          <w:rFonts w:ascii="Times New Roman" w:hAnsi="Times New Roman" w:cs="Times New Roman"/>
          <w:b/>
          <w:color w:val="auto"/>
        </w:rPr>
        <w:t xml:space="preserve"> </w:t>
      </w:r>
      <w:r w:rsidRPr="00C85C4E">
        <w:rPr>
          <w:rFonts w:ascii="Times New Roman" w:hAnsi="Times New Roman" w:cs="Times New Roman"/>
          <w:b/>
          <w:color w:val="auto"/>
        </w:rPr>
        <w:t>Vendor Requirements</w:t>
      </w:r>
      <w:bookmarkEnd w:id="10"/>
    </w:p>
    <w:p w:rsidR="00326CB6" w:rsidP="00326CB6" w14:paraId="33FE8011" w14:textId="6E2FD7B9">
      <w:pPr>
        <w:rPr>
          <w:color w:val="000000"/>
        </w:rPr>
      </w:pPr>
      <w:r>
        <w:rPr>
          <w:color w:val="000000"/>
        </w:rPr>
        <w:t xml:space="preserve">NMFS would solicit vendors to perform the tasks included in </w:t>
      </w:r>
      <w:r w:rsidR="006D7C46">
        <w:rPr>
          <w:color w:val="000000"/>
        </w:rPr>
        <w:t>Table 4</w:t>
      </w:r>
      <w:r>
        <w:rPr>
          <w:color w:val="000000"/>
        </w:rPr>
        <w:t xml:space="preserve"> (e.g., install and maintain EM equipment; review EM video data), consistent with performance design standards. NMFS, or a NMFS-designated entity, would </w:t>
      </w:r>
      <w:r w:rsidR="00E564A4">
        <w:rPr>
          <w:color w:val="000000"/>
        </w:rPr>
        <w:t xml:space="preserve">approve </w:t>
      </w:r>
      <w:r>
        <w:rPr>
          <w:color w:val="000000"/>
        </w:rPr>
        <w:t xml:space="preserve">vendors that meet certain requirements, including meeting the technical performance standards provided in </w:t>
      </w:r>
      <w:r w:rsidRPr="006D7C46">
        <w:rPr>
          <w:color w:val="000000"/>
        </w:rPr>
        <w:t xml:space="preserve">Table </w:t>
      </w:r>
      <w:r w:rsidR="006D7C46">
        <w:rPr>
          <w:color w:val="000000"/>
        </w:rPr>
        <w:t>4</w:t>
      </w:r>
      <w:r>
        <w:rPr>
          <w:color w:val="000000"/>
        </w:rPr>
        <w:t xml:space="preserve">, and publish a list of </w:t>
      </w:r>
      <w:r w:rsidR="00E564A4">
        <w:rPr>
          <w:color w:val="000000"/>
        </w:rPr>
        <w:t xml:space="preserve">approved </w:t>
      </w:r>
      <w:r>
        <w:rPr>
          <w:color w:val="000000"/>
        </w:rPr>
        <w:t xml:space="preserve">vendors in the Federal Register, which would be made available to vessel owners. NMFS would reserve the right to </w:t>
      </w:r>
      <w:r w:rsidR="00E564A4">
        <w:rPr>
          <w:color w:val="000000"/>
        </w:rPr>
        <w:t xml:space="preserve">remove </w:t>
      </w:r>
      <w:r>
        <w:rPr>
          <w:color w:val="000000"/>
        </w:rPr>
        <w:t xml:space="preserve">vendors </w:t>
      </w:r>
      <w:r w:rsidR="00E564A4">
        <w:rPr>
          <w:color w:val="000000"/>
        </w:rPr>
        <w:t xml:space="preserve">from the approved list </w:t>
      </w:r>
      <w:r>
        <w:rPr>
          <w:color w:val="000000"/>
        </w:rPr>
        <w:t>if vendor performance standards are not being met or due to other circumstances where the vendor's services are not supporting EM management goals.</w:t>
      </w:r>
    </w:p>
    <w:p w:rsidR="00326CB6" w:rsidP="00326CB6" w14:paraId="4583E9B0" w14:textId="77777777">
      <w:pPr>
        <w:rPr>
          <w:color w:val="000000"/>
        </w:rPr>
      </w:pPr>
    </w:p>
    <w:p w:rsidR="00326CB6" w:rsidP="00326CB6" w14:paraId="70A8D2C9" w14:textId="77777777">
      <w:pPr>
        <w:rPr>
          <w:color w:val="000000"/>
        </w:rPr>
      </w:pPr>
    </w:p>
    <w:p w:rsidR="00326CB6" w:rsidP="00326CB6" w14:paraId="17AB5EA9" w14:textId="601CB64C">
      <w:pPr>
        <w:pStyle w:val="Caption"/>
        <w:rPr>
          <w:color w:val="000000"/>
        </w:rPr>
      </w:pPr>
      <w:bookmarkStart w:id="11" w:name="_Ref116044890"/>
      <w:bookmarkStart w:id="12" w:name="_Toc116044533"/>
      <w:r w:rsidRPr="006D7C46">
        <w:t xml:space="preserve">Table </w:t>
      </w:r>
      <w:bookmarkEnd w:id="11"/>
      <w:r w:rsidR="007450F6">
        <w:t>4</w:t>
      </w:r>
      <w:r w:rsidR="005E2282">
        <w:t xml:space="preserve">. </w:t>
      </w:r>
      <w:r w:rsidRPr="00215495">
        <w:rPr>
          <w:color w:val="000000"/>
        </w:rPr>
        <w:t xml:space="preserve"> </w:t>
      </w:r>
      <w:r>
        <w:rPr>
          <w:color w:val="000000"/>
        </w:rPr>
        <w:t>Vendor Technical Performance Standards</w:t>
      </w:r>
      <w:bookmarkEnd w:id="12"/>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9360"/>
      </w:tblGrid>
      <w:tr w14:paraId="148C157B" w14:textId="77777777" w:rsidTr="00AD6FEC">
        <w:tblPrEx>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Ex>
        <w:tc>
          <w:tcPr>
            <w:tcW w:w="9360" w:type="dxa"/>
            <w:shd w:val="clear" w:color="auto" w:fill="auto"/>
            <w:tcMar>
              <w:top w:w="100" w:type="dxa"/>
              <w:left w:w="100" w:type="dxa"/>
              <w:bottom w:w="100" w:type="dxa"/>
              <w:right w:w="100" w:type="dxa"/>
            </w:tcMar>
          </w:tcPr>
          <w:p w:rsidR="005439EF" w:rsidRPr="00EE01B5" w:rsidP="00AD6FEC" w14:paraId="1E574202" w14:textId="77777777">
            <w:pPr>
              <w:widowControl w:val="0"/>
              <w:pBdr>
                <w:top w:val="nil"/>
                <w:left w:val="nil"/>
                <w:bottom w:val="nil"/>
                <w:right w:val="nil"/>
                <w:between w:val="nil"/>
              </w:pBdr>
              <w:rPr>
                <w:b/>
                <w:sz w:val="22"/>
                <w:szCs w:val="22"/>
              </w:rPr>
            </w:pPr>
            <w:r w:rsidRPr="00EE01B5">
              <w:rPr>
                <w:b/>
                <w:sz w:val="22"/>
                <w:szCs w:val="22"/>
              </w:rPr>
              <w:t>Technical ability and capacity</w:t>
            </w:r>
          </w:p>
        </w:tc>
      </w:tr>
      <w:tr w14:paraId="4C5EF3E7" w14:textId="77777777" w:rsidTr="00AD6FEC">
        <w:tblPrEx>
          <w:tblW w:w="9360" w:type="dxa"/>
          <w:tblLayout w:type="fixed"/>
          <w:tblLook w:val="0600"/>
        </w:tblPrEx>
        <w:tc>
          <w:tcPr>
            <w:tcW w:w="9360" w:type="dxa"/>
            <w:shd w:val="clear" w:color="auto" w:fill="auto"/>
            <w:tcMar>
              <w:top w:w="100" w:type="dxa"/>
              <w:left w:w="100" w:type="dxa"/>
              <w:bottom w:w="100" w:type="dxa"/>
              <w:right w:w="100" w:type="dxa"/>
            </w:tcMar>
          </w:tcPr>
          <w:p w:rsidR="005439EF" w:rsidRPr="00EE01B5" w:rsidP="00AD6FEC" w14:paraId="5D20BF7D" w14:textId="77777777">
            <w:pPr>
              <w:rPr>
                <w:sz w:val="22"/>
                <w:szCs w:val="22"/>
              </w:rPr>
            </w:pPr>
            <w:r w:rsidRPr="00EE01B5">
              <w:rPr>
                <w:sz w:val="22"/>
                <w:szCs w:val="22"/>
              </w:rPr>
              <w:t>Vendor must install and maintain EM equipment; receive and access video data; store video and metadata for length of time required under performance standards; and identify species in performance standard list.</w:t>
            </w:r>
          </w:p>
        </w:tc>
      </w:tr>
      <w:tr w14:paraId="6578B977" w14:textId="77777777" w:rsidTr="00AD6FEC">
        <w:tblPrEx>
          <w:tblW w:w="9360" w:type="dxa"/>
          <w:tblLayout w:type="fixed"/>
          <w:tblLook w:val="0600"/>
        </w:tblPrEx>
        <w:tc>
          <w:tcPr>
            <w:tcW w:w="9360" w:type="dxa"/>
            <w:shd w:val="clear" w:color="auto" w:fill="auto"/>
            <w:tcMar>
              <w:top w:w="100" w:type="dxa"/>
              <w:left w:w="100" w:type="dxa"/>
              <w:bottom w:w="100" w:type="dxa"/>
              <w:right w:w="100" w:type="dxa"/>
            </w:tcMar>
          </w:tcPr>
          <w:p w:rsidR="005439EF" w:rsidRPr="00EE01B5" w:rsidP="00AD6FEC" w14:paraId="71BFC86C" w14:textId="77777777">
            <w:pPr>
              <w:widowControl w:val="0"/>
              <w:pBdr>
                <w:top w:val="nil"/>
                <w:left w:val="nil"/>
                <w:bottom w:val="nil"/>
                <w:right w:val="nil"/>
                <w:between w:val="nil"/>
              </w:pBdr>
              <w:rPr>
                <w:b/>
                <w:sz w:val="22"/>
                <w:szCs w:val="22"/>
              </w:rPr>
            </w:pPr>
            <w:r w:rsidRPr="00EE01B5">
              <w:rPr>
                <w:b/>
                <w:sz w:val="22"/>
                <w:szCs w:val="22"/>
              </w:rPr>
              <w:t>Video Review</w:t>
            </w:r>
          </w:p>
        </w:tc>
      </w:tr>
      <w:tr w14:paraId="5750CF6A" w14:textId="77777777" w:rsidTr="00AD6FEC">
        <w:tblPrEx>
          <w:tblW w:w="9360" w:type="dxa"/>
          <w:tblLayout w:type="fixed"/>
          <w:tblLook w:val="0600"/>
        </w:tblPrEx>
        <w:tc>
          <w:tcPr>
            <w:tcW w:w="9360" w:type="dxa"/>
            <w:shd w:val="clear" w:color="auto" w:fill="auto"/>
            <w:tcMar>
              <w:top w:w="100" w:type="dxa"/>
              <w:left w:w="100" w:type="dxa"/>
              <w:bottom w:w="100" w:type="dxa"/>
              <w:right w:w="100" w:type="dxa"/>
            </w:tcMar>
          </w:tcPr>
          <w:p w:rsidR="005439EF" w:rsidRPr="00EE01B5" w:rsidP="00AD6FEC" w14:paraId="636FE92A" w14:textId="77777777">
            <w:pPr>
              <w:rPr>
                <w:sz w:val="22"/>
                <w:szCs w:val="22"/>
              </w:rPr>
            </w:pPr>
            <w:r w:rsidRPr="00EE01B5">
              <w:rPr>
                <w:sz w:val="22"/>
                <w:szCs w:val="22"/>
              </w:rPr>
              <w:t xml:space="preserve">At the end of each quarter, vendors must review 50% of the sets submitted (randomly selected) and at least one set from each vessel that fished in Monitoring Areas. Vendor must review sets in time to meet the deadline for quarterly report requirements detailed below. </w:t>
            </w:r>
          </w:p>
        </w:tc>
      </w:tr>
      <w:tr w14:paraId="64A60DBD" w14:textId="77777777" w:rsidTr="00AD6FEC">
        <w:tblPrEx>
          <w:tblW w:w="9360" w:type="dxa"/>
          <w:tblLayout w:type="fixed"/>
          <w:tblLook w:val="0600"/>
        </w:tblPrEx>
        <w:tc>
          <w:tcPr>
            <w:tcW w:w="9360" w:type="dxa"/>
            <w:shd w:val="clear" w:color="auto" w:fill="auto"/>
            <w:tcMar>
              <w:top w:w="100" w:type="dxa"/>
              <w:left w:w="100" w:type="dxa"/>
              <w:bottom w:w="100" w:type="dxa"/>
              <w:right w:w="100" w:type="dxa"/>
            </w:tcMar>
          </w:tcPr>
          <w:p w:rsidR="005439EF" w:rsidRPr="00EE01B5" w:rsidP="00AD6FEC" w14:paraId="52320992" w14:textId="77777777">
            <w:pPr>
              <w:rPr>
                <w:sz w:val="22"/>
                <w:szCs w:val="22"/>
              </w:rPr>
            </w:pPr>
            <w:r w:rsidRPr="00EE01B5">
              <w:rPr>
                <w:sz w:val="22"/>
                <w:szCs w:val="22"/>
              </w:rPr>
              <w:t>Video must be reviewed by competent staff trained in species identification and data processing and handling procedures. The EM vendor is responsible for training, and maintaining the skills of, staff who carry out EM field and data services.</w:t>
            </w:r>
          </w:p>
        </w:tc>
      </w:tr>
      <w:tr w14:paraId="68D5174E" w14:textId="77777777" w:rsidTr="00AD6FEC">
        <w:tblPrEx>
          <w:tblW w:w="9360" w:type="dxa"/>
          <w:tblLayout w:type="fixed"/>
          <w:tblLook w:val="0600"/>
        </w:tblPrEx>
        <w:tc>
          <w:tcPr>
            <w:tcW w:w="9360" w:type="dxa"/>
            <w:shd w:val="clear" w:color="auto" w:fill="auto"/>
            <w:tcMar>
              <w:top w:w="100" w:type="dxa"/>
              <w:left w:w="100" w:type="dxa"/>
              <w:bottom w:w="100" w:type="dxa"/>
              <w:right w:w="100" w:type="dxa"/>
            </w:tcMar>
          </w:tcPr>
          <w:p w:rsidR="005439EF" w:rsidRPr="00EE01B5" w:rsidP="00AD6FEC" w14:paraId="5169F47C" w14:textId="77777777">
            <w:pPr>
              <w:rPr>
                <w:sz w:val="22"/>
                <w:szCs w:val="22"/>
              </w:rPr>
            </w:pPr>
            <w:r w:rsidRPr="00EE01B5">
              <w:rPr>
                <w:sz w:val="22"/>
                <w:szCs w:val="22"/>
              </w:rPr>
              <w:t>Must agree to additional video review at the request of NMFS to verify catch reports, and agree to provide information that NMFS needs for other conservation and management purposes, including regulatory enforcement.</w:t>
            </w:r>
          </w:p>
        </w:tc>
      </w:tr>
      <w:tr w14:paraId="64A95FA7" w14:textId="77777777" w:rsidTr="00AD6FEC">
        <w:tblPrEx>
          <w:tblW w:w="9360" w:type="dxa"/>
          <w:tblLayout w:type="fixed"/>
          <w:tblLook w:val="0600"/>
        </w:tblPrEx>
        <w:tc>
          <w:tcPr>
            <w:tcW w:w="9360" w:type="dxa"/>
            <w:shd w:val="clear" w:color="auto" w:fill="auto"/>
            <w:tcMar>
              <w:top w:w="100" w:type="dxa"/>
              <w:left w:w="100" w:type="dxa"/>
              <w:bottom w:w="100" w:type="dxa"/>
              <w:right w:w="100" w:type="dxa"/>
            </w:tcMar>
          </w:tcPr>
          <w:p w:rsidR="005439EF" w:rsidRPr="00EE01B5" w:rsidP="00AD6FEC" w14:paraId="51EBF881" w14:textId="77777777">
            <w:pPr>
              <w:widowControl w:val="0"/>
              <w:pBdr>
                <w:top w:val="nil"/>
                <w:left w:val="nil"/>
                <w:bottom w:val="nil"/>
                <w:right w:val="nil"/>
                <w:between w:val="nil"/>
              </w:pBdr>
              <w:rPr>
                <w:b/>
                <w:sz w:val="22"/>
                <w:szCs w:val="22"/>
              </w:rPr>
            </w:pPr>
            <w:r w:rsidRPr="00EE01B5">
              <w:rPr>
                <w:b/>
                <w:sz w:val="22"/>
                <w:szCs w:val="22"/>
              </w:rPr>
              <w:t>Work with vessel owners</w:t>
            </w:r>
          </w:p>
        </w:tc>
      </w:tr>
      <w:tr w14:paraId="0DD3B1CC" w14:textId="77777777" w:rsidTr="00AD6FEC">
        <w:tblPrEx>
          <w:tblW w:w="9360" w:type="dxa"/>
          <w:tblLayout w:type="fixed"/>
          <w:tblLook w:val="0600"/>
        </w:tblPrEx>
        <w:tc>
          <w:tcPr>
            <w:tcW w:w="9360" w:type="dxa"/>
            <w:shd w:val="clear" w:color="auto" w:fill="auto"/>
            <w:tcMar>
              <w:top w:w="100" w:type="dxa"/>
              <w:left w:w="100" w:type="dxa"/>
              <w:bottom w:w="100" w:type="dxa"/>
              <w:right w:w="100" w:type="dxa"/>
            </w:tcMar>
          </w:tcPr>
          <w:p w:rsidR="005439EF" w:rsidRPr="00EE01B5" w:rsidP="00AD6FEC" w14:paraId="50C76DFF" w14:textId="77777777">
            <w:pPr>
              <w:rPr>
                <w:sz w:val="22"/>
                <w:szCs w:val="22"/>
              </w:rPr>
            </w:pPr>
            <w:r w:rsidRPr="00EE01B5">
              <w:rPr>
                <w:sz w:val="22"/>
                <w:szCs w:val="22"/>
              </w:rPr>
              <w:t>Must assist with the development of a VMP for each vessel, as detailed in the VMP section.</w:t>
            </w:r>
          </w:p>
        </w:tc>
      </w:tr>
      <w:tr w14:paraId="19B19987" w14:textId="77777777" w:rsidTr="00AD6FEC">
        <w:tblPrEx>
          <w:tblW w:w="9360" w:type="dxa"/>
          <w:tblLayout w:type="fixed"/>
          <w:tblLook w:val="0600"/>
        </w:tblPrEx>
        <w:tc>
          <w:tcPr>
            <w:tcW w:w="9360" w:type="dxa"/>
            <w:shd w:val="clear" w:color="auto" w:fill="auto"/>
            <w:tcMar>
              <w:top w:w="100" w:type="dxa"/>
              <w:left w:w="100" w:type="dxa"/>
              <w:bottom w:w="100" w:type="dxa"/>
              <w:right w:w="100" w:type="dxa"/>
            </w:tcMar>
          </w:tcPr>
          <w:p w:rsidR="005439EF" w:rsidRPr="00EE01B5" w:rsidP="00AD6FEC" w14:paraId="0D5890A4" w14:textId="77777777">
            <w:pPr>
              <w:widowControl w:val="0"/>
              <w:pBdr>
                <w:top w:val="nil"/>
                <w:left w:val="nil"/>
                <w:bottom w:val="nil"/>
                <w:right w:val="nil"/>
                <w:between w:val="nil"/>
              </w:pBdr>
              <w:rPr>
                <w:b/>
                <w:sz w:val="22"/>
                <w:szCs w:val="22"/>
              </w:rPr>
            </w:pPr>
            <w:r w:rsidRPr="00EE01B5">
              <w:rPr>
                <w:b/>
                <w:sz w:val="22"/>
                <w:szCs w:val="22"/>
              </w:rPr>
              <w:t>Data integrity and storage</w:t>
            </w:r>
          </w:p>
        </w:tc>
      </w:tr>
      <w:tr w14:paraId="4F4F2342" w14:textId="77777777" w:rsidTr="00AD6FEC">
        <w:tblPrEx>
          <w:tblW w:w="9360" w:type="dxa"/>
          <w:tblLayout w:type="fixed"/>
          <w:tblLook w:val="0600"/>
        </w:tblPrEx>
        <w:tc>
          <w:tcPr>
            <w:tcW w:w="9360" w:type="dxa"/>
            <w:shd w:val="clear" w:color="auto" w:fill="auto"/>
            <w:tcMar>
              <w:top w:w="100" w:type="dxa"/>
              <w:left w:w="100" w:type="dxa"/>
              <w:bottom w:w="100" w:type="dxa"/>
              <w:right w:w="100" w:type="dxa"/>
            </w:tcMar>
          </w:tcPr>
          <w:p w:rsidR="005439EF" w:rsidRPr="00EE01B5" w:rsidP="00AD6FEC" w14:paraId="4D5BA17D" w14:textId="77777777">
            <w:pPr>
              <w:rPr>
                <w:sz w:val="22"/>
                <w:szCs w:val="22"/>
              </w:rPr>
            </w:pPr>
            <w:r w:rsidRPr="00EE01B5">
              <w:rPr>
                <w:sz w:val="22"/>
                <w:szCs w:val="22"/>
              </w:rPr>
              <w:t>Must store and archive video and metadata for 2 years after the date received.</w:t>
            </w:r>
          </w:p>
        </w:tc>
      </w:tr>
      <w:tr w14:paraId="2193064E" w14:textId="77777777" w:rsidTr="00AD6FEC">
        <w:tblPrEx>
          <w:tblW w:w="9360" w:type="dxa"/>
          <w:tblLayout w:type="fixed"/>
          <w:tblLook w:val="0600"/>
        </w:tblPrEx>
        <w:tc>
          <w:tcPr>
            <w:tcW w:w="9360" w:type="dxa"/>
            <w:shd w:val="clear" w:color="auto" w:fill="auto"/>
            <w:tcMar>
              <w:top w:w="100" w:type="dxa"/>
              <w:left w:w="100" w:type="dxa"/>
              <w:bottom w:w="100" w:type="dxa"/>
              <w:right w:w="100" w:type="dxa"/>
            </w:tcMar>
          </w:tcPr>
          <w:p w:rsidR="005439EF" w:rsidRPr="00EE01B5" w:rsidP="00AD6FEC" w14:paraId="2A087591" w14:textId="77777777">
            <w:pPr>
              <w:widowControl w:val="0"/>
              <w:pBdr>
                <w:top w:val="nil"/>
                <w:left w:val="nil"/>
                <w:bottom w:val="nil"/>
                <w:right w:val="nil"/>
                <w:between w:val="nil"/>
              </w:pBdr>
              <w:rPr>
                <w:b/>
                <w:sz w:val="22"/>
                <w:szCs w:val="22"/>
              </w:rPr>
            </w:pPr>
            <w:r w:rsidRPr="00EE01B5">
              <w:rPr>
                <w:b/>
                <w:sz w:val="22"/>
                <w:szCs w:val="22"/>
              </w:rPr>
              <w:t>Communication with NMFS</w:t>
            </w:r>
          </w:p>
        </w:tc>
      </w:tr>
      <w:tr w14:paraId="472095E2" w14:textId="77777777" w:rsidTr="00AD6FEC">
        <w:tblPrEx>
          <w:tblW w:w="9360" w:type="dxa"/>
          <w:tblLayout w:type="fixed"/>
          <w:tblLook w:val="0600"/>
        </w:tblPrEx>
        <w:tc>
          <w:tcPr>
            <w:tcW w:w="9360" w:type="dxa"/>
            <w:shd w:val="clear" w:color="auto" w:fill="auto"/>
            <w:tcMar>
              <w:top w:w="100" w:type="dxa"/>
              <w:left w:w="100" w:type="dxa"/>
              <w:bottom w:w="100" w:type="dxa"/>
              <w:right w:w="100" w:type="dxa"/>
            </w:tcMar>
          </w:tcPr>
          <w:p w:rsidR="005439EF" w:rsidRPr="00EE01B5" w:rsidP="00AD6FEC" w14:paraId="2065B4E1" w14:textId="77777777">
            <w:pPr>
              <w:rPr>
                <w:sz w:val="22"/>
                <w:szCs w:val="22"/>
              </w:rPr>
            </w:pPr>
            <w:r w:rsidRPr="00EE01B5">
              <w:rPr>
                <w:sz w:val="22"/>
                <w:szCs w:val="22"/>
              </w:rPr>
              <w:t>Must submit reports to NMFS within 3 months of the end of each quarter that must include the following information:</w:t>
            </w:r>
          </w:p>
          <w:p w:rsidR="005439EF" w:rsidRPr="00EE01B5" w:rsidP="005439EF" w14:paraId="78D8EDB5" w14:textId="77777777">
            <w:pPr>
              <w:numPr>
                <w:ilvl w:val="0"/>
                <w:numId w:val="13"/>
              </w:numPr>
              <w:ind w:left="612" w:hanging="270"/>
              <w:rPr>
                <w:sz w:val="22"/>
                <w:szCs w:val="22"/>
              </w:rPr>
            </w:pPr>
            <w:r w:rsidRPr="00EE01B5">
              <w:rPr>
                <w:sz w:val="22"/>
                <w:szCs w:val="22"/>
              </w:rPr>
              <w:t>List of vessels, trips, and sets submitted for review.</w:t>
            </w:r>
          </w:p>
          <w:p w:rsidR="005439EF" w:rsidRPr="00EE01B5" w:rsidP="005439EF" w14:paraId="35242E05" w14:textId="77777777">
            <w:pPr>
              <w:numPr>
                <w:ilvl w:val="0"/>
                <w:numId w:val="13"/>
              </w:numPr>
              <w:ind w:left="612" w:hanging="270"/>
              <w:rPr>
                <w:sz w:val="22"/>
                <w:szCs w:val="22"/>
              </w:rPr>
            </w:pPr>
            <w:r w:rsidRPr="00EE01B5">
              <w:rPr>
                <w:sz w:val="22"/>
                <w:szCs w:val="22"/>
              </w:rPr>
              <w:t>List of vessels that did not submit any trips or sets for review</w:t>
            </w:r>
          </w:p>
          <w:p w:rsidR="005439EF" w:rsidRPr="00EE01B5" w:rsidP="005439EF" w14:paraId="480633A2" w14:textId="77777777">
            <w:pPr>
              <w:numPr>
                <w:ilvl w:val="0"/>
                <w:numId w:val="13"/>
              </w:numPr>
              <w:ind w:left="612" w:hanging="270"/>
              <w:rPr>
                <w:sz w:val="22"/>
                <w:szCs w:val="22"/>
              </w:rPr>
            </w:pPr>
            <w:r w:rsidRPr="00EE01B5">
              <w:rPr>
                <w:sz w:val="22"/>
                <w:szCs w:val="22"/>
              </w:rPr>
              <w:t>Location, date, and time of all sets submitted for review.</w:t>
            </w:r>
          </w:p>
          <w:p w:rsidR="005439EF" w:rsidRPr="00EE01B5" w:rsidP="005439EF" w14:paraId="30F7A212" w14:textId="77777777">
            <w:pPr>
              <w:numPr>
                <w:ilvl w:val="0"/>
                <w:numId w:val="13"/>
              </w:numPr>
              <w:ind w:left="612" w:hanging="270"/>
              <w:rPr>
                <w:sz w:val="22"/>
                <w:szCs w:val="22"/>
              </w:rPr>
            </w:pPr>
            <w:r w:rsidRPr="00EE01B5">
              <w:rPr>
                <w:sz w:val="22"/>
                <w:szCs w:val="22"/>
              </w:rPr>
              <w:t>Identification of sets reviewed.</w:t>
            </w:r>
          </w:p>
          <w:p w:rsidR="005439EF" w:rsidRPr="00EE01B5" w:rsidP="005439EF" w14:paraId="27116CAD" w14:textId="77777777">
            <w:pPr>
              <w:numPr>
                <w:ilvl w:val="0"/>
                <w:numId w:val="13"/>
              </w:numPr>
              <w:ind w:left="612" w:hanging="270"/>
              <w:rPr>
                <w:sz w:val="22"/>
                <w:szCs w:val="22"/>
              </w:rPr>
            </w:pPr>
            <w:r w:rsidRPr="00EE01B5">
              <w:rPr>
                <w:sz w:val="22"/>
                <w:szCs w:val="22"/>
              </w:rPr>
              <w:t xml:space="preserve">Species caught and amounts (retained and discarded) from sets reviewed and disposition (dead or alive) of catch that is discarded. </w:t>
            </w:r>
          </w:p>
          <w:p w:rsidR="005439EF" w:rsidRPr="00EE01B5" w:rsidP="005439EF" w14:paraId="6282DE0C" w14:textId="77777777">
            <w:pPr>
              <w:numPr>
                <w:ilvl w:val="0"/>
                <w:numId w:val="13"/>
              </w:numPr>
              <w:ind w:left="612" w:hanging="270"/>
              <w:rPr>
                <w:sz w:val="22"/>
                <w:szCs w:val="22"/>
              </w:rPr>
            </w:pPr>
            <w:r w:rsidRPr="00EE01B5">
              <w:rPr>
                <w:sz w:val="22"/>
                <w:szCs w:val="22"/>
              </w:rPr>
              <w:t>Information of technical difficulties including poor video, no video, unreviewable video, misaligned camera angles and any other issues that prevent effective video review of catch.</w:t>
            </w:r>
          </w:p>
          <w:p w:rsidR="005439EF" w:rsidRPr="00EE01B5" w:rsidP="005439EF" w14:paraId="518D4AD9" w14:textId="77777777">
            <w:pPr>
              <w:numPr>
                <w:ilvl w:val="0"/>
                <w:numId w:val="13"/>
              </w:numPr>
              <w:ind w:left="612" w:hanging="270"/>
              <w:rPr>
                <w:sz w:val="22"/>
                <w:szCs w:val="22"/>
              </w:rPr>
            </w:pPr>
            <w:r w:rsidRPr="00EE01B5">
              <w:rPr>
                <w:sz w:val="22"/>
                <w:szCs w:val="22"/>
              </w:rPr>
              <w:t>Information on how technical difficulties were addressed on the vessel and during the video review process.</w:t>
            </w:r>
          </w:p>
          <w:p w:rsidR="005439EF" w:rsidRPr="00EE01B5" w:rsidP="005439EF" w14:paraId="347D5487" w14:textId="77777777">
            <w:pPr>
              <w:numPr>
                <w:ilvl w:val="0"/>
                <w:numId w:val="13"/>
              </w:numPr>
              <w:ind w:left="612" w:hanging="270"/>
              <w:rPr>
                <w:sz w:val="22"/>
                <w:szCs w:val="22"/>
              </w:rPr>
            </w:pPr>
            <w:r w:rsidRPr="00EE01B5">
              <w:rPr>
                <w:sz w:val="22"/>
                <w:szCs w:val="22"/>
              </w:rPr>
              <w:t>Metadata from all submitted trips and sets must accompany quarterly reports.</w:t>
            </w:r>
          </w:p>
        </w:tc>
      </w:tr>
      <w:tr w14:paraId="7EE8E4B0" w14:textId="77777777" w:rsidTr="00AD6FEC">
        <w:tblPrEx>
          <w:tblW w:w="9360" w:type="dxa"/>
          <w:tblLayout w:type="fixed"/>
          <w:tblLook w:val="0600"/>
        </w:tblPrEx>
        <w:tc>
          <w:tcPr>
            <w:tcW w:w="9360" w:type="dxa"/>
            <w:shd w:val="clear" w:color="auto" w:fill="auto"/>
            <w:tcMar>
              <w:top w:w="100" w:type="dxa"/>
              <w:left w:w="100" w:type="dxa"/>
              <w:bottom w:w="100" w:type="dxa"/>
              <w:right w:w="100" w:type="dxa"/>
            </w:tcMar>
          </w:tcPr>
          <w:p w:rsidR="005439EF" w:rsidRPr="00EE01B5" w:rsidP="00AD6FEC" w14:paraId="4822ECF2" w14:textId="77777777">
            <w:pPr>
              <w:rPr>
                <w:sz w:val="22"/>
                <w:szCs w:val="22"/>
              </w:rPr>
            </w:pPr>
            <w:r w:rsidRPr="00EE01B5">
              <w:rPr>
                <w:sz w:val="22"/>
                <w:szCs w:val="22"/>
              </w:rPr>
              <w:t>Must promptly notify NMFS of any other issues (e.g., inability to obtain hard drives from a vessel) that may prevent proper functioning of the EM program</w:t>
            </w:r>
            <w:r>
              <w:rPr>
                <w:sz w:val="22"/>
                <w:szCs w:val="22"/>
              </w:rPr>
              <w:t xml:space="preserve"> in monitoring area</w:t>
            </w:r>
            <w:r w:rsidRPr="00EE01B5">
              <w:rPr>
                <w:sz w:val="22"/>
                <w:szCs w:val="22"/>
              </w:rPr>
              <w:t>.</w:t>
            </w:r>
          </w:p>
        </w:tc>
      </w:tr>
    </w:tbl>
    <w:p w:rsidR="00E564A4" w:rsidP="0020154D" w14:paraId="488A7945" w14:textId="035B28FB"/>
    <w:p w:rsidR="00E564A4" w:rsidRPr="0020154D" w:rsidP="0020154D" w14:paraId="5B3FE1A6" w14:textId="77777777"/>
    <w:p w:rsidR="00634AA8" w:rsidP="007432A6" w14:paraId="722659D4" w14:textId="45966A06">
      <w:pPr>
        <w:spacing w:after="120"/>
        <w:rPr>
          <w:szCs w:val="24"/>
        </w:rPr>
      </w:pPr>
      <w:r>
        <w:t xml:space="preserve">The information in this collection </w:t>
      </w:r>
      <w:r w:rsidR="00487C0B">
        <w:t>could</w:t>
      </w:r>
      <w:r>
        <w:t xml:space="preserve"> be used to </w:t>
      </w:r>
      <w:r>
        <w:t xml:space="preserve">calculate publicly disseminated information such as overall estimates of </w:t>
      </w:r>
      <w:r w:rsidR="00183913">
        <w:t>catch within monitoring areas</w:t>
      </w:r>
      <w:r>
        <w:t>.</w:t>
      </w:r>
      <w:r w:rsidR="00B1698A">
        <w:t xml:space="preserve"> </w:t>
      </w:r>
      <w:r>
        <w:t xml:space="preserve">See responses in Question 10 of this </w:t>
      </w:r>
      <w:r>
        <w:t xml:space="preserve">Supporting Statement on confidentiality </w:t>
      </w:r>
      <w:r w:rsidR="00877DC1">
        <w:t xml:space="preserve">and privacy </w:t>
      </w:r>
      <w:r>
        <w:t>and Question 16 for more information on data dissemination and use.</w:t>
      </w:r>
      <w:r w:rsidR="00B1698A">
        <w:t xml:space="preserve"> </w:t>
      </w:r>
      <w:r>
        <w:t xml:space="preserve">NMFS </w:t>
      </w:r>
      <w:r w:rsidR="0056276D">
        <w:t xml:space="preserve">will </w:t>
      </w:r>
      <w:r>
        <w:t xml:space="preserve">retain control over personal information and pecuniary business information and safeguard </w:t>
      </w:r>
      <w:r w:rsidR="00877DC1">
        <w:t>it from improper access and use consistent with legal requirements and NOAA policy for confidentiality, privacy, and electronic information.</w:t>
      </w:r>
      <w:r w:rsidR="00B1698A">
        <w:t xml:space="preserve"> </w:t>
      </w:r>
      <w:r w:rsidRPr="001C5432" w:rsidR="006D7C46">
        <w:rPr>
          <w:szCs w:val="24"/>
        </w:rPr>
        <w:t xml:space="preserve">For the information in the control of third party service providers, NMFS will monitor their compliance with the regulations that require they maintain the integrity, security, and confidentiality of the information consistent with the requirements of the Magnuson-Stevens Act. </w:t>
      </w:r>
      <w:r w:rsidR="00877DC1">
        <w:t>The information collection is designed to yield data that meet all information quality guidelines.</w:t>
      </w:r>
      <w:r w:rsidR="00B1698A">
        <w:t xml:space="preserve"> </w:t>
      </w:r>
      <w:r w:rsidR="00877DC1">
        <w:t>Prior to dissemination, the information w</w:t>
      </w:r>
      <w:r w:rsidR="00487C0B">
        <w:t>ould</w:t>
      </w:r>
      <w:r w:rsidR="00877DC1">
        <w:t xml:space="preserve"> be subjected to quality control measures and a pre-dissemination review</w:t>
      </w:r>
      <w:r w:rsidR="00C54EC6">
        <w:t xml:space="preserve"> </w:t>
      </w:r>
      <w:r w:rsidRPr="00C54EC6" w:rsidR="00C54EC6">
        <w:rPr>
          <w:szCs w:val="24"/>
        </w:rPr>
        <w:t xml:space="preserve">pursuant to </w:t>
      </w:r>
      <w:hyperlink r:id="rId7" w:history="1">
        <w:r w:rsidRPr="00C54EC6" w:rsidR="00C54EC6">
          <w:rPr>
            <w:rStyle w:val="Hyperlink"/>
            <w:szCs w:val="24"/>
          </w:rPr>
          <w:t>Section 515 of Public Law 106-554</w:t>
        </w:r>
      </w:hyperlink>
      <w:r w:rsidRPr="00C54EC6" w:rsidR="00877DC1">
        <w:rPr>
          <w:szCs w:val="24"/>
        </w:rPr>
        <w:t>.</w:t>
      </w:r>
    </w:p>
    <w:p w:rsidR="003F389D" w:rsidRPr="00BD7237" w:rsidP="003F389D" w14:paraId="4F8E7AFC" w14:textId="77777777">
      <w:pPr>
        <w:pStyle w:val="ListParagraph"/>
        <w:widowControl w:val="0"/>
        <w:tabs>
          <w:tab w:val="left" w:pos="360"/>
        </w:tabs>
        <w:autoSpaceDE w:val="0"/>
        <w:autoSpaceDN w:val="0"/>
        <w:spacing w:before="199"/>
        <w:ind w:left="0"/>
        <w:contextualSpacing w:val="0"/>
        <w:rPr>
          <w:b/>
          <w:szCs w:val="24"/>
        </w:rPr>
      </w:pPr>
      <w:r>
        <w:rPr>
          <w:b/>
        </w:rPr>
        <w:t>3.</w:t>
      </w:r>
      <w:r w:rsidR="00B1698A">
        <w:rPr>
          <w:b/>
        </w:rPr>
        <w:t xml:space="preserve"> </w:t>
      </w:r>
      <w:r w:rsidRPr="00BD7237">
        <w:rPr>
          <w:b/>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w:t>
      </w:r>
      <w:r w:rsidRPr="00BD7237">
        <w:rPr>
          <w:b/>
          <w:spacing w:val="-6"/>
          <w:szCs w:val="24"/>
        </w:rPr>
        <w:t xml:space="preserve"> </w:t>
      </w:r>
      <w:r w:rsidRPr="00BD7237">
        <w:rPr>
          <w:b/>
          <w:szCs w:val="24"/>
        </w:rPr>
        <w:t>burden.</w:t>
      </w:r>
    </w:p>
    <w:p w:rsidR="00326CB6" w:rsidP="007432A6" w14:paraId="61AF2C4E" w14:textId="77777777">
      <w:pPr>
        <w:spacing w:after="120"/>
        <w:rPr>
          <w:b/>
        </w:rPr>
      </w:pPr>
    </w:p>
    <w:p w:rsidR="00B1197B" w:rsidP="007432A6" w14:paraId="76133FFC" w14:textId="292AB55F">
      <w:pPr>
        <w:spacing w:after="120"/>
      </w:pPr>
      <w:r>
        <w:t>E</w:t>
      </w:r>
      <w:r w:rsidR="00300B44">
        <w:t>M</w:t>
      </w:r>
      <w:r w:rsidR="00FE44BD">
        <w:t xml:space="preserve"> is a cutting</w:t>
      </w:r>
      <w:r w:rsidR="00560A1D">
        <w:t>-</w:t>
      </w:r>
      <w:r w:rsidR="00FE44BD">
        <w:t>edge technology that is be</w:t>
      </w:r>
      <w:r w:rsidR="003C7E8F">
        <w:t>ing</w:t>
      </w:r>
      <w:r w:rsidR="00FE44BD">
        <w:t xml:space="preserve"> used by NMFS </w:t>
      </w:r>
      <w:r w:rsidR="003C7E8F">
        <w:t xml:space="preserve">in select fisheries </w:t>
      </w:r>
      <w:r w:rsidR="00FE44BD">
        <w:t>to complement logbook and observer coverage.</w:t>
      </w:r>
      <w:r w:rsidR="00B1698A">
        <w:t xml:space="preserve"> </w:t>
      </w:r>
      <w:r w:rsidR="00FE44BD">
        <w:t>Vessel logbooks require vessel operators to report sensitive information such as turtle and bluefin tuna bycatch, each of which can result in fishery closures.</w:t>
      </w:r>
      <w:r w:rsidR="00B1698A">
        <w:t xml:space="preserve"> </w:t>
      </w:r>
      <w:r w:rsidR="00FE44BD">
        <w:t>NMFS analyses comparing logbook and observer data from the same trip corroborate concerns that self-reported data can be inaccurate.</w:t>
      </w:r>
      <w:r w:rsidR="00B1698A">
        <w:t xml:space="preserve"> </w:t>
      </w:r>
      <w:r w:rsidR="00937303">
        <w:t>NMFS</w:t>
      </w:r>
      <w:r w:rsidR="00FE44BD">
        <w:t xml:space="preserve"> </w:t>
      </w:r>
      <w:r w:rsidR="005D14AE">
        <w:t>require</w:t>
      </w:r>
      <w:r w:rsidR="00937303">
        <w:t>s</w:t>
      </w:r>
      <w:r w:rsidR="005D14AE">
        <w:t xml:space="preserve"> </w:t>
      </w:r>
      <w:r w:rsidR="0051486E">
        <w:t>EM</w:t>
      </w:r>
      <w:r w:rsidR="00FE44BD">
        <w:t xml:space="preserve"> as a means to verify self-reported </w:t>
      </w:r>
      <w:r w:rsidR="00937303">
        <w:t>bluefin tuna</w:t>
      </w:r>
      <w:r w:rsidR="00560A1D">
        <w:t xml:space="preserve"> and other catch</w:t>
      </w:r>
      <w:r w:rsidR="00937303">
        <w:t xml:space="preserve"> </w:t>
      </w:r>
      <w:r w:rsidR="00FE44BD">
        <w:t>data</w:t>
      </w:r>
      <w:r w:rsidR="00937303">
        <w:t>.</w:t>
      </w:r>
      <w:r w:rsidR="00B1698A">
        <w:t xml:space="preserve"> </w:t>
      </w:r>
      <w:r w:rsidR="00F47C29">
        <w:t xml:space="preserve">NMFS also uses EM to enforce the provision requiring </w:t>
      </w:r>
      <w:r w:rsidR="00AD7720">
        <w:t xml:space="preserve">that </w:t>
      </w:r>
      <w:r w:rsidR="00F47C29">
        <w:t xml:space="preserve">shortfin </w:t>
      </w:r>
      <w:r w:rsidR="00F47C29">
        <w:t>mako</w:t>
      </w:r>
      <w:r w:rsidR="00F47C29">
        <w:t xml:space="preserve"> sharks be released alive, consistent with ICCAT recommendations.</w:t>
      </w:r>
    </w:p>
    <w:p w:rsidR="00AA5D4E" w:rsidP="00AA5D4E" w14:paraId="5B8AAEC4" w14:textId="77777777">
      <w:pPr>
        <w:pStyle w:val="NoSpacing"/>
      </w:pPr>
    </w:p>
    <w:p w:rsidR="003F389D" w:rsidRPr="00BD7237" w:rsidP="003F389D" w14:paraId="218D7BD6" w14:textId="75B9CA9C">
      <w:pPr>
        <w:pStyle w:val="ListParagraph"/>
        <w:widowControl w:val="0"/>
        <w:tabs>
          <w:tab w:val="left" w:pos="360"/>
        </w:tabs>
        <w:autoSpaceDE w:val="0"/>
        <w:autoSpaceDN w:val="0"/>
        <w:spacing w:before="80"/>
        <w:ind w:left="0"/>
        <w:contextualSpacing w:val="0"/>
        <w:rPr>
          <w:b/>
          <w:szCs w:val="24"/>
        </w:rPr>
      </w:pPr>
      <w:r>
        <w:rPr>
          <w:b/>
        </w:rPr>
        <w:t>4</w:t>
      </w:r>
      <w:r w:rsidR="008244C5">
        <w:rPr>
          <w:b/>
        </w:rPr>
        <w:t>.</w:t>
      </w:r>
      <w:r w:rsidR="00B1698A">
        <w:rPr>
          <w:b/>
        </w:rPr>
        <w:t xml:space="preserve"> </w:t>
      </w:r>
      <w:r w:rsidRPr="00BD7237">
        <w:rPr>
          <w:b/>
          <w:szCs w:val="24"/>
        </w:rPr>
        <w:t>Describe efforts to identify duplication. Show specifically why any similar information already available cannot be used or modified for use for the purposes described in Question</w:t>
      </w:r>
      <w:r w:rsidRPr="00BD7237">
        <w:rPr>
          <w:b/>
          <w:spacing w:val="-42"/>
          <w:szCs w:val="24"/>
        </w:rPr>
        <w:t xml:space="preserve"> </w:t>
      </w:r>
      <w:r w:rsidRPr="00BD7237">
        <w:rPr>
          <w:b/>
          <w:szCs w:val="24"/>
        </w:rPr>
        <w:t>2</w:t>
      </w:r>
      <w:r w:rsidR="006F71FE">
        <w:rPr>
          <w:b/>
          <w:szCs w:val="24"/>
        </w:rPr>
        <w:t xml:space="preserve">. </w:t>
      </w:r>
    </w:p>
    <w:p w:rsidR="008244C5" w:rsidP="007432A6" w14:paraId="725F77BB" w14:textId="56806E4C">
      <w:pPr>
        <w:spacing w:after="120"/>
      </w:pPr>
    </w:p>
    <w:p w:rsidR="00DF3F8A" w:rsidP="007432A6" w14:paraId="53813BAA" w14:textId="366E35A8">
      <w:pPr>
        <w:spacing w:after="120"/>
        <w:rPr>
          <w:szCs w:val="24"/>
        </w:rPr>
      </w:pPr>
      <w:r>
        <w:rPr>
          <w:szCs w:val="24"/>
        </w:rPr>
        <w:t xml:space="preserve">NMFS is the sole authority responsible for managing the domestic </w:t>
      </w:r>
      <w:r w:rsidR="00AD46E9">
        <w:rPr>
          <w:szCs w:val="24"/>
        </w:rPr>
        <w:t>HMS pelagic longline</w:t>
      </w:r>
      <w:r>
        <w:rPr>
          <w:szCs w:val="24"/>
        </w:rPr>
        <w:t xml:space="preserve"> fishery, on behalf o</w:t>
      </w:r>
      <w:r w:rsidR="00AA5D4E">
        <w:rPr>
          <w:szCs w:val="24"/>
        </w:rPr>
        <w:t>f the Secretary of Commerce.</w:t>
      </w:r>
      <w:r w:rsidR="00B1698A">
        <w:rPr>
          <w:szCs w:val="24"/>
        </w:rPr>
        <w:t xml:space="preserve"> </w:t>
      </w:r>
      <w:r>
        <w:rPr>
          <w:szCs w:val="24"/>
        </w:rPr>
        <w:t>The HMS management program includes a high degree of internal coordination across NMFS regions, science centers, and headquarters offices.</w:t>
      </w:r>
      <w:r w:rsidR="00B1698A">
        <w:rPr>
          <w:szCs w:val="24"/>
        </w:rPr>
        <w:t xml:space="preserve"> </w:t>
      </w:r>
      <w:r w:rsidR="009554EB">
        <w:rPr>
          <w:szCs w:val="24"/>
        </w:rPr>
        <w:t xml:space="preserve">The distributed nature of the </w:t>
      </w:r>
      <w:r>
        <w:rPr>
          <w:szCs w:val="24"/>
        </w:rPr>
        <w:t xml:space="preserve">HMS </w:t>
      </w:r>
      <w:r w:rsidR="00E477C0">
        <w:rPr>
          <w:szCs w:val="24"/>
        </w:rPr>
        <w:t xml:space="preserve">staff </w:t>
      </w:r>
      <w:r>
        <w:rPr>
          <w:szCs w:val="24"/>
        </w:rPr>
        <w:t>specialists throughout the agency helps</w:t>
      </w:r>
      <w:r w:rsidR="00DB4D4E">
        <w:rPr>
          <w:szCs w:val="24"/>
        </w:rPr>
        <w:t xml:space="preserve"> garner knowledge of other NMFS activities and helps</w:t>
      </w:r>
      <w:r>
        <w:rPr>
          <w:szCs w:val="24"/>
        </w:rPr>
        <w:t xml:space="preserve"> the program avoid duplication and leverage other NMFS assets.</w:t>
      </w:r>
      <w:r w:rsidR="00B1698A">
        <w:rPr>
          <w:szCs w:val="24"/>
        </w:rPr>
        <w:t xml:space="preserve"> </w:t>
      </w:r>
    </w:p>
    <w:p w:rsidR="009C5FBB" w:rsidP="007432A6" w14:paraId="1FDAD6FB" w14:textId="2BDF9E7A">
      <w:pPr>
        <w:spacing w:after="120"/>
        <w:rPr>
          <w:szCs w:val="24"/>
        </w:rPr>
      </w:pPr>
      <w:r>
        <w:rPr>
          <w:szCs w:val="24"/>
        </w:rPr>
        <w:t>When developing an HMS FMP amendment, NMFS coordinates with the HMS Advisory Panel (AP).</w:t>
      </w:r>
      <w:r w:rsidR="00B1698A">
        <w:rPr>
          <w:szCs w:val="24"/>
        </w:rPr>
        <w:t xml:space="preserve"> </w:t>
      </w:r>
      <w:r>
        <w:rPr>
          <w:szCs w:val="24"/>
        </w:rPr>
        <w:t>The HMS AP includes citizens from HMS commercial and recreational fishing interests, environmental interests, academia, state fishery agencies, and federal fishery management councils.</w:t>
      </w:r>
      <w:r w:rsidR="00B1698A">
        <w:rPr>
          <w:szCs w:val="24"/>
        </w:rPr>
        <w:t xml:space="preserve"> </w:t>
      </w:r>
      <w:r>
        <w:rPr>
          <w:szCs w:val="24"/>
        </w:rPr>
        <w:t>These individuals provide significant input and direction to NMFS, including the status of other fishery management or research programs and any potential for duplication of or similar reporting requirements in other fisheries.</w:t>
      </w:r>
      <w:r w:rsidR="00B1698A">
        <w:rPr>
          <w:szCs w:val="24"/>
        </w:rPr>
        <w:t xml:space="preserve"> </w:t>
      </w:r>
      <w:r>
        <w:rPr>
          <w:szCs w:val="24"/>
        </w:rPr>
        <w:t xml:space="preserve">NMFS also coordinates directly with the states of the Atlantic and Gulf of Mexico coasts, and the </w:t>
      </w:r>
      <w:r w:rsidR="00E477C0">
        <w:rPr>
          <w:szCs w:val="24"/>
        </w:rPr>
        <w:t xml:space="preserve">federal </w:t>
      </w:r>
      <w:r>
        <w:rPr>
          <w:szCs w:val="24"/>
        </w:rPr>
        <w:t>fishery management councils and interstate marine fisheries commissions operating in these geographic areas.</w:t>
      </w:r>
    </w:p>
    <w:p w:rsidR="008244C5" w:rsidP="007432A6" w14:paraId="6EAAC7BD" w14:textId="385B3A8F">
      <w:pPr>
        <w:spacing w:after="120"/>
      </w:pPr>
      <w:r>
        <w:t xml:space="preserve">Although some of the data collected via </w:t>
      </w:r>
      <w:r w:rsidR="0051486E">
        <w:t>EM</w:t>
      </w:r>
      <w:r>
        <w:t xml:space="preserve"> is also included in vessel logbooks and observer reports, simultaneous collection of these data are necessary as NMFS introduces and refines its </w:t>
      </w:r>
      <w:r w:rsidR="0051486E">
        <w:t>EM</w:t>
      </w:r>
      <w:r w:rsidR="0053495F">
        <w:t xml:space="preserve"> requirements.</w:t>
      </w:r>
      <w:r w:rsidR="00560A1D">
        <w:t xml:space="preserve"> Additionally, EM incentives accurate catch reporting in logbooks and VMS, providing a large amount of reliable data.</w:t>
      </w:r>
    </w:p>
    <w:p w:rsidR="00AA5D4E" w:rsidP="00AA5D4E" w14:paraId="28BD90FA" w14:textId="77777777">
      <w:pPr>
        <w:pStyle w:val="NoSpacing"/>
      </w:pPr>
    </w:p>
    <w:p w:rsidR="003F389D" w:rsidRPr="00BD7237" w:rsidP="003F389D" w14:paraId="75FF6029" w14:textId="77777777">
      <w:pPr>
        <w:pStyle w:val="ListParagraph"/>
        <w:widowControl w:val="0"/>
        <w:tabs>
          <w:tab w:val="left" w:pos="360"/>
        </w:tabs>
        <w:autoSpaceDE w:val="0"/>
        <w:autoSpaceDN w:val="0"/>
        <w:spacing w:before="80"/>
        <w:ind w:left="0"/>
        <w:contextualSpacing w:val="0"/>
        <w:rPr>
          <w:b/>
          <w:szCs w:val="24"/>
        </w:rPr>
      </w:pPr>
      <w:r>
        <w:rPr>
          <w:b/>
        </w:rPr>
        <w:t>5.</w:t>
      </w:r>
      <w:r w:rsidR="00B1698A">
        <w:rPr>
          <w:b/>
        </w:rPr>
        <w:t xml:space="preserve"> </w:t>
      </w:r>
      <w:r w:rsidRPr="00BD7237">
        <w:rPr>
          <w:b/>
          <w:szCs w:val="24"/>
        </w:rPr>
        <w:t>If the collection of information impacts small businesses or other small entities, describe any methods used to minimize burden.</w:t>
      </w:r>
    </w:p>
    <w:p w:rsidR="008244C5" w:rsidP="007432A6" w14:paraId="0B6F8F48" w14:textId="64B5E398">
      <w:pPr>
        <w:spacing w:after="120"/>
      </w:pPr>
    </w:p>
    <w:p w:rsidR="00E00D29" w:rsidP="007432A6" w14:paraId="1F01B7DD" w14:textId="58A2C200">
      <w:pPr>
        <w:spacing w:after="120"/>
      </w:pPr>
      <w:r>
        <w:t xml:space="preserve">All </w:t>
      </w:r>
      <w:r w:rsidR="001C310D">
        <w:t xml:space="preserve">owners of vessels with </w:t>
      </w:r>
      <w:r>
        <w:t>commercial</w:t>
      </w:r>
      <w:r w:rsidR="008244C5">
        <w:t xml:space="preserve"> permits</w:t>
      </w:r>
      <w:r>
        <w:t xml:space="preserve"> </w:t>
      </w:r>
      <w:r w:rsidR="008244C5">
        <w:t xml:space="preserve">for HMS, </w:t>
      </w:r>
      <w:r>
        <w:t>(</w:t>
      </w:r>
      <w:r w:rsidRPr="001B7E1D" w:rsidR="008244C5">
        <w:t>i.e.</w:t>
      </w:r>
      <w:r w:rsidR="008244C5">
        <w:t>, swordfish, sharks, and tuna</w:t>
      </w:r>
      <w:r>
        <w:t>)</w:t>
      </w:r>
      <w:r w:rsidR="008244C5">
        <w:t xml:space="preserve"> are considered s</w:t>
      </w:r>
      <w:r>
        <w:t>mall entities.</w:t>
      </w:r>
      <w:r w:rsidR="00B1698A">
        <w:t xml:space="preserve"> </w:t>
      </w:r>
      <w:r>
        <w:t xml:space="preserve">The introduction of </w:t>
      </w:r>
      <w:r w:rsidR="0051486E">
        <w:t>EM</w:t>
      </w:r>
      <w:r w:rsidR="00005890">
        <w:t>,</w:t>
      </w:r>
      <w:r>
        <w:t xml:space="preserve"> </w:t>
      </w:r>
      <w:r w:rsidR="00005890">
        <w:t xml:space="preserve">under Amendment 7, </w:t>
      </w:r>
      <w:r w:rsidR="007324E6">
        <w:t xml:space="preserve">rather than expansion of observer coverage requirements in the PLL fleet </w:t>
      </w:r>
      <w:r w:rsidR="00FB58FD">
        <w:t xml:space="preserve">was </w:t>
      </w:r>
      <w:r>
        <w:t xml:space="preserve">largely </w:t>
      </w:r>
      <w:r w:rsidR="007324E6">
        <w:t>an effort to control costs for small businesses and the government.</w:t>
      </w:r>
      <w:r w:rsidR="00B1698A">
        <w:t xml:space="preserve"> </w:t>
      </w:r>
      <w:r w:rsidR="00005890">
        <w:t xml:space="preserve">At the time, </w:t>
      </w:r>
      <w:r w:rsidR="007324E6">
        <w:t xml:space="preserve">NMFS </w:t>
      </w:r>
      <w:r w:rsidR="00FB58FD">
        <w:t xml:space="preserve">estimated </w:t>
      </w:r>
      <w:r w:rsidR="007324E6">
        <w:t xml:space="preserve">that total annual costs of </w:t>
      </w:r>
      <w:r w:rsidR="0051486E">
        <w:t>EM</w:t>
      </w:r>
      <w:r w:rsidR="007324E6">
        <w:t xml:space="preserve"> per vessel would be approximately </w:t>
      </w:r>
      <w:r w:rsidR="008A1587">
        <w:t xml:space="preserve">$19,175 </w:t>
      </w:r>
      <w:r w:rsidR="00DB4D4E">
        <w:t>(installation and maintenance annualized over 5 years</w:t>
      </w:r>
      <w:r w:rsidR="008A1587">
        <w:t xml:space="preserve"> would be approximately $3,835</w:t>
      </w:r>
      <w:r w:rsidR="00DB4D4E">
        <w:t xml:space="preserve">) </w:t>
      </w:r>
      <w:r w:rsidR="007324E6">
        <w:t>plus $225 per trip.</w:t>
      </w:r>
      <w:r w:rsidR="00B1698A">
        <w:t xml:space="preserve"> </w:t>
      </w:r>
      <w:r w:rsidR="00586F56">
        <w:t xml:space="preserve">In comparison, observer coverage </w:t>
      </w:r>
      <w:r w:rsidR="000B017A">
        <w:t>is much more expensive.</w:t>
      </w:r>
      <w:r w:rsidR="00B1698A">
        <w:t xml:space="preserve"> </w:t>
      </w:r>
      <w:r w:rsidR="004C7442">
        <w:t>The Southeast Fisher</w:t>
      </w:r>
      <w:r w:rsidR="0063789B">
        <w:t>ies</w:t>
      </w:r>
      <w:r w:rsidR="004C7442">
        <w:t xml:space="preserve"> Science Center’s observer program estimates that observers cost approximately $</w:t>
      </w:r>
      <w:r w:rsidR="00BF3CB0">
        <w:t>1,145</w:t>
      </w:r>
      <w:r w:rsidR="004C7442">
        <w:t xml:space="preserve"> per sea day.</w:t>
      </w:r>
      <w:r w:rsidR="00B1698A">
        <w:t xml:space="preserve"> </w:t>
      </w:r>
      <w:r w:rsidR="004C7442">
        <w:t>This equates to approximately $</w:t>
      </w:r>
      <w:r w:rsidR="00BF3CB0">
        <w:t xml:space="preserve">10,305 </w:t>
      </w:r>
      <w:r w:rsidR="004C7442">
        <w:t xml:space="preserve">per trip for </w:t>
      </w:r>
      <w:r w:rsidR="0051486E">
        <w:t>PLL</w:t>
      </w:r>
      <w:r w:rsidR="004C7442">
        <w:t xml:space="preserve"> vessels, which have an average trip length of nine days.</w:t>
      </w:r>
    </w:p>
    <w:p w:rsidR="00005890" w:rsidP="00005890" w14:paraId="7BAD1D9A" w14:textId="3D0DF745">
      <w:pPr>
        <w:spacing w:after="120"/>
      </w:pPr>
      <w:r>
        <w:t xml:space="preserve">Currently, </w:t>
      </w:r>
      <w:r w:rsidRPr="00AD46E9">
        <w:t xml:space="preserve">NMFS </w:t>
      </w:r>
      <w:r>
        <w:t>pays</w:t>
      </w:r>
      <w:r w:rsidRPr="00AD46E9">
        <w:t xml:space="preserve"> 100-percent of the cost of the </w:t>
      </w:r>
      <w:r>
        <w:t xml:space="preserve">PLL EM </w:t>
      </w:r>
      <w:r w:rsidRPr="00AD46E9">
        <w:t>program through contracts with two vendors to install and maintain EM equipmen</w:t>
      </w:r>
      <w:r>
        <w:t>t on the vessels and to receive</w:t>
      </w:r>
      <w:r w:rsidRPr="00AD46E9">
        <w:t xml:space="preserve"> and review video footage and metadata</w:t>
      </w:r>
      <w:r w:rsidR="00DD02AE">
        <w:t xml:space="preserve">, and for the time being will continue to do so for PLL trips conducted outside of the new </w:t>
      </w:r>
      <w:r w:rsidR="00A92BA7">
        <w:t>m</w:t>
      </w:r>
      <w:r w:rsidR="00DD02AE">
        <w:t xml:space="preserve">onitoring </w:t>
      </w:r>
      <w:r w:rsidR="00A92BA7">
        <w:t>a</w:t>
      </w:r>
      <w:r w:rsidR="00DD02AE">
        <w:t>reas</w:t>
      </w:r>
      <w:r>
        <w:t xml:space="preserve">. </w:t>
      </w:r>
      <w:r w:rsidR="006935B5">
        <w:t xml:space="preserve">However, the </w:t>
      </w:r>
      <w:r>
        <w:t>measures in Amendment 15 will shift the funding burden of EM sampling costs to the industry</w:t>
      </w:r>
      <w:r w:rsidR="006935B5">
        <w:t xml:space="preserve"> for trips conducted wholly or in part within the new </w:t>
      </w:r>
      <w:r w:rsidR="00A92BA7">
        <w:t>m</w:t>
      </w:r>
      <w:r w:rsidR="006935B5">
        <w:t xml:space="preserve">onitoring </w:t>
      </w:r>
      <w:r w:rsidR="00A92BA7">
        <w:t>a</w:t>
      </w:r>
      <w:r w:rsidR="006935B5">
        <w:t>reas</w:t>
      </w:r>
      <w:r w:rsidR="00560A1D">
        <w:t xml:space="preserve">. Importantly, though, fishing in monitoring areas is completely voluntary and the areas were closed to fishing prior to implementation of Amendment </w:t>
      </w:r>
      <w:r w:rsidR="0029305F">
        <w:t>1</w:t>
      </w:r>
      <w:r w:rsidR="00560A1D">
        <w:t xml:space="preserve">5. Thus, no additional impacts to vessel owners are expected for those that do not wish to participate in data collection in monitoring areas. </w:t>
      </w:r>
    </w:p>
    <w:p w:rsidR="0029305F" w:rsidP="009D40DA" w14:paraId="04CD47CA" w14:textId="77777777">
      <w:pPr>
        <w:spacing w:after="120"/>
      </w:pPr>
    </w:p>
    <w:p w:rsidR="003F389D" w:rsidRPr="00BD7237" w:rsidP="003F389D" w14:paraId="2FF0BDE0" w14:textId="77777777">
      <w:pPr>
        <w:pStyle w:val="ListParagraph"/>
        <w:widowControl w:val="0"/>
        <w:tabs>
          <w:tab w:val="left" w:pos="360"/>
        </w:tabs>
        <w:autoSpaceDE w:val="0"/>
        <w:autoSpaceDN w:val="0"/>
        <w:spacing w:before="80"/>
        <w:ind w:left="0"/>
        <w:contextualSpacing w:val="0"/>
        <w:rPr>
          <w:b/>
          <w:szCs w:val="24"/>
        </w:rPr>
      </w:pPr>
      <w:r>
        <w:rPr>
          <w:b/>
        </w:rPr>
        <w:t>6.</w:t>
      </w:r>
      <w:r w:rsidR="00B1698A">
        <w:rPr>
          <w:b/>
        </w:rPr>
        <w:t xml:space="preserve"> </w:t>
      </w:r>
      <w:r w:rsidRPr="00BD7237">
        <w:rPr>
          <w:b/>
          <w:szCs w:val="24"/>
        </w:rPr>
        <w:t>Describe the consequence to Federal program or policy activities if the collection is not conducted or is conducted less frequently, as well as any technical or legal obstacles to reducing burden.</w:t>
      </w:r>
    </w:p>
    <w:p w:rsidR="005439EF" w:rsidP="00E3304D" w14:paraId="7B887D96" w14:textId="77777777">
      <w:pPr>
        <w:spacing w:after="120"/>
      </w:pPr>
    </w:p>
    <w:p w:rsidR="008244C5" w:rsidP="00E3304D" w14:paraId="011C3ACC" w14:textId="2A8CEDB8">
      <w:pPr>
        <w:spacing w:after="120"/>
      </w:pPr>
      <w:r>
        <w:t xml:space="preserve">Monitoring and enforcement are essential components of fisheries management. Monitoring fishing vessels facilitates enforcement of </w:t>
      </w:r>
      <w:r w:rsidR="00884C92">
        <w:t>NMFS</w:t>
      </w:r>
      <w:r>
        <w:t>’ conservation and management regulations by enabling detection of violations.</w:t>
      </w:r>
      <w:r w:rsidR="00B1698A">
        <w:t xml:space="preserve"> </w:t>
      </w:r>
      <w:r>
        <w:t>Monitoring also promotes compliance by having a general deterrent effect.</w:t>
      </w:r>
      <w:r w:rsidR="00B1698A">
        <w:t xml:space="preserve"> </w:t>
      </w:r>
      <w:r>
        <w:t>Lack of proper monitoring and enforcement makes it difficult to gauge the effectiveness of conservation and management measures</w:t>
      </w:r>
      <w:r w:rsidR="00A40A1A">
        <w:t>.</w:t>
      </w:r>
      <w:r w:rsidR="00B1698A">
        <w:t xml:space="preserve"> </w:t>
      </w:r>
      <w:r>
        <w:t xml:space="preserve">In </w:t>
      </w:r>
      <w:r w:rsidR="00A40A1A">
        <w:t>the case of overfished stocks, enforcement</w:t>
      </w:r>
      <w:r>
        <w:t xml:space="preserve"> is necessary to prevent further overfishing and subsequent </w:t>
      </w:r>
      <w:r w:rsidR="00F01976">
        <w:t xml:space="preserve">stock </w:t>
      </w:r>
      <w:r>
        <w:t>decline.</w:t>
      </w:r>
      <w:r w:rsidR="00B1698A">
        <w:t xml:space="preserve"> </w:t>
      </w:r>
    </w:p>
    <w:p w:rsidR="00BE38BE" w:rsidP="007432A6" w14:paraId="330841EF" w14:textId="33F077C2">
      <w:pPr>
        <w:spacing w:after="120"/>
        <w:rPr>
          <w:szCs w:val="24"/>
        </w:rPr>
      </w:pPr>
      <w:r>
        <w:rPr>
          <w:szCs w:val="24"/>
        </w:rPr>
        <w:t xml:space="preserve">If the </w:t>
      </w:r>
      <w:r w:rsidR="0051486E">
        <w:rPr>
          <w:szCs w:val="24"/>
        </w:rPr>
        <w:t>EM</w:t>
      </w:r>
      <w:r w:rsidR="000B017A">
        <w:rPr>
          <w:szCs w:val="24"/>
        </w:rPr>
        <w:t xml:space="preserve"> portion</w:t>
      </w:r>
      <w:r>
        <w:rPr>
          <w:szCs w:val="24"/>
        </w:rPr>
        <w:t xml:space="preserve"> of the collection </w:t>
      </w:r>
      <w:r w:rsidR="006F71FE">
        <w:rPr>
          <w:szCs w:val="24"/>
        </w:rPr>
        <w:t xml:space="preserve">was </w:t>
      </w:r>
      <w:r>
        <w:rPr>
          <w:szCs w:val="24"/>
        </w:rPr>
        <w:t xml:space="preserve">not conducted, NMFS </w:t>
      </w:r>
      <w:r w:rsidR="00344DDF">
        <w:rPr>
          <w:szCs w:val="24"/>
        </w:rPr>
        <w:t xml:space="preserve">may </w:t>
      </w:r>
      <w:r>
        <w:rPr>
          <w:szCs w:val="24"/>
        </w:rPr>
        <w:t xml:space="preserve">not be able to </w:t>
      </w:r>
      <w:r w:rsidR="000B017A">
        <w:rPr>
          <w:szCs w:val="24"/>
        </w:rPr>
        <w:t xml:space="preserve">effectively </w:t>
      </w:r>
      <w:r>
        <w:rPr>
          <w:szCs w:val="24"/>
        </w:rPr>
        <w:t xml:space="preserve">implement </w:t>
      </w:r>
      <w:r w:rsidR="0063789B">
        <w:rPr>
          <w:szCs w:val="24"/>
        </w:rPr>
        <w:t xml:space="preserve">and monitor </w:t>
      </w:r>
      <w:r w:rsidR="00560A1D">
        <w:rPr>
          <w:szCs w:val="24"/>
        </w:rPr>
        <w:t>bycatch in monitoring areas</w:t>
      </w:r>
      <w:r>
        <w:rPr>
          <w:szCs w:val="24"/>
        </w:rPr>
        <w:t>.</w:t>
      </w:r>
      <w:r w:rsidR="00B1698A">
        <w:rPr>
          <w:szCs w:val="24"/>
        </w:rPr>
        <w:t xml:space="preserve"> </w:t>
      </w:r>
      <w:r>
        <w:rPr>
          <w:szCs w:val="24"/>
        </w:rPr>
        <w:t xml:space="preserve">Without the </w:t>
      </w:r>
      <w:r w:rsidR="0063789B">
        <w:rPr>
          <w:szCs w:val="24"/>
        </w:rPr>
        <w:t xml:space="preserve">ability to monitor </w:t>
      </w:r>
      <w:r w:rsidR="006C5AAE">
        <w:rPr>
          <w:szCs w:val="24"/>
        </w:rPr>
        <w:t xml:space="preserve">the </w:t>
      </w:r>
      <w:r w:rsidR="00560A1D">
        <w:rPr>
          <w:szCs w:val="24"/>
        </w:rPr>
        <w:t>monitoring areas</w:t>
      </w:r>
      <w:r>
        <w:rPr>
          <w:szCs w:val="24"/>
        </w:rPr>
        <w:t>, the management program</w:t>
      </w:r>
      <w:r w:rsidR="00560A1D">
        <w:rPr>
          <w:szCs w:val="24"/>
        </w:rPr>
        <w:t>s</w:t>
      </w:r>
      <w:r>
        <w:rPr>
          <w:szCs w:val="24"/>
        </w:rPr>
        <w:t xml:space="preserve"> </w:t>
      </w:r>
      <w:r w:rsidR="00344DDF">
        <w:rPr>
          <w:szCs w:val="24"/>
        </w:rPr>
        <w:t xml:space="preserve">may </w:t>
      </w:r>
      <w:r>
        <w:rPr>
          <w:szCs w:val="24"/>
        </w:rPr>
        <w:t>be less effective</w:t>
      </w:r>
      <w:r w:rsidR="0063789B">
        <w:rPr>
          <w:szCs w:val="24"/>
        </w:rPr>
        <w:t xml:space="preserve"> and there </w:t>
      </w:r>
      <w:r w:rsidR="00344DDF">
        <w:rPr>
          <w:szCs w:val="24"/>
        </w:rPr>
        <w:t xml:space="preserve">may </w:t>
      </w:r>
      <w:r w:rsidR="0063789B">
        <w:rPr>
          <w:szCs w:val="24"/>
        </w:rPr>
        <w:t>be greater incentive to underreport</w:t>
      </w:r>
      <w:r w:rsidR="0018329B">
        <w:rPr>
          <w:szCs w:val="24"/>
        </w:rPr>
        <w:t>.</w:t>
      </w:r>
      <w:r w:rsidR="00B1698A">
        <w:rPr>
          <w:szCs w:val="24"/>
        </w:rPr>
        <w:t xml:space="preserve"> </w:t>
      </w:r>
      <w:r w:rsidR="00560A1D">
        <w:rPr>
          <w:szCs w:val="24"/>
        </w:rPr>
        <w:t xml:space="preserve">Newly-designated monitoring areas provide the opportunity for data collection in areas previously-closed to fishing and </w:t>
      </w:r>
      <w:r w:rsidR="00CB4AE8">
        <w:rPr>
          <w:szCs w:val="24"/>
        </w:rPr>
        <w:t>real-time catch data from the areas allow NMFS to limit fishing in those areas if conditions warrant.</w:t>
      </w:r>
    </w:p>
    <w:p w:rsidR="00BE38BE" w:rsidP="007432A6" w14:paraId="5ED62C8A" w14:textId="4B2C5E49">
      <w:pPr>
        <w:spacing w:after="120"/>
        <w:rPr>
          <w:szCs w:val="24"/>
        </w:rPr>
      </w:pPr>
      <w:r>
        <w:rPr>
          <w:szCs w:val="24"/>
        </w:rPr>
        <w:t xml:space="preserve">Real-time data collection </w:t>
      </w:r>
      <w:r w:rsidR="006C5AAE">
        <w:rPr>
          <w:szCs w:val="24"/>
        </w:rPr>
        <w:t>enhance</w:t>
      </w:r>
      <w:r w:rsidR="005D14AE">
        <w:rPr>
          <w:szCs w:val="24"/>
        </w:rPr>
        <w:t>s</w:t>
      </w:r>
      <w:r w:rsidR="006C5AAE">
        <w:rPr>
          <w:szCs w:val="24"/>
        </w:rPr>
        <w:t xml:space="preserve"> and improve</w:t>
      </w:r>
      <w:r w:rsidR="005D14AE">
        <w:rPr>
          <w:szCs w:val="24"/>
        </w:rPr>
        <w:t>s</w:t>
      </w:r>
      <w:r w:rsidR="006C5AAE">
        <w:rPr>
          <w:szCs w:val="24"/>
        </w:rPr>
        <w:t xml:space="preserve"> the</w:t>
      </w:r>
      <w:r>
        <w:rPr>
          <w:szCs w:val="24"/>
        </w:rPr>
        <w:t xml:space="preserve"> management of the limited quota </w:t>
      </w:r>
      <w:r w:rsidR="00DB4D4E">
        <w:rPr>
          <w:szCs w:val="24"/>
        </w:rPr>
        <w:t>allocations</w:t>
      </w:r>
      <w:r>
        <w:rPr>
          <w:szCs w:val="24"/>
        </w:rPr>
        <w:t xml:space="preserve">  because</w:t>
      </w:r>
      <w:r>
        <w:rPr>
          <w:szCs w:val="24"/>
        </w:rPr>
        <w:t xml:space="preserve"> ICCAT quotas are accounted </w:t>
      </w:r>
      <w:r w:rsidR="00BF7231">
        <w:rPr>
          <w:szCs w:val="24"/>
        </w:rPr>
        <w:t xml:space="preserve">for </w:t>
      </w:r>
      <w:r>
        <w:rPr>
          <w:szCs w:val="24"/>
        </w:rPr>
        <w:t>on a yearly basis.</w:t>
      </w:r>
      <w:r w:rsidR="00B1698A">
        <w:rPr>
          <w:szCs w:val="24"/>
        </w:rPr>
        <w:t xml:space="preserve"> </w:t>
      </w:r>
      <w:r>
        <w:rPr>
          <w:szCs w:val="24"/>
        </w:rPr>
        <w:t>Over</w:t>
      </w:r>
      <w:r w:rsidR="00BF7231">
        <w:rPr>
          <w:szCs w:val="24"/>
        </w:rPr>
        <w:t>harvests</w:t>
      </w:r>
      <w:r>
        <w:rPr>
          <w:szCs w:val="24"/>
        </w:rPr>
        <w:t xml:space="preserve"> </w:t>
      </w:r>
      <w:r w:rsidR="00C87903">
        <w:rPr>
          <w:szCs w:val="24"/>
        </w:rPr>
        <w:t>of U.S. quotas</w:t>
      </w:r>
      <w:r>
        <w:rPr>
          <w:szCs w:val="24"/>
        </w:rPr>
        <w:t xml:space="preserve"> could impact other domestic user groups or result in an annual quota over</w:t>
      </w:r>
      <w:r w:rsidR="00BF7231">
        <w:rPr>
          <w:szCs w:val="24"/>
        </w:rPr>
        <w:t>harvest</w:t>
      </w:r>
      <w:r>
        <w:rPr>
          <w:szCs w:val="24"/>
        </w:rPr>
        <w:t>.</w:t>
      </w:r>
      <w:r w:rsidR="00B1698A">
        <w:rPr>
          <w:szCs w:val="24"/>
        </w:rPr>
        <w:t xml:space="preserve"> </w:t>
      </w:r>
      <w:r>
        <w:rPr>
          <w:szCs w:val="24"/>
        </w:rPr>
        <w:t xml:space="preserve">ICCAT could assess a penalty if the </w:t>
      </w:r>
      <w:r w:rsidR="00AA5D4E">
        <w:rPr>
          <w:szCs w:val="24"/>
        </w:rPr>
        <w:t>U</w:t>
      </w:r>
      <w:r w:rsidR="00BF7231">
        <w:rPr>
          <w:szCs w:val="24"/>
        </w:rPr>
        <w:t>nited States</w:t>
      </w:r>
      <w:r w:rsidR="00B57167">
        <w:rPr>
          <w:szCs w:val="24"/>
        </w:rPr>
        <w:t xml:space="preserve"> overharvests its quota.</w:t>
      </w:r>
      <w:r w:rsidR="00C87903">
        <w:rPr>
          <w:szCs w:val="24"/>
        </w:rPr>
        <w:t xml:space="preserve"> Additionally, without real-time data, NMFS would be unable to effectively monitoring bycatch in the monitoring areas. If bycatch of some species (such as sea turtles) is higher than expected, the result could close the </w:t>
      </w:r>
      <w:r w:rsidR="00C87903">
        <w:rPr>
          <w:szCs w:val="24"/>
        </w:rPr>
        <w:t xml:space="preserve">entire PLL fishery. Having real-time data would allow NMFS to assess whether the monitoring areas need to close so the entire fleet is not affected.  </w:t>
      </w:r>
    </w:p>
    <w:p w:rsidR="00AA5D4E" w:rsidP="00F23AE8" w14:paraId="597790BF" w14:textId="77777777">
      <w:pPr>
        <w:pStyle w:val="NoSpacing"/>
      </w:pPr>
    </w:p>
    <w:p w:rsidR="008244C5" w:rsidP="007432A6" w14:paraId="16C516CE" w14:textId="06864517">
      <w:pPr>
        <w:spacing w:after="120"/>
      </w:pPr>
      <w:r>
        <w:rPr>
          <w:b/>
        </w:rPr>
        <w:t>7.</w:t>
      </w:r>
      <w:r w:rsidR="00B1698A">
        <w:rPr>
          <w:b/>
        </w:rPr>
        <w:t xml:space="preserve"> </w:t>
      </w:r>
      <w:r w:rsidRPr="003F389D">
        <w:rPr>
          <w:b/>
        </w:rPr>
        <w:t xml:space="preserve">Explain any special circumstances that require the collection to be conducted in a manner inconsistent with OMB guidelines. </w:t>
      </w:r>
    </w:p>
    <w:p w:rsidR="00CF2F17" w:rsidP="007432A6" w14:paraId="7B1A1812" w14:textId="38888E12">
      <w:pPr>
        <w:spacing w:after="120"/>
      </w:pPr>
      <w:r>
        <w:t xml:space="preserve">VMS </w:t>
      </w:r>
      <w:r>
        <w:t>effort</w:t>
      </w:r>
      <w:r>
        <w:t>, catch</w:t>
      </w:r>
      <w:r w:rsidR="002125FF">
        <w:t xml:space="preserve"> of various species</w:t>
      </w:r>
      <w:r>
        <w:t>,</w:t>
      </w:r>
      <w:r>
        <w:t xml:space="preserve"> and bycatch </w:t>
      </w:r>
      <w:r w:rsidR="004B792E">
        <w:t xml:space="preserve">would be </w:t>
      </w:r>
      <w:r>
        <w:t xml:space="preserve">reported per set, which is more frequent than OMB guidelines suggest. Daily reports </w:t>
      </w:r>
      <w:r w:rsidR="004B792E">
        <w:t xml:space="preserve">would be </w:t>
      </w:r>
      <w:r>
        <w:t xml:space="preserve">required so that NMFS can track monitoring area effort and bycatch on a real-time basis. Accurate real-time data is necessary as the effort caps </w:t>
      </w:r>
      <w:r>
        <w:t xml:space="preserve">in </w:t>
      </w:r>
      <w:r>
        <w:t>the monitoring areas</w:t>
      </w:r>
      <w:r>
        <w:t xml:space="preserve"> and </w:t>
      </w:r>
      <w:r w:rsidR="00DF62CB">
        <w:t>expected catch of some species</w:t>
      </w:r>
      <w:r>
        <w:t xml:space="preserve"> </w:t>
      </w:r>
      <w:r w:rsidR="004B792E">
        <w:t>would be</w:t>
      </w:r>
      <w:r>
        <w:t xml:space="preserve"> relatively small. </w:t>
      </w:r>
    </w:p>
    <w:p w:rsidR="00AA5D4E" w:rsidP="00AA5D4E" w14:paraId="3D19844C" w14:textId="77777777">
      <w:pPr>
        <w:pStyle w:val="NoSpacing"/>
      </w:pPr>
    </w:p>
    <w:p w:rsidR="003F389D" w:rsidRPr="00BD7237" w:rsidP="003F389D" w14:paraId="13675189" w14:textId="77777777">
      <w:pPr>
        <w:pStyle w:val="ListParagraph"/>
        <w:widowControl w:val="0"/>
        <w:tabs>
          <w:tab w:val="left" w:pos="360"/>
        </w:tabs>
        <w:autoSpaceDE w:val="0"/>
        <w:autoSpaceDN w:val="0"/>
        <w:spacing w:before="80"/>
        <w:ind w:left="0"/>
        <w:contextualSpacing w:val="0"/>
        <w:rPr>
          <w:b/>
          <w:szCs w:val="24"/>
        </w:rPr>
      </w:pPr>
      <w:r>
        <w:rPr>
          <w:b/>
        </w:rPr>
        <w:t>8.</w:t>
      </w:r>
      <w:r w:rsidR="00B1698A">
        <w:rPr>
          <w:b/>
        </w:rPr>
        <w:t xml:space="preserve"> </w:t>
      </w:r>
      <w:r w:rsidRPr="00BD7237">
        <w:rPr>
          <w:b/>
          <w:szCs w:val="24"/>
        </w:rPr>
        <w:t>If applicable, provide a copy and identify the date and page number of publications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ED1E15" w:rsidP="006F71FE" w14:paraId="69EBCEC4" w14:textId="77777777">
      <w:pPr>
        <w:rPr>
          <w:color w:val="000000"/>
        </w:rPr>
      </w:pPr>
    </w:p>
    <w:p w:rsidR="0087198A" w:rsidP="006F71FE" w14:paraId="755DF3F6" w14:textId="631B45FB">
      <w:pPr>
        <w:rPr>
          <w:szCs w:val="24"/>
        </w:rPr>
      </w:pPr>
      <w:r>
        <w:rPr>
          <w:color w:val="000000"/>
        </w:rPr>
        <w:t>NMFS published a</w:t>
      </w:r>
      <w:r w:rsidRPr="000865B4">
        <w:rPr>
          <w:color w:val="000000"/>
        </w:rPr>
        <w:t xml:space="preserve"> proposed rule (RIN 0648-</w:t>
      </w:r>
      <w:r w:rsidRPr="000865B4" w:rsidR="006F71FE">
        <w:rPr>
          <w:color w:val="000000"/>
        </w:rPr>
        <w:t>B</w:t>
      </w:r>
      <w:r w:rsidR="006F71FE">
        <w:rPr>
          <w:color w:val="000000"/>
        </w:rPr>
        <w:t>I10</w:t>
      </w:r>
      <w:r w:rsidRPr="000865B4">
        <w:rPr>
          <w:color w:val="000000"/>
        </w:rPr>
        <w:t xml:space="preserve">) in the </w:t>
      </w:r>
      <w:r w:rsidRPr="000865B4">
        <w:rPr>
          <w:i/>
          <w:iCs/>
          <w:color w:val="000000"/>
        </w:rPr>
        <w:t>Federal Register</w:t>
      </w:r>
      <w:r w:rsidRPr="000865B4">
        <w:rPr>
          <w:color w:val="000000"/>
        </w:rPr>
        <w:t xml:space="preserve"> </w:t>
      </w:r>
      <w:r>
        <w:rPr>
          <w:color w:val="000000"/>
        </w:rPr>
        <w:t xml:space="preserve">on </w:t>
      </w:r>
      <w:r w:rsidR="007070C0">
        <w:rPr>
          <w:color w:val="000000"/>
        </w:rPr>
        <w:t>May 5</w:t>
      </w:r>
      <w:r>
        <w:rPr>
          <w:color w:val="000000"/>
        </w:rPr>
        <w:t xml:space="preserve">, </w:t>
      </w:r>
      <w:r w:rsidR="006F71FE">
        <w:rPr>
          <w:color w:val="000000"/>
        </w:rPr>
        <w:t>2023</w:t>
      </w:r>
      <w:r w:rsidR="002B3756">
        <w:rPr>
          <w:color w:val="000000"/>
        </w:rPr>
        <w:t xml:space="preserve"> (88 FR 29050), and received numerous comments regarding the proposed EM cost allocations alternatives, the adequacy of the proposed bycatch effort caps for the monitoring areas, and the proposal to expand EM review coverage to 100 percent for pelagic longline sets within the monitoring areas</w:t>
      </w:r>
      <w:r>
        <w:rPr>
          <w:color w:val="000000"/>
        </w:rPr>
        <w:t>.</w:t>
      </w:r>
      <w:r w:rsidRPr="000865B4">
        <w:rPr>
          <w:color w:val="000000"/>
        </w:rPr>
        <w:t xml:space="preserve"> </w:t>
      </w:r>
    </w:p>
    <w:p w:rsidR="002B3756" w:rsidP="006F71FE" w14:paraId="46C6089C" w14:textId="3645317F">
      <w:pPr>
        <w:rPr>
          <w:szCs w:val="24"/>
        </w:rPr>
      </w:pPr>
    </w:p>
    <w:p w:rsidR="002B3756" w:rsidP="006F71FE" w14:paraId="1788B366" w14:textId="5710F852">
      <w:pPr>
        <w:rPr>
          <w:szCs w:val="24"/>
        </w:rPr>
      </w:pPr>
      <w:r>
        <w:rPr>
          <w:rFonts w:ascii="Cambria" w:hAnsi="Cambria"/>
          <w:color w:val="000000"/>
        </w:rPr>
        <w:t xml:space="preserve">NMFS received many comments, including from state agencies, local governments, U.S. Senators, pelagic longline industry groups, EM vendors, and pelagic longline fishermen, expressing concerns with the proposed EM alternative (Alternative F2), which would have shifted the responsibility for EM sampling costs to the pelagic longline fleet, and the practicality of the proposal. Generally, commenters noted that transitioning the cost of EM from the Agency to the pelagic longline fleet could have negative economic impacts that would likely devastate local, state, and coastal communities along the east coast and Gulf of Mexico. Many commenters suggested that NMFS either continue to fund the EM program or remove the requirement from the current HMS regulations (Alternative F3), with several commenters stating that the EM Cost Allocation Policy appears inconsistent with various National Standards, the Magnuson-Stevens Act Limited Access Privilege Program cost recovery threshold, and E.O. 13985. In response, the proposed EM cost allocation alternative (Alternative F2) was changed to no action (Alternative F1) based in part on public comment. Many of these comments, particularly from industry participants and representatives and from EM vendors, indicated that the proposed alternative to modify the EM program fleetwide presented practical implementation impediments that NMFS believes warrant further consideration. For example, commenters noted that fleet-wide implementation difficulties like billing individual vessel owners and on-vessel support with a dispersed fleet. With respect to Alternative F3, the EM program continues to be needed to support compliance with the bluefin tuna IBQ program. Thus, Alternative F3 was not preferred at this time due to uncertain impacts on compliance with IBQ reporting requirements (OMB Control No. 0648-0677). While NMFS is not transferring the cost of EM </w:t>
      </w:r>
      <w:r>
        <w:rPr>
          <w:rFonts w:ascii="Cambria" w:hAnsi="Cambria"/>
          <w:color w:val="000000"/>
        </w:rPr>
        <w:t>for the entire fleet to the industry at this time, NMFS intends to initiate future rulemaking to consider modifications to the HMS EM program as appropriate. Additionally, the FEIS preferred alternative to implement monitoring areas inside the Charleston Bump and East Florida Coast Spatial Management Areas requires pelagic longline vessels voluntarily choosing to fish in monitoring areas to abide by enhanced EM requirements and for vessel owners to pay the associated sampling costs.</w:t>
      </w:r>
      <w:r w:rsidR="00443517">
        <w:rPr>
          <w:rFonts w:ascii="Cambria" w:hAnsi="Cambria"/>
          <w:color w:val="000000"/>
        </w:rPr>
        <w:t xml:space="preserve"> Vessels fishing within monitoring areas will also still retain the option to contract with a separate EM vendor for when they are fishing within the monitoring areas.  As such, this ICR still includes burden estimates for potential EM vendors, but at reduced burden estimates then would be required if the original cost allocation proposal was retained. Vessels will still be required to use the government contracted EM vendor for all fishing outside of the monitoring areas.</w:t>
      </w:r>
    </w:p>
    <w:p w:rsidR="0087198A" w:rsidP="006F71FE" w14:paraId="2FA6AFEA" w14:textId="77777777">
      <w:pPr>
        <w:rPr>
          <w:szCs w:val="24"/>
        </w:rPr>
      </w:pPr>
    </w:p>
    <w:p w:rsidR="00443517" w:rsidP="00443517" w14:paraId="5C6FA28A" w14:textId="0E499C07">
      <w:pPr>
        <w:rPr>
          <w:rFonts w:ascii="Cambria" w:hAnsi="Cambria"/>
          <w:color w:val="000000"/>
        </w:rPr>
      </w:pPr>
      <w:r>
        <w:rPr>
          <w:rFonts w:ascii="Cambria" w:hAnsi="Cambria"/>
          <w:color w:val="000000"/>
        </w:rPr>
        <w:t>Several commenters, including South Carolina Department of Natural Resources and North Carolina Division of Marine Fisheries, stated that the calculated effort caps in the proposed monitoring areas are too low to collect adequate data to inform an assessment of the area. Some commenters stated that most of the sets would be made in a short period of time providing limited information over the duration of the monitoring area timing. Furthermore, once the effort cap is close to being reached, fishermen would be unlikely to embark on additional data collection trips to avoid broken trips (i.e., the effort cap is reached on the way to the fishing grounds or while fishing), reducing the effective size of the effort cap. Based in part on public comments and through inter-office coordination within NMFS, including with the Southeast Fisheries Science Center, NMFS refined the effort cap calculations, and increased them for both of the remaining monitoring areas. For the Charleston Bump monitoring area, the effort caps increased from a proposed 69 sets (February 1 through April 30/each year) to 380 sets (same time period). For the East Florida Coast monitoring area, the effort caps increased from a proposed 124 sets per year to 250 sets per year. These changes are relevant to this ICR as the rule requires vessels to submit VMS Effort and Catch Reports for each pelagic longline set within the monitoring areas, thus the increase in the bycatch caps represents a potential increase in the number of possible VMS responses and resulting burden hours. These increases are reflected in the revised burden tables.</w:t>
      </w:r>
    </w:p>
    <w:p w:rsidR="00443517" w:rsidP="00443517" w14:paraId="79B2A95E" w14:textId="77777777">
      <w:pPr>
        <w:rPr>
          <w:szCs w:val="24"/>
        </w:rPr>
      </w:pPr>
    </w:p>
    <w:p w:rsidR="00443517" w:rsidP="00443517" w14:paraId="0BDA9F0F" w14:textId="36A2EA91">
      <w:pPr>
        <w:pStyle w:val="NormalWeb"/>
        <w:spacing w:before="0" w:beforeAutospacing="0" w:after="0" w:afterAutospacing="0"/>
      </w:pPr>
      <w:r>
        <w:rPr>
          <w:rFonts w:ascii="Cambria" w:hAnsi="Cambria"/>
          <w:color w:val="000000"/>
        </w:rPr>
        <w:t xml:space="preserve">South Carolina Department of Natural Resources commented that the requirement to pay for expanded EM review in the Charleston Bump Monitoring Area may dissuade fishermen from collecting data in the area. They suggested looking for ways to decrease the cost through a lower review rate or a combination of observers and EM on a subset of trips. NMFS received a comment that the 100-percent EM video data review requirement in monitoring areas (Sub-Alternative B3e) would be too expensive and would result in low data collection effort. </w:t>
      </w:r>
      <w:r w:rsidR="00C05E52">
        <w:rPr>
          <w:rFonts w:ascii="Cambria" w:hAnsi="Cambria"/>
          <w:color w:val="000000"/>
        </w:rPr>
        <w:t>After considering public comment and consistent with the goal of data collection, NMFS now prefers lowering the EM video review rate in the monitoring areas to 50 percent to ensure that conservation and management objectives are met. Under the revised Sub-Alternative B3e, NMFS anticipates that some vessels will choose to fish in the monitoring areas, and the 50-percent video review rate would provide detailed information on bycatch and incentivize accurate bycatch reporting by fishermen.</w:t>
      </w:r>
    </w:p>
    <w:p w:rsidR="00E66E1F" w:rsidRPr="00611DE7" w:rsidP="00C85C4E" w14:paraId="552A8A96" w14:textId="2875F973">
      <w:pPr>
        <w:tabs>
          <w:tab w:val="left" w:pos="360"/>
        </w:tabs>
        <w:spacing w:before="80"/>
        <w:rPr>
          <w:szCs w:val="24"/>
        </w:rPr>
      </w:pPr>
      <w:r>
        <w:rPr>
          <w:color w:val="000000"/>
        </w:rPr>
        <w:t xml:space="preserve"> </w:t>
      </w:r>
    </w:p>
    <w:p w:rsidR="003F389D" w:rsidRPr="00BD7237" w:rsidP="003F389D" w14:paraId="7AC308C1" w14:textId="77777777">
      <w:pPr>
        <w:pStyle w:val="ListParagraph"/>
        <w:widowControl w:val="0"/>
        <w:tabs>
          <w:tab w:val="left" w:pos="360"/>
        </w:tabs>
        <w:autoSpaceDE w:val="0"/>
        <w:autoSpaceDN w:val="0"/>
        <w:spacing w:before="80"/>
        <w:ind w:left="0"/>
        <w:contextualSpacing w:val="0"/>
        <w:rPr>
          <w:b/>
          <w:szCs w:val="24"/>
        </w:rPr>
      </w:pPr>
      <w:r>
        <w:rPr>
          <w:b/>
        </w:rPr>
        <w:t>9.</w:t>
      </w:r>
      <w:r w:rsidR="00B1698A">
        <w:rPr>
          <w:b/>
        </w:rPr>
        <w:t xml:space="preserve"> </w:t>
      </w:r>
      <w:r w:rsidRPr="00BD7237">
        <w:rPr>
          <w:b/>
          <w:szCs w:val="24"/>
        </w:rPr>
        <w:t>Explain any decision to provide any payment or gift to respondents, other than remuneration of contractors or grantees.</w:t>
      </w:r>
    </w:p>
    <w:p w:rsidR="00F170B6" w:rsidP="00F170B6" w14:paraId="0309A5F8" w14:textId="77777777"/>
    <w:p w:rsidR="008244C5" w:rsidP="00A80A26" w14:paraId="41ACD752" w14:textId="64C20A15">
      <w:pPr>
        <w:spacing w:after="120"/>
      </w:pPr>
      <w:r>
        <w:t>No payments or gifts are to be offered as part of this information collection.</w:t>
      </w:r>
    </w:p>
    <w:p w:rsidR="00AA5D4E" w:rsidP="00AA5D4E" w14:paraId="1ECD4F01" w14:textId="77777777">
      <w:pPr>
        <w:pStyle w:val="NoSpacing"/>
      </w:pPr>
    </w:p>
    <w:p w:rsidR="003F389D" w:rsidRPr="00BD7237" w:rsidP="003F389D" w14:paraId="08D5B080" w14:textId="77777777">
      <w:pPr>
        <w:pStyle w:val="ListParagraph"/>
        <w:widowControl w:val="0"/>
        <w:tabs>
          <w:tab w:val="left" w:pos="360"/>
        </w:tabs>
        <w:autoSpaceDE w:val="0"/>
        <w:autoSpaceDN w:val="0"/>
        <w:spacing w:before="80"/>
        <w:ind w:left="0"/>
        <w:contextualSpacing w:val="0"/>
        <w:rPr>
          <w:b/>
          <w:szCs w:val="24"/>
        </w:rPr>
      </w:pPr>
      <w:r>
        <w:rPr>
          <w:b/>
        </w:rPr>
        <w:t>10.</w:t>
      </w:r>
      <w:r w:rsidR="00B1698A">
        <w:rPr>
          <w:b/>
        </w:rPr>
        <w:t xml:space="preserve"> </w:t>
      </w:r>
      <w:r w:rsidRPr="00BD7237">
        <w:rPr>
          <w:b/>
          <w:szCs w:val="24"/>
        </w:rPr>
        <w:t>Describe any assurance of confidentiality provided to respondents and the basis for the assurance in statute, regulation, or agency policy. If the collection requires a systems of records notice (SORN) or privacy impact assessment (PIA), those should be cited and described here.</w:t>
      </w:r>
    </w:p>
    <w:p w:rsidR="00F170B6" w:rsidP="00F170B6" w14:paraId="2C3ABF1A" w14:textId="77777777"/>
    <w:p w:rsidR="008244C5" w:rsidP="00A80A26" w14:paraId="0A6E8776" w14:textId="71EC7C78">
      <w:pPr>
        <w:spacing w:after="120"/>
      </w:pPr>
      <w:r>
        <w:t xml:space="preserve">All </w:t>
      </w:r>
      <w:r w:rsidR="001944B5">
        <w:t>VMS reports of vessel position, fishing effort, catch</w:t>
      </w:r>
      <w:r w:rsidR="00142D99">
        <w:t>,</w:t>
      </w:r>
      <w:r w:rsidR="001944B5">
        <w:t xml:space="preserve"> and </w:t>
      </w:r>
      <w:r w:rsidR="0051486E">
        <w:t>EM</w:t>
      </w:r>
      <w:r w:rsidR="001944B5">
        <w:t xml:space="preserve"> system video reports </w:t>
      </w:r>
      <w:r>
        <w:t xml:space="preserve">received by </w:t>
      </w:r>
      <w:r w:rsidR="00884C92">
        <w:t>NMFS</w:t>
      </w:r>
      <w:r>
        <w:t xml:space="preserve"> will be treated as confidential data </w:t>
      </w:r>
      <w:r w:rsidR="00A91649">
        <w:t>to the extent required by</w:t>
      </w:r>
      <w:r>
        <w:t xml:space="preserve"> the Magnuson-Stevens Act and </w:t>
      </w:r>
      <w:hyperlink r:id="rId8" w:history="1">
        <w:r w:rsidRPr="00C54EC6">
          <w:rPr>
            <w:rStyle w:val="Hyperlink"/>
          </w:rPr>
          <w:t>NOAA Administrative Order 216-100</w:t>
        </w:r>
      </w:hyperlink>
      <w:r>
        <w:t>.</w:t>
      </w:r>
      <w:r w:rsidR="00B1698A">
        <w:t xml:space="preserve"> </w:t>
      </w:r>
      <w:r w:rsidR="00557E3C">
        <w:t xml:space="preserve">Assurances of </w:t>
      </w:r>
      <w:r w:rsidR="00A91649">
        <w:t xml:space="preserve">this </w:t>
      </w:r>
      <w:r w:rsidR="00557E3C">
        <w:t xml:space="preserve">confidentiality </w:t>
      </w:r>
      <w:r w:rsidR="00F73E8D">
        <w:t>are</w:t>
      </w:r>
      <w:r w:rsidR="00557E3C">
        <w:t xml:space="preserve"> included in the small business compliance guide and individual correspondence with vessel owners.</w:t>
      </w:r>
    </w:p>
    <w:p w:rsidR="00AA5D4E" w:rsidP="00AA5D4E" w14:paraId="4D4F7C1A" w14:textId="77777777">
      <w:pPr>
        <w:pStyle w:val="NoSpacing"/>
      </w:pPr>
    </w:p>
    <w:p w:rsidR="008244C5" w:rsidP="00F170B6" w14:paraId="7D58E129" w14:textId="3C6CF61C">
      <w:pPr>
        <w:pStyle w:val="ListParagraph"/>
        <w:widowControl w:val="0"/>
        <w:tabs>
          <w:tab w:val="left" w:pos="360"/>
        </w:tabs>
        <w:autoSpaceDE w:val="0"/>
        <w:autoSpaceDN w:val="0"/>
        <w:spacing w:before="80"/>
        <w:ind w:left="0"/>
        <w:contextualSpacing w:val="0"/>
        <w:rPr>
          <w:b/>
          <w:szCs w:val="24"/>
        </w:rPr>
      </w:pPr>
      <w:r>
        <w:rPr>
          <w:b/>
        </w:rPr>
        <w:t>11.</w:t>
      </w:r>
      <w:r w:rsidR="00B1698A">
        <w:rPr>
          <w:b/>
        </w:rPr>
        <w:t xml:space="preserve"> </w:t>
      </w:r>
      <w:r w:rsidRPr="00BD7237" w:rsidR="003F389D">
        <w:rPr>
          <w:b/>
          <w:szCs w:val="24"/>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F170B6" w:rsidP="00F170B6" w14:paraId="3B2A5FD2" w14:textId="77777777">
      <w:pPr>
        <w:pStyle w:val="ListParagraph"/>
        <w:widowControl w:val="0"/>
        <w:tabs>
          <w:tab w:val="left" w:pos="360"/>
        </w:tabs>
        <w:autoSpaceDE w:val="0"/>
        <w:autoSpaceDN w:val="0"/>
        <w:ind w:left="0"/>
        <w:contextualSpacing w:val="0"/>
      </w:pPr>
    </w:p>
    <w:p w:rsidR="00D17192" w:rsidRPr="00A80A26" w:rsidP="00A80A26" w14:paraId="66976500" w14:textId="609047AC">
      <w:pPr>
        <w:spacing w:after="120"/>
      </w:pPr>
      <w:r>
        <w:t>No questions of a sensitive nature are asked.</w:t>
      </w:r>
    </w:p>
    <w:p w:rsidR="005E2282" w14:paraId="3948BE24" w14:textId="77777777">
      <w:pPr>
        <w:rPr>
          <w:b/>
        </w:rPr>
        <w:sectPr w:rsidSect="005E2282">
          <w:headerReference w:type="even" r:id="rId9"/>
          <w:footerReference w:type="even" r:id="rId10"/>
          <w:footerReference w:type="default" r:id="rId11"/>
          <w:footnotePr>
            <w:numFmt w:val="lowerLetter"/>
          </w:footnotePr>
          <w:endnotePr>
            <w:numFmt w:val="lowerLetter"/>
          </w:endnotePr>
          <w:pgSz w:w="12240" w:h="15840"/>
          <w:pgMar w:top="810" w:right="1440" w:bottom="1440" w:left="1440" w:header="810" w:footer="1080" w:gutter="0"/>
          <w:cols w:space="720"/>
          <w:docGrid w:linePitch="326"/>
        </w:sectPr>
      </w:pPr>
    </w:p>
    <w:p w:rsidR="00276003" w:rsidP="002302BC" w14:paraId="3C6C8E78" w14:textId="71325B17">
      <w:pPr>
        <w:spacing w:after="120"/>
        <w:rPr>
          <w:b/>
          <w:szCs w:val="24"/>
        </w:rPr>
      </w:pPr>
      <w:r>
        <w:rPr>
          <w:b/>
        </w:rPr>
        <w:t>12.</w:t>
      </w:r>
      <w:r w:rsidR="00B1698A">
        <w:rPr>
          <w:b/>
        </w:rPr>
        <w:t xml:space="preserve"> </w:t>
      </w:r>
      <w:r w:rsidRPr="00BD7237" w:rsidR="003F389D">
        <w:rPr>
          <w:b/>
          <w:szCs w:val="24"/>
        </w:rPr>
        <w:t>Provide estimates of the hour burden of the collection of information.</w:t>
      </w:r>
    </w:p>
    <w:p w:rsidR="00D24270" w:rsidP="005E2282" w14:paraId="57A8D9E4" w14:textId="06082361">
      <w:pPr>
        <w:rPr>
          <w:b/>
          <w:szCs w:val="24"/>
        </w:rPr>
      </w:pPr>
      <w:r>
        <w:rPr>
          <w:b/>
          <w:szCs w:val="24"/>
        </w:rPr>
        <w:t>Vessel Owner/Operator Requirements</w:t>
      </w:r>
    </w:p>
    <w:p w:rsidR="00D24270" w:rsidP="005E2282" w14:paraId="0141FEE2" w14:textId="5BDBD1E2">
      <w:pPr>
        <w:rPr>
          <w:b/>
          <w:szCs w:val="24"/>
        </w:rPr>
      </w:pPr>
    </w:p>
    <w:p w:rsidR="00D24270" w:rsidP="005E2282" w14:paraId="1B0FA445" w14:textId="39D9F7BB">
      <w:r>
        <w:t xml:space="preserve">To date, NMFS has provided funding for the </w:t>
      </w:r>
      <w:r w:rsidR="00344DDF">
        <w:t>PLL</w:t>
      </w:r>
      <w:r>
        <w:t xml:space="preserve"> EM </w:t>
      </w:r>
      <w:r w:rsidR="00344DDF">
        <w:t>program</w:t>
      </w:r>
      <w:r>
        <w:t xml:space="preserve"> for 113 PLL vessels</w:t>
      </w:r>
      <w:r w:rsidR="00344DDF">
        <w:t>, including equipment installation</w:t>
      </w:r>
      <w:r>
        <w:t xml:space="preserve">. There are no additional vessels with PLL permits and IBQ shares that have yet to install EM equipment. </w:t>
      </w:r>
      <w:r w:rsidR="00C00210">
        <w:t xml:space="preserve">However, </w:t>
      </w:r>
      <w:r w:rsidR="005439EF">
        <w:t xml:space="preserve">under </w:t>
      </w:r>
      <w:r>
        <w:t>Amendment 15</w:t>
      </w:r>
      <w:r w:rsidR="00C00210">
        <w:t>,</w:t>
      </w:r>
      <w:r>
        <w:t xml:space="preserve"> PLL vessels </w:t>
      </w:r>
      <w:r w:rsidR="00C00210">
        <w:t>who voluntarily decide to fish in the monitoring areas would be responsible for</w:t>
      </w:r>
      <w:r>
        <w:t xml:space="preserve"> the costs associated with EM sampling</w:t>
      </w:r>
      <w:r w:rsidR="00BF74CF">
        <w:t xml:space="preserve"> within Monitoring Areas</w:t>
      </w:r>
      <w:r w:rsidR="00C00210">
        <w:t xml:space="preserve"> beyond those costs associated with the IBQ program</w:t>
      </w:r>
      <w:r>
        <w:t xml:space="preserve">. </w:t>
      </w:r>
    </w:p>
    <w:p w:rsidR="00D24270" w:rsidP="005E2282" w14:paraId="7EBD2009" w14:textId="388300AA"/>
    <w:p w:rsidR="00D24270" w:rsidRPr="00D24270" w:rsidP="005E2282" w14:paraId="14BD5C4B" w14:textId="63CDF648">
      <w:pPr>
        <w:rPr>
          <w:szCs w:val="24"/>
        </w:rPr>
      </w:pPr>
      <w:r>
        <w:rPr>
          <w:szCs w:val="24"/>
        </w:rPr>
        <w:t xml:space="preserve">A new reporting requirement for vessel operators under Amendment 15 </w:t>
      </w:r>
      <w:r w:rsidR="00EB6EBE">
        <w:rPr>
          <w:szCs w:val="24"/>
        </w:rPr>
        <w:t>would be</w:t>
      </w:r>
      <w:r>
        <w:rPr>
          <w:szCs w:val="24"/>
        </w:rPr>
        <w:t xml:space="preserve"> the requirement </w:t>
      </w:r>
      <w:r w:rsidR="00C00210">
        <w:rPr>
          <w:szCs w:val="24"/>
        </w:rPr>
        <w:t xml:space="preserve">for vessels who voluntarily decide to fish in the monitoring areas </w:t>
      </w:r>
      <w:r>
        <w:rPr>
          <w:szCs w:val="24"/>
        </w:rPr>
        <w:t xml:space="preserve">to submit bycatch reports via VMS within 12 hours of completing a PLL set on a trip that includes any fishing within a Monitoring Area. NMFS estimates up to </w:t>
      </w:r>
      <w:r w:rsidR="00EC2FAB">
        <w:rPr>
          <w:szCs w:val="24"/>
        </w:rPr>
        <w:t>20</w:t>
      </w:r>
      <w:r>
        <w:rPr>
          <w:szCs w:val="24"/>
        </w:rPr>
        <w:t xml:space="preserve"> vessels w</w:t>
      </w:r>
      <w:r w:rsidR="00EB6EBE">
        <w:rPr>
          <w:szCs w:val="24"/>
        </w:rPr>
        <w:t>ould</w:t>
      </w:r>
      <w:r>
        <w:rPr>
          <w:szCs w:val="24"/>
        </w:rPr>
        <w:t xml:space="preserve"> conduct sets within the monitoring areas, necessitating the submission of bycatch reports. We estimate each vessel w</w:t>
      </w:r>
      <w:r w:rsidR="00EB6EBE">
        <w:rPr>
          <w:szCs w:val="24"/>
        </w:rPr>
        <w:t>ould</w:t>
      </w:r>
      <w:r>
        <w:rPr>
          <w:szCs w:val="24"/>
        </w:rPr>
        <w:t xml:space="preserve"> average approximately </w:t>
      </w:r>
      <w:r w:rsidR="00EC2FAB">
        <w:rPr>
          <w:szCs w:val="24"/>
        </w:rPr>
        <w:t xml:space="preserve">32 </w:t>
      </w:r>
      <w:r>
        <w:rPr>
          <w:szCs w:val="24"/>
        </w:rPr>
        <w:t xml:space="preserve">sets on trips that include at least one set within a monitoring area, and at approximately </w:t>
      </w:r>
      <w:r w:rsidR="000D5DA7">
        <w:rPr>
          <w:szCs w:val="24"/>
        </w:rPr>
        <w:t>1</w:t>
      </w:r>
      <w:r>
        <w:rPr>
          <w:szCs w:val="24"/>
        </w:rPr>
        <w:t xml:space="preserve">5 minutes per report this would result in </w:t>
      </w:r>
      <w:r w:rsidR="00EC2FAB">
        <w:rPr>
          <w:szCs w:val="24"/>
        </w:rPr>
        <w:t xml:space="preserve">158 </w:t>
      </w:r>
      <w:r>
        <w:rPr>
          <w:szCs w:val="24"/>
        </w:rPr>
        <w:t>hours of annual reporting burden</w:t>
      </w:r>
      <w:r w:rsidR="00EC2FAB">
        <w:rPr>
          <w:szCs w:val="24"/>
        </w:rPr>
        <w:t>.</w:t>
      </w:r>
    </w:p>
    <w:p w:rsidR="00D24270" w:rsidP="005E2282" w14:paraId="240854C1" w14:textId="77777777">
      <w:pPr>
        <w:rPr>
          <w:b/>
          <w:szCs w:val="24"/>
        </w:rPr>
      </w:pPr>
    </w:p>
    <w:p w:rsidR="00D24270" w:rsidP="005E2282" w14:paraId="58A5C646" w14:textId="77777777">
      <w:pPr>
        <w:rPr>
          <w:b/>
          <w:szCs w:val="24"/>
        </w:rPr>
      </w:pPr>
    </w:p>
    <w:p w:rsidR="00D24270" w:rsidRPr="00D24270" w:rsidP="005E2282" w14:paraId="7C15F417" w14:textId="582565A2">
      <w:pPr>
        <w:rPr>
          <w:b/>
          <w:szCs w:val="24"/>
        </w:rPr>
      </w:pPr>
      <w:r>
        <w:rPr>
          <w:b/>
          <w:szCs w:val="24"/>
        </w:rPr>
        <w:t>E</w:t>
      </w:r>
      <w:r w:rsidR="00EB6EBE">
        <w:rPr>
          <w:b/>
          <w:szCs w:val="24"/>
        </w:rPr>
        <w:t>M</w:t>
      </w:r>
      <w:r>
        <w:rPr>
          <w:b/>
          <w:szCs w:val="24"/>
        </w:rPr>
        <w:t xml:space="preserve"> Service Provider Requirements</w:t>
      </w:r>
    </w:p>
    <w:p w:rsidR="00D24270" w:rsidP="005E2282" w14:paraId="0FFAD72E" w14:textId="77777777">
      <w:pPr>
        <w:rPr>
          <w:szCs w:val="24"/>
        </w:rPr>
      </w:pPr>
    </w:p>
    <w:p w:rsidR="005E2282" w:rsidRPr="00F0500B" w:rsidP="005E2282" w14:paraId="16FC3CDE" w14:textId="0692B2EB">
      <w:pPr>
        <w:rPr>
          <w:szCs w:val="24"/>
        </w:rPr>
      </w:pPr>
      <w:r w:rsidRPr="00BC116D">
        <w:rPr>
          <w:szCs w:val="24"/>
        </w:rPr>
        <w:t xml:space="preserve">NMFS anticipates receiving applications from up to </w:t>
      </w:r>
      <w:r>
        <w:rPr>
          <w:szCs w:val="24"/>
        </w:rPr>
        <w:t>4</w:t>
      </w:r>
      <w:r w:rsidRPr="00BC116D">
        <w:rPr>
          <w:szCs w:val="24"/>
        </w:rPr>
        <w:t xml:space="preserve"> service providers over the burden period. NMFS estimates it would take approximately </w:t>
      </w:r>
      <w:r w:rsidR="0020154D">
        <w:rPr>
          <w:szCs w:val="24"/>
        </w:rPr>
        <w:t>4</w:t>
      </w:r>
      <w:r w:rsidRPr="00BC116D">
        <w:rPr>
          <w:szCs w:val="24"/>
        </w:rPr>
        <w:t>5 hours for the service provider to complete the application form and prepare the narrative statements</w:t>
      </w:r>
      <w:r w:rsidR="0020154D">
        <w:rPr>
          <w:szCs w:val="24"/>
        </w:rPr>
        <w:t xml:space="preserve"> that would set out how their </w:t>
      </w:r>
      <w:r w:rsidR="004B6ECD">
        <w:rPr>
          <w:szCs w:val="24"/>
        </w:rPr>
        <w:t xml:space="preserve">systems and </w:t>
      </w:r>
      <w:r w:rsidR="0020154D">
        <w:rPr>
          <w:szCs w:val="24"/>
        </w:rPr>
        <w:t>services would meet the necessary EM requirements</w:t>
      </w:r>
      <w:r w:rsidRPr="00BC116D">
        <w:rPr>
          <w:szCs w:val="24"/>
        </w:rPr>
        <w:t xml:space="preserve">, for a total annualized burden of </w:t>
      </w:r>
      <w:r w:rsidR="0020154D">
        <w:rPr>
          <w:szCs w:val="24"/>
        </w:rPr>
        <w:t>60</w:t>
      </w:r>
      <w:r w:rsidRPr="00BC116D">
        <w:rPr>
          <w:szCs w:val="24"/>
        </w:rPr>
        <w:t xml:space="preserve"> hours (</w:t>
      </w:r>
      <w:r w:rsidR="002512CD">
        <w:rPr>
          <w:szCs w:val="24"/>
        </w:rPr>
        <w:t>4</w:t>
      </w:r>
      <w:r w:rsidRPr="00BC116D">
        <w:rPr>
          <w:szCs w:val="24"/>
        </w:rPr>
        <w:t xml:space="preserve"> providers x </w:t>
      </w:r>
      <w:r w:rsidR="0020154D">
        <w:rPr>
          <w:szCs w:val="24"/>
        </w:rPr>
        <w:t>4</w:t>
      </w:r>
      <w:r w:rsidRPr="00BC116D">
        <w:rPr>
          <w:szCs w:val="24"/>
        </w:rPr>
        <w:t xml:space="preserve">5 hours/3 years). It is anticipated that one service provider application may be rejected over the course of the burden period, which is why the </w:t>
      </w:r>
      <w:r w:rsidR="005013C6">
        <w:rPr>
          <w:szCs w:val="24"/>
        </w:rPr>
        <w:t>number</w:t>
      </w:r>
      <w:r w:rsidRPr="00BC116D">
        <w:rPr>
          <w:szCs w:val="24"/>
        </w:rPr>
        <w:t xml:space="preserve"> of entities in Table </w:t>
      </w:r>
      <w:r w:rsidR="00005890">
        <w:rPr>
          <w:szCs w:val="24"/>
        </w:rPr>
        <w:t>6</w:t>
      </w:r>
      <w:r w:rsidRPr="00BC116D" w:rsidR="00005890">
        <w:rPr>
          <w:szCs w:val="24"/>
        </w:rPr>
        <w:t xml:space="preserve"> </w:t>
      </w:r>
      <w:r w:rsidRPr="00BC116D">
        <w:rPr>
          <w:szCs w:val="24"/>
        </w:rPr>
        <w:t xml:space="preserve">begins with </w:t>
      </w:r>
      <w:r w:rsidR="002512CD">
        <w:rPr>
          <w:szCs w:val="24"/>
        </w:rPr>
        <w:t>4</w:t>
      </w:r>
      <w:r w:rsidRPr="00BC116D">
        <w:rPr>
          <w:szCs w:val="24"/>
        </w:rPr>
        <w:t xml:space="preserve"> and is reduced to </w:t>
      </w:r>
      <w:r w:rsidR="002512CD">
        <w:rPr>
          <w:szCs w:val="24"/>
        </w:rPr>
        <w:t>3</w:t>
      </w:r>
      <w:r w:rsidRPr="00BC116D">
        <w:rPr>
          <w:szCs w:val="24"/>
        </w:rPr>
        <w:t>.</w:t>
      </w:r>
      <w:r w:rsidRPr="00F0500B">
        <w:rPr>
          <w:szCs w:val="24"/>
        </w:rPr>
        <w:t xml:space="preserve"> </w:t>
      </w:r>
    </w:p>
    <w:p w:rsidR="005E2282" w:rsidRPr="00F0500B" w:rsidP="005E2282" w14:paraId="65B7C399" w14:textId="77777777">
      <w:pPr>
        <w:rPr>
          <w:szCs w:val="24"/>
        </w:rPr>
      </w:pPr>
    </w:p>
    <w:p w:rsidR="005E2282" w:rsidRPr="00F0500B" w:rsidP="005E2282" w14:paraId="7346DECE" w14:textId="449AE964">
      <w:pPr>
        <w:rPr>
          <w:szCs w:val="24"/>
        </w:rPr>
      </w:pPr>
      <w:r w:rsidRPr="00F0500B">
        <w:rPr>
          <w:szCs w:val="24"/>
        </w:rPr>
        <w:t xml:space="preserve">NMFS anticipates it would take an additional 30 minutes to compile copies of contracts and additional documents, </w:t>
      </w:r>
      <w:r w:rsidR="00FD0A24">
        <w:rPr>
          <w:szCs w:val="24"/>
        </w:rPr>
        <w:t xml:space="preserve">which would be </w:t>
      </w:r>
      <w:r w:rsidRPr="00F0500B">
        <w:rPr>
          <w:szCs w:val="24"/>
        </w:rPr>
        <w:t>provided to NMFS by certified providers (</w:t>
      </w:r>
      <w:r w:rsidR="002512CD">
        <w:rPr>
          <w:szCs w:val="24"/>
        </w:rPr>
        <w:t>3</w:t>
      </w:r>
      <w:r w:rsidRPr="00F0500B">
        <w:rPr>
          <w:szCs w:val="24"/>
        </w:rPr>
        <w:t xml:space="preserve"> respondents) upon request. The annual total number of responses per provider is estimated at </w:t>
      </w:r>
      <w:r w:rsidR="00BF74CF">
        <w:rPr>
          <w:szCs w:val="24"/>
        </w:rPr>
        <w:t>7</w:t>
      </w:r>
      <w:r w:rsidRPr="00F0500B" w:rsidR="00BF74CF">
        <w:rPr>
          <w:szCs w:val="24"/>
        </w:rPr>
        <w:t xml:space="preserve"> </w:t>
      </w:r>
      <w:r w:rsidRPr="00F0500B">
        <w:rPr>
          <w:szCs w:val="24"/>
        </w:rPr>
        <w:t xml:space="preserve">contracts and </w:t>
      </w:r>
      <w:r w:rsidR="00BF74CF">
        <w:rPr>
          <w:szCs w:val="24"/>
        </w:rPr>
        <w:t>3</w:t>
      </w:r>
      <w:r w:rsidRPr="00F0500B" w:rsidR="00BF74CF">
        <w:rPr>
          <w:szCs w:val="24"/>
        </w:rPr>
        <w:t xml:space="preserve"> </w:t>
      </w:r>
      <w:r w:rsidRPr="00F0500B">
        <w:rPr>
          <w:szCs w:val="24"/>
        </w:rPr>
        <w:t xml:space="preserve">sets of additional documents for a total annualized burden of </w:t>
      </w:r>
      <w:r w:rsidR="00BF74CF">
        <w:rPr>
          <w:szCs w:val="24"/>
        </w:rPr>
        <w:t>3.5</w:t>
      </w:r>
      <w:r w:rsidRPr="00F0500B" w:rsidR="00BF74CF">
        <w:rPr>
          <w:szCs w:val="24"/>
        </w:rPr>
        <w:t xml:space="preserve"> </w:t>
      </w:r>
      <w:r w:rsidRPr="00F0500B">
        <w:rPr>
          <w:szCs w:val="24"/>
        </w:rPr>
        <w:t>hours (3</w:t>
      </w:r>
      <w:r w:rsidR="002512CD">
        <w:rPr>
          <w:szCs w:val="24"/>
        </w:rPr>
        <w:t>0</w:t>
      </w:r>
      <w:r w:rsidRPr="00F0500B">
        <w:rPr>
          <w:szCs w:val="24"/>
        </w:rPr>
        <w:t xml:space="preserve"> contracts x 1/2 hour x </w:t>
      </w:r>
      <w:r w:rsidR="002512CD">
        <w:rPr>
          <w:szCs w:val="24"/>
        </w:rPr>
        <w:t>3</w:t>
      </w:r>
      <w:r w:rsidRPr="00F0500B">
        <w:rPr>
          <w:szCs w:val="24"/>
        </w:rPr>
        <w:t xml:space="preserve"> providers/3 years) and </w:t>
      </w:r>
      <w:r w:rsidR="00BF74CF">
        <w:rPr>
          <w:szCs w:val="24"/>
        </w:rPr>
        <w:t>1.5</w:t>
      </w:r>
      <w:r w:rsidRPr="00F0500B" w:rsidR="00BF74CF">
        <w:rPr>
          <w:szCs w:val="24"/>
        </w:rPr>
        <w:t xml:space="preserve"> </w:t>
      </w:r>
      <w:r w:rsidRPr="00F0500B">
        <w:rPr>
          <w:szCs w:val="24"/>
        </w:rPr>
        <w:t xml:space="preserve">hours (10 contracts x 1/2 hour x </w:t>
      </w:r>
      <w:r w:rsidR="002512CD">
        <w:rPr>
          <w:szCs w:val="24"/>
        </w:rPr>
        <w:t>3</w:t>
      </w:r>
      <w:r w:rsidRPr="00F0500B">
        <w:rPr>
          <w:szCs w:val="24"/>
        </w:rPr>
        <w:t xml:space="preserve"> providers/3 years) respectively.</w:t>
      </w:r>
    </w:p>
    <w:p w:rsidR="005E2282" w:rsidRPr="00F0500B" w:rsidP="005E2282" w14:paraId="00DE693E" w14:textId="77777777">
      <w:pPr>
        <w:pStyle w:val="ListParagraph"/>
        <w:ind w:left="760"/>
        <w:rPr>
          <w:szCs w:val="24"/>
        </w:rPr>
      </w:pPr>
    </w:p>
    <w:p w:rsidR="005E2282" w:rsidRPr="00F0500B" w:rsidP="005E2282" w14:paraId="6F783248" w14:textId="05913035">
      <w:pPr>
        <w:rPr>
          <w:szCs w:val="24"/>
        </w:rPr>
      </w:pPr>
      <w:r w:rsidRPr="00F0500B">
        <w:rPr>
          <w:szCs w:val="24"/>
        </w:rPr>
        <w:t>Provider appeal submissions w</w:t>
      </w:r>
      <w:r w:rsidR="003776FA">
        <w:rPr>
          <w:szCs w:val="24"/>
        </w:rPr>
        <w:t>ould</w:t>
      </w:r>
      <w:r w:rsidRPr="00F0500B">
        <w:rPr>
          <w:szCs w:val="24"/>
        </w:rPr>
        <w:t xml:space="preserve"> take approximately 4 hours to prepare. One response over 3 years is expected, for a total annualized burden of 1 hour (4 hours x 1 provider/3 years).</w:t>
      </w:r>
    </w:p>
    <w:p w:rsidR="005E2282" w:rsidRPr="00F0500B" w:rsidP="005E2282" w14:paraId="712DEE4A" w14:textId="77777777">
      <w:pPr>
        <w:pStyle w:val="ListParagraph"/>
        <w:ind w:left="760"/>
        <w:rPr>
          <w:szCs w:val="24"/>
        </w:rPr>
      </w:pPr>
    </w:p>
    <w:p w:rsidR="005E2282" w:rsidRPr="00F0500B" w:rsidP="005E2282" w14:paraId="76081401" w14:textId="0B4B80E6">
      <w:pPr>
        <w:rPr>
          <w:szCs w:val="24"/>
        </w:rPr>
      </w:pPr>
      <w:r w:rsidRPr="00F0500B">
        <w:rPr>
          <w:szCs w:val="24"/>
        </w:rPr>
        <w:t xml:space="preserve">Requests to amend </w:t>
      </w:r>
      <w:r w:rsidR="004B6ECD">
        <w:rPr>
          <w:szCs w:val="24"/>
        </w:rPr>
        <w:t>the service narratives contained in their applications</w:t>
      </w:r>
      <w:r w:rsidRPr="00F0500B">
        <w:rPr>
          <w:szCs w:val="24"/>
        </w:rPr>
        <w:t xml:space="preserve"> are expected to take up to 2 hours to complete, depending on the nature of the change. One amendment is expected to be submitted from each of </w:t>
      </w:r>
      <w:r w:rsidR="002512CD">
        <w:rPr>
          <w:szCs w:val="24"/>
        </w:rPr>
        <w:t>3</w:t>
      </w:r>
      <w:r w:rsidRPr="00F0500B">
        <w:rPr>
          <w:szCs w:val="24"/>
        </w:rPr>
        <w:t xml:space="preserve"> providers annually, for a total annual burden of </w:t>
      </w:r>
      <w:r w:rsidR="002512CD">
        <w:rPr>
          <w:szCs w:val="24"/>
        </w:rPr>
        <w:t>6</w:t>
      </w:r>
      <w:r w:rsidRPr="00F0500B">
        <w:rPr>
          <w:szCs w:val="24"/>
        </w:rPr>
        <w:t xml:space="preserve"> hours.</w:t>
      </w:r>
    </w:p>
    <w:p w:rsidR="005E2282" w:rsidRPr="00F0500B" w:rsidP="005E2282" w14:paraId="2EF45609" w14:textId="77777777">
      <w:pPr>
        <w:pStyle w:val="ListParagraph"/>
        <w:ind w:left="760"/>
        <w:rPr>
          <w:szCs w:val="24"/>
        </w:rPr>
      </w:pPr>
    </w:p>
    <w:p w:rsidR="005E2282" w:rsidRPr="00F0500B" w:rsidP="005E2282" w14:paraId="6E9571DB" w14:textId="1F5E53BD">
      <w:pPr>
        <w:rPr>
          <w:szCs w:val="24"/>
        </w:rPr>
      </w:pPr>
      <w:r w:rsidRPr="00F0500B">
        <w:rPr>
          <w:szCs w:val="24"/>
        </w:rPr>
        <w:t xml:space="preserve">Upon installing an EM system on a vessel, the EM service provider would be required to complete an EM System Certification Form and provide it to the vessel owner for inclusion in his final application. The form is expected to take 30 minutes to complete for each vessel, with a total number of </w:t>
      </w:r>
      <w:r w:rsidR="00BF74CF">
        <w:rPr>
          <w:szCs w:val="24"/>
        </w:rPr>
        <w:t>3</w:t>
      </w:r>
      <w:r w:rsidRPr="00F0500B" w:rsidR="00BF74CF">
        <w:rPr>
          <w:szCs w:val="24"/>
        </w:rPr>
        <w:t xml:space="preserve"> </w:t>
      </w:r>
      <w:r w:rsidRPr="00F0500B">
        <w:rPr>
          <w:szCs w:val="24"/>
        </w:rPr>
        <w:t>responses per year estimated (1/3 of the fleet</w:t>
      </w:r>
      <w:r w:rsidR="00BF74CF">
        <w:rPr>
          <w:szCs w:val="24"/>
        </w:rPr>
        <w:t xml:space="preserve"> fishing in Monitoring Areas</w:t>
      </w:r>
      <w:r w:rsidRPr="00F0500B">
        <w:rPr>
          <w:szCs w:val="24"/>
        </w:rPr>
        <w:t xml:space="preserve">). This results in a total annual burden of </w:t>
      </w:r>
      <w:r w:rsidR="00BF74CF">
        <w:rPr>
          <w:szCs w:val="24"/>
        </w:rPr>
        <w:t>4.5</w:t>
      </w:r>
      <w:r w:rsidRPr="00F0500B" w:rsidR="00BF74CF">
        <w:rPr>
          <w:szCs w:val="24"/>
        </w:rPr>
        <w:t xml:space="preserve"> </w:t>
      </w:r>
      <w:r w:rsidRPr="00F0500B">
        <w:rPr>
          <w:szCs w:val="24"/>
        </w:rPr>
        <w:t>hours.</w:t>
      </w:r>
    </w:p>
    <w:p w:rsidR="005E2282" w:rsidRPr="00F0500B" w:rsidP="005E2282" w14:paraId="763DCF8C" w14:textId="77777777">
      <w:pPr>
        <w:pStyle w:val="ListParagraph"/>
        <w:ind w:left="760"/>
        <w:rPr>
          <w:szCs w:val="24"/>
        </w:rPr>
      </w:pPr>
    </w:p>
    <w:p w:rsidR="005E2282" w:rsidRPr="00F0500B" w:rsidP="005E2282" w14:paraId="3C502AC4" w14:textId="7521EFE0">
      <w:pPr>
        <w:rPr>
          <w:szCs w:val="24"/>
        </w:rPr>
      </w:pPr>
      <w:r w:rsidRPr="00BC116D">
        <w:rPr>
          <w:szCs w:val="24"/>
        </w:rPr>
        <w:t xml:space="preserve">Provider reports of requests for technical assistance from vessels </w:t>
      </w:r>
      <w:r w:rsidR="00005890">
        <w:rPr>
          <w:szCs w:val="24"/>
        </w:rPr>
        <w:t xml:space="preserve">would </w:t>
      </w:r>
      <w:r w:rsidRPr="00BC116D">
        <w:rPr>
          <w:szCs w:val="24"/>
        </w:rPr>
        <w:t xml:space="preserve">consist of an email to NMFS staff summarizing the incident and resolution. This report will take approximately up to 20 minutes to complete, including follow-up responses for clarification. A total of </w:t>
      </w:r>
      <w:r w:rsidR="00BF74CF">
        <w:rPr>
          <w:szCs w:val="24"/>
        </w:rPr>
        <w:t>10</w:t>
      </w:r>
      <w:r w:rsidRPr="00BC116D" w:rsidR="00BF74CF">
        <w:rPr>
          <w:szCs w:val="24"/>
        </w:rPr>
        <w:t xml:space="preserve"> </w:t>
      </w:r>
      <w:r w:rsidRPr="00BC116D">
        <w:rPr>
          <w:szCs w:val="24"/>
        </w:rPr>
        <w:t xml:space="preserve">reports are expected to be submitted each year by each of the </w:t>
      </w:r>
      <w:r w:rsidR="002512CD">
        <w:rPr>
          <w:szCs w:val="24"/>
        </w:rPr>
        <w:t>3</w:t>
      </w:r>
      <w:r w:rsidRPr="00BC116D">
        <w:rPr>
          <w:szCs w:val="24"/>
        </w:rPr>
        <w:t xml:space="preserve"> providers, for a total annual burden of </w:t>
      </w:r>
      <w:r w:rsidR="00BF74CF">
        <w:rPr>
          <w:szCs w:val="24"/>
        </w:rPr>
        <w:t>10</w:t>
      </w:r>
      <w:r w:rsidRPr="00BC116D" w:rsidR="00BF74CF">
        <w:rPr>
          <w:szCs w:val="24"/>
        </w:rPr>
        <w:t xml:space="preserve"> </w:t>
      </w:r>
      <w:r w:rsidRPr="00BC116D">
        <w:rPr>
          <w:szCs w:val="24"/>
        </w:rPr>
        <w:t xml:space="preserve">hours (20 minutes/60 minutes x </w:t>
      </w:r>
      <w:r w:rsidR="00BF74CF">
        <w:rPr>
          <w:szCs w:val="24"/>
        </w:rPr>
        <w:t>1</w:t>
      </w:r>
      <w:r w:rsidRPr="00BC116D" w:rsidR="00BF74CF">
        <w:rPr>
          <w:szCs w:val="24"/>
        </w:rPr>
        <w:t xml:space="preserve">0 </w:t>
      </w:r>
      <w:r w:rsidRPr="00BC116D">
        <w:rPr>
          <w:szCs w:val="24"/>
        </w:rPr>
        <w:t xml:space="preserve">reports x </w:t>
      </w:r>
      <w:r w:rsidR="002512CD">
        <w:rPr>
          <w:szCs w:val="24"/>
        </w:rPr>
        <w:t>3</w:t>
      </w:r>
      <w:r w:rsidRPr="00BC116D">
        <w:rPr>
          <w:szCs w:val="24"/>
        </w:rPr>
        <w:t xml:space="preserve"> providers).</w:t>
      </w:r>
    </w:p>
    <w:p w:rsidR="005E2282" w:rsidRPr="00F0500B" w:rsidP="005E2282" w14:paraId="6A85733F" w14:textId="77777777">
      <w:pPr>
        <w:pStyle w:val="ListParagraph"/>
        <w:ind w:left="760"/>
        <w:rPr>
          <w:szCs w:val="24"/>
        </w:rPr>
      </w:pPr>
    </w:p>
    <w:p w:rsidR="005E2282" w:rsidRPr="00BC116D" w:rsidP="005E2282" w14:paraId="49F9A5BA" w14:textId="38F946F7">
      <w:pPr>
        <w:rPr>
          <w:szCs w:val="24"/>
        </w:rPr>
      </w:pPr>
      <w:r w:rsidRPr="00BC116D">
        <w:rPr>
          <w:szCs w:val="24"/>
        </w:rPr>
        <w:t>EM providers would be responsible for reviewing EM data and providing feedback to vessel operators, stori</w:t>
      </w:r>
      <w:r w:rsidR="002512CD">
        <w:rPr>
          <w:szCs w:val="24"/>
        </w:rPr>
        <w:t xml:space="preserve">ng EM data, and reporting catch </w:t>
      </w:r>
      <w:r w:rsidRPr="00BC116D">
        <w:rPr>
          <w:szCs w:val="24"/>
        </w:rPr>
        <w:t xml:space="preserve">data and compliance issues to NMFS. Providers would provide </w:t>
      </w:r>
      <w:r w:rsidR="002512CD">
        <w:rPr>
          <w:szCs w:val="24"/>
        </w:rPr>
        <w:t>quarterly reports to NMFS including all the data enumerated in Table 3 under quarterly reports</w:t>
      </w:r>
      <w:r w:rsidRPr="00BC116D">
        <w:rPr>
          <w:szCs w:val="24"/>
        </w:rPr>
        <w:t xml:space="preserve">. </w:t>
      </w:r>
      <w:r w:rsidR="002512CD">
        <w:rPr>
          <w:szCs w:val="24"/>
        </w:rPr>
        <w:t>Each quarterly</w:t>
      </w:r>
      <w:r w:rsidRPr="00BC116D">
        <w:rPr>
          <w:szCs w:val="24"/>
        </w:rPr>
        <w:t xml:space="preserve"> report will take approximately </w:t>
      </w:r>
      <w:r w:rsidR="002512CD">
        <w:rPr>
          <w:szCs w:val="24"/>
        </w:rPr>
        <w:t>40 hours to comp</w:t>
      </w:r>
      <w:r w:rsidR="00A242DD">
        <w:rPr>
          <w:szCs w:val="24"/>
        </w:rPr>
        <w:t>ile</w:t>
      </w:r>
      <w:r w:rsidRPr="00BC116D">
        <w:rPr>
          <w:szCs w:val="24"/>
        </w:rPr>
        <w:t>, result</w:t>
      </w:r>
      <w:r w:rsidR="00A242DD">
        <w:rPr>
          <w:szCs w:val="24"/>
        </w:rPr>
        <w:t>ing</w:t>
      </w:r>
      <w:r w:rsidRPr="00BC116D">
        <w:rPr>
          <w:szCs w:val="24"/>
        </w:rPr>
        <w:t xml:space="preserve"> in a total annual burden of </w:t>
      </w:r>
      <w:r w:rsidR="00BF74CF">
        <w:rPr>
          <w:szCs w:val="24"/>
        </w:rPr>
        <w:t>4</w:t>
      </w:r>
      <w:r w:rsidRPr="00BC116D" w:rsidR="00BF74CF">
        <w:rPr>
          <w:szCs w:val="24"/>
        </w:rPr>
        <w:t xml:space="preserve">80 </w:t>
      </w:r>
      <w:r w:rsidRPr="00BC116D">
        <w:rPr>
          <w:szCs w:val="24"/>
        </w:rPr>
        <w:t>hours (</w:t>
      </w:r>
      <w:r w:rsidR="00A242DD">
        <w:rPr>
          <w:szCs w:val="24"/>
        </w:rPr>
        <w:t>4</w:t>
      </w:r>
      <w:r w:rsidRPr="00BC116D">
        <w:rPr>
          <w:szCs w:val="24"/>
        </w:rPr>
        <w:t xml:space="preserve">0 </w:t>
      </w:r>
      <w:r w:rsidR="00A242DD">
        <w:rPr>
          <w:szCs w:val="24"/>
        </w:rPr>
        <w:t>hours</w:t>
      </w:r>
      <w:r w:rsidRPr="00BC116D">
        <w:rPr>
          <w:szCs w:val="24"/>
        </w:rPr>
        <w:t xml:space="preserve"> x </w:t>
      </w:r>
      <w:r w:rsidR="00BF74CF">
        <w:rPr>
          <w:color w:val="000000"/>
          <w:szCs w:val="24"/>
        </w:rPr>
        <w:t xml:space="preserve">3 </w:t>
      </w:r>
      <w:r w:rsidR="00A242DD">
        <w:rPr>
          <w:color w:val="000000"/>
          <w:szCs w:val="24"/>
        </w:rPr>
        <w:t>providers x 4 quarters</w:t>
      </w:r>
      <w:r w:rsidRPr="00BC116D">
        <w:rPr>
          <w:szCs w:val="24"/>
        </w:rPr>
        <w:t xml:space="preserve">). </w:t>
      </w:r>
    </w:p>
    <w:p w:rsidR="005E2282" w:rsidRPr="00BC116D" w:rsidP="005E2282" w14:paraId="0957B14E" w14:textId="77777777">
      <w:pPr>
        <w:pStyle w:val="ListParagraph"/>
        <w:ind w:left="760"/>
        <w:rPr>
          <w:szCs w:val="24"/>
        </w:rPr>
      </w:pPr>
    </w:p>
    <w:p w:rsidR="005E2282" w:rsidP="00C85C4E" w14:paraId="41E4135E" w14:textId="4E245396">
      <w:pPr>
        <w:rPr>
          <w:szCs w:val="24"/>
        </w:rPr>
      </w:pPr>
      <w:r>
        <w:rPr>
          <w:szCs w:val="24"/>
        </w:rPr>
        <w:t xml:space="preserve">Providers would be required to submit non-compliance reports to NMFS whenever vessel operators fail to submit their EM data, or when regular trip reviews reveal violations of NMFS regulations regarding bluefin tuna or shortfin </w:t>
      </w:r>
      <w:r>
        <w:rPr>
          <w:szCs w:val="24"/>
        </w:rPr>
        <w:t>mako</w:t>
      </w:r>
      <w:r>
        <w:rPr>
          <w:szCs w:val="24"/>
        </w:rPr>
        <w:t xml:space="preserve"> sharks. Assuming an average of one non-compliance report per vessel per year, this would result in approximately </w:t>
      </w:r>
      <w:r w:rsidR="006327AB">
        <w:rPr>
          <w:szCs w:val="24"/>
        </w:rPr>
        <w:t xml:space="preserve">10 </w:t>
      </w:r>
      <w:r>
        <w:rPr>
          <w:szCs w:val="24"/>
        </w:rPr>
        <w:t>hours of annual burden.</w:t>
      </w:r>
    </w:p>
    <w:p w:rsidR="00A242DD" w:rsidRPr="002B53E2" w:rsidP="00C85C4E" w14:paraId="0D824E76" w14:textId="77777777">
      <w:pPr>
        <w:rPr>
          <w:szCs w:val="24"/>
        </w:rPr>
      </w:pPr>
    </w:p>
    <w:p w:rsidR="005E2282" w:rsidRPr="00F0500B" w:rsidP="005E2282" w14:paraId="65C7DF9A" w14:textId="09D76F23">
      <w:pPr>
        <w:rPr>
          <w:szCs w:val="24"/>
        </w:rPr>
      </w:pPr>
      <w:r w:rsidRPr="00BC116D">
        <w:rPr>
          <w:szCs w:val="24"/>
        </w:rPr>
        <w:t>Following an EM trip</w:t>
      </w:r>
      <w:r w:rsidR="003776FA">
        <w:rPr>
          <w:szCs w:val="24"/>
        </w:rPr>
        <w:t>,</w:t>
      </w:r>
      <w:r w:rsidRPr="00BC116D">
        <w:rPr>
          <w:szCs w:val="24"/>
        </w:rPr>
        <w:t xml:space="preserve"> providers w</w:t>
      </w:r>
      <w:r w:rsidR="003776FA">
        <w:rPr>
          <w:szCs w:val="24"/>
        </w:rPr>
        <w:t>ould</w:t>
      </w:r>
      <w:r w:rsidRPr="00BC116D">
        <w:rPr>
          <w:szCs w:val="24"/>
        </w:rPr>
        <w:t xml:space="preserve"> be required to maintain</w:t>
      </w:r>
      <w:r w:rsidR="00397B13">
        <w:rPr>
          <w:szCs w:val="24"/>
        </w:rPr>
        <w:t xml:space="preserve"> video and associated metadata for a minimum of two years after the date the data is received</w:t>
      </w:r>
      <w:r w:rsidRPr="00BC116D">
        <w:rPr>
          <w:szCs w:val="24"/>
        </w:rPr>
        <w:t xml:space="preserve">. Upon request by NMFS or an authorized enforcement officer, the provider must produce EM data in the form of raw video and/or sensor data for QA/QC purposes. </w:t>
      </w:r>
      <w:r w:rsidRPr="00BC116D">
        <w:rPr>
          <w:spacing w:val="3"/>
          <w:szCs w:val="24"/>
          <w:shd w:val="clear" w:color="auto" w:fill="FFFFFF"/>
        </w:rPr>
        <w:t>The time burden would be uploading the file to a secure website where NMFS could retrieve it or downloading to a hard drive and shipping it.</w:t>
      </w:r>
      <w:r w:rsidRPr="00BC116D">
        <w:rPr>
          <w:szCs w:val="24"/>
        </w:rPr>
        <w:t xml:space="preserve"> </w:t>
      </w:r>
    </w:p>
    <w:p w:rsidR="005E2282" w:rsidRPr="00F0500B" w:rsidP="005E2282" w14:paraId="3FDA0AB6" w14:textId="77777777">
      <w:pPr>
        <w:pStyle w:val="ListParagraph"/>
        <w:ind w:left="760"/>
        <w:rPr>
          <w:szCs w:val="24"/>
        </w:rPr>
      </w:pPr>
    </w:p>
    <w:p w:rsidR="002B53E2" w:rsidP="005E2282" w14:paraId="376864F0" w14:textId="698B3974">
      <w:pPr>
        <w:pStyle w:val="ListParagraph"/>
        <w:widowControl w:val="0"/>
        <w:tabs>
          <w:tab w:val="left" w:pos="360"/>
        </w:tabs>
        <w:autoSpaceDE w:val="0"/>
        <w:autoSpaceDN w:val="0"/>
        <w:spacing w:before="80"/>
        <w:ind w:left="0"/>
        <w:contextualSpacing w:val="0"/>
        <w:rPr>
          <w:szCs w:val="24"/>
        </w:rPr>
      </w:pPr>
      <w:r w:rsidRPr="00F0500B">
        <w:rPr>
          <w:szCs w:val="24"/>
        </w:rPr>
        <w:t>The EM</w:t>
      </w:r>
      <w:r w:rsidR="00397B13">
        <w:rPr>
          <w:szCs w:val="24"/>
        </w:rPr>
        <w:t xml:space="preserve"> Service Provider</w:t>
      </w:r>
      <w:r w:rsidRPr="00F0500B">
        <w:rPr>
          <w:szCs w:val="24"/>
        </w:rPr>
        <w:t xml:space="preserve">’s employees must be available for quality assurance debriefings, if requested by NMFS or law enforcement personnel, following </w:t>
      </w:r>
      <w:r>
        <w:rPr>
          <w:szCs w:val="24"/>
        </w:rPr>
        <w:t>the submission of non-compliance reports</w:t>
      </w:r>
      <w:r w:rsidRPr="00F0500B">
        <w:rPr>
          <w:szCs w:val="24"/>
        </w:rPr>
        <w:t xml:space="preserve">. </w:t>
      </w:r>
      <w:r>
        <w:rPr>
          <w:szCs w:val="24"/>
        </w:rPr>
        <w:t xml:space="preserve">Assuming debriefings and follow-up take an average of 2 hours, and </w:t>
      </w:r>
      <w:r w:rsidR="006327AB">
        <w:rPr>
          <w:szCs w:val="24"/>
        </w:rPr>
        <w:t xml:space="preserve">7 </w:t>
      </w:r>
      <w:r>
        <w:rPr>
          <w:szCs w:val="24"/>
        </w:rPr>
        <w:t xml:space="preserve">non-compliance reports are submitted by each of the three vendors annually, this would result in a total annual burden of </w:t>
      </w:r>
      <w:r w:rsidR="006327AB">
        <w:rPr>
          <w:szCs w:val="24"/>
        </w:rPr>
        <w:t xml:space="preserve">42 </w:t>
      </w:r>
      <w:r>
        <w:rPr>
          <w:szCs w:val="24"/>
        </w:rPr>
        <w:t xml:space="preserve">hours (30 non-compliance reports x 3 vendors x 2 hours per debrief). </w:t>
      </w:r>
    </w:p>
    <w:p w:rsidR="00F47AED" w:rsidP="002B53E2" w14:paraId="78C306D0" w14:textId="77777777">
      <w:pPr>
        <w:spacing w:after="120"/>
        <w:rPr>
          <w:b/>
          <w:sz w:val="20"/>
          <w:szCs w:val="24"/>
        </w:rPr>
      </w:pPr>
    </w:p>
    <w:p w:rsidR="006B4DBE" w:rsidP="002B53E2" w14:paraId="2F236BD0" w14:textId="77777777">
      <w:pPr>
        <w:spacing w:after="120"/>
        <w:rPr>
          <w:b/>
          <w:sz w:val="20"/>
          <w:szCs w:val="24"/>
        </w:rPr>
      </w:pPr>
    </w:p>
    <w:p w:rsidR="006B4DBE" w:rsidP="002B53E2" w14:paraId="7D47CA45" w14:textId="77777777">
      <w:pPr>
        <w:spacing w:after="120"/>
        <w:rPr>
          <w:b/>
          <w:sz w:val="20"/>
          <w:szCs w:val="24"/>
        </w:rPr>
      </w:pPr>
    </w:p>
    <w:p w:rsidR="002B53E2" w:rsidRPr="00276003" w:rsidP="002B53E2" w14:paraId="73FAB8F8" w14:textId="558E27CC">
      <w:pPr>
        <w:spacing w:after="120"/>
        <w:rPr>
          <w:b/>
          <w:sz w:val="16"/>
          <w:szCs w:val="24"/>
        </w:rPr>
      </w:pPr>
      <w:r>
        <w:rPr>
          <w:b/>
          <w:sz w:val="20"/>
          <w:szCs w:val="24"/>
        </w:rPr>
        <w:t xml:space="preserve">Table </w:t>
      </w:r>
      <w:r w:rsidR="00D23A58">
        <w:rPr>
          <w:b/>
          <w:sz w:val="20"/>
          <w:szCs w:val="24"/>
        </w:rPr>
        <w:t>6</w:t>
      </w:r>
      <w:r>
        <w:rPr>
          <w:b/>
          <w:sz w:val="20"/>
          <w:szCs w:val="24"/>
        </w:rPr>
        <w:t xml:space="preserve">.  </w:t>
      </w:r>
      <w:r w:rsidRPr="00276003">
        <w:rPr>
          <w:b/>
          <w:sz w:val="20"/>
        </w:rPr>
        <w:t>Estimated number of annual respondents, responses, burden hours, and annual wage costs associated with</w:t>
      </w:r>
      <w:r>
        <w:rPr>
          <w:b/>
          <w:sz w:val="20"/>
        </w:rPr>
        <w:t xml:space="preserve"> HMS VMS and electronic monitoring requirements</w:t>
      </w:r>
      <w:r w:rsidR="006B4DBE">
        <w:rPr>
          <w:b/>
          <w:sz w:val="20"/>
        </w:rPr>
        <w:t xml:space="preserve"> being implemented under Amendment 15</w:t>
      </w:r>
      <w:r>
        <w:rPr>
          <w:b/>
          <w:sz w:val="20"/>
        </w:rPr>
        <w:t>.</w:t>
      </w:r>
    </w:p>
    <w:p w:rsidR="00F06B04" w:rsidP="003F389D" w14:paraId="19B376AE" w14:textId="77777777">
      <w:pPr>
        <w:pStyle w:val="ListParagraph"/>
        <w:widowControl w:val="0"/>
        <w:tabs>
          <w:tab w:val="left" w:pos="360"/>
        </w:tabs>
        <w:autoSpaceDE w:val="0"/>
        <w:autoSpaceDN w:val="0"/>
        <w:spacing w:before="80"/>
        <w:ind w:left="0"/>
        <w:contextualSpacing w:val="0"/>
        <w:rPr>
          <w:b/>
        </w:rPr>
      </w:pPr>
    </w:p>
    <w:tbl>
      <w:tblPr>
        <w:tblW w:w="11690" w:type="dxa"/>
        <w:tblLook w:val="04A0"/>
      </w:tblPr>
      <w:tblGrid>
        <w:gridCol w:w="2780"/>
        <w:gridCol w:w="1530"/>
        <w:gridCol w:w="1080"/>
        <w:gridCol w:w="1016"/>
        <w:gridCol w:w="960"/>
        <w:gridCol w:w="1000"/>
        <w:gridCol w:w="960"/>
        <w:gridCol w:w="1066"/>
        <w:gridCol w:w="1298"/>
      </w:tblGrid>
      <w:tr w14:paraId="538455A2" w14:textId="77777777" w:rsidTr="000D5DA7">
        <w:tblPrEx>
          <w:tblW w:w="11690" w:type="dxa"/>
          <w:tblLook w:val="04A0"/>
        </w:tblPrEx>
        <w:trPr>
          <w:trHeight w:val="1125"/>
        </w:trPr>
        <w:tc>
          <w:tcPr>
            <w:tcW w:w="2780" w:type="dxa"/>
            <w:tcBorders>
              <w:top w:val="single" w:sz="8" w:space="0" w:color="auto"/>
              <w:left w:val="single" w:sz="8" w:space="0" w:color="auto"/>
              <w:bottom w:val="nil"/>
              <w:right w:val="single" w:sz="8" w:space="0" w:color="000000"/>
            </w:tcBorders>
            <w:shd w:val="clear" w:color="000000" w:fill="BDD7EE"/>
            <w:vAlign w:val="center"/>
            <w:hideMark/>
          </w:tcPr>
          <w:p w:rsidR="005E2282" w:rsidRPr="005E2282" w:rsidP="005E2282" w14:paraId="61F6C552" w14:textId="77777777">
            <w:pPr>
              <w:jc w:val="center"/>
              <w:rPr>
                <w:rFonts w:ascii="Calibri" w:hAnsi="Calibri" w:cs="Calibri"/>
                <w:b/>
                <w:bCs/>
                <w:color w:val="000000"/>
                <w:sz w:val="16"/>
                <w:szCs w:val="16"/>
              </w:rPr>
            </w:pPr>
            <w:r w:rsidRPr="005E2282">
              <w:rPr>
                <w:rFonts w:ascii="Calibri" w:hAnsi="Calibri" w:cs="Calibri"/>
                <w:b/>
                <w:bCs/>
                <w:color w:val="000000"/>
                <w:sz w:val="16"/>
                <w:szCs w:val="16"/>
              </w:rPr>
              <w:t>Information Collection</w:t>
            </w:r>
          </w:p>
        </w:tc>
        <w:tc>
          <w:tcPr>
            <w:tcW w:w="1530" w:type="dxa"/>
            <w:tcBorders>
              <w:top w:val="single" w:sz="8" w:space="0" w:color="auto"/>
              <w:left w:val="nil"/>
              <w:bottom w:val="nil"/>
              <w:right w:val="single" w:sz="8" w:space="0" w:color="000000"/>
            </w:tcBorders>
            <w:shd w:val="clear" w:color="000000" w:fill="BDD7EE"/>
            <w:vAlign w:val="center"/>
            <w:hideMark/>
          </w:tcPr>
          <w:p w:rsidR="005E2282" w:rsidRPr="005E2282" w:rsidP="005E2282" w14:paraId="52FCB527" w14:textId="77777777">
            <w:pPr>
              <w:jc w:val="center"/>
              <w:rPr>
                <w:rFonts w:ascii="Calibri" w:hAnsi="Calibri" w:cs="Calibri"/>
                <w:b/>
                <w:bCs/>
                <w:color w:val="000000"/>
                <w:sz w:val="16"/>
                <w:szCs w:val="16"/>
              </w:rPr>
            </w:pPr>
            <w:r w:rsidRPr="005E2282">
              <w:rPr>
                <w:rFonts w:ascii="Calibri" w:hAnsi="Calibri" w:cs="Calibri"/>
                <w:b/>
                <w:bCs/>
                <w:color w:val="000000"/>
                <w:sz w:val="16"/>
                <w:szCs w:val="16"/>
              </w:rPr>
              <w:t>Type of Respondent (e.g., Profession)</w:t>
            </w:r>
          </w:p>
        </w:tc>
        <w:tc>
          <w:tcPr>
            <w:tcW w:w="1080" w:type="dxa"/>
            <w:tcBorders>
              <w:top w:val="single" w:sz="8" w:space="0" w:color="auto"/>
              <w:left w:val="nil"/>
              <w:bottom w:val="nil"/>
              <w:right w:val="single" w:sz="8" w:space="0" w:color="000000"/>
            </w:tcBorders>
            <w:shd w:val="clear" w:color="000000" w:fill="BDD7EE"/>
            <w:vAlign w:val="center"/>
            <w:hideMark/>
          </w:tcPr>
          <w:p w:rsidR="005E2282" w:rsidRPr="005E2282" w:rsidP="005E2282" w14:paraId="43BE7541" w14:textId="77777777">
            <w:pPr>
              <w:jc w:val="center"/>
              <w:rPr>
                <w:rFonts w:ascii="Calibri" w:hAnsi="Calibri" w:cs="Calibri"/>
                <w:b/>
                <w:bCs/>
                <w:color w:val="000000"/>
                <w:sz w:val="16"/>
                <w:szCs w:val="16"/>
              </w:rPr>
            </w:pPr>
            <w:r w:rsidRPr="005E2282">
              <w:rPr>
                <w:rFonts w:ascii="Calibri" w:hAnsi="Calibri" w:cs="Calibri"/>
                <w:b/>
                <w:bCs/>
                <w:color w:val="000000"/>
                <w:sz w:val="16"/>
                <w:szCs w:val="16"/>
              </w:rPr>
              <w:t># of Respondents</w:t>
            </w:r>
          </w:p>
        </w:tc>
        <w:tc>
          <w:tcPr>
            <w:tcW w:w="1016" w:type="dxa"/>
            <w:tcBorders>
              <w:top w:val="single" w:sz="8" w:space="0" w:color="auto"/>
              <w:left w:val="nil"/>
              <w:bottom w:val="nil"/>
              <w:right w:val="single" w:sz="8" w:space="0" w:color="auto"/>
            </w:tcBorders>
            <w:shd w:val="clear" w:color="000000" w:fill="BDD7EE"/>
            <w:vAlign w:val="center"/>
            <w:hideMark/>
          </w:tcPr>
          <w:p w:rsidR="005E2282" w:rsidRPr="005E2282" w:rsidP="005E2282" w14:paraId="7CA52184" w14:textId="77777777">
            <w:pPr>
              <w:jc w:val="center"/>
              <w:rPr>
                <w:rFonts w:ascii="Calibri" w:hAnsi="Calibri" w:cs="Calibri"/>
                <w:b/>
                <w:bCs/>
                <w:color w:val="000000"/>
                <w:sz w:val="16"/>
                <w:szCs w:val="16"/>
              </w:rPr>
            </w:pPr>
            <w:r w:rsidRPr="005E2282">
              <w:rPr>
                <w:rFonts w:ascii="Calibri" w:hAnsi="Calibri" w:cs="Calibri"/>
                <w:b/>
                <w:bCs/>
                <w:color w:val="000000"/>
                <w:sz w:val="16"/>
                <w:szCs w:val="16"/>
              </w:rPr>
              <w:t>Annual # of Responses / Respondent</w:t>
            </w:r>
          </w:p>
        </w:tc>
        <w:tc>
          <w:tcPr>
            <w:tcW w:w="960" w:type="dxa"/>
            <w:tcBorders>
              <w:top w:val="single" w:sz="8" w:space="0" w:color="auto"/>
              <w:left w:val="nil"/>
              <w:bottom w:val="nil"/>
              <w:right w:val="single" w:sz="8" w:space="0" w:color="auto"/>
            </w:tcBorders>
            <w:shd w:val="clear" w:color="000000" w:fill="BDD7EE"/>
            <w:vAlign w:val="center"/>
            <w:hideMark/>
          </w:tcPr>
          <w:p w:rsidR="005E2282" w:rsidRPr="005E2282" w:rsidP="005E2282" w14:paraId="6603BC29" w14:textId="77777777">
            <w:pPr>
              <w:jc w:val="center"/>
              <w:rPr>
                <w:rFonts w:ascii="Calibri" w:hAnsi="Calibri" w:cs="Calibri"/>
                <w:b/>
                <w:bCs/>
                <w:color w:val="000000"/>
                <w:sz w:val="16"/>
                <w:szCs w:val="16"/>
              </w:rPr>
            </w:pPr>
            <w:r w:rsidRPr="005E2282">
              <w:rPr>
                <w:rFonts w:ascii="Calibri" w:hAnsi="Calibri" w:cs="Calibri"/>
                <w:b/>
                <w:bCs/>
                <w:color w:val="000000"/>
                <w:sz w:val="16"/>
                <w:szCs w:val="16"/>
              </w:rPr>
              <w:t xml:space="preserve"> Total # of Annual Responses</w:t>
            </w:r>
          </w:p>
        </w:tc>
        <w:tc>
          <w:tcPr>
            <w:tcW w:w="1000" w:type="dxa"/>
            <w:tcBorders>
              <w:top w:val="single" w:sz="8" w:space="0" w:color="auto"/>
              <w:left w:val="nil"/>
              <w:bottom w:val="nil"/>
              <w:right w:val="single" w:sz="8" w:space="0" w:color="auto"/>
            </w:tcBorders>
            <w:shd w:val="clear" w:color="000000" w:fill="BDD7EE"/>
            <w:vAlign w:val="center"/>
            <w:hideMark/>
          </w:tcPr>
          <w:p w:rsidR="005E2282" w:rsidRPr="005E2282" w:rsidP="005E2282" w14:paraId="385670CC" w14:textId="77777777">
            <w:pPr>
              <w:jc w:val="center"/>
              <w:rPr>
                <w:rFonts w:ascii="Calibri" w:hAnsi="Calibri" w:cs="Calibri"/>
                <w:b/>
                <w:bCs/>
                <w:color w:val="000000"/>
                <w:sz w:val="16"/>
                <w:szCs w:val="16"/>
              </w:rPr>
            </w:pPr>
            <w:r w:rsidRPr="005E2282">
              <w:rPr>
                <w:rFonts w:ascii="Calibri" w:hAnsi="Calibri" w:cs="Calibri"/>
                <w:b/>
                <w:bCs/>
                <w:color w:val="000000"/>
                <w:sz w:val="16"/>
                <w:szCs w:val="16"/>
              </w:rPr>
              <w:t>Burden Hrs / Response</w:t>
            </w:r>
          </w:p>
        </w:tc>
        <w:tc>
          <w:tcPr>
            <w:tcW w:w="960" w:type="dxa"/>
            <w:tcBorders>
              <w:top w:val="single" w:sz="8" w:space="0" w:color="auto"/>
              <w:left w:val="nil"/>
              <w:bottom w:val="nil"/>
              <w:right w:val="single" w:sz="8" w:space="0" w:color="auto"/>
            </w:tcBorders>
            <w:shd w:val="clear" w:color="000000" w:fill="BDD7EE"/>
            <w:vAlign w:val="center"/>
            <w:hideMark/>
          </w:tcPr>
          <w:p w:rsidR="005E2282" w:rsidRPr="005E2282" w:rsidP="005E2282" w14:paraId="67321E45" w14:textId="77777777">
            <w:pPr>
              <w:jc w:val="center"/>
              <w:rPr>
                <w:rFonts w:ascii="Calibri" w:hAnsi="Calibri" w:cs="Calibri"/>
                <w:b/>
                <w:bCs/>
                <w:color w:val="000000"/>
                <w:sz w:val="16"/>
                <w:szCs w:val="16"/>
              </w:rPr>
            </w:pPr>
            <w:r w:rsidRPr="005E2282">
              <w:rPr>
                <w:rFonts w:ascii="Calibri" w:hAnsi="Calibri" w:cs="Calibri"/>
                <w:b/>
                <w:bCs/>
                <w:color w:val="000000"/>
                <w:sz w:val="16"/>
                <w:szCs w:val="16"/>
              </w:rPr>
              <w:t>Total Annual Burden Hrs</w:t>
            </w:r>
          </w:p>
        </w:tc>
        <w:tc>
          <w:tcPr>
            <w:tcW w:w="1066" w:type="dxa"/>
            <w:tcBorders>
              <w:top w:val="single" w:sz="8" w:space="0" w:color="auto"/>
              <w:left w:val="nil"/>
              <w:bottom w:val="nil"/>
              <w:right w:val="single" w:sz="8" w:space="0" w:color="auto"/>
            </w:tcBorders>
            <w:shd w:val="clear" w:color="000000" w:fill="BDD7EE"/>
            <w:vAlign w:val="center"/>
            <w:hideMark/>
          </w:tcPr>
          <w:p w:rsidR="005E2282" w:rsidRPr="005E2282" w:rsidP="005E2282" w14:paraId="08C026F2" w14:textId="77777777">
            <w:pPr>
              <w:jc w:val="center"/>
              <w:rPr>
                <w:rFonts w:ascii="Calibri" w:hAnsi="Calibri" w:cs="Calibri"/>
                <w:b/>
                <w:bCs/>
                <w:color w:val="000000"/>
                <w:sz w:val="16"/>
                <w:szCs w:val="16"/>
              </w:rPr>
            </w:pPr>
            <w:r w:rsidRPr="005E2282">
              <w:rPr>
                <w:rFonts w:ascii="Calibri" w:hAnsi="Calibri" w:cs="Calibri"/>
                <w:b/>
                <w:bCs/>
                <w:color w:val="000000"/>
                <w:sz w:val="16"/>
                <w:szCs w:val="16"/>
              </w:rPr>
              <w:t>Hourly Wage Rate  (for Type of Respondent)</w:t>
            </w:r>
          </w:p>
        </w:tc>
        <w:tc>
          <w:tcPr>
            <w:tcW w:w="1298" w:type="dxa"/>
            <w:tcBorders>
              <w:top w:val="single" w:sz="8" w:space="0" w:color="auto"/>
              <w:left w:val="nil"/>
              <w:bottom w:val="nil"/>
              <w:right w:val="single" w:sz="8" w:space="0" w:color="auto"/>
            </w:tcBorders>
            <w:shd w:val="clear" w:color="000000" w:fill="BDD7EE"/>
            <w:vAlign w:val="center"/>
            <w:hideMark/>
          </w:tcPr>
          <w:p w:rsidR="005E2282" w:rsidRPr="005E2282" w:rsidP="005E2282" w14:paraId="4EA2B847" w14:textId="77777777">
            <w:pPr>
              <w:jc w:val="center"/>
              <w:rPr>
                <w:rFonts w:ascii="Calibri" w:hAnsi="Calibri" w:cs="Calibri"/>
                <w:b/>
                <w:bCs/>
                <w:color w:val="000000"/>
                <w:sz w:val="16"/>
                <w:szCs w:val="16"/>
              </w:rPr>
            </w:pPr>
            <w:r w:rsidRPr="005E2282">
              <w:rPr>
                <w:rFonts w:ascii="Calibri" w:hAnsi="Calibri" w:cs="Calibri"/>
                <w:b/>
                <w:bCs/>
                <w:color w:val="000000"/>
                <w:sz w:val="16"/>
                <w:szCs w:val="16"/>
              </w:rPr>
              <w:t>Total Annual Wage Burden Costs</w:t>
            </w:r>
          </w:p>
        </w:tc>
      </w:tr>
      <w:tr w14:paraId="13A2BDB4" w14:textId="77777777" w:rsidTr="000D5DA7">
        <w:tblPrEx>
          <w:tblW w:w="11690" w:type="dxa"/>
          <w:tblLook w:val="04A0"/>
        </w:tblPrEx>
        <w:trPr>
          <w:trHeight w:val="423"/>
        </w:trPr>
        <w:tc>
          <w:tcPr>
            <w:tcW w:w="2780" w:type="dxa"/>
            <w:tcBorders>
              <w:top w:val="nil"/>
              <w:left w:val="single" w:sz="8" w:space="0" w:color="auto"/>
              <w:bottom w:val="single" w:sz="8" w:space="0" w:color="auto"/>
              <w:right w:val="single" w:sz="8" w:space="0" w:color="auto"/>
            </w:tcBorders>
            <w:shd w:val="clear" w:color="auto" w:fill="auto"/>
            <w:vAlign w:val="center"/>
          </w:tcPr>
          <w:p w:rsidR="00B9760F" w:rsidRPr="00B9760F" w:rsidP="005E2282" w14:paraId="41619863" w14:textId="73EEB83B">
            <w:pPr>
              <w:rPr>
                <w:rFonts w:ascii="Calibri" w:hAnsi="Calibri" w:cs="Calibri"/>
                <w:b/>
                <w:color w:val="000000"/>
                <w:sz w:val="16"/>
                <w:szCs w:val="16"/>
              </w:rPr>
            </w:pPr>
            <w:r>
              <w:rPr>
                <w:rFonts w:ascii="Calibri" w:hAnsi="Calibri" w:cs="Calibri"/>
                <w:b/>
                <w:color w:val="000000"/>
                <w:sz w:val="16"/>
                <w:szCs w:val="16"/>
              </w:rPr>
              <w:t>Vessel Owner/Operator Requirements</w:t>
            </w:r>
            <w:r w:rsidR="00AD6FEC">
              <w:rPr>
                <w:rFonts w:ascii="Calibri" w:hAnsi="Calibri" w:cs="Calibri"/>
                <w:b/>
                <w:color w:val="000000"/>
                <w:sz w:val="16"/>
                <w:szCs w:val="16"/>
              </w:rPr>
              <w:t xml:space="preserve"> (VOR)</w:t>
            </w:r>
          </w:p>
        </w:tc>
        <w:tc>
          <w:tcPr>
            <w:tcW w:w="1530" w:type="dxa"/>
            <w:tcBorders>
              <w:top w:val="nil"/>
              <w:left w:val="nil"/>
              <w:bottom w:val="single" w:sz="8" w:space="0" w:color="auto"/>
              <w:right w:val="single" w:sz="8" w:space="0" w:color="auto"/>
            </w:tcBorders>
            <w:shd w:val="clear" w:color="auto" w:fill="auto"/>
            <w:vAlign w:val="center"/>
          </w:tcPr>
          <w:p w:rsidR="00B9760F" w:rsidRPr="005E2282" w:rsidP="005E2282" w14:paraId="581FE302" w14:textId="77777777">
            <w:pPr>
              <w:jc w:val="center"/>
              <w:rPr>
                <w:rFonts w:ascii="Calibri" w:hAnsi="Calibri" w:cs="Calibri"/>
                <w:color w:val="000000"/>
                <w:sz w:val="16"/>
                <w:szCs w:val="16"/>
              </w:rPr>
            </w:pPr>
          </w:p>
        </w:tc>
        <w:tc>
          <w:tcPr>
            <w:tcW w:w="1080" w:type="dxa"/>
            <w:tcBorders>
              <w:top w:val="nil"/>
              <w:left w:val="nil"/>
              <w:bottom w:val="single" w:sz="8" w:space="0" w:color="auto"/>
              <w:right w:val="single" w:sz="8" w:space="0" w:color="auto"/>
            </w:tcBorders>
            <w:shd w:val="clear" w:color="auto" w:fill="auto"/>
            <w:vAlign w:val="center"/>
          </w:tcPr>
          <w:p w:rsidR="00B9760F" w:rsidRPr="005E2282" w:rsidP="005E2282" w14:paraId="5A54A3C9" w14:textId="77777777">
            <w:pPr>
              <w:jc w:val="right"/>
              <w:rPr>
                <w:rFonts w:ascii="Calibri" w:hAnsi="Calibri" w:cs="Calibri"/>
                <w:color w:val="000000"/>
                <w:sz w:val="16"/>
                <w:szCs w:val="16"/>
              </w:rPr>
            </w:pPr>
          </w:p>
        </w:tc>
        <w:tc>
          <w:tcPr>
            <w:tcW w:w="1016" w:type="dxa"/>
            <w:tcBorders>
              <w:top w:val="nil"/>
              <w:left w:val="nil"/>
              <w:bottom w:val="single" w:sz="8" w:space="0" w:color="auto"/>
              <w:right w:val="single" w:sz="8" w:space="0" w:color="auto"/>
            </w:tcBorders>
            <w:shd w:val="clear" w:color="auto" w:fill="auto"/>
            <w:vAlign w:val="center"/>
          </w:tcPr>
          <w:p w:rsidR="00B9760F" w:rsidRPr="005E2282" w:rsidP="005E2282" w14:paraId="7C1C2A9C" w14:textId="77777777">
            <w:pPr>
              <w:jc w:val="right"/>
              <w:rPr>
                <w:rFonts w:ascii="Calibri" w:hAnsi="Calibri" w:cs="Calibri"/>
                <w:color w:val="000000"/>
                <w:sz w:val="16"/>
                <w:szCs w:val="16"/>
              </w:rPr>
            </w:pPr>
          </w:p>
        </w:tc>
        <w:tc>
          <w:tcPr>
            <w:tcW w:w="960" w:type="dxa"/>
            <w:tcBorders>
              <w:top w:val="nil"/>
              <w:left w:val="nil"/>
              <w:bottom w:val="single" w:sz="8" w:space="0" w:color="auto"/>
              <w:right w:val="single" w:sz="8" w:space="0" w:color="auto"/>
            </w:tcBorders>
            <w:shd w:val="clear" w:color="auto" w:fill="auto"/>
            <w:vAlign w:val="center"/>
          </w:tcPr>
          <w:p w:rsidR="00B9760F" w:rsidRPr="005E2282" w:rsidP="005E2282" w14:paraId="5F9BA5A5" w14:textId="77777777">
            <w:pPr>
              <w:jc w:val="right"/>
              <w:rPr>
                <w:rFonts w:ascii="Calibri" w:hAnsi="Calibri" w:cs="Calibri"/>
                <w:color w:val="000000"/>
                <w:sz w:val="16"/>
                <w:szCs w:val="16"/>
              </w:rPr>
            </w:pPr>
          </w:p>
        </w:tc>
        <w:tc>
          <w:tcPr>
            <w:tcW w:w="1000" w:type="dxa"/>
            <w:tcBorders>
              <w:top w:val="nil"/>
              <w:left w:val="nil"/>
              <w:bottom w:val="single" w:sz="8" w:space="0" w:color="auto"/>
              <w:right w:val="single" w:sz="8" w:space="0" w:color="auto"/>
            </w:tcBorders>
            <w:shd w:val="clear" w:color="auto" w:fill="auto"/>
            <w:vAlign w:val="center"/>
          </w:tcPr>
          <w:p w:rsidR="00B9760F" w:rsidRPr="005E2282" w:rsidP="005E2282" w14:paraId="712E9842" w14:textId="77777777">
            <w:pPr>
              <w:jc w:val="right"/>
              <w:rPr>
                <w:rFonts w:ascii="Calibri" w:hAnsi="Calibri" w:cs="Calibri"/>
                <w:color w:val="000000"/>
                <w:sz w:val="16"/>
                <w:szCs w:val="16"/>
              </w:rPr>
            </w:pPr>
          </w:p>
        </w:tc>
        <w:tc>
          <w:tcPr>
            <w:tcW w:w="960" w:type="dxa"/>
            <w:tcBorders>
              <w:top w:val="nil"/>
              <w:left w:val="nil"/>
              <w:bottom w:val="single" w:sz="8" w:space="0" w:color="auto"/>
              <w:right w:val="single" w:sz="8" w:space="0" w:color="auto"/>
            </w:tcBorders>
            <w:shd w:val="clear" w:color="auto" w:fill="auto"/>
            <w:vAlign w:val="center"/>
          </w:tcPr>
          <w:p w:rsidR="00B9760F" w:rsidRPr="005E2282" w:rsidP="005E2282" w14:paraId="23941CB5" w14:textId="77777777">
            <w:pPr>
              <w:jc w:val="right"/>
              <w:rPr>
                <w:rFonts w:ascii="Calibri" w:hAnsi="Calibri" w:cs="Calibri"/>
                <w:color w:val="000000"/>
                <w:sz w:val="16"/>
                <w:szCs w:val="16"/>
              </w:rPr>
            </w:pPr>
          </w:p>
        </w:tc>
        <w:tc>
          <w:tcPr>
            <w:tcW w:w="1066" w:type="dxa"/>
            <w:tcBorders>
              <w:top w:val="nil"/>
              <w:left w:val="nil"/>
              <w:bottom w:val="single" w:sz="8" w:space="0" w:color="auto"/>
              <w:right w:val="single" w:sz="8" w:space="0" w:color="auto"/>
            </w:tcBorders>
            <w:shd w:val="clear" w:color="auto" w:fill="auto"/>
            <w:noWrap/>
            <w:vAlign w:val="center"/>
          </w:tcPr>
          <w:p w:rsidR="00B9760F" w:rsidRPr="005E2282" w:rsidP="005E2282" w14:paraId="041E01A2" w14:textId="77777777">
            <w:pPr>
              <w:jc w:val="right"/>
              <w:rPr>
                <w:rFonts w:ascii="Calibri" w:hAnsi="Calibri" w:cs="Calibri"/>
                <w:color w:val="000000"/>
                <w:sz w:val="16"/>
                <w:szCs w:val="16"/>
              </w:rPr>
            </w:pPr>
          </w:p>
        </w:tc>
        <w:tc>
          <w:tcPr>
            <w:tcW w:w="1298" w:type="dxa"/>
            <w:tcBorders>
              <w:top w:val="nil"/>
              <w:left w:val="nil"/>
              <w:bottom w:val="single" w:sz="8" w:space="0" w:color="auto"/>
              <w:right w:val="single" w:sz="8" w:space="0" w:color="auto"/>
            </w:tcBorders>
            <w:shd w:val="clear" w:color="auto" w:fill="auto"/>
            <w:noWrap/>
            <w:vAlign w:val="center"/>
          </w:tcPr>
          <w:p w:rsidR="00B9760F" w:rsidRPr="005E2282" w:rsidP="005E2282" w14:paraId="0E3147F8" w14:textId="77777777">
            <w:pPr>
              <w:jc w:val="right"/>
              <w:rPr>
                <w:rFonts w:ascii="Calibri" w:hAnsi="Calibri" w:cs="Calibri"/>
                <w:color w:val="000000"/>
                <w:sz w:val="16"/>
                <w:szCs w:val="16"/>
              </w:rPr>
            </w:pPr>
          </w:p>
        </w:tc>
      </w:tr>
      <w:tr w14:paraId="1D888356" w14:textId="77777777" w:rsidTr="000D5DA7">
        <w:tblPrEx>
          <w:tblW w:w="11690" w:type="dxa"/>
          <w:tblLook w:val="04A0"/>
        </w:tblPrEx>
        <w:trPr>
          <w:trHeight w:val="315"/>
        </w:trPr>
        <w:tc>
          <w:tcPr>
            <w:tcW w:w="2780" w:type="dxa"/>
            <w:tcBorders>
              <w:top w:val="nil"/>
              <w:left w:val="single" w:sz="8" w:space="0" w:color="auto"/>
              <w:bottom w:val="single" w:sz="8" w:space="0" w:color="auto"/>
              <w:right w:val="single" w:sz="8" w:space="0" w:color="auto"/>
            </w:tcBorders>
            <w:shd w:val="clear" w:color="auto" w:fill="auto"/>
            <w:vAlign w:val="center"/>
          </w:tcPr>
          <w:p w:rsidR="00355747" w:rsidRPr="005E2282" w:rsidP="00A1369D" w14:paraId="540C4E50" w14:textId="3746A7F6">
            <w:pPr>
              <w:rPr>
                <w:rFonts w:ascii="Calibri" w:hAnsi="Calibri" w:cs="Calibri"/>
                <w:color w:val="000000"/>
                <w:sz w:val="16"/>
                <w:szCs w:val="16"/>
              </w:rPr>
            </w:pPr>
            <w:r>
              <w:rPr>
                <w:rFonts w:ascii="Calibri" w:hAnsi="Calibri" w:cs="Calibri"/>
                <w:color w:val="000000"/>
                <w:sz w:val="16"/>
                <w:szCs w:val="16"/>
              </w:rPr>
              <w:t>M</w:t>
            </w:r>
            <w:r>
              <w:rPr>
                <w:rFonts w:ascii="Calibri" w:hAnsi="Calibri" w:cs="Calibri"/>
                <w:color w:val="000000"/>
                <w:sz w:val="16"/>
                <w:szCs w:val="16"/>
              </w:rPr>
              <w:t>ailing EM hard drives for monitoring area trips</w:t>
            </w:r>
          </w:p>
        </w:tc>
        <w:tc>
          <w:tcPr>
            <w:tcW w:w="1530" w:type="dxa"/>
            <w:tcBorders>
              <w:top w:val="nil"/>
              <w:left w:val="nil"/>
              <w:bottom w:val="single" w:sz="8" w:space="0" w:color="auto"/>
              <w:right w:val="single" w:sz="8" w:space="0" w:color="auto"/>
            </w:tcBorders>
            <w:shd w:val="clear" w:color="auto" w:fill="auto"/>
            <w:vAlign w:val="center"/>
          </w:tcPr>
          <w:p w:rsidR="00355747" w:rsidRPr="005E2282" w:rsidP="006327AB" w14:paraId="772522A2" w14:textId="366E77EF">
            <w:pPr>
              <w:jc w:val="center"/>
              <w:rPr>
                <w:rFonts w:ascii="Calibri" w:hAnsi="Calibri" w:cs="Calibri"/>
                <w:color w:val="000000"/>
                <w:sz w:val="16"/>
                <w:szCs w:val="16"/>
              </w:rPr>
            </w:pPr>
            <w:r>
              <w:rPr>
                <w:rFonts w:ascii="Calibri" w:hAnsi="Calibri" w:cs="Calibri"/>
                <w:color w:val="000000"/>
                <w:sz w:val="16"/>
                <w:szCs w:val="16"/>
              </w:rPr>
              <w:t>Fisherman</w:t>
            </w:r>
          </w:p>
        </w:tc>
        <w:tc>
          <w:tcPr>
            <w:tcW w:w="1080" w:type="dxa"/>
            <w:tcBorders>
              <w:top w:val="nil"/>
              <w:left w:val="nil"/>
              <w:bottom w:val="single" w:sz="8" w:space="0" w:color="auto"/>
              <w:right w:val="single" w:sz="8" w:space="0" w:color="auto"/>
            </w:tcBorders>
            <w:shd w:val="clear" w:color="auto" w:fill="auto"/>
            <w:vAlign w:val="center"/>
          </w:tcPr>
          <w:p w:rsidR="00355747" w:rsidRPr="0029305F" w:rsidP="006327AB" w14:paraId="66AE9D4E" w14:textId="476A4AA8">
            <w:pPr>
              <w:jc w:val="right"/>
              <w:rPr>
                <w:rFonts w:ascii="Calibri" w:hAnsi="Calibri" w:cs="Calibri"/>
                <w:sz w:val="16"/>
                <w:szCs w:val="16"/>
              </w:rPr>
            </w:pPr>
            <w:r>
              <w:rPr>
                <w:rFonts w:ascii="Calibri" w:hAnsi="Calibri" w:cs="Calibri"/>
                <w:sz w:val="16"/>
                <w:szCs w:val="16"/>
              </w:rPr>
              <w:t>20</w:t>
            </w:r>
          </w:p>
        </w:tc>
        <w:tc>
          <w:tcPr>
            <w:tcW w:w="1016" w:type="dxa"/>
            <w:tcBorders>
              <w:top w:val="nil"/>
              <w:left w:val="nil"/>
              <w:bottom w:val="single" w:sz="8" w:space="0" w:color="auto"/>
              <w:right w:val="single" w:sz="8" w:space="0" w:color="auto"/>
            </w:tcBorders>
            <w:shd w:val="clear" w:color="auto" w:fill="auto"/>
            <w:vAlign w:val="center"/>
          </w:tcPr>
          <w:p w:rsidR="00355747" w:rsidRPr="0029305F" w:rsidP="006327AB" w14:paraId="53D5AE4C" w14:textId="53BEE160">
            <w:pPr>
              <w:jc w:val="right"/>
              <w:rPr>
                <w:rFonts w:ascii="Calibri" w:hAnsi="Calibri" w:cs="Calibri"/>
                <w:sz w:val="16"/>
                <w:szCs w:val="16"/>
              </w:rPr>
            </w:pPr>
            <w:r>
              <w:rPr>
                <w:rFonts w:ascii="Calibri" w:hAnsi="Calibri" w:cs="Calibri"/>
                <w:sz w:val="16"/>
                <w:szCs w:val="16"/>
              </w:rPr>
              <w:t>3</w:t>
            </w:r>
          </w:p>
        </w:tc>
        <w:tc>
          <w:tcPr>
            <w:tcW w:w="960" w:type="dxa"/>
            <w:tcBorders>
              <w:top w:val="nil"/>
              <w:left w:val="nil"/>
              <w:bottom w:val="single" w:sz="8" w:space="0" w:color="auto"/>
              <w:right w:val="single" w:sz="8" w:space="0" w:color="auto"/>
            </w:tcBorders>
            <w:shd w:val="clear" w:color="auto" w:fill="auto"/>
            <w:vAlign w:val="center"/>
          </w:tcPr>
          <w:p w:rsidR="00355747" w:rsidRPr="0029305F" w:rsidP="006327AB" w14:paraId="478C8834" w14:textId="0E85A9E7">
            <w:pPr>
              <w:jc w:val="right"/>
              <w:rPr>
                <w:rFonts w:ascii="Calibri" w:hAnsi="Calibri" w:cs="Calibri"/>
                <w:sz w:val="16"/>
                <w:szCs w:val="16"/>
              </w:rPr>
            </w:pPr>
            <w:r>
              <w:rPr>
                <w:rFonts w:ascii="Calibri" w:hAnsi="Calibri" w:cs="Calibri"/>
                <w:sz w:val="16"/>
                <w:szCs w:val="16"/>
              </w:rPr>
              <w:t>60</w:t>
            </w:r>
          </w:p>
        </w:tc>
        <w:tc>
          <w:tcPr>
            <w:tcW w:w="1000" w:type="dxa"/>
            <w:tcBorders>
              <w:top w:val="nil"/>
              <w:left w:val="nil"/>
              <w:bottom w:val="single" w:sz="8" w:space="0" w:color="auto"/>
              <w:right w:val="single" w:sz="8" w:space="0" w:color="auto"/>
            </w:tcBorders>
            <w:shd w:val="clear" w:color="auto" w:fill="auto"/>
            <w:vAlign w:val="center"/>
          </w:tcPr>
          <w:p w:rsidR="00355747" w:rsidRPr="0029305F" w:rsidP="006327AB" w14:paraId="7552109F" w14:textId="38D3ABAE">
            <w:pPr>
              <w:jc w:val="right"/>
              <w:rPr>
                <w:rFonts w:ascii="Calibri" w:hAnsi="Calibri" w:cs="Calibri"/>
                <w:sz w:val="16"/>
                <w:szCs w:val="16"/>
              </w:rPr>
            </w:pPr>
            <w:r>
              <w:rPr>
                <w:rFonts w:ascii="Calibri" w:hAnsi="Calibri" w:cs="Calibri"/>
                <w:sz w:val="16"/>
                <w:szCs w:val="16"/>
              </w:rPr>
              <w:t>1</w:t>
            </w:r>
          </w:p>
        </w:tc>
        <w:tc>
          <w:tcPr>
            <w:tcW w:w="960" w:type="dxa"/>
            <w:tcBorders>
              <w:top w:val="nil"/>
              <w:left w:val="nil"/>
              <w:bottom w:val="single" w:sz="8" w:space="0" w:color="auto"/>
              <w:right w:val="single" w:sz="8" w:space="0" w:color="auto"/>
            </w:tcBorders>
            <w:shd w:val="clear" w:color="auto" w:fill="auto"/>
            <w:vAlign w:val="center"/>
          </w:tcPr>
          <w:p w:rsidR="00355747" w:rsidRPr="0029305F" w:rsidP="006327AB" w14:paraId="6854ACE1" w14:textId="36BD2CD0">
            <w:pPr>
              <w:jc w:val="right"/>
              <w:rPr>
                <w:rFonts w:ascii="Calibri" w:hAnsi="Calibri" w:cs="Calibri"/>
                <w:sz w:val="16"/>
                <w:szCs w:val="16"/>
              </w:rPr>
            </w:pPr>
            <w:r>
              <w:rPr>
                <w:rFonts w:ascii="Calibri" w:hAnsi="Calibri" w:cs="Calibri"/>
                <w:sz w:val="16"/>
                <w:szCs w:val="16"/>
              </w:rPr>
              <w:t>60</w:t>
            </w:r>
          </w:p>
        </w:tc>
        <w:tc>
          <w:tcPr>
            <w:tcW w:w="1066" w:type="dxa"/>
            <w:tcBorders>
              <w:top w:val="nil"/>
              <w:left w:val="nil"/>
              <w:bottom w:val="single" w:sz="8" w:space="0" w:color="auto"/>
              <w:right w:val="single" w:sz="8" w:space="0" w:color="auto"/>
            </w:tcBorders>
            <w:shd w:val="clear" w:color="auto" w:fill="auto"/>
            <w:noWrap/>
            <w:vAlign w:val="center"/>
          </w:tcPr>
          <w:p w:rsidR="00355747" w:rsidRPr="0029305F" w:rsidP="006327AB" w14:paraId="13791D2A" w14:textId="4394BEBF">
            <w:pPr>
              <w:jc w:val="right"/>
              <w:rPr>
                <w:rFonts w:ascii="Calibri" w:hAnsi="Calibri" w:cs="Calibri"/>
                <w:sz w:val="16"/>
                <w:szCs w:val="16"/>
              </w:rPr>
            </w:pPr>
            <w:r>
              <w:rPr>
                <w:rFonts w:ascii="Calibri" w:hAnsi="Calibri" w:cs="Calibri"/>
                <w:sz w:val="16"/>
                <w:szCs w:val="16"/>
              </w:rPr>
              <w:t>$26.18</w:t>
            </w:r>
          </w:p>
        </w:tc>
        <w:tc>
          <w:tcPr>
            <w:tcW w:w="1298" w:type="dxa"/>
            <w:tcBorders>
              <w:top w:val="nil"/>
              <w:left w:val="nil"/>
              <w:bottom w:val="single" w:sz="8" w:space="0" w:color="auto"/>
              <w:right w:val="single" w:sz="8" w:space="0" w:color="auto"/>
            </w:tcBorders>
            <w:shd w:val="clear" w:color="auto" w:fill="auto"/>
            <w:noWrap/>
            <w:vAlign w:val="center"/>
          </w:tcPr>
          <w:p w:rsidR="00355747" w:rsidRPr="0029305F" w:rsidP="006327AB" w14:paraId="28609D8A" w14:textId="29ABC3B2">
            <w:pPr>
              <w:jc w:val="right"/>
              <w:rPr>
                <w:rFonts w:ascii="Calibri" w:hAnsi="Calibri" w:cs="Calibri"/>
                <w:sz w:val="16"/>
                <w:szCs w:val="16"/>
              </w:rPr>
            </w:pPr>
            <w:r>
              <w:rPr>
                <w:rFonts w:ascii="Calibri" w:hAnsi="Calibri" w:cs="Calibri"/>
                <w:sz w:val="16"/>
                <w:szCs w:val="16"/>
              </w:rPr>
              <w:t>$1,570.80</w:t>
            </w:r>
          </w:p>
        </w:tc>
      </w:tr>
      <w:tr w14:paraId="6C6408FE" w14:textId="77777777" w:rsidTr="000D5DA7">
        <w:tblPrEx>
          <w:tblW w:w="11690" w:type="dxa"/>
          <w:tblLook w:val="04A0"/>
        </w:tblPrEx>
        <w:trPr>
          <w:trHeight w:val="315"/>
        </w:trPr>
        <w:tc>
          <w:tcPr>
            <w:tcW w:w="2780" w:type="dxa"/>
            <w:tcBorders>
              <w:top w:val="nil"/>
              <w:left w:val="single" w:sz="8" w:space="0" w:color="auto"/>
              <w:bottom w:val="single" w:sz="8" w:space="0" w:color="auto"/>
              <w:right w:val="single" w:sz="8" w:space="0" w:color="auto"/>
            </w:tcBorders>
            <w:shd w:val="clear" w:color="auto" w:fill="auto"/>
            <w:vAlign w:val="center"/>
            <w:hideMark/>
          </w:tcPr>
          <w:p w:rsidR="006327AB" w:rsidRPr="005E2282" w:rsidP="006327AB" w14:paraId="6568C519" w14:textId="68892C18">
            <w:pPr>
              <w:rPr>
                <w:rFonts w:ascii="Calibri" w:hAnsi="Calibri" w:cs="Calibri"/>
                <w:color w:val="000000"/>
                <w:sz w:val="16"/>
                <w:szCs w:val="16"/>
              </w:rPr>
            </w:pPr>
            <w:r w:rsidRPr="005E2282">
              <w:rPr>
                <w:rFonts w:ascii="Calibri" w:hAnsi="Calibri" w:cs="Calibri"/>
                <w:color w:val="000000"/>
                <w:sz w:val="16"/>
                <w:szCs w:val="16"/>
              </w:rPr>
              <w:t xml:space="preserve">VMS Monitoring Area </w:t>
            </w:r>
            <w:r>
              <w:rPr>
                <w:rFonts w:ascii="Calibri" w:hAnsi="Calibri" w:cs="Calibri"/>
                <w:color w:val="000000"/>
                <w:sz w:val="16"/>
                <w:szCs w:val="16"/>
              </w:rPr>
              <w:t xml:space="preserve">Effort and </w:t>
            </w:r>
            <w:r w:rsidRPr="005E2282">
              <w:rPr>
                <w:rFonts w:ascii="Calibri" w:hAnsi="Calibri" w:cs="Calibri"/>
                <w:color w:val="000000"/>
                <w:sz w:val="16"/>
                <w:szCs w:val="16"/>
              </w:rPr>
              <w:t>Catch Reports</w:t>
            </w:r>
          </w:p>
        </w:tc>
        <w:tc>
          <w:tcPr>
            <w:tcW w:w="1530" w:type="dxa"/>
            <w:tcBorders>
              <w:top w:val="nil"/>
              <w:left w:val="nil"/>
              <w:bottom w:val="single" w:sz="8" w:space="0" w:color="auto"/>
              <w:right w:val="single" w:sz="8" w:space="0" w:color="auto"/>
            </w:tcBorders>
            <w:shd w:val="clear" w:color="auto" w:fill="auto"/>
            <w:vAlign w:val="center"/>
            <w:hideMark/>
          </w:tcPr>
          <w:p w:rsidR="006327AB" w:rsidRPr="005E2282" w:rsidP="006327AB" w14:paraId="7F5E45B7" w14:textId="77777777">
            <w:pPr>
              <w:jc w:val="center"/>
              <w:rPr>
                <w:rFonts w:ascii="Calibri" w:hAnsi="Calibri" w:cs="Calibri"/>
                <w:color w:val="000000"/>
                <w:sz w:val="16"/>
                <w:szCs w:val="16"/>
              </w:rPr>
            </w:pPr>
            <w:r w:rsidRPr="005E2282">
              <w:rPr>
                <w:rFonts w:ascii="Calibri" w:hAnsi="Calibri" w:cs="Calibri"/>
                <w:color w:val="000000"/>
                <w:sz w:val="16"/>
                <w:szCs w:val="16"/>
              </w:rPr>
              <w:t>Fisherman</w:t>
            </w:r>
          </w:p>
        </w:tc>
        <w:tc>
          <w:tcPr>
            <w:tcW w:w="1080" w:type="dxa"/>
            <w:tcBorders>
              <w:top w:val="nil"/>
              <w:left w:val="nil"/>
              <w:bottom w:val="single" w:sz="8" w:space="0" w:color="auto"/>
              <w:right w:val="single" w:sz="8" w:space="0" w:color="auto"/>
            </w:tcBorders>
            <w:shd w:val="clear" w:color="auto" w:fill="auto"/>
            <w:vAlign w:val="center"/>
            <w:hideMark/>
          </w:tcPr>
          <w:p w:rsidR="006327AB" w:rsidRPr="0029305F" w:rsidP="006327AB" w14:paraId="5EA5846D" w14:textId="34F4A3C2">
            <w:pPr>
              <w:jc w:val="right"/>
              <w:rPr>
                <w:rFonts w:ascii="Calibri" w:hAnsi="Calibri" w:cs="Calibri"/>
                <w:sz w:val="16"/>
                <w:szCs w:val="16"/>
              </w:rPr>
            </w:pPr>
            <w:r w:rsidRPr="0029305F">
              <w:rPr>
                <w:rFonts w:ascii="Calibri" w:hAnsi="Calibri" w:cs="Calibri"/>
                <w:sz w:val="16"/>
                <w:szCs w:val="16"/>
              </w:rPr>
              <w:t>20</w:t>
            </w:r>
          </w:p>
        </w:tc>
        <w:tc>
          <w:tcPr>
            <w:tcW w:w="1016" w:type="dxa"/>
            <w:tcBorders>
              <w:top w:val="nil"/>
              <w:left w:val="nil"/>
              <w:bottom w:val="single" w:sz="8" w:space="0" w:color="auto"/>
              <w:right w:val="single" w:sz="8" w:space="0" w:color="auto"/>
            </w:tcBorders>
            <w:shd w:val="clear" w:color="auto" w:fill="auto"/>
            <w:vAlign w:val="center"/>
            <w:hideMark/>
          </w:tcPr>
          <w:p w:rsidR="006327AB" w:rsidRPr="0029305F" w:rsidP="006327AB" w14:paraId="0ED628AF" w14:textId="283B10BC">
            <w:pPr>
              <w:jc w:val="right"/>
              <w:rPr>
                <w:rFonts w:ascii="Calibri" w:hAnsi="Calibri" w:cs="Calibri"/>
                <w:sz w:val="16"/>
                <w:szCs w:val="16"/>
              </w:rPr>
            </w:pPr>
            <w:r w:rsidRPr="0029305F">
              <w:rPr>
                <w:rFonts w:ascii="Calibri" w:hAnsi="Calibri" w:cs="Calibri"/>
                <w:sz w:val="16"/>
                <w:szCs w:val="16"/>
              </w:rPr>
              <w:t>31.5</w:t>
            </w:r>
          </w:p>
        </w:tc>
        <w:tc>
          <w:tcPr>
            <w:tcW w:w="960" w:type="dxa"/>
            <w:tcBorders>
              <w:top w:val="nil"/>
              <w:left w:val="nil"/>
              <w:bottom w:val="single" w:sz="8" w:space="0" w:color="auto"/>
              <w:right w:val="single" w:sz="8" w:space="0" w:color="auto"/>
            </w:tcBorders>
            <w:shd w:val="clear" w:color="auto" w:fill="auto"/>
            <w:vAlign w:val="center"/>
            <w:hideMark/>
          </w:tcPr>
          <w:p w:rsidR="006327AB" w:rsidRPr="0029305F" w:rsidP="006327AB" w14:paraId="48E3884E" w14:textId="7CFDCC2B">
            <w:pPr>
              <w:jc w:val="right"/>
              <w:rPr>
                <w:rFonts w:ascii="Calibri" w:hAnsi="Calibri" w:cs="Calibri"/>
                <w:sz w:val="16"/>
                <w:szCs w:val="16"/>
              </w:rPr>
            </w:pPr>
            <w:r w:rsidRPr="0029305F">
              <w:rPr>
                <w:rFonts w:ascii="Calibri" w:hAnsi="Calibri" w:cs="Calibri"/>
                <w:sz w:val="16"/>
                <w:szCs w:val="16"/>
              </w:rPr>
              <w:t>630</w:t>
            </w:r>
          </w:p>
        </w:tc>
        <w:tc>
          <w:tcPr>
            <w:tcW w:w="1000" w:type="dxa"/>
            <w:tcBorders>
              <w:top w:val="nil"/>
              <w:left w:val="nil"/>
              <w:bottom w:val="single" w:sz="8" w:space="0" w:color="auto"/>
              <w:right w:val="single" w:sz="8" w:space="0" w:color="auto"/>
            </w:tcBorders>
            <w:shd w:val="clear" w:color="auto" w:fill="auto"/>
            <w:vAlign w:val="center"/>
            <w:hideMark/>
          </w:tcPr>
          <w:p w:rsidR="006327AB" w:rsidRPr="0029305F" w:rsidP="006327AB" w14:paraId="5BF10428" w14:textId="2F8E7F97">
            <w:pPr>
              <w:jc w:val="right"/>
              <w:rPr>
                <w:rFonts w:ascii="Calibri" w:hAnsi="Calibri" w:cs="Calibri"/>
                <w:sz w:val="16"/>
                <w:szCs w:val="16"/>
              </w:rPr>
            </w:pPr>
            <w:r w:rsidRPr="0029305F">
              <w:rPr>
                <w:rFonts w:ascii="Calibri" w:hAnsi="Calibri" w:cs="Calibri"/>
                <w:sz w:val="16"/>
                <w:szCs w:val="16"/>
              </w:rPr>
              <w:t>0.25</w:t>
            </w:r>
          </w:p>
        </w:tc>
        <w:tc>
          <w:tcPr>
            <w:tcW w:w="960" w:type="dxa"/>
            <w:tcBorders>
              <w:top w:val="nil"/>
              <w:left w:val="nil"/>
              <w:bottom w:val="single" w:sz="8" w:space="0" w:color="auto"/>
              <w:right w:val="single" w:sz="8" w:space="0" w:color="auto"/>
            </w:tcBorders>
            <w:shd w:val="clear" w:color="auto" w:fill="auto"/>
            <w:vAlign w:val="center"/>
            <w:hideMark/>
          </w:tcPr>
          <w:p w:rsidR="006327AB" w:rsidRPr="0029305F" w:rsidP="006327AB" w14:paraId="48395AFB" w14:textId="08C181FA">
            <w:pPr>
              <w:jc w:val="right"/>
              <w:rPr>
                <w:rFonts w:ascii="Calibri" w:hAnsi="Calibri" w:cs="Calibri"/>
                <w:sz w:val="16"/>
                <w:szCs w:val="16"/>
              </w:rPr>
            </w:pPr>
            <w:r w:rsidRPr="0029305F">
              <w:rPr>
                <w:rFonts w:ascii="Calibri" w:hAnsi="Calibri" w:cs="Calibri"/>
                <w:sz w:val="16"/>
                <w:szCs w:val="16"/>
              </w:rPr>
              <w:t>158</w:t>
            </w:r>
          </w:p>
        </w:tc>
        <w:tc>
          <w:tcPr>
            <w:tcW w:w="1066" w:type="dxa"/>
            <w:tcBorders>
              <w:top w:val="nil"/>
              <w:left w:val="nil"/>
              <w:bottom w:val="single" w:sz="8" w:space="0" w:color="auto"/>
              <w:right w:val="single" w:sz="8" w:space="0" w:color="auto"/>
            </w:tcBorders>
            <w:shd w:val="clear" w:color="auto" w:fill="auto"/>
            <w:noWrap/>
            <w:vAlign w:val="center"/>
            <w:hideMark/>
          </w:tcPr>
          <w:p w:rsidR="006327AB" w:rsidRPr="0029305F" w:rsidP="006327AB" w14:paraId="5B6430F7" w14:textId="02A3F731">
            <w:pPr>
              <w:jc w:val="right"/>
              <w:rPr>
                <w:rFonts w:ascii="Calibri" w:hAnsi="Calibri" w:cs="Calibri"/>
                <w:sz w:val="16"/>
                <w:szCs w:val="16"/>
              </w:rPr>
            </w:pPr>
            <w:r w:rsidRPr="0029305F">
              <w:rPr>
                <w:rFonts w:ascii="Calibri" w:hAnsi="Calibri" w:cs="Calibri"/>
                <w:sz w:val="16"/>
                <w:szCs w:val="16"/>
              </w:rPr>
              <w:t xml:space="preserve">$26.18 </w:t>
            </w:r>
          </w:p>
        </w:tc>
        <w:tc>
          <w:tcPr>
            <w:tcW w:w="1298" w:type="dxa"/>
            <w:tcBorders>
              <w:top w:val="nil"/>
              <w:left w:val="nil"/>
              <w:bottom w:val="single" w:sz="8" w:space="0" w:color="auto"/>
              <w:right w:val="single" w:sz="8" w:space="0" w:color="auto"/>
            </w:tcBorders>
            <w:shd w:val="clear" w:color="auto" w:fill="auto"/>
            <w:noWrap/>
            <w:vAlign w:val="center"/>
            <w:hideMark/>
          </w:tcPr>
          <w:p w:rsidR="006327AB" w:rsidRPr="0029305F" w:rsidP="006327AB" w14:paraId="2DB74F25" w14:textId="57A17B7E">
            <w:pPr>
              <w:jc w:val="right"/>
              <w:rPr>
                <w:rFonts w:ascii="Calibri" w:hAnsi="Calibri" w:cs="Calibri"/>
                <w:sz w:val="16"/>
                <w:szCs w:val="16"/>
              </w:rPr>
            </w:pPr>
            <w:r w:rsidRPr="0029305F">
              <w:rPr>
                <w:rFonts w:ascii="Calibri" w:hAnsi="Calibri" w:cs="Calibri"/>
                <w:sz w:val="16"/>
                <w:szCs w:val="16"/>
              </w:rPr>
              <w:t xml:space="preserve">$4,123.35 </w:t>
            </w:r>
          </w:p>
        </w:tc>
      </w:tr>
      <w:tr w14:paraId="2175F706" w14:textId="77777777" w:rsidTr="000D5DA7">
        <w:tblPrEx>
          <w:tblW w:w="11690" w:type="dxa"/>
          <w:tblLook w:val="04A0"/>
        </w:tblPrEx>
        <w:trPr>
          <w:trHeight w:val="315"/>
        </w:trPr>
        <w:tc>
          <w:tcPr>
            <w:tcW w:w="2780" w:type="dxa"/>
            <w:tcBorders>
              <w:top w:val="nil"/>
              <w:left w:val="single" w:sz="8" w:space="0" w:color="auto"/>
              <w:bottom w:val="single" w:sz="8" w:space="0" w:color="auto"/>
              <w:right w:val="single" w:sz="8" w:space="0" w:color="auto"/>
            </w:tcBorders>
            <w:shd w:val="clear" w:color="auto" w:fill="auto"/>
            <w:vAlign w:val="center"/>
            <w:hideMark/>
          </w:tcPr>
          <w:p w:rsidR="006327AB" w:rsidRPr="005E2282" w:rsidP="006327AB" w14:paraId="54B9EE36" w14:textId="77777777">
            <w:pPr>
              <w:rPr>
                <w:rFonts w:ascii="Calibri" w:hAnsi="Calibri" w:cs="Calibri"/>
                <w:color w:val="000000"/>
                <w:sz w:val="16"/>
                <w:szCs w:val="16"/>
              </w:rPr>
            </w:pPr>
            <w:r w:rsidRPr="005E2282">
              <w:rPr>
                <w:rFonts w:ascii="Calibri" w:hAnsi="Calibri" w:cs="Calibri"/>
                <w:color w:val="000000"/>
                <w:sz w:val="16"/>
                <w:szCs w:val="16"/>
              </w:rPr>
              <w:t> </w:t>
            </w:r>
          </w:p>
        </w:tc>
        <w:tc>
          <w:tcPr>
            <w:tcW w:w="1530" w:type="dxa"/>
            <w:tcBorders>
              <w:top w:val="nil"/>
              <w:left w:val="nil"/>
              <w:bottom w:val="single" w:sz="8" w:space="0" w:color="auto"/>
              <w:right w:val="single" w:sz="8" w:space="0" w:color="auto"/>
            </w:tcBorders>
            <w:shd w:val="clear" w:color="auto" w:fill="auto"/>
            <w:vAlign w:val="center"/>
            <w:hideMark/>
          </w:tcPr>
          <w:p w:rsidR="006327AB" w:rsidRPr="005E2282" w:rsidP="006327AB" w14:paraId="7BF463DB" w14:textId="77777777">
            <w:pPr>
              <w:jc w:val="center"/>
              <w:rPr>
                <w:rFonts w:ascii="Calibri" w:hAnsi="Calibri" w:cs="Calibri"/>
                <w:color w:val="000000"/>
                <w:sz w:val="16"/>
                <w:szCs w:val="16"/>
              </w:rPr>
            </w:pPr>
            <w:r w:rsidRPr="005E2282">
              <w:rPr>
                <w:rFonts w:ascii="Calibri" w:hAnsi="Calibri" w:cs="Calibri"/>
                <w:color w:val="000000"/>
                <w:sz w:val="16"/>
                <w:szCs w:val="16"/>
              </w:rPr>
              <w:t> </w:t>
            </w:r>
          </w:p>
        </w:tc>
        <w:tc>
          <w:tcPr>
            <w:tcW w:w="1080" w:type="dxa"/>
            <w:tcBorders>
              <w:top w:val="nil"/>
              <w:left w:val="nil"/>
              <w:bottom w:val="single" w:sz="8" w:space="0" w:color="auto"/>
              <w:right w:val="single" w:sz="8" w:space="0" w:color="auto"/>
            </w:tcBorders>
            <w:shd w:val="clear" w:color="auto" w:fill="auto"/>
            <w:vAlign w:val="center"/>
            <w:hideMark/>
          </w:tcPr>
          <w:p w:rsidR="006327AB" w:rsidRPr="005E2282" w:rsidP="006327AB" w14:paraId="69A7CB62" w14:textId="690B6FB5">
            <w:pPr>
              <w:jc w:val="right"/>
              <w:rPr>
                <w:rFonts w:ascii="Calibri" w:hAnsi="Calibri" w:cs="Calibri"/>
                <w:color w:val="000000"/>
                <w:sz w:val="16"/>
                <w:szCs w:val="16"/>
              </w:rPr>
            </w:pPr>
            <w:r>
              <w:rPr>
                <w:rFonts w:ascii="Calibri" w:hAnsi="Calibri" w:cs="Calibri"/>
                <w:color w:val="000000"/>
                <w:sz w:val="16"/>
                <w:szCs w:val="16"/>
              </w:rPr>
              <w:t> </w:t>
            </w:r>
          </w:p>
        </w:tc>
        <w:tc>
          <w:tcPr>
            <w:tcW w:w="1016" w:type="dxa"/>
            <w:tcBorders>
              <w:top w:val="nil"/>
              <w:left w:val="nil"/>
              <w:bottom w:val="single" w:sz="8" w:space="0" w:color="auto"/>
              <w:right w:val="single" w:sz="8" w:space="0" w:color="auto"/>
            </w:tcBorders>
            <w:shd w:val="clear" w:color="auto" w:fill="auto"/>
            <w:vAlign w:val="center"/>
            <w:hideMark/>
          </w:tcPr>
          <w:p w:rsidR="006327AB" w:rsidRPr="005E2282" w:rsidP="006327AB" w14:paraId="65324E22" w14:textId="76C951E9">
            <w:pPr>
              <w:jc w:val="right"/>
              <w:rPr>
                <w:rFonts w:ascii="Calibri" w:hAnsi="Calibri" w:cs="Calibri"/>
                <w:color w:val="000000"/>
                <w:sz w:val="16"/>
                <w:szCs w:val="16"/>
              </w:rPr>
            </w:pPr>
            <w:r>
              <w:rPr>
                <w:rFonts w:ascii="Calibri" w:hAnsi="Calibri" w:cs="Calibri"/>
                <w:color w:val="000000"/>
                <w:sz w:val="16"/>
                <w:szCs w:val="16"/>
              </w:rPr>
              <w:t> </w:t>
            </w:r>
          </w:p>
        </w:tc>
        <w:tc>
          <w:tcPr>
            <w:tcW w:w="960" w:type="dxa"/>
            <w:tcBorders>
              <w:top w:val="nil"/>
              <w:left w:val="nil"/>
              <w:bottom w:val="single" w:sz="8" w:space="0" w:color="auto"/>
              <w:right w:val="single" w:sz="8" w:space="0" w:color="auto"/>
            </w:tcBorders>
            <w:shd w:val="clear" w:color="auto" w:fill="auto"/>
            <w:vAlign w:val="center"/>
            <w:hideMark/>
          </w:tcPr>
          <w:p w:rsidR="006327AB" w:rsidRPr="005E2282" w:rsidP="006327AB" w14:paraId="55EC5EE5" w14:textId="24584BB6">
            <w:pPr>
              <w:jc w:val="right"/>
              <w:rPr>
                <w:rFonts w:ascii="Calibri" w:hAnsi="Calibri" w:cs="Calibri"/>
                <w:color w:val="000000"/>
                <w:sz w:val="16"/>
                <w:szCs w:val="16"/>
              </w:rPr>
            </w:pPr>
            <w:r>
              <w:rPr>
                <w:rFonts w:ascii="Calibri" w:hAnsi="Calibri" w:cs="Calibri"/>
                <w:color w:val="000000"/>
                <w:sz w:val="16"/>
                <w:szCs w:val="16"/>
              </w:rPr>
              <w:t> </w:t>
            </w:r>
          </w:p>
        </w:tc>
        <w:tc>
          <w:tcPr>
            <w:tcW w:w="1000" w:type="dxa"/>
            <w:tcBorders>
              <w:top w:val="nil"/>
              <w:left w:val="nil"/>
              <w:bottom w:val="single" w:sz="8" w:space="0" w:color="auto"/>
              <w:right w:val="single" w:sz="8" w:space="0" w:color="auto"/>
            </w:tcBorders>
            <w:shd w:val="clear" w:color="auto" w:fill="auto"/>
            <w:vAlign w:val="center"/>
            <w:hideMark/>
          </w:tcPr>
          <w:p w:rsidR="006327AB" w:rsidRPr="005E2282" w:rsidP="006327AB" w14:paraId="68014A49" w14:textId="6A5D4687">
            <w:pPr>
              <w:jc w:val="right"/>
              <w:rPr>
                <w:rFonts w:ascii="Calibri" w:hAnsi="Calibri" w:cs="Calibri"/>
                <w:color w:val="000000"/>
                <w:sz w:val="16"/>
                <w:szCs w:val="16"/>
              </w:rPr>
            </w:pPr>
            <w:r>
              <w:rPr>
                <w:rFonts w:ascii="Calibri" w:hAnsi="Calibri" w:cs="Calibri"/>
                <w:color w:val="000000"/>
                <w:sz w:val="16"/>
                <w:szCs w:val="16"/>
              </w:rPr>
              <w:t> </w:t>
            </w:r>
          </w:p>
        </w:tc>
        <w:tc>
          <w:tcPr>
            <w:tcW w:w="960" w:type="dxa"/>
            <w:tcBorders>
              <w:top w:val="nil"/>
              <w:left w:val="nil"/>
              <w:bottom w:val="single" w:sz="8" w:space="0" w:color="auto"/>
              <w:right w:val="single" w:sz="8" w:space="0" w:color="auto"/>
            </w:tcBorders>
            <w:shd w:val="clear" w:color="auto" w:fill="auto"/>
            <w:vAlign w:val="center"/>
            <w:hideMark/>
          </w:tcPr>
          <w:p w:rsidR="006327AB" w:rsidRPr="005E2282" w:rsidP="006327AB" w14:paraId="148BBD38" w14:textId="176798D7">
            <w:pPr>
              <w:jc w:val="right"/>
              <w:rPr>
                <w:rFonts w:ascii="Calibri" w:hAnsi="Calibri" w:cs="Calibri"/>
                <w:color w:val="000000"/>
                <w:sz w:val="16"/>
                <w:szCs w:val="16"/>
              </w:rPr>
            </w:pPr>
            <w:r>
              <w:rPr>
                <w:rFonts w:ascii="Calibri" w:hAnsi="Calibri" w:cs="Calibri"/>
                <w:color w:val="000000"/>
                <w:sz w:val="16"/>
                <w:szCs w:val="16"/>
              </w:rPr>
              <w:t> </w:t>
            </w:r>
          </w:p>
        </w:tc>
        <w:tc>
          <w:tcPr>
            <w:tcW w:w="1066" w:type="dxa"/>
            <w:tcBorders>
              <w:top w:val="nil"/>
              <w:left w:val="nil"/>
              <w:bottom w:val="single" w:sz="8" w:space="0" w:color="auto"/>
              <w:right w:val="single" w:sz="8" w:space="0" w:color="auto"/>
            </w:tcBorders>
            <w:shd w:val="clear" w:color="auto" w:fill="auto"/>
            <w:noWrap/>
            <w:vAlign w:val="center"/>
            <w:hideMark/>
          </w:tcPr>
          <w:p w:rsidR="006327AB" w:rsidRPr="005E2282" w:rsidP="006327AB" w14:paraId="4FE6D9FF" w14:textId="7C5F23E1">
            <w:pPr>
              <w:jc w:val="right"/>
              <w:rPr>
                <w:rFonts w:ascii="Calibri" w:hAnsi="Calibri" w:cs="Calibri"/>
                <w:color w:val="000000"/>
                <w:sz w:val="16"/>
                <w:szCs w:val="16"/>
              </w:rPr>
            </w:pPr>
            <w:r>
              <w:rPr>
                <w:rFonts w:ascii="Calibri" w:hAnsi="Calibri" w:cs="Calibri"/>
                <w:color w:val="000000"/>
                <w:sz w:val="16"/>
                <w:szCs w:val="16"/>
              </w:rPr>
              <w:t> </w:t>
            </w:r>
          </w:p>
        </w:tc>
        <w:tc>
          <w:tcPr>
            <w:tcW w:w="1298" w:type="dxa"/>
            <w:tcBorders>
              <w:top w:val="nil"/>
              <w:left w:val="nil"/>
              <w:bottom w:val="single" w:sz="8" w:space="0" w:color="auto"/>
              <w:right w:val="single" w:sz="8" w:space="0" w:color="auto"/>
            </w:tcBorders>
            <w:shd w:val="clear" w:color="auto" w:fill="auto"/>
            <w:noWrap/>
            <w:vAlign w:val="center"/>
            <w:hideMark/>
          </w:tcPr>
          <w:p w:rsidR="006327AB" w:rsidRPr="005E2282" w:rsidP="006327AB" w14:paraId="6645DE81" w14:textId="68F05C48">
            <w:pPr>
              <w:jc w:val="right"/>
              <w:rPr>
                <w:rFonts w:ascii="Calibri" w:hAnsi="Calibri" w:cs="Calibri"/>
                <w:color w:val="000000"/>
                <w:sz w:val="16"/>
                <w:szCs w:val="16"/>
              </w:rPr>
            </w:pPr>
            <w:r>
              <w:rPr>
                <w:rFonts w:ascii="Calibri" w:hAnsi="Calibri" w:cs="Calibri"/>
                <w:color w:val="000000"/>
                <w:sz w:val="16"/>
                <w:szCs w:val="16"/>
              </w:rPr>
              <w:t> </w:t>
            </w:r>
          </w:p>
        </w:tc>
      </w:tr>
      <w:tr w14:paraId="079E815A" w14:textId="77777777" w:rsidTr="000D5DA7">
        <w:tblPrEx>
          <w:tblW w:w="11690" w:type="dxa"/>
          <w:tblLook w:val="04A0"/>
        </w:tblPrEx>
        <w:trPr>
          <w:trHeight w:val="315"/>
        </w:trPr>
        <w:tc>
          <w:tcPr>
            <w:tcW w:w="2780" w:type="dxa"/>
            <w:tcBorders>
              <w:top w:val="nil"/>
              <w:left w:val="single" w:sz="8" w:space="0" w:color="auto"/>
              <w:bottom w:val="single" w:sz="8" w:space="0" w:color="auto"/>
              <w:right w:val="nil"/>
            </w:tcBorders>
            <w:shd w:val="clear" w:color="auto" w:fill="auto"/>
            <w:vAlign w:val="center"/>
            <w:hideMark/>
          </w:tcPr>
          <w:p w:rsidR="006327AB" w:rsidRPr="005E2282" w:rsidP="006327AB" w14:paraId="459253D5" w14:textId="175F045E">
            <w:pPr>
              <w:rPr>
                <w:rFonts w:ascii="Calibri" w:hAnsi="Calibri" w:cs="Calibri"/>
                <w:b/>
                <w:bCs/>
                <w:color w:val="000000"/>
                <w:sz w:val="16"/>
                <w:szCs w:val="16"/>
              </w:rPr>
            </w:pPr>
            <w:r w:rsidRPr="005E2282">
              <w:rPr>
                <w:rFonts w:ascii="Calibri" w:hAnsi="Calibri" w:cs="Calibri"/>
                <w:b/>
                <w:bCs/>
                <w:color w:val="000000"/>
                <w:sz w:val="16"/>
                <w:szCs w:val="16"/>
              </w:rPr>
              <w:t>EM Service Provider Requirements</w:t>
            </w:r>
            <w:r w:rsidR="00AD6FEC">
              <w:rPr>
                <w:rFonts w:ascii="Calibri" w:hAnsi="Calibri" w:cs="Calibri"/>
                <w:b/>
                <w:bCs/>
                <w:color w:val="000000"/>
                <w:sz w:val="16"/>
                <w:szCs w:val="16"/>
              </w:rPr>
              <w:t xml:space="preserve"> (EMSPR)</w:t>
            </w:r>
          </w:p>
        </w:tc>
        <w:tc>
          <w:tcPr>
            <w:tcW w:w="1530" w:type="dxa"/>
            <w:tcBorders>
              <w:top w:val="nil"/>
              <w:left w:val="single" w:sz="8" w:space="0" w:color="auto"/>
              <w:bottom w:val="nil"/>
              <w:right w:val="single" w:sz="8" w:space="0" w:color="auto"/>
            </w:tcBorders>
            <w:shd w:val="clear" w:color="auto" w:fill="auto"/>
            <w:vAlign w:val="center"/>
            <w:hideMark/>
          </w:tcPr>
          <w:p w:rsidR="006327AB" w:rsidRPr="005E2282" w:rsidP="006327AB" w14:paraId="19A6E421" w14:textId="77777777">
            <w:pPr>
              <w:jc w:val="center"/>
              <w:rPr>
                <w:rFonts w:ascii="Calibri" w:hAnsi="Calibri" w:cs="Calibri"/>
                <w:color w:val="000000"/>
                <w:sz w:val="16"/>
                <w:szCs w:val="16"/>
              </w:rPr>
            </w:pPr>
            <w:r w:rsidRPr="005E2282">
              <w:rPr>
                <w:rFonts w:ascii="Calibri" w:hAnsi="Calibri" w:cs="Calibri"/>
                <w:color w:val="000000"/>
                <w:sz w:val="16"/>
                <w:szCs w:val="16"/>
              </w:rPr>
              <w:t> </w:t>
            </w:r>
          </w:p>
        </w:tc>
        <w:tc>
          <w:tcPr>
            <w:tcW w:w="1080" w:type="dxa"/>
            <w:tcBorders>
              <w:top w:val="nil"/>
              <w:left w:val="nil"/>
              <w:bottom w:val="single" w:sz="8" w:space="0" w:color="auto"/>
              <w:right w:val="single" w:sz="8" w:space="0" w:color="auto"/>
            </w:tcBorders>
            <w:shd w:val="clear" w:color="auto" w:fill="auto"/>
            <w:vAlign w:val="center"/>
            <w:hideMark/>
          </w:tcPr>
          <w:p w:rsidR="006327AB" w:rsidRPr="005E2282" w:rsidP="006327AB" w14:paraId="328A7FFC" w14:textId="68112593">
            <w:pPr>
              <w:jc w:val="right"/>
              <w:rPr>
                <w:rFonts w:ascii="Calibri" w:hAnsi="Calibri" w:cs="Calibri"/>
                <w:color w:val="000000"/>
                <w:sz w:val="16"/>
                <w:szCs w:val="16"/>
              </w:rPr>
            </w:pPr>
            <w:r>
              <w:rPr>
                <w:rFonts w:ascii="Calibri" w:hAnsi="Calibri" w:cs="Calibri"/>
                <w:color w:val="000000"/>
                <w:sz w:val="16"/>
                <w:szCs w:val="16"/>
              </w:rPr>
              <w:t> </w:t>
            </w:r>
          </w:p>
        </w:tc>
        <w:tc>
          <w:tcPr>
            <w:tcW w:w="1016" w:type="dxa"/>
            <w:tcBorders>
              <w:top w:val="nil"/>
              <w:left w:val="nil"/>
              <w:bottom w:val="single" w:sz="8" w:space="0" w:color="auto"/>
              <w:right w:val="single" w:sz="8" w:space="0" w:color="auto"/>
            </w:tcBorders>
            <w:shd w:val="clear" w:color="auto" w:fill="auto"/>
            <w:vAlign w:val="center"/>
            <w:hideMark/>
          </w:tcPr>
          <w:p w:rsidR="006327AB" w:rsidRPr="005E2282" w:rsidP="006327AB" w14:paraId="065CB0A8" w14:textId="74DB560F">
            <w:pPr>
              <w:jc w:val="right"/>
              <w:rPr>
                <w:rFonts w:ascii="Calibri" w:hAnsi="Calibri" w:cs="Calibri"/>
                <w:color w:val="000000"/>
                <w:sz w:val="16"/>
                <w:szCs w:val="16"/>
              </w:rPr>
            </w:pPr>
            <w:r>
              <w:rPr>
                <w:rFonts w:ascii="Calibri" w:hAnsi="Calibri" w:cs="Calibri"/>
                <w:color w:val="000000"/>
                <w:sz w:val="16"/>
                <w:szCs w:val="16"/>
              </w:rPr>
              <w:t> </w:t>
            </w:r>
          </w:p>
        </w:tc>
        <w:tc>
          <w:tcPr>
            <w:tcW w:w="960" w:type="dxa"/>
            <w:tcBorders>
              <w:top w:val="nil"/>
              <w:left w:val="nil"/>
              <w:bottom w:val="single" w:sz="8" w:space="0" w:color="auto"/>
              <w:right w:val="single" w:sz="8" w:space="0" w:color="auto"/>
            </w:tcBorders>
            <w:shd w:val="clear" w:color="auto" w:fill="auto"/>
            <w:vAlign w:val="center"/>
            <w:hideMark/>
          </w:tcPr>
          <w:p w:rsidR="006327AB" w:rsidRPr="005E2282" w:rsidP="006327AB" w14:paraId="2CF1C2CC" w14:textId="1D817F9A">
            <w:pPr>
              <w:jc w:val="right"/>
              <w:rPr>
                <w:rFonts w:ascii="Calibri" w:hAnsi="Calibri" w:cs="Calibri"/>
                <w:color w:val="000000"/>
                <w:sz w:val="16"/>
                <w:szCs w:val="16"/>
              </w:rPr>
            </w:pPr>
            <w:r>
              <w:rPr>
                <w:rFonts w:ascii="Calibri" w:hAnsi="Calibri" w:cs="Calibri"/>
                <w:color w:val="000000"/>
                <w:sz w:val="16"/>
                <w:szCs w:val="16"/>
              </w:rPr>
              <w:t> </w:t>
            </w:r>
          </w:p>
        </w:tc>
        <w:tc>
          <w:tcPr>
            <w:tcW w:w="1000" w:type="dxa"/>
            <w:tcBorders>
              <w:top w:val="nil"/>
              <w:left w:val="nil"/>
              <w:bottom w:val="single" w:sz="8" w:space="0" w:color="auto"/>
              <w:right w:val="single" w:sz="8" w:space="0" w:color="auto"/>
            </w:tcBorders>
            <w:shd w:val="clear" w:color="auto" w:fill="auto"/>
            <w:vAlign w:val="center"/>
            <w:hideMark/>
          </w:tcPr>
          <w:p w:rsidR="006327AB" w:rsidRPr="005E2282" w:rsidP="006327AB" w14:paraId="51CAD490" w14:textId="0C08FE0E">
            <w:pPr>
              <w:jc w:val="right"/>
              <w:rPr>
                <w:rFonts w:ascii="Calibri" w:hAnsi="Calibri" w:cs="Calibri"/>
                <w:color w:val="000000"/>
                <w:sz w:val="16"/>
                <w:szCs w:val="16"/>
              </w:rPr>
            </w:pPr>
            <w:r>
              <w:rPr>
                <w:rFonts w:ascii="Calibri" w:hAnsi="Calibri" w:cs="Calibri"/>
                <w:color w:val="000000"/>
                <w:sz w:val="16"/>
                <w:szCs w:val="16"/>
              </w:rPr>
              <w:t> </w:t>
            </w:r>
          </w:p>
        </w:tc>
        <w:tc>
          <w:tcPr>
            <w:tcW w:w="960" w:type="dxa"/>
            <w:tcBorders>
              <w:top w:val="nil"/>
              <w:left w:val="nil"/>
              <w:bottom w:val="single" w:sz="8" w:space="0" w:color="auto"/>
              <w:right w:val="single" w:sz="8" w:space="0" w:color="auto"/>
            </w:tcBorders>
            <w:shd w:val="clear" w:color="auto" w:fill="auto"/>
            <w:vAlign w:val="center"/>
            <w:hideMark/>
          </w:tcPr>
          <w:p w:rsidR="006327AB" w:rsidRPr="005E2282" w:rsidP="006327AB" w14:paraId="6D498AF3" w14:textId="50072106">
            <w:pPr>
              <w:jc w:val="right"/>
              <w:rPr>
                <w:rFonts w:ascii="Calibri" w:hAnsi="Calibri" w:cs="Calibri"/>
                <w:color w:val="000000"/>
                <w:sz w:val="16"/>
                <w:szCs w:val="16"/>
              </w:rPr>
            </w:pPr>
            <w:r>
              <w:rPr>
                <w:rFonts w:ascii="Calibri" w:hAnsi="Calibri" w:cs="Calibri"/>
                <w:color w:val="000000"/>
                <w:sz w:val="16"/>
                <w:szCs w:val="16"/>
              </w:rPr>
              <w:t> </w:t>
            </w:r>
          </w:p>
        </w:tc>
        <w:tc>
          <w:tcPr>
            <w:tcW w:w="1066" w:type="dxa"/>
            <w:tcBorders>
              <w:top w:val="nil"/>
              <w:left w:val="nil"/>
              <w:bottom w:val="single" w:sz="8" w:space="0" w:color="auto"/>
              <w:right w:val="single" w:sz="8" w:space="0" w:color="auto"/>
            </w:tcBorders>
            <w:shd w:val="clear" w:color="auto" w:fill="auto"/>
            <w:noWrap/>
            <w:vAlign w:val="center"/>
            <w:hideMark/>
          </w:tcPr>
          <w:p w:rsidR="006327AB" w:rsidRPr="005E2282" w:rsidP="006327AB" w14:paraId="39648909" w14:textId="3C8AB706">
            <w:pPr>
              <w:jc w:val="right"/>
              <w:rPr>
                <w:rFonts w:ascii="Calibri" w:hAnsi="Calibri" w:cs="Calibri"/>
                <w:color w:val="000000"/>
                <w:sz w:val="16"/>
                <w:szCs w:val="16"/>
              </w:rPr>
            </w:pPr>
            <w:r>
              <w:rPr>
                <w:rFonts w:ascii="Calibri" w:hAnsi="Calibri" w:cs="Calibri"/>
                <w:color w:val="000000"/>
                <w:sz w:val="16"/>
                <w:szCs w:val="16"/>
              </w:rPr>
              <w:t> </w:t>
            </w:r>
          </w:p>
        </w:tc>
        <w:tc>
          <w:tcPr>
            <w:tcW w:w="1298" w:type="dxa"/>
            <w:tcBorders>
              <w:top w:val="nil"/>
              <w:left w:val="nil"/>
              <w:bottom w:val="single" w:sz="8" w:space="0" w:color="auto"/>
              <w:right w:val="single" w:sz="8" w:space="0" w:color="auto"/>
            </w:tcBorders>
            <w:shd w:val="clear" w:color="auto" w:fill="auto"/>
            <w:noWrap/>
            <w:vAlign w:val="center"/>
            <w:hideMark/>
          </w:tcPr>
          <w:p w:rsidR="006327AB" w:rsidRPr="005E2282" w:rsidP="006327AB" w14:paraId="60E9E261" w14:textId="309C44D6">
            <w:pPr>
              <w:jc w:val="right"/>
              <w:rPr>
                <w:rFonts w:ascii="Calibri" w:hAnsi="Calibri" w:cs="Calibri"/>
                <w:color w:val="000000"/>
                <w:sz w:val="16"/>
                <w:szCs w:val="16"/>
              </w:rPr>
            </w:pPr>
            <w:r>
              <w:rPr>
                <w:rFonts w:ascii="Calibri" w:hAnsi="Calibri" w:cs="Calibri"/>
                <w:color w:val="000000"/>
                <w:sz w:val="16"/>
                <w:szCs w:val="16"/>
              </w:rPr>
              <w:t> </w:t>
            </w:r>
          </w:p>
        </w:tc>
      </w:tr>
      <w:tr w14:paraId="3B1FDDB0" w14:textId="77777777" w:rsidTr="00AC2E22">
        <w:tblPrEx>
          <w:tblW w:w="11690" w:type="dxa"/>
          <w:tblLook w:val="04A0"/>
        </w:tblPrEx>
        <w:trPr>
          <w:trHeight w:val="315"/>
        </w:trPr>
        <w:tc>
          <w:tcPr>
            <w:tcW w:w="2780" w:type="dxa"/>
            <w:tcBorders>
              <w:top w:val="nil"/>
              <w:left w:val="single" w:sz="8" w:space="0" w:color="auto"/>
              <w:bottom w:val="single" w:sz="8" w:space="0" w:color="auto"/>
              <w:right w:val="nil"/>
            </w:tcBorders>
            <w:shd w:val="clear" w:color="auto" w:fill="auto"/>
            <w:vAlign w:val="center"/>
            <w:hideMark/>
          </w:tcPr>
          <w:p w:rsidR="006327AB" w:rsidRPr="005E2282" w:rsidP="006327AB" w14:paraId="66D51290" w14:textId="77777777">
            <w:pPr>
              <w:rPr>
                <w:rFonts w:ascii="Calibri" w:hAnsi="Calibri" w:cs="Calibri"/>
                <w:color w:val="000000"/>
                <w:sz w:val="16"/>
                <w:szCs w:val="16"/>
              </w:rPr>
            </w:pPr>
            <w:r w:rsidRPr="005E2282">
              <w:rPr>
                <w:rFonts w:ascii="Calibri" w:hAnsi="Calibri" w:cs="Calibri"/>
                <w:color w:val="000000"/>
                <w:sz w:val="16"/>
                <w:szCs w:val="16"/>
              </w:rPr>
              <w:t xml:space="preserve">    Application</w:t>
            </w:r>
          </w:p>
        </w:tc>
        <w:tc>
          <w:tcPr>
            <w:tcW w:w="153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6327AB" w:rsidRPr="005E2282" w:rsidP="006327AB" w14:paraId="17361959" w14:textId="77777777">
            <w:pPr>
              <w:rPr>
                <w:rFonts w:ascii="Calibri" w:hAnsi="Calibri" w:cs="Calibri"/>
                <w:color w:val="000000"/>
                <w:sz w:val="16"/>
                <w:szCs w:val="16"/>
              </w:rPr>
            </w:pPr>
            <w:r w:rsidRPr="005E2282">
              <w:rPr>
                <w:rFonts w:ascii="Calibri" w:hAnsi="Calibri" w:cs="Calibri"/>
                <w:color w:val="000000"/>
                <w:sz w:val="16"/>
                <w:szCs w:val="16"/>
              </w:rPr>
              <w:t>Program Manager</w:t>
            </w:r>
          </w:p>
        </w:tc>
        <w:tc>
          <w:tcPr>
            <w:tcW w:w="1080" w:type="dxa"/>
            <w:tcBorders>
              <w:top w:val="nil"/>
              <w:left w:val="nil"/>
              <w:bottom w:val="single" w:sz="8" w:space="0" w:color="auto"/>
              <w:right w:val="single" w:sz="8" w:space="0" w:color="auto"/>
            </w:tcBorders>
            <w:shd w:val="clear" w:color="auto" w:fill="auto"/>
            <w:vAlign w:val="center"/>
            <w:hideMark/>
          </w:tcPr>
          <w:p w:rsidR="006327AB" w:rsidRPr="005E2282" w:rsidP="006327AB" w14:paraId="1177288D" w14:textId="76098F8B">
            <w:pPr>
              <w:jc w:val="right"/>
              <w:rPr>
                <w:rFonts w:ascii="Calibri" w:hAnsi="Calibri" w:cs="Calibri"/>
                <w:color w:val="000000"/>
                <w:sz w:val="16"/>
                <w:szCs w:val="16"/>
              </w:rPr>
            </w:pPr>
            <w:r>
              <w:rPr>
                <w:rFonts w:ascii="Calibri" w:hAnsi="Calibri" w:cs="Calibri"/>
                <w:color w:val="000000"/>
                <w:sz w:val="16"/>
                <w:szCs w:val="16"/>
              </w:rPr>
              <w:t>4</w:t>
            </w:r>
          </w:p>
        </w:tc>
        <w:tc>
          <w:tcPr>
            <w:tcW w:w="1016" w:type="dxa"/>
            <w:tcBorders>
              <w:top w:val="nil"/>
              <w:left w:val="nil"/>
              <w:bottom w:val="single" w:sz="8" w:space="0" w:color="auto"/>
              <w:right w:val="single" w:sz="8" w:space="0" w:color="auto"/>
            </w:tcBorders>
            <w:shd w:val="clear" w:color="auto" w:fill="auto"/>
            <w:vAlign w:val="center"/>
            <w:hideMark/>
          </w:tcPr>
          <w:p w:rsidR="006327AB" w:rsidRPr="005E2282" w:rsidP="006327AB" w14:paraId="235B6C10" w14:textId="67D4C479">
            <w:pPr>
              <w:jc w:val="right"/>
              <w:rPr>
                <w:rFonts w:ascii="Calibri" w:hAnsi="Calibri" w:cs="Calibri"/>
                <w:color w:val="000000"/>
                <w:sz w:val="16"/>
                <w:szCs w:val="16"/>
              </w:rPr>
            </w:pPr>
            <w:r>
              <w:rPr>
                <w:rFonts w:ascii="Calibri" w:hAnsi="Calibri" w:cs="Calibri"/>
                <w:color w:val="000000"/>
                <w:sz w:val="16"/>
                <w:szCs w:val="16"/>
              </w:rPr>
              <w:t>1</w:t>
            </w:r>
          </w:p>
        </w:tc>
        <w:tc>
          <w:tcPr>
            <w:tcW w:w="960" w:type="dxa"/>
            <w:tcBorders>
              <w:top w:val="nil"/>
              <w:left w:val="nil"/>
              <w:bottom w:val="single" w:sz="8" w:space="0" w:color="auto"/>
              <w:right w:val="single" w:sz="8" w:space="0" w:color="auto"/>
            </w:tcBorders>
            <w:shd w:val="clear" w:color="auto" w:fill="auto"/>
            <w:vAlign w:val="center"/>
            <w:hideMark/>
          </w:tcPr>
          <w:p w:rsidR="006327AB" w:rsidRPr="005E2282" w:rsidP="006327AB" w14:paraId="054D5631" w14:textId="68825542">
            <w:pPr>
              <w:jc w:val="right"/>
              <w:rPr>
                <w:rFonts w:ascii="Calibri" w:hAnsi="Calibri" w:cs="Calibri"/>
                <w:color w:val="000000"/>
                <w:sz w:val="16"/>
                <w:szCs w:val="16"/>
              </w:rPr>
            </w:pPr>
            <w:r>
              <w:rPr>
                <w:rFonts w:ascii="Calibri" w:hAnsi="Calibri" w:cs="Calibri"/>
                <w:color w:val="000000"/>
                <w:sz w:val="16"/>
                <w:szCs w:val="16"/>
              </w:rPr>
              <w:t>4</w:t>
            </w:r>
          </w:p>
        </w:tc>
        <w:tc>
          <w:tcPr>
            <w:tcW w:w="1000" w:type="dxa"/>
            <w:tcBorders>
              <w:top w:val="nil"/>
              <w:left w:val="nil"/>
              <w:bottom w:val="single" w:sz="8" w:space="0" w:color="auto"/>
              <w:right w:val="single" w:sz="8" w:space="0" w:color="auto"/>
            </w:tcBorders>
            <w:shd w:val="clear" w:color="auto" w:fill="auto"/>
            <w:vAlign w:val="center"/>
            <w:hideMark/>
          </w:tcPr>
          <w:p w:rsidR="006327AB" w:rsidRPr="005E2282" w:rsidP="006327AB" w14:paraId="02F04802" w14:textId="08108162">
            <w:pPr>
              <w:jc w:val="right"/>
              <w:rPr>
                <w:rFonts w:ascii="Calibri" w:hAnsi="Calibri" w:cs="Calibri"/>
                <w:color w:val="000000"/>
                <w:sz w:val="16"/>
                <w:szCs w:val="16"/>
              </w:rPr>
            </w:pPr>
            <w:r>
              <w:rPr>
                <w:rFonts w:ascii="Calibri" w:hAnsi="Calibri" w:cs="Calibri"/>
                <w:color w:val="000000"/>
                <w:sz w:val="16"/>
                <w:szCs w:val="16"/>
              </w:rPr>
              <w:t>45</w:t>
            </w:r>
          </w:p>
        </w:tc>
        <w:tc>
          <w:tcPr>
            <w:tcW w:w="960" w:type="dxa"/>
            <w:tcBorders>
              <w:top w:val="nil"/>
              <w:left w:val="nil"/>
              <w:bottom w:val="single" w:sz="8" w:space="0" w:color="auto"/>
              <w:right w:val="single" w:sz="8" w:space="0" w:color="auto"/>
            </w:tcBorders>
            <w:shd w:val="clear" w:color="auto" w:fill="auto"/>
            <w:vAlign w:val="center"/>
            <w:hideMark/>
          </w:tcPr>
          <w:p w:rsidR="006327AB" w:rsidRPr="005E2282" w:rsidP="006327AB" w14:paraId="57071CAA" w14:textId="7C40300A">
            <w:pPr>
              <w:jc w:val="right"/>
              <w:rPr>
                <w:rFonts w:ascii="Calibri" w:hAnsi="Calibri" w:cs="Calibri"/>
                <w:color w:val="000000"/>
                <w:sz w:val="16"/>
                <w:szCs w:val="16"/>
              </w:rPr>
            </w:pPr>
            <w:r>
              <w:rPr>
                <w:rFonts w:ascii="Calibri" w:hAnsi="Calibri" w:cs="Calibri"/>
                <w:color w:val="000000"/>
                <w:sz w:val="16"/>
                <w:szCs w:val="16"/>
              </w:rPr>
              <w:t>60</w:t>
            </w:r>
          </w:p>
        </w:tc>
        <w:tc>
          <w:tcPr>
            <w:tcW w:w="1066" w:type="dxa"/>
            <w:tcBorders>
              <w:top w:val="nil"/>
              <w:left w:val="nil"/>
              <w:bottom w:val="single" w:sz="8" w:space="0" w:color="auto"/>
              <w:right w:val="single" w:sz="8" w:space="0" w:color="auto"/>
            </w:tcBorders>
            <w:shd w:val="clear" w:color="auto" w:fill="auto"/>
            <w:noWrap/>
            <w:vAlign w:val="center"/>
            <w:hideMark/>
          </w:tcPr>
          <w:p w:rsidR="006327AB" w:rsidRPr="005E2282" w:rsidP="006327AB" w14:paraId="46E3787B" w14:textId="457FEC9D">
            <w:pPr>
              <w:jc w:val="right"/>
              <w:rPr>
                <w:rFonts w:ascii="Calibri" w:hAnsi="Calibri" w:cs="Calibri"/>
                <w:color w:val="000000"/>
                <w:sz w:val="16"/>
                <w:szCs w:val="16"/>
              </w:rPr>
            </w:pPr>
            <w:r>
              <w:rPr>
                <w:rFonts w:ascii="Calibri" w:hAnsi="Calibri" w:cs="Calibri"/>
                <w:color w:val="000000"/>
                <w:sz w:val="16"/>
                <w:szCs w:val="16"/>
              </w:rPr>
              <w:t xml:space="preserve">$61.04 </w:t>
            </w:r>
          </w:p>
        </w:tc>
        <w:tc>
          <w:tcPr>
            <w:tcW w:w="1298" w:type="dxa"/>
            <w:tcBorders>
              <w:top w:val="nil"/>
              <w:left w:val="nil"/>
              <w:bottom w:val="single" w:sz="8" w:space="0" w:color="auto"/>
              <w:right w:val="single" w:sz="8" w:space="0" w:color="auto"/>
            </w:tcBorders>
            <w:shd w:val="clear" w:color="auto" w:fill="auto"/>
            <w:noWrap/>
            <w:vAlign w:val="center"/>
            <w:hideMark/>
          </w:tcPr>
          <w:p w:rsidR="006327AB" w:rsidRPr="005E2282" w:rsidP="006327AB" w14:paraId="1F91E58C" w14:textId="742F1099">
            <w:pPr>
              <w:jc w:val="right"/>
              <w:rPr>
                <w:rFonts w:ascii="Calibri" w:hAnsi="Calibri" w:cs="Calibri"/>
                <w:color w:val="000000"/>
                <w:sz w:val="16"/>
                <w:szCs w:val="16"/>
              </w:rPr>
            </w:pPr>
            <w:r>
              <w:rPr>
                <w:rFonts w:ascii="Calibri" w:hAnsi="Calibri" w:cs="Calibri"/>
                <w:color w:val="000000"/>
                <w:sz w:val="16"/>
                <w:szCs w:val="16"/>
              </w:rPr>
              <w:t xml:space="preserve">$3,662.40 </w:t>
            </w:r>
          </w:p>
        </w:tc>
      </w:tr>
      <w:tr w14:paraId="7BFA43B4" w14:textId="77777777" w:rsidTr="00AC2E22">
        <w:tblPrEx>
          <w:tblW w:w="11690" w:type="dxa"/>
          <w:tblLook w:val="04A0"/>
        </w:tblPrEx>
        <w:trPr>
          <w:trHeight w:val="315"/>
        </w:trPr>
        <w:tc>
          <w:tcPr>
            <w:tcW w:w="2780" w:type="dxa"/>
            <w:tcBorders>
              <w:top w:val="nil"/>
              <w:left w:val="single" w:sz="8" w:space="0" w:color="auto"/>
              <w:bottom w:val="single" w:sz="8" w:space="0" w:color="auto"/>
              <w:right w:val="nil"/>
            </w:tcBorders>
            <w:shd w:val="clear" w:color="auto" w:fill="auto"/>
            <w:vAlign w:val="center"/>
            <w:hideMark/>
          </w:tcPr>
          <w:p w:rsidR="006327AB" w:rsidRPr="005E2282" w:rsidP="006327AB" w14:paraId="4D605E51" w14:textId="77777777">
            <w:pPr>
              <w:rPr>
                <w:rFonts w:ascii="Calibri" w:hAnsi="Calibri" w:cs="Calibri"/>
                <w:color w:val="000000"/>
                <w:sz w:val="16"/>
                <w:szCs w:val="16"/>
              </w:rPr>
            </w:pPr>
            <w:r w:rsidRPr="005E2282">
              <w:rPr>
                <w:rFonts w:ascii="Calibri" w:hAnsi="Calibri" w:cs="Calibri"/>
                <w:color w:val="000000"/>
                <w:sz w:val="16"/>
                <w:szCs w:val="16"/>
              </w:rPr>
              <w:t xml:space="preserve">          Copy of contracts</w:t>
            </w:r>
          </w:p>
        </w:tc>
        <w:tc>
          <w:tcPr>
            <w:tcW w:w="1530" w:type="dxa"/>
            <w:tcBorders>
              <w:top w:val="nil"/>
              <w:left w:val="single" w:sz="8" w:space="0" w:color="auto"/>
              <w:bottom w:val="single" w:sz="8" w:space="0" w:color="auto"/>
              <w:right w:val="single" w:sz="8" w:space="0" w:color="auto"/>
            </w:tcBorders>
            <w:shd w:val="clear" w:color="auto" w:fill="auto"/>
            <w:noWrap/>
            <w:vAlign w:val="bottom"/>
            <w:hideMark/>
          </w:tcPr>
          <w:p w:rsidR="006327AB" w:rsidRPr="005E2282" w:rsidP="006327AB" w14:paraId="050F1854" w14:textId="77777777">
            <w:pPr>
              <w:rPr>
                <w:rFonts w:ascii="Calibri" w:hAnsi="Calibri" w:cs="Calibri"/>
                <w:color w:val="000000"/>
                <w:sz w:val="16"/>
                <w:szCs w:val="16"/>
              </w:rPr>
            </w:pPr>
            <w:r w:rsidRPr="005E2282">
              <w:rPr>
                <w:rFonts w:ascii="Calibri" w:hAnsi="Calibri" w:cs="Calibri"/>
                <w:color w:val="000000"/>
                <w:sz w:val="16"/>
                <w:szCs w:val="16"/>
              </w:rPr>
              <w:t>Program Manager</w:t>
            </w:r>
          </w:p>
        </w:tc>
        <w:tc>
          <w:tcPr>
            <w:tcW w:w="1080" w:type="dxa"/>
            <w:tcBorders>
              <w:top w:val="nil"/>
              <w:left w:val="nil"/>
              <w:bottom w:val="single" w:sz="8" w:space="0" w:color="auto"/>
              <w:right w:val="single" w:sz="8" w:space="0" w:color="auto"/>
            </w:tcBorders>
            <w:shd w:val="clear" w:color="auto" w:fill="auto"/>
            <w:vAlign w:val="center"/>
            <w:hideMark/>
          </w:tcPr>
          <w:p w:rsidR="006327AB" w:rsidRPr="005E2282" w:rsidP="006327AB" w14:paraId="2F250C42" w14:textId="2B68B5B8">
            <w:pPr>
              <w:jc w:val="right"/>
              <w:rPr>
                <w:rFonts w:ascii="Calibri" w:hAnsi="Calibri" w:cs="Calibri"/>
                <w:color w:val="000000"/>
                <w:sz w:val="16"/>
                <w:szCs w:val="16"/>
              </w:rPr>
            </w:pPr>
            <w:r>
              <w:rPr>
                <w:rFonts w:ascii="Calibri" w:hAnsi="Calibri" w:cs="Calibri"/>
                <w:color w:val="000000"/>
                <w:sz w:val="16"/>
                <w:szCs w:val="16"/>
              </w:rPr>
              <w:t>3</w:t>
            </w:r>
          </w:p>
        </w:tc>
        <w:tc>
          <w:tcPr>
            <w:tcW w:w="1016" w:type="dxa"/>
            <w:tcBorders>
              <w:top w:val="nil"/>
              <w:left w:val="nil"/>
              <w:bottom w:val="single" w:sz="8" w:space="0" w:color="auto"/>
              <w:right w:val="single" w:sz="8" w:space="0" w:color="auto"/>
            </w:tcBorders>
            <w:shd w:val="clear" w:color="auto" w:fill="auto"/>
            <w:vAlign w:val="center"/>
            <w:hideMark/>
          </w:tcPr>
          <w:p w:rsidR="006327AB" w:rsidRPr="005E2282" w:rsidP="006327AB" w14:paraId="3B540D3A" w14:textId="6B10157B">
            <w:pPr>
              <w:jc w:val="right"/>
              <w:rPr>
                <w:rFonts w:ascii="Calibri" w:hAnsi="Calibri" w:cs="Calibri"/>
                <w:color w:val="000000"/>
                <w:sz w:val="16"/>
                <w:szCs w:val="16"/>
              </w:rPr>
            </w:pPr>
            <w:r>
              <w:rPr>
                <w:rFonts w:ascii="Calibri" w:hAnsi="Calibri" w:cs="Calibri"/>
                <w:color w:val="000000"/>
                <w:sz w:val="16"/>
                <w:szCs w:val="16"/>
              </w:rPr>
              <w:t>7</w:t>
            </w:r>
          </w:p>
        </w:tc>
        <w:tc>
          <w:tcPr>
            <w:tcW w:w="960" w:type="dxa"/>
            <w:tcBorders>
              <w:top w:val="nil"/>
              <w:left w:val="nil"/>
              <w:bottom w:val="single" w:sz="8" w:space="0" w:color="auto"/>
              <w:right w:val="single" w:sz="8" w:space="0" w:color="auto"/>
            </w:tcBorders>
            <w:shd w:val="clear" w:color="auto" w:fill="auto"/>
            <w:vAlign w:val="center"/>
            <w:hideMark/>
          </w:tcPr>
          <w:p w:rsidR="006327AB" w:rsidRPr="005E2282" w:rsidP="006327AB" w14:paraId="228C4E54" w14:textId="6314EE04">
            <w:pPr>
              <w:jc w:val="right"/>
              <w:rPr>
                <w:rFonts w:ascii="Calibri" w:hAnsi="Calibri" w:cs="Calibri"/>
                <w:color w:val="000000"/>
                <w:sz w:val="16"/>
                <w:szCs w:val="16"/>
              </w:rPr>
            </w:pPr>
            <w:r>
              <w:rPr>
                <w:rFonts w:ascii="Calibri" w:hAnsi="Calibri" w:cs="Calibri"/>
                <w:color w:val="000000"/>
                <w:sz w:val="16"/>
                <w:szCs w:val="16"/>
              </w:rPr>
              <w:t>21</w:t>
            </w:r>
          </w:p>
        </w:tc>
        <w:tc>
          <w:tcPr>
            <w:tcW w:w="1000" w:type="dxa"/>
            <w:tcBorders>
              <w:top w:val="nil"/>
              <w:left w:val="nil"/>
              <w:bottom w:val="single" w:sz="8" w:space="0" w:color="auto"/>
              <w:right w:val="single" w:sz="8" w:space="0" w:color="auto"/>
            </w:tcBorders>
            <w:shd w:val="clear" w:color="auto" w:fill="auto"/>
            <w:vAlign w:val="center"/>
            <w:hideMark/>
          </w:tcPr>
          <w:p w:rsidR="006327AB" w:rsidRPr="005E2282" w:rsidP="006327AB" w14:paraId="7BA5A156" w14:textId="34FC03AB">
            <w:pPr>
              <w:jc w:val="right"/>
              <w:rPr>
                <w:rFonts w:ascii="Calibri" w:hAnsi="Calibri" w:cs="Calibri"/>
                <w:color w:val="000000"/>
                <w:sz w:val="16"/>
                <w:szCs w:val="16"/>
              </w:rPr>
            </w:pPr>
            <w:r>
              <w:rPr>
                <w:rFonts w:ascii="Calibri" w:hAnsi="Calibri" w:cs="Calibri"/>
                <w:color w:val="000000"/>
                <w:sz w:val="16"/>
                <w:szCs w:val="16"/>
              </w:rPr>
              <w:t>0.5</w:t>
            </w:r>
          </w:p>
        </w:tc>
        <w:tc>
          <w:tcPr>
            <w:tcW w:w="960" w:type="dxa"/>
            <w:tcBorders>
              <w:top w:val="nil"/>
              <w:left w:val="nil"/>
              <w:bottom w:val="single" w:sz="8" w:space="0" w:color="auto"/>
              <w:right w:val="single" w:sz="8" w:space="0" w:color="auto"/>
            </w:tcBorders>
            <w:shd w:val="clear" w:color="auto" w:fill="auto"/>
            <w:vAlign w:val="center"/>
            <w:hideMark/>
          </w:tcPr>
          <w:p w:rsidR="006327AB" w:rsidRPr="005E2282" w:rsidP="006327AB" w14:paraId="1C2B629F" w14:textId="43258665">
            <w:pPr>
              <w:jc w:val="right"/>
              <w:rPr>
                <w:rFonts w:ascii="Calibri" w:hAnsi="Calibri" w:cs="Calibri"/>
                <w:color w:val="000000"/>
                <w:sz w:val="16"/>
                <w:szCs w:val="16"/>
              </w:rPr>
            </w:pPr>
            <w:r>
              <w:rPr>
                <w:rFonts w:ascii="Calibri" w:hAnsi="Calibri" w:cs="Calibri"/>
                <w:color w:val="000000"/>
                <w:sz w:val="16"/>
                <w:szCs w:val="16"/>
              </w:rPr>
              <w:t>3.5</w:t>
            </w:r>
          </w:p>
        </w:tc>
        <w:tc>
          <w:tcPr>
            <w:tcW w:w="1066" w:type="dxa"/>
            <w:tcBorders>
              <w:top w:val="nil"/>
              <w:left w:val="nil"/>
              <w:bottom w:val="single" w:sz="8" w:space="0" w:color="auto"/>
              <w:right w:val="single" w:sz="8" w:space="0" w:color="auto"/>
            </w:tcBorders>
            <w:shd w:val="clear" w:color="auto" w:fill="auto"/>
            <w:noWrap/>
            <w:vAlign w:val="center"/>
            <w:hideMark/>
          </w:tcPr>
          <w:p w:rsidR="006327AB" w:rsidRPr="005E2282" w:rsidP="006327AB" w14:paraId="47732356" w14:textId="11A1B147">
            <w:pPr>
              <w:jc w:val="right"/>
              <w:rPr>
                <w:rFonts w:ascii="Calibri" w:hAnsi="Calibri" w:cs="Calibri"/>
                <w:color w:val="000000"/>
                <w:sz w:val="16"/>
                <w:szCs w:val="16"/>
              </w:rPr>
            </w:pPr>
            <w:r>
              <w:rPr>
                <w:rFonts w:ascii="Calibri" w:hAnsi="Calibri" w:cs="Calibri"/>
                <w:color w:val="000000"/>
                <w:sz w:val="16"/>
                <w:szCs w:val="16"/>
              </w:rPr>
              <w:t xml:space="preserve">$61.04 </w:t>
            </w:r>
          </w:p>
        </w:tc>
        <w:tc>
          <w:tcPr>
            <w:tcW w:w="1298" w:type="dxa"/>
            <w:tcBorders>
              <w:top w:val="nil"/>
              <w:left w:val="nil"/>
              <w:bottom w:val="single" w:sz="8" w:space="0" w:color="auto"/>
              <w:right w:val="single" w:sz="8" w:space="0" w:color="auto"/>
            </w:tcBorders>
            <w:shd w:val="clear" w:color="auto" w:fill="auto"/>
            <w:noWrap/>
            <w:vAlign w:val="center"/>
            <w:hideMark/>
          </w:tcPr>
          <w:p w:rsidR="006327AB" w:rsidRPr="005E2282" w:rsidP="006327AB" w14:paraId="271F6F36" w14:textId="127C0283">
            <w:pPr>
              <w:jc w:val="right"/>
              <w:rPr>
                <w:rFonts w:ascii="Calibri" w:hAnsi="Calibri" w:cs="Calibri"/>
                <w:color w:val="000000"/>
                <w:sz w:val="16"/>
                <w:szCs w:val="16"/>
              </w:rPr>
            </w:pPr>
            <w:r>
              <w:rPr>
                <w:rFonts w:ascii="Calibri" w:hAnsi="Calibri" w:cs="Calibri"/>
                <w:color w:val="000000"/>
                <w:sz w:val="16"/>
                <w:szCs w:val="16"/>
              </w:rPr>
              <w:t xml:space="preserve">$213.64 </w:t>
            </w:r>
          </w:p>
        </w:tc>
      </w:tr>
      <w:tr w14:paraId="7BE47412" w14:textId="77777777" w:rsidTr="00AC2E22">
        <w:tblPrEx>
          <w:tblW w:w="11690" w:type="dxa"/>
          <w:tblLook w:val="04A0"/>
        </w:tblPrEx>
        <w:trPr>
          <w:trHeight w:val="315"/>
        </w:trPr>
        <w:tc>
          <w:tcPr>
            <w:tcW w:w="2780" w:type="dxa"/>
            <w:tcBorders>
              <w:top w:val="nil"/>
              <w:left w:val="single" w:sz="8" w:space="0" w:color="auto"/>
              <w:bottom w:val="single" w:sz="8" w:space="0" w:color="auto"/>
              <w:right w:val="nil"/>
            </w:tcBorders>
            <w:shd w:val="clear" w:color="auto" w:fill="auto"/>
            <w:vAlign w:val="center"/>
            <w:hideMark/>
          </w:tcPr>
          <w:p w:rsidR="006327AB" w:rsidRPr="005E2282" w:rsidP="006327AB" w14:paraId="4B044F78" w14:textId="77777777">
            <w:pPr>
              <w:rPr>
                <w:rFonts w:ascii="Calibri" w:hAnsi="Calibri" w:cs="Calibri"/>
                <w:color w:val="000000"/>
                <w:sz w:val="16"/>
                <w:szCs w:val="16"/>
              </w:rPr>
            </w:pPr>
            <w:r w:rsidRPr="005E2282">
              <w:rPr>
                <w:rFonts w:ascii="Calibri" w:hAnsi="Calibri" w:cs="Calibri"/>
                <w:color w:val="000000"/>
                <w:sz w:val="16"/>
                <w:szCs w:val="16"/>
              </w:rPr>
              <w:t xml:space="preserve">          Copies of additional documents</w:t>
            </w:r>
          </w:p>
        </w:tc>
        <w:tc>
          <w:tcPr>
            <w:tcW w:w="1530" w:type="dxa"/>
            <w:tcBorders>
              <w:top w:val="nil"/>
              <w:left w:val="single" w:sz="8" w:space="0" w:color="auto"/>
              <w:bottom w:val="single" w:sz="8" w:space="0" w:color="auto"/>
              <w:right w:val="single" w:sz="8" w:space="0" w:color="auto"/>
            </w:tcBorders>
            <w:shd w:val="clear" w:color="auto" w:fill="auto"/>
            <w:noWrap/>
            <w:vAlign w:val="bottom"/>
            <w:hideMark/>
          </w:tcPr>
          <w:p w:rsidR="006327AB" w:rsidRPr="005E2282" w:rsidP="006327AB" w14:paraId="7F698AD4" w14:textId="77777777">
            <w:pPr>
              <w:rPr>
                <w:rFonts w:ascii="Calibri" w:hAnsi="Calibri" w:cs="Calibri"/>
                <w:color w:val="000000"/>
                <w:sz w:val="16"/>
                <w:szCs w:val="16"/>
              </w:rPr>
            </w:pPr>
            <w:r w:rsidRPr="005E2282">
              <w:rPr>
                <w:rFonts w:ascii="Calibri" w:hAnsi="Calibri" w:cs="Calibri"/>
                <w:color w:val="000000"/>
                <w:sz w:val="16"/>
                <w:szCs w:val="16"/>
              </w:rPr>
              <w:t>Program Manager</w:t>
            </w:r>
          </w:p>
        </w:tc>
        <w:tc>
          <w:tcPr>
            <w:tcW w:w="1080" w:type="dxa"/>
            <w:tcBorders>
              <w:top w:val="nil"/>
              <w:left w:val="nil"/>
              <w:bottom w:val="single" w:sz="8" w:space="0" w:color="auto"/>
              <w:right w:val="single" w:sz="8" w:space="0" w:color="auto"/>
            </w:tcBorders>
            <w:shd w:val="clear" w:color="auto" w:fill="auto"/>
            <w:vAlign w:val="center"/>
            <w:hideMark/>
          </w:tcPr>
          <w:p w:rsidR="006327AB" w:rsidRPr="005E2282" w:rsidP="006327AB" w14:paraId="0EFFD7DC" w14:textId="3A790DF1">
            <w:pPr>
              <w:jc w:val="right"/>
              <w:rPr>
                <w:rFonts w:ascii="Calibri" w:hAnsi="Calibri" w:cs="Calibri"/>
                <w:color w:val="000000"/>
                <w:sz w:val="16"/>
                <w:szCs w:val="16"/>
              </w:rPr>
            </w:pPr>
            <w:r>
              <w:rPr>
                <w:rFonts w:ascii="Calibri" w:hAnsi="Calibri" w:cs="Calibri"/>
                <w:color w:val="000000"/>
                <w:sz w:val="16"/>
                <w:szCs w:val="16"/>
              </w:rPr>
              <w:t>3</w:t>
            </w:r>
          </w:p>
        </w:tc>
        <w:tc>
          <w:tcPr>
            <w:tcW w:w="1016" w:type="dxa"/>
            <w:tcBorders>
              <w:top w:val="nil"/>
              <w:left w:val="nil"/>
              <w:bottom w:val="single" w:sz="8" w:space="0" w:color="auto"/>
              <w:right w:val="single" w:sz="8" w:space="0" w:color="auto"/>
            </w:tcBorders>
            <w:shd w:val="clear" w:color="auto" w:fill="auto"/>
            <w:vAlign w:val="center"/>
            <w:hideMark/>
          </w:tcPr>
          <w:p w:rsidR="006327AB" w:rsidRPr="005E2282" w:rsidP="006327AB" w14:paraId="0808DBAE" w14:textId="5118B2C9">
            <w:pPr>
              <w:jc w:val="right"/>
              <w:rPr>
                <w:rFonts w:ascii="Calibri" w:hAnsi="Calibri" w:cs="Calibri"/>
                <w:color w:val="000000"/>
                <w:sz w:val="16"/>
                <w:szCs w:val="16"/>
              </w:rPr>
            </w:pPr>
            <w:r>
              <w:rPr>
                <w:rFonts w:ascii="Calibri" w:hAnsi="Calibri" w:cs="Calibri"/>
                <w:color w:val="000000"/>
                <w:sz w:val="16"/>
                <w:szCs w:val="16"/>
              </w:rPr>
              <w:t>3</w:t>
            </w:r>
          </w:p>
        </w:tc>
        <w:tc>
          <w:tcPr>
            <w:tcW w:w="960" w:type="dxa"/>
            <w:tcBorders>
              <w:top w:val="nil"/>
              <w:left w:val="nil"/>
              <w:bottom w:val="single" w:sz="8" w:space="0" w:color="auto"/>
              <w:right w:val="single" w:sz="8" w:space="0" w:color="auto"/>
            </w:tcBorders>
            <w:shd w:val="clear" w:color="auto" w:fill="auto"/>
            <w:vAlign w:val="center"/>
            <w:hideMark/>
          </w:tcPr>
          <w:p w:rsidR="006327AB" w:rsidRPr="005E2282" w:rsidP="006327AB" w14:paraId="56E063FF" w14:textId="3B8FB9DD">
            <w:pPr>
              <w:jc w:val="right"/>
              <w:rPr>
                <w:rFonts w:ascii="Calibri" w:hAnsi="Calibri" w:cs="Calibri"/>
                <w:color w:val="000000"/>
                <w:sz w:val="16"/>
                <w:szCs w:val="16"/>
              </w:rPr>
            </w:pPr>
            <w:r>
              <w:rPr>
                <w:rFonts w:ascii="Calibri" w:hAnsi="Calibri" w:cs="Calibri"/>
                <w:color w:val="000000"/>
                <w:sz w:val="16"/>
                <w:szCs w:val="16"/>
              </w:rPr>
              <w:t>9</w:t>
            </w:r>
          </w:p>
        </w:tc>
        <w:tc>
          <w:tcPr>
            <w:tcW w:w="1000" w:type="dxa"/>
            <w:tcBorders>
              <w:top w:val="nil"/>
              <w:left w:val="nil"/>
              <w:bottom w:val="single" w:sz="8" w:space="0" w:color="auto"/>
              <w:right w:val="single" w:sz="8" w:space="0" w:color="auto"/>
            </w:tcBorders>
            <w:shd w:val="clear" w:color="auto" w:fill="auto"/>
            <w:vAlign w:val="center"/>
            <w:hideMark/>
          </w:tcPr>
          <w:p w:rsidR="006327AB" w:rsidRPr="005E2282" w:rsidP="006327AB" w14:paraId="796919E8" w14:textId="13DA1BE5">
            <w:pPr>
              <w:jc w:val="right"/>
              <w:rPr>
                <w:rFonts w:ascii="Calibri" w:hAnsi="Calibri" w:cs="Calibri"/>
                <w:color w:val="000000"/>
                <w:sz w:val="16"/>
                <w:szCs w:val="16"/>
              </w:rPr>
            </w:pPr>
            <w:r>
              <w:rPr>
                <w:rFonts w:ascii="Calibri" w:hAnsi="Calibri" w:cs="Calibri"/>
                <w:color w:val="000000"/>
                <w:sz w:val="16"/>
                <w:szCs w:val="16"/>
              </w:rPr>
              <w:t>0.5</w:t>
            </w:r>
          </w:p>
        </w:tc>
        <w:tc>
          <w:tcPr>
            <w:tcW w:w="960" w:type="dxa"/>
            <w:tcBorders>
              <w:top w:val="nil"/>
              <w:left w:val="nil"/>
              <w:bottom w:val="single" w:sz="8" w:space="0" w:color="auto"/>
              <w:right w:val="single" w:sz="8" w:space="0" w:color="auto"/>
            </w:tcBorders>
            <w:shd w:val="clear" w:color="auto" w:fill="auto"/>
            <w:vAlign w:val="center"/>
            <w:hideMark/>
          </w:tcPr>
          <w:p w:rsidR="006327AB" w:rsidRPr="005E2282" w:rsidP="006327AB" w14:paraId="5013C52D" w14:textId="316CD40B">
            <w:pPr>
              <w:jc w:val="right"/>
              <w:rPr>
                <w:rFonts w:ascii="Calibri" w:hAnsi="Calibri" w:cs="Calibri"/>
                <w:color w:val="000000"/>
                <w:sz w:val="16"/>
                <w:szCs w:val="16"/>
              </w:rPr>
            </w:pPr>
            <w:r>
              <w:rPr>
                <w:rFonts w:ascii="Calibri" w:hAnsi="Calibri" w:cs="Calibri"/>
                <w:color w:val="000000"/>
                <w:sz w:val="16"/>
                <w:szCs w:val="16"/>
              </w:rPr>
              <w:t>1.5</w:t>
            </w:r>
          </w:p>
        </w:tc>
        <w:tc>
          <w:tcPr>
            <w:tcW w:w="1066" w:type="dxa"/>
            <w:tcBorders>
              <w:top w:val="nil"/>
              <w:left w:val="nil"/>
              <w:bottom w:val="single" w:sz="8" w:space="0" w:color="auto"/>
              <w:right w:val="single" w:sz="8" w:space="0" w:color="auto"/>
            </w:tcBorders>
            <w:shd w:val="clear" w:color="auto" w:fill="auto"/>
            <w:noWrap/>
            <w:vAlign w:val="center"/>
            <w:hideMark/>
          </w:tcPr>
          <w:p w:rsidR="006327AB" w:rsidRPr="005E2282" w:rsidP="006327AB" w14:paraId="21803EC5" w14:textId="370F7826">
            <w:pPr>
              <w:jc w:val="right"/>
              <w:rPr>
                <w:rFonts w:ascii="Calibri" w:hAnsi="Calibri" w:cs="Calibri"/>
                <w:color w:val="000000"/>
                <w:sz w:val="16"/>
                <w:szCs w:val="16"/>
              </w:rPr>
            </w:pPr>
            <w:r>
              <w:rPr>
                <w:rFonts w:ascii="Calibri" w:hAnsi="Calibri" w:cs="Calibri"/>
                <w:color w:val="000000"/>
                <w:sz w:val="16"/>
                <w:szCs w:val="16"/>
              </w:rPr>
              <w:t xml:space="preserve">$61.04 </w:t>
            </w:r>
          </w:p>
        </w:tc>
        <w:tc>
          <w:tcPr>
            <w:tcW w:w="1298" w:type="dxa"/>
            <w:tcBorders>
              <w:top w:val="nil"/>
              <w:left w:val="nil"/>
              <w:bottom w:val="single" w:sz="8" w:space="0" w:color="auto"/>
              <w:right w:val="single" w:sz="8" w:space="0" w:color="auto"/>
            </w:tcBorders>
            <w:shd w:val="clear" w:color="auto" w:fill="auto"/>
            <w:noWrap/>
            <w:vAlign w:val="center"/>
            <w:hideMark/>
          </w:tcPr>
          <w:p w:rsidR="006327AB" w:rsidRPr="005E2282" w:rsidP="006327AB" w14:paraId="4FF4C2DD" w14:textId="375B1F26">
            <w:pPr>
              <w:jc w:val="right"/>
              <w:rPr>
                <w:rFonts w:ascii="Calibri" w:hAnsi="Calibri" w:cs="Calibri"/>
                <w:color w:val="000000"/>
                <w:sz w:val="16"/>
                <w:szCs w:val="16"/>
              </w:rPr>
            </w:pPr>
            <w:r>
              <w:rPr>
                <w:rFonts w:ascii="Calibri" w:hAnsi="Calibri" w:cs="Calibri"/>
                <w:color w:val="000000"/>
                <w:sz w:val="16"/>
                <w:szCs w:val="16"/>
              </w:rPr>
              <w:t xml:space="preserve">$91.56 </w:t>
            </w:r>
          </w:p>
        </w:tc>
      </w:tr>
      <w:tr w14:paraId="23E18420" w14:textId="77777777" w:rsidTr="000D5DA7">
        <w:tblPrEx>
          <w:tblW w:w="11690" w:type="dxa"/>
          <w:tblLook w:val="04A0"/>
        </w:tblPrEx>
        <w:trPr>
          <w:trHeight w:val="315"/>
        </w:trPr>
        <w:tc>
          <w:tcPr>
            <w:tcW w:w="2780" w:type="dxa"/>
            <w:tcBorders>
              <w:top w:val="nil"/>
              <w:left w:val="single" w:sz="8" w:space="0" w:color="auto"/>
              <w:bottom w:val="single" w:sz="8" w:space="0" w:color="auto"/>
              <w:right w:val="nil"/>
            </w:tcBorders>
            <w:shd w:val="clear" w:color="auto" w:fill="auto"/>
            <w:vAlign w:val="center"/>
            <w:hideMark/>
          </w:tcPr>
          <w:p w:rsidR="006327AB" w:rsidRPr="005E2282" w:rsidP="006327AB" w14:paraId="0645C3F0" w14:textId="77777777">
            <w:pPr>
              <w:rPr>
                <w:rFonts w:ascii="Calibri" w:hAnsi="Calibri" w:cs="Calibri"/>
                <w:color w:val="000000"/>
                <w:sz w:val="16"/>
                <w:szCs w:val="16"/>
              </w:rPr>
            </w:pPr>
            <w:r w:rsidRPr="005E2282">
              <w:rPr>
                <w:rFonts w:ascii="Calibri" w:hAnsi="Calibri" w:cs="Calibri"/>
                <w:color w:val="000000"/>
                <w:sz w:val="16"/>
                <w:szCs w:val="16"/>
              </w:rPr>
              <w:t xml:space="preserve">    Appeal</w:t>
            </w:r>
          </w:p>
        </w:tc>
        <w:tc>
          <w:tcPr>
            <w:tcW w:w="1530" w:type="dxa"/>
            <w:tcBorders>
              <w:top w:val="nil"/>
              <w:left w:val="single" w:sz="8" w:space="0" w:color="auto"/>
              <w:bottom w:val="single" w:sz="8" w:space="0" w:color="auto"/>
              <w:right w:val="single" w:sz="8" w:space="0" w:color="auto"/>
            </w:tcBorders>
            <w:shd w:val="clear" w:color="auto" w:fill="auto"/>
            <w:noWrap/>
            <w:vAlign w:val="bottom"/>
            <w:hideMark/>
          </w:tcPr>
          <w:p w:rsidR="006327AB" w:rsidRPr="005E2282" w:rsidP="006327AB" w14:paraId="3D7A8928" w14:textId="77777777">
            <w:pPr>
              <w:rPr>
                <w:rFonts w:ascii="Calibri" w:hAnsi="Calibri" w:cs="Calibri"/>
                <w:color w:val="000000"/>
                <w:sz w:val="16"/>
                <w:szCs w:val="16"/>
              </w:rPr>
            </w:pPr>
            <w:r w:rsidRPr="005E2282">
              <w:rPr>
                <w:rFonts w:ascii="Calibri" w:hAnsi="Calibri" w:cs="Calibri"/>
                <w:color w:val="000000"/>
                <w:sz w:val="16"/>
                <w:szCs w:val="16"/>
              </w:rPr>
              <w:t>Program Manager</w:t>
            </w:r>
          </w:p>
        </w:tc>
        <w:tc>
          <w:tcPr>
            <w:tcW w:w="1080" w:type="dxa"/>
            <w:tcBorders>
              <w:top w:val="nil"/>
              <w:left w:val="nil"/>
              <w:bottom w:val="single" w:sz="8" w:space="0" w:color="auto"/>
              <w:right w:val="single" w:sz="8" w:space="0" w:color="auto"/>
            </w:tcBorders>
            <w:shd w:val="clear" w:color="auto" w:fill="auto"/>
            <w:vAlign w:val="center"/>
            <w:hideMark/>
          </w:tcPr>
          <w:p w:rsidR="006327AB" w:rsidRPr="005E2282" w:rsidP="006327AB" w14:paraId="20EC9B80" w14:textId="3DC6CCD9">
            <w:pPr>
              <w:jc w:val="right"/>
              <w:rPr>
                <w:rFonts w:ascii="Calibri" w:hAnsi="Calibri" w:cs="Calibri"/>
                <w:color w:val="000000"/>
                <w:sz w:val="16"/>
                <w:szCs w:val="16"/>
              </w:rPr>
            </w:pPr>
            <w:r>
              <w:rPr>
                <w:rFonts w:ascii="Calibri" w:hAnsi="Calibri" w:cs="Calibri"/>
                <w:color w:val="000000"/>
                <w:sz w:val="16"/>
                <w:szCs w:val="16"/>
              </w:rPr>
              <w:t>1</w:t>
            </w:r>
          </w:p>
        </w:tc>
        <w:tc>
          <w:tcPr>
            <w:tcW w:w="1016" w:type="dxa"/>
            <w:tcBorders>
              <w:top w:val="nil"/>
              <w:left w:val="nil"/>
              <w:bottom w:val="single" w:sz="8" w:space="0" w:color="auto"/>
              <w:right w:val="single" w:sz="8" w:space="0" w:color="auto"/>
            </w:tcBorders>
            <w:shd w:val="clear" w:color="auto" w:fill="auto"/>
            <w:vAlign w:val="center"/>
            <w:hideMark/>
          </w:tcPr>
          <w:p w:rsidR="006327AB" w:rsidRPr="005E2282" w:rsidP="006327AB" w14:paraId="30163A6B" w14:textId="0EAD64B8">
            <w:pPr>
              <w:jc w:val="right"/>
              <w:rPr>
                <w:rFonts w:ascii="Calibri" w:hAnsi="Calibri" w:cs="Calibri"/>
                <w:color w:val="000000"/>
                <w:sz w:val="16"/>
                <w:szCs w:val="16"/>
              </w:rPr>
            </w:pPr>
            <w:r>
              <w:rPr>
                <w:rFonts w:ascii="Calibri" w:hAnsi="Calibri" w:cs="Calibri"/>
                <w:color w:val="000000"/>
                <w:sz w:val="16"/>
                <w:szCs w:val="16"/>
              </w:rPr>
              <w:t>1</w:t>
            </w:r>
          </w:p>
        </w:tc>
        <w:tc>
          <w:tcPr>
            <w:tcW w:w="960" w:type="dxa"/>
            <w:tcBorders>
              <w:top w:val="nil"/>
              <w:left w:val="nil"/>
              <w:bottom w:val="single" w:sz="8" w:space="0" w:color="auto"/>
              <w:right w:val="single" w:sz="8" w:space="0" w:color="auto"/>
            </w:tcBorders>
            <w:shd w:val="clear" w:color="auto" w:fill="auto"/>
            <w:vAlign w:val="center"/>
            <w:hideMark/>
          </w:tcPr>
          <w:p w:rsidR="006327AB" w:rsidRPr="005E2282" w:rsidP="006327AB" w14:paraId="5FCBE832" w14:textId="2CFDB00D">
            <w:pPr>
              <w:jc w:val="right"/>
              <w:rPr>
                <w:rFonts w:ascii="Calibri" w:hAnsi="Calibri" w:cs="Calibri"/>
                <w:color w:val="000000"/>
                <w:sz w:val="16"/>
                <w:szCs w:val="16"/>
              </w:rPr>
            </w:pPr>
            <w:r>
              <w:rPr>
                <w:rFonts w:ascii="Calibri" w:hAnsi="Calibri" w:cs="Calibri"/>
                <w:color w:val="000000"/>
                <w:sz w:val="16"/>
                <w:szCs w:val="16"/>
              </w:rPr>
              <w:t>1</w:t>
            </w:r>
          </w:p>
        </w:tc>
        <w:tc>
          <w:tcPr>
            <w:tcW w:w="1000" w:type="dxa"/>
            <w:tcBorders>
              <w:top w:val="nil"/>
              <w:left w:val="nil"/>
              <w:bottom w:val="single" w:sz="8" w:space="0" w:color="auto"/>
              <w:right w:val="single" w:sz="8" w:space="0" w:color="auto"/>
            </w:tcBorders>
            <w:shd w:val="clear" w:color="auto" w:fill="auto"/>
            <w:vAlign w:val="center"/>
            <w:hideMark/>
          </w:tcPr>
          <w:p w:rsidR="006327AB" w:rsidRPr="005E2282" w:rsidP="006327AB" w14:paraId="2C97B163" w14:textId="1B57A7F5">
            <w:pPr>
              <w:jc w:val="right"/>
              <w:rPr>
                <w:rFonts w:ascii="Calibri" w:hAnsi="Calibri" w:cs="Calibri"/>
                <w:color w:val="000000"/>
                <w:sz w:val="16"/>
                <w:szCs w:val="16"/>
              </w:rPr>
            </w:pPr>
            <w:r>
              <w:rPr>
                <w:rFonts w:ascii="Calibri" w:hAnsi="Calibri" w:cs="Calibri"/>
                <w:color w:val="000000"/>
                <w:sz w:val="16"/>
                <w:szCs w:val="16"/>
              </w:rPr>
              <w:t>4</w:t>
            </w:r>
          </w:p>
        </w:tc>
        <w:tc>
          <w:tcPr>
            <w:tcW w:w="960" w:type="dxa"/>
            <w:tcBorders>
              <w:top w:val="nil"/>
              <w:left w:val="nil"/>
              <w:bottom w:val="single" w:sz="8" w:space="0" w:color="auto"/>
              <w:right w:val="single" w:sz="8" w:space="0" w:color="auto"/>
            </w:tcBorders>
            <w:shd w:val="clear" w:color="auto" w:fill="auto"/>
            <w:vAlign w:val="center"/>
            <w:hideMark/>
          </w:tcPr>
          <w:p w:rsidR="006327AB" w:rsidRPr="005E2282" w:rsidP="006327AB" w14:paraId="527CFA08" w14:textId="7C043453">
            <w:pPr>
              <w:jc w:val="right"/>
              <w:rPr>
                <w:rFonts w:ascii="Calibri" w:hAnsi="Calibri" w:cs="Calibri"/>
                <w:color w:val="000000"/>
                <w:sz w:val="16"/>
                <w:szCs w:val="16"/>
              </w:rPr>
            </w:pPr>
            <w:r>
              <w:rPr>
                <w:rFonts w:ascii="Calibri" w:hAnsi="Calibri" w:cs="Calibri"/>
                <w:color w:val="000000"/>
                <w:sz w:val="16"/>
                <w:szCs w:val="16"/>
              </w:rPr>
              <w:t>4</w:t>
            </w:r>
          </w:p>
        </w:tc>
        <w:tc>
          <w:tcPr>
            <w:tcW w:w="1066" w:type="dxa"/>
            <w:tcBorders>
              <w:top w:val="nil"/>
              <w:left w:val="nil"/>
              <w:bottom w:val="single" w:sz="8" w:space="0" w:color="auto"/>
              <w:right w:val="single" w:sz="8" w:space="0" w:color="auto"/>
            </w:tcBorders>
            <w:shd w:val="clear" w:color="auto" w:fill="auto"/>
            <w:noWrap/>
            <w:vAlign w:val="center"/>
            <w:hideMark/>
          </w:tcPr>
          <w:p w:rsidR="006327AB" w:rsidRPr="005E2282" w:rsidP="006327AB" w14:paraId="1F90E14C" w14:textId="1DBA2A02">
            <w:pPr>
              <w:jc w:val="right"/>
              <w:rPr>
                <w:rFonts w:ascii="Calibri" w:hAnsi="Calibri" w:cs="Calibri"/>
                <w:color w:val="000000"/>
                <w:sz w:val="16"/>
                <w:szCs w:val="16"/>
              </w:rPr>
            </w:pPr>
            <w:r>
              <w:rPr>
                <w:rFonts w:ascii="Calibri" w:hAnsi="Calibri" w:cs="Calibri"/>
                <w:color w:val="000000"/>
                <w:sz w:val="16"/>
                <w:szCs w:val="16"/>
              </w:rPr>
              <w:t xml:space="preserve">$61.04 </w:t>
            </w:r>
          </w:p>
        </w:tc>
        <w:tc>
          <w:tcPr>
            <w:tcW w:w="1298" w:type="dxa"/>
            <w:tcBorders>
              <w:top w:val="nil"/>
              <w:left w:val="nil"/>
              <w:bottom w:val="single" w:sz="8" w:space="0" w:color="auto"/>
              <w:right w:val="single" w:sz="8" w:space="0" w:color="auto"/>
            </w:tcBorders>
            <w:shd w:val="clear" w:color="auto" w:fill="auto"/>
            <w:noWrap/>
            <w:vAlign w:val="center"/>
            <w:hideMark/>
          </w:tcPr>
          <w:p w:rsidR="006327AB" w:rsidRPr="005E2282" w:rsidP="006327AB" w14:paraId="141FD2AA" w14:textId="7D0A760C">
            <w:pPr>
              <w:jc w:val="right"/>
              <w:rPr>
                <w:rFonts w:ascii="Calibri" w:hAnsi="Calibri" w:cs="Calibri"/>
                <w:color w:val="000000"/>
                <w:sz w:val="16"/>
                <w:szCs w:val="16"/>
              </w:rPr>
            </w:pPr>
            <w:r>
              <w:rPr>
                <w:rFonts w:ascii="Calibri" w:hAnsi="Calibri" w:cs="Calibri"/>
                <w:color w:val="000000"/>
                <w:sz w:val="16"/>
                <w:szCs w:val="16"/>
              </w:rPr>
              <w:t>$</w:t>
            </w:r>
            <w:r w:rsidR="00120565">
              <w:rPr>
                <w:rFonts w:ascii="Calibri" w:hAnsi="Calibri" w:cs="Calibri"/>
                <w:color w:val="000000"/>
                <w:sz w:val="16"/>
                <w:szCs w:val="16"/>
              </w:rPr>
              <w:t>244.16</w:t>
            </w:r>
            <w:r>
              <w:rPr>
                <w:rFonts w:ascii="Calibri" w:hAnsi="Calibri" w:cs="Calibri"/>
                <w:color w:val="000000"/>
                <w:sz w:val="16"/>
                <w:szCs w:val="16"/>
              </w:rPr>
              <w:t xml:space="preserve"> </w:t>
            </w:r>
          </w:p>
        </w:tc>
      </w:tr>
      <w:tr w14:paraId="66D13668" w14:textId="77777777" w:rsidTr="000D5DA7">
        <w:tblPrEx>
          <w:tblW w:w="11690" w:type="dxa"/>
          <w:tblLook w:val="04A0"/>
        </w:tblPrEx>
        <w:trPr>
          <w:trHeight w:val="315"/>
        </w:trPr>
        <w:tc>
          <w:tcPr>
            <w:tcW w:w="2780" w:type="dxa"/>
            <w:tcBorders>
              <w:top w:val="nil"/>
              <w:left w:val="single" w:sz="8" w:space="0" w:color="auto"/>
              <w:bottom w:val="single" w:sz="8" w:space="0" w:color="auto"/>
              <w:right w:val="nil"/>
            </w:tcBorders>
            <w:shd w:val="clear" w:color="auto" w:fill="auto"/>
            <w:vAlign w:val="center"/>
            <w:hideMark/>
          </w:tcPr>
          <w:p w:rsidR="006327AB" w:rsidRPr="005E2282" w:rsidP="006327AB" w14:paraId="1D96743A" w14:textId="77777777">
            <w:pPr>
              <w:rPr>
                <w:rFonts w:ascii="Calibri" w:hAnsi="Calibri" w:cs="Calibri"/>
                <w:color w:val="000000"/>
                <w:sz w:val="16"/>
                <w:szCs w:val="16"/>
              </w:rPr>
            </w:pPr>
            <w:r w:rsidRPr="005E2282">
              <w:rPr>
                <w:rFonts w:ascii="Calibri" w:hAnsi="Calibri" w:cs="Calibri"/>
                <w:color w:val="000000"/>
                <w:sz w:val="16"/>
                <w:szCs w:val="16"/>
              </w:rPr>
              <w:t xml:space="preserve">    Change to EMSP</w:t>
            </w:r>
          </w:p>
        </w:tc>
        <w:tc>
          <w:tcPr>
            <w:tcW w:w="1530" w:type="dxa"/>
            <w:tcBorders>
              <w:top w:val="nil"/>
              <w:left w:val="single" w:sz="8" w:space="0" w:color="auto"/>
              <w:bottom w:val="single" w:sz="8" w:space="0" w:color="auto"/>
              <w:right w:val="single" w:sz="8" w:space="0" w:color="auto"/>
            </w:tcBorders>
            <w:shd w:val="clear" w:color="auto" w:fill="auto"/>
            <w:noWrap/>
            <w:vAlign w:val="bottom"/>
            <w:hideMark/>
          </w:tcPr>
          <w:p w:rsidR="006327AB" w:rsidRPr="005E2282" w:rsidP="006327AB" w14:paraId="2FF59C2E" w14:textId="77777777">
            <w:pPr>
              <w:rPr>
                <w:rFonts w:ascii="Calibri" w:hAnsi="Calibri" w:cs="Calibri"/>
                <w:color w:val="000000"/>
                <w:sz w:val="16"/>
                <w:szCs w:val="16"/>
              </w:rPr>
            </w:pPr>
            <w:r w:rsidRPr="005E2282">
              <w:rPr>
                <w:rFonts w:ascii="Calibri" w:hAnsi="Calibri" w:cs="Calibri"/>
                <w:color w:val="000000"/>
                <w:sz w:val="16"/>
                <w:szCs w:val="16"/>
              </w:rPr>
              <w:t>Program Manage</w:t>
            </w:r>
            <w:bookmarkStart w:id="13" w:name="_GoBack"/>
            <w:bookmarkEnd w:id="13"/>
            <w:r w:rsidRPr="005E2282">
              <w:rPr>
                <w:rFonts w:ascii="Calibri" w:hAnsi="Calibri" w:cs="Calibri"/>
                <w:color w:val="000000"/>
                <w:sz w:val="16"/>
                <w:szCs w:val="16"/>
              </w:rPr>
              <w:t>r</w:t>
            </w:r>
          </w:p>
        </w:tc>
        <w:tc>
          <w:tcPr>
            <w:tcW w:w="1080" w:type="dxa"/>
            <w:tcBorders>
              <w:top w:val="nil"/>
              <w:left w:val="nil"/>
              <w:bottom w:val="single" w:sz="8" w:space="0" w:color="auto"/>
              <w:right w:val="single" w:sz="8" w:space="0" w:color="auto"/>
            </w:tcBorders>
            <w:shd w:val="clear" w:color="auto" w:fill="auto"/>
            <w:vAlign w:val="center"/>
            <w:hideMark/>
          </w:tcPr>
          <w:p w:rsidR="006327AB" w:rsidRPr="005E2282" w:rsidP="006327AB" w14:paraId="7C7552A5" w14:textId="201F07E9">
            <w:pPr>
              <w:jc w:val="right"/>
              <w:rPr>
                <w:rFonts w:ascii="Calibri" w:hAnsi="Calibri" w:cs="Calibri"/>
                <w:color w:val="000000"/>
                <w:sz w:val="16"/>
                <w:szCs w:val="16"/>
              </w:rPr>
            </w:pPr>
            <w:r>
              <w:rPr>
                <w:rFonts w:ascii="Calibri" w:hAnsi="Calibri" w:cs="Calibri"/>
                <w:color w:val="000000"/>
                <w:sz w:val="16"/>
                <w:szCs w:val="16"/>
              </w:rPr>
              <w:t>3</w:t>
            </w:r>
          </w:p>
        </w:tc>
        <w:tc>
          <w:tcPr>
            <w:tcW w:w="1016" w:type="dxa"/>
            <w:tcBorders>
              <w:top w:val="nil"/>
              <w:left w:val="nil"/>
              <w:bottom w:val="single" w:sz="8" w:space="0" w:color="auto"/>
              <w:right w:val="single" w:sz="8" w:space="0" w:color="auto"/>
            </w:tcBorders>
            <w:shd w:val="clear" w:color="auto" w:fill="auto"/>
            <w:vAlign w:val="center"/>
            <w:hideMark/>
          </w:tcPr>
          <w:p w:rsidR="006327AB" w:rsidRPr="005E2282" w:rsidP="006327AB" w14:paraId="3BF07E26" w14:textId="617F333C">
            <w:pPr>
              <w:jc w:val="right"/>
              <w:rPr>
                <w:rFonts w:ascii="Calibri" w:hAnsi="Calibri" w:cs="Calibri"/>
                <w:color w:val="000000"/>
                <w:sz w:val="16"/>
                <w:szCs w:val="16"/>
              </w:rPr>
            </w:pPr>
            <w:r>
              <w:rPr>
                <w:rFonts w:ascii="Calibri" w:hAnsi="Calibri" w:cs="Calibri"/>
                <w:color w:val="000000"/>
                <w:sz w:val="16"/>
                <w:szCs w:val="16"/>
              </w:rPr>
              <w:t>1</w:t>
            </w:r>
          </w:p>
        </w:tc>
        <w:tc>
          <w:tcPr>
            <w:tcW w:w="960" w:type="dxa"/>
            <w:tcBorders>
              <w:top w:val="nil"/>
              <w:left w:val="nil"/>
              <w:bottom w:val="single" w:sz="8" w:space="0" w:color="auto"/>
              <w:right w:val="single" w:sz="8" w:space="0" w:color="auto"/>
            </w:tcBorders>
            <w:shd w:val="clear" w:color="auto" w:fill="auto"/>
            <w:vAlign w:val="center"/>
            <w:hideMark/>
          </w:tcPr>
          <w:p w:rsidR="006327AB" w:rsidRPr="005E2282" w:rsidP="006327AB" w14:paraId="14245B8A" w14:textId="67DD6A79">
            <w:pPr>
              <w:jc w:val="right"/>
              <w:rPr>
                <w:rFonts w:ascii="Calibri" w:hAnsi="Calibri" w:cs="Calibri"/>
                <w:color w:val="000000"/>
                <w:sz w:val="16"/>
                <w:szCs w:val="16"/>
              </w:rPr>
            </w:pPr>
            <w:r>
              <w:rPr>
                <w:rFonts w:ascii="Calibri" w:hAnsi="Calibri" w:cs="Calibri"/>
                <w:color w:val="000000"/>
                <w:sz w:val="16"/>
                <w:szCs w:val="16"/>
              </w:rPr>
              <w:t>3</w:t>
            </w:r>
          </w:p>
        </w:tc>
        <w:tc>
          <w:tcPr>
            <w:tcW w:w="1000" w:type="dxa"/>
            <w:tcBorders>
              <w:top w:val="nil"/>
              <w:left w:val="nil"/>
              <w:bottom w:val="single" w:sz="8" w:space="0" w:color="auto"/>
              <w:right w:val="single" w:sz="8" w:space="0" w:color="auto"/>
            </w:tcBorders>
            <w:shd w:val="clear" w:color="auto" w:fill="auto"/>
            <w:vAlign w:val="center"/>
            <w:hideMark/>
          </w:tcPr>
          <w:p w:rsidR="006327AB" w:rsidRPr="005E2282" w:rsidP="006327AB" w14:paraId="51D8678B" w14:textId="344A9074">
            <w:pPr>
              <w:jc w:val="right"/>
              <w:rPr>
                <w:rFonts w:ascii="Calibri" w:hAnsi="Calibri" w:cs="Calibri"/>
                <w:color w:val="000000"/>
                <w:sz w:val="16"/>
                <w:szCs w:val="16"/>
              </w:rPr>
            </w:pPr>
            <w:r>
              <w:rPr>
                <w:rFonts w:ascii="Calibri" w:hAnsi="Calibri" w:cs="Calibri"/>
                <w:color w:val="000000"/>
                <w:sz w:val="16"/>
                <w:szCs w:val="16"/>
              </w:rPr>
              <w:t>2</w:t>
            </w:r>
          </w:p>
        </w:tc>
        <w:tc>
          <w:tcPr>
            <w:tcW w:w="960" w:type="dxa"/>
            <w:tcBorders>
              <w:top w:val="nil"/>
              <w:left w:val="nil"/>
              <w:bottom w:val="single" w:sz="8" w:space="0" w:color="auto"/>
              <w:right w:val="single" w:sz="8" w:space="0" w:color="auto"/>
            </w:tcBorders>
            <w:shd w:val="clear" w:color="auto" w:fill="auto"/>
            <w:vAlign w:val="center"/>
            <w:hideMark/>
          </w:tcPr>
          <w:p w:rsidR="006327AB" w:rsidRPr="005E2282" w:rsidP="006327AB" w14:paraId="760911FD" w14:textId="2B948C95">
            <w:pPr>
              <w:jc w:val="right"/>
              <w:rPr>
                <w:rFonts w:ascii="Calibri" w:hAnsi="Calibri" w:cs="Calibri"/>
                <w:color w:val="000000"/>
                <w:sz w:val="16"/>
                <w:szCs w:val="16"/>
              </w:rPr>
            </w:pPr>
            <w:r>
              <w:rPr>
                <w:rFonts w:ascii="Calibri" w:hAnsi="Calibri" w:cs="Calibri"/>
                <w:color w:val="000000"/>
                <w:sz w:val="16"/>
                <w:szCs w:val="16"/>
              </w:rPr>
              <w:t>6</w:t>
            </w:r>
          </w:p>
        </w:tc>
        <w:tc>
          <w:tcPr>
            <w:tcW w:w="1066" w:type="dxa"/>
            <w:tcBorders>
              <w:top w:val="nil"/>
              <w:left w:val="nil"/>
              <w:bottom w:val="single" w:sz="8" w:space="0" w:color="auto"/>
              <w:right w:val="single" w:sz="8" w:space="0" w:color="auto"/>
            </w:tcBorders>
            <w:shd w:val="clear" w:color="auto" w:fill="auto"/>
            <w:noWrap/>
            <w:vAlign w:val="center"/>
            <w:hideMark/>
          </w:tcPr>
          <w:p w:rsidR="006327AB" w:rsidRPr="005E2282" w:rsidP="006327AB" w14:paraId="55041696" w14:textId="7CE1ECD1">
            <w:pPr>
              <w:jc w:val="right"/>
              <w:rPr>
                <w:rFonts w:ascii="Calibri" w:hAnsi="Calibri" w:cs="Calibri"/>
                <w:color w:val="000000"/>
                <w:sz w:val="16"/>
                <w:szCs w:val="16"/>
              </w:rPr>
            </w:pPr>
            <w:r>
              <w:rPr>
                <w:rFonts w:ascii="Calibri" w:hAnsi="Calibri" w:cs="Calibri"/>
                <w:color w:val="000000"/>
                <w:sz w:val="16"/>
                <w:szCs w:val="16"/>
              </w:rPr>
              <w:t xml:space="preserve">$61.04 </w:t>
            </w:r>
          </w:p>
        </w:tc>
        <w:tc>
          <w:tcPr>
            <w:tcW w:w="1298" w:type="dxa"/>
            <w:tcBorders>
              <w:top w:val="nil"/>
              <w:left w:val="nil"/>
              <w:bottom w:val="single" w:sz="8" w:space="0" w:color="auto"/>
              <w:right w:val="single" w:sz="8" w:space="0" w:color="auto"/>
            </w:tcBorders>
            <w:shd w:val="clear" w:color="auto" w:fill="auto"/>
            <w:noWrap/>
            <w:vAlign w:val="center"/>
            <w:hideMark/>
          </w:tcPr>
          <w:p w:rsidR="006327AB" w:rsidRPr="005E2282" w:rsidP="006327AB" w14:paraId="18E3661D" w14:textId="02471314">
            <w:pPr>
              <w:jc w:val="right"/>
              <w:rPr>
                <w:rFonts w:ascii="Calibri" w:hAnsi="Calibri" w:cs="Calibri"/>
                <w:color w:val="000000"/>
                <w:sz w:val="16"/>
                <w:szCs w:val="16"/>
              </w:rPr>
            </w:pPr>
            <w:r>
              <w:rPr>
                <w:rFonts w:ascii="Calibri" w:hAnsi="Calibri" w:cs="Calibri"/>
                <w:color w:val="000000"/>
                <w:sz w:val="16"/>
                <w:szCs w:val="16"/>
              </w:rPr>
              <w:t xml:space="preserve">$366.24 </w:t>
            </w:r>
          </w:p>
        </w:tc>
      </w:tr>
      <w:tr w14:paraId="1A53D7BF" w14:textId="77777777" w:rsidTr="00AC2E22">
        <w:tblPrEx>
          <w:tblW w:w="11690" w:type="dxa"/>
          <w:tblLook w:val="04A0"/>
        </w:tblPrEx>
        <w:trPr>
          <w:trHeight w:val="315"/>
        </w:trPr>
        <w:tc>
          <w:tcPr>
            <w:tcW w:w="2780" w:type="dxa"/>
            <w:tcBorders>
              <w:top w:val="nil"/>
              <w:left w:val="single" w:sz="8" w:space="0" w:color="auto"/>
              <w:bottom w:val="single" w:sz="8" w:space="0" w:color="auto"/>
              <w:right w:val="nil"/>
            </w:tcBorders>
            <w:shd w:val="clear" w:color="auto" w:fill="auto"/>
            <w:vAlign w:val="center"/>
            <w:hideMark/>
          </w:tcPr>
          <w:p w:rsidR="006327AB" w:rsidRPr="005E2282" w:rsidP="006327AB" w14:paraId="032125C0" w14:textId="77777777">
            <w:pPr>
              <w:rPr>
                <w:rFonts w:ascii="Calibri" w:hAnsi="Calibri" w:cs="Calibri"/>
                <w:color w:val="000000"/>
                <w:sz w:val="16"/>
                <w:szCs w:val="16"/>
              </w:rPr>
            </w:pPr>
            <w:r w:rsidRPr="005E2282">
              <w:rPr>
                <w:rFonts w:ascii="Calibri" w:hAnsi="Calibri" w:cs="Calibri"/>
                <w:color w:val="000000"/>
                <w:sz w:val="16"/>
                <w:szCs w:val="16"/>
              </w:rPr>
              <w:t xml:space="preserve">    EM System Certification Form</w:t>
            </w:r>
          </w:p>
        </w:tc>
        <w:tc>
          <w:tcPr>
            <w:tcW w:w="1530" w:type="dxa"/>
            <w:tcBorders>
              <w:top w:val="nil"/>
              <w:left w:val="single" w:sz="8" w:space="0" w:color="auto"/>
              <w:bottom w:val="single" w:sz="8" w:space="0" w:color="auto"/>
              <w:right w:val="single" w:sz="8" w:space="0" w:color="auto"/>
            </w:tcBorders>
            <w:shd w:val="clear" w:color="auto" w:fill="auto"/>
            <w:noWrap/>
            <w:vAlign w:val="bottom"/>
            <w:hideMark/>
          </w:tcPr>
          <w:p w:rsidR="006327AB" w:rsidRPr="005E2282" w:rsidP="006327AB" w14:paraId="29B1F4CB" w14:textId="77777777">
            <w:pPr>
              <w:rPr>
                <w:rFonts w:ascii="Calibri" w:hAnsi="Calibri" w:cs="Calibri"/>
                <w:color w:val="000000"/>
                <w:sz w:val="16"/>
                <w:szCs w:val="16"/>
              </w:rPr>
            </w:pPr>
            <w:r w:rsidRPr="005E2282">
              <w:rPr>
                <w:rFonts w:ascii="Calibri" w:hAnsi="Calibri" w:cs="Calibri"/>
                <w:color w:val="000000"/>
                <w:sz w:val="16"/>
                <w:szCs w:val="16"/>
              </w:rPr>
              <w:t>Program Manager</w:t>
            </w:r>
          </w:p>
        </w:tc>
        <w:tc>
          <w:tcPr>
            <w:tcW w:w="1080" w:type="dxa"/>
            <w:tcBorders>
              <w:top w:val="nil"/>
              <w:left w:val="nil"/>
              <w:bottom w:val="single" w:sz="8" w:space="0" w:color="auto"/>
              <w:right w:val="single" w:sz="8" w:space="0" w:color="auto"/>
            </w:tcBorders>
            <w:shd w:val="clear" w:color="auto" w:fill="auto"/>
            <w:vAlign w:val="center"/>
            <w:hideMark/>
          </w:tcPr>
          <w:p w:rsidR="006327AB" w:rsidRPr="005E2282" w:rsidP="006327AB" w14:paraId="2B08D283" w14:textId="7BB39132">
            <w:pPr>
              <w:jc w:val="right"/>
              <w:rPr>
                <w:rFonts w:ascii="Calibri" w:hAnsi="Calibri" w:cs="Calibri"/>
                <w:color w:val="000000"/>
                <w:sz w:val="16"/>
                <w:szCs w:val="16"/>
              </w:rPr>
            </w:pPr>
            <w:r>
              <w:rPr>
                <w:rFonts w:ascii="Calibri" w:hAnsi="Calibri" w:cs="Calibri"/>
                <w:color w:val="000000"/>
                <w:sz w:val="16"/>
                <w:szCs w:val="16"/>
              </w:rPr>
              <w:t>3</w:t>
            </w:r>
          </w:p>
        </w:tc>
        <w:tc>
          <w:tcPr>
            <w:tcW w:w="1016" w:type="dxa"/>
            <w:tcBorders>
              <w:top w:val="nil"/>
              <w:left w:val="nil"/>
              <w:bottom w:val="single" w:sz="8" w:space="0" w:color="auto"/>
              <w:right w:val="single" w:sz="8" w:space="0" w:color="auto"/>
            </w:tcBorders>
            <w:shd w:val="clear" w:color="auto" w:fill="auto"/>
            <w:vAlign w:val="center"/>
            <w:hideMark/>
          </w:tcPr>
          <w:p w:rsidR="006327AB" w:rsidRPr="005E2282" w:rsidP="006327AB" w14:paraId="0C80B001" w14:textId="32D62E71">
            <w:pPr>
              <w:jc w:val="right"/>
              <w:rPr>
                <w:rFonts w:ascii="Calibri" w:hAnsi="Calibri" w:cs="Calibri"/>
                <w:color w:val="000000"/>
                <w:sz w:val="16"/>
                <w:szCs w:val="16"/>
              </w:rPr>
            </w:pPr>
            <w:r>
              <w:rPr>
                <w:rFonts w:ascii="Calibri" w:hAnsi="Calibri" w:cs="Calibri"/>
                <w:color w:val="000000"/>
                <w:sz w:val="16"/>
                <w:szCs w:val="16"/>
              </w:rPr>
              <w:t>3</w:t>
            </w:r>
          </w:p>
        </w:tc>
        <w:tc>
          <w:tcPr>
            <w:tcW w:w="960" w:type="dxa"/>
            <w:tcBorders>
              <w:top w:val="nil"/>
              <w:left w:val="nil"/>
              <w:bottom w:val="single" w:sz="8" w:space="0" w:color="auto"/>
              <w:right w:val="single" w:sz="8" w:space="0" w:color="auto"/>
            </w:tcBorders>
            <w:shd w:val="clear" w:color="auto" w:fill="auto"/>
            <w:vAlign w:val="center"/>
            <w:hideMark/>
          </w:tcPr>
          <w:p w:rsidR="006327AB" w:rsidRPr="005E2282" w:rsidP="006327AB" w14:paraId="3FECC39F" w14:textId="5DC07898">
            <w:pPr>
              <w:jc w:val="right"/>
              <w:rPr>
                <w:rFonts w:ascii="Calibri" w:hAnsi="Calibri" w:cs="Calibri"/>
                <w:color w:val="000000"/>
                <w:sz w:val="16"/>
                <w:szCs w:val="16"/>
              </w:rPr>
            </w:pPr>
            <w:r>
              <w:rPr>
                <w:rFonts w:ascii="Calibri" w:hAnsi="Calibri" w:cs="Calibri"/>
                <w:color w:val="000000"/>
                <w:sz w:val="16"/>
                <w:szCs w:val="16"/>
              </w:rPr>
              <w:t>9</w:t>
            </w:r>
          </w:p>
        </w:tc>
        <w:tc>
          <w:tcPr>
            <w:tcW w:w="1000" w:type="dxa"/>
            <w:tcBorders>
              <w:top w:val="nil"/>
              <w:left w:val="nil"/>
              <w:bottom w:val="single" w:sz="8" w:space="0" w:color="auto"/>
              <w:right w:val="single" w:sz="8" w:space="0" w:color="auto"/>
            </w:tcBorders>
            <w:shd w:val="clear" w:color="auto" w:fill="auto"/>
            <w:vAlign w:val="center"/>
            <w:hideMark/>
          </w:tcPr>
          <w:p w:rsidR="006327AB" w:rsidRPr="005E2282" w:rsidP="006327AB" w14:paraId="79197982" w14:textId="3BDF4D5D">
            <w:pPr>
              <w:jc w:val="right"/>
              <w:rPr>
                <w:rFonts w:ascii="Calibri" w:hAnsi="Calibri" w:cs="Calibri"/>
                <w:color w:val="000000"/>
                <w:sz w:val="16"/>
                <w:szCs w:val="16"/>
              </w:rPr>
            </w:pPr>
            <w:r>
              <w:rPr>
                <w:rFonts w:ascii="Calibri" w:hAnsi="Calibri" w:cs="Calibri"/>
                <w:color w:val="000000"/>
                <w:sz w:val="16"/>
                <w:szCs w:val="16"/>
              </w:rPr>
              <w:t>0.5</w:t>
            </w:r>
          </w:p>
        </w:tc>
        <w:tc>
          <w:tcPr>
            <w:tcW w:w="960" w:type="dxa"/>
            <w:tcBorders>
              <w:top w:val="nil"/>
              <w:left w:val="nil"/>
              <w:bottom w:val="single" w:sz="8" w:space="0" w:color="auto"/>
              <w:right w:val="single" w:sz="8" w:space="0" w:color="auto"/>
            </w:tcBorders>
            <w:shd w:val="clear" w:color="auto" w:fill="auto"/>
            <w:vAlign w:val="center"/>
            <w:hideMark/>
          </w:tcPr>
          <w:p w:rsidR="006327AB" w:rsidRPr="005E2282" w:rsidP="006327AB" w14:paraId="61576CC1" w14:textId="00A7C314">
            <w:pPr>
              <w:jc w:val="right"/>
              <w:rPr>
                <w:rFonts w:ascii="Calibri" w:hAnsi="Calibri" w:cs="Calibri"/>
                <w:color w:val="000000"/>
                <w:sz w:val="16"/>
                <w:szCs w:val="16"/>
              </w:rPr>
            </w:pPr>
            <w:r>
              <w:rPr>
                <w:rFonts w:ascii="Calibri" w:hAnsi="Calibri" w:cs="Calibri"/>
                <w:color w:val="000000"/>
                <w:sz w:val="16"/>
                <w:szCs w:val="16"/>
              </w:rPr>
              <w:t>4.5</w:t>
            </w:r>
          </w:p>
        </w:tc>
        <w:tc>
          <w:tcPr>
            <w:tcW w:w="1066" w:type="dxa"/>
            <w:tcBorders>
              <w:top w:val="nil"/>
              <w:left w:val="nil"/>
              <w:bottom w:val="single" w:sz="8" w:space="0" w:color="auto"/>
              <w:right w:val="single" w:sz="8" w:space="0" w:color="auto"/>
            </w:tcBorders>
            <w:shd w:val="clear" w:color="auto" w:fill="auto"/>
            <w:noWrap/>
            <w:vAlign w:val="center"/>
            <w:hideMark/>
          </w:tcPr>
          <w:p w:rsidR="006327AB" w:rsidRPr="005E2282" w:rsidP="006327AB" w14:paraId="71F4241E" w14:textId="3EF38505">
            <w:pPr>
              <w:jc w:val="right"/>
              <w:rPr>
                <w:rFonts w:ascii="Calibri" w:hAnsi="Calibri" w:cs="Calibri"/>
                <w:color w:val="000000"/>
                <w:sz w:val="16"/>
                <w:szCs w:val="16"/>
              </w:rPr>
            </w:pPr>
            <w:r>
              <w:rPr>
                <w:rFonts w:ascii="Calibri" w:hAnsi="Calibri" w:cs="Calibri"/>
                <w:color w:val="000000"/>
                <w:sz w:val="16"/>
                <w:szCs w:val="16"/>
              </w:rPr>
              <w:t xml:space="preserve">$61.04 </w:t>
            </w:r>
          </w:p>
        </w:tc>
        <w:tc>
          <w:tcPr>
            <w:tcW w:w="1298" w:type="dxa"/>
            <w:tcBorders>
              <w:top w:val="nil"/>
              <w:left w:val="nil"/>
              <w:bottom w:val="single" w:sz="8" w:space="0" w:color="auto"/>
              <w:right w:val="single" w:sz="8" w:space="0" w:color="auto"/>
            </w:tcBorders>
            <w:shd w:val="clear" w:color="auto" w:fill="auto"/>
            <w:noWrap/>
            <w:vAlign w:val="center"/>
            <w:hideMark/>
          </w:tcPr>
          <w:p w:rsidR="006327AB" w:rsidRPr="005E2282" w:rsidP="006327AB" w14:paraId="3E1A8457" w14:textId="1F42F7D9">
            <w:pPr>
              <w:jc w:val="right"/>
              <w:rPr>
                <w:rFonts w:ascii="Calibri" w:hAnsi="Calibri" w:cs="Calibri"/>
                <w:color w:val="000000"/>
                <w:sz w:val="16"/>
                <w:szCs w:val="16"/>
              </w:rPr>
            </w:pPr>
            <w:r>
              <w:rPr>
                <w:rFonts w:ascii="Calibri" w:hAnsi="Calibri" w:cs="Calibri"/>
                <w:color w:val="000000"/>
                <w:sz w:val="16"/>
                <w:szCs w:val="16"/>
              </w:rPr>
              <w:t xml:space="preserve">$274.68 </w:t>
            </w:r>
          </w:p>
        </w:tc>
      </w:tr>
      <w:tr w14:paraId="4505429E" w14:textId="77777777" w:rsidTr="00AC2E22">
        <w:tblPrEx>
          <w:tblW w:w="11690" w:type="dxa"/>
          <w:tblLook w:val="04A0"/>
        </w:tblPrEx>
        <w:trPr>
          <w:trHeight w:val="315"/>
        </w:trPr>
        <w:tc>
          <w:tcPr>
            <w:tcW w:w="2780" w:type="dxa"/>
            <w:tcBorders>
              <w:top w:val="nil"/>
              <w:left w:val="single" w:sz="8" w:space="0" w:color="auto"/>
              <w:bottom w:val="single" w:sz="8" w:space="0" w:color="auto"/>
              <w:right w:val="nil"/>
            </w:tcBorders>
            <w:shd w:val="clear" w:color="auto" w:fill="auto"/>
            <w:vAlign w:val="center"/>
            <w:hideMark/>
          </w:tcPr>
          <w:p w:rsidR="006327AB" w:rsidRPr="005E2282" w:rsidP="006327AB" w14:paraId="1D888192" w14:textId="77777777">
            <w:pPr>
              <w:rPr>
                <w:rFonts w:ascii="Calibri" w:hAnsi="Calibri" w:cs="Calibri"/>
                <w:color w:val="000000"/>
                <w:sz w:val="16"/>
                <w:szCs w:val="16"/>
              </w:rPr>
            </w:pPr>
            <w:r w:rsidRPr="005E2282">
              <w:rPr>
                <w:rFonts w:ascii="Calibri" w:hAnsi="Calibri" w:cs="Calibri"/>
                <w:color w:val="000000"/>
                <w:sz w:val="16"/>
                <w:szCs w:val="16"/>
              </w:rPr>
              <w:t xml:space="preserve">    Vessel Monitoring Plans</w:t>
            </w:r>
          </w:p>
        </w:tc>
        <w:tc>
          <w:tcPr>
            <w:tcW w:w="1530" w:type="dxa"/>
            <w:tcBorders>
              <w:top w:val="nil"/>
              <w:left w:val="single" w:sz="8" w:space="0" w:color="auto"/>
              <w:bottom w:val="single" w:sz="8" w:space="0" w:color="auto"/>
              <w:right w:val="single" w:sz="8" w:space="0" w:color="auto"/>
            </w:tcBorders>
            <w:shd w:val="clear" w:color="auto" w:fill="auto"/>
            <w:noWrap/>
            <w:vAlign w:val="bottom"/>
            <w:hideMark/>
          </w:tcPr>
          <w:p w:rsidR="006327AB" w:rsidRPr="005E2282" w:rsidP="006327AB" w14:paraId="18DF86F2" w14:textId="77777777">
            <w:pPr>
              <w:rPr>
                <w:rFonts w:ascii="Calibri" w:hAnsi="Calibri" w:cs="Calibri"/>
                <w:color w:val="000000"/>
                <w:sz w:val="16"/>
                <w:szCs w:val="16"/>
              </w:rPr>
            </w:pPr>
            <w:r w:rsidRPr="005E2282">
              <w:rPr>
                <w:rFonts w:ascii="Calibri" w:hAnsi="Calibri" w:cs="Calibri"/>
                <w:color w:val="000000"/>
                <w:sz w:val="16"/>
                <w:szCs w:val="16"/>
              </w:rPr>
              <w:t>Program Manager</w:t>
            </w:r>
          </w:p>
        </w:tc>
        <w:tc>
          <w:tcPr>
            <w:tcW w:w="1080" w:type="dxa"/>
            <w:tcBorders>
              <w:top w:val="nil"/>
              <w:left w:val="nil"/>
              <w:bottom w:val="single" w:sz="8" w:space="0" w:color="auto"/>
              <w:right w:val="single" w:sz="8" w:space="0" w:color="auto"/>
            </w:tcBorders>
            <w:shd w:val="clear" w:color="auto" w:fill="auto"/>
            <w:vAlign w:val="center"/>
            <w:hideMark/>
          </w:tcPr>
          <w:p w:rsidR="006327AB" w:rsidRPr="005E2282" w:rsidP="006327AB" w14:paraId="5248C1A3" w14:textId="672AF567">
            <w:pPr>
              <w:jc w:val="right"/>
              <w:rPr>
                <w:rFonts w:ascii="Calibri" w:hAnsi="Calibri" w:cs="Calibri"/>
                <w:color w:val="000000"/>
                <w:sz w:val="16"/>
                <w:szCs w:val="16"/>
              </w:rPr>
            </w:pPr>
            <w:r>
              <w:rPr>
                <w:rFonts w:ascii="Calibri" w:hAnsi="Calibri" w:cs="Calibri"/>
                <w:color w:val="000000"/>
                <w:sz w:val="16"/>
                <w:szCs w:val="16"/>
              </w:rPr>
              <w:t>3</w:t>
            </w:r>
          </w:p>
        </w:tc>
        <w:tc>
          <w:tcPr>
            <w:tcW w:w="1016" w:type="dxa"/>
            <w:tcBorders>
              <w:top w:val="nil"/>
              <w:left w:val="nil"/>
              <w:bottom w:val="single" w:sz="8" w:space="0" w:color="auto"/>
              <w:right w:val="single" w:sz="8" w:space="0" w:color="auto"/>
            </w:tcBorders>
            <w:shd w:val="clear" w:color="auto" w:fill="auto"/>
            <w:vAlign w:val="center"/>
            <w:hideMark/>
          </w:tcPr>
          <w:p w:rsidR="006327AB" w:rsidRPr="005E2282" w:rsidP="006327AB" w14:paraId="4C396E3E" w14:textId="76156BBF">
            <w:pPr>
              <w:jc w:val="right"/>
              <w:rPr>
                <w:rFonts w:ascii="Calibri" w:hAnsi="Calibri" w:cs="Calibri"/>
                <w:color w:val="000000"/>
                <w:sz w:val="16"/>
                <w:szCs w:val="16"/>
              </w:rPr>
            </w:pPr>
            <w:r>
              <w:rPr>
                <w:rFonts w:ascii="Calibri" w:hAnsi="Calibri" w:cs="Calibri"/>
                <w:color w:val="000000"/>
                <w:sz w:val="16"/>
                <w:szCs w:val="16"/>
              </w:rPr>
              <w:t>3</w:t>
            </w:r>
          </w:p>
        </w:tc>
        <w:tc>
          <w:tcPr>
            <w:tcW w:w="960" w:type="dxa"/>
            <w:tcBorders>
              <w:top w:val="nil"/>
              <w:left w:val="nil"/>
              <w:bottom w:val="single" w:sz="8" w:space="0" w:color="auto"/>
              <w:right w:val="single" w:sz="8" w:space="0" w:color="auto"/>
            </w:tcBorders>
            <w:shd w:val="clear" w:color="auto" w:fill="auto"/>
            <w:vAlign w:val="center"/>
            <w:hideMark/>
          </w:tcPr>
          <w:p w:rsidR="006327AB" w:rsidRPr="005E2282" w:rsidP="006327AB" w14:paraId="52472D2B" w14:textId="2ED37DD7">
            <w:pPr>
              <w:jc w:val="right"/>
              <w:rPr>
                <w:rFonts w:ascii="Calibri" w:hAnsi="Calibri" w:cs="Calibri"/>
                <w:color w:val="000000"/>
                <w:sz w:val="16"/>
                <w:szCs w:val="16"/>
              </w:rPr>
            </w:pPr>
            <w:r>
              <w:rPr>
                <w:rFonts w:ascii="Calibri" w:hAnsi="Calibri" w:cs="Calibri"/>
                <w:color w:val="000000"/>
                <w:sz w:val="16"/>
                <w:szCs w:val="16"/>
              </w:rPr>
              <w:t>9</w:t>
            </w:r>
          </w:p>
        </w:tc>
        <w:tc>
          <w:tcPr>
            <w:tcW w:w="1000" w:type="dxa"/>
            <w:tcBorders>
              <w:top w:val="nil"/>
              <w:left w:val="nil"/>
              <w:bottom w:val="single" w:sz="8" w:space="0" w:color="auto"/>
              <w:right w:val="single" w:sz="8" w:space="0" w:color="auto"/>
            </w:tcBorders>
            <w:shd w:val="clear" w:color="auto" w:fill="auto"/>
            <w:vAlign w:val="center"/>
            <w:hideMark/>
          </w:tcPr>
          <w:p w:rsidR="006327AB" w:rsidRPr="005E2282" w:rsidP="006327AB" w14:paraId="0F9CB300" w14:textId="028F79E6">
            <w:pPr>
              <w:jc w:val="right"/>
              <w:rPr>
                <w:rFonts w:ascii="Calibri" w:hAnsi="Calibri" w:cs="Calibri"/>
                <w:color w:val="000000"/>
                <w:sz w:val="16"/>
                <w:szCs w:val="16"/>
              </w:rPr>
            </w:pPr>
            <w:r>
              <w:rPr>
                <w:rFonts w:ascii="Calibri" w:hAnsi="Calibri" w:cs="Calibri"/>
                <w:color w:val="000000"/>
                <w:sz w:val="16"/>
                <w:szCs w:val="16"/>
              </w:rPr>
              <w:t>4</w:t>
            </w:r>
          </w:p>
        </w:tc>
        <w:tc>
          <w:tcPr>
            <w:tcW w:w="960" w:type="dxa"/>
            <w:tcBorders>
              <w:top w:val="nil"/>
              <w:left w:val="nil"/>
              <w:bottom w:val="single" w:sz="8" w:space="0" w:color="auto"/>
              <w:right w:val="single" w:sz="8" w:space="0" w:color="auto"/>
            </w:tcBorders>
            <w:shd w:val="clear" w:color="auto" w:fill="auto"/>
            <w:vAlign w:val="center"/>
            <w:hideMark/>
          </w:tcPr>
          <w:p w:rsidR="006327AB" w:rsidRPr="005E2282" w:rsidP="006327AB" w14:paraId="098BBB74" w14:textId="55442965">
            <w:pPr>
              <w:jc w:val="right"/>
              <w:rPr>
                <w:rFonts w:ascii="Calibri" w:hAnsi="Calibri" w:cs="Calibri"/>
                <w:color w:val="000000"/>
                <w:sz w:val="16"/>
                <w:szCs w:val="16"/>
              </w:rPr>
            </w:pPr>
            <w:r>
              <w:rPr>
                <w:rFonts w:ascii="Calibri" w:hAnsi="Calibri" w:cs="Calibri"/>
                <w:color w:val="000000"/>
                <w:sz w:val="16"/>
                <w:szCs w:val="16"/>
              </w:rPr>
              <w:t>36</w:t>
            </w:r>
          </w:p>
        </w:tc>
        <w:tc>
          <w:tcPr>
            <w:tcW w:w="1066" w:type="dxa"/>
            <w:tcBorders>
              <w:top w:val="nil"/>
              <w:left w:val="nil"/>
              <w:bottom w:val="single" w:sz="8" w:space="0" w:color="auto"/>
              <w:right w:val="single" w:sz="8" w:space="0" w:color="auto"/>
            </w:tcBorders>
            <w:shd w:val="clear" w:color="auto" w:fill="auto"/>
            <w:noWrap/>
            <w:vAlign w:val="center"/>
            <w:hideMark/>
          </w:tcPr>
          <w:p w:rsidR="006327AB" w:rsidRPr="005E2282" w:rsidP="006327AB" w14:paraId="50A30A4F" w14:textId="32F4F46A">
            <w:pPr>
              <w:jc w:val="right"/>
              <w:rPr>
                <w:rFonts w:ascii="Calibri" w:hAnsi="Calibri" w:cs="Calibri"/>
                <w:color w:val="000000"/>
                <w:sz w:val="16"/>
                <w:szCs w:val="16"/>
              </w:rPr>
            </w:pPr>
            <w:r>
              <w:rPr>
                <w:rFonts w:ascii="Calibri" w:hAnsi="Calibri" w:cs="Calibri"/>
                <w:color w:val="000000"/>
                <w:sz w:val="16"/>
                <w:szCs w:val="16"/>
              </w:rPr>
              <w:t xml:space="preserve">$61.04 </w:t>
            </w:r>
          </w:p>
        </w:tc>
        <w:tc>
          <w:tcPr>
            <w:tcW w:w="1298" w:type="dxa"/>
            <w:tcBorders>
              <w:top w:val="nil"/>
              <w:left w:val="nil"/>
              <w:bottom w:val="single" w:sz="8" w:space="0" w:color="auto"/>
              <w:right w:val="single" w:sz="8" w:space="0" w:color="auto"/>
            </w:tcBorders>
            <w:shd w:val="clear" w:color="auto" w:fill="auto"/>
            <w:noWrap/>
            <w:vAlign w:val="center"/>
            <w:hideMark/>
          </w:tcPr>
          <w:p w:rsidR="006327AB" w:rsidRPr="005E2282" w:rsidP="006327AB" w14:paraId="19CF693F" w14:textId="7A51667D">
            <w:pPr>
              <w:jc w:val="right"/>
              <w:rPr>
                <w:rFonts w:ascii="Calibri" w:hAnsi="Calibri" w:cs="Calibri"/>
                <w:color w:val="000000"/>
                <w:sz w:val="16"/>
                <w:szCs w:val="16"/>
              </w:rPr>
            </w:pPr>
            <w:r>
              <w:rPr>
                <w:rFonts w:ascii="Calibri" w:hAnsi="Calibri" w:cs="Calibri"/>
                <w:color w:val="000000"/>
                <w:sz w:val="16"/>
                <w:szCs w:val="16"/>
              </w:rPr>
              <w:t xml:space="preserve">$2,197.44 </w:t>
            </w:r>
          </w:p>
        </w:tc>
      </w:tr>
      <w:tr w14:paraId="4E78912A" w14:textId="77777777" w:rsidTr="00AC2E22">
        <w:tblPrEx>
          <w:tblW w:w="11690" w:type="dxa"/>
          <w:tblLook w:val="04A0"/>
        </w:tblPrEx>
        <w:trPr>
          <w:trHeight w:val="315"/>
        </w:trPr>
        <w:tc>
          <w:tcPr>
            <w:tcW w:w="2780" w:type="dxa"/>
            <w:tcBorders>
              <w:top w:val="nil"/>
              <w:left w:val="single" w:sz="8" w:space="0" w:color="auto"/>
              <w:bottom w:val="single" w:sz="8" w:space="0" w:color="auto"/>
              <w:right w:val="nil"/>
            </w:tcBorders>
            <w:shd w:val="clear" w:color="auto" w:fill="auto"/>
            <w:vAlign w:val="center"/>
            <w:hideMark/>
          </w:tcPr>
          <w:p w:rsidR="006327AB" w:rsidRPr="005E2282" w:rsidP="006327AB" w14:paraId="75D99218" w14:textId="77777777">
            <w:pPr>
              <w:rPr>
                <w:rFonts w:ascii="Calibri" w:hAnsi="Calibri" w:cs="Calibri"/>
                <w:color w:val="000000"/>
                <w:sz w:val="16"/>
                <w:szCs w:val="16"/>
              </w:rPr>
            </w:pPr>
            <w:r w:rsidRPr="005E2282">
              <w:rPr>
                <w:rFonts w:ascii="Calibri" w:hAnsi="Calibri" w:cs="Calibri"/>
                <w:color w:val="000000"/>
                <w:sz w:val="16"/>
                <w:szCs w:val="16"/>
              </w:rPr>
              <w:t xml:space="preserve">    Reports</w:t>
            </w:r>
          </w:p>
        </w:tc>
        <w:tc>
          <w:tcPr>
            <w:tcW w:w="1530" w:type="dxa"/>
            <w:tcBorders>
              <w:top w:val="nil"/>
              <w:left w:val="single" w:sz="8" w:space="0" w:color="auto"/>
              <w:bottom w:val="single" w:sz="8" w:space="0" w:color="auto"/>
              <w:right w:val="single" w:sz="8" w:space="0" w:color="auto"/>
            </w:tcBorders>
            <w:shd w:val="clear" w:color="auto" w:fill="auto"/>
            <w:noWrap/>
            <w:vAlign w:val="bottom"/>
            <w:hideMark/>
          </w:tcPr>
          <w:p w:rsidR="006327AB" w:rsidRPr="005E2282" w:rsidP="006327AB" w14:paraId="36C695BC" w14:textId="34A10567">
            <w:pPr>
              <w:rPr>
                <w:rFonts w:ascii="Calibri" w:hAnsi="Calibri" w:cs="Calibri"/>
                <w:color w:val="000000"/>
                <w:sz w:val="16"/>
                <w:szCs w:val="16"/>
              </w:rPr>
            </w:pPr>
          </w:p>
        </w:tc>
        <w:tc>
          <w:tcPr>
            <w:tcW w:w="1080" w:type="dxa"/>
            <w:tcBorders>
              <w:top w:val="nil"/>
              <w:left w:val="nil"/>
              <w:bottom w:val="single" w:sz="8" w:space="0" w:color="auto"/>
              <w:right w:val="single" w:sz="8" w:space="0" w:color="auto"/>
            </w:tcBorders>
            <w:shd w:val="clear" w:color="auto" w:fill="auto"/>
            <w:vAlign w:val="center"/>
            <w:hideMark/>
          </w:tcPr>
          <w:p w:rsidR="006327AB" w:rsidRPr="005E2282" w:rsidP="006327AB" w14:paraId="7B6B203D" w14:textId="1FD5BD67">
            <w:pPr>
              <w:jc w:val="right"/>
              <w:rPr>
                <w:rFonts w:ascii="Calibri" w:hAnsi="Calibri" w:cs="Calibri"/>
                <w:color w:val="000000"/>
                <w:sz w:val="16"/>
                <w:szCs w:val="16"/>
              </w:rPr>
            </w:pPr>
            <w:r>
              <w:rPr>
                <w:rFonts w:ascii="Calibri" w:hAnsi="Calibri" w:cs="Calibri"/>
                <w:color w:val="000000"/>
                <w:sz w:val="16"/>
                <w:szCs w:val="16"/>
              </w:rPr>
              <w:t> </w:t>
            </w:r>
          </w:p>
        </w:tc>
        <w:tc>
          <w:tcPr>
            <w:tcW w:w="1016" w:type="dxa"/>
            <w:tcBorders>
              <w:top w:val="nil"/>
              <w:left w:val="nil"/>
              <w:bottom w:val="single" w:sz="8" w:space="0" w:color="auto"/>
              <w:right w:val="single" w:sz="8" w:space="0" w:color="auto"/>
            </w:tcBorders>
            <w:shd w:val="clear" w:color="auto" w:fill="auto"/>
            <w:vAlign w:val="center"/>
            <w:hideMark/>
          </w:tcPr>
          <w:p w:rsidR="006327AB" w:rsidRPr="005E2282" w:rsidP="006327AB" w14:paraId="57C0C749" w14:textId="65CFD2C9">
            <w:pPr>
              <w:jc w:val="right"/>
              <w:rPr>
                <w:rFonts w:ascii="Calibri" w:hAnsi="Calibri" w:cs="Calibri"/>
                <w:color w:val="000000"/>
                <w:sz w:val="16"/>
                <w:szCs w:val="16"/>
              </w:rPr>
            </w:pPr>
            <w:r>
              <w:rPr>
                <w:rFonts w:ascii="Calibri" w:hAnsi="Calibri" w:cs="Calibri"/>
                <w:color w:val="000000"/>
                <w:sz w:val="16"/>
                <w:szCs w:val="16"/>
              </w:rPr>
              <w:t> </w:t>
            </w:r>
          </w:p>
        </w:tc>
        <w:tc>
          <w:tcPr>
            <w:tcW w:w="960" w:type="dxa"/>
            <w:tcBorders>
              <w:top w:val="nil"/>
              <w:left w:val="nil"/>
              <w:bottom w:val="single" w:sz="8" w:space="0" w:color="auto"/>
              <w:right w:val="single" w:sz="8" w:space="0" w:color="auto"/>
            </w:tcBorders>
            <w:shd w:val="clear" w:color="auto" w:fill="auto"/>
            <w:vAlign w:val="center"/>
            <w:hideMark/>
          </w:tcPr>
          <w:p w:rsidR="006327AB" w:rsidRPr="005E2282" w:rsidP="006327AB" w14:paraId="19AA1091" w14:textId="70D655F6">
            <w:pPr>
              <w:jc w:val="right"/>
              <w:rPr>
                <w:rFonts w:ascii="Calibri" w:hAnsi="Calibri" w:cs="Calibri"/>
                <w:color w:val="000000"/>
                <w:sz w:val="16"/>
                <w:szCs w:val="16"/>
              </w:rPr>
            </w:pPr>
            <w:r>
              <w:rPr>
                <w:rFonts w:ascii="Calibri" w:hAnsi="Calibri" w:cs="Calibri"/>
                <w:color w:val="000000"/>
                <w:sz w:val="16"/>
                <w:szCs w:val="16"/>
              </w:rPr>
              <w:t> </w:t>
            </w:r>
          </w:p>
        </w:tc>
        <w:tc>
          <w:tcPr>
            <w:tcW w:w="1000" w:type="dxa"/>
            <w:tcBorders>
              <w:top w:val="nil"/>
              <w:left w:val="nil"/>
              <w:bottom w:val="single" w:sz="8" w:space="0" w:color="auto"/>
              <w:right w:val="single" w:sz="8" w:space="0" w:color="auto"/>
            </w:tcBorders>
            <w:shd w:val="clear" w:color="auto" w:fill="auto"/>
            <w:vAlign w:val="center"/>
            <w:hideMark/>
          </w:tcPr>
          <w:p w:rsidR="006327AB" w:rsidRPr="005E2282" w:rsidP="006327AB" w14:paraId="2C4A445F" w14:textId="69ACC29D">
            <w:pPr>
              <w:jc w:val="right"/>
              <w:rPr>
                <w:rFonts w:ascii="Calibri" w:hAnsi="Calibri" w:cs="Calibri"/>
                <w:color w:val="000000"/>
                <w:sz w:val="16"/>
                <w:szCs w:val="16"/>
              </w:rPr>
            </w:pPr>
            <w:r>
              <w:rPr>
                <w:rFonts w:ascii="Calibri" w:hAnsi="Calibri" w:cs="Calibri"/>
                <w:color w:val="000000"/>
                <w:sz w:val="16"/>
                <w:szCs w:val="16"/>
              </w:rPr>
              <w:t> </w:t>
            </w:r>
          </w:p>
        </w:tc>
        <w:tc>
          <w:tcPr>
            <w:tcW w:w="960" w:type="dxa"/>
            <w:tcBorders>
              <w:top w:val="nil"/>
              <w:left w:val="nil"/>
              <w:bottom w:val="single" w:sz="8" w:space="0" w:color="auto"/>
              <w:right w:val="single" w:sz="8" w:space="0" w:color="auto"/>
            </w:tcBorders>
            <w:shd w:val="clear" w:color="auto" w:fill="auto"/>
            <w:vAlign w:val="center"/>
            <w:hideMark/>
          </w:tcPr>
          <w:p w:rsidR="006327AB" w:rsidRPr="005E2282" w:rsidP="006327AB" w14:paraId="382DC51B" w14:textId="23B2F1CE">
            <w:pPr>
              <w:jc w:val="right"/>
              <w:rPr>
                <w:rFonts w:ascii="Calibri" w:hAnsi="Calibri" w:cs="Calibri"/>
                <w:color w:val="000000"/>
                <w:sz w:val="16"/>
                <w:szCs w:val="16"/>
              </w:rPr>
            </w:pPr>
            <w:r>
              <w:rPr>
                <w:rFonts w:ascii="Calibri" w:hAnsi="Calibri" w:cs="Calibri"/>
                <w:color w:val="000000"/>
                <w:sz w:val="16"/>
                <w:szCs w:val="16"/>
              </w:rPr>
              <w:t> </w:t>
            </w:r>
          </w:p>
        </w:tc>
        <w:tc>
          <w:tcPr>
            <w:tcW w:w="1066" w:type="dxa"/>
            <w:tcBorders>
              <w:top w:val="nil"/>
              <w:left w:val="nil"/>
              <w:bottom w:val="single" w:sz="8" w:space="0" w:color="auto"/>
              <w:right w:val="single" w:sz="8" w:space="0" w:color="auto"/>
            </w:tcBorders>
            <w:shd w:val="clear" w:color="auto" w:fill="auto"/>
            <w:noWrap/>
            <w:vAlign w:val="center"/>
            <w:hideMark/>
          </w:tcPr>
          <w:p w:rsidR="006327AB" w:rsidRPr="005E2282" w:rsidP="006327AB" w14:paraId="4EEF796B" w14:textId="22F32D7A">
            <w:pPr>
              <w:jc w:val="right"/>
              <w:rPr>
                <w:rFonts w:ascii="Calibri" w:hAnsi="Calibri" w:cs="Calibri"/>
                <w:color w:val="000000"/>
                <w:sz w:val="16"/>
                <w:szCs w:val="16"/>
              </w:rPr>
            </w:pPr>
            <w:r>
              <w:rPr>
                <w:rFonts w:ascii="Calibri" w:hAnsi="Calibri" w:cs="Calibri"/>
                <w:color w:val="000000"/>
                <w:sz w:val="16"/>
                <w:szCs w:val="16"/>
              </w:rPr>
              <w:t> </w:t>
            </w:r>
          </w:p>
        </w:tc>
        <w:tc>
          <w:tcPr>
            <w:tcW w:w="1298" w:type="dxa"/>
            <w:tcBorders>
              <w:top w:val="nil"/>
              <w:left w:val="nil"/>
              <w:bottom w:val="single" w:sz="8" w:space="0" w:color="auto"/>
              <w:right w:val="single" w:sz="8" w:space="0" w:color="auto"/>
            </w:tcBorders>
            <w:shd w:val="clear" w:color="auto" w:fill="auto"/>
            <w:noWrap/>
            <w:vAlign w:val="center"/>
            <w:hideMark/>
          </w:tcPr>
          <w:p w:rsidR="006327AB" w:rsidRPr="005E2282" w:rsidP="006327AB" w14:paraId="5411EB31" w14:textId="6624594A">
            <w:pPr>
              <w:jc w:val="right"/>
              <w:rPr>
                <w:rFonts w:ascii="Calibri" w:hAnsi="Calibri" w:cs="Calibri"/>
                <w:color w:val="000000"/>
                <w:sz w:val="16"/>
                <w:szCs w:val="16"/>
              </w:rPr>
            </w:pPr>
            <w:r>
              <w:rPr>
                <w:rFonts w:ascii="Calibri" w:hAnsi="Calibri" w:cs="Calibri"/>
                <w:color w:val="000000"/>
                <w:sz w:val="16"/>
                <w:szCs w:val="16"/>
              </w:rPr>
              <w:t> </w:t>
            </w:r>
          </w:p>
        </w:tc>
      </w:tr>
      <w:tr w14:paraId="4A5878C4" w14:textId="77777777" w:rsidTr="00AC2E22">
        <w:tblPrEx>
          <w:tblW w:w="11690" w:type="dxa"/>
          <w:tblLook w:val="04A0"/>
        </w:tblPrEx>
        <w:trPr>
          <w:trHeight w:val="315"/>
        </w:trPr>
        <w:tc>
          <w:tcPr>
            <w:tcW w:w="2780" w:type="dxa"/>
            <w:tcBorders>
              <w:top w:val="nil"/>
              <w:left w:val="single" w:sz="8" w:space="0" w:color="auto"/>
              <w:bottom w:val="single" w:sz="8" w:space="0" w:color="auto"/>
              <w:right w:val="nil"/>
            </w:tcBorders>
            <w:shd w:val="clear" w:color="auto" w:fill="auto"/>
            <w:vAlign w:val="center"/>
            <w:hideMark/>
          </w:tcPr>
          <w:p w:rsidR="006327AB" w:rsidRPr="005E2282" w:rsidP="006327AB" w14:paraId="0265D459" w14:textId="77777777">
            <w:pPr>
              <w:rPr>
                <w:rFonts w:ascii="Calibri" w:hAnsi="Calibri" w:cs="Calibri"/>
                <w:color w:val="000000"/>
                <w:sz w:val="16"/>
                <w:szCs w:val="16"/>
              </w:rPr>
            </w:pPr>
            <w:r w:rsidRPr="005E2282">
              <w:rPr>
                <w:rFonts w:ascii="Calibri" w:hAnsi="Calibri" w:cs="Calibri"/>
                <w:color w:val="000000"/>
                <w:sz w:val="16"/>
                <w:szCs w:val="16"/>
              </w:rPr>
              <w:t xml:space="preserve">         Quarterly EM Review Reports</w:t>
            </w:r>
          </w:p>
        </w:tc>
        <w:tc>
          <w:tcPr>
            <w:tcW w:w="1530" w:type="dxa"/>
            <w:tcBorders>
              <w:top w:val="nil"/>
              <w:left w:val="single" w:sz="8" w:space="0" w:color="auto"/>
              <w:bottom w:val="single" w:sz="8" w:space="0" w:color="auto"/>
              <w:right w:val="single" w:sz="8" w:space="0" w:color="auto"/>
            </w:tcBorders>
            <w:shd w:val="clear" w:color="auto" w:fill="auto"/>
            <w:noWrap/>
            <w:vAlign w:val="bottom"/>
            <w:hideMark/>
          </w:tcPr>
          <w:p w:rsidR="006327AB" w:rsidRPr="005E2282" w:rsidP="006327AB" w14:paraId="179016E0" w14:textId="77777777">
            <w:pPr>
              <w:rPr>
                <w:rFonts w:ascii="Calibri" w:hAnsi="Calibri" w:cs="Calibri"/>
                <w:color w:val="000000"/>
                <w:sz w:val="16"/>
                <w:szCs w:val="16"/>
              </w:rPr>
            </w:pPr>
            <w:r w:rsidRPr="005E2282">
              <w:rPr>
                <w:rFonts w:ascii="Calibri" w:hAnsi="Calibri" w:cs="Calibri"/>
                <w:color w:val="000000"/>
                <w:sz w:val="16"/>
                <w:szCs w:val="16"/>
              </w:rPr>
              <w:t>Program Manager</w:t>
            </w:r>
          </w:p>
        </w:tc>
        <w:tc>
          <w:tcPr>
            <w:tcW w:w="1080" w:type="dxa"/>
            <w:tcBorders>
              <w:top w:val="nil"/>
              <w:left w:val="nil"/>
              <w:bottom w:val="single" w:sz="8" w:space="0" w:color="auto"/>
              <w:right w:val="single" w:sz="8" w:space="0" w:color="auto"/>
            </w:tcBorders>
            <w:shd w:val="clear" w:color="auto" w:fill="auto"/>
            <w:vAlign w:val="center"/>
            <w:hideMark/>
          </w:tcPr>
          <w:p w:rsidR="006327AB" w:rsidRPr="005E2282" w:rsidP="006327AB" w14:paraId="0DCA603A" w14:textId="1B826006">
            <w:pPr>
              <w:jc w:val="right"/>
              <w:rPr>
                <w:rFonts w:ascii="Calibri" w:hAnsi="Calibri" w:cs="Calibri"/>
                <w:color w:val="000000"/>
                <w:sz w:val="16"/>
                <w:szCs w:val="16"/>
              </w:rPr>
            </w:pPr>
            <w:r>
              <w:rPr>
                <w:rFonts w:ascii="Calibri" w:hAnsi="Calibri" w:cs="Calibri"/>
                <w:color w:val="000000"/>
                <w:sz w:val="16"/>
                <w:szCs w:val="16"/>
              </w:rPr>
              <w:t>3</w:t>
            </w:r>
          </w:p>
        </w:tc>
        <w:tc>
          <w:tcPr>
            <w:tcW w:w="1016" w:type="dxa"/>
            <w:tcBorders>
              <w:top w:val="nil"/>
              <w:left w:val="nil"/>
              <w:bottom w:val="single" w:sz="8" w:space="0" w:color="auto"/>
              <w:right w:val="single" w:sz="8" w:space="0" w:color="auto"/>
            </w:tcBorders>
            <w:shd w:val="clear" w:color="auto" w:fill="auto"/>
            <w:vAlign w:val="center"/>
            <w:hideMark/>
          </w:tcPr>
          <w:p w:rsidR="006327AB" w:rsidRPr="005E2282" w:rsidP="006327AB" w14:paraId="27DA5B2D" w14:textId="73AA8E7C">
            <w:pPr>
              <w:jc w:val="right"/>
              <w:rPr>
                <w:rFonts w:ascii="Calibri" w:hAnsi="Calibri" w:cs="Calibri"/>
                <w:color w:val="000000"/>
                <w:sz w:val="16"/>
                <w:szCs w:val="16"/>
              </w:rPr>
            </w:pPr>
            <w:r>
              <w:rPr>
                <w:rFonts w:ascii="Calibri" w:hAnsi="Calibri" w:cs="Calibri"/>
                <w:color w:val="000000"/>
                <w:sz w:val="16"/>
                <w:szCs w:val="16"/>
              </w:rPr>
              <w:t>4</w:t>
            </w:r>
          </w:p>
        </w:tc>
        <w:tc>
          <w:tcPr>
            <w:tcW w:w="960" w:type="dxa"/>
            <w:tcBorders>
              <w:top w:val="nil"/>
              <w:left w:val="nil"/>
              <w:bottom w:val="single" w:sz="8" w:space="0" w:color="auto"/>
              <w:right w:val="single" w:sz="8" w:space="0" w:color="auto"/>
            </w:tcBorders>
            <w:shd w:val="clear" w:color="auto" w:fill="auto"/>
            <w:vAlign w:val="center"/>
            <w:hideMark/>
          </w:tcPr>
          <w:p w:rsidR="006327AB" w:rsidRPr="005E2282" w:rsidP="006327AB" w14:paraId="7EE89979" w14:textId="71290FBF">
            <w:pPr>
              <w:jc w:val="right"/>
              <w:rPr>
                <w:rFonts w:ascii="Calibri" w:hAnsi="Calibri" w:cs="Calibri"/>
                <w:color w:val="000000"/>
                <w:sz w:val="16"/>
                <w:szCs w:val="16"/>
              </w:rPr>
            </w:pPr>
            <w:r>
              <w:rPr>
                <w:rFonts w:ascii="Calibri" w:hAnsi="Calibri" w:cs="Calibri"/>
                <w:color w:val="000000"/>
                <w:sz w:val="16"/>
                <w:szCs w:val="16"/>
              </w:rPr>
              <w:t>12</w:t>
            </w:r>
          </w:p>
        </w:tc>
        <w:tc>
          <w:tcPr>
            <w:tcW w:w="1000" w:type="dxa"/>
            <w:tcBorders>
              <w:top w:val="nil"/>
              <w:left w:val="nil"/>
              <w:bottom w:val="single" w:sz="8" w:space="0" w:color="auto"/>
              <w:right w:val="single" w:sz="8" w:space="0" w:color="auto"/>
            </w:tcBorders>
            <w:shd w:val="clear" w:color="auto" w:fill="auto"/>
            <w:vAlign w:val="center"/>
            <w:hideMark/>
          </w:tcPr>
          <w:p w:rsidR="006327AB" w:rsidRPr="005E2282" w:rsidP="006327AB" w14:paraId="3C54A5C7" w14:textId="4F4E1762">
            <w:pPr>
              <w:jc w:val="right"/>
              <w:rPr>
                <w:rFonts w:ascii="Calibri" w:hAnsi="Calibri" w:cs="Calibri"/>
                <w:color w:val="000000"/>
                <w:sz w:val="16"/>
                <w:szCs w:val="16"/>
              </w:rPr>
            </w:pPr>
            <w:r>
              <w:rPr>
                <w:rFonts w:ascii="Calibri" w:hAnsi="Calibri" w:cs="Calibri"/>
                <w:color w:val="000000"/>
                <w:sz w:val="16"/>
                <w:szCs w:val="16"/>
              </w:rPr>
              <w:t>40</w:t>
            </w:r>
          </w:p>
        </w:tc>
        <w:tc>
          <w:tcPr>
            <w:tcW w:w="960" w:type="dxa"/>
            <w:tcBorders>
              <w:top w:val="nil"/>
              <w:left w:val="nil"/>
              <w:bottom w:val="single" w:sz="8" w:space="0" w:color="auto"/>
              <w:right w:val="single" w:sz="8" w:space="0" w:color="auto"/>
            </w:tcBorders>
            <w:shd w:val="clear" w:color="auto" w:fill="auto"/>
            <w:vAlign w:val="center"/>
            <w:hideMark/>
          </w:tcPr>
          <w:p w:rsidR="006327AB" w:rsidRPr="005E2282" w:rsidP="006327AB" w14:paraId="16688FA6" w14:textId="01E3F454">
            <w:pPr>
              <w:jc w:val="right"/>
              <w:rPr>
                <w:rFonts w:ascii="Calibri" w:hAnsi="Calibri" w:cs="Calibri"/>
                <w:color w:val="000000"/>
                <w:sz w:val="16"/>
                <w:szCs w:val="16"/>
              </w:rPr>
            </w:pPr>
            <w:r>
              <w:rPr>
                <w:rFonts w:ascii="Calibri" w:hAnsi="Calibri" w:cs="Calibri"/>
                <w:color w:val="000000"/>
                <w:sz w:val="16"/>
                <w:szCs w:val="16"/>
              </w:rPr>
              <w:t>480</w:t>
            </w:r>
          </w:p>
        </w:tc>
        <w:tc>
          <w:tcPr>
            <w:tcW w:w="1066" w:type="dxa"/>
            <w:tcBorders>
              <w:top w:val="nil"/>
              <w:left w:val="nil"/>
              <w:bottom w:val="single" w:sz="8" w:space="0" w:color="auto"/>
              <w:right w:val="single" w:sz="8" w:space="0" w:color="auto"/>
            </w:tcBorders>
            <w:shd w:val="clear" w:color="auto" w:fill="auto"/>
            <w:noWrap/>
            <w:vAlign w:val="center"/>
            <w:hideMark/>
          </w:tcPr>
          <w:p w:rsidR="006327AB" w:rsidRPr="005E2282" w:rsidP="006327AB" w14:paraId="445B8A4D" w14:textId="2120F94F">
            <w:pPr>
              <w:jc w:val="right"/>
              <w:rPr>
                <w:rFonts w:ascii="Calibri" w:hAnsi="Calibri" w:cs="Calibri"/>
                <w:color w:val="000000"/>
                <w:sz w:val="16"/>
                <w:szCs w:val="16"/>
              </w:rPr>
            </w:pPr>
            <w:r>
              <w:rPr>
                <w:rFonts w:ascii="Calibri" w:hAnsi="Calibri" w:cs="Calibri"/>
                <w:color w:val="000000"/>
                <w:sz w:val="16"/>
                <w:szCs w:val="16"/>
              </w:rPr>
              <w:t xml:space="preserve">$61.04 </w:t>
            </w:r>
          </w:p>
        </w:tc>
        <w:tc>
          <w:tcPr>
            <w:tcW w:w="1298" w:type="dxa"/>
            <w:tcBorders>
              <w:top w:val="nil"/>
              <w:left w:val="nil"/>
              <w:bottom w:val="single" w:sz="8" w:space="0" w:color="auto"/>
              <w:right w:val="single" w:sz="8" w:space="0" w:color="auto"/>
            </w:tcBorders>
            <w:shd w:val="clear" w:color="auto" w:fill="auto"/>
            <w:noWrap/>
            <w:vAlign w:val="center"/>
            <w:hideMark/>
          </w:tcPr>
          <w:p w:rsidR="006327AB" w:rsidRPr="005E2282" w:rsidP="006327AB" w14:paraId="06D59241" w14:textId="0909076C">
            <w:pPr>
              <w:jc w:val="right"/>
              <w:rPr>
                <w:rFonts w:ascii="Calibri" w:hAnsi="Calibri" w:cs="Calibri"/>
                <w:color w:val="000000"/>
                <w:sz w:val="16"/>
                <w:szCs w:val="16"/>
              </w:rPr>
            </w:pPr>
            <w:r>
              <w:rPr>
                <w:rFonts w:ascii="Calibri" w:hAnsi="Calibri" w:cs="Calibri"/>
                <w:color w:val="000000"/>
                <w:sz w:val="16"/>
                <w:szCs w:val="16"/>
              </w:rPr>
              <w:t xml:space="preserve">$29,299.20 </w:t>
            </w:r>
          </w:p>
        </w:tc>
      </w:tr>
      <w:tr w14:paraId="1A49953D" w14:textId="77777777" w:rsidTr="00AC2E22">
        <w:tblPrEx>
          <w:tblW w:w="11690" w:type="dxa"/>
          <w:tblLook w:val="04A0"/>
        </w:tblPrEx>
        <w:trPr>
          <w:trHeight w:val="315"/>
        </w:trPr>
        <w:tc>
          <w:tcPr>
            <w:tcW w:w="2780" w:type="dxa"/>
            <w:tcBorders>
              <w:top w:val="nil"/>
              <w:left w:val="single" w:sz="8" w:space="0" w:color="auto"/>
              <w:bottom w:val="single" w:sz="8" w:space="0" w:color="auto"/>
              <w:right w:val="nil"/>
            </w:tcBorders>
            <w:shd w:val="clear" w:color="auto" w:fill="auto"/>
            <w:vAlign w:val="center"/>
            <w:hideMark/>
          </w:tcPr>
          <w:p w:rsidR="006327AB" w:rsidRPr="005E2282" w:rsidP="006327AB" w14:paraId="3F1DD709" w14:textId="77777777">
            <w:pPr>
              <w:rPr>
                <w:rFonts w:ascii="Calibri" w:hAnsi="Calibri" w:cs="Calibri"/>
                <w:color w:val="000000"/>
                <w:sz w:val="16"/>
                <w:szCs w:val="16"/>
              </w:rPr>
            </w:pPr>
            <w:r w:rsidRPr="005E2282">
              <w:rPr>
                <w:rFonts w:ascii="Calibri" w:hAnsi="Calibri" w:cs="Calibri"/>
                <w:color w:val="000000"/>
                <w:sz w:val="16"/>
                <w:szCs w:val="16"/>
              </w:rPr>
              <w:t xml:space="preserve">         Technical Assistance </w:t>
            </w:r>
          </w:p>
        </w:tc>
        <w:tc>
          <w:tcPr>
            <w:tcW w:w="1530" w:type="dxa"/>
            <w:tcBorders>
              <w:top w:val="nil"/>
              <w:left w:val="single" w:sz="8" w:space="0" w:color="auto"/>
              <w:bottom w:val="single" w:sz="8" w:space="0" w:color="auto"/>
              <w:right w:val="single" w:sz="8" w:space="0" w:color="auto"/>
            </w:tcBorders>
            <w:shd w:val="clear" w:color="auto" w:fill="auto"/>
            <w:noWrap/>
            <w:vAlign w:val="bottom"/>
            <w:hideMark/>
          </w:tcPr>
          <w:p w:rsidR="006327AB" w:rsidRPr="005E2282" w:rsidP="006327AB" w14:paraId="76CF5A52" w14:textId="77777777">
            <w:pPr>
              <w:rPr>
                <w:rFonts w:ascii="Calibri" w:hAnsi="Calibri" w:cs="Calibri"/>
                <w:color w:val="000000"/>
                <w:sz w:val="16"/>
                <w:szCs w:val="16"/>
              </w:rPr>
            </w:pPr>
            <w:r w:rsidRPr="005E2282">
              <w:rPr>
                <w:rFonts w:ascii="Calibri" w:hAnsi="Calibri" w:cs="Calibri"/>
                <w:color w:val="000000"/>
                <w:sz w:val="16"/>
                <w:szCs w:val="16"/>
              </w:rPr>
              <w:t>Program Manager</w:t>
            </w:r>
          </w:p>
        </w:tc>
        <w:tc>
          <w:tcPr>
            <w:tcW w:w="1080" w:type="dxa"/>
            <w:tcBorders>
              <w:top w:val="nil"/>
              <w:left w:val="nil"/>
              <w:bottom w:val="single" w:sz="8" w:space="0" w:color="auto"/>
              <w:right w:val="single" w:sz="8" w:space="0" w:color="auto"/>
            </w:tcBorders>
            <w:shd w:val="clear" w:color="auto" w:fill="auto"/>
            <w:vAlign w:val="center"/>
            <w:hideMark/>
          </w:tcPr>
          <w:p w:rsidR="006327AB" w:rsidRPr="005E2282" w:rsidP="006327AB" w14:paraId="0BC8E4C4" w14:textId="3A6E7BCC">
            <w:pPr>
              <w:jc w:val="right"/>
              <w:rPr>
                <w:rFonts w:ascii="Calibri" w:hAnsi="Calibri" w:cs="Calibri"/>
                <w:color w:val="000000"/>
                <w:sz w:val="16"/>
                <w:szCs w:val="16"/>
              </w:rPr>
            </w:pPr>
            <w:r>
              <w:rPr>
                <w:rFonts w:ascii="Calibri" w:hAnsi="Calibri" w:cs="Calibri"/>
                <w:color w:val="000000"/>
                <w:sz w:val="16"/>
                <w:szCs w:val="16"/>
              </w:rPr>
              <w:t>3</w:t>
            </w:r>
          </w:p>
        </w:tc>
        <w:tc>
          <w:tcPr>
            <w:tcW w:w="1016" w:type="dxa"/>
            <w:tcBorders>
              <w:top w:val="nil"/>
              <w:left w:val="nil"/>
              <w:bottom w:val="single" w:sz="8" w:space="0" w:color="auto"/>
              <w:right w:val="single" w:sz="8" w:space="0" w:color="auto"/>
            </w:tcBorders>
            <w:shd w:val="clear" w:color="auto" w:fill="auto"/>
            <w:vAlign w:val="center"/>
            <w:hideMark/>
          </w:tcPr>
          <w:p w:rsidR="006327AB" w:rsidRPr="005E2282" w:rsidP="006327AB" w14:paraId="34FCF91D" w14:textId="3B90187A">
            <w:pPr>
              <w:jc w:val="right"/>
              <w:rPr>
                <w:rFonts w:ascii="Calibri" w:hAnsi="Calibri" w:cs="Calibri"/>
                <w:color w:val="000000"/>
                <w:sz w:val="16"/>
                <w:szCs w:val="16"/>
              </w:rPr>
            </w:pPr>
            <w:r>
              <w:rPr>
                <w:rFonts w:ascii="Calibri" w:hAnsi="Calibri" w:cs="Calibri"/>
                <w:color w:val="000000"/>
                <w:sz w:val="16"/>
                <w:szCs w:val="16"/>
              </w:rPr>
              <w:t>10</w:t>
            </w:r>
          </w:p>
        </w:tc>
        <w:tc>
          <w:tcPr>
            <w:tcW w:w="960" w:type="dxa"/>
            <w:tcBorders>
              <w:top w:val="nil"/>
              <w:left w:val="nil"/>
              <w:bottom w:val="single" w:sz="8" w:space="0" w:color="auto"/>
              <w:right w:val="single" w:sz="8" w:space="0" w:color="auto"/>
            </w:tcBorders>
            <w:shd w:val="clear" w:color="auto" w:fill="auto"/>
            <w:vAlign w:val="center"/>
            <w:hideMark/>
          </w:tcPr>
          <w:p w:rsidR="006327AB" w:rsidRPr="005E2282" w:rsidP="006327AB" w14:paraId="67ED9311" w14:textId="2207D238">
            <w:pPr>
              <w:jc w:val="right"/>
              <w:rPr>
                <w:rFonts w:ascii="Calibri" w:hAnsi="Calibri" w:cs="Calibri"/>
                <w:color w:val="000000"/>
                <w:sz w:val="16"/>
                <w:szCs w:val="16"/>
              </w:rPr>
            </w:pPr>
            <w:r>
              <w:rPr>
                <w:rFonts w:ascii="Calibri" w:hAnsi="Calibri" w:cs="Calibri"/>
                <w:color w:val="000000"/>
                <w:sz w:val="16"/>
                <w:szCs w:val="16"/>
              </w:rPr>
              <w:t>30</w:t>
            </w:r>
          </w:p>
        </w:tc>
        <w:tc>
          <w:tcPr>
            <w:tcW w:w="1000" w:type="dxa"/>
            <w:tcBorders>
              <w:top w:val="nil"/>
              <w:left w:val="nil"/>
              <w:bottom w:val="single" w:sz="8" w:space="0" w:color="auto"/>
              <w:right w:val="single" w:sz="8" w:space="0" w:color="auto"/>
            </w:tcBorders>
            <w:shd w:val="clear" w:color="auto" w:fill="auto"/>
            <w:vAlign w:val="center"/>
            <w:hideMark/>
          </w:tcPr>
          <w:p w:rsidR="006327AB" w:rsidRPr="005E2282" w:rsidP="006327AB" w14:paraId="202FE299" w14:textId="21187647">
            <w:pPr>
              <w:jc w:val="right"/>
              <w:rPr>
                <w:rFonts w:ascii="Calibri" w:hAnsi="Calibri" w:cs="Calibri"/>
                <w:color w:val="000000"/>
                <w:sz w:val="16"/>
                <w:szCs w:val="16"/>
              </w:rPr>
            </w:pPr>
            <w:r>
              <w:rPr>
                <w:rFonts w:ascii="Calibri" w:hAnsi="Calibri" w:cs="Calibri"/>
                <w:color w:val="000000"/>
                <w:sz w:val="16"/>
                <w:szCs w:val="16"/>
              </w:rPr>
              <w:t>0.33</w:t>
            </w:r>
          </w:p>
        </w:tc>
        <w:tc>
          <w:tcPr>
            <w:tcW w:w="960" w:type="dxa"/>
            <w:tcBorders>
              <w:top w:val="nil"/>
              <w:left w:val="nil"/>
              <w:bottom w:val="single" w:sz="8" w:space="0" w:color="auto"/>
              <w:right w:val="single" w:sz="8" w:space="0" w:color="auto"/>
            </w:tcBorders>
            <w:shd w:val="clear" w:color="auto" w:fill="auto"/>
            <w:vAlign w:val="center"/>
            <w:hideMark/>
          </w:tcPr>
          <w:p w:rsidR="006327AB" w:rsidRPr="005E2282" w:rsidP="006327AB" w14:paraId="6814BEE1" w14:textId="427E43A8">
            <w:pPr>
              <w:jc w:val="right"/>
              <w:rPr>
                <w:rFonts w:ascii="Calibri" w:hAnsi="Calibri" w:cs="Calibri"/>
                <w:color w:val="000000"/>
                <w:sz w:val="16"/>
                <w:szCs w:val="16"/>
              </w:rPr>
            </w:pPr>
            <w:r>
              <w:rPr>
                <w:rFonts w:ascii="Calibri" w:hAnsi="Calibri" w:cs="Calibri"/>
                <w:color w:val="000000"/>
                <w:sz w:val="16"/>
                <w:szCs w:val="16"/>
              </w:rPr>
              <w:t>9.9</w:t>
            </w:r>
          </w:p>
        </w:tc>
        <w:tc>
          <w:tcPr>
            <w:tcW w:w="1066" w:type="dxa"/>
            <w:tcBorders>
              <w:top w:val="nil"/>
              <w:left w:val="nil"/>
              <w:bottom w:val="single" w:sz="8" w:space="0" w:color="auto"/>
              <w:right w:val="single" w:sz="8" w:space="0" w:color="auto"/>
            </w:tcBorders>
            <w:shd w:val="clear" w:color="auto" w:fill="auto"/>
            <w:noWrap/>
            <w:vAlign w:val="center"/>
            <w:hideMark/>
          </w:tcPr>
          <w:p w:rsidR="006327AB" w:rsidRPr="005E2282" w:rsidP="006327AB" w14:paraId="7EEB9986" w14:textId="00F650E9">
            <w:pPr>
              <w:jc w:val="right"/>
              <w:rPr>
                <w:rFonts w:ascii="Calibri" w:hAnsi="Calibri" w:cs="Calibri"/>
                <w:color w:val="000000"/>
                <w:sz w:val="16"/>
                <w:szCs w:val="16"/>
              </w:rPr>
            </w:pPr>
            <w:r>
              <w:rPr>
                <w:rFonts w:ascii="Calibri" w:hAnsi="Calibri" w:cs="Calibri"/>
                <w:color w:val="000000"/>
                <w:sz w:val="16"/>
                <w:szCs w:val="16"/>
              </w:rPr>
              <w:t xml:space="preserve">$61.04 </w:t>
            </w:r>
          </w:p>
        </w:tc>
        <w:tc>
          <w:tcPr>
            <w:tcW w:w="1298" w:type="dxa"/>
            <w:tcBorders>
              <w:top w:val="nil"/>
              <w:left w:val="nil"/>
              <w:bottom w:val="single" w:sz="8" w:space="0" w:color="auto"/>
              <w:right w:val="single" w:sz="8" w:space="0" w:color="auto"/>
            </w:tcBorders>
            <w:shd w:val="clear" w:color="auto" w:fill="auto"/>
            <w:noWrap/>
            <w:vAlign w:val="center"/>
            <w:hideMark/>
          </w:tcPr>
          <w:p w:rsidR="006327AB" w:rsidRPr="005E2282" w:rsidP="006327AB" w14:paraId="2F6D9714" w14:textId="048ABC10">
            <w:pPr>
              <w:jc w:val="right"/>
              <w:rPr>
                <w:rFonts w:ascii="Calibri" w:hAnsi="Calibri" w:cs="Calibri"/>
                <w:color w:val="000000"/>
                <w:sz w:val="16"/>
                <w:szCs w:val="16"/>
              </w:rPr>
            </w:pPr>
            <w:r>
              <w:rPr>
                <w:rFonts w:ascii="Calibri" w:hAnsi="Calibri" w:cs="Calibri"/>
                <w:color w:val="000000"/>
                <w:sz w:val="16"/>
                <w:szCs w:val="16"/>
              </w:rPr>
              <w:t xml:space="preserve">$604.30 </w:t>
            </w:r>
          </w:p>
        </w:tc>
      </w:tr>
      <w:tr w14:paraId="41388C61" w14:textId="77777777" w:rsidTr="00AC2E22">
        <w:tblPrEx>
          <w:tblW w:w="11690" w:type="dxa"/>
          <w:tblLook w:val="04A0"/>
        </w:tblPrEx>
        <w:trPr>
          <w:trHeight w:val="315"/>
        </w:trPr>
        <w:tc>
          <w:tcPr>
            <w:tcW w:w="2780" w:type="dxa"/>
            <w:tcBorders>
              <w:top w:val="nil"/>
              <w:left w:val="single" w:sz="8" w:space="0" w:color="auto"/>
              <w:bottom w:val="single" w:sz="8" w:space="0" w:color="auto"/>
              <w:right w:val="nil"/>
            </w:tcBorders>
            <w:shd w:val="clear" w:color="auto" w:fill="auto"/>
            <w:vAlign w:val="center"/>
            <w:hideMark/>
          </w:tcPr>
          <w:p w:rsidR="006327AB" w:rsidRPr="005E2282" w:rsidP="006327AB" w14:paraId="13EEF6C4" w14:textId="77777777">
            <w:pPr>
              <w:rPr>
                <w:rFonts w:ascii="Calibri" w:hAnsi="Calibri" w:cs="Calibri"/>
                <w:color w:val="000000"/>
                <w:sz w:val="16"/>
                <w:szCs w:val="16"/>
              </w:rPr>
            </w:pPr>
            <w:r w:rsidRPr="005E2282">
              <w:rPr>
                <w:rFonts w:ascii="Calibri" w:hAnsi="Calibri" w:cs="Calibri"/>
                <w:color w:val="000000"/>
                <w:sz w:val="16"/>
                <w:szCs w:val="16"/>
              </w:rPr>
              <w:t xml:space="preserve">         Non-compliance Reports</w:t>
            </w:r>
          </w:p>
        </w:tc>
        <w:tc>
          <w:tcPr>
            <w:tcW w:w="1530" w:type="dxa"/>
            <w:tcBorders>
              <w:top w:val="nil"/>
              <w:left w:val="single" w:sz="8" w:space="0" w:color="auto"/>
              <w:bottom w:val="single" w:sz="8" w:space="0" w:color="auto"/>
              <w:right w:val="single" w:sz="8" w:space="0" w:color="auto"/>
            </w:tcBorders>
            <w:shd w:val="clear" w:color="auto" w:fill="auto"/>
            <w:noWrap/>
            <w:vAlign w:val="bottom"/>
            <w:hideMark/>
          </w:tcPr>
          <w:p w:rsidR="006327AB" w:rsidRPr="005E2282" w:rsidP="006327AB" w14:paraId="517D7A1E" w14:textId="77777777">
            <w:pPr>
              <w:rPr>
                <w:rFonts w:ascii="Calibri" w:hAnsi="Calibri" w:cs="Calibri"/>
                <w:color w:val="000000"/>
                <w:sz w:val="16"/>
                <w:szCs w:val="16"/>
              </w:rPr>
            </w:pPr>
            <w:r w:rsidRPr="005E2282">
              <w:rPr>
                <w:rFonts w:ascii="Calibri" w:hAnsi="Calibri" w:cs="Calibri"/>
                <w:color w:val="000000"/>
                <w:sz w:val="16"/>
                <w:szCs w:val="16"/>
              </w:rPr>
              <w:t>Program Manager</w:t>
            </w:r>
          </w:p>
        </w:tc>
        <w:tc>
          <w:tcPr>
            <w:tcW w:w="1080" w:type="dxa"/>
            <w:tcBorders>
              <w:top w:val="nil"/>
              <w:left w:val="nil"/>
              <w:bottom w:val="single" w:sz="8" w:space="0" w:color="auto"/>
              <w:right w:val="single" w:sz="8" w:space="0" w:color="auto"/>
            </w:tcBorders>
            <w:shd w:val="clear" w:color="auto" w:fill="auto"/>
            <w:vAlign w:val="center"/>
            <w:hideMark/>
          </w:tcPr>
          <w:p w:rsidR="006327AB" w:rsidRPr="005E2282" w:rsidP="006327AB" w14:paraId="55C2C496" w14:textId="595D54E1">
            <w:pPr>
              <w:jc w:val="right"/>
              <w:rPr>
                <w:rFonts w:ascii="Calibri" w:hAnsi="Calibri" w:cs="Calibri"/>
                <w:color w:val="000000"/>
                <w:sz w:val="16"/>
                <w:szCs w:val="16"/>
              </w:rPr>
            </w:pPr>
            <w:r>
              <w:rPr>
                <w:rFonts w:ascii="Calibri" w:hAnsi="Calibri" w:cs="Calibri"/>
                <w:color w:val="000000"/>
                <w:sz w:val="16"/>
                <w:szCs w:val="16"/>
              </w:rPr>
              <w:t>3</w:t>
            </w:r>
          </w:p>
        </w:tc>
        <w:tc>
          <w:tcPr>
            <w:tcW w:w="1016" w:type="dxa"/>
            <w:tcBorders>
              <w:top w:val="nil"/>
              <w:left w:val="nil"/>
              <w:bottom w:val="single" w:sz="8" w:space="0" w:color="auto"/>
              <w:right w:val="single" w:sz="8" w:space="0" w:color="auto"/>
            </w:tcBorders>
            <w:shd w:val="clear" w:color="auto" w:fill="auto"/>
            <w:vAlign w:val="center"/>
            <w:hideMark/>
          </w:tcPr>
          <w:p w:rsidR="006327AB" w:rsidRPr="005E2282" w:rsidP="006327AB" w14:paraId="2BFC99B7" w14:textId="6C8E215F">
            <w:pPr>
              <w:jc w:val="right"/>
              <w:rPr>
                <w:rFonts w:ascii="Calibri" w:hAnsi="Calibri" w:cs="Calibri"/>
                <w:color w:val="000000"/>
                <w:sz w:val="16"/>
                <w:szCs w:val="16"/>
              </w:rPr>
            </w:pPr>
            <w:r>
              <w:rPr>
                <w:rFonts w:ascii="Calibri" w:hAnsi="Calibri" w:cs="Calibri"/>
                <w:color w:val="000000"/>
                <w:sz w:val="16"/>
                <w:szCs w:val="16"/>
              </w:rPr>
              <w:t>10</w:t>
            </w:r>
          </w:p>
        </w:tc>
        <w:tc>
          <w:tcPr>
            <w:tcW w:w="960" w:type="dxa"/>
            <w:tcBorders>
              <w:top w:val="nil"/>
              <w:left w:val="nil"/>
              <w:bottom w:val="single" w:sz="8" w:space="0" w:color="auto"/>
              <w:right w:val="single" w:sz="8" w:space="0" w:color="auto"/>
            </w:tcBorders>
            <w:shd w:val="clear" w:color="auto" w:fill="auto"/>
            <w:vAlign w:val="center"/>
            <w:hideMark/>
          </w:tcPr>
          <w:p w:rsidR="006327AB" w:rsidRPr="005E2282" w:rsidP="006327AB" w14:paraId="14A1D88D" w14:textId="23A32E1A">
            <w:pPr>
              <w:jc w:val="right"/>
              <w:rPr>
                <w:rFonts w:ascii="Calibri" w:hAnsi="Calibri" w:cs="Calibri"/>
                <w:color w:val="000000"/>
                <w:sz w:val="16"/>
                <w:szCs w:val="16"/>
              </w:rPr>
            </w:pPr>
            <w:r>
              <w:rPr>
                <w:rFonts w:ascii="Calibri" w:hAnsi="Calibri" w:cs="Calibri"/>
                <w:color w:val="000000"/>
                <w:sz w:val="16"/>
                <w:szCs w:val="16"/>
              </w:rPr>
              <w:t>30</w:t>
            </w:r>
          </w:p>
        </w:tc>
        <w:tc>
          <w:tcPr>
            <w:tcW w:w="1000" w:type="dxa"/>
            <w:tcBorders>
              <w:top w:val="nil"/>
              <w:left w:val="nil"/>
              <w:bottom w:val="single" w:sz="8" w:space="0" w:color="auto"/>
              <w:right w:val="single" w:sz="8" w:space="0" w:color="auto"/>
            </w:tcBorders>
            <w:shd w:val="clear" w:color="auto" w:fill="auto"/>
            <w:vAlign w:val="center"/>
            <w:hideMark/>
          </w:tcPr>
          <w:p w:rsidR="006327AB" w:rsidRPr="005E2282" w:rsidP="006327AB" w14:paraId="1FFD4F40" w14:textId="462C6733">
            <w:pPr>
              <w:jc w:val="right"/>
              <w:rPr>
                <w:rFonts w:ascii="Calibri" w:hAnsi="Calibri" w:cs="Calibri"/>
                <w:color w:val="000000"/>
                <w:sz w:val="16"/>
                <w:szCs w:val="16"/>
              </w:rPr>
            </w:pPr>
            <w:r>
              <w:rPr>
                <w:rFonts w:ascii="Calibri" w:hAnsi="Calibri" w:cs="Calibri"/>
                <w:color w:val="000000"/>
                <w:sz w:val="16"/>
                <w:szCs w:val="16"/>
              </w:rPr>
              <w:t>0.33</w:t>
            </w:r>
          </w:p>
        </w:tc>
        <w:tc>
          <w:tcPr>
            <w:tcW w:w="960" w:type="dxa"/>
            <w:tcBorders>
              <w:top w:val="nil"/>
              <w:left w:val="nil"/>
              <w:bottom w:val="single" w:sz="8" w:space="0" w:color="auto"/>
              <w:right w:val="single" w:sz="8" w:space="0" w:color="auto"/>
            </w:tcBorders>
            <w:shd w:val="clear" w:color="auto" w:fill="auto"/>
            <w:vAlign w:val="center"/>
            <w:hideMark/>
          </w:tcPr>
          <w:p w:rsidR="006327AB" w:rsidRPr="005E2282" w:rsidP="006327AB" w14:paraId="53D5FC4D" w14:textId="307FDB82">
            <w:pPr>
              <w:jc w:val="right"/>
              <w:rPr>
                <w:rFonts w:ascii="Calibri" w:hAnsi="Calibri" w:cs="Calibri"/>
                <w:color w:val="000000"/>
                <w:sz w:val="16"/>
                <w:szCs w:val="16"/>
              </w:rPr>
            </w:pPr>
            <w:r>
              <w:rPr>
                <w:rFonts w:ascii="Calibri" w:hAnsi="Calibri" w:cs="Calibri"/>
                <w:color w:val="000000"/>
                <w:sz w:val="16"/>
                <w:szCs w:val="16"/>
              </w:rPr>
              <w:t>9.9</w:t>
            </w:r>
          </w:p>
        </w:tc>
        <w:tc>
          <w:tcPr>
            <w:tcW w:w="1066" w:type="dxa"/>
            <w:tcBorders>
              <w:top w:val="nil"/>
              <w:left w:val="nil"/>
              <w:bottom w:val="single" w:sz="8" w:space="0" w:color="auto"/>
              <w:right w:val="single" w:sz="8" w:space="0" w:color="auto"/>
            </w:tcBorders>
            <w:shd w:val="clear" w:color="auto" w:fill="auto"/>
            <w:noWrap/>
            <w:vAlign w:val="center"/>
            <w:hideMark/>
          </w:tcPr>
          <w:p w:rsidR="006327AB" w:rsidRPr="005E2282" w:rsidP="006327AB" w14:paraId="533CFCB3" w14:textId="3414C4BF">
            <w:pPr>
              <w:jc w:val="right"/>
              <w:rPr>
                <w:rFonts w:ascii="Calibri" w:hAnsi="Calibri" w:cs="Calibri"/>
                <w:color w:val="000000"/>
                <w:sz w:val="16"/>
                <w:szCs w:val="16"/>
              </w:rPr>
            </w:pPr>
            <w:r>
              <w:rPr>
                <w:rFonts w:ascii="Calibri" w:hAnsi="Calibri" w:cs="Calibri"/>
                <w:color w:val="000000"/>
                <w:sz w:val="16"/>
                <w:szCs w:val="16"/>
              </w:rPr>
              <w:t xml:space="preserve">$61.04 </w:t>
            </w:r>
          </w:p>
        </w:tc>
        <w:tc>
          <w:tcPr>
            <w:tcW w:w="1298" w:type="dxa"/>
            <w:tcBorders>
              <w:top w:val="nil"/>
              <w:left w:val="nil"/>
              <w:bottom w:val="single" w:sz="8" w:space="0" w:color="auto"/>
              <w:right w:val="single" w:sz="8" w:space="0" w:color="auto"/>
            </w:tcBorders>
            <w:shd w:val="clear" w:color="auto" w:fill="auto"/>
            <w:noWrap/>
            <w:vAlign w:val="center"/>
            <w:hideMark/>
          </w:tcPr>
          <w:p w:rsidR="006327AB" w:rsidRPr="005E2282" w:rsidP="006327AB" w14:paraId="65B739FD" w14:textId="1BCCA7E9">
            <w:pPr>
              <w:jc w:val="right"/>
              <w:rPr>
                <w:rFonts w:ascii="Calibri" w:hAnsi="Calibri" w:cs="Calibri"/>
                <w:color w:val="000000"/>
                <w:sz w:val="16"/>
                <w:szCs w:val="16"/>
              </w:rPr>
            </w:pPr>
            <w:r>
              <w:rPr>
                <w:rFonts w:ascii="Calibri" w:hAnsi="Calibri" w:cs="Calibri"/>
                <w:color w:val="000000"/>
                <w:sz w:val="16"/>
                <w:szCs w:val="16"/>
              </w:rPr>
              <w:t xml:space="preserve">$604.30 </w:t>
            </w:r>
          </w:p>
        </w:tc>
      </w:tr>
      <w:tr w14:paraId="3E21A981" w14:textId="77777777" w:rsidTr="00AC2E22">
        <w:tblPrEx>
          <w:tblW w:w="11690" w:type="dxa"/>
          <w:tblLook w:val="04A0"/>
        </w:tblPrEx>
        <w:trPr>
          <w:trHeight w:val="315"/>
        </w:trPr>
        <w:tc>
          <w:tcPr>
            <w:tcW w:w="2780" w:type="dxa"/>
            <w:tcBorders>
              <w:top w:val="nil"/>
              <w:left w:val="single" w:sz="8" w:space="0" w:color="auto"/>
              <w:bottom w:val="single" w:sz="8" w:space="0" w:color="auto"/>
              <w:right w:val="nil"/>
            </w:tcBorders>
            <w:shd w:val="clear" w:color="auto" w:fill="auto"/>
            <w:vAlign w:val="center"/>
            <w:hideMark/>
          </w:tcPr>
          <w:p w:rsidR="006327AB" w:rsidRPr="005E2282" w:rsidP="006327AB" w14:paraId="316E4D8A" w14:textId="52572D82">
            <w:pPr>
              <w:rPr>
                <w:rFonts w:ascii="Calibri" w:hAnsi="Calibri" w:cs="Calibri"/>
                <w:color w:val="000000"/>
                <w:sz w:val="16"/>
                <w:szCs w:val="16"/>
              </w:rPr>
            </w:pPr>
            <w:r w:rsidRPr="005E2282">
              <w:rPr>
                <w:rFonts w:ascii="Calibri" w:hAnsi="Calibri" w:cs="Calibri"/>
                <w:color w:val="000000"/>
                <w:sz w:val="16"/>
                <w:szCs w:val="16"/>
              </w:rPr>
              <w:t xml:space="preserve"> Data Storage</w:t>
            </w:r>
          </w:p>
        </w:tc>
        <w:tc>
          <w:tcPr>
            <w:tcW w:w="1530" w:type="dxa"/>
            <w:tcBorders>
              <w:top w:val="nil"/>
              <w:left w:val="single" w:sz="8" w:space="0" w:color="auto"/>
              <w:bottom w:val="single" w:sz="8" w:space="0" w:color="auto"/>
              <w:right w:val="single" w:sz="8" w:space="0" w:color="auto"/>
            </w:tcBorders>
            <w:shd w:val="clear" w:color="auto" w:fill="auto"/>
            <w:noWrap/>
            <w:vAlign w:val="bottom"/>
            <w:hideMark/>
          </w:tcPr>
          <w:p w:rsidR="006327AB" w:rsidRPr="005E2282" w:rsidP="006327AB" w14:paraId="6FA17AFA" w14:textId="77777777">
            <w:pPr>
              <w:rPr>
                <w:rFonts w:ascii="Calibri" w:hAnsi="Calibri" w:cs="Calibri"/>
                <w:color w:val="000000"/>
                <w:sz w:val="16"/>
                <w:szCs w:val="16"/>
              </w:rPr>
            </w:pPr>
            <w:r w:rsidRPr="005E2282">
              <w:rPr>
                <w:rFonts w:ascii="Calibri" w:hAnsi="Calibri" w:cs="Calibri"/>
                <w:color w:val="000000"/>
                <w:sz w:val="16"/>
                <w:szCs w:val="16"/>
              </w:rPr>
              <w:t>Program Manager</w:t>
            </w:r>
          </w:p>
        </w:tc>
        <w:tc>
          <w:tcPr>
            <w:tcW w:w="1080" w:type="dxa"/>
            <w:tcBorders>
              <w:top w:val="nil"/>
              <w:left w:val="nil"/>
              <w:bottom w:val="single" w:sz="8" w:space="0" w:color="auto"/>
              <w:right w:val="single" w:sz="8" w:space="0" w:color="auto"/>
            </w:tcBorders>
            <w:shd w:val="clear" w:color="auto" w:fill="auto"/>
            <w:vAlign w:val="center"/>
            <w:hideMark/>
          </w:tcPr>
          <w:p w:rsidR="006327AB" w:rsidRPr="005E2282" w:rsidP="006327AB" w14:paraId="20F7AC7A" w14:textId="155244ED">
            <w:pPr>
              <w:jc w:val="right"/>
              <w:rPr>
                <w:rFonts w:ascii="Calibri" w:hAnsi="Calibri" w:cs="Calibri"/>
                <w:color w:val="000000"/>
                <w:sz w:val="16"/>
                <w:szCs w:val="16"/>
              </w:rPr>
            </w:pPr>
            <w:r>
              <w:rPr>
                <w:rFonts w:ascii="Calibri" w:hAnsi="Calibri" w:cs="Calibri"/>
                <w:color w:val="000000"/>
                <w:sz w:val="16"/>
                <w:szCs w:val="16"/>
              </w:rPr>
              <w:t>3</w:t>
            </w:r>
          </w:p>
        </w:tc>
        <w:tc>
          <w:tcPr>
            <w:tcW w:w="1016" w:type="dxa"/>
            <w:tcBorders>
              <w:top w:val="nil"/>
              <w:left w:val="nil"/>
              <w:bottom w:val="single" w:sz="8" w:space="0" w:color="auto"/>
              <w:right w:val="single" w:sz="8" w:space="0" w:color="auto"/>
            </w:tcBorders>
            <w:shd w:val="clear" w:color="auto" w:fill="auto"/>
            <w:vAlign w:val="center"/>
            <w:hideMark/>
          </w:tcPr>
          <w:p w:rsidR="006327AB" w:rsidRPr="005E2282" w:rsidP="006327AB" w14:paraId="58A08E46" w14:textId="102B032E">
            <w:pPr>
              <w:jc w:val="right"/>
              <w:rPr>
                <w:rFonts w:ascii="Calibri" w:hAnsi="Calibri" w:cs="Calibri"/>
                <w:color w:val="000000"/>
                <w:sz w:val="16"/>
                <w:szCs w:val="16"/>
              </w:rPr>
            </w:pPr>
            <w:r>
              <w:rPr>
                <w:rFonts w:ascii="Calibri" w:hAnsi="Calibri" w:cs="Calibri"/>
                <w:color w:val="000000"/>
                <w:sz w:val="16"/>
                <w:szCs w:val="16"/>
              </w:rPr>
              <w:t>20</w:t>
            </w:r>
          </w:p>
        </w:tc>
        <w:tc>
          <w:tcPr>
            <w:tcW w:w="960" w:type="dxa"/>
            <w:tcBorders>
              <w:top w:val="nil"/>
              <w:left w:val="nil"/>
              <w:bottom w:val="single" w:sz="8" w:space="0" w:color="auto"/>
              <w:right w:val="single" w:sz="8" w:space="0" w:color="auto"/>
            </w:tcBorders>
            <w:shd w:val="clear" w:color="auto" w:fill="auto"/>
            <w:vAlign w:val="center"/>
            <w:hideMark/>
          </w:tcPr>
          <w:p w:rsidR="006327AB" w:rsidRPr="005E2282" w:rsidP="006327AB" w14:paraId="227EF7FC" w14:textId="5D25AF56">
            <w:pPr>
              <w:jc w:val="right"/>
              <w:rPr>
                <w:rFonts w:ascii="Calibri" w:hAnsi="Calibri" w:cs="Calibri"/>
                <w:color w:val="000000"/>
                <w:sz w:val="16"/>
                <w:szCs w:val="16"/>
              </w:rPr>
            </w:pPr>
            <w:r>
              <w:rPr>
                <w:rFonts w:ascii="Calibri" w:hAnsi="Calibri" w:cs="Calibri"/>
                <w:color w:val="000000"/>
                <w:sz w:val="16"/>
                <w:szCs w:val="16"/>
              </w:rPr>
              <w:t>60</w:t>
            </w:r>
          </w:p>
        </w:tc>
        <w:tc>
          <w:tcPr>
            <w:tcW w:w="1000" w:type="dxa"/>
            <w:tcBorders>
              <w:top w:val="nil"/>
              <w:left w:val="nil"/>
              <w:bottom w:val="single" w:sz="8" w:space="0" w:color="auto"/>
              <w:right w:val="single" w:sz="8" w:space="0" w:color="auto"/>
            </w:tcBorders>
            <w:shd w:val="clear" w:color="auto" w:fill="auto"/>
            <w:vAlign w:val="center"/>
            <w:hideMark/>
          </w:tcPr>
          <w:p w:rsidR="006327AB" w:rsidRPr="005E2282" w:rsidP="006327AB" w14:paraId="7BFC4F3E" w14:textId="09C455DB">
            <w:pPr>
              <w:jc w:val="right"/>
              <w:rPr>
                <w:rFonts w:ascii="Calibri" w:hAnsi="Calibri" w:cs="Calibri"/>
                <w:color w:val="000000"/>
                <w:sz w:val="16"/>
                <w:szCs w:val="16"/>
              </w:rPr>
            </w:pPr>
            <w:r>
              <w:rPr>
                <w:rFonts w:ascii="Calibri" w:hAnsi="Calibri" w:cs="Calibri"/>
                <w:color w:val="000000"/>
                <w:sz w:val="16"/>
                <w:szCs w:val="16"/>
              </w:rPr>
              <w:t>0.25</w:t>
            </w:r>
          </w:p>
        </w:tc>
        <w:tc>
          <w:tcPr>
            <w:tcW w:w="960" w:type="dxa"/>
            <w:tcBorders>
              <w:top w:val="nil"/>
              <w:left w:val="nil"/>
              <w:bottom w:val="single" w:sz="8" w:space="0" w:color="auto"/>
              <w:right w:val="single" w:sz="8" w:space="0" w:color="auto"/>
            </w:tcBorders>
            <w:shd w:val="clear" w:color="auto" w:fill="auto"/>
            <w:vAlign w:val="center"/>
            <w:hideMark/>
          </w:tcPr>
          <w:p w:rsidR="006327AB" w:rsidRPr="005E2282" w:rsidP="006327AB" w14:paraId="1978EF6B" w14:textId="4C1E5D58">
            <w:pPr>
              <w:jc w:val="right"/>
              <w:rPr>
                <w:rFonts w:ascii="Calibri" w:hAnsi="Calibri" w:cs="Calibri"/>
                <w:color w:val="000000"/>
                <w:sz w:val="16"/>
                <w:szCs w:val="16"/>
              </w:rPr>
            </w:pPr>
            <w:r>
              <w:rPr>
                <w:rFonts w:ascii="Calibri" w:hAnsi="Calibri" w:cs="Calibri"/>
                <w:color w:val="000000"/>
                <w:sz w:val="16"/>
                <w:szCs w:val="16"/>
              </w:rPr>
              <w:t>15</w:t>
            </w:r>
          </w:p>
        </w:tc>
        <w:tc>
          <w:tcPr>
            <w:tcW w:w="1066" w:type="dxa"/>
            <w:tcBorders>
              <w:top w:val="nil"/>
              <w:left w:val="nil"/>
              <w:bottom w:val="single" w:sz="8" w:space="0" w:color="auto"/>
              <w:right w:val="single" w:sz="8" w:space="0" w:color="auto"/>
            </w:tcBorders>
            <w:shd w:val="clear" w:color="auto" w:fill="auto"/>
            <w:noWrap/>
            <w:vAlign w:val="center"/>
            <w:hideMark/>
          </w:tcPr>
          <w:p w:rsidR="006327AB" w:rsidRPr="005E2282" w:rsidP="006327AB" w14:paraId="4F8592F1" w14:textId="43EFC7F1">
            <w:pPr>
              <w:jc w:val="right"/>
              <w:rPr>
                <w:rFonts w:ascii="Calibri" w:hAnsi="Calibri" w:cs="Calibri"/>
                <w:color w:val="000000"/>
                <w:sz w:val="16"/>
                <w:szCs w:val="16"/>
              </w:rPr>
            </w:pPr>
            <w:r>
              <w:rPr>
                <w:rFonts w:ascii="Calibri" w:hAnsi="Calibri" w:cs="Calibri"/>
                <w:color w:val="000000"/>
                <w:sz w:val="16"/>
                <w:szCs w:val="16"/>
              </w:rPr>
              <w:t xml:space="preserve">$61.04 </w:t>
            </w:r>
          </w:p>
        </w:tc>
        <w:tc>
          <w:tcPr>
            <w:tcW w:w="1298" w:type="dxa"/>
            <w:tcBorders>
              <w:top w:val="nil"/>
              <w:left w:val="nil"/>
              <w:bottom w:val="single" w:sz="8" w:space="0" w:color="auto"/>
              <w:right w:val="single" w:sz="8" w:space="0" w:color="auto"/>
            </w:tcBorders>
            <w:shd w:val="clear" w:color="auto" w:fill="auto"/>
            <w:noWrap/>
            <w:vAlign w:val="center"/>
            <w:hideMark/>
          </w:tcPr>
          <w:p w:rsidR="006327AB" w:rsidRPr="005E2282" w:rsidP="006327AB" w14:paraId="526314CC" w14:textId="60D6539F">
            <w:pPr>
              <w:jc w:val="right"/>
              <w:rPr>
                <w:rFonts w:ascii="Calibri" w:hAnsi="Calibri" w:cs="Calibri"/>
                <w:color w:val="000000"/>
                <w:sz w:val="16"/>
                <w:szCs w:val="16"/>
              </w:rPr>
            </w:pPr>
            <w:r>
              <w:rPr>
                <w:rFonts w:ascii="Calibri" w:hAnsi="Calibri" w:cs="Calibri"/>
                <w:color w:val="000000"/>
                <w:sz w:val="16"/>
                <w:szCs w:val="16"/>
              </w:rPr>
              <w:t xml:space="preserve">$915.60 </w:t>
            </w:r>
          </w:p>
        </w:tc>
      </w:tr>
      <w:tr w14:paraId="57EB6706" w14:textId="77777777" w:rsidTr="00BE2BDE">
        <w:tblPrEx>
          <w:tblW w:w="11690" w:type="dxa"/>
          <w:tblLook w:val="04A0"/>
        </w:tblPrEx>
        <w:trPr>
          <w:trHeight w:val="315"/>
        </w:trPr>
        <w:tc>
          <w:tcPr>
            <w:tcW w:w="2780" w:type="dxa"/>
            <w:tcBorders>
              <w:top w:val="nil"/>
              <w:left w:val="single" w:sz="8" w:space="0" w:color="auto"/>
              <w:bottom w:val="single" w:sz="8" w:space="0" w:color="auto"/>
              <w:right w:val="nil"/>
            </w:tcBorders>
            <w:shd w:val="clear" w:color="auto" w:fill="FFFFFF" w:themeFill="background1"/>
            <w:vAlign w:val="center"/>
            <w:hideMark/>
          </w:tcPr>
          <w:p w:rsidR="006327AB" w:rsidRPr="005E2282" w:rsidP="006327AB" w14:paraId="2C709A13" w14:textId="77777777">
            <w:pPr>
              <w:rPr>
                <w:rFonts w:ascii="Calibri" w:hAnsi="Calibri" w:cs="Calibri"/>
                <w:color w:val="000000"/>
                <w:sz w:val="16"/>
                <w:szCs w:val="16"/>
              </w:rPr>
            </w:pPr>
            <w:r w:rsidRPr="005E2282">
              <w:rPr>
                <w:rFonts w:ascii="Calibri" w:hAnsi="Calibri" w:cs="Calibri"/>
                <w:color w:val="000000"/>
                <w:sz w:val="16"/>
                <w:szCs w:val="16"/>
              </w:rPr>
              <w:t xml:space="preserve">   Debrief of EM Staff</w:t>
            </w:r>
          </w:p>
        </w:tc>
        <w:tc>
          <w:tcPr>
            <w:tcW w:w="1530" w:type="dxa"/>
            <w:tcBorders>
              <w:top w:val="nil"/>
              <w:left w:val="single" w:sz="8" w:space="0" w:color="auto"/>
              <w:bottom w:val="single" w:sz="8" w:space="0" w:color="auto"/>
              <w:right w:val="single" w:sz="8" w:space="0" w:color="auto"/>
            </w:tcBorders>
            <w:shd w:val="clear" w:color="auto" w:fill="FFFFFF" w:themeFill="background1"/>
            <w:noWrap/>
            <w:vAlign w:val="bottom"/>
            <w:hideMark/>
          </w:tcPr>
          <w:p w:rsidR="006327AB" w:rsidRPr="005E2282" w:rsidP="006327AB" w14:paraId="76D38711" w14:textId="77777777">
            <w:pPr>
              <w:rPr>
                <w:rFonts w:ascii="Calibri" w:hAnsi="Calibri" w:cs="Calibri"/>
                <w:color w:val="000000"/>
                <w:sz w:val="16"/>
                <w:szCs w:val="16"/>
              </w:rPr>
            </w:pPr>
            <w:r w:rsidRPr="005E2282">
              <w:rPr>
                <w:rFonts w:ascii="Calibri" w:hAnsi="Calibri" w:cs="Calibri"/>
                <w:color w:val="000000"/>
                <w:sz w:val="16"/>
                <w:szCs w:val="16"/>
              </w:rPr>
              <w:t>Program Manager</w:t>
            </w:r>
          </w:p>
        </w:tc>
        <w:tc>
          <w:tcPr>
            <w:tcW w:w="1080" w:type="dxa"/>
            <w:tcBorders>
              <w:top w:val="nil"/>
              <w:left w:val="nil"/>
              <w:bottom w:val="single" w:sz="8" w:space="0" w:color="auto"/>
              <w:right w:val="single" w:sz="8" w:space="0" w:color="auto"/>
            </w:tcBorders>
            <w:shd w:val="clear" w:color="auto" w:fill="FFFFFF" w:themeFill="background1"/>
            <w:vAlign w:val="center"/>
            <w:hideMark/>
          </w:tcPr>
          <w:p w:rsidR="006327AB" w:rsidRPr="005E2282" w:rsidP="006327AB" w14:paraId="2BF191E9" w14:textId="1952EA42">
            <w:pPr>
              <w:jc w:val="right"/>
              <w:rPr>
                <w:rFonts w:ascii="Calibri" w:hAnsi="Calibri" w:cs="Calibri"/>
                <w:color w:val="000000"/>
                <w:sz w:val="16"/>
                <w:szCs w:val="16"/>
              </w:rPr>
            </w:pPr>
            <w:r>
              <w:rPr>
                <w:rFonts w:ascii="Calibri" w:hAnsi="Calibri" w:cs="Calibri"/>
                <w:color w:val="000000"/>
                <w:sz w:val="16"/>
                <w:szCs w:val="16"/>
              </w:rPr>
              <w:t>3</w:t>
            </w:r>
          </w:p>
        </w:tc>
        <w:tc>
          <w:tcPr>
            <w:tcW w:w="1016" w:type="dxa"/>
            <w:tcBorders>
              <w:top w:val="nil"/>
              <w:left w:val="nil"/>
              <w:bottom w:val="single" w:sz="8" w:space="0" w:color="auto"/>
              <w:right w:val="single" w:sz="8" w:space="0" w:color="auto"/>
            </w:tcBorders>
            <w:shd w:val="clear" w:color="auto" w:fill="FFFFFF" w:themeFill="background1"/>
            <w:vAlign w:val="center"/>
            <w:hideMark/>
          </w:tcPr>
          <w:p w:rsidR="006327AB" w:rsidRPr="005E2282" w:rsidP="006327AB" w14:paraId="6D775F80" w14:textId="1CF1A43F">
            <w:pPr>
              <w:jc w:val="right"/>
              <w:rPr>
                <w:rFonts w:ascii="Calibri" w:hAnsi="Calibri" w:cs="Calibri"/>
                <w:color w:val="000000"/>
                <w:sz w:val="16"/>
                <w:szCs w:val="16"/>
              </w:rPr>
            </w:pPr>
            <w:r>
              <w:rPr>
                <w:rFonts w:ascii="Calibri" w:hAnsi="Calibri" w:cs="Calibri"/>
                <w:color w:val="000000"/>
                <w:sz w:val="16"/>
                <w:szCs w:val="16"/>
              </w:rPr>
              <w:t>7</w:t>
            </w:r>
          </w:p>
        </w:tc>
        <w:tc>
          <w:tcPr>
            <w:tcW w:w="960" w:type="dxa"/>
            <w:tcBorders>
              <w:top w:val="nil"/>
              <w:left w:val="nil"/>
              <w:bottom w:val="single" w:sz="8" w:space="0" w:color="auto"/>
              <w:right w:val="single" w:sz="8" w:space="0" w:color="auto"/>
            </w:tcBorders>
            <w:shd w:val="clear" w:color="auto" w:fill="FFFFFF" w:themeFill="background1"/>
            <w:vAlign w:val="center"/>
            <w:hideMark/>
          </w:tcPr>
          <w:p w:rsidR="006327AB" w:rsidRPr="005E2282" w:rsidP="006327AB" w14:paraId="179792C2" w14:textId="7D36B630">
            <w:pPr>
              <w:jc w:val="right"/>
              <w:rPr>
                <w:rFonts w:ascii="Calibri" w:hAnsi="Calibri" w:cs="Calibri"/>
                <w:color w:val="000000"/>
                <w:sz w:val="16"/>
                <w:szCs w:val="16"/>
              </w:rPr>
            </w:pPr>
            <w:r>
              <w:rPr>
                <w:rFonts w:ascii="Calibri" w:hAnsi="Calibri" w:cs="Calibri"/>
                <w:color w:val="000000"/>
                <w:sz w:val="16"/>
                <w:szCs w:val="16"/>
              </w:rPr>
              <w:t>21</w:t>
            </w:r>
          </w:p>
        </w:tc>
        <w:tc>
          <w:tcPr>
            <w:tcW w:w="1000" w:type="dxa"/>
            <w:tcBorders>
              <w:top w:val="nil"/>
              <w:left w:val="nil"/>
              <w:bottom w:val="single" w:sz="8" w:space="0" w:color="auto"/>
              <w:right w:val="single" w:sz="8" w:space="0" w:color="auto"/>
            </w:tcBorders>
            <w:shd w:val="clear" w:color="auto" w:fill="FFFFFF" w:themeFill="background1"/>
            <w:vAlign w:val="center"/>
            <w:hideMark/>
          </w:tcPr>
          <w:p w:rsidR="006327AB" w:rsidRPr="005E2282" w:rsidP="006327AB" w14:paraId="2CE5EDA0" w14:textId="36F83D35">
            <w:pPr>
              <w:jc w:val="right"/>
              <w:rPr>
                <w:rFonts w:ascii="Calibri" w:hAnsi="Calibri" w:cs="Calibri"/>
                <w:color w:val="000000"/>
                <w:sz w:val="16"/>
                <w:szCs w:val="16"/>
              </w:rPr>
            </w:pPr>
            <w:r>
              <w:rPr>
                <w:rFonts w:ascii="Calibri" w:hAnsi="Calibri" w:cs="Calibri"/>
                <w:color w:val="000000"/>
                <w:sz w:val="16"/>
                <w:szCs w:val="16"/>
              </w:rPr>
              <w:t>2</w:t>
            </w:r>
          </w:p>
        </w:tc>
        <w:tc>
          <w:tcPr>
            <w:tcW w:w="960" w:type="dxa"/>
            <w:tcBorders>
              <w:top w:val="nil"/>
              <w:left w:val="nil"/>
              <w:bottom w:val="single" w:sz="8" w:space="0" w:color="auto"/>
              <w:right w:val="single" w:sz="8" w:space="0" w:color="auto"/>
            </w:tcBorders>
            <w:shd w:val="clear" w:color="auto" w:fill="FFFFFF" w:themeFill="background1"/>
            <w:vAlign w:val="center"/>
            <w:hideMark/>
          </w:tcPr>
          <w:p w:rsidR="006327AB" w:rsidRPr="005E2282" w:rsidP="006327AB" w14:paraId="0BD9E21A" w14:textId="6C50F823">
            <w:pPr>
              <w:jc w:val="right"/>
              <w:rPr>
                <w:rFonts w:ascii="Calibri" w:hAnsi="Calibri" w:cs="Calibri"/>
                <w:color w:val="000000"/>
                <w:sz w:val="16"/>
                <w:szCs w:val="16"/>
              </w:rPr>
            </w:pPr>
            <w:r>
              <w:rPr>
                <w:rFonts w:ascii="Calibri" w:hAnsi="Calibri" w:cs="Calibri"/>
                <w:color w:val="000000"/>
                <w:sz w:val="16"/>
                <w:szCs w:val="16"/>
              </w:rPr>
              <w:t>42</w:t>
            </w:r>
          </w:p>
        </w:tc>
        <w:tc>
          <w:tcPr>
            <w:tcW w:w="1066" w:type="dxa"/>
            <w:tcBorders>
              <w:top w:val="nil"/>
              <w:left w:val="nil"/>
              <w:bottom w:val="single" w:sz="8" w:space="0" w:color="auto"/>
              <w:right w:val="single" w:sz="8" w:space="0" w:color="auto"/>
            </w:tcBorders>
            <w:shd w:val="clear" w:color="auto" w:fill="auto"/>
            <w:noWrap/>
            <w:vAlign w:val="center"/>
            <w:hideMark/>
          </w:tcPr>
          <w:p w:rsidR="006327AB" w:rsidRPr="005E2282" w:rsidP="006327AB" w14:paraId="40C3C428" w14:textId="794C4767">
            <w:pPr>
              <w:jc w:val="right"/>
              <w:rPr>
                <w:rFonts w:ascii="Calibri" w:hAnsi="Calibri" w:cs="Calibri"/>
                <w:color w:val="000000"/>
                <w:sz w:val="16"/>
                <w:szCs w:val="16"/>
              </w:rPr>
            </w:pPr>
            <w:r>
              <w:rPr>
                <w:rFonts w:ascii="Calibri" w:hAnsi="Calibri" w:cs="Calibri"/>
                <w:color w:val="000000"/>
                <w:sz w:val="16"/>
                <w:szCs w:val="16"/>
              </w:rPr>
              <w:t xml:space="preserve">$61.04 </w:t>
            </w:r>
          </w:p>
        </w:tc>
        <w:tc>
          <w:tcPr>
            <w:tcW w:w="1298" w:type="dxa"/>
            <w:tcBorders>
              <w:top w:val="nil"/>
              <w:left w:val="nil"/>
              <w:bottom w:val="single" w:sz="8" w:space="0" w:color="auto"/>
              <w:right w:val="single" w:sz="8" w:space="0" w:color="auto"/>
            </w:tcBorders>
            <w:shd w:val="clear" w:color="auto" w:fill="auto"/>
            <w:noWrap/>
            <w:vAlign w:val="center"/>
            <w:hideMark/>
          </w:tcPr>
          <w:p w:rsidR="006327AB" w:rsidRPr="005E2282" w:rsidP="006327AB" w14:paraId="3148FBAA" w14:textId="7E5C41CF">
            <w:pPr>
              <w:jc w:val="right"/>
              <w:rPr>
                <w:rFonts w:ascii="Calibri" w:hAnsi="Calibri" w:cs="Calibri"/>
                <w:color w:val="000000"/>
                <w:sz w:val="16"/>
                <w:szCs w:val="16"/>
              </w:rPr>
            </w:pPr>
            <w:r>
              <w:rPr>
                <w:rFonts w:ascii="Calibri" w:hAnsi="Calibri" w:cs="Calibri"/>
                <w:color w:val="000000"/>
                <w:sz w:val="16"/>
                <w:szCs w:val="16"/>
              </w:rPr>
              <w:t xml:space="preserve">$2,563.68 </w:t>
            </w:r>
          </w:p>
        </w:tc>
      </w:tr>
      <w:tr w14:paraId="42913B25" w14:textId="77777777" w:rsidTr="000D5DA7">
        <w:tblPrEx>
          <w:tblW w:w="11690" w:type="dxa"/>
          <w:tblLook w:val="04A0"/>
        </w:tblPrEx>
        <w:trPr>
          <w:trHeight w:val="315"/>
        </w:trPr>
        <w:tc>
          <w:tcPr>
            <w:tcW w:w="2780" w:type="dxa"/>
            <w:tcBorders>
              <w:top w:val="nil"/>
              <w:left w:val="single" w:sz="8" w:space="0" w:color="auto"/>
              <w:bottom w:val="single" w:sz="8" w:space="0" w:color="auto"/>
              <w:right w:val="single" w:sz="8" w:space="0" w:color="auto"/>
            </w:tcBorders>
            <w:shd w:val="clear" w:color="000000" w:fill="DDEBF7"/>
            <w:noWrap/>
            <w:vAlign w:val="center"/>
            <w:hideMark/>
          </w:tcPr>
          <w:p w:rsidR="006327AB" w:rsidRPr="005E2282" w:rsidP="006327AB" w14:paraId="7CDC28D8" w14:textId="77777777">
            <w:pPr>
              <w:rPr>
                <w:rFonts w:ascii="Calibri" w:hAnsi="Calibri" w:cs="Calibri"/>
                <w:b/>
                <w:bCs/>
                <w:color w:val="000000"/>
                <w:sz w:val="18"/>
                <w:szCs w:val="18"/>
              </w:rPr>
            </w:pPr>
            <w:r w:rsidRPr="005E2282">
              <w:rPr>
                <w:rFonts w:ascii="Calibri" w:hAnsi="Calibri" w:cs="Calibri"/>
                <w:b/>
                <w:bCs/>
                <w:color w:val="000000"/>
                <w:sz w:val="18"/>
                <w:szCs w:val="18"/>
              </w:rPr>
              <w:t>Totals</w:t>
            </w:r>
          </w:p>
        </w:tc>
        <w:tc>
          <w:tcPr>
            <w:tcW w:w="1530" w:type="dxa"/>
            <w:tcBorders>
              <w:top w:val="nil"/>
              <w:left w:val="nil"/>
              <w:bottom w:val="single" w:sz="8" w:space="0" w:color="auto"/>
              <w:right w:val="single" w:sz="8" w:space="0" w:color="auto"/>
            </w:tcBorders>
            <w:shd w:val="clear" w:color="000000" w:fill="000000"/>
            <w:noWrap/>
            <w:vAlign w:val="center"/>
            <w:hideMark/>
          </w:tcPr>
          <w:p w:rsidR="006327AB" w:rsidRPr="005E2282" w:rsidP="006327AB" w14:paraId="2517D43E" w14:textId="77777777">
            <w:pPr>
              <w:rPr>
                <w:rFonts w:ascii="Calibri" w:hAnsi="Calibri" w:cs="Calibri"/>
                <w:b/>
                <w:bCs/>
                <w:color w:val="000000"/>
                <w:sz w:val="18"/>
                <w:szCs w:val="18"/>
              </w:rPr>
            </w:pPr>
            <w:r w:rsidRPr="005E2282">
              <w:rPr>
                <w:rFonts w:ascii="Calibri" w:hAnsi="Calibri" w:cs="Calibri"/>
                <w:b/>
                <w:bCs/>
                <w:color w:val="000000"/>
                <w:sz w:val="18"/>
                <w:szCs w:val="18"/>
              </w:rPr>
              <w:t> </w:t>
            </w:r>
          </w:p>
        </w:tc>
        <w:tc>
          <w:tcPr>
            <w:tcW w:w="1080" w:type="dxa"/>
            <w:tcBorders>
              <w:top w:val="nil"/>
              <w:left w:val="nil"/>
              <w:bottom w:val="single" w:sz="8" w:space="0" w:color="auto"/>
              <w:right w:val="single" w:sz="8" w:space="0" w:color="auto"/>
            </w:tcBorders>
            <w:shd w:val="clear" w:color="000000" w:fill="000000"/>
            <w:noWrap/>
            <w:vAlign w:val="center"/>
            <w:hideMark/>
          </w:tcPr>
          <w:p w:rsidR="006327AB" w:rsidRPr="005E2282" w:rsidP="006327AB" w14:paraId="1E36060C" w14:textId="3455AB18">
            <w:pPr>
              <w:rPr>
                <w:rFonts w:ascii="Calibri" w:hAnsi="Calibri" w:cs="Calibri"/>
                <w:b/>
                <w:bCs/>
                <w:color w:val="000000"/>
                <w:sz w:val="18"/>
                <w:szCs w:val="18"/>
              </w:rPr>
            </w:pPr>
            <w:r>
              <w:rPr>
                <w:rFonts w:ascii="Calibri" w:hAnsi="Calibri" w:cs="Calibri"/>
                <w:b/>
                <w:bCs/>
                <w:color w:val="000000"/>
                <w:sz w:val="18"/>
                <w:szCs w:val="18"/>
              </w:rPr>
              <w:t> </w:t>
            </w:r>
          </w:p>
        </w:tc>
        <w:tc>
          <w:tcPr>
            <w:tcW w:w="1016" w:type="dxa"/>
            <w:tcBorders>
              <w:top w:val="nil"/>
              <w:left w:val="nil"/>
              <w:bottom w:val="single" w:sz="8" w:space="0" w:color="auto"/>
              <w:right w:val="single" w:sz="8" w:space="0" w:color="auto"/>
            </w:tcBorders>
            <w:shd w:val="clear" w:color="000000" w:fill="000000"/>
            <w:noWrap/>
            <w:vAlign w:val="center"/>
            <w:hideMark/>
          </w:tcPr>
          <w:p w:rsidR="006327AB" w:rsidRPr="005E2282" w:rsidP="006327AB" w14:paraId="1992C4B1" w14:textId="55918C29">
            <w:pPr>
              <w:jc w:val="right"/>
              <w:rPr>
                <w:rFonts w:ascii="Calibri" w:hAnsi="Calibri" w:cs="Calibri"/>
                <w:b/>
                <w:bCs/>
                <w:color w:val="000000"/>
                <w:sz w:val="18"/>
                <w:szCs w:val="18"/>
              </w:rPr>
            </w:pPr>
            <w:r>
              <w:rPr>
                <w:rFonts w:ascii="Calibri" w:hAnsi="Calibri" w:cs="Calibri"/>
                <w:b/>
                <w:bCs/>
                <w:color w:val="000000"/>
                <w:sz w:val="18"/>
                <w:szCs w:val="18"/>
              </w:rPr>
              <w:t>407</w:t>
            </w:r>
          </w:p>
        </w:tc>
        <w:tc>
          <w:tcPr>
            <w:tcW w:w="960" w:type="dxa"/>
            <w:tcBorders>
              <w:top w:val="nil"/>
              <w:left w:val="nil"/>
              <w:bottom w:val="single" w:sz="8" w:space="0" w:color="auto"/>
              <w:right w:val="single" w:sz="8" w:space="0" w:color="auto"/>
            </w:tcBorders>
            <w:shd w:val="clear" w:color="auto" w:fill="auto"/>
            <w:noWrap/>
            <w:vAlign w:val="center"/>
            <w:hideMark/>
          </w:tcPr>
          <w:p w:rsidR="006327AB" w:rsidRPr="005E2282" w:rsidP="00355747" w14:paraId="2E9074F9" w14:textId="3D204467">
            <w:pPr>
              <w:jc w:val="right"/>
              <w:rPr>
                <w:rFonts w:ascii="Calibri" w:hAnsi="Calibri" w:cs="Calibri"/>
                <w:b/>
                <w:bCs/>
                <w:color w:val="000000"/>
                <w:sz w:val="18"/>
                <w:szCs w:val="18"/>
              </w:rPr>
            </w:pPr>
            <w:r>
              <w:rPr>
                <w:rFonts w:ascii="Calibri" w:hAnsi="Calibri" w:cs="Calibri"/>
                <w:b/>
                <w:bCs/>
                <w:color w:val="000000"/>
                <w:sz w:val="18"/>
                <w:szCs w:val="18"/>
              </w:rPr>
              <w:t>8</w:t>
            </w:r>
            <w:r w:rsidR="00355747">
              <w:rPr>
                <w:rFonts w:ascii="Calibri" w:hAnsi="Calibri" w:cs="Calibri"/>
                <w:b/>
                <w:bCs/>
                <w:color w:val="000000"/>
                <w:sz w:val="18"/>
                <w:szCs w:val="18"/>
              </w:rPr>
              <w:t>99</w:t>
            </w:r>
          </w:p>
        </w:tc>
        <w:tc>
          <w:tcPr>
            <w:tcW w:w="1000" w:type="dxa"/>
            <w:tcBorders>
              <w:top w:val="nil"/>
              <w:left w:val="nil"/>
              <w:bottom w:val="single" w:sz="8" w:space="0" w:color="auto"/>
              <w:right w:val="single" w:sz="8" w:space="0" w:color="auto"/>
            </w:tcBorders>
            <w:shd w:val="clear" w:color="000000" w:fill="000000"/>
            <w:noWrap/>
            <w:vAlign w:val="center"/>
            <w:hideMark/>
          </w:tcPr>
          <w:p w:rsidR="006327AB" w:rsidRPr="005E2282" w:rsidP="006327AB" w14:paraId="76E4308C" w14:textId="5E79A106">
            <w:pPr>
              <w:rPr>
                <w:rFonts w:ascii="Calibri" w:hAnsi="Calibri" w:cs="Calibri"/>
                <w:b/>
                <w:bCs/>
                <w:color w:val="000000"/>
                <w:sz w:val="18"/>
                <w:szCs w:val="18"/>
              </w:rPr>
            </w:pPr>
            <w:r>
              <w:rPr>
                <w:rFonts w:ascii="Calibri" w:hAnsi="Calibri" w:cs="Calibri"/>
                <w:b/>
                <w:bCs/>
                <w:color w:val="000000"/>
                <w:sz w:val="18"/>
                <w:szCs w:val="18"/>
              </w:rPr>
              <w:t> </w:t>
            </w:r>
          </w:p>
        </w:tc>
        <w:tc>
          <w:tcPr>
            <w:tcW w:w="960" w:type="dxa"/>
            <w:tcBorders>
              <w:top w:val="nil"/>
              <w:left w:val="nil"/>
              <w:bottom w:val="single" w:sz="8" w:space="0" w:color="auto"/>
              <w:right w:val="single" w:sz="8" w:space="0" w:color="auto"/>
            </w:tcBorders>
            <w:shd w:val="clear" w:color="auto" w:fill="auto"/>
            <w:noWrap/>
            <w:vAlign w:val="center"/>
            <w:hideMark/>
          </w:tcPr>
          <w:p w:rsidR="006327AB" w:rsidRPr="005E2282" w:rsidP="00355747" w14:paraId="2B275EA0" w14:textId="3331EC15">
            <w:pPr>
              <w:jc w:val="right"/>
              <w:rPr>
                <w:rFonts w:ascii="Calibri" w:hAnsi="Calibri" w:cs="Calibri"/>
                <w:b/>
                <w:bCs/>
                <w:color w:val="000000"/>
                <w:sz w:val="18"/>
                <w:szCs w:val="18"/>
              </w:rPr>
            </w:pPr>
            <w:r>
              <w:rPr>
                <w:rFonts w:ascii="Calibri" w:hAnsi="Calibri" w:cs="Calibri"/>
                <w:b/>
                <w:bCs/>
                <w:color w:val="000000"/>
                <w:sz w:val="18"/>
                <w:szCs w:val="18"/>
              </w:rPr>
              <w:t>890</w:t>
            </w:r>
          </w:p>
        </w:tc>
        <w:tc>
          <w:tcPr>
            <w:tcW w:w="1066" w:type="dxa"/>
            <w:tcBorders>
              <w:top w:val="nil"/>
              <w:left w:val="nil"/>
              <w:bottom w:val="single" w:sz="8" w:space="0" w:color="auto"/>
              <w:right w:val="single" w:sz="8" w:space="0" w:color="auto"/>
            </w:tcBorders>
            <w:shd w:val="clear" w:color="000000" w:fill="000000"/>
            <w:noWrap/>
            <w:vAlign w:val="center"/>
            <w:hideMark/>
          </w:tcPr>
          <w:p w:rsidR="006327AB" w:rsidRPr="005E2282" w:rsidP="006327AB" w14:paraId="2065EC08" w14:textId="5D73E933">
            <w:pPr>
              <w:rPr>
                <w:rFonts w:ascii="Calibri" w:hAnsi="Calibri" w:cs="Calibri"/>
                <w:b/>
                <w:bCs/>
                <w:color w:val="000000"/>
                <w:sz w:val="18"/>
                <w:szCs w:val="18"/>
              </w:rPr>
            </w:pPr>
            <w:r>
              <w:rPr>
                <w:rFonts w:ascii="Calibri" w:hAnsi="Calibri" w:cs="Calibri"/>
                <w:b/>
                <w:bCs/>
                <w:color w:val="000000"/>
                <w:sz w:val="18"/>
                <w:szCs w:val="18"/>
              </w:rPr>
              <w:t> </w:t>
            </w:r>
          </w:p>
        </w:tc>
        <w:tc>
          <w:tcPr>
            <w:tcW w:w="1298" w:type="dxa"/>
            <w:tcBorders>
              <w:top w:val="nil"/>
              <w:left w:val="nil"/>
              <w:bottom w:val="single" w:sz="8" w:space="0" w:color="auto"/>
              <w:right w:val="single" w:sz="8" w:space="0" w:color="auto"/>
            </w:tcBorders>
            <w:shd w:val="clear" w:color="auto" w:fill="auto"/>
            <w:noWrap/>
            <w:vAlign w:val="center"/>
            <w:hideMark/>
          </w:tcPr>
          <w:p w:rsidR="006327AB" w:rsidRPr="005E2282" w:rsidP="00355747" w14:paraId="011CA276" w14:textId="4206D717">
            <w:pPr>
              <w:jc w:val="right"/>
              <w:rPr>
                <w:rFonts w:ascii="Calibri" w:hAnsi="Calibri" w:cs="Calibri"/>
                <w:b/>
                <w:bCs/>
                <w:color w:val="000000"/>
                <w:sz w:val="18"/>
                <w:szCs w:val="18"/>
              </w:rPr>
            </w:pPr>
            <w:r>
              <w:rPr>
                <w:rFonts w:ascii="Calibri" w:hAnsi="Calibri" w:cs="Calibri"/>
                <w:b/>
                <w:bCs/>
                <w:color w:val="000000"/>
                <w:sz w:val="18"/>
                <w:szCs w:val="18"/>
              </w:rPr>
              <w:t xml:space="preserve"> $  </w:t>
            </w:r>
            <w:r w:rsidR="00355747">
              <w:rPr>
                <w:rFonts w:ascii="Calibri" w:hAnsi="Calibri" w:cs="Calibri"/>
                <w:b/>
                <w:bCs/>
                <w:color w:val="000000"/>
                <w:sz w:val="18"/>
                <w:szCs w:val="18"/>
              </w:rPr>
              <w:t>46,</w:t>
            </w:r>
            <w:r w:rsidR="00A33E69">
              <w:rPr>
                <w:rFonts w:ascii="Calibri" w:hAnsi="Calibri" w:cs="Calibri"/>
                <w:b/>
                <w:bCs/>
                <w:color w:val="000000"/>
                <w:sz w:val="18"/>
                <w:szCs w:val="18"/>
              </w:rPr>
              <w:t>731.35</w:t>
            </w:r>
          </w:p>
        </w:tc>
      </w:tr>
      <w:tr w14:paraId="53EE4411" w14:textId="77777777" w:rsidTr="000D5DA7">
        <w:tblPrEx>
          <w:tblW w:w="11690" w:type="dxa"/>
          <w:tblLook w:val="04A0"/>
        </w:tblPrEx>
        <w:trPr>
          <w:trHeight w:val="300"/>
        </w:trPr>
        <w:tc>
          <w:tcPr>
            <w:tcW w:w="2780" w:type="dxa"/>
            <w:tcBorders>
              <w:top w:val="nil"/>
              <w:left w:val="nil"/>
              <w:bottom w:val="nil"/>
              <w:right w:val="nil"/>
            </w:tcBorders>
            <w:shd w:val="clear" w:color="auto" w:fill="auto"/>
            <w:noWrap/>
            <w:vAlign w:val="bottom"/>
            <w:hideMark/>
          </w:tcPr>
          <w:p w:rsidR="005E2282" w:rsidRPr="005E2282" w:rsidP="005E2282" w14:paraId="5896CFB6" w14:textId="77777777">
            <w:pPr>
              <w:jc w:val="right"/>
              <w:rPr>
                <w:rFonts w:ascii="Calibri" w:hAnsi="Calibri" w:cs="Calibri"/>
                <w:b/>
                <w:bCs/>
                <w:color w:val="000000"/>
                <w:sz w:val="18"/>
                <w:szCs w:val="18"/>
              </w:rPr>
            </w:pPr>
          </w:p>
        </w:tc>
        <w:tc>
          <w:tcPr>
            <w:tcW w:w="1530" w:type="dxa"/>
            <w:tcBorders>
              <w:top w:val="nil"/>
              <w:left w:val="nil"/>
              <w:bottom w:val="nil"/>
              <w:right w:val="nil"/>
            </w:tcBorders>
            <w:shd w:val="clear" w:color="auto" w:fill="auto"/>
            <w:noWrap/>
            <w:vAlign w:val="bottom"/>
            <w:hideMark/>
          </w:tcPr>
          <w:p w:rsidR="005E2282" w:rsidRPr="005E2282" w:rsidP="005E2282" w14:paraId="2CAB532F" w14:textId="77777777">
            <w:pPr>
              <w:rPr>
                <w:sz w:val="20"/>
              </w:rPr>
            </w:pPr>
          </w:p>
        </w:tc>
        <w:tc>
          <w:tcPr>
            <w:tcW w:w="1080" w:type="dxa"/>
            <w:tcBorders>
              <w:top w:val="nil"/>
              <w:left w:val="nil"/>
              <w:bottom w:val="nil"/>
              <w:right w:val="nil"/>
            </w:tcBorders>
            <w:shd w:val="clear" w:color="auto" w:fill="auto"/>
            <w:noWrap/>
            <w:vAlign w:val="bottom"/>
            <w:hideMark/>
          </w:tcPr>
          <w:p w:rsidR="005E2282" w:rsidRPr="005E2282" w:rsidP="005E2282" w14:paraId="43A2F24A" w14:textId="77777777">
            <w:pPr>
              <w:rPr>
                <w:sz w:val="20"/>
              </w:rPr>
            </w:pPr>
          </w:p>
        </w:tc>
        <w:tc>
          <w:tcPr>
            <w:tcW w:w="1016" w:type="dxa"/>
            <w:tcBorders>
              <w:top w:val="nil"/>
              <w:left w:val="nil"/>
              <w:bottom w:val="nil"/>
              <w:right w:val="nil"/>
            </w:tcBorders>
            <w:shd w:val="clear" w:color="auto" w:fill="auto"/>
            <w:noWrap/>
            <w:vAlign w:val="bottom"/>
            <w:hideMark/>
          </w:tcPr>
          <w:p w:rsidR="005E2282" w:rsidRPr="005E2282" w:rsidP="005E2282" w14:paraId="5D35CDE8" w14:textId="77777777">
            <w:pPr>
              <w:rPr>
                <w:sz w:val="20"/>
              </w:rPr>
            </w:pPr>
          </w:p>
        </w:tc>
        <w:tc>
          <w:tcPr>
            <w:tcW w:w="960" w:type="dxa"/>
            <w:tcBorders>
              <w:top w:val="nil"/>
              <w:left w:val="nil"/>
              <w:bottom w:val="nil"/>
              <w:right w:val="nil"/>
            </w:tcBorders>
            <w:shd w:val="clear" w:color="auto" w:fill="auto"/>
            <w:noWrap/>
            <w:vAlign w:val="bottom"/>
            <w:hideMark/>
          </w:tcPr>
          <w:p w:rsidR="005E2282" w:rsidRPr="005E2282" w:rsidP="005E2282" w14:paraId="742932FE" w14:textId="77777777">
            <w:pPr>
              <w:rPr>
                <w:sz w:val="20"/>
              </w:rPr>
            </w:pPr>
          </w:p>
        </w:tc>
        <w:tc>
          <w:tcPr>
            <w:tcW w:w="1000" w:type="dxa"/>
            <w:tcBorders>
              <w:top w:val="nil"/>
              <w:left w:val="nil"/>
              <w:bottom w:val="nil"/>
              <w:right w:val="nil"/>
            </w:tcBorders>
            <w:shd w:val="clear" w:color="auto" w:fill="auto"/>
            <w:noWrap/>
            <w:vAlign w:val="bottom"/>
            <w:hideMark/>
          </w:tcPr>
          <w:p w:rsidR="005E2282" w:rsidRPr="005E2282" w:rsidP="005E2282" w14:paraId="6B9621D2" w14:textId="77777777">
            <w:pPr>
              <w:rPr>
                <w:sz w:val="20"/>
              </w:rPr>
            </w:pPr>
          </w:p>
        </w:tc>
        <w:tc>
          <w:tcPr>
            <w:tcW w:w="960" w:type="dxa"/>
            <w:tcBorders>
              <w:top w:val="nil"/>
              <w:left w:val="nil"/>
              <w:bottom w:val="nil"/>
              <w:right w:val="nil"/>
            </w:tcBorders>
            <w:shd w:val="clear" w:color="auto" w:fill="auto"/>
            <w:noWrap/>
            <w:vAlign w:val="bottom"/>
            <w:hideMark/>
          </w:tcPr>
          <w:p w:rsidR="005E2282" w:rsidRPr="005E2282" w:rsidP="005E2282" w14:paraId="799C76B0" w14:textId="77777777">
            <w:pPr>
              <w:rPr>
                <w:sz w:val="20"/>
              </w:rPr>
            </w:pPr>
          </w:p>
        </w:tc>
        <w:tc>
          <w:tcPr>
            <w:tcW w:w="1066" w:type="dxa"/>
            <w:tcBorders>
              <w:top w:val="nil"/>
              <w:left w:val="nil"/>
              <w:bottom w:val="nil"/>
              <w:right w:val="nil"/>
            </w:tcBorders>
            <w:shd w:val="clear" w:color="auto" w:fill="auto"/>
            <w:noWrap/>
            <w:vAlign w:val="bottom"/>
            <w:hideMark/>
          </w:tcPr>
          <w:p w:rsidR="005E2282" w:rsidRPr="005E2282" w:rsidP="005E2282" w14:paraId="02823274" w14:textId="77777777">
            <w:pPr>
              <w:rPr>
                <w:sz w:val="20"/>
              </w:rPr>
            </w:pPr>
          </w:p>
        </w:tc>
        <w:tc>
          <w:tcPr>
            <w:tcW w:w="1298" w:type="dxa"/>
            <w:tcBorders>
              <w:top w:val="nil"/>
              <w:left w:val="nil"/>
              <w:bottom w:val="nil"/>
              <w:right w:val="nil"/>
            </w:tcBorders>
            <w:shd w:val="clear" w:color="auto" w:fill="auto"/>
            <w:noWrap/>
            <w:vAlign w:val="bottom"/>
            <w:hideMark/>
          </w:tcPr>
          <w:p w:rsidR="005E2282" w:rsidRPr="005E2282" w:rsidP="005E2282" w14:paraId="57D65100" w14:textId="77777777">
            <w:pPr>
              <w:rPr>
                <w:sz w:val="20"/>
              </w:rPr>
            </w:pPr>
          </w:p>
        </w:tc>
      </w:tr>
    </w:tbl>
    <w:p w:rsidR="005E2282" w:rsidRPr="006C6DDE" w:rsidP="00C85C4E" w14:paraId="25486A15" w14:textId="3B761DFD">
      <w:r>
        <w:t xml:space="preserve">Number of Respondents and </w:t>
      </w:r>
      <w:r w:rsidRPr="006C6DDE" w:rsidR="006C6DDE">
        <w:t>Burden hours differ from ROCIS due to rounding.</w:t>
      </w:r>
    </w:p>
    <w:p w:rsidR="005E2282" w:rsidP="005E2282" w14:paraId="5F1F4B09" w14:textId="77777777">
      <w:pPr>
        <w:rPr>
          <w:b/>
        </w:rPr>
        <w:sectPr w:rsidSect="005E2282">
          <w:footnotePr>
            <w:numFmt w:val="lowerLetter"/>
          </w:footnotePr>
          <w:endnotePr>
            <w:numFmt w:val="lowerLetter"/>
          </w:endnotePr>
          <w:pgSz w:w="15840" w:h="12240" w:orient="landscape"/>
          <w:pgMar w:top="1440" w:right="810" w:bottom="1440" w:left="1440" w:header="810" w:footer="1080" w:gutter="0"/>
          <w:cols w:space="720"/>
          <w:docGrid w:linePitch="326"/>
        </w:sectPr>
      </w:pPr>
    </w:p>
    <w:p w:rsidR="003F389D" w:rsidRPr="00BD7237" w:rsidP="003F389D" w14:paraId="0933F8B7" w14:textId="60960668">
      <w:pPr>
        <w:pStyle w:val="ListParagraph"/>
        <w:widowControl w:val="0"/>
        <w:tabs>
          <w:tab w:val="left" w:pos="360"/>
        </w:tabs>
        <w:autoSpaceDE w:val="0"/>
        <w:autoSpaceDN w:val="0"/>
        <w:spacing w:before="80"/>
        <w:ind w:left="0"/>
        <w:contextualSpacing w:val="0"/>
        <w:rPr>
          <w:b/>
          <w:szCs w:val="24"/>
        </w:rPr>
      </w:pPr>
      <w:r>
        <w:rPr>
          <w:b/>
        </w:rPr>
        <w:t>13.</w:t>
      </w:r>
      <w:r w:rsidR="00B1698A">
        <w:rPr>
          <w:b/>
        </w:rPr>
        <w:t xml:space="preserve"> </w:t>
      </w:r>
      <w:r w:rsidRPr="00BD7237">
        <w:rPr>
          <w:b/>
          <w:szCs w:val="24"/>
        </w:rPr>
        <w:t>Provide an estimate for the total annual cost burden to respondents or record keepers resulting from the collection of information. (Do not include the cost of any hour burden already reflected on the burden worksheet).</w:t>
      </w:r>
    </w:p>
    <w:p w:rsidR="0029746C" w:rsidRPr="00026161" w:rsidP="002302BC" w14:paraId="52863DF2" w14:textId="77777777">
      <w:pPr>
        <w:pStyle w:val="NoSpacing"/>
      </w:pPr>
    </w:p>
    <w:p w:rsidR="00762435" w:rsidP="002302BC" w14:paraId="4D081EC3" w14:textId="4B9102B8">
      <w:pPr>
        <w:keepNext/>
        <w:spacing w:after="120"/>
      </w:pPr>
      <w:r>
        <w:rPr>
          <w:b/>
          <w:szCs w:val="24"/>
        </w:rPr>
        <w:t>Vessel Owner/Operator Requirements</w:t>
      </w:r>
    </w:p>
    <w:p w:rsidR="00370FE8" w:rsidP="002302BC" w14:paraId="07A4D161" w14:textId="081E2E74">
      <w:pPr>
        <w:keepNext/>
        <w:spacing w:after="120"/>
      </w:pPr>
      <w:r>
        <w:t>Amendment 15 w</w:t>
      </w:r>
      <w:r w:rsidR="003776FA">
        <w:t>ould</w:t>
      </w:r>
      <w:r>
        <w:t xml:space="preserve"> also require PLL vessels to </w:t>
      </w:r>
      <w:r w:rsidR="00F02BC8">
        <w:t>cover</w:t>
      </w:r>
      <w:r>
        <w:t xml:space="preserve"> the costs associated with EM sampling </w:t>
      </w:r>
      <w:r w:rsidR="00F02BC8">
        <w:t xml:space="preserve">within the monitoring areas </w:t>
      </w:r>
      <w:r>
        <w:t>which is reflected in Table 5.</w:t>
      </w:r>
      <w:r>
        <w:t xml:space="preserve"> NMFS estimates maximum EM sampling costs of $280 to review the video for a single PLL set</w:t>
      </w:r>
      <w:r w:rsidR="003F2DEB">
        <w:t xml:space="preserve">. Amendment 15 will require video review for 50 percent of all sets within monitoring areas, </w:t>
      </w:r>
      <w:r>
        <w:t>which at 6 sets on average per trip would equa</w:t>
      </w:r>
      <w:r w:rsidR="00762435">
        <w:t>te to $</w:t>
      </w:r>
      <w:r w:rsidR="003F2DEB">
        <w:t>840</w:t>
      </w:r>
      <w:r w:rsidR="00762435">
        <w:t xml:space="preserve"> per trip. Since PLL vessels are only required to </w:t>
      </w:r>
      <w:r w:rsidR="009A12A9">
        <w:t>submit their EM data</w:t>
      </w:r>
      <w:r w:rsidR="00762435">
        <w:t xml:space="preserve"> every other trip, this would equate to $</w:t>
      </w:r>
      <w:r w:rsidR="003F2DEB">
        <w:t>1,680</w:t>
      </w:r>
      <w:r w:rsidR="00762435">
        <w:t xml:space="preserve"> in EM sampling costs each time they </w:t>
      </w:r>
      <w:r w:rsidR="009A12A9">
        <w:t>submit their data</w:t>
      </w:r>
      <w:r w:rsidR="00762435">
        <w:t>.</w:t>
      </w:r>
      <w:r w:rsidR="003F2DEB">
        <w:t xml:space="preserve"> Given the effort cap of 630 sets across the two monitoring areas, NMFS estimates that 20 PLL vessels will participate in the monitoring program, and will average 6 trips a year within the monitoring areas.</w:t>
      </w:r>
    </w:p>
    <w:p w:rsidR="006B4DBE" w:rsidP="002302BC" w14:paraId="06F84207" w14:textId="77777777">
      <w:pPr>
        <w:keepNext/>
        <w:spacing w:after="120"/>
        <w:rPr>
          <w:b/>
          <w:szCs w:val="24"/>
        </w:rPr>
      </w:pPr>
    </w:p>
    <w:p w:rsidR="00762435" w:rsidP="002302BC" w14:paraId="1E4E25CF" w14:textId="5524FC84">
      <w:pPr>
        <w:keepNext/>
        <w:spacing w:after="120"/>
        <w:rPr>
          <w:b/>
          <w:szCs w:val="24"/>
        </w:rPr>
      </w:pPr>
      <w:r>
        <w:rPr>
          <w:b/>
          <w:szCs w:val="24"/>
        </w:rPr>
        <w:t>Electronic Monitoring Service Provider Requirements</w:t>
      </w:r>
    </w:p>
    <w:p w:rsidR="00D5428E" w:rsidP="002302BC" w14:paraId="1D43FA27" w14:textId="28CE0322">
      <w:pPr>
        <w:keepNext/>
        <w:spacing w:after="120"/>
        <w:rPr>
          <w:b/>
          <w:szCs w:val="24"/>
        </w:rPr>
      </w:pPr>
      <w:r>
        <w:rPr>
          <w:szCs w:val="24"/>
        </w:rPr>
        <w:t>All EM Service Provider materials costs pertain to copies and postage.</w:t>
      </w:r>
    </w:p>
    <w:p w:rsidR="006B4DBE" w:rsidP="002302BC" w14:paraId="5C5EC333" w14:textId="77777777">
      <w:pPr>
        <w:spacing w:after="120"/>
        <w:rPr>
          <w:b/>
          <w:sz w:val="20"/>
        </w:rPr>
      </w:pPr>
    </w:p>
    <w:p w:rsidR="008244C5" w:rsidP="002302BC" w14:paraId="74F4A92A" w14:textId="6C03496E">
      <w:pPr>
        <w:spacing w:after="120"/>
        <w:rPr>
          <w:b/>
          <w:sz w:val="20"/>
        </w:rPr>
      </w:pPr>
      <w:r w:rsidRPr="005F716C">
        <w:rPr>
          <w:b/>
          <w:sz w:val="20"/>
        </w:rPr>
        <w:t xml:space="preserve">Table </w:t>
      </w:r>
      <w:r w:rsidR="00D23A58">
        <w:rPr>
          <w:b/>
          <w:sz w:val="20"/>
        </w:rPr>
        <w:t>7</w:t>
      </w:r>
      <w:r w:rsidRPr="005F716C">
        <w:rPr>
          <w:b/>
          <w:sz w:val="20"/>
        </w:rPr>
        <w:t xml:space="preserve">. </w:t>
      </w:r>
      <w:r>
        <w:rPr>
          <w:b/>
          <w:sz w:val="20"/>
        </w:rPr>
        <w:t xml:space="preserve">Summary of the estimated annual cost burden associated with </w:t>
      </w:r>
      <w:r w:rsidR="00EB68C9">
        <w:rPr>
          <w:b/>
          <w:sz w:val="20"/>
        </w:rPr>
        <w:t>E-MTU VMS and EM requirements in the Atlantic HMS fisheries</w:t>
      </w:r>
      <w:r w:rsidR="006B4DBE">
        <w:rPr>
          <w:b/>
          <w:sz w:val="20"/>
        </w:rPr>
        <w:t xml:space="preserve"> being implemented under Amendment 15</w:t>
      </w:r>
      <w:r w:rsidR="00EB68C9">
        <w:rPr>
          <w:b/>
          <w:sz w:val="20"/>
        </w:rPr>
        <w:t>.</w:t>
      </w:r>
      <w:r>
        <w:rPr>
          <w:b/>
          <w:sz w:val="20"/>
        </w:rPr>
        <w:t xml:space="preserve"> </w:t>
      </w:r>
    </w:p>
    <w:tbl>
      <w:tblPr>
        <w:tblW w:w="9980" w:type="dxa"/>
        <w:tblLook w:val="04A0"/>
      </w:tblPr>
      <w:tblGrid>
        <w:gridCol w:w="3860"/>
        <w:gridCol w:w="1260"/>
        <w:gridCol w:w="1166"/>
        <w:gridCol w:w="917"/>
        <w:gridCol w:w="1016"/>
        <w:gridCol w:w="1761"/>
      </w:tblGrid>
      <w:tr w14:paraId="5611EAF7" w14:textId="77777777" w:rsidTr="006B4DBE">
        <w:tblPrEx>
          <w:tblW w:w="9980" w:type="dxa"/>
          <w:tblLook w:val="04A0"/>
        </w:tblPrEx>
        <w:trPr>
          <w:trHeight w:val="315"/>
        </w:trPr>
        <w:tc>
          <w:tcPr>
            <w:tcW w:w="3860" w:type="dxa"/>
            <w:tcBorders>
              <w:top w:val="single" w:sz="4" w:space="0" w:color="auto"/>
              <w:left w:val="single" w:sz="8" w:space="0" w:color="auto"/>
              <w:bottom w:val="single" w:sz="8" w:space="0" w:color="auto"/>
              <w:right w:val="single" w:sz="4" w:space="0" w:color="auto"/>
            </w:tcBorders>
            <w:shd w:val="clear" w:color="000000" w:fill="DDEBF7"/>
            <w:vAlign w:val="center"/>
            <w:hideMark/>
          </w:tcPr>
          <w:p w:rsidR="002B53E2" w:rsidRPr="002B53E2" w:rsidP="002B53E2" w14:paraId="5388C1F8" w14:textId="77777777">
            <w:pPr>
              <w:jc w:val="center"/>
              <w:rPr>
                <w:rFonts w:ascii="Calibri" w:hAnsi="Calibri" w:cs="Calibri"/>
                <w:b/>
                <w:bCs/>
                <w:color w:val="000000"/>
                <w:sz w:val="16"/>
                <w:szCs w:val="16"/>
              </w:rPr>
            </w:pPr>
            <w:r w:rsidRPr="002B53E2">
              <w:rPr>
                <w:rFonts w:ascii="Calibri" w:hAnsi="Calibri" w:cs="Calibri"/>
                <w:b/>
                <w:bCs/>
                <w:color w:val="000000"/>
                <w:sz w:val="16"/>
                <w:szCs w:val="16"/>
              </w:rPr>
              <w:t>Information Collection</w:t>
            </w:r>
          </w:p>
        </w:tc>
        <w:tc>
          <w:tcPr>
            <w:tcW w:w="1260" w:type="dxa"/>
            <w:tcBorders>
              <w:top w:val="single" w:sz="4" w:space="0" w:color="auto"/>
              <w:left w:val="nil"/>
              <w:bottom w:val="single" w:sz="8" w:space="0" w:color="auto"/>
              <w:right w:val="single" w:sz="4" w:space="0" w:color="auto"/>
            </w:tcBorders>
            <w:shd w:val="clear" w:color="000000" w:fill="DDEBF7"/>
            <w:vAlign w:val="center"/>
            <w:hideMark/>
          </w:tcPr>
          <w:p w:rsidR="002B53E2" w:rsidRPr="002B53E2" w:rsidP="002B53E2" w14:paraId="40863850" w14:textId="77777777">
            <w:pPr>
              <w:jc w:val="center"/>
              <w:rPr>
                <w:rFonts w:ascii="Calibri" w:hAnsi="Calibri" w:cs="Calibri"/>
                <w:b/>
                <w:bCs/>
                <w:color w:val="000000"/>
                <w:sz w:val="16"/>
                <w:szCs w:val="16"/>
              </w:rPr>
            </w:pPr>
            <w:r w:rsidRPr="002B53E2">
              <w:rPr>
                <w:rFonts w:ascii="Calibri" w:hAnsi="Calibri" w:cs="Calibri"/>
                <w:b/>
                <w:bCs/>
                <w:color w:val="000000"/>
                <w:sz w:val="16"/>
                <w:szCs w:val="16"/>
              </w:rPr>
              <w:t># of Respondents</w:t>
            </w:r>
          </w:p>
        </w:tc>
        <w:tc>
          <w:tcPr>
            <w:tcW w:w="1166" w:type="dxa"/>
            <w:tcBorders>
              <w:top w:val="single" w:sz="4" w:space="0" w:color="auto"/>
              <w:left w:val="nil"/>
              <w:bottom w:val="single" w:sz="8" w:space="0" w:color="auto"/>
              <w:right w:val="single" w:sz="4" w:space="0" w:color="auto"/>
            </w:tcBorders>
            <w:shd w:val="clear" w:color="000000" w:fill="DDEBF7"/>
            <w:vAlign w:val="center"/>
            <w:hideMark/>
          </w:tcPr>
          <w:p w:rsidR="002B53E2" w:rsidRPr="002B53E2" w:rsidP="002B53E2" w14:paraId="782B1A25" w14:textId="77777777">
            <w:pPr>
              <w:jc w:val="center"/>
              <w:rPr>
                <w:rFonts w:ascii="Calibri" w:hAnsi="Calibri" w:cs="Calibri"/>
                <w:b/>
                <w:bCs/>
                <w:color w:val="000000"/>
                <w:sz w:val="16"/>
                <w:szCs w:val="16"/>
              </w:rPr>
            </w:pPr>
            <w:r w:rsidRPr="002B53E2">
              <w:rPr>
                <w:rFonts w:ascii="Calibri" w:hAnsi="Calibri" w:cs="Calibri"/>
                <w:b/>
                <w:bCs/>
                <w:color w:val="000000"/>
                <w:sz w:val="16"/>
                <w:szCs w:val="16"/>
              </w:rPr>
              <w:t>Annual # of Responses / Respondent</w:t>
            </w:r>
          </w:p>
        </w:tc>
        <w:tc>
          <w:tcPr>
            <w:tcW w:w="917" w:type="dxa"/>
            <w:tcBorders>
              <w:top w:val="single" w:sz="4" w:space="0" w:color="auto"/>
              <w:left w:val="nil"/>
              <w:bottom w:val="single" w:sz="8" w:space="0" w:color="auto"/>
              <w:right w:val="single" w:sz="4" w:space="0" w:color="auto"/>
            </w:tcBorders>
            <w:shd w:val="clear" w:color="auto" w:fill="DBE5F1" w:themeFill="accent1" w:themeFillTint="33"/>
            <w:vAlign w:val="center"/>
            <w:hideMark/>
          </w:tcPr>
          <w:p w:rsidR="002B53E2" w:rsidRPr="002B53E2" w:rsidP="002B53E2" w14:paraId="2896E96A" w14:textId="77777777">
            <w:pPr>
              <w:jc w:val="center"/>
              <w:rPr>
                <w:rFonts w:ascii="Calibri" w:hAnsi="Calibri" w:cs="Calibri"/>
                <w:b/>
                <w:bCs/>
                <w:color w:val="000000"/>
                <w:sz w:val="16"/>
                <w:szCs w:val="16"/>
              </w:rPr>
            </w:pPr>
            <w:r w:rsidRPr="002B53E2">
              <w:rPr>
                <w:rFonts w:ascii="Calibri" w:hAnsi="Calibri" w:cs="Calibri"/>
                <w:b/>
                <w:bCs/>
                <w:color w:val="000000"/>
                <w:sz w:val="16"/>
                <w:szCs w:val="16"/>
              </w:rPr>
              <w:t xml:space="preserve"> Total # of Annual Responses</w:t>
            </w:r>
          </w:p>
        </w:tc>
        <w:tc>
          <w:tcPr>
            <w:tcW w:w="1016" w:type="dxa"/>
            <w:tcBorders>
              <w:top w:val="single" w:sz="4" w:space="0" w:color="auto"/>
              <w:left w:val="nil"/>
              <w:bottom w:val="single" w:sz="8" w:space="0" w:color="auto"/>
              <w:right w:val="single" w:sz="4" w:space="0" w:color="auto"/>
            </w:tcBorders>
            <w:shd w:val="clear" w:color="000000" w:fill="DDEBF7"/>
            <w:vAlign w:val="center"/>
            <w:hideMark/>
          </w:tcPr>
          <w:p w:rsidR="002B53E2" w:rsidRPr="002B53E2" w:rsidP="002B53E2" w14:paraId="4085579B" w14:textId="77777777">
            <w:pPr>
              <w:jc w:val="center"/>
              <w:rPr>
                <w:rFonts w:ascii="Calibri" w:hAnsi="Calibri" w:cs="Calibri"/>
                <w:b/>
                <w:bCs/>
                <w:color w:val="000000"/>
                <w:sz w:val="16"/>
                <w:szCs w:val="16"/>
              </w:rPr>
            </w:pPr>
            <w:r w:rsidRPr="002B53E2">
              <w:rPr>
                <w:rFonts w:ascii="Calibri" w:hAnsi="Calibri" w:cs="Calibri"/>
                <w:b/>
                <w:bCs/>
                <w:color w:val="000000"/>
                <w:sz w:val="16"/>
                <w:szCs w:val="16"/>
              </w:rPr>
              <w:t>Cost Burden / Respondent</w:t>
            </w:r>
          </w:p>
        </w:tc>
        <w:tc>
          <w:tcPr>
            <w:tcW w:w="1761" w:type="dxa"/>
            <w:tcBorders>
              <w:top w:val="single" w:sz="4" w:space="0" w:color="auto"/>
              <w:left w:val="nil"/>
              <w:bottom w:val="single" w:sz="8" w:space="0" w:color="auto"/>
              <w:right w:val="single" w:sz="4" w:space="0" w:color="auto"/>
            </w:tcBorders>
            <w:shd w:val="clear" w:color="000000" w:fill="DDEBF7"/>
            <w:vAlign w:val="center"/>
            <w:hideMark/>
          </w:tcPr>
          <w:p w:rsidR="002B53E2" w:rsidRPr="002B53E2" w:rsidP="002B53E2" w14:paraId="567EB5D1" w14:textId="77777777">
            <w:pPr>
              <w:jc w:val="center"/>
              <w:rPr>
                <w:rFonts w:ascii="Calibri" w:hAnsi="Calibri" w:cs="Calibri"/>
                <w:b/>
                <w:bCs/>
                <w:color w:val="000000"/>
                <w:sz w:val="16"/>
                <w:szCs w:val="16"/>
              </w:rPr>
            </w:pPr>
            <w:r w:rsidRPr="002B53E2">
              <w:rPr>
                <w:rFonts w:ascii="Calibri" w:hAnsi="Calibri" w:cs="Calibri"/>
                <w:b/>
                <w:bCs/>
                <w:color w:val="000000"/>
                <w:sz w:val="16"/>
                <w:szCs w:val="16"/>
              </w:rPr>
              <w:t>Total Annual Cost Burden</w:t>
            </w:r>
          </w:p>
        </w:tc>
      </w:tr>
      <w:tr w14:paraId="032CBA66" w14:textId="77777777" w:rsidTr="006B4DBE">
        <w:tblPrEx>
          <w:tblW w:w="9980" w:type="dxa"/>
          <w:tblLook w:val="04A0"/>
        </w:tblPrEx>
        <w:trPr>
          <w:trHeight w:val="315"/>
        </w:trPr>
        <w:tc>
          <w:tcPr>
            <w:tcW w:w="3860" w:type="dxa"/>
            <w:tcBorders>
              <w:top w:val="nil"/>
              <w:left w:val="single" w:sz="8" w:space="0" w:color="auto"/>
              <w:bottom w:val="single" w:sz="8" w:space="0" w:color="auto"/>
              <w:right w:val="single" w:sz="4" w:space="0" w:color="auto"/>
            </w:tcBorders>
            <w:shd w:val="clear" w:color="auto" w:fill="auto"/>
            <w:vAlign w:val="center"/>
          </w:tcPr>
          <w:p w:rsidR="00B9760F" w:rsidRPr="002B53E2" w:rsidP="00B9760F" w14:paraId="5D21F1E1" w14:textId="715A3C09">
            <w:pPr>
              <w:rPr>
                <w:rFonts w:ascii="Calibri" w:hAnsi="Calibri" w:cs="Calibri"/>
                <w:b/>
                <w:bCs/>
                <w:color w:val="000000"/>
                <w:sz w:val="16"/>
                <w:szCs w:val="16"/>
              </w:rPr>
            </w:pPr>
            <w:r>
              <w:rPr>
                <w:rFonts w:ascii="Calibri" w:hAnsi="Calibri" w:cs="Calibri"/>
                <w:b/>
                <w:color w:val="000000"/>
                <w:sz w:val="16"/>
                <w:szCs w:val="16"/>
              </w:rPr>
              <w:t>Vessel Owner/Operator Requirements</w:t>
            </w:r>
            <w:r w:rsidR="00A97174">
              <w:rPr>
                <w:rFonts w:ascii="Calibri" w:hAnsi="Calibri" w:cs="Calibri"/>
                <w:b/>
                <w:color w:val="000000"/>
                <w:sz w:val="16"/>
                <w:szCs w:val="16"/>
              </w:rPr>
              <w:t xml:space="preserve"> (VOR)</w:t>
            </w:r>
          </w:p>
        </w:tc>
        <w:tc>
          <w:tcPr>
            <w:tcW w:w="1260" w:type="dxa"/>
            <w:tcBorders>
              <w:top w:val="single" w:sz="8" w:space="0" w:color="auto"/>
              <w:left w:val="nil"/>
              <w:bottom w:val="single" w:sz="8" w:space="0" w:color="auto"/>
              <w:right w:val="single" w:sz="4" w:space="0" w:color="auto"/>
            </w:tcBorders>
            <w:shd w:val="clear" w:color="auto" w:fill="auto"/>
            <w:vAlign w:val="center"/>
          </w:tcPr>
          <w:p w:rsidR="00B9760F" w:rsidRPr="002B53E2" w:rsidP="00B9760F" w14:paraId="7A493DAB" w14:textId="77777777">
            <w:pPr>
              <w:jc w:val="center"/>
              <w:rPr>
                <w:rFonts w:ascii="Calibri" w:hAnsi="Calibri" w:cs="Calibri"/>
                <w:b/>
                <w:bCs/>
                <w:color w:val="000000"/>
                <w:sz w:val="16"/>
                <w:szCs w:val="16"/>
              </w:rPr>
            </w:pPr>
          </w:p>
        </w:tc>
        <w:tc>
          <w:tcPr>
            <w:tcW w:w="1166" w:type="dxa"/>
            <w:tcBorders>
              <w:top w:val="single" w:sz="8" w:space="0" w:color="auto"/>
              <w:left w:val="nil"/>
              <w:bottom w:val="single" w:sz="8" w:space="0" w:color="auto"/>
              <w:right w:val="single" w:sz="4" w:space="0" w:color="auto"/>
            </w:tcBorders>
            <w:shd w:val="clear" w:color="auto" w:fill="auto"/>
            <w:vAlign w:val="center"/>
          </w:tcPr>
          <w:p w:rsidR="00B9760F" w:rsidRPr="002B53E2" w:rsidP="00B9760F" w14:paraId="66CFCFC4" w14:textId="77777777">
            <w:pPr>
              <w:jc w:val="center"/>
              <w:rPr>
                <w:rFonts w:ascii="Calibri" w:hAnsi="Calibri" w:cs="Calibri"/>
                <w:b/>
                <w:bCs/>
                <w:color w:val="000000"/>
                <w:sz w:val="16"/>
                <w:szCs w:val="16"/>
              </w:rPr>
            </w:pPr>
          </w:p>
        </w:tc>
        <w:tc>
          <w:tcPr>
            <w:tcW w:w="917" w:type="dxa"/>
            <w:tcBorders>
              <w:top w:val="single" w:sz="8" w:space="0" w:color="auto"/>
              <w:left w:val="nil"/>
              <w:bottom w:val="single" w:sz="8" w:space="0" w:color="auto"/>
              <w:right w:val="single" w:sz="4" w:space="0" w:color="auto"/>
            </w:tcBorders>
            <w:shd w:val="clear" w:color="auto" w:fill="auto"/>
            <w:vAlign w:val="center"/>
          </w:tcPr>
          <w:p w:rsidR="00B9760F" w:rsidRPr="002B53E2" w:rsidP="00B9760F" w14:paraId="4D627BC7" w14:textId="77777777">
            <w:pPr>
              <w:jc w:val="center"/>
              <w:rPr>
                <w:rFonts w:ascii="Calibri" w:hAnsi="Calibri" w:cs="Calibri"/>
                <w:b/>
                <w:bCs/>
                <w:color w:val="000000"/>
                <w:sz w:val="16"/>
                <w:szCs w:val="16"/>
              </w:rPr>
            </w:pPr>
          </w:p>
        </w:tc>
        <w:tc>
          <w:tcPr>
            <w:tcW w:w="1016" w:type="dxa"/>
            <w:tcBorders>
              <w:top w:val="single" w:sz="8" w:space="0" w:color="auto"/>
              <w:left w:val="nil"/>
              <w:bottom w:val="single" w:sz="8" w:space="0" w:color="auto"/>
              <w:right w:val="single" w:sz="4" w:space="0" w:color="auto"/>
            </w:tcBorders>
            <w:shd w:val="clear" w:color="auto" w:fill="auto"/>
            <w:vAlign w:val="center"/>
          </w:tcPr>
          <w:p w:rsidR="00B9760F" w:rsidRPr="002B53E2" w:rsidP="00B9760F" w14:paraId="56335882" w14:textId="77777777">
            <w:pPr>
              <w:jc w:val="center"/>
              <w:rPr>
                <w:rFonts w:ascii="Calibri" w:hAnsi="Calibri" w:cs="Calibri"/>
                <w:b/>
                <w:bCs/>
                <w:color w:val="000000"/>
                <w:sz w:val="16"/>
                <w:szCs w:val="16"/>
              </w:rPr>
            </w:pPr>
          </w:p>
        </w:tc>
        <w:tc>
          <w:tcPr>
            <w:tcW w:w="1761" w:type="dxa"/>
            <w:tcBorders>
              <w:top w:val="nil"/>
              <w:left w:val="nil"/>
              <w:bottom w:val="single" w:sz="8" w:space="0" w:color="auto"/>
              <w:right w:val="single" w:sz="4" w:space="0" w:color="auto"/>
            </w:tcBorders>
            <w:shd w:val="clear" w:color="auto" w:fill="auto"/>
            <w:vAlign w:val="center"/>
          </w:tcPr>
          <w:p w:rsidR="00B9760F" w:rsidRPr="002B53E2" w:rsidP="00B9760F" w14:paraId="0AD75D8E" w14:textId="77777777">
            <w:pPr>
              <w:jc w:val="center"/>
              <w:rPr>
                <w:rFonts w:ascii="Calibri" w:hAnsi="Calibri" w:cs="Calibri"/>
                <w:b/>
                <w:bCs/>
                <w:color w:val="000000"/>
                <w:sz w:val="16"/>
                <w:szCs w:val="16"/>
              </w:rPr>
            </w:pPr>
          </w:p>
        </w:tc>
      </w:tr>
      <w:tr w14:paraId="339C650C" w14:textId="77777777" w:rsidTr="006B4DBE">
        <w:tblPrEx>
          <w:tblW w:w="9980" w:type="dxa"/>
          <w:tblLook w:val="04A0"/>
        </w:tblPrEx>
        <w:trPr>
          <w:trHeight w:val="315"/>
        </w:trPr>
        <w:tc>
          <w:tcPr>
            <w:tcW w:w="3860" w:type="dxa"/>
            <w:tcBorders>
              <w:top w:val="nil"/>
              <w:left w:val="single" w:sz="8" w:space="0" w:color="auto"/>
              <w:bottom w:val="single" w:sz="8" w:space="0" w:color="auto"/>
              <w:right w:val="single" w:sz="4" w:space="0" w:color="auto"/>
            </w:tcBorders>
            <w:shd w:val="clear" w:color="auto" w:fill="auto"/>
            <w:vAlign w:val="center"/>
          </w:tcPr>
          <w:p w:rsidR="00355747" w:rsidP="002B7F8E" w14:paraId="10D2C032" w14:textId="2C2EE34A">
            <w:pPr>
              <w:rPr>
                <w:rFonts w:ascii="Calibri" w:hAnsi="Calibri" w:cs="Calibri"/>
                <w:b/>
                <w:bCs/>
                <w:color w:val="000000"/>
                <w:sz w:val="16"/>
                <w:szCs w:val="16"/>
              </w:rPr>
            </w:pPr>
            <w:r>
              <w:rPr>
                <w:rFonts w:ascii="Calibri" w:hAnsi="Calibri" w:cs="Calibri"/>
                <w:b/>
                <w:bCs/>
                <w:color w:val="000000"/>
                <w:sz w:val="16"/>
                <w:szCs w:val="16"/>
              </w:rPr>
              <w:t xml:space="preserve">    EM video processing fees for monitoring area trips</w:t>
            </w:r>
          </w:p>
        </w:tc>
        <w:tc>
          <w:tcPr>
            <w:tcW w:w="1260" w:type="dxa"/>
            <w:tcBorders>
              <w:top w:val="single" w:sz="8" w:space="0" w:color="auto"/>
              <w:left w:val="nil"/>
              <w:bottom w:val="single" w:sz="8" w:space="0" w:color="auto"/>
              <w:right w:val="single" w:sz="4" w:space="0" w:color="auto"/>
            </w:tcBorders>
            <w:shd w:val="clear" w:color="auto" w:fill="auto"/>
            <w:vAlign w:val="center"/>
          </w:tcPr>
          <w:p w:rsidR="00355747" w:rsidP="002B7F8E" w14:paraId="0023EBE0" w14:textId="2A1EAA2F">
            <w:pPr>
              <w:jc w:val="center"/>
              <w:rPr>
                <w:rFonts w:ascii="Calibri" w:hAnsi="Calibri" w:cs="Calibri"/>
                <w:color w:val="000000"/>
                <w:sz w:val="16"/>
                <w:szCs w:val="16"/>
              </w:rPr>
            </w:pPr>
            <w:r>
              <w:rPr>
                <w:rFonts w:ascii="Calibri" w:hAnsi="Calibri" w:cs="Calibri"/>
                <w:color w:val="000000"/>
                <w:sz w:val="16"/>
                <w:szCs w:val="16"/>
              </w:rPr>
              <w:t>20</w:t>
            </w:r>
          </w:p>
        </w:tc>
        <w:tc>
          <w:tcPr>
            <w:tcW w:w="1166" w:type="dxa"/>
            <w:tcBorders>
              <w:top w:val="single" w:sz="8" w:space="0" w:color="auto"/>
              <w:left w:val="nil"/>
              <w:bottom w:val="single" w:sz="8" w:space="0" w:color="auto"/>
              <w:right w:val="single" w:sz="4" w:space="0" w:color="auto"/>
            </w:tcBorders>
            <w:shd w:val="clear" w:color="auto" w:fill="auto"/>
            <w:vAlign w:val="center"/>
          </w:tcPr>
          <w:p w:rsidR="00355747" w:rsidP="002B7F8E" w14:paraId="7D1C9C34" w14:textId="7573A14A">
            <w:pPr>
              <w:jc w:val="center"/>
              <w:rPr>
                <w:rFonts w:ascii="Calibri" w:hAnsi="Calibri" w:cs="Calibri"/>
                <w:color w:val="000000"/>
                <w:sz w:val="16"/>
                <w:szCs w:val="16"/>
              </w:rPr>
            </w:pPr>
            <w:r>
              <w:rPr>
                <w:rFonts w:ascii="Calibri" w:hAnsi="Calibri" w:cs="Calibri"/>
                <w:color w:val="000000"/>
                <w:sz w:val="16"/>
                <w:szCs w:val="16"/>
              </w:rPr>
              <w:t>3</w:t>
            </w:r>
          </w:p>
        </w:tc>
        <w:tc>
          <w:tcPr>
            <w:tcW w:w="917" w:type="dxa"/>
            <w:tcBorders>
              <w:top w:val="single" w:sz="8" w:space="0" w:color="auto"/>
              <w:left w:val="nil"/>
              <w:bottom w:val="single" w:sz="8" w:space="0" w:color="auto"/>
              <w:right w:val="single" w:sz="4" w:space="0" w:color="auto"/>
            </w:tcBorders>
            <w:shd w:val="clear" w:color="auto" w:fill="auto"/>
            <w:vAlign w:val="center"/>
          </w:tcPr>
          <w:p w:rsidR="00355747" w:rsidP="002B7F8E" w14:paraId="4DA1810F" w14:textId="3BD256E0">
            <w:pPr>
              <w:jc w:val="center"/>
              <w:rPr>
                <w:rFonts w:ascii="Calibri" w:hAnsi="Calibri" w:cs="Calibri"/>
                <w:color w:val="000000"/>
                <w:sz w:val="16"/>
                <w:szCs w:val="16"/>
              </w:rPr>
            </w:pPr>
            <w:r>
              <w:rPr>
                <w:rFonts w:ascii="Calibri" w:hAnsi="Calibri" w:cs="Calibri"/>
                <w:color w:val="000000"/>
                <w:sz w:val="16"/>
                <w:szCs w:val="16"/>
              </w:rPr>
              <w:t>60</w:t>
            </w:r>
          </w:p>
        </w:tc>
        <w:tc>
          <w:tcPr>
            <w:tcW w:w="1016" w:type="dxa"/>
            <w:tcBorders>
              <w:top w:val="single" w:sz="8" w:space="0" w:color="auto"/>
              <w:left w:val="nil"/>
              <w:bottom w:val="single" w:sz="8" w:space="0" w:color="auto"/>
              <w:right w:val="single" w:sz="4" w:space="0" w:color="auto"/>
            </w:tcBorders>
            <w:shd w:val="clear" w:color="auto" w:fill="auto"/>
            <w:vAlign w:val="center"/>
          </w:tcPr>
          <w:p w:rsidR="00355747" w:rsidP="002B7F8E" w14:paraId="47E10294" w14:textId="02B6A496">
            <w:pPr>
              <w:jc w:val="center"/>
              <w:rPr>
                <w:rFonts w:ascii="Calibri" w:hAnsi="Calibri" w:cs="Calibri"/>
                <w:color w:val="000000"/>
                <w:sz w:val="16"/>
                <w:szCs w:val="16"/>
              </w:rPr>
            </w:pPr>
            <w:r>
              <w:rPr>
                <w:rFonts w:ascii="Calibri" w:hAnsi="Calibri" w:cs="Calibri"/>
                <w:color w:val="000000"/>
                <w:sz w:val="16"/>
                <w:szCs w:val="16"/>
              </w:rPr>
              <w:t>$1,680.00</w:t>
            </w:r>
          </w:p>
        </w:tc>
        <w:tc>
          <w:tcPr>
            <w:tcW w:w="1761" w:type="dxa"/>
            <w:tcBorders>
              <w:top w:val="nil"/>
              <w:left w:val="nil"/>
              <w:bottom w:val="single" w:sz="8" w:space="0" w:color="auto"/>
              <w:right w:val="single" w:sz="4" w:space="0" w:color="auto"/>
            </w:tcBorders>
            <w:shd w:val="clear" w:color="auto" w:fill="auto"/>
            <w:vAlign w:val="center"/>
          </w:tcPr>
          <w:p w:rsidR="00355747" w:rsidP="002B7F8E" w14:paraId="1E2CB159" w14:textId="3F60F471">
            <w:pPr>
              <w:jc w:val="center"/>
              <w:rPr>
                <w:rFonts w:ascii="Calibri" w:hAnsi="Calibri" w:cs="Calibri"/>
                <w:color w:val="000000"/>
                <w:sz w:val="16"/>
                <w:szCs w:val="16"/>
              </w:rPr>
            </w:pPr>
            <w:r>
              <w:rPr>
                <w:rFonts w:ascii="Calibri" w:hAnsi="Calibri" w:cs="Calibri"/>
                <w:color w:val="000000"/>
                <w:sz w:val="16"/>
                <w:szCs w:val="16"/>
              </w:rPr>
              <w:t>$100,800.00</w:t>
            </w:r>
          </w:p>
        </w:tc>
      </w:tr>
      <w:tr w14:paraId="0E2E5554" w14:textId="77777777" w:rsidTr="006B4DBE">
        <w:tblPrEx>
          <w:tblW w:w="9980" w:type="dxa"/>
          <w:tblLook w:val="04A0"/>
        </w:tblPrEx>
        <w:trPr>
          <w:trHeight w:val="315"/>
        </w:trPr>
        <w:tc>
          <w:tcPr>
            <w:tcW w:w="3860" w:type="dxa"/>
            <w:tcBorders>
              <w:top w:val="nil"/>
              <w:left w:val="single" w:sz="8" w:space="0" w:color="auto"/>
              <w:bottom w:val="single" w:sz="8" w:space="0" w:color="auto"/>
              <w:right w:val="single" w:sz="4" w:space="0" w:color="auto"/>
            </w:tcBorders>
            <w:shd w:val="clear" w:color="auto" w:fill="auto"/>
            <w:vAlign w:val="center"/>
            <w:hideMark/>
          </w:tcPr>
          <w:p w:rsidR="002B7F8E" w:rsidRPr="002B53E2" w:rsidP="002B7F8E" w14:paraId="5B472865" w14:textId="0D2E58A5">
            <w:pPr>
              <w:rPr>
                <w:rFonts w:ascii="Calibri" w:hAnsi="Calibri" w:cs="Calibri"/>
                <w:b/>
                <w:bCs/>
                <w:color w:val="000000"/>
                <w:sz w:val="16"/>
                <w:szCs w:val="16"/>
              </w:rPr>
            </w:pPr>
            <w:r>
              <w:rPr>
                <w:rFonts w:ascii="Calibri" w:hAnsi="Calibri" w:cs="Calibri"/>
                <w:b/>
                <w:bCs/>
                <w:color w:val="000000"/>
                <w:sz w:val="16"/>
                <w:szCs w:val="16"/>
              </w:rPr>
              <w:t xml:space="preserve">    </w:t>
            </w:r>
            <w:r w:rsidRPr="002B53E2">
              <w:rPr>
                <w:rFonts w:ascii="Calibri" w:hAnsi="Calibri" w:cs="Calibri"/>
                <w:b/>
                <w:bCs/>
                <w:color w:val="000000"/>
                <w:sz w:val="16"/>
                <w:szCs w:val="16"/>
              </w:rPr>
              <w:t>VMS Monitoring Area Catch Reports</w:t>
            </w:r>
          </w:p>
        </w:tc>
        <w:tc>
          <w:tcPr>
            <w:tcW w:w="1260" w:type="dxa"/>
            <w:tcBorders>
              <w:top w:val="single" w:sz="8" w:space="0" w:color="auto"/>
              <w:left w:val="nil"/>
              <w:bottom w:val="single" w:sz="8" w:space="0" w:color="auto"/>
              <w:right w:val="single" w:sz="4" w:space="0" w:color="auto"/>
            </w:tcBorders>
            <w:shd w:val="clear" w:color="auto" w:fill="auto"/>
            <w:vAlign w:val="center"/>
            <w:hideMark/>
          </w:tcPr>
          <w:p w:rsidR="002B7F8E" w:rsidRPr="002B53E2" w:rsidP="002B7F8E" w14:paraId="53E58833" w14:textId="420FCFC0">
            <w:pPr>
              <w:jc w:val="center"/>
              <w:rPr>
                <w:rFonts w:ascii="Calibri" w:hAnsi="Calibri" w:cs="Calibri"/>
                <w:b/>
                <w:bCs/>
                <w:color w:val="000000"/>
                <w:sz w:val="16"/>
                <w:szCs w:val="16"/>
              </w:rPr>
            </w:pPr>
            <w:r>
              <w:rPr>
                <w:rFonts w:ascii="Calibri" w:hAnsi="Calibri" w:cs="Calibri"/>
                <w:color w:val="000000"/>
                <w:sz w:val="16"/>
                <w:szCs w:val="16"/>
              </w:rPr>
              <w:t>20</w:t>
            </w:r>
          </w:p>
        </w:tc>
        <w:tc>
          <w:tcPr>
            <w:tcW w:w="1166" w:type="dxa"/>
            <w:tcBorders>
              <w:top w:val="single" w:sz="8" w:space="0" w:color="auto"/>
              <w:left w:val="nil"/>
              <w:bottom w:val="single" w:sz="8" w:space="0" w:color="auto"/>
              <w:right w:val="single" w:sz="4" w:space="0" w:color="auto"/>
            </w:tcBorders>
            <w:shd w:val="clear" w:color="auto" w:fill="auto"/>
            <w:vAlign w:val="center"/>
            <w:hideMark/>
          </w:tcPr>
          <w:p w:rsidR="002B7F8E" w:rsidRPr="002B53E2" w:rsidP="002B7F8E" w14:paraId="27A700BE" w14:textId="7B1F8BB5">
            <w:pPr>
              <w:jc w:val="center"/>
              <w:rPr>
                <w:rFonts w:ascii="Calibri" w:hAnsi="Calibri" w:cs="Calibri"/>
                <w:b/>
                <w:bCs/>
                <w:color w:val="000000"/>
                <w:sz w:val="16"/>
                <w:szCs w:val="16"/>
              </w:rPr>
            </w:pPr>
            <w:r>
              <w:rPr>
                <w:rFonts w:ascii="Calibri" w:hAnsi="Calibri" w:cs="Calibri"/>
                <w:color w:val="000000"/>
                <w:sz w:val="16"/>
                <w:szCs w:val="16"/>
              </w:rPr>
              <w:t>31.5</w:t>
            </w:r>
          </w:p>
        </w:tc>
        <w:tc>
          <w:tcPr>
            <w:tcW w:w="917" w:type="dxa"/>
            <w:tcBorders>
              <w:top w:val="single" w:sz="8" w:space="0" w:color="auto"/>
              <w:left w:val="nil"/>
              <w:bottom w:val="single" w:sz="8" w:space="0" w:color="auto"/>
              <w:right w:val="single" w:sz="4" w:space="0" w:color="auto"/>
            </w:tcBorders>
            <w:shd w:val="clear" w:color="auto" w:fill="auto"/>
            <w:vAlign w:val="center"/>
            <w:hideMark/>
          </w:tcPr>
          <w:p w:rsidR="002B7F8E" w:rsidRPr="002B53E2" w:rsidP="002B7F8E" w14:paraId="4CD4484C" w14:textId="690F4C14">
            <w:pPr>
              <w:jc w:val="center"/>
              <w:rPr>
                <w:rFonts w:ascii="Calibri" w:hAnsi="Calibri" w:cs="Calibri"/>
                <w:b/>
                <w:bCs/>
                <w:color w:val="000000"/>
                <w:sz w:val="16"/>
                <w:szCs w:val="16"/>
              </w:rPr>
            </w:pPr>
            <w:r>
              <w:rPr>
                <w:rFonts w:ascii="Calibri" w:hAnsi="Calibri" w:cs="Calibri"/>
                <w:color w:val="000000"/>
                <w:sz w:val="16"/>
                <w:szCs w:val="16"/>
              </w:rPr>
              <w:t>630</w:t>
            </w:r>
          </w:p>
        </w:tc>
        <w:tc>
          <w:tcPr>
            <w:tcW w:w="1016" w:type="dxa"/>
            <w:tcBorders>
              <w:top w:val="single" w:sz="8" w:space="0" w:color="auto"/>
              <w:left w:val="nil"/>
              <w:bottom w:val="single" w:sz="8" w:space="0" w:color="auto"/>
              <w:right w:val="single" w:sz="4" w:space="0" w:color="auto"/>
            </w:tcBorders>
            <w:shd w:val="clear" w:color="auto" w:fill="auto"/>
            <w:vAlign w:val="center"/>
            <w:hideMark/>
          </w:tcPr>
          <w:p w:rsidR="002B7F8E" w:rsidRPr="002B53E2" w:rsidP="002B7F8E" w14:paraId="06E66C32" w14:textId="4F9D52D8">
            <w:pPr>
              <w:jc w:val="center"/>
              <w:rPr>
                <w:rFonts w:ascii="Calibri" w:hAnsi="Calibri" w:cs="Calibri"/>
                <w:b/>
                <w:bCs/>
                <w:color w:val="000000"/>
                <w:sz w:val="16"/>
                <w:szCs w:val="16"/>
              </w:rPr>
            </w:pPr>
            <w:r>
              <w:rPr>
                <w:rFonts w:ascii="Calibri" w:hAnsi="Calibri" w:cs="Calibri"/>
                <w:color w:val="000000"/>
                <w:sz w:val="16"/>
                <w:szCs w:val="16"/>
              </w:rPr>
              <w:t xml:space="preserve">$0.00 </w:t>
            </w:r>
          </w:p>
        </w:tc>
        <w:tc>
          <w:tcPr>
            <w:tcW w:w="1761" w:type="dxa"/>
            <w:tcBorders>
              <w:top w:val="nil"/>
              <w:left w:val="nil"/>
              <w:bottom w:val="single" w:sz="8" w:space="0" w:color="auto"/>
              <w:right w:val="single" w:sz="4" w:space="0" w:color="auto"/>
            </w:tcBorders>
            <w:shd w:val="clear" w:color="auto" w:fill="auto"/>
            <w:vAlign w:val="center"/>
            <w:hideMark/>
          </w:tcPr>
          <w:p w:rsidR="002B7F8E" w:rsidRPr="002B53E2" w:rsidP="002B7F8E" w14:paraId="50D172CF" w14:textId="6180114B">
            <w:pPr>
              <w:jc w:val="center"/>
              <w:rPr>
                <w:rFonts w:ascii="Calibri" w:hAnsi="Calibri" w:cs="Calibri"/>
                <w:b/>
                <w:bCs/>
                <w:color w:val="000000"/>
                <w:sz w:val="16"/>
                <w:szCs w:val="16"/>
              </w:rPr>
            </w:pPr>
            <w:r>
              <w:rPr>
                <w:rFonts w:ascii="Calibri" w:hAnsi="Calibri" w:cs="Calibri"/>
                <w:color w:val="000000"/>
                <w:sz w:val="16"/>
                <w:szCs w:val="16"/>
              </w:rPr>
              <w:t xml:space="preserve">$0.00 </w:t>
            </w:r>
          </w:p>
        </w:tc>
      </w:tr>
      <w:tr w14:paraId="0151089F" w14:textId="77777777" w:rsidTr="006B4DBE">
        <w:tblPrEx>
          <w:tblW w:w="9980" w:type="dxa"/>
          <w:tblLook w:val="04A0"/>
        </w:tblPrEx>
        <w:trPr>
          <w:trHeight w:val="315"/>
        </w:trPr>
        <w:tc>
          <w:tcPr>
            <w:tcW w:w="3860" w:type="dxa"/>
            <w:tcBorders>
              <w:top w:val="nil"/>
              <w:left w:val="single" w:sz="8" w:space="0" w:color="auto"/>
              <w:bottom w:val="single" w:sz="8" w:space="0" w:color="auto"/>
              <w:right w:val="single" w:sz="4" w:space="0" w:color="auto"/>
            </w:tcBorders>
            <w:shd w:val="clear" w:color="auto" w:fill="auto"/>
            <w:vAlign w:val="center"/>
            <w:hideMark/>
          </w:tcPr>
          <w:p w:rsidR="002B7F8E" w:rsidRPr="002B53E2" w:rsidP="002B7F8E" w14:paraId="228C4119" w14:textId="77777777">
            <w:pPr>
              <w:rPr>
                <w:rFonts w:ascii="Calibri" w:hAnsi="Calibri" w:cs="Calibri"/>
                <w:b/>
                <w:bCs/>
                <w:color w:val="000000"/>
                <w:sz w:val="16"/>
                <w:szCs w:val="16"/>
              </w:rPr>
            </w:pPr>
            <w:r w:rsidRPr="002B53E2">
              <w:rPr>
                <w:rFonts w:ascii="Calibri" w:hAnsi="Calibri" w:cs="Calibri"/>
                <w:b/>
                <w:bCs/>
                <w:color w:val="000000"/>
                <w:sz w:val="16"/>
                <w:szCs w:val="16"/>
              </w:rPr>
              <w:t> </w:t>
            </w:r>
          </w:p>
        </w:tc>
        <w:tc>
          <w:tcPr>
            <w:tcW w:w="1260" w:type="dxa"/>
            <w:tcBorders>
              <w:top w:val="single" w:sz="8" w:space="0" w:color="auto"/>
              <w:left w:val="nil"/>
              <w:bottom w:val="single" w:sz="8" w:space="0" w:color="auto"/>
              <w:right w:val="single" w:sz="4" w:space="0" w:color="auto"/>
            </w:tcBorders>
            <w:shd w:val="clear" w:color="auto" w:fill="auto"/>
            <w:vAlign w:val="center"/>
            <w:hideMark/>
          </w:tcPr>
          <w:p w:rsidR="002B7F8E" w:rsidRPr="002B53E2" w:rsidP="002B7F8E" w14:paraId="79AA1DCA" w14:textId="09244882">
            <w:pPr>
              <w:jc w:val="center"/>
              <w:rPr>
                <w:rFonts w:ascii="Calibri" w:hAnsi="Calibri" w:cs="Calibri"/>
                <w:b/>
                <w:bCs/>
                <w:color w:val="000000"/>
                <w:sz w:val="16"/>
                <w:szCs w:val="16"/>
              </w:rPr>
            </w:pPr>
            <w:r>
              <w:rPr>
                <w:rFonts w:ascii="Calibri" w:hAnsi="Calibri" w:cs="Calibri"/>
                <w:color w:val="000000"/>
                <w:sz w:val="16"/>
                <w:szCs w:val="16"/>
              </w:rPr>
              <w:t> </w:t>
            </w:r>
          </w:p>
        </w:tc>
        <w:tc>
          <w:tcPr>
            <w:tcW w:w="1166" w:type="dxa"/>
            <w:tcBorders>
              <w:top w:val="single" w:sz="8" w:space="0" w:color="auto"/>
              <w:left w:val="nil"/>
              <w:bottom w:val="single" w:sz="8" w:space="0" w:color="auto"/>
              <w:right w:val="single" w:sz="4" w:space="0" w:color="auto"/>
            </w:tcBorders>
            <w:shd w:val="clear" w:color="auto" w:fill="auto"/>
            <w:vAlign w:val="center"/>
            <w:hideMark/>
          </w:tcPr>
          <w:p w:rsidR="002B7F8E" w:rsidRPr="002B53E2" w:rsidP="002B7F8E" w14:paraId="0E45DA0D" w14:textId="4FFE6A08">
            <w:pPr>
              <w:jc w:val="center"/>
              <w:rPr>
                <w:rFonts w:ascii="Calibri" w:hAnsi="Calibri" w:cs="Calibri"/>
                <w:b/>
                <w:bCs/>
                <w:color w:val="000000"/>
                <w:sz w:val="16"/>
                <w:szCs w:val="16"/>
              </w:rPr>
            </w:pPr>
            <w:r>
              <w:rPr>
                <w:rFonts w:ascii="Calibri" w:hAnsi="Calibri" w:cs="Calibri"/>
                <w:color w:val="000000"/>
                <w:sz w:val="16"/>
                <w:szCs w:val="16"/>
              </w:rPr>
              <w:t> </w:t>
            </w:r>
          </w:p>
        </w:tc>
        <w:tc>
          <w:tcPr>
            <w:tcW w:w="917" w:type="dxa"/>
            <w:tcBorders>
              <w:top w:val="single" w:sz="8" w:space="0" w:color="auto"/>
              <w:left w:val="nil"/>
              <w:bottom w:val="single" w:sz="8" w:space="0" w:color="auto"/>
              <w:right w:val="single" w:sz="4" w:space="0" w:color="auto"/>
            </w:tcBorders>
            <w:shd w:val="clear" w:color="auto" w:fill="auto"/>
            <w:vAlign w:val="center"/>
            <w:hideMark/>
          </w:tcPr>
          <w:p w:rsidR="002B7F8E" w:rsidRPr="002B53E2" w:rsidP="002B7F8E" w14:paraId="28CAEE61" w14:textId="6E36A7B2">
            <w:pPr>
              <w:jc w:val="center"/>
              <w:rPr>
                <w:rFonts w:ascii="Calibri" w:hAnsi="Calibri" w:cs="Calibri"/>
                <w:b/>
                <w:bCs/>
                <w:color w:val="000000"/>
                <w:sz w:val="16"/>
                <w:szCs w:val="16"/>
              </w:rPr>
            </w:pPr>
            <w:r>
              <w:rPr>
                <w:rFonts w:ascii="Calibri" w:hAnsi="Calibri" w:cs="Calibri"/>
                <w:color w:val="000000"/>
                <w:sz w:val="16"/>
                <w:szCs w:val="16"/>
              </w:rPr>
              <w:t> </w:t>
            </w:r>
          </w:p>
        </w:tc>
        <w:tc>
          <w:tcPr>
            <w:tcW w:w="1016" w:type="dxa"/>
            <w:tcBorders>
              <w:top w:val="single" w:sz="8" w:space="0" w:color="auto"/>
              <w:left w:val="nil"/>
              <w:bottom w:val="single" w:sz="8" w:space="0" w:color="auto"/>
              <w:right w:val="single" w:sz="4" w:space="0" w:color="auto"/>
            </w:tcBorders>
            <w:shd w:val="clear" w:color="auto" w:fill="auto"/>
            <w:vAlign w:val="center"/>
            <w:hideMark/>
          </w:tcPr>
          <w:p w:rsidR="002B7F8E" w:rsidRPr="002B53E2" w:rsidP="002B7F8E" w14:paraId="0C27C7EC" w14:textId="41CC3BFE">
            <w:pPr>
              <w:jc w:val="center"/>
              <w:rPr>
                <w:rFonts w:ascii="Calibri" w:hAnsi="Calibri" w:cs="Calibri"/>
                <w:b/>
                <w:bCs/>
                <w:color w:val="000000"/>
                <w:sz w:val="16"/>
                <w:szCs w:val="16"/>
              </w:rPr>
            </w:pPr>
            <w:r>
              <w:rPr>
                <w:rFonts w:ascii="Calibri" w:hAnsi="Calibri" w:cs="Calibri"/>
                <w:color w:val="000000"/>
                <w:sz w:val="16"/>
                <w:szCs w:val="16"/>
              </w:rPr>
              <w:t> </w:t>
            </w:r>
          </w:p>
        </w:tc>
        <w:tc>
          <w:tcPr>
            <w:tcW w:w="1761" w:type="dxa"/>
            <w:tcBorders>
              <w:top w:val="nil"/>
              <w:left w:val="nil"/>
              <w:bottom w:val="single" w:sz="8" w:space="0" w:color="auto"/>
              <w:right w:val="single" w:sz="4" w:space="0" w:color="auto"/>
            </w:tcBorders>
            <w:shd w:val="clear" w:color="auto" w:fill="auto"/>
            <w:vAlign w:val="center"/>
            <w:hideMark/>
          </w:tcPr>
          <w:p w:rsidR="002B7F8E" w:rsidRPr="002B53E2" w:rsidP="002B7F8E" w14:paraId="6D2D638D" w14:textId="53266181">
            <w:pPr>
              <w:jc w:val="center"/>
              <w:rPr>
                <w:rFonts w:ascii="Calibri" w:hAnsi="Calibri" w:cs="Calibri"/>
                <w:b/>
                <w:bCs/>
                <w:color w:val="000000"/>
                <w:sz w:val="16"/>
                <w:szCs w:val="16"/>
              </w:rPr>
            </w:pPr>
            <w:r>
              <w:rPr>
                <w:rFonts w:ascii="Calibri" w:hAnsi="Calibri" w:cs="Calibri"/>
                <w:color w:val="000000"/>
                <w:sz w:val="16"/>
                <w:szCs w:val="16"/>
              </w:rPr>
              <w:t> </w:t>
            </w:r>
          </w:p>
        </w:tc>
      </w:tr>
      <w:tr w14:paraId="0C0338C5" w14:textId="77777777" w:rsidTr="006B4DBE">
        <w:tblPrEx>
          <w:tblW w:w="9980" w:type="dxa"/>
          <w:tblLook w:val="04A0"/>
        </w:tblPrEx>
        <w:trPr>
          <w:trHeight w:val="315"/>
        </w:trPr>
        <w:tc>
          <w:tcPr>
            <w:tcW w:w="3860" w:type="dxa"/>
            <w:tcBorders>
              <w:top w:val="nil"/>
              <w:left w:val="single" w:sz="8" w:space="0" w:color="auto"/>
              <w:bottom w:val="single" w:sz="8" w:space="0" w:color="auto"/>
              <w:right w:val="single" w:sz="4" w:space="0" w:color="auto"/>
            </w:tcBorders>
            <w:shd w:val="clear" w:color="auto" w:fill="auto"/>
            <w:vAlign w:val="center"/>
            <w:hideMark/>
          </w:tcPr>
          <w:p w:rsidR="002B7F8E" w:rsidRPr="002B53E2" w:rsidP="002B7F8E" w14:paraId="1CC45A8F" w14:textId="4F87285F">
            <w:pPr>
              <w:rPr>
                <w:rFonts w:ascii="Calibri" w:hAnsi="Calibri" w:cs="Calibri"/>
                <w:b/>
                <w:bCs/>
                <w:color w:val="000000"/>
                <w:sz w:val="16"/>
                <w:szCs w:val="16"/>
              </w:rPr>
            </w:pPr>
            <w:r w:rsidRPr="002B53E2">
              <w:rPr>
                <w:rFonts w:ascii="Calibri" w:hAnsi="Calibri" w:cs="Calibri"/>
                <w:b/>
                <w:bCs/>
                <w:color w:val="000000"/>
                <w:sz w:val="16"/>
                <w:szCs w:val="16"/>
              </w:rPr>
              <w:t>EM Service Provider Requirements</w:t>
            </w:r>
            <w:r w:rsidR="00A97174">
              <w:rPr>
                <w:rFonts w:ascii="Calibri" w:hAnsi="Calibri" w:cs="Calibri"/>
                <w:b/>
                <w:bCs/>
                <w:color w:val="000000"/>
                <w:sz w:val="16"/>
                <w:szCs w:val="16"/>
              </w:rPr>
              <w:t xml:space="preserve"> (EMSPR)</w:t>
            </w:r>
          </w:p>
        </w:tc>
        <w:tc>
          <w:tcPr>
            <w:tcW w:w="1260" w:type="dxa"/>
            <w:tcBorders>
              <w:top w:val="single" w:sz="8" w:space="0" w:color="auto"/>
              <w:left w:val="nil"/>
              <w:bottom w:val="single" w:sz="8" w:space="0" w:color="auto"/>
              <w:right w:val="single" w:sz="4" w:space="0" w:color="auto"/>
            </w:tcBorders>
            <w:shd w:val="clear" w:color="auto" w:fill="auto"/>
            <w:vAlign w:val="center"/>
            <w:hideMark/>
          </w:tcPr>
          <w:p w:rsidR="002B7F8E" w:rsidRPr="002B53E2" w:rsidP="002B7F8E" w14:paraId="33D2EC87" w14:textId="027770BA">
            <w:pPr>
              <w:jc w:val="center"/>
              <w:rPr>
                <w:rFonts w:ascii="Calibri" w:hAnsi="Calibri" w:cs="Calibri"/>
                <w:b/>
                <w:bCs/>
                <w:color w:val="000000"/>
                <w:sz w:val="16"/>
                <w:szCs w:val="16"/>
              </w:rPr>
            </w:pPr>
            <w:r>
              <w:rPr>
                <w:rFonts w:ascii="Calibri" w:hAnsi="Calibri" w:cs="Calibri"/>
                <w:color w:val="000000"/>
                <w:sz w:val="16"/>
                <w:szCs w:val="16"/>
              </w:rPr>
              <w:t> </w:t>
            </w:r>
          </w:p>
        </w:tc>
        <w:tc>
          <w:tcPr>
            <w:tcW w:w="1166" w:type="dxa"/>
            <w:tcBorders>
              <w:top w:val="single" w:sz="8" w:space="0" w:color="auto"/>
              <w:left w:val="nil"/>
              <w:bottom w:val="single" w:sz="8" w:space="0" w:color="auto"/>
              <w:right w:val="single" w:sz="4" w:space="0" w:color="auto"/>
            </w:tcBorders>
            <w:shd w:val="clear" w:color="auto" w:fill="auto"/>
            <w:vAlign w:val="center"/>
            <w:hideMark/>
          </w:tcPr>
          <w:p w:rsidR="002B7F8E" w:rsidRPr="002B53E2" w:rsidP="002B7F8E" w14:paraId="3DC8CE73" w14:textId="3B2C4166">
            <w:pPr>
              <w:jc w:val="center"/>
              <w:rPr>
                <w:rFonts w:ascii="Calibri" w:hAnsi="Calibri" w:cs="Calibri"/>
                <w:b/>
                <w:bCs/>
                <w:color w:val="000000"/>
                <w:sz w:val="16"/>
                <w:szCs w:val="16"/>
              </w:rPr>
            </w:pPr>
            <w:r>
              <w:rPr>
                <w:rFonts w:ascii="Calibri" w:hAnsi="Calibri" w:cs="Calibri"/>
                <w:color w:val="000000"/>
                <w:sz w:val="16"/>
                <w:szCs w:val="16"/>
              </w:rPr>
              <w:t> </w:t>
            </w:r>
          </w:p>
        </w:tc>
        <w:tc>
          <w:tcPr>
            <w:tcW w:w="917" w:type="dxa"/>
            <w:tcBorders>
              <w:top w:val="single" w:sz="8" w:space="0" w:color="auto"/>
              <w:left w:val="nil"/>
              <w:bottom w:val="single" w:sz="8" w:space="0" w:color="auto"/>
              <w:right w:val="single" w:sz="4" w:space="0" w:color="auto"/>
            </w:tcBorders>
            <w:shd w:val="clear" w:color="auto" w:fill="auto"/>
            <w:vAlign w:val="center"/>
            <w:hideMark/>
          </w:tcPr>
          <w:p w:rsidR="002B7F8E" w:rsidRPr="002B53E2" w:rsidP="002B7F8E" w14:paraId="5BA4D3FA" w14:textId="2BD5B7E1">
            <w:pPr>
              <w:jc w:val="center"/>
              <w:rPr>
                <w:rFonts w:ascii="Calibri" w:hAnsi="Calibri" w:cs="Calibri"/>
                <w:b/>
                <w:bCs/>
                <w:color w:val="000000"/>
                <w:sz w:val="16"/>
                <w:szCs w:val="16"/>
              </w:rPr>
            </w:pPr>
            <w:r>
              <w:rPr>
                <w:rFonts w:ascii="Calibri" w:hAnsi="Calibri" w:cs="Calibri"/>
                <w:color w:val="000000"/>
                <w:sz w:val="16"/>
                <w:szCs w:val="16"/>
              </w:rPr>
              <w:t> </w:t>
            </w:r>
          </w:p>
        </w:tc>
        <w:tc>
          <w:tcPr>
            <w:tcW w:w="1016" w:type="dxa"/>
            <w:tcBorders>
              <w:top w:val="single" w:sz="8" w:space="0" w:color="auto"/>
              <w:left w:val="nil"/>
              <w:bottom w:val="single" w:sz="8" w:space="0" w:color="auto"/>
              <w:right w:val="single" w:sz="4" w:space="0" w:color="auto"/>
            </w:tcBorders>
            <w:shd w:val="clear" w:color="auto" w:fill="auto"/>
            <w:vAlign w:val="center"/>
            <w:hideMark/>
          </w:tcPr>
          <w:p w:rsidR="002B7F8E" w:rsidRPr="002B53E2" w:rsidP="002B7F8E" w14:paraId="5D64F6D5" w14:textId="40FC0AB4">
            <w:pPr>
              <w:jc w:val="center"/>
              <w:rPr>
                <w:rFonts w:ascii="Calibri" w:hAnsi="Calibri" w:cs="Calibri"/>
                <w:b/>
                <w:bCs/>
                <w:color w:val="000000"/>
                <w:sz w:val="16"/>
                <w:szCs w:val="16"/>
              </w:rPr>
            </w:pPr>
            <w:r>
              <w:rPr>
                <w:rFonts w:ascii="Calibri" w:hAnsi="Calibri" w:cs="Calibri"/>
                <w:color w:val="000000"/>
                <w:sz w:val="16"/>
                <w:szCs w:val="16"/>
              </w:rPr>
              <w:t> </w:t>
            </w:r>
          </w:p>
        </w:tc>
        <w:tc>
          <w:tcPr>
            <w:tcW w:w="1761" w:type="dxa"/>
            <w:tcBorders>
              <w:top w:val="nil"/>
              <w:left w:val="nil"/>
              <w:bottom w:val="single" w:sz="8" w:space="0" w:color="auto"/>
              <w:right w:val="single" w:sz="4" w:space="0" w:color="auto"/>
            </w:tcBorders>
            <w:shd w:val="clear" w:color="auto" w:fill="auto"/>
            <w:vAlign w:val="center"/>
            <w:hideMark/>
          </w:tcPr>
          <w:p w:rsidR="002B7F8E" w:rsidRPr="002B53E2" w:rsidP="002B7F8E" w14:paraId="055E417E" w14:textId="20337EAC">
            <w:pPr>
              <w:jc w:val="center"/>
              <w:rPr>
                <w:rFonts w:ascii="Calibri" w:hAnsi="Calibri" w:cs="Calibri"/>
                <w:b/>
                <w:bCs/>
                <w:color w:val="000000"/>
                <w:sz w:val="16"/>
                <w:szCs w:val="16"/>
              </w:rPr>
            </w:pPr>
            <w:r>
              <w:rPr>
                <w:rFonts w:ascii="Calibri" w:hAnsi="Calibri" w:cs="Calibri"/>
                <w:color w:val="000000"/>
                <w:sz w:val="16"/>
                <w:szCs w:val="16"/>
              </w:rPr>
              <w:t> </w:t>
            </w:r>
          </w:p>
        </w:tc>
      </w:tr>
      <w:tr w14:paraId="3508D0F8" w14:textId="77777777" w:rsidTr="006B4DBE">
        <w:tblPrEx>
          <w:tblW w:w="9980" w:type="dxa"/>
          <w:tblLook w:val="04A0"/>
        </w:tblPrEx>
        <w:trPr>
          <w:trHeight w:val="315"/>
        </w:trPr>
        <w:tc>
          <w:tcPr>
            <w:tcW w:w="3860" w:type="dxa"/>
            <w:tcBorders>
              <w:top w:val="nil"/>
              <w:left w:val="single" w:sz="8" w:space="0" w:color="auto"/>
              <w:bottom w:val="single" w:sz="8" w:space="0" w:color="auto"/>
              <w:right w:val="single" w:sz="4" w:space="0" w:color="auto"/>
            </w:tcBorders>
            <w:shd w:val="clear" w:color="auto" w:fill="auto"/>
            <w:vAlign w:val="center"/>
            <w:hideMark/>
          </w:tcPr>
          <w:p w:rsidR="002B7F8E" w:rsidRPr="002B53E2" w:rsidP="002B7F8E" w14:paraId="72A5A7AB" w14:textId="77777777">
            <w:pPr>
              <w:rPr>
                <w:rFonts w:ascii="Calibri" w:hAnsi="Calibri" w:cs="Calibri"/>
                <w:b/>
                <w:bCs/>
                <w:color w:val="000000"/>
                <w:sz w:val="16"/>
                <w:szCs w:val="16"/>
              </w:rPr>
            </w:pPr>
            <w:r w:rsidRPr="002B53E2">
              <w:rPr>
                <w:rFonts w:ascii="Calibri" w:hAnsi="Calibri" w:cs="Calibri"/>
                <w:b/>
                <w:bCs/>
                <w:color w:val="000000"/>
                <w:sz w:val="16"/>
                <w:szCs w:val="16"/>
              </w:rPr>
              <w:t xml:space="preserve">    Application</w:t>
            </w:r>
          </w:p>
        </w:tc>
        <w:tc>
          <w:tcPr>
            <w:tcW w:w="1260" w:type="dxa"/>
            <w:tcBorders>
              <w:top w:val="single" w:sz="8" w:space="0" w:color="auto"/>
              <w:left w:val="nil"/>
              <w:bottom w:val="single" w:sz="8" w:space="0" w:color="auto"/>
              <w:right w:val="single" w:sz="4" w:space="0" w:color="auto"/>
            </w:tcBorders>
            <w:shd w:val="clear" w:color="auto" w:fill="auto"/>
            <w:vAlign w:val="center"/>
            <w:hideMark/>
          </w:tcPr>
          <w:p w:rsidR="002B7F8E" w:rsidRPr="002B53E2" w:rsidP="002B7F8E" w14:paraId="581E3D9C" w14:textId="728F59CF">
            <w:pPr>
              <w:jc w:val="center"/>
              <w:rPr>
                <w:rFonts w:ascii="Calibri" w:hAnsi="Calibri" w:cs="Calibri"/>
                <w:b/>
                <w:bCs/>
                <w:color w:val="000000"/>
                <w:sz w:val="16"/>
                <w:szCs w:val="16"/>
              </w:rPr>
            </w:pPr>
            <w:r>
              <w:rPr>
                <w:rFonts w:ascii="Calibri" w:hAnsi="Calibri" w:cs="Calibri"/>
                <w:color w:val="000000"/>
                <w:sz w:val="16"/>
                <w:szCs w:val="16"/>
              </w:rPr>
              <w:t>4</w:t>
            </w:r>
          </w:p>
        </w:tc>
        <w:tc>
          <w:tcPr>
            <w:tcW w:w="1166" w:type="dxa"/>
            <w:tcBorders>
              <w:top w:val="single" w:sz="8" w:space="0" w:color="auto"/>
              <w:left w:val="nil"/>
              <w:bottom w:val="single" w:sz="8" w:space="0" w:color="auto"/>
              <w:right w:val="single" w:sz="4" w:space="0" w:color="auto"/>
            </w:tcBorders>
            <w:shd w:val="clear" w:color="auto" w:fill="auto"/>
            <w:vAlign w:val="center"/>
            <w:hideMark/>
          </w:tcPr>
          <w:p w:rsidR="002B7F8E" w:rsidRPr="002B53E2" w:rsidP="002B7F8E" w14:paraId="1B2E787E" w14:textId="0075456D">
            <w:pPr>
              <w:jc w:val="center"/>
              <w:rPr>
                <w:rFonts w:ascii="Calibri" w:hAnsi="Calibri" w:cs="Calibri"/>
                <w:b/>
                <w:bCs/>
                <w:color w:val="000000"/>
                <w:sz w:val="16"/>
                <w:szCs w:val="16"/>
              </w:rPr>
            </w:pPr>
            <w:r>
              <w:rPr>
                <w:rFonts w:ascii="Calibri" w:hAnsi="Calibri" w:cs="Calibri"/>
                <w:color w:val="000000"/>
                <w:sz w:val="16"/>
                <w:szCs w:val="16"/>
              </w:rPr>
              <w:t>1</w:t>
            </w:r>
          </w:p>
        </w:tc>
        <w:tc>
          <w:tcPr>
            <w:tcW w:w="917" w:type="dxa"/>
            <w:tcBorders>
              <w:top w:val="single" w:sz="8" w:space="0" w:color="auto"/>
              <w:left w:val="nil"/>
              <w:bottom w:val="single" w:sz="8" w:space="0" w:color="auto"/>
              <w:right w:val="single" w:sz="4" w:space="0" w:color="auto"/>
            </w:tcBorders>
            <w:shd w:val="clear" w:color="auto" w:fill="auto"/>
            <w:vAlign w:val="center"/>
            <w:hideMark/>
          </w:tcPr>
          <w:p w:rsidR="002B7F8E" w:rsidRPr="002B53E2" w:rsidP="002B7F8E" w14:paraId="60D1460C" w14:textId="2DF51761">
            <w:pPr>
              <w:jc w:val="center"/>
              <w:rPr>
                <w:rFonts w:ascii="Calibri" w:hAnsi="Calibri" w:cs="Calibri"/>
                <w:b/>
                <w:bCs/>
                <w:color w:val="000000"/>
                <w:sz w:val="16"/>
                <w:szCs w:val="16"/>
              </w:rPr>
            </w:pPr>
            <w:r>
              <w:rPr>
                <w:rFonts w:ascii="Calibri" w:hAnsi="Calibri" w:cs="Calibri"/>
                <w:color w:val="000000"/>
                <w:sz w:val="16"/>
                <w:szCs w:val="16"/>
              </w:rPr>
              <w:t>4</w:t>
            </w:r>
          </w:p>
        </w:tc>
        <w:tc>
          <w:tcPr>
            <w:tcW w:w="1016" w:type="dxa"/>
            <w:tcBorders>
              <w:top w:val="single" w:sz="8" w:space="0" w:color="auto"/>
              <w:left w:val="nil"/>
              <w:bottom w:val="single" w:sz="8" w:space="0" w:color="auto"/>
              <w:right w:val="single" w:sz="4" w:space="0" w:color="auto"/>
            </w:tcBorders>
            <w:shd w:val="clear" w:color="auto" w:fill="auto"/>
            <w:vAlign w:val="center"/>
            <w:hideMark/>
          </w:tcPr>
          <w:p w:rsidR="002B7F8E" w:rsidRPr="002B53E2" w:rsidP="002B7F8E" w14:paraId="5779371D" w14:textId="24FC8AD2">
            <w:pPr>
              <w:jc w:val="center"/>
              <w:rPr>
                <w:rFonts w:ascii="Calibri" w:hAnsi="Calibri" w:cs="Calibri"/>
                <w:b/>
                <w:bCs/>
                <w:color w:val="000000"/>
                <w:sz w:val="16"/>
                <w:szCs w:val="16"/>
              </w:rPr>
            </w:pPr>
            <w:r>
              <w:rPr>
                <w:rFonts w:ascii="Calibri" w:hAnsi="Calibri" w:cs="Calibri"/>
                <w:color w:val="000000"/>
                <w:sz w:val="16"/>
                <w:szCs w:val="16"/>
              </w:rPr>
              <w:t xml:space="preserve">$11.50 </w:t>
            </w:r>
          </w:p>
        </w:tc>
        <w:tc>
          <w:tcPr>
            <w:tcW w:w="1761" w:type="dxa"/>
            <w:tcBorders>
              <w:top w:val="nil"/>
              <w:left w:val="nil"/>
              <w:bottom w:val="single" w:sz="8" w:space="0" w:color="auto"/>
              <w:right w:val="single" w:sz="4" w:space="0" w:color="auto"/>
            </w:tcBorders>
            <w:shd w:val="clear" w:color="auto" w:fill="auto"/>
            <w:vAlign w:val="center"/>
            <w:hideMark/>
          </w:tcPr>
          <w:p w:rsidR="002B7F8E" w:rsidRPr="002B53E2" w:rsidP="002B7F8E" w14:paraId="60443DEF" w14:textId="285721AF">
            <w:pPr>
              <w:jc w:val="center"/>
              <w:rPr>
                <w:rFonts w:ascii="Calibri" w:hAnsi="Calibri" w:cs="Calibri"/>
                <w:b/>
                <w:bCs/>
                <w:color w:val="000000"/>
                <w:sz w:val="16"/>
                <w:szCs w:val="16"/>
              </w:rPr>
            </w:pPr>
            <w:r>
              <w:rPr>
                <w:rFonts w:ascii="Calibri" w:hAnsi="Calibri" w:cs="Calibri"/>
                <w:color w:val="000000"/>
                <w:sz w:val="16"/>
                <w:szCs w:val="16"/>
              </w:rPr>
              <w:t xml:space="preserve">$46.00 </w:t>
            </w:r>
          </w:p>
        </w:tc>
      </w:tr>
      <w:tr w14:paraId="241EBE9A" w14:textId="77777777" w:rsidTr="006B4DBE">
        <w:tblPrEx>
          <w:tblW w:w="9980" w:type="dxa"/>
          <w:tblLook w:val="04A0"/>
        </w:tblPrEx>
        <w:trPr>
          <w:trHeight w:val="315"/>
        </w:trPr>
        <w:tc>
          <w:tcPr>
            <w:tcW w:w="3860" w:type="dxa"/>
            <w:tcBorders>
              <w:top w:val="nil"/>
              <w:left w:val="single" w:sz="8" w:space="0" w:color="auto"/>
              <w:bottom w:val="single" w:sz="8" w:space="0" w:color="auto"/>
              <w:right w:val="single" w:sz="4" w:space="0" w:color="auto"/>
            </w:tcBorders>
            <w:shd w:val="clear" w:color="auto" w:fill="auto"/>
            <w:vAlign w:val="center"/>
            <w:hideMark/>
          </w:tcPr>
          <w:p w:rsidR="002B7F8E" w:rsidRPr="002B53E2" w:rsidP="002B7F8E" w14:paraId="7CD7EEE2" w14:textId="77777777">
            <w:pPr>
              <w:rPr>
                <w:rFonts w:ascii="Calibri" w:hAnsi="Calibri" w:cs="Calibri"/>
                <w:b/>
                <w:bCs/>
                <w:color w:val="000000"/>
                <w:sz w:val="16"/>
                <w:szCs w:val="16"/>
              </w:rPr>
            </w:pPr>
            <w:r w:rsidRPr="002B53E2">
              <w:rPr>
                <w:rFonts w:ascii="Calibri" w:hAnsi="Calibri" w:cs="Calibri"/>
                <w:b/>
                <w:bCs/>
                <w:color w:val="000000"/>
                <w:sz w:val="16"/>
                <w:szCs w:val="16"/>
              </w:rPr>
              <w:t xml:space="preserve">          Copy of contracts</w:t>
            </w:r>
          </w:p>
        </w:tc>
        <w:tc>
          <w:tcPr>
            <w:tcW w:w="1260" w:type="dxa"/>
            <w:tcBorders>
              <w:top w:val="single" w:sz="8" w:space="0" w:color="auto"/>
              <w:left w:val="nil"/>
              <w:bottom w:val="single" w:sz="8" w:space="0" w:color="auto"/>
              <w:right w:val="single" w:sz="4" w:space="0" w:color="auto"/>
            </w:tcBorders>
            <w:shd w:val="clear" w:color="auto" w:fill="auto"/>
            <w:vAlign w:val="center"/>
            <w:hideMark/>
          </w:tcPr>
          <w:p w:rsidR="002B7F8E" w:rsidRPr="002B53E2" w:rsidP="002B7F8E" w14:paraId="02F44B3E" w14:textId="2E2F5613">
            <w:pPr>
              <w:jc w:val="center"/>
              <w:rPr>
                <w:rFonts w:ascii="Calibri" w:hAnsi="Calibri" w:cs="Calibri"/>
                <w:b/>
                <w:bCs/>
                <w:color w:val="000000"/>
                <w:sz w:val="16"/>
                <w:szCs w:val="16"/>
              </w:rPr>
            </w:pPr>
            <w:r>
              <w:rPr>
                <w:rFonts w:ascii="Calibri" w:hAnsi="Calibri" w:cs="Calibri"/>
                <w:color w:val="000000"/>
                <w:sz w:val="16"/>
                <w:szCs w:val="16"/>
              </w:rPr>
              <w:t>3</w:t>
            </w:r>
          </w:p>
        </w:tc>
        <w:tc>
          <w:tcPr>
            <w:tcW w:w="1166" w:type="dxa"/>
            <w:tcBorders>
              <w:top w:val="single" w:sz="8" w:space="0" w:color="auto"/>
              <w:left w:val="nil"/>
              <w:bottom w:val="single" w:sz="8" w:space="0" w:color="auto"/>
              <w:right w:val="single" w:sz="4" w:space="0" w:color="auto"/>
            </w:tcBorders>
            <w:shd w:val="clear" w:color="auto" w:fill="auto"/>
            <w:vAlign w:val="center"/>
            <w:hideMark/>
          </w:tcPr>
          <w:p w:rsidR="002B7F8E" w:rsidRPr="002B53E2" w:rsidP="002B7F8E" w14:paraId="70F735CE" w14:textId="6905E3A0">
            <w:pPr>
              <w:jc w:val="center"/>
              <w:rPr>
                <w:rFonts w:ascii="Calibri" w:hAnsi="Calibri" w:cs="Calibri"/>
                <w:b/>
                <w:bCs/>
                <w:color w:val="000000"/>
                <w:sz w:val="16"/>
                <w:szCs w:val="16"/>
              </w:rPr>
            </w:pPr>
            <w:r>
              <w:rPr>
                <w:rFonts w:ascii="Calibri" w:hAnsi="Calibri" w:cs="Calibri"/>
                <w:color w:val="000000"/>
                <w:sz w:val="16"/>
                <w:szCs w:val="16"/>
              </w:rPr>
              <w:t>7</w:t>
            </w:r>
          </w:p>
        </w:tc>
        <w:tc>
          <w:tcPr>
            <w:tcW w:w="917" w:type="dxa"/>
            <w:tcBorders>
              <w:top w:val="single" w:sz="8" w:space="0" w:color="auto"/>
              <w:left w:val="nil"/>
              <w:bottom w:val="single" w:sz="8" w:space="0" w:color="auto"/>
              <w:right w:val="single" w:sz="4" w:space="0" w:color="auto"/>
            </w:tcBorders>
            <w:shd w:val="clear" w:color="auto" w:fill="auto"/>
            <w:vAlign w:val="center"/>
            <w:hideMark/>
          </w:tcPr>
          <w:p w:rsidR="002B7F8E" w:rsidRPr="002B53E2" w:rsidP="002B7F8E" w14:paraId="56D80717" w14:textId="21FA7154">
            <w:pPr>
              <w:jc w:val="center"/>
              <w:rPr>
                <w:rFonts w:ascii="Calibri" w:hAnsi="Calibri" w:cs="Calibri"/>
                <w:b/>
                <w:bCs/>
                <w:color w:val="000000"/>
                <w:sz w:val="16"/>
                <w:szCs w:val="16"/>
              </w:rPr>
            </w:pPr>
            <w:r>
              <w:rPr>
                <w:rFonts w:ascii="Calibri" w:hAnsi="Calibri" w:cs="Calibri"/>
                <w:color w:val="000000"/>
                <w:sz w:val="16"/>
                <w:szCs w:val="16"/>
              </w:rPr>
              <w:t>21</w:t>
            </w:r>
          </w:p>
        </w:tc>
        <w:tc>
          <w:tcPr>
            <w:tcW w:w="1016" w:type="dxa"/>
            <w:tcBorders>
              <w:top w:val="single" w:sz="8" w:space="0" w:color="auto"/>
              <w:left w:val="nil"/>
              <w:bottom w:val="single" w:sz="8" w:space="0" w:color="auto"/>
              <w:right w:val="single" w:sz="4" w:space="0" w:color="auto"/>
            </w:tcBorders>
            <w:shd w:val="clear" w:color="auto" w:fill="auto"/>
            <w:vAlign w:val="center"/>
            <w:hideMark/>
          </w:tcPr>
          <w:p w:rsidR="002B7F8E" w:rsidRPr="002B53E2" w:rsidP="002B7F8E" w14:paraId="3894D373" w14:textId="1FDA7531">
            <w:pPr>
              <w:jc w:val="center"/>
              <w:rPr>
                <w:rFonts w:ascii="Calibri" w:hAnsi="Calibri" w:cs="Calibri"/>
                <w:b/>
                <w:bCs/>
                <w:color w:val="000000"/>
                <w:sz w:val="16"/>
                <w:szCs w:val="16"/>
              </w:rPr>
            </w:pPr>
            <w:r>
              <w:rPr>
                <w:rFonts w:ascii="Calibri" w:hAnsi="Calibri" w:cs="Calibri"/>
                <w:color w:val="000000"/>
                <w:sz w:val="16"/>
                <w:szCs w:val="16"/>
              </w:rPr>
              <w:t xml:space="preserve">$1.55 </w:t>
            </w:r>
          </w:p>
        </w:tc>
        <w:tc>
          <w:tcPr>
            <w:tcW w:w="1761" w:type="dxa"/>
            <w:tcBorders>
              <w:top w:val="nil"/>
              <w:left w:val="nil"/>
              <w:bottom w:val="single" w:sz="8" w:space="0" w:color="auto"/>
              <w:right w:val="single" w:sz="4" w:space="0" w:color="auto"/>
            </w:tcBorders>
            <w:shd w:val="clear" w:color="auto" w:fill="auto"/>
            <w:vAlign w:val="center"/>
            <w:hideMark/>
          </w:tcPr>
          <w:p w:rsidR="002B7F8E" w:rsidRPr="002B53E2" w:rsidP="002B7F8E" w14:paraId="4080B14D" w14:textId="1ACE8BD4">
            <w:pPr>
              <w:jc w:val="center"/>
              <w:rPr>
                <w:rFonts w:ascii="Calibri" w:hAnsi="Calibri" w:cs="Calibri"/>
                <w:b/>
                <w:bCs/>
                <w:color w:val="000000"/>
                <w:sz w:val="16"/>
                <w:szCs w:val="16"/>
              </w:rPr>
            </w:pPr>
            <w:r>
              <w:rPr>
                <w:rFonts w:ascii="Calibri" w:hAnsi="Calibri" w:cs="Calibri"/>
                <w:color w:val="000000"/>
                <w:sz w:val="16"/>
                <w:szCs w:val="16"/>
              </w:rPr>
              <w:t xml:space="preserve">$32.55 </w:t>
            </w:r>
          </w:p>
        </w:tc>
      </w:tr>
      <w:tr w14:paraId="74492851" w14:textId="77777777" w:rsidTr="006B4DBE">
        <w:tblPrEx>
          <w:tblW w:w="9980" w:type="dxa"/>
          <w:tblLook w:val="04A0"/>
        </w:tblPrEx>
        <w:trPr>
          <w:trHeight w:val="315"/>
        </w:trPr>
        <w:tc>
          <w:tcPr>
            <w:tcW w:w="3860" w:type="dxa"/>
            <w:tcBorders>
              <w:top w:val="nil"/>
              <w:left w:val="single" w:sz="8" w:space="0" w:color="auto"/>
              <w:bottom w:val="single" w:sz="8" w:space="0" w:color="auto"/>
              <w:right w:val="single" w:sz="4" w:space="0" w:color="auto"/>
            </w:tcBorders>
            <w:shd w:val="clear" w:color="auto" w:fill="auto"/>
            <w:vAlign w:val="center"/>
            <w:hideMark/>
          </w:tcPr>
          <w:p w:rsidR="002B7F8E" w:rsidRPr="002B53E2" w:rsidP="002B7F8E" w14:paraId="4A82D570" w14:textId="77777777">
            <w:pPr>
              <w:rPr>
                <w:rFonts w:ascii="Calibri" w:hAnsi="Calibri" w:cs="Calibri"/>
                <w:b/>
                <w:bCs/>
                <w:color w:val="000000"/>
                <w:sz w:val="16"/>
                <w:szCs w:val="16"/>
              </w:rPr>
            </w:pPr>
            <w:r w:rsidRPr="002B53E2">
              <w:rPr>
                <w:rFonts w:ascii="Calibri" w:hAnsi="Calibri" w:cs="Calibri"/>
                <w:b/>
                <w:bCs/>
                <w:color w:val="000000"/>
                <w:sz w:val="16"/>
                <w:szCs w:val="16"/>
              </w:rPr>
              <w:t xml:space="preserve">          Copies of additional documents</w:t>
            </w:r>
          </w:p>
        </w:tc>
        <w:tc>
          <w:tcPr>
            <w:tcW w:w="1260" w:type="dxa"/>
            <w:tcBorders>
              <w:top w:val="single" w:sz="8" w:space="0" w:color="auto"/>
              <w:left w:val="nil"/>
              <w:bottom w:val="single" w:sz="8" w:space="0" w:color="auto"/>
              <w:right w:val="single" w:sz="4" w:space="0" w:color="auto"/>
            </w:tcBorders>
            <w:shd w:val="clear" w:color="auto" w:fill="auto"/>
            <w:vAlign w:val="center"/>
            <w:hideMark/>
          </w:tcPr>
          <w:p w:rsidR="002B7F8E" w:rsidRPr="002B53E2" w:rsidP="002B7F8E" w14:paraId="18430C12" w14:textId="00D7123F">
            <w:pPr>
              <w:jc w:val="center"/>
              <w:rPr>
                <w:rFonts w:ascii="Calibri" w:hAnsi="Calibri" w:cs="Calibri"/>
                <w:b/>
                <w:bCs/>
                <w:color w:val="000000"/>
                <w:sz w:val="16"/>
                <w:szCs w:val="16"/>
              </w:rPr>
            </w:pPr>
            <w:r>
              <w:rPr>
                <w:rFonts w:ascii="Calibri" w:hAnsi="Calibri" w:cs="Calibri"/>
                <w:color w:val="000000"/>
                <w:sz w:val="16"/>
                <w:szCs w:val="16"/>
              </w:rPr>
              <w:t>3</w:t>
            </w:r>
          </w:p>
        </w:tc>
        <w:tc>
          <w:tcPr>
            <w:tcW w:w="1166" w:type="dxa"/>
            <w:tcBorders>
              <w:top w:val="single" w:sz="8" w:space="0" w:color="auto"/>
              <w:left w:val="nil"/>
              <w:bottom w:val="single" w:sz="8" w:space="0" w:color="auto"/>
              <w:right w:val="single" w:sz="4" w:space="0" w:color="auto"/>
            </w:tcBorders>
            <w:shd w:val="clear" w:color="auto" w:fill="auto"/>
            <w:vAlign w:val="center"/>
            <w:hideMark/>
          </w:tcPr>
          <w:p w:rsidR="002B7F8E" w:rsidRPr="002B53E2" w:rsidP="002B7F8E" w14:paraId="5F32D4F8" w14:textId="55E3A046">
            <w:pPr>
              <w:jc w:val="center"/>
              <w:rPr>
                <w:rFonts w:ascii="Calibri" w:hAnsi="Calibri" w:cs="Calibri"/>
                <w:b/>
                <w:bCs/>
                <w:color w:val="000000"/>
                <w:sz w:val="16"/>
                <w:szCs w:val="16"/>
              </w:rPr>
            </w:pPr>
            <w:r>
              <w:rPr>
                <w:rFonts w:ascii="Calibri" w:hAnsi="Calibri" w:cs="Calibri"/>
                <w:color w:val="000000"/>
                <w:sz w:val="16"/>
                <w:szCs w:val="16"/>
              </w:rPr>
              <w:t>3</w:t>
            </w:r>
          </w:p>
        </w:tc>
        <w:tc>
          <w:tcPr>
            <w:tcW w:w="917" w:type="dxa"/>
            <w:tcBorders>
              <w:top w:val="single" w:sz="8" w:space="0" w:color="auto"/>
              <w:left w:val="nil"/>
              <w:bottom w:val="single" w:sz="8" w:space="0" w:color="auto"/>
              <w:right w:val="single" w:sz="4" w:space="0" w:color="auto"/>
            </w:tcBorders>
            <w:shd w:val="clear" w:color="auto" w:fill="auto"/>
            <w:vAlign w:val="center"/>
            <w:hideMark/>
          </w:tcPr>
          <w:p w:rsidR="002B7F8E" w:rsidRPr="002B53E2" w:rsidP="002B7F8E" w14:paraId="3C212468" w14:textId="18888FC6">
            <w:pPr>
              <w:jc w:val="center"/>
              <w:rPr>
                <w:rFonts w:ascii="Calibri" w:hAnsi="Calibri" w:cs="Calibri"/>
                <w:b/>
                <w:bCs/>
                <w:color w:val="000000"/>
                <w:sz w:val="16"/>
                <w:szCs w:val="16"/>
              </w:rPr>
            </w:pPr>
            <w:r>
              <w:rPr>
                <w:rFonts w:ascii="Calibri" w:hAnsi="Calibri" w:cs="Calibri"/>
                <w:color w:val="000000"/>
                <w:sz w:val="16"/>
                <w:szCs w:val="16"/>
              </w:rPr>
              <w:t>9</w:t>
            </w:r>
          </w:p>
        </w:tc>
        <w:tc>
          <w:tcPr>
            <w:tcW w:w="1016" w:type="dxa"/>
            <w:tcBorders>
              <w:top w:val="single" w:sz="8" w:space="0" w:color="auto"/>
              <w:left w:val="nil"/>
              <w:bottom w:val="single" w:sz="8" w:space="0" w:color="auto"/>
              <w:right w:val="single" w:sz="4" w:space="0" w:color="auto"/>
            </w:tcBorders>
            <w:shd w:val="clear" w:color="auto" w:fill="auto"/>
            <w:vAlign w:val="center"/>
            <w:hideMark/>
          </w:tcPr>
          <w:p w:rsidR="002B7F8E" w:rsidRPr="002B53E2" w:rsidP="002B7F8E" w14:paraId="5E7E7C5A" w14:textId="4A0064EA">
            <w:pPr>
              <w:jc w:val="center"/>
              <w:rPr>
                <w:rFonts w:ascii="Calibri" w:hAnsi="Calibri" w:cs="Calibri"/>
                <w:b/>
                <w:bCs/>
                <w:color w:val="000000"/>
                <w:sz w:val="16"/>
                <w:szCs w:val="16"/>
              </w:rPr>
            </w:pPr>
            <w:r>
              <w:rPr>
                <w:rFonts w:ascii="Calibri" w:hAnsi="Calibri" w:cs="Calibri"/>
                <w:color w:val="000000"/>
                <w:sz w:val="16"/>
                <w:szCs w:val="16"/>
              </w:rPr>
              <w:t xml:space="preserve">$1.55 </w:t>
            </w:r>
          </w:p>
        </w:tc>
        <w:tc>
          <w:tcPr>
            <w:tcW w:w="1761" w:type="dxa"/>
            <w:tcBorders>
              <w:top w:val="nil"/>
              <w:left w:val="nil"/>
              <w:bottom w:val="single" w:sz="8" w:space="0" w:color="auto"/>
              <w:right w:val="single" w:sz="4" w:space="0" w:color="auto"/>
            </w:tcBorders>
            <w:shd w:val="clear" w:color="auto" w:fill="auto"/>
            <w:vAlign w:val="center"/>
            <w:hideMark/>
          </w:tcPr>
          <w:p w:rsidR="002B7F8E" w:rsidRPr="002B53E2" w:rsidP="002B7F8E" w14:paraId="357568FB" w14:textId="0C2C3183">
            <w:pPr>
              <w:jc w:val="center"/>
              <w:rPr>
                <w:rFonts w:ascii="Calibri" w:hAnsi="Calibri" w:cs="Calibri"/>
                <w:b/>
                <w:bCs/>
                <w:color w:val="000000"/>
                <w:sz w:val="16"/>
                <w:szCs w:val="16"/>
              </w:rPr>
            </w:pPr>
            <w:r>
              <w:rPr>
                <w:rFonts w:ascii="Calibri" w:hAnsi="Calibri" w:cs="Calibri"/>
                <w:color w:val="000000"/>
                <w:sz w:val="16"/>
                <w:szCs w:val="16"/>
              </w:rPr>
              <w:t xml:space="preserve">$13.95 </w:t>
            </w:r>
          </w:p>
        </w:tc>
      </w:tr>
      <w:tr w14:paraId="683DCA2D" w14:textId="77777777" w:rsidTr="006B4DBE">
        <w:tblPrEx>
          <w:tblW w:w="9980" w:type="dxa"/>
          <w:tblLook w:val="04A0"/>
        </w:tblPrEx>
        <w:trPr>
          <w:trHeight w:val="315"/>
        </w:trPr>
        <w:tc>
          <w:tcPr>
            <w:tcW w:w="3860" w:type="dxa"/>
            <w:tcBorders>
              <w:top w:val="nil"/>
              <w:left w:val="single" w:sz="8" w:space="0" w:color="auto"/>
              <w:bottom w:val="single" w:sz="8" w:space="0" w:color="auto"/>
              <w:right w:val="single" w:sz="4" w:space="0" w:color="auto"/>
            </w:tcBorders>
            <w:shd w:val="clear" w:color="auto" w:fill="auto"/>
            <w:vAlign w:val="center"/>
            <w:hideMark/>
          </w:tcPr>
          <w:p w:rsidR="002B7F8E" w:rsidRPr="002B53E2" w:rsidP="002B7F8E" w14:paraId="359CA20A" w14:textId="77777777">
            <w:pPr>
              <w:rPr>
                <w:rFonts w:ascii="Calibri" w:hAnsi="Calibri" w:cs="Calibri"/>
                <w:b/>
                <w:bCs/>
                <w:color w:val="000000"/>
                <w:sz w:val="16"/>
                <w:szCs w:val="16"/>
              </w:rPr>
            </w:pPr>
            <w:r w:rsidRPr="002B53E2">
              <w:rPr>
                <w:rFonts w:ascii="Calibri" w:hAnsi="Calibri" w:cs="Calibri"/>
                <w:b/>
                <w:bCs/>
                <w:color w:val="000000"/>
                <w:sz w:val="16"/>
                <w:szCs w:val="16"/>
              </w:rPr>
              <w:t xml:space="preserve">    Appeal</w:t>
            </w:r>
          </w:p>
        </w:tc>
        <w:tc>
          <w:tcPr>
            <w:tcW w:w="1260" w:type="dxa"/>
            <w:tcBorders>
              <w:top w:val="single" w:sz="8" w:space="0" w:color="auto"/>
              <w:left w:val="nil"/>
              <w:bottom w:val="single" w:sz="8" w:space="0" w:color="auto"/>
              <w:right w:val="single" w:sz="4" w:space="0" w:color="auto"/>
            </w:tcBorders>
            <w:shd w:val="clear" w:color="auto" w:fill="auto"/>
            <w:vAlign w:val="center"/>
            <w:hideMark/>
          </w:tcPr>
          <w:p w:rsidR="002B7F8E" w:rsidRPr="002B53E2" w:rsidP="002B7F8E" w14:paraId="550121CA" w14:textId="16743387">
            <w:pPr>
              <w:jc w:val="center"/>
              <w:rPr>
                <w:rFonts w:ascii="Calibri" w:hAnsi="Calibri" w:cs="Calibri"/>
                <w:b/>
                <w:bCs/>
                <w:color w:val="000000"/>
                <w:sz w:val="16"/>
                <w:szCs w:val="16"/>
              </w:rPr>
            </w:pPr>
            <w:r>
              <w:rPr>
                <w:rFonts w:ascii="Calibri" w:hAnsi="Calibri" w:cs="Calibri"/>
                <w:color w:val="000000"/>
                <w:sz w:val="16"/>
                <w:szCs w:val="16"/>
              </w:rPr>
              <w:t>1</w:t>
            </w:r>
          </w:p>
        </w:tc>
        <w:tc>
          <w:tcPr>
            <w:tcW w:w="1166" w:type="dxa"/>
            <w:tcBorders>
              <w:top w:val="single" w:sz="8" w:space="0" w:color="auto"/>
              <w:left w:val="nil"/>
              <w:bottom w:val="single" w:sz="8" w:space="0" w:color="auto"/>
              <w:right w:val="single" w:sz="4" w:space="0" w:color="auto"/>
            </w:tcBorders>
            <w:shd w:val="clear" w:color="auto" w:fill="auto"/>
            <w:vAlign w:val="center"/>
            <w:hideMark/>
          </w:tcPr>
          <w:p w:rsidR="002B7F8E" w:rsidRPr="002B53E2" w:rsidP="002B7F8E" w14:paraId="277A1927" w14:textId="02E979B8">
            <w:pPr>
              <w:jc w:val="center"/>
              <w:rPr>
                <w:rFonts w:ascii="Calibri" w:hAnsi="Calibri" w:cs="Calibri"/>
                <w:b/>
                <w:bCs/>
                <w:color w:val="000000"/>
                <w:sz w:val="16"/>
                <w:szCs w:val="16"/>
              </w:rPr>
            </w:pPr>
            <w:r>
              <w:rPr>
                <w:rFonts w:ascii="Calibri" w:hAnsi="Calibri" w:cs="Calibri"/>
                <w:color w:val="000000"/>
                <w:sz w:val="16"/>
                <w:szCs w:val="16"/>
              </w:rPr>
              <w:t>1</w:t>
            </w:r>
          </w:p>
        </w:tc>
        <w:tc>
          <w:tcPr>
            <w:tcW w:w="917" w:type="dxa"/>
            <w:tcBorders>
              <w:top w:val="single" w:sz="8" w:space="0" w:color="auto"/>
              <w:left w:val="nil"/>
              <w:bottom w:val="single" w:sz="8" w:space="0" w:color="auto"/>
              <w:right w:val="single" w:sz="4" w:space="0" w:color="auto"/>
            </w:tcBorders>
            <w:shd w:val="clear" w:color="auto" w:fill="auto"/>
            <w:vAlign w:val="center"/>
            <w:hideMark/>
          </w:tcPr>
          <w:p w:rsidR="002B7F8E" w:rsidRPr="002B53E2" w:rsidP="002B7F8E" w14:paraId="1223ADAF" w14:textId="51EF39BF">
            <w:pPr>
              <w:jc w:val="center"/>
              <w:rPr>
                <w:rFonts w:ascii="Calibri" w:hAnsi="Calibri" w:cs="Calibri"/>
                <w:b/>
                <w:bCs/>
                <w:color w:val="000000"/>
                <w:sz w:val="16"/>
                <w:szCs w:val="16"/>
              </w:rPr>
            </w:pPr>
            <w:r>
              <w:rPr>
                <w:rFonts w:ascii="Calibri" w:hAnsi="Calibri" w:cs="Calibri"/>
                <w:color w:val="000000"/>
                <w:sz w:val="16"/>
                <w:szCs w:val="16"/>
              </w:rPr>
              <w:t>1</w:t>
            </w:r>
          </w:p>
        </w:tc>
        <w:tc>
          <w:tcPr>
            <w:tcW w:w="1016" w:type="dxa"/>
            <w:tcBorders>
              <w:top w:val="single" w:sz="8" w:space="0" w:color="auto"/>
              <w:left w:val="nil"/>
              <w:bottom w:val="single" w:sz="8" w:space="0" w:color="auto"/>
              <w:right w:val="single" w:sz="4" w:space="0" w:color="auto"/>
            </w:tcBorders>
            <w:shd w:val="clear" w:color="auto" w:fill="auto"/>
            <w:vAlign w:val="center"/>
            <w:hideMark/>
          </w:tcPr>
          <w:p w:rsidR="002B7F8E" w:rsidRPr="002B53E2" w:rsidP="002B7F8E" w14:paraId="7DCAD51B" w14:textId="61872D2D">
            <w:pPr>
              <w:jc w:val="center"/>
              <w:rPr>
                <w:rFonts w:ascii="Calibri" w:hAnsi="Calibri" w:cs="Calibri"/>
                <w:b/>
                <w:bCs/>
                <w:color w:val="000000"/>
                <w:sz w:val="16"/>
                <w:szCs w:val="16"/>
              </w:rPr>
            </w:pPr>
            <w:r>
              <w:rPr>
                <w:rFonts w:ascii="Calibri" w:hAnsi="Calibri" w:cs="Calibri"/>
                <w:color w:val="000000"/>
                <w:sz w:val="16"/>
                <w:szCs w:val="16"/>
              </w:rPr>
              <w:t xml:space="preserve">$16.30 </w:t>
            </w:r>
          </w:p>
        </w:tc>
        <w:tc>
          <w:tcPr>
            <w:tcW w:w="1761" w:type="dxa"/>
            <w:tcBorders>
              <w:top w:val="nil"/>
              <w:left w:val="nil"/>
              <w:bottom w:val="single" w:sz="8" w:space="0" w:color="auto"/>
              <w:right w:val="single" w:sz="4" w:space="0" w:color="auto"/>
            </w:tcBorders>
            <w:shd w:val="clear" w:color="auto" w:fill="auto"/>
            <w:vAlign w:val="center"/>
            <w:hideMark/>
          </w:tcPr>
          <w:p w:rsidR="002B7F8E" w:rsidRPr="002B53E2" w:rsidP="002B7F8E" w14:paraId="695E7866" w14:textId="19DD118F">
            <w:pPr>
              <w:jc w:val="center"/>
              <w:rPr>
                <w:rFonts w:ascii="Calibri" w:hAnsi="Calibri" w:cs="Calibri"/>
                <w:b/>
                <w:bCs/>
                <w:color w:val="000000"/>
                <w:sz w:val="16"/>
                <w:szCs w:val="16"/>
              </w:rPr>
            </w:pPr>
            <w:r>
              <w:rPr>
                <w:rFonts w:ascii="Calibri" w:hAnsi="Calibri" w:cs="Calibri"/>
                <w:color w:val="000000"/>
                <w:sz w:val="16"/>
                <w:szCs w:val="16"/>
              </w:rPr>
              <w:t xml:space="preserve">$16.30 </w:t>
            </w:r>
          </w:p>
        </w:tc>
      </w:tr>
      <w:tr w14:paraId="656435A7" w14:textId="77777777" w:rsidTr="006B4DBE">
        <w:tblPrEx>
          <w:tblW w:w="9980" w:type="dxa"/>
          <w:tblLook w:val="04A0"/>
        </w:tblPrEx>
        <w:trPr>
          <w:trHeight w:val="315"/>
        </w:trPr>
        <w:tc>
          <w:tcPr>
            <w:tcW w:w="3860" w:type="dxa"/>
            <w:tcBorders>
              <w:top w:val="nil"/>
              <w:left w:val="single" w:sz="8" w:space="0" w:color="auto"/>
              <w:bottom w:val="single" w:sz="8" w:space="0" w:color="auto"/>
              <w:right w:val="single" w:sz="4" w:space="0" w:color="auto"/>
            </w:tcBorders>
            <w:shd w:val="clear" w:color="auto" w:fill="auto"/>
            <w:vAlign w:val="center"/>
            <w:hideMark/>
          </w:tcPr>
          <w:p w:rsidR="002B7F8E" w:rsidRPr="004C1EC2" w:rsidP="002B7F8E" w14:paraId="25821A7C" w14:textId="22C04AC5">
            <w:pPr>
              <w:rPr>
                <w:rFonts w:ascii="Calibri" w:hAnsi="Calibri" w:cs="Calibri"/>
                <w:b/>
                <w:bCs/>
                <w:color w:val="000000"/>
                <w:sz w:val="16"/>
                <w:szCs w:val="16"/>
              </w:rPr>
            </w:pPr>
            <w:r>
              <w:rPr>
                <w:rFonts w:ascii="Calibri" w:hAnsi="Calibri" w:cs="Calibri"/>
                <w:b/>
                <w:bCs/>
                <w:color w:val="000000"/>
                <w:sz w:val="16"/>
                <w:szCs w:val="16"/>
              </w:rPr>
              <w:t xml:space="preserve">   </w:t>
            </w:r>
            <w:r w:rsidRPr="004C1EC2">
              <w:rPr>
                <w:rFonts w:ascii="Calibri" w:hAnsi="Calibri" w:cs="Calibri"/>
                <w:b/>
                <w:color w:val="000000"/>
                <w:sz w:val="16"/>
                <w:szCs w:val="16"/>
              </w:rPr>
              <w:t>Change to EMSP</w:t>
            </w:r>
          </w:p>
        </w:tc>
        <w:tc>
          <w:tcPr>
            <w:tcW w:w="1260" w:type="dxa"/>
            <w:tcBorders>
              <w:top w:val="single" w:sz="8" w:space="0" w:color="auto"/>
              <w:left w:val="nil"/>
              <w:bottom w:val="single" w:sz="8" w:space="0" w:color="auto"/>
              <w:right w:val="single" w:sz="4" w:space="0" w:color="auto"/>
            </w:tcBorders>
            <w:shd w:val="clear" w:color="auto" w:fill="auto"/>
            <w:vAlign w:val="center"/>
            <w:hideMark/>
          </w:tcPr>
          <w:p w:rsidR="002B7F8E" w:rsidRPr="002B53E2" w:rsidP="002B7F8E" w14:paraId="0B3EBD60" w14:textId="50F7583D">
            <w:pPr>
              <w:jc w:val="center"/>
              <w:rPr>
                <w:rFonts w:ascii="Calibri" w:hAnsi="Calibri" w:cs="Calibri"/>
                <w:b/>
                <w:bCs/>
                <w:color w:val="000000"/>
                <w:sz w:val="16"/>
                <w:szCs w:val="16"/>
              </w:rPr>
            </w:pPr>
            <w:r>
              <w:rPr>
                <w:rFonts w:ascii="Calibri" w:hAnsi="Calibri" w:cs="Calibri"/>
                <w:color w:val="000000"/>
                <w:sz w:val="16"/>
                <w:szCs w:val="16"/>
              </w:rPr>
              <w:t>3</w:t>
            </w:r>
          </w:p>
        </w:tc>
        <w:tc>
          <w:tcPr>
            <w:tcW w:w="1166" w:type="dxa"/>
            <w:tcBorders>
              <w:top w:val="single" w:sz="8" w:space="0" w:color="auto"/>
              <w:left w:val="nil"/>
              <w:bottom w:val="single" w:sz="8" w:space="0" w:color="auto"/>
              <w:right w:val="single" w:sz="4" w:space="0" w:color="auto"/>
            </w:tcBorders>
            <w:shd w:val="clear" w:color="auto" w:fill="auto"/>
            <w:vAlign w:val="center"/>
            <w:hideMark/>
          </w:tcPr>
          <w:p w:rsidR="002B7F8E" w:rsidRPr="002B53E2" w:rsidP="002B7F8E" w14:paraId="00F3B371" w14:textId="3C010C54">
            <w:pPr>
              <w:jc w:val="center"/>
              <w:rPr>
                <w:rFonts w:ascii="Calibri" w:hAnsi="Calibri" w:cs="Calibri"/>
                <w:b/>
                <w:bCs/>
                <w:color w:val="000000"/>
                <w:sz w:val="16"/>
                <w:szCs w:val="16"/>
              </w:rPr>
            </w:pPr>
            <w:r>
              <w:rPr>
                <w:rFonts w:ascii="Calibri" w:hAnsi="Calibri" w:cs="Calibri"/>
                <w:color w:val="000000"/>
                <w:sz w:val="16"/>
                <w:szCs w:val="16"/>
              </w:rPr>
              <w:t>1</w:t>
            </w:r>
          </w:p>
        </w:tc>
        <w:tc>
          <w:tcPr>
            <w:tcW w:w="917" w:type="dxa"/>
            <w:tcBorders>
              <w:top w:val="single" w:sz="8" w:space="0" w:color="auto"/>
              <w:left w:val="nil"/>
              <w:bottom w:val="single" w:sz="8" w:space="0" w:color="auto"/>
              <w:right w:val="single" w:sz="4" w:space="0" w:color="auto"/>
            </w:tcBorders>
            <w:shd w:val="clear" w:color="auto" w:fill="auto"/>
            <w:vAlign w:val="center"/>
            <w:hideMark/>
          </w:tcPr>
          <w:p w:rsidR="002B7F8E" w:rsidRPr="002B53E2" w:rsidP="002B7F8E" w14:paraId="2037A5EF" w14:textId="0F42C923">
            <w:pPr>
              <w:jc w:val="center"/>
              <w:rPr>
                <w:rFonts w:ascii="Calibri" w:hAnsi="Calibri" w:cs="Calibri"/>
                <w:b/>
                <w:bCs/>
                <w:color w:val="000000"/>
                <w:sz w:val="16"/>
                <w:szCs w:val="16"/>
              </w:rPr>
            </w:pPr>
            <w:r>
              <w:rPr>
                <w:rFonts w:ascii="Calibri" w:hAnsi="Calibri" w:cs="Calibri"/>
                <w:color w:val="000000"/>
                <w:sz w:val="16"/>
                <w:szCs w:val="16"/>
              </w:rPr>
              <w:t>3</w:t>
            </w:r>
          </w:p>
        </w:tc>
        <w:tc>
          <w:tcPr>
            <w:tcW w:w="1016" w:type="dxa"/>
            <w:tcBorders>
              <w:top w:val="single" w:sz="8" w:space="0" w:color="auto"/>
              <w:left w:val="nil"/>
              <w:bottom w:val="single" w:sz="8" w:space="0" w:color="auto"/>
              <w:right w:val="single" w:sz="4" w:space="0" w:color="auto"/>
            </w:tcBorders>
            <w:shd w:val="clear" w:color="auto" w:fill="auto"/>
            <w:vAlign w:val="center"/>
            <w:hideMark/>
          </w:tcPr>
          <w:p w:rsidR="002B7F8E" w:rsidRPr="002B53E2" w:rsidP="002B7F8E" w14:paraId="11E577ED" w14:textId="102AF64B">
            <w:pPr>
              <w:jc w:val="center"/>
              <w:rPr>
                <w:rFonts w:ascii="Calibri" w:hAnsi="Calibri" w:cs="Calibri"/>
                <w:b/>
                <w:bCs/>
                <w:color w:val="000000"/>
                <w:sz w:val="16"/>
                <w:szCs w:val="16"/>
              </w:rPr>
            </w:pPr>
            <w:r>
              <w:rPr>
                <w:rFonts w:ascii="Calibri" w:hAnsi="Calibri" w:cs="Calibri"/>
                <w:color w:val="000000"/>
                <w:sz w:val="16"/>
                <w:szCs w:val="16"/>
              </w:rPr>
              <w:t xml:space="preserve">$11.30 </w:t>
            </w:r>
          </w:p>
        </w:tc>
        <w:tc>
          <w:tcPr>
            <w:tcW w:w="1761" w:type="dxa"/>
            <w:tcBorders>
              <w:top w:val="nil"/>
              <w:left w:val="nil"/>
              <w:bottom w:val="single" w:sz="8" w:space="0" w:color="auto"/>
              <w:right w:val="single" w:sz="4" w:space="0" w:color="auto"/>
            </w:tcBorders>
            <w:shd w:val="clear" w:color="auto" w:fill="auto"/>
            <w:vAlign w:val="center"/>
            <w:hideMark/>
          </w:tcPr>
          <w:p w:rsidR="002B7F8E" w:rsidRPr="002B53E2" w:rsidP="002B7F8E" w14:paraId="2B36839F" w14:textId="5B376606">
            <w:pPr>
              <w:jc w:val="center"/>
              <w:rPr>
                <w:rFonts w:ascii="Calibri" w:hAnsi="Calibri" w:cs="Calibri"/>
                <w:b/>
                <w:bCs/>
                <w:color w:val="000000"/>
                <w:sz w:val="16"/>
                <w:szCs w:val="16"/>
              </w:rPr>
            </w:pPr>
            <w:r>
              <w:rPr>
                <w:rFonts w:ascii="Calibri" w:hAnsi="Calibri" w:cs="Calibri"/>
                <w:color w:val="000000"/>
                <w:sz w:val="16"/>
                <w:szCs w:val="16"/>
              </w:rPr>
              <w:t xml:space="preserve">$33.90 </w:t>
            </w:r>
          </w:p>
        </w:tc>
      </w:tr>
      <w:tr w14:paraId="78D1337B" w14:textId="77777777" w:rsidTr="006B4DBE">
        <w:tblPrEx>
          <w:tblW w:w="9980" w:type="dxa"/>
          <w:tblLook w:val="04A0"/>
        </w:tblPrEx>
        <w:trPr>
          <w:trHeight w:val="315"/>
        </w:trPr>
        <w:tc>
          <w:tcPr>
            <w:tcW w:w="3860" w:type="dxa"/>
            <w:tcBorders>
              <w:top w:val="nil"/>
              <w:left w:val="single" w:sz="8" w:space="0" w:color="auto"/>
              <w:bottom w:val="single" w:sz="8" w:space="0" w:color="auto"/>
              <w:right w:val="single" w:sz="4" w:space="0" w:color="auto"/>
            </w:tcBorders>
            <w:shd w:val="clear" w:color="auto" w:fill="auto"/>
            <w:vAlign w:val="center"/>
            <w:hideMark/>
          </w:tcPr>
          <w:p w:rsidR="002B7F8E" w:rsidRPr="002B53E2" w:rsidP="002B7F8E" w14:paraId="506B236B" w14:textId="77777777">
            <w:pPr>
              <w:rPr>
                <w:rFonts w:ascii="Calibri" w:hAnsi="Calibri" w:cs="Calibri"/>
                <w:b/>
                <w:bCs/>
                <w:color w:val="000000"/>
                <w:sz w:val="16"/>
                <w:szCs w:val="16"/>
              </w:rPr>
            </w:pPr>
            <w:r w:rsidRPr="002B53E2">
              <w:rPr>
                <w:rFonts w:ascii="Calibri" w:hAnsi="Calibri" w:cs="Calibri"/>
                <w:b/>
                <w:bCs/>
                <w:color w:val="000000"/>
                <w:sz w:val="16"/>
                <w:szCs w:val="16"/>
              </w:rPr>
              <w:t xml:space="preserve">    EM System Certification Form</w:t>
            </w:r>
          </w:p>
        </w:tc>
        <w:tc>
          <w:tcPr>
            <w:tcW w:w="1260" w:type="dxa"/>
            <w:tcBorders>
              <w:top w:val="single" w:sz="8" w:space="0" w:color="auto"/>
              <w:left w:val="nil"/>
              <w:bottom w:val="single" w:sz="8" w:space="0" w:color="auto"/>
              <w:right w:val="single" w:sz="4" w:space="0" w:color="auto"/>
            </w:tcBorders>
            <w:shd w:val="clear" w:color="auto" w:fill="auto"/>
            <w:vAlign w:val="center"/>
            <w:hideMark/>
          </w:tcPr>
          <w:p w:rsidR="002B7F8E" w:rsidRPr="002B53E2" w:rsidP="002B7F8E" w14:paraId="393A96A4" w14:textId="7751D8A8">
            <w:pPr>
              <w:jc w:val="center"/>
              <w:rPr>
                <w:rFonts w:ascii="Calibri" w:hAnsi="Calibri" w:cs="Calibri"/>
                <w:b/>
                <w:bCs/>
                <w:color w:val="000000"/>
                <w:sz w:val="16"/>
                <w:szCs w:val="16"/>
              </w:rPr>
            </w:pPr>
            <w:r>
              <w:rPr>
                <w:rFonts w:ascii="Calibri" w:hAnsi="Calibri" w:cs="Calibri"/>
                <w:color w:val="000000"/>
                <w:sz w:val="16"/>
                <w:szCs w:val="16"/>
              </w:rPr>
              <w:t>3</w:t>
            </w:r>
          </w:p>
        </w:tc>
        <w:tc>
          <w:tcPr>
            <w:tcW w:w="1166" w:type="dxa"/>
            <w:tcBorders>
              <w:top w:val="single" w:sz="8" w:space="0" w:color="auto"/>
              <w:left w:val="nil"/>
              <w:bottom w:val="single" w:sz="8" w:space="0" w:color="auto"/>
              <w:right w:val="single" w:sz="4" w:space="0" w:color="auto"/>
            </w:tcBorders>
            <w:shd w:val="clear" w:color="auto" w:fill="auto"/>
            <w:vAlign w:val="center"/>
            <w:hideMark/>
          </w:tcPr>
          <w:p w:rsidR="002B7F8E" w:rsidRPr="002B53E2" w:rsidP="002B7F8E" w14:paraId="17B1D218" w14:textId="19F19520">
            <w:pPr>
              <w:jc w:val="center"/>
              <w:rPr>
                <w:rFonts w:ascii="Calibri" w:hAnsi="Calibri" w:cs="Calibri"/>
                <w:b/>
                <w:bCs/>
                <w:color w:val="000000"/>
                <w:sz w:val="16"/>
                <w:szCs w:val="16"/>
              </w:rPr>
            </w:pPr>
            <w:r>
              <w:rPr>
                <w:rFonts w:ascii="Calibri" w:hAnsi="Calibri" w:cs="Calibri"/>
                <w:color w:val="000000"/>
                <w:sz w:val="16"/>
                <w:szCs w:val="16"/>
              </w:rPr>
              <w:t>3</w:t>
            </w:r>
          </w:p>
        </w:tc>
        <w:tc>
          <w:tcPr>
            <w:tcW w:w="917" w:type="dxa"/>
            <w:tcBorders>
              <w:top w:val="single" w:sz="8" w:space="0" w:color="auto"/>
              <w:left w:val="nil"/>
              <w:bottom w:val="single" w:sz="8" w:space="0" w:color="auto"/>
              <w:right w:val="single" w:sz="4" w:space="0" w:color="auto"/>
            </w:tcBorders>
            <w:shd w:val="clear" w:color="auto" w:fill="auto"/>
            <w:vAlign w:val="center"/>
            <w:hideMark/>
          </w:tcPr>
          <w:p w:rsidR="002B7F8E" w:rsidRPr="002B53E2" w:rsidP="002B7F8E" w14:paraId="1BD5A542" w14:textId="63F2BC46">
            <w:pPr>
              <w:jc w:val="center"/>
              <w:rPr>
                <w:rFonts w:ascii="Calibri" w:hAnsi="Calibri" w:cs="Calibri"/>
                <w:b/>
                <w:bCs/>
                <w:color w:val="000000"/>
                <w:sz w:val="16"/>
                <w:szCs w:val="16"/>
              </w:rPr>
            </w:pPr>
            <w:r>
              <w:rPr>
                <w:rFonts w:ascii="Calibri" w:hAnsi="Calibri" w:cs="Calibri"/>
                <w:color w:val="000000"/>
                <w:sz w:val="16"/>
                <w:szCs w:val="16"/>
              </w:rPr>
              <w:t>9</w:t>
            </w:r>
          </w:p>
        </w:tc>
        <w:tc>
          <w:tcPr>
            <w:tcW w:w="1016" w:type="dxa"/>
            <w:tcBorders>
              <w:top w:val="single" w:sz="8" w:space="0" w:color="auto"/>
              <w:left w:val="nil"/>
              <w:bottom w:val="single" w:sz="8" w:space="0" w:color="auto"/>
              <w:right w:val="single" w:sz="4" w:space="0" w:color="auto"/>
            </w:tcBorders>
            <w:shd w:val="clear" w:color="auto" w:fill="auto"/>
            <w:vAlign w:val="center"/>
            <w:hideMark/>
          </w:tcPr>
          <w:p w:rsidR="002B7F8E" w:rsidRPr="002B53E2" w:rsidP="002B7F8E" w14:paraId="6E3193D7" w14:textId="722DA67D">
            <w:pPr>
              <w:jc w:val="center"/>
              <w:rPr>
                <w:rFonts w:ascii="Calibri" w:hAnsi="Calibri" w:cs="Calibri"/>
                <w:b/>
                <w:bCs/>
                <w:color w:val="000000"/>
                <w:sz w:val="16"/>
                <w:szCs w:val="16"/>
              </w:rPr>
            </w:pPr>
            <w:r>
              <w:rPr>
                <w:rFonts w:ascii="Calibri" w:hAnsi="Calibri" w:cs="Calibri"/>
                <w:color w:val="000000"/>
                <w:sz w:val="16"/>
                <w:szCs w:val="16"/>
              </w:rPr>
              <w:t xml:space="preserve">$0.65 </w:t>
            </w:r>
          </w:p>
        </w:tc>
        <w:tc>
          <w:tcPr>
            <w:tcW w:w="1761" w:type="dxa"/>
            <w:tcBorders>
              <w:top w:val="nil"/>
              <w:left w:val="nil"/>
              <w:bottom w:val="single" w:sz="8" w:space="0" w:color="auto"/>
              <w:right w:val="single" w:sz="4" w:space="0" w:color="auto"/>
            </w:tcBorders>
            <w:shd w:val="clear" w:color="auto" w:fill="auto"/>
            <w:vAlign w:val="center"/>
            <w:hideMark/>
          </w:tcPr>
          <w:p w:rsidR="002B7F8E" w:rsidRPr="002B53E2" w:rsidP="002B7F8E" w14:paraId="7F018827" w14:textId="5C58FA2D">
            <w:pPr>
              <w:jc w:val="center"/>
              <w:rPr>
                <w:rFonts w:ascii="Calibri" w:hAnsi="Calibri" w:cs="Calibri"/>
                <w:b/>
                <w:bCs/>
                <w:color w:val="000000"/>
                <w:sz w:val="16"/>
                <w:szCs w:val="16"/>
              </w:rPr>
            </w:pPr>
            <w:r>
              <w:rPr>
                <w:rFonts w:ascii="Calibri" w:hAnsi="Calibri" w:cs="Calibri"/>
                <w:color w:val="000000"/>
                <w:sz w:val="16"/>
                <w:szCs w:val="16"/>
              </w:rPr>
              <w:t xml:space="preserve">$5.85 </w:t>
            </w:r>
          </w:p>
        </w:tc>
      </w:tr>
      <w:tr w14:paraId="18033AE5" w14:textId="77777777" w:rsidTr="006B4DBE">
        <w:tblPrEx>
          <w:tblW w:w="9980" w:type="dxa"/>
          <w:tblLook w:val="04A0"/>
        </w:tblPrEx>
        <w:trPr>
          <w:trHeight w:val="315"/>
        </w:trPr>
        <w:tc>
          <w:tcPr>
            <w:tcW w:w="3860" w:type="dxa"/>
            <w:tcBorders>
              <w:top w:val="nil"/>
              <w:left w:val="single" w:sz="8" w:space="0" w:color="auto"/>
              <w:bottom w:val="single" w:sz="8" w:space="0" w:color="auto"/>
              <w:right w:val="single" w:sz="4" w:space="0" w:color="auto"/>
            </w:tcBorders>
            <w:shd w:val="clear" w:color="auto" w:fill="auto"/>
            <w:vAlign w:val="center"/>
            <w:hideMark/>
          </w:tcPr>
          <w:p w:rsidR="002B7F8E" w:rsidRPr="002B53E2" w:rsidP="002B7F8E" w14:paraId="0CB0E482" w14:textId="77777777">
            <w:pPr>
              <w:rPr>
                <w:rFonts w:ascii="Calibri" w:hAnsi="Calibri" w:cs="Calibri"/>
                <w:b/>
                <w:bCs/>
                <w:color w:val="000000"/>
                <w:sz w:val="16"/>
                <w:szCs w:val="16"/>
              </w:rPr>
            </w:pPr>
            <w:r w:rsidRPr="002B53E2">
              <w:rPr>
                <w:rFonts w:ascii="Calibri" w:hAnsi="Calibri" w:cs="Calibri"/>
                <w:b/>
                <w:bCs/>
                <w:color w:val="000000"/>
                <w:sz w:val="16"/>
                <w:szCs w:val="16"/>
              </w:rPr>
              <w:t xml:space="preserve">    Vessel Monitoring Plans</w:t>
            </w:r>
          </w:p>
        </w:tc>
        <w:tc>
          <w:tcPr>
            <w:tcW w:w="1260" w:type="dxa"/>
            <w:tcBorders>
              <w:top w:val="single" w:sz="8" w:space="0" w:color="auto"/>
              <w:left w:val="nil"/>
              <w:bottom w:val="single" w:sz="8" w:space="0" w:color="auto"/>
              <w:right w:val="single" w:sz="4" w:space="0" w:color="auto"/>
            </w:tcBorders>
            <w:shd w:val="clear" w:color="auto" w:fill="auto"/>
            <w:vAlign w:val="center"/>
            <w:hideMark/>
          </w:tcPr>
          <w:p w:rsidR="002B7F8E" w:rsidRPr="002B53E2" w:rsidP="002B7F8E" w14:paraId="793AF536" w14:textId="5C82786C">
            <w:pPr>
              <w:jc w:val="center"/>
              <w:rPr>
                <w:rFonts w:ascii="Calibri" w:hAnsi="Calibri" w:cs="Calibri"/>
                <w:b/>
                <w:bCs/>
                <w:color w:val="000000"/>
                <w:sz w:val="16"/>
                <w:szCs w:val="16"/>
              </w:rPr>
            </w:pPr>
            <w:r>
              <w:rPr>
                <w:rFonts w:ascii="Calibri" w:hAnsi="Calibri" w:cs="Calibri"/>
                <w:color w:val="000000"/>
                <w:sz w:val="16"/>
                <w:szCs w:val="16"/>
              </w:rPr>
              <w:t>3</w:t>
            </w:r>
          </w:p>
        </w:tc>
        <w:tc>
          <w:tcPr>
            <w:tcW w:w="1166" w:type="dxa"/>
            <w:tcBorders>
              <w:top w:val="single" w:sz="8" w:space="0" w:color="auto"/>
              <w:left w:val="nil"/>
              <w:bottom w:val="single" w:sz="8" w:space="0" w:color="auto"/>
              <w:right w:val="single" w:sz="4" w:space="0" w:color="auto"/>
            </w:tcBorders>
            <w:shd w:val="clear" w:color="auto" w:fill="auto"/>
            <w:vAlign w:val="center"/>
            <w:hideMark/>
          </w:tcPr>
          <w:p w:rsidR="002B7F8E" w:rsidRPr="002B53E2" w:rsidP="002B7F8E" w14:paraId="65DE1C57" w14:textId="1452AC8A">
            <w:pPr>
              <w:jc w:val="center"/>
              <w:rPr>
                <w:rFonts w:ascii="Calibri" w:hAnsi="Calibri" w:cs="Calibri"/>
                <w:b/>
                <w:bCs/>
                <w:color w:val="000000"/>
                <w:sz w:val="16"/>
                <w:szCs w:val="16"/>
              </w:rPr>
            </w:pPr>
            <w:r>
              <w:rPr>
                <w:rFonts w:ascii="Calibri" w:hAnsi="Calibri" w:cs="Calibri"/>
                <w:color w:val="000000"/>
                <w:sz w:val="16"/>
                <w:szCs w:val="16"/>
              </w:rPr>
              <w:t>3</w:t>
            </w:r>
          </w:p>
        </w:tc>
        <w:tc>
          <w:tcPr>
            <w:tcW w:w="917" w:type="dxa"/>
            <w:tcBorders>
              <w:top w:val="single" w:sz="8" w:space="0" w:color="auto"/>
              <w:left w:val="nil"/>
              <w:bottom w:val="single" w:sz="8" w:space="0" w:color="auto"/>
              <w:right w:val="single" w:sz="4" w:space="0" w:color="auto"/>
            </w:tcBorders>
            <w:shd w:val="clear" w:color="auto" w:fill="auto"/>
            <w:vAlign w:val="center"/>
            <w:hideMark/>
          </w:tcPr>
          <w:p w:rsidR="002B7F8E" w:rsidRPr="002B53E2" w:rsidP="002B7F8E" w14:paraId="14F21C09" w14:textId="42B1F3CA">
            <w:pPr>
              <w:jc w:val="center"/>
              <w:rPr>
                <w:rFonts w:ascii="Calibri" w:hAnsi="Calibri" w:cs="Calibri"/>
                <w:b/>
                <w:bCs/>
                <w:color w:val="000000"/>
                <w:sz w:val="16"/>
                <w:szCs w:val="16"/>
              </w:rPr>
            </w:pPr>
            <w:r>
              <w:rPr>
                <w:rFonts w:ascii="Calibri" w:hAnsi="Calibri" w:cs="Calibri"/>
                <w:color w:val="000000"/>
                <w:sz w:val="16"/>
                <w:szCs w:val="16"/>
              </w:rPr>
              <w:t>9</w:t>
            </w:r>
          </w:p>
        </w:tc>
        <w:tc>
          <w:tcPr>
            <w:tcW w:w="1016" w:type="dxa"/>
            <w:tcBorders>
              <w:top w:val="single" w:sz="8" w:space="0" w:color="auto"/>
              <w:left w:val="nil"/>
              <w:bottom w:val="single" w:sz="8" w:space="0" w:color="auto"/>
              <w:right w:val="single" w:sz="4" w:space="0" w:color="auto"/>
            </w:tcBorders>
            <w:shd w:val="clear" w:color="auto" w:fill="auto"/>
            <w:vAlign w:val="center"/>
            <w:hideMark/>
          </w:tcPr>
          <w:p w:rsidR="002B7F8E" w:rsidRPr="002B53E2" w:rsidP="002B7F8E" w14:paraId="272A445C" w14:textId="3FE25510">
            <w:pPr>
              <w:jc w:val="center"/>
              <w:rPr>
                <w:rFonts w:ascii="Calibri" w:hAnsi="Calibri" w:cs="Calibri"/>
                <w:b/>
                <w:bCs/>
                <w:color w:val="000000"/>
                <w:sz w:val="16"/>
                <w:szCs w:val="16"/>
              </w:rPr>
            </w:pPr>
            <w:r>
              <w:rPr>
                <w:rFonts w:ascii="Calibri" w:hAnsi="Calibri" w:cs="Calibri"/>
                <w:color w:val="000000"/>
                <w:sz w:val="16"/>
                <w:szCs w:val="16"/>
              </w:rPr>
              <w:t xml:space="preserve">$2.00 </w:t>
            </w:r>
          </w:p>
        </w:tc>
        <w:tc>
          <w:tcPr>
            <w:tcW w:w="1761" w:type="dxa"/>
            <w:tcBorders>
              <w:top w:val="nil"/>
              <w:left w:val="nil"/>
              <w:bottom w:val="single" w:sz="8" w:space="0" w:color="auto"/>
              <w:right w:val="single" w:sz="4" w:space="0" w:color="auto"/>
            </w:tcBorders>
            <w:shd w:val="clear" w:color="auto" w:fill="auto"/>
            <w:vAlign w:val="center"/>
            <w:hideMark/>
          </w:tcPr>
          <w:p w:rsidR="002B7F8E" w:rsidRPr="002B53E2" w:rsidP="002B7F8E" w14:paraId="1B8D5504" w14:textId="68E627FE">
            <w:pPr>
              <w:jc w:val="center"/>
              <w:rPr>
                <w:rFonts w:ascii="Calibri" w:hAnsi="Calibri" w:cs="Calibri"/>
                <w:b/>
                <w:bCs/>
                <w:color w:val="000000"/>
                <w:sz w:val="16"/>
                <w:szCs w:val="16"/>
              </w:rPr>
            </w:pPr>
            <w:r>
              <w:rPr>
                <w:rFonts w:ascii="Calibri" w:hAnsi="Calibri" w:cs="Calibri"/>
                <w:color w:val="000000"/>
                <w:sz w:val="16"/>
                <w:szCs w:val="16"/>
              </w:rPr>
              <w:t xml:space="preserve">$18.00 </w:t>
            </w:r>
          </w:p>
        </w:tc>
      </w:tr>
      <w:tr w14:paraId="1F43A6D4" w14:textId="77777777" w:rsidTr="006B4DBE">
        <w:tblPrEx>
          <w:tblW w:w="9980" w:type="dxa"/>
          <w:tblLook w:val="04A0"/>
        </w:tblPrEx>
        <w:trPr>
          <w:trHeight w:val="315"/>
        </w:trPr>
        <w:tc>
          <w:tcPr>
            <w:tcW w:w="3860" w:type="dxa"/>
            <w:tcBorders>
              <w:top w:val="nil"/>
              <w:left w:val="single" w:sz="8" w:space="0" w:color="auto"/>
              <w:bottom w:val="single" w:sz="8" w:space="0" w:color="auto"/>
              <w:right w:val="single" w:sz="4" w:space="0" w:color="auto"/>
            </w:tcBorders>
            <w:shd w:val="clear" w:color="auto" w:fill="auto"/>
            <w:vAlign w:val="center"/>
            <w:hideMark/>
          </w:tcPr>
          <w:p w:rsidR="002B7F8E" w:rsidRPr="002B53E2" w:rsidP="002B7F8E" w14:paraId="4EF71EC2" w14:textId="77777777">
            <w:pPr>
              <w:rPr>
                <w:rFonts w:ascii="Calibri" w:hAnsi="Calibri" w:cs="Calibri"/>
                <w:b/>
                <w:bCs/>
                <w:color w:val="000000"/>
                <w:sz w:val="16"/>
                <w:szCs w:val="16"/>
              </w:rPr>
            </w:pPr>
            <w:r w:rsidRPr="002B53E2">
              <w:rPr>
                <w:rFonts w:ascii="Calibri" w:hAnsi="Calibri" w:cs="Calibri"/>
                <w:b/>
                <w:bCs/>
                <w:color w:val="000000"/>
                <w:sz w:val="16"/>
                <w:szCs w:val="16"/>
              </w:rPr>
              <w:t xml:space="preserve">    Reports</w:t>
            </w:r>
          </w:p>
        </w:tc>
        <w:tc>
          <w:tcPr>
            <w:tcW w:w="1260" w:type="dxa"/>
            <w:tcBorders>
              <w:top w:val="single" w:sz="8" w:space="0" w:color="auto"/>
              <w:left w:val="nil"/>
              <w:bottom w:val="single" w:sz="8" w:space="0" w:color="auto"/>
              <w:right w:val="single" w:sz="4" w:space="0" w:color="auto"/>
            </w:tcBorders>
            <w:shd w:val="clear" w:color="auto" w:fill="auto"/>
            <w:vAlign w:val="center"/>
            <w:hideMark/>
          </w:tcPr>
          <w:p w:rsidR="002B7F8E" w:rsidRPr="002B53E2" w:rsidP="002B7F8E" w14:paraId="7963E1D3" w14:textId="60992BAA">
            <w:pPr>
              <w:jc w:val="center"/>
              <w:rPr>
                <w:rFonts w:ascii="Calibri" w:hAnsi="Calibri" w:cs="Calibri"/>
                <w:b/>
                <w:bCs/>
                <w:color w:val="000000"/>
                <w:sz w:val="16"/>
                <w:szCs w:val="16"/>
              </w:rPr>
            </w:pPr>
            <w:r>
              <w:rPr>
                <w:rFonts w:ascii="Calibri" w:hAnsi="Calibri" w:cs="Calibri"/>
                <w:color w:val="000000"/>
                <w:sz w:val="16"/>
                <w:szCs w:val="16"/>
              </w:rPr>
              <w:t> </w:t>
            </w:r>
          </w:p>
        </w:tc>
        <w:tc>
          <w:tcPr>
            <w:tcW w:w="1166" w:type="dxa"/>
            <w:tcBorders>
              <w:top w:val="single" w:sz="8" w:space="0" w:color="auto"/>
              <w:left w:val="nil"/>
              <w:bottom w:val="single" w:sz="8" w:space="0" w:color="auto"/>
              <w:right w:val="single" w:sz="4" w:space="0" w:color="auto"/>
            </w:tcBorders>
            <w:shd w:val="clear" w:color="auto" w:fill="auto"/>
            <w:vAlign w:val="center"/>
            <w:hideMark/>
          </w:tcPr>
          <w:p w:rsidR="002B7F8E" w:rsidRPr="002B53E2" w:rsidP="002B7F8E" w14:paraId="07DB4455" w14:textId="6F2D0447">
            <w:pPr>
              <w:jc w:val="center"/>
              <w:rPr>
                <w:rFonts w:ascii="Calibri" w:hAnsi="Calibri" w:cs="Calibri"/>
                <w:b/>
                <w:bCs/>
                <w:color w:val="000000"/>
                <w:sz w:val="16"/>
                <w:szCs w:val="16"/>
              </w:rPr>
            </w:pPr>
            <w:r>
              <w:rPr>
                <w:rFonts w:ascii="Calibri" w:hAnsi="Calibri" w:cs="Calibri"/>
                <w:color w:val="000000"/>
                <w:sz w:val="16"/>
                <w:szCs w:val="16"/>
              </w:rPr>
              <w:t> </w:t>
            </w:r>
          </w:p>
        </w:tc>
        <w:tc>
          <w:tcPr>
            <w:tcW w:w="917" w:type="dxa"/>
            <w:tcBorders>
              <w:top w:val="single" w:sz="8" w:space="0" w:color="auto"/>
              <w:left w:val="nil"/>
              <w:bottom w:val="single" w:sz="8" w:space="0" w:color="auto"/>
              <w:right w:val="single" w:sz="4" w:space="0" w:color="auto"/>
            </w:tcBorders>
            <w:shd w:val="clear" w:color="auto" w:fill="auto"/>
            <w:vAlign w:val="center"/>
            <w:hideMark/>
          </w:tcPr>
          <w:p w:rsidR="002B7F8E" w:rsidRPr="002B53E2" w:rsidP="002B7F8E" w14:paraId="01D91AEB" w14:textId="2D0A0ABC">
            <w:pPr>
              <w:jc w:val="center"/>
              <w:rPr>
                <w:rFonts w:ascii="Calibri" w:hAnsi="Calibri" w:cs="Calibri"/>
                <w:b/>
                <w:bCs/>
                <w:color w:val="000000"/>
                <w:sz w:val="16"/>
                <w:szCs w:val="16"/>
              </w:rPr>
            </w:pPr>
            <w:r>
              <w:rPr>
                <w:rFonts w:ascii="Calibri" w:hAnsi="Calibri" w:cs="Calibri"/>
                <w:color w:val="000000"/>
                <w:sz w:val="16"/>
                <w:szCs w:val="16"/>
              </w:rPr>
              <w:t> </w:t>
            </w:r>
          </w:p>
        </w:tc>
        <w:tc>
          <w:tcPr>
            <w:tcW w:w="1016" w:type="dxa"/>
            <w:tcBorders>
              <w:top w:val="single" w:sz="8" w:space="0" w:color="auto"/>
              <w:left w:val="nil"/>
              <w:bottom w:val="single" w:sz="8" w:space="0" w:color="auto"/>
              <w:right w:val="single" w:sz="4" w:space="0" w:color="auto"/>
            </w:tcBorders>
            <w:shd w:val="clear" w:color="auto" w:fill="auto"/>
            <w:vAlign w:val="center"/>
            <w:hideMark/>
          </w:tcPr>
          <w:p w:rsidR="002B7F8E" w:rsidRPr="002B53E2" w:rsidP="002B7F8E" w14:paraId="00EA5908" w14:textId="754A9A59">
            <w:pPr>
              <w:jc w:val="center"/>
              <w:rPr>
                <w:rFonts w:ascii="Calibri" w:hAnsi="Calibri" w:cs="Calibri"/>
                <w:b/>
                <w:bCs/>
                <w:color w:val="000000"/>
                <w:sz w:val="16"/>
                <w:szCs w:val="16"/>
              </w:rPr>
            </w:pPr>
            <w:r>
              <w:rPr>
                <w:rFonts w:ascii="Calibri" w:hAnsi="Calibri" w:cs="Calibri"/>
                <w:color w:val="000000"/>
                <w:sz w:val="16"/>
                <w:szCs w:val="16"/>
              </w:rPr>
              <w:t> </w:t>
            </w:r>
          </w:p>
        </w:tc>
        <w:tc>
          <w:tcPr>
            <w:tcW w:w="1761" w:type="dxa"/>
            <w:tcBorders>
              <w:top w:val="nil"/>
              <w:left w:val="nil"/>
              <w:bottom w:val="single" w:sz="8" w:space="0" w:color="auto"/>
              <w:right w:val="single" w:sz="4" w:space="0" w:color="auto"/>
            </w:tcBorders>
            <w:shd w:val="clear" w:color="auto" w:fill="auto"/>
            <w:vAlign w:val="center"/>
            <w:hideMark/>
          </w:tcPr>
          <w:p w:rsidR="002B7F8E" w:rsidRPr="002B53E2" w:rsidP="002B7F8E" w14:paraId="3966291A" w14:textId="4A10302F">
            <w:pPr>
              <w:jc w:val="center"/>
              <w:rPr>
                <w:rFonts w:ascii="Calibri" w:hAnsi="Calibri" w:cs="Calibri"/>
                <w:b/>
                <w:bCs/>
                <w:color w:val="000000"/>
                <w:sz w:val="16"/>
                <w:szCs w:val="16"/>
              </w:rPr>
            </w:pPr>
            <w:r>
              <w:rPr>
                <w:rFonts w:ascii="Calibri" w:hAnsi="Calibri" w:cs="Calibri"/>
                <w:color w:val="000000"/>
                <w:sz w:val="16"/>
                <w:szCs w:val="16"/>
              </w:rPr>
              <w:t> </w:t>
            </w:r>
          </w:p>
        </w:tc>
      </w:tr>
      <w:tr w14:paraId="53CCFED0" w14:textId="77777777" w:rsidTr="006B4DBE">
        <w:tblPrEx>
          <w:tblW w:w="9980" w:type="dxa"/>
          <w:tblLook w:val="04A0"/>
        </w:tblPrEx>
        <w:trPr>
          <w:trHeight w:val="315"/>
        </w:trPr>
        <w:tc>
          <w:tcPr>
            <w:tcW w:w="3860" w:type="dxa"/>
            <w:tcBorders>
              <w:top w:val="nil"/>
              <w:left w:val="single" w:sz="8" w:space="0" w:color="auto"/>
              <w:bottom w:val="single" w:sz="8" w:space="0" w:color="auto"/>
              <w:right w:val="single" w:sz="4" w:space="0" w:color="auto"/>
            </w:tcBorders>
            <w:shd w:val="clear" w:color="auto" w:fill="auto"/>
            <w:vAlign w:val="center"/>
            <w:hideMark/>
          </w:tcPr>
          <w:p w:rsidR="002B7F8E" w:rsidRPr="002B53E2" w:rsidP="002B7F8E" w14:paraId="0163D854" w14:textId="77777777">
            <w:pPr>
              <w:rPr>
                <w:rFonts w:ascii="Calibri" w:hAnsi="Calibri" w:cs="Calibri"/>
                <w:b/>
                <w:bCs/>
                <w:color w:val="000000"/>
                <w:sz w:val="16"/>
                <w:szCs w:val="16"/>
              </w:rPr>
            </w:pPr>
            <w:r w:rsidRPr="002B53E2">
              <w:rPr>
                <w:rFonts w:ascii="Calibri" w:hAnsi="Calibri" w:cs="Calibri"/>
                <w:b/>
                <w:bCs/>
                <w:color w:val="000000"/>
                <w:sz w:val="16"/>
                <w:szCs w:val="16"/>
              </w:rPr>
              <w:t xml:space="preserve">         Quarterly EM Review Reports</w:t>
            </w:r>
          </w:p>
        </w:tc>
        <w:tc>
          <w:tcPr>
            <w:tcW w:w="1260" w:type="dxa"/>
            <w:tcBorders>
              <w:top w:val="single" w:sz="8" w:space="0" w:color="auto"/>
              <w:left w:val="nil"/>
              <w:bottom w:val="single" w:sz="8" w:space="0" w:color="auto"/>
              <w:right w:val="single" w:sz="4" w:space="0" w:color="auto"/>
            </w:tcBorders>
            <w:shd w:val="clear" w:color="auto" w:fill="auto"/>
            <w:vAlign w:val="center"/>
            <w:hideMark/>
          </w:tcPr>
          <w:p w:rsidR="002B7F8E" w:rsidRPr="002B53E2" w:rsidP="002B7F8E" w14:paraId="6E6EC2AA" w14:textId="6A154B9F">
            <w:pPr>
              <w:jc w:val="center"/>
              <w:rPr>
                <w:rFonts w:ascii="Calibri" w:hAnsi="Calibri" w:cs="Calibri"/>
                <w:b/>
                <w:bCs/>
                <w:color w:val="000000"/>
                <w:sz w:val="16"/>
                <w:szCs w:val="16"/>
              </w:rPr>
            </w:pPr>
            <w:r>
              <w:rPr>
                <w:rFonts w:ascii="Calibri" w:hAnsi="Calibri" w:cs="Calibri"/>
                <w:color w:val="000000"/>
                <w:sz w:val="16"/>
                <w:szCs w:val="16"/>
              </w:rPr>
              <w:t>3</w:t>
            </w:r>
          </w:p>
        </w:tc>
        <w:tc>
          <w:tcPr>
            <w:tcW w:w="1166" w:type="dxa"/>
            <w:tcBorders>
              <w:top w:val="single" w:sz="8" w:space="0" w:color="auto"/>
              <w:left w:val="nil"/>
              <w:bottom w:val="single" w:sz="8" w:space="0" w:color="auto"/>
              <w:right w:val="single" w:sz="4" w:space="0" w:color="auto"/>
            </w:tcBorders>
            <w:shd w:val="clear" w:color="auto" w:fill="auto"/>
            <w:vAlign w:val="center"/>
            <w:hideMark/>
          </w:tcPr>
          <w:p w:rsidR="002B7F8E" w:rsidRPr="002B53E2" w:rsidP="002B7F8E" w14:paraId="2A2EDDC9" w14:textId="4E02F6B7">
            <w:pPr>
              <w:jc w:val="center"/>
              <w:rPr>
                <w:rFonts w:ascii="Calibri" w:hAnsi="Calibri" w:cs="Calibri"/>
                <w:b/>
                <w:bCs/>
                <w:color w:val="000000"/>
                <w:sz w:val="16"/>
                <w:szCs w:val="16"/>
              </w:rPr>
            </w:pPr>
            <w:r>
              <w:rPr>
                <w:rFonts w:ascii="Calibri" w:hAnsi="Calibri" w:cs="Calibri"/>
                <w:color w:val="000000"/>
                <w:sz w:val="16"/>
                <w:szCs w:val="16"/>
              </w:rPr>
              <w:t>4</w:t>
            </w:r>
          </w:p>
        </w:tc>
        <w:tc>
          <w:tcPr>
            <w:tcW w:w="917" w:type="dxa"/>
            <w:tcBorders>
              <w:top w:val="single" w:sz="8" w:space="0" w:color="auto"/>
              <w:left w:val="nil"/>
              <w:bottom w:val="single" w:sz="8" w:space="0" w:color="auto"/>
              <w:right w:val="single" w:sz="4" w:space="0" w:color="auto"/>
            </w:tcBorders>
            <w:shd w:val="clear" w:color="auto" w:fill="auto"/>
            <w:vAlign w:val="center"/>
            <w:hideMark/>
          </w:tcPr>
          <w:p w:rsidR="002B7F8E" w:rsidRPr="002B53E2" w:rsidP="002B7F8E" w14:paraId="62FF27EE" w14:textId="62BFB028">
            <w:pPr>
              <w:jc w:val="center"/>
              <w:rPr>
                <w:rFonts w:ascii="Calibri" w:hAnsi="Calibri" w:cs="Calibri"/>
                <w:b/>
                <w:bCs/>
                <w:color w:val="000000"/>
                <w:sz w:val="16"/>
                <w:szCs w:val="16"/>
              </w:rPr>
            </w:pPr>
            <w:r>
              <w:rPr>
                <w:rFonts w:ascii="Calibri" w:hAnsi="Calibri" w:cs="Calibri"/>
                <w:color w:val="000000"/>
                <w:sz w:val="16"/>
                <w:szCs w:val="16"/>
              </w:rPr>
              <w:t>12</w:t>
            </w:r>
          </w:p>
        </w:tc>
        <w:tc>
          <w:tcPr>
            <w:tcW w:w="1016" w:type="dxa"/>
            <w:tcBorders>
              <w:top w:val="single" w:sz="8" w:space="0" w:color="auto"/>
              <w:left w:val="nil"/>
              <w:bottom w:val="single" w:sz="8" w:space="0" w:color="auto"/>
              <w:right w:val="single" w:sz="4" w:space="0" w:color="auto"/>
            </w:tcBorders>
            <w:shd w:val="clear" w:color="auto" w:fill="auto"/>
            <w:vAlign w:val="center"/>
            <w:hideMark/>
          </w:tcPr>
          <w:p w:rsidR="002B7F8E" w:rsidRPr="002B53E2" w:rsidP="002B7F8E" w14:paraId="71ABD356" w14:textId="6ED5DB06">
            <w:pPr>
              <w:jc w:val="center"/>
              <w:rPr>
                <w:rFonts w:ascii="Calibri" w:hAnsi="Calibri" w:cs="Calibri"/>
                <w:b/>
                <w:bCs/>
                <w:color w:val="000000"/>
                <w:sz w:val="16"/>
                <w:szCs w:val="16"/>
              </w:rPr>
            </w:pPr>
            <w:r>
              <w:rPr>
                <w:rFonts w:ascii="Calibri" w:hAnsi="Calibri" w:cs="Calibri"/>
                <w:color w:val="000000"/>
                <w:sz w:val="16"/>
                <w:szCs w:val="16"/>
              </w:rPr>
              <w:t xml:space="preserve">$0.00 </w:t>
            </w:r>
          </w:p>
        </w:tc>
        <w:tc>
          <w:tcPr>
            <w:tcW w:w="1761" w:type="dxa"/>
            <w:tcBorders>
              <w:top w:val="nil"/>
              <w:left w:val="nil"/>
              <w:bottom w:val="single" w:sz="8" w:space="0" w:color="auto"/>
              <w:right w:val="single" w:sz="4" w:space="0" w:color="auto"/>
            </w:tcBorders>
            <w:shd w:val="clear" w:color="auto" w:fill="auto"/>
            <w:vAlign w:val="center"/>
            <w:hideMark/>
          </w:tcPr>
          <w:p w:rsidR="002B7F8E" w:rsidRPr="002B53E2" w:rsidP="002B7F8E" w14:paraId="67D79070" w14:textId="1D4075FC">
            <w:pPr>
              <w:jc w:val="center"/>
              <w:rPr>
                <w:rFonts w:ascii="Calibri" w:hAnsi="Calibri" w:cs="Calibri"/>
                <w:b/>
                <w:bCs/>
                <w:color w:val="000000"/>
                <w:sz w:val="16"/>
                <w:szCs w:val="16"/>
              </w:rPr>
            </w:pPr>
            <w:r>
              <w:rPr>
                <w:rFonts w:ascii="Calibri" w:hAnsi="Calibri" w:cs="Calibri"/>
                <w:color w:val="000000"/>
                <w:sz w:val="16"/>
                <w:szCs w:val="16"/>
              </w:rPr>
              <w:t xml:space="preserve">$0.00 </w:t>
            </w:r>
          </w:p>
        </w:tc>
      </w:tr>
      <w:tr w14:paraId="77C63A1B" w14:textId="77777777" w:rsidTr="006B4DBE">
        <w:tblPrEx>
          <w:tblW w:w="9980" w:type="dxa"/>
          <w:tblLook w:val="04A0"/>
        </w:tblPrEx>
        <w:trPr>
          <w:trHeight w:val="315"/>
        </w:trPr>
        <w:tc>
          <w:tcPr>
            <w:tcW w:w="3860" w:type="dxa"/>
            <w:tcBorders>
              <w:top w:val="nil"/>
              <w:left w:val="single" w:sz="8" w:space="0" w:color="auto"/>
              <w:bottom w:val="single" w:sz="8" w:space="0" w:color="auto"/>
              <w:right w:val="single" w:sz="4" w:space="0" w:color="auto"/>
            </w:tcBorders>
            <w:shd w:val="clear" w:color="auto" w:fill="auto"/>
            <w:vAlign w:val="center"/>
            <w:hideMark/>
          </w:tcPr>
          <w:p w:rsidR="002B7F8E" w:rsidRPr="002B53E2" w:rsidP="002B7F8E" w14:paraId="7A586181" w14:textId="77777777">
            <w:pPr>
              <w:rPr>
                <w:rFonts w:ascii="Calibri" w:hAnsi="Calibri" w:cs="Calibri"/>
                <w:b/>
                <w:bCs/>
                <w:color w:val="000000"/>
                <w:sz w:val="16"/>
                <w:szCs w:val="16"/>
              </w:rPr>
            </w:pPr>
            <w:r w:rsidRPr="002B53E2">
              <w:rPr>
                <w:rFonts w:ascii="Calibri" w:hAnsi="Calibri" w:cs="Calibri"/>
                <w:b/>
                <w:bCs/>
                <w:color w:val="000000"/>
                <w:sz w:val="16"/>
                <w:szCs w:val="16"/>
              </w:rPr>
              <w:t xml:space="preserve">         Technical Assistance </w:t>
            </w:r>
          </w:p>
        </w:tc>
        <w:tc>
          <w:tcPr>
            <w:tcW w:w="1260" w:type="dxa"/>
            <w:tcBorders>
              <w:top w:val="single" w:sz="8" w:space="0" w:color="auto"/>
              <w:left w:val="nil"/>
              <w:bottom w:val="single" w:sz="8" w:space="0" w:color="auto"/>
              <w:right w:val="single" w:sz="4" w:space="0" w:color="auto"/>
            </w:tcBorders>
            <w:shd w:val="clear" w:color="auto" w:fill="auto"/>
            <w:vAlign w:val="center"/>
            <w:hideMark/>
          </w:tcPr>
          <w:p w:rsidR="002B7F8E" w:rsidRPr="002B53E2" w:rsidP="002B7F8E" w14:paraId="2BA179F1" w14:textId="4CFB0150">
            <w:pPr>
              <w:jc w:val="center"/>
              <w:rPr>
                <w:rFonts w:ascii="Calibri" w:hAnsi="Calibri" w:cs="Calibri"/>
                <w:b/>
                <w:bCs/>
                <w:color w:val="000000"/>
                <w:sz w:val="16"/>
                <w:szCs w:val="16"/>
              </w:rPr>
            </w:pPr>
            <w:r>
              <w:rPr>
                <w:rFonts w:ascii="Calibri" w:hAnsi="Calibri" w:cs="Calibri"/>
                <w:color w:val="000000"/>
                <w:sz w:val="16"/>
                <w:szCs w:val="16"/>
              </w:rPr>
              <w:t>3</w:t>
            </w:r>
          </w:p>
        </w:tc>
        <w:tc>
          <w:tcPr>
            <w:tcW w:w="1166" w:type="dxa"/>
            <w:tcBorders>
              <w:top w:val="single" w:sz="8" w:space="0" w:color="auto"/>
              <w:left w:val="nil"/>
              <w:bottom w:val="single" w:sz="8" w:space="0" w:color="auto"/>
              <w:right w:val="single" w:sz="4" w:space="0" w:color="auto"/>
            </w:tcBorders>
            <w:shd w:val="clear" w:color="auto" w:fill="auto"/>
            <w:vAlign w:val="center"/>
            <w:hideMark/>
          </w:tcPr>
          <w:p w:rsidR="002B7F8E" w:rsidRPr="002B53E2" w:rsidP="002B7F8E" w14:paraId="6CCFD190" w14:textId="546E3FD0">
            <w:pPr>
              <w:jc w:val="center"/>
              <w:rPr>
                <w:rFonts w:ascii="Calibri" w:hAnsi="Calibri" w:cs="Calibri"/>
                <w:b/>
                <w:bCs/>
                <w:color w:val="000000"/>
                <w:sz w:val="16"/>
                <w:szCs w:val="16"/>
              </w:rPr>
            </w:pPr>
            <w:r>
              <w:rPr>
                <w:rFonts w:ascii="Calibri" w:hAnsi="Calibri" w:cs="Calibri"/>
                <w:color w:val="000000"/>
                <w:sz w:val="16"/>
                <w:szCs w:val="16"/>
              </w:rPr>
              <w:t>10</w:t>
            </w:r>
          </w:p>
        </w:tc>
        <w:tc>
          <w:tcPr>
            <w:tcW w:w="917" w:type="dxa"/>
            <w:tcBorders>
              <w:top w:val="single" w:sz="8" w:space="0" w:color="auto"/>
              <w:left w:val="nil"/>
              <w:bottom w:val="single" w:sz="8" w:space="0" w:color="auto"/>
              <w:right w:val="single" w:sz="4" w:space="0" w:color="auto"/>
            </w:tcBorders>
            <w:shd w:val="clear" w:color="auto" w:fill="auto"/>
            <w:vAlign w:val="center"/>
            <w:hideMark/>
          </w:tcPr>
          <w:p w:rsidR="002B7F8E" w:rsidRPr="002B53E2" w:rsidP="002B7F8E" w14:paraId="7BA7784C" w14:textId="24930207">
            <w:pPr>
              <w:jc w:val="center"/>
              <w:rPr>
                <w:rFonts w:ascii="Calibri" w:hAnsi="Calibri" w:cs="Calibri"/>
                <w:b/>
                <w:bCs/>
                <w:color w:val="000000"/>
                <w:sz w:val="16"/>
                <w:szCs w:val="16"/>
              </w:rPr>
            </w:pPr>
            <w:r>
              <w:rPr>
                <w:rFonts w:ascii="Calibri" w:hAnsi="Calibri" w:cs="Calibri"/>
                <w:color w:val="000000"/>
                <w:sz w:val="16"/>
                <w:szCs w:val="16"/>
              </w:rPr>
              <w:t>30</w:t>
            </w:r>
          </w:p>
        </w:tc>
        <w:tc>
          <w:tcPr>
            <w:tcW w:w="1016" w:type="dxa"/>
            <w:tcBorders>
              <w:top w:val="single" w:sz="8" w:space="0" w:color="auto"/>
              <w:left w:val="nil"/>
              <w:bottom w:val="single" w:sz="8" w:space="0" w:color="auto"/>
              <w:right w:val="single" w:sz="4" w:space="0" w:color="auto"/>
            </w:tcBorders>
            <w:shd w:val="clear" w:color="auto" w:fill="auto"/>
            <w:vAlign w:val="center"/>
            <w:hideMark/>
          </w:tcPr>
          <w:p w:rsidR="002B7F8E" w:rsidRPr="002B53E2" w:rsidP="002B7F8E" w14:paraId="62BEE688" w14:textId="36C19CDC">
            <w:pPr>
              <w:jc w:val="center"/>
              <w:rPr>
                <w:rFonts w:ascii="Calibri" w:hAnsi="Calibri" w:cs="Calibri"/>
                <w:b/>
                <w:bCs/>
                <w:color w:val="000000"/>
                <w:sz w:val="16"/>
                <w:szCs w:val="16"/>
              </w:rPr>
            </w:pPr>
            <w:r>
              <w:rPr>
                <w:rFonts w:ascii="Calibri" w:hAnsi="Calibri" w:cs="Calibri"/>
                <w:color w:val="000000"/>
                <w:sz w:val="16"/>
                <w:szCs w:val="16"/>
              </w:rPr>
              <w:t xml:space="preserve">$0.00 </w:t>
            </w:r>
          </w:p>
        </w:tc>
        <w:tc>
          <w:tcPr>
            <w:tcW w:w="1761" w:type="dxa"/>
            <w:tcBorders>
              <w:top w:val="nil"/>
              <w:left w:val="nil"/>
              <w:bottom w:val="single" w:sz="8" w:space="0" w:color="auto"/>
              <w:right w:val="single" w:sz="4" w:space="0" w:color="auto"/>
            </w:tcBorders>
            <w:shd w:val="clear" w:color="auto" w:fill="auto"/>
            <w:vAlign w:val="center"/>
            <w:hideMark/>
          </w:tcPr>
          <w:p w:rsidR="002B7F8E" w:rsidRPr="002B53E2" w:rsidP="002B7F8E" w14:paraId="509ED10A" w14:textId="3CAB875A">
            <w:pPr>
              <w:jc w:val="center"/>
              <w:rPr>
                <w:rFonts w:ascii="Calibri" w:hAnsi="Calibri" w:cs="Calibri"/>
                <w:b/>
                <w:bCs/>
                <w:color w:val="000000"/>
                <w:sz w:val="16"/>
                <w:szCs w:val="16"/>
              </w:rPr>
            </w:pPr>
            <w:r>
              <w:rPr>
                <w:rFonts w:ascii="Calibri" w:hAnsi="Calibri" w:cs="Calibri"/>
                <w:color w:val="000000"/>
                <w:sz w:val="16"/>
                <w:szCs w:val="16"/>
              </w:rPr>
              <w:t xml:space="preserve">$0.00 </w:t>
            </w:r>
          </w:p>
        </w:tc>
      </w:tr>
      <w:tr w14:paraId="61BF1AED" w14:textId="77777777" w:rsidTr="006B4DBE">
        <w:tblPrEx>
          <w:tblW w:w="9980" w:type="dxa"/>
          <w:tblLook w:val="04A0"/>
        </w:tblPrEx>
        <w:trPr>
          <w:trHeight w:val="315"/>
        </w:trPr>
        <w:tc>
          <w:tcPr>
            <w:tcW w:w="3860" w:type="dxa"/>
            <w:tcBorders>
              <w:top w:val="nil"/>
              <w:left w:val="single" w:sz="8" w:space="0" w:color="auto"/>
              <w:bottom w:val="single" w:sz="8" w:space="0" w:color="auto"/>
              <w:right w:val="single" w:sz="4" w:space="0" w:color="auto"/>
            </w:tcBorders>
            <w:shd w:val="clear" w:color="auto" w:fill="auto"/>
            <w:vAlign w:val="center"/>
            <w:hideMark/>
          </w:tcPr>
          <w:p w:rsidR="002B7F8E" w:rsidRPr="002B53E2" w:rsidP="002B7F8E" w14:paraId="0AB016F9" w14:textId="77777777">
            <w:pPr>
              <w:rPr>
                <w:rFonts w:ascii="Calibri" w:hAnsi="Calibri" w:cs="Calibri"/>
                <w:b/>
                <w:bCs/>
                <w:color w:val="000000"/>
                <w:sz w:val="16"/>
                <w:szCs w:val="16"/>
              </w:rPr>
            </w:pPr>
            <w:r w:rsidRPr="002B53E2">
              <w:rPr>
                <w:rFonts w:ascii="Calibri" w:hAnsi="Calibri" w:cs="Calibri"/>
                <w:b/>
                <w:bCs/>
                <w:color w:val="000000"/>
                <w:sz w:val="16"/>
                <w:szCs w:val="16"/>
              </w:rPr>
              <w:t xml:space="preserve">         Non-compliance Reports</w:t>
            </w:r>
          </w:p>
        </w:tc>
        <w:tc>
          <w:tcPr>
            <w:tcW w:w="1260" w:type="dxa"/>
            <w:tcBorders>
              <w:top w:val="single" w:sz="8" w:space="0" w:color="auto"/>
              <w:left w:val="nil"/>
              <w:bottom w:val="single" w:sz="8" w:space="0" w:color="auto"/>
              <w:right w:val="single" w:sz="4" w:space="0" w:color="auto"/>
            </w:tcBorders>
            <w:shd w:val="clear" w:color="auto" w:fill="auto"/>
            <w:vAlign w:val="center"/>
            <w:hideMark/>
          </w:tcPr>
          <w:p w:rsidR="002B7F8E" w:rsidRPr="002B53E2" w:rsidP="002B7F8E" w14:paraId="206DF6FF" w14:textId="1B7462F6">
            <w:pPr>
              <w:jc w:val="center"/>
              <w:rPr>
                <w:rFonts w:ascii="Calibri" w:hAnsi="Calibri" w:cs="Calibri"/>
                <w:b/>
                <w:bCs/>
                <w:color w:val="000000"/>
                <w:sz w:val="16"/>
                <w:szCs w:val="16"/>
              </w:rPr>
            </w:pPr>
            <w:r>
              <w:rPr>
                <w:rFonts w:ascii="Calibri" w:hAnsi="Calibri" w:cs="Calibri"/>
                <w:color w:val="000000"/>
                <w:sz w:val="16"/>
                <w:szCs w:val="16"/>
              </w:rPr>
              <w:t>3</w:t>
            </w:r>
          </w:p>
        </w:tc>
        <w:tc>
          <w:tcPr>
            <w:tcW w:w="1166" w:type="dxa"/>
            <w:tcBorders>
              <w:top w:val="single" w:sz="8" w:space="0" w:color="auto"/>
              <w:left w:val="nil"/>
              <w:bottom w:val="single" w:sz="8" w:space="0" w:color="auto"/>
              <w:right w:val="single" w:sz="4" w:space="0" w:color="auto"/>
            </w:tcBorders>
            <w:shd w:val="clear" w:color="auto" w:fill="auto"/>
            <w:vAlign w:val="center"/>
            <w:hideMark/>
          </w:tcPr>
          <w:p w:rsidR="002B7F8E" w:rsidRPr="002B53E2" w:rsidP="002B7F8E" w14:paraId="35A95261" w14:textId="5B0533FC">
            <w:pPr>
              <w:jc w:val="center"/>
              <w:rPr>
                <w:rFonts w:ascii="Calibri" w:hAnsi="Calibri" w:cs="Calibri"/>
                <w:b/>
                <w:bCs/>
                <w:color w:val="000000"/>
                <w:sz w:val="16"/>
                <w:szCs w:val="16"/>
              </w:rPr>
            </w:pPr>
            <w:r>
              <w:rPr>
                <w:rFonts w:ascii="Calibri" w:hAnsi="Calibri" w:cs="Calibri"/>
                <w:color w:val="000000"/>
                <w:sz w:val="16"/>
                <w:szCs w:val="16"/>
              </w:rPr>
              <w:t>10</w:t>
            </w:r>
          </w:p>
        </w:tc>
        <w:tc>
          <w:tcPr>
            <w:tcW w:w="917" w:type="dxa"/>
            <w:tcBorders>
              <w:top w:val="single" w:sz="8" w:space="0" w:color="auto"/>
              <w:left w:val="nil"/>
              <w:bottom w:val="single" w:sz="8" w:space="0" w:color="auto"/>
              <w:right w:val="single" w:sz="4" w:space="0" w:color="auto"/>
            </w:tcBorders>
            <w:shd w:val="clear" w:color="auto" w:fill="auto"/>
            <w:vAlign w:val="center"/>
            <w:hideMark/>
          </w:tcPr>
          <w:p w:rsidR="002B7F8E" w:rsidRPr="002B53E2" w:rsidP="002B7F8E" w14:paraId="3BCA207D" w14:textId="71A8225C">
            <w:pPr>
              <w:jc w:val="center"/>
              <w:rPr>
                <w:rFonts w:ascii="Calibri" w:hAnsi="Calibri" w:cs="Calibri"/>
                <w:b/>
                <w:bCs/>
                <w:color w:val="000000"/>
                <w:sz w:val="16"/>
                <w:szCs w:val="16"/>
              </w:rPr>
            </w:pPr>
            <w:r>
              <w:rPr>
                <w:rFonts w:ascii="Calibri" w:hAnsi="Calibri" w:cs="Calibri"/>
                <w:color w:val="000000"/>
                <w:sz w:val="16"/>
                <w:szCs w:val="16"/>
              </w:rPr>
              <w:t>30</w:t>
            </w:r>
          </w:p>
        </w:tc>
        <w:tc>
          <w:tcPr>
            <w:tcW w:w="1016" w:type="dxa"/>
            <w:tcBorders>
              <w:top w:val="single" w:sz="8" w:space="0" w:color="auto"/>
              <w:left w:val="nil"/>
              <w:bottom w:val="single" w:sz="8" w:space="0" w:color="auto"/>
              <w:right w:val="single" w:sz="4" w:space="0" w:color="auto"/>
            </w:tcBorders>
            <w:shd w:val="clear" w:color="auto" w:fill="auto"/>
            <w:vAlign w:val="center"/>
            <w:hideMark/>
          </w:tcPr>
          <w:p w:rsidR="002B7F8E" w:rsidRPr="002B53E2" w:rsidP="002B7F8E" w14:paraId="544D3FAA" w14:textId="5A3B1F21">
            <w:pPr>
              <w:jc w:val="center"/>
              <w:rPr>
                <w:rFonts w:ascii="Calibri" w:hAnsi="Calibri" w:cs="Calibri"/>
                <w:b/>
                <w:bCs/>
                <w:color w:val="000000"/>
                <w:sz w:val="16"/>
                <w:szCs w:val="16"/>
              </w:rPr>
            </w:pPr>
            <w:r>
              <w:rPr>
                <w:rFonts w:ascii="Calibri" w:hAnsi="Calibri" w:cs="Calibri"/>
                <w:color w:val="000000"/>
                <w:sz w:val="16"/>
                <w:szCs w:val="16"/>
              </w:rPr>
              <w:t xml:space="preserve">$0.00 </w:t>
            </w:r>
          </w:p>
        </w:tc>
        <w:tc>
          <w:tcPr>
            <w:tcW w:w="1761" w:type="dxa"/>
            <w:tcBorders>
              <w:top w:val="nil"/>
              <w:left w:val="nil"/>
              <w:bottom w:val="single" w:sz="8" w:space="0" w:color="auto"/>
              <w:right w:val="single" w:sz="4" w:space="0" w:color="auto"/>
            </w:tcBorders>
            <w:shd w:val="clear" w:color="auto" w:fill="auto"/>
            <w:vAlign w:val="center"/>
            <w:hideMark/>
          </w:tcPr>
          <w:p w:rsidR="002B7F8E" w:rsidRPr="002B53E2" w:rsidP="002B7F8E" w14:paraId="329037F2" w14:textId="29260AA2">
            <w:pPr>
              <w:jc w:val="center"/>
              <w:rPr>
                <w:rFonts w:ascii="Calibri" w:hAnsi="Calibri" w:cs="Calibri"/>
                <w:b/>
                <w:bCs/>
                <w:color w:val="000000"/>
                <w:sz w:val="16"/>
                <w:szCs w:val="16"/>
              </w:rPr>
            </w:pPr>
            <w:r>
              <w:rPr>
                <w:rFonts w:ascii="Calibri" w:hAnsi="Calibri" w:cs="Calibri"/>
                <w:color w:val="000000"/>
                <w:sz w:val="16"/>
                <w:szCs w:val="16"/>
              </w:rPr>
              <w:t xml:space="preserve">$0.00 </w:t>
            </w:r>
          </w:p>
        </w:tc>
      </w:tr>
      <w:tr w14:paraId="2EC909BF" w14:textId="77777777" w:rsidTr="006B4DBE">
        <w:tblPrEx>
          <w:tblW w:w="9980" w:type="dxa"/>
          <w:tblLook w:val="04A0"/>
        </w:tblPrEx>
        <w:trPr>
          <w:trHeight w:val="315"/>
        </w:trPr>
        <w:tc>
          <w:tcPr>
            <w:tcW w:w="3860" w:type="dxa"/>
            <w:tcBorders>
              <w:top w:val="nil"/>
              <w:left w:val="single" w:sz="8" w:space="0" w:color="auto"/>
              <w:bottom w:val="single" w:sz="8" w:space="0" w:color="auto"/>
              <w:right w:val="single" w:sz="4" w:space="0" w:color="auto"/>
            </w:tcBorders>
            <w:shd w:val="clear" w:color="auto" w:fill="auto"/>
            <w:vAlign w:val="center"/>
            <w:hideMark/>
          </w:tcPr>
          <w:p w:rsidR="002B7F8E" w:rsidRPr="002B53E2" w:rsidP="002B7F8E" w14:paraId="7B78D208" w14:textId="77777777">
            <w:pPr>
              <w:rPr>
                <w:rFonts w:ascii="Calibri" w:hAnsi="Calibri" w:cs="Calibri"/>
                <w:b/>
                <w:bCs/>
                <w:color w:val="000000"/>
                <w:sz w:val="16"/>
                <w:szCs w:val="16"/>
              </w:rPr>
            </w:pPr>
            <w:r w:rsidRPr="002B53E2">
              <w:rPr>
                <w:rFonts w:ascii="Calibri" w:hAnsi="Calibri" w:cs="Calibri"/>
                <w:b/>
                <w:bCs/>
                <w:color w:val="000000"/>
                <w:sz w:val="16"/>
                <w:szCs w:val="16"/>
              </w:rPr>
              <w:t xml:space="preserve">         Data Storage</w:t>
            </w:r>
          </w:p>
        </w:tc>
        <w:tc>
          <w:tcPr>
            <w:tcW w:w="1260" w:type="dxa"/>
            <w:tcBorders>
              <w:top w:val="single" w:sz="8" w:space="0" w:color="auto"/>
              <w:left w:val="nil"/>
              <w:bottom w:val="single" w:sz="8" w:space="0" w:color="auto"/>
              <w:right w:val="single" w:sz="4" w:space="0" w:color="auto"/>
            </w:tcBorders>
            <w:shd w:val="clear" w:color="auto" w:fill="auto"/>
            <w:vAlign w:val="center"/>
            <w:hideMark/>
          </w:tcPr>
          <w:p w:rsidR="002B7F8E" w:rsidRPr="002B53E2" w:rsidP="002B7F8E" w14:paraId="651E783C" w14:textId="3372B3EE">
            <w:pPr>
              <w:jc w:val="center"/>
              <w:rPr>
                <w:rFonts w:ascii="Calibri" w:hAnsi="Calibri" w:cs="Calibri"/>
                <w:b/>
                <w:bCs/>
                <w:color w:val="000000"/>
                <w:sz w:val="16"/>
                <w:szCs w:val="16"/>
              </w:rPr>
            </w:pPr>
            <w:r>
              <w:rPr>
                <w:rFonts w:ascii="Calibri" w:hAnsi="Calibri" w:cs="Calibri"/>
                <w:color w:val="000000"/>
                <w:sz w:val="16"/>
                <w:szCs w:val="16"/>
              </w:rPr>
              <w:t>3</w:t>
            </w:r>
          </w:p>
        </w:tc>
        <w:tc>
          <w:tcPr>
            <w:tcW w:w="1166" w:type="dxa"/>
            <w:tcBorders>
              <w:top w:val="single" w:sz="8" w:space="0" w:color="auto"/>
              <w:left w:val="nil"/>
              <w:bottom w:val="single" w:sz="8" w:space="0" w:color="auto"/>
              <w:right w:val="single" w:sz="4" w:space="0" w:color="auto"/>
            </w:tcBorders>
            <w:shd w:val="clear" w:color="auto" w:fill="auto"/>
            <w:vAlign w:val="center"/>
            <w:hideMark/>
          </w:tcPr>
          <w:p w:rsidR="002B7F8E" w:rsidRPr="002B53E2" w:rsidP="002B7F8E" w14:paraId="5CF79566" w14:textId="526D8B73">
            <w:pPr>
              <w:jc w:val="center"/>
              <w:rPr>
                <w:rFonts w:ascii="Calibri" w:hAnsi="Calibri" w:cs="Calibri"/>
                <w:b/>
                <w:bCs/>
                <w:color w:val="000000"/>
                <w:sz w:val="16"/>
                <w:szCs w:val="16"/>
              </w:rPr>
            </w:pPr>
            <w:r>
              <w:rPr>
                <w:rFonts w:ascii="Calibri" w:hAnsi="Calibri" w:cs="Calibri"/>
                <w:color w:val="000000"/>
                <w:sz w:val="16"/>
                <w:szCs w:val="16"/>
              </w:rPr>
              <w:t>20</w:t>
            </w:r>
          </w:p>
        </w:tc>
        <w:tc>
          <w:tcPr>
            <w:tcW w:w="917" w:type="dxa"/>
            <w:tcBorders>
              <w:top w:val="single" w:sz="8" w:space="0" w:color="auto"/>
              <w:left w:val="nil"/>
              <w:bottom w:val="single" w:sz="8" w:space="0" w:color="auto"/>
              <w:right w:val="single" w:sz="4" w:space="0" w:color="auto"/>
            </w:tcBorders>
            <w:shd w:val="clear" w:color="auto" w:fill="auto"/>
            <w:vAlign w:val="center"/>
            <w:hideMark/>
          </w:tcPr>
          <w:p w:rsidR="002B7F8E" w:rsidRPr="002B53E2" w:rsidP="002B7F8E" w14:paraId="212B50B5" w14:textId="4F8B9A63">
            <w:pPr>
              <w:jc w:val="center"/>
              <w:rPr>
                <w:rFonts w:ascii="Calibri" w:hAnsi="Calibri" w:cs="Calibri"/>
                <w:b/>
                <w:bCs/>
                <w:color w:val="000000"/>
                <w:sz w:val="16"/>
                <w:szCs w:val="16"/>
              </w:rPr>
            </w:pPr>
            <w:r>
              <w:rPr>
                <w:rFonts w:ascii="Calibri" w:hAnsi="Calibri" w:cs="Calibri"/>
                <w:color w:val="000000"/>
                <w:sz w:val="16"/>
                <w:szCs w:val="16"/>
              </w:rPr>
              <w:t>60</w:t>
            </w:r>
          </w:p>
        </w:tc>
        <w:tc>
          <w:tcPr>
            <w:tcW w:w="1016" w:type="dxa"/>
            <w:tcBorders>
              <w:top w:val="single" w:sz="8" w:space="0" w:color="auto"/>
              <w:left w:val="nil"/>
              <w:bottom w:val="single" w:sz="8" w:space="0" w:color="auto"/>
              <w:right w:val="single" w:sz="4" w:space="0" w:color="auto"/>
            </w:tcBorders>
            <w:shd w:val="clear" w:color="auto" w:fill="auto"/>
            <w:vAlign w:val="center"/>
            <w:hideMark/>
          </w:tcPr>
          <w:p w:rsidR="002B7F8E" w:rsidRPr="002B53E2" w:rsidP="002B7F8E" w14:paraId="15C403C0" w14:textId="39AE991D">
            <w:pPr>
              <w:jc w:val="center"/>
              <w:rPr>
                <w:rFonts w:ascii="Calibri" w:hAnsi="Calibri" w:cs="Calibri"/>
                <w:b/>
                <w:bCs/>
                <w:color w:val="000000"/>
                <w:sz w:val="16"/>
                <w:szCs w:val="16"/>
              </w:rPr>
            </w:pPr>
            <w:r>
              <w:rPr>
                <w:rFonts w:ascii="Calibri" w:hAnsi="Calibri" w:cs="Calibri"/>
                <w:color w:val="000000"/>
                <w:sz w:val="16"/>
                <w:szCs w:val="16"/>
              </w:rPr>
              <w:t xml:space="preserve">$13.00 </w:t>
            </w:r>
          </w:p>
        </w:tc>
        <w:tc>
          <w:tcPr>
            <w:tcW w:w="1761" w:type="dxa"/>
            <w:tcBorders>
              <w:top w:val="nil"/>
              <w:left w:val="nil"/>
              <w:bottom w:val="single" w:sz="8" w:space="0" w:color="auto"/>
              <w:right w:val="single" w:sz="4" w:space="0" w:color="auto"/>
            </w:tcBorders>
            <w:shd w:val="clear" w:color="auto" w:fill="auto"/>
            <w:vAlign w:val="center"/>
            <w:hideMark/>
          </w:tcPr>
          <w:p w:rsidR="002B7F8E" w:rsidRPr="002B53E2" w:rsidP="002B7F8E" w14:paraId="1BD0A7FB" w14:textId="7A34BC82">
            <w:pPr>
              <w:jc w:val="center"/>
              <w:rPr>
                <w:rFonts w:ascii="Calibri" w:hAnsi="Calibri" w:cs="Calibri"/>
                <w:b/>
                <w:bCs/>
                <w:color w:val="000000"/>
                <w:sz w:val="16"/>
                <w:szCs w:val="16"/>
              </w:rPr>
            </w:pPr>
            <w:r>
              <w:rPr>
                <w:rFonts w:ascii="Calibri" w:hAnsi="Calibri" w:cs="Calibri"/>
                <w:color w:val="000000"/>
                <w:sz w:val="16"/>
                <w:szCs w:val="16"/>
              </w:rPr>
              <w:t xml:space="preserve">$780.00 </w:t>
            </w:r>
          </w:p>
        </w:tc>
      </w:tr>
      <w:tr w14:paraId="45061E62" w14:textId="77777777" w:rsidTr="006B4DBE">
        <w:tblPrEx>
          <w:tblW w:w="9980" w:type="dxa"/>
          <w:tblLook w:val="04A0"/>
        </w:tblPrEx>
        <w:trPr>
          <w:trHeight w:val="315"/>
        </w:trPr>
        <w:tc>
          <w:tcPr>
            <w:tcW w:w="3860" w:type="dxa"/>
            <w:tcBorders>
              <w:top w:val="nil"/>
              <w:left w:val="single" w:sz="8" w:space="0" w:color="auto"/>
              <w:bottom w:val="single" w:sz="8" w:space="0" w:color="auto"/>
              <w:right w:val="single" w:sz="4" w:space="0" w:color="auto"/>
            </w:tcBorders>
            <w:shd w:val="clear" w:color="auto" w:fill="auto"/>
            <w:vAlign w:val="center"/>
            <w:hideMark/>
          </w:tcPr>
          <w:p w:rsidR="002B7F8E" w:rsidRPr="002B53E2" w:rsidP="002B7F8E" w14:paraId="7187BBC0" w14:textId="77777777">
            <w:pPr>
              <w:rPr>
                <w:rFonts w:ascii="Calibri" w:hAnsi="Calibri" w:cs="Calibri"/>
                <w:b/>
                <w:bCs/>
                <w:color w:val="000000"/>
                <w:sz w:val="16"/>
                <w:szCs w:val="16"/>
              </w:rPr>
            </w:pPr>
            <w:r w:rsidRPr="002B53E2">
              <w:rPr>
                <w:rFonts w:ascii="Calibri" w:hAnsi="Calibri" w:cs="Calibri"/>
                <w:b/>
                <w:bCs/>
                <w:color w:val="000000"/>
                <w:sz w:val="16"/>
                <w:szCs w:val="16"/>
              </w:rPr>
              <w:t xml:space="preserve">   Debrief of EM Staff</w:t>
            </w:r>
          </w:p>
        </w:tc>
        <w:tc>
          <w:tcPr>
            <w:tcW w:w="1260" w:type="dxa"/>
            <w:tcBorders>
              <w:top w:val="single" w:sz="8" w:space="0" w:color="auto"/>
              <w:left w:val="nil"/>
              <w:bottom w:val="single" w:sz="8" w:space="0" w:color="auto"/>
              <w:right w:val="single" w:sz="4" w:space="0" w:color="auto"/>
            </w:tcBorders>
            <w:shd w:val="clear" w:color="auto" w:fill="auto"/>
            <w:vAlign w:val="center"/>
            <w:hideMark/>
          </w:tcPr>
          <w:p w:rsidR="002B7F8E" w:rsidRPr="002B53E2" w:rsidP="002B7F8E" w14:paraId="7F3AAD02" w14:textId="5430B24C">
            <w:pPr>
              <w:jc w:val="center"/>
              <w:rPr>
                <w:rFonts w:ascii="Calibri" w:hAnsi="Calibri" w:cs="Calibri"/>
                <w:b/>
                <w:bCs/>
                <w:color w:val="000000"/>
                <w:sz w:val="16"/>
                <w:szCs w:val="16"/>
              </w:rPr>
            </w:pPr>
            <w:r>
              <w:rPr>
                <w:rFonts w:ascii="Calibri" w:hAnsi="Calibri" w:cs="Calibri"/>
                <w:color w:val="000000"/>
                <w:sz w:val="16"/>
                <w:szCs w:val="16"/>
              </w:rPr>
              <w:t>3</w:t>
            </w:r>
          </w:p>
        </w:tc>
        <w:tc>
          <w:tcPr>
            <w:tcW w:w="1166" w:type="dxa"/>
            <w:tcBorders>
              <w:top w:val="single" w:sz="8" w:space="0" w:color="auto"/>
              <w:left w:val="nil"/>
              <w:bottom w:val="single" w:sz="8" w:space="0" w:color="auto"/>
              <w:right w:val="single" w:sz="4" w:space="0" w:color="auto"/>
            </w:tcBorders>
            <w:shd w:val="clear" w:color="auto" w:fill="auto"/>
            <w:vAlign w:val="center"/>
            <w:hideMark/>
          </w:tcPr>
          <w:p w:rsidR="002B7F8E" w:rsidRPr="002B53E2" w:rsidP="002B7F8E" w14:paraId="090C141A" w14:textId="6B34FD2D">
            <w:pPr>
              <w:jc w:val="center"/>
              <w:rPr>
                <w:rFonts w:ascii="Calibri" w:hAnsi="Calibri" w:cs="Calibri"/>
                <w:b/>
                <w:bCs/>
                <w:color w:val="000000"/>
                <w:sz w:val="16"/>
                <w:szCs w:val="16"/>
              </w:rPr>
            </w:pPr>
            <w:r>
              <w:rPr>
                <w:rFonts w:ascii="Calibri" w:hAnsi="Calibri" w:cs="Calibri"/>
                <w:color w:val="000000"/>
                <w:sz w:val="16"/>
                <w:szCs w:val="16"/>
              </w:rPr>
              <w:t>7</w:t>
            </w:r>
          </w:p>
        </w:tc>
        <w:tc>
          <w:tcPr>
            <w:tcW w:w="917" w:type="dxa"/>
            <w:tcBorders>
              <w:top w:val="single" w:sz="8" w:space="0" w:color="auto"/>
              <w:left w:val="nil"/>
              <w:bottom w:val="single" w:sz="8" w:space="0" w:color="auto"/>
              <w:right w:val="single" w:sz="4" w:space="0" w:color="auto"/>
            </w:tcBorders>
            <w:shd w:val="clear" w:color="auto" w:fill="auto"/>
            <w:vAlign w:val="center"/>
            <w:hideMark/>
          </w:tcPr>
          <w:p w:rsidR="002B7F8E" w:rsidRPr="002B53E2" w:rsidP="002B7F8E" w14:paraId="2F6BCBFD" w14:textId="6AE192F1">
            <w:pPr>
              <w:jc w:val="center"/>
              <w:rPr>
                <w:rFonts w:ascii="Calibri" w:hAnsi="Calibri" w:cs="Calibri"/>
                <w:b/>
                <w:bCs/>
                <w:color w:val="000000"/>
                <w:sz w:val="16"/>
                <w:szCs w:val="16"/>
              </w:rPr>
            </w:pPr>
            <w:r>
              <w:rPr>
                <w:rFonts w:ascii="Calibri" w:hAnsi="Calibri" w:cs="Calibri"/>
                <w:color w:val="000000"/>
                <w:sz w:val="16"/>
                <w:szCs w:val="16"/>
              </w:rPr>
              <w:t>21</w:t>
            </w:r>
          </w:p>
        </w:tc>
        <w:tc>
          <w:tcPr>
            <w:tcW w:w="1016" w:type="dxa"/>
            <w:tcBorders>
              <w:top w:val="single" w:sz="8" w:space="0" w:color="auto"/>
              <w:left w:val="nil"/>
              <w:bottom w:val="single" w:sz="8" w:space="0" w:color="auto"/>
              <w:right w:val="single" w:sz="4" w:space="0" w:color="auto"/>
            </w:tcBorders>
            <w:shd w:val="clear" w:color="auto" w:fill="auto"/>
            <w:vAlign w:val="center"/>
            <w:hideMark/>
          </w:tcPr>
          <w:p w:rsidR="002B7F8E" w:rsidRPr="002B53E2" w:rsidP="002B7F8E" w14:paraId="557D78A2" w14:textId="6ACF2175">
            <w:pPr>
              <w:jc w:val="center"/>
              <w:rPr>
                <w:rFonts w:ascii="Calibri" w:hAnsi="Calibri" w:cs="Calibri"/>
                <w:b/>
                <w:bCs/>
                <w:color w:val="000000"/>
                <w:sz w:val="16"/>
                <w:szCs w:val="16"/>
              </w:rPr>
            </w:pPr>
            <w:r>
              <w:rPr>
                <w:rFonts w:ascii="Calibri" w:hAnsi="Calibri" w:cs="Calibri"/>
                <w:color w:val="000000"/>
                <w:sz w:val="16"/>
                <w:szCs w:val="16"/>
              </w:rPr>
              <w:t xml:space="preserve">$0.00 </w:t>
            </w:r>
          </w:p>
        </w:tc>
        <w:tc>
          <w:tcPr>
            <w:tcW w:w="1761" w:type="dxa"/>
            <w:tcBorders>
              <w:top w:val="nil"/>
              <w:left w:val="nil"/>
              <w:bottom w:val="single" w:sz="8" w:space="0" w:color="auto"/>
              <w:right w:val="single" w:sz="4" w:space="0" w:color="auto"/>
            </w:tcBorders>
            <w:shd w:val="clear" w:color="auto" w:fill="auto"/>
            <w:vAlign w:val="center"/>
            <w:hideMark/>
          </w:tcPr>
          <w:p w:rsidR="002B7F8E" w:rsidRPr="002B53E2" w:rsidP="002B7F8E" w14:paraId="4989C2E1" w14:textId="274373BA">
            <w:pPr>
              <w:jc w:val="center"/>
              <w:rPr>
                <w:rFonts w:ascii="Calibri" w:hAnsi="Calibri" w:cs="Calibri"/>
                <w:b/>
                <w:bCs/>
                <w:color w:val="000000"/>
                <w:sz w:val="16"/>
                <w:szCs w:val="16"/>
              </w:rPr>
            </w:pPr>
            <w:r>
              <w:rPr>
                <w:rFonts w:ascii="Calibri" w:hAnsi="Calibri" w:cs="Calibri"/>
                <w:color w:val="000000"/>
                <w:sz w:val="16"/>
                <w:szCs w:val="16"/>
              </w:rPr>
              <w:t xml:space="preserve">$0.00 </w:t>
            </w:r>
          </w:p>
        </w:tc>
      </w:tr>
      <w:tr w14:paraId="7760583E" w14:textId="77777777" w:rsidTr="006B4DBE">
        <w:tblPrEx>
          <w:tblW w:w="9980" w:type="dxa"/>
          <w:tblLook w:val="04A0"/>
        </w:tblPrEx>
        <w:trPr>
          <w:trHeight w:val="315"/>
        </w:trPr>
        <w:tc>
          <w:tcPr>
            <w:tcW w:w="3860" w:type="dxa"/>
            <w:tcBorders>
              <w:top w:val="nil"/>
              <w:left w:val="single" w:sz="8" w:space="0" w:color="auto"/>
              <w:bottom w:val="single" w:sz="8" w:space="0" w:color="auto"/>
              <w:right w:val="single" w:sz="4" w:space="0" w:color="auto"/>
            </w:tcBorders>
            <w:shd w:val="clear" w:color="000000" w:fill="DDEBF7"/>
            <w:vAlign w:val="center"/>
            <w:hideMark/>
          </w:tcPr>
          <w:p w:rsidR="002B7F8E" w:rsidRPr="002B53E2" w:rsidP="002B7F8E" w14:paraId="16C87DFB" w14:textId="77777777">
            <w:pPr>
              <w:jc w:val="center"/>
              <w:rPr>
                <w:rFonts w:ascii="Calibri" w:hAnsi="Calibri" w:cs="Calibri"/>
                <w:b/>
                <w:bCs/>
                <w:color w:val="000000"/>
                <w:sz w:val="16"/>
                <w:szCs w:val="16"/>
              </w:rPr>
            </w:pPr>
            <w:r w:rsidRPr="002B53E2">
              <w:rPr>
                <w:rFonts w:ascii="Calibri" w:hAnsi="Calibri" w:cs="Calibri"/>
                <w:b/>
                <w:bCs/>
                <w:color w:val="000000"/>
                <w:sz w:val="16"/>
                <w:szCs w:val="16"/>
              </w:rPr>
              <w:t>TOTALS</w:t>
            </w:r>
          </w:p>
        </w:tc>
        <w:tc>
          <w:tcPr>
            <w:tcW w:w="1260" w:type="dxa"/>
            <w:tcBorders>
              <w:top w:val="single" w:sz="8" w:space="0" w:color="auto"/>
              <w:left w:val="nil"/>
              <w:bottom w:val="single" w:sz="8" w:space="0" w:color="auto"/>
              <w:right w:val="single" w:sz="4" w:space="0" w:color="auto"/>
            </w:tcBorders>
            <w:shd w:val="clear" w:color="000000" w:fill="DDEBF7"/>
            <w:vAlign w:val="center"/>
            <w:hideMark/>
          </w:tcPr>
          <w:p w:rsidR="002B7F8E" w:rsidRPr="002B53E2" w:rsidP="009A5570" w14:paraId="2495BAA3" w14:textId="3BC65214">
            <w:pPr>
              <w:jc w:val="center"/>
              <w:rPr>
                <w:rFonts w:ascii="Calibri" w:hAnsi="Calibri" w:cs="Calibri"/>
                <w:b/>
                <w:bCs/>
                <w:color w:val="000000"/>
                <w:sz w:val="16"/>
                <w:szCs w:val="16"/>
              </w:rPr>
            </w:pPr>
            <w:r>
              <w:rPr>
                <w:rFonts w:ascii="Calibri" w:hAnsi="Calibri" w:cs="Calibri"/>
                <w:b/>
                <w:bCs/>
                <w:color w:val="000000"/>
                <w:sz w:val="16"/>
                <w:szCs w:val="16"/>
              </w:rPr>
              <w:t>2</w:t>
            </w:r>
            <w:r w:rsidR="009A5570">
              <w:rPr>
                <w:rFonts w:ascii="Calibri" w:hAnsi="Calibri" w:cs="Calibri"/>
                <w:b/>
                <w:bCs/>
                <w:color w:val="000000"/>
                <w:sz w:val="16"/>
                <w:szCs w:val="16"/>
              </w:rPr>
              <w:t>4</w:t>
            </w:r>
          </w:p>
        </w:tc>
        <w:tc>
          <w:tcPr>
            <w:tcW w:w="1166" w:type="dxa"/>
            <w:tcBorders>
              <w:top w:val="single" w:sz="8" w:space="0" w:color="auto"/>
              <w:left w:val="nil"/>
              <w:bottom w:val="single" w:sz="8" w:space="0" w:color="auto"/>
              <w:right w:val="single" w:sz="4" w:space="0" w:color="auto"/>
            </w:tcBorders>
            <w:shd w:val="clear" w:color="000000" w:fill="DDEBF7"/>
            <w:vAlign w:val="center"/>
            <w:hideMark/>
          </w:tcPr>
          <w:p w:rsidR="002B7F8E" w:rsidRPr="002B53E2" w:rsidP="00355747" w14:paraId="1F25B863" w14:textId="463BBE3F">
            <w:pPr>
              <w:jc w:val="center"/>
              <w:rPr>
                <w:rFonts w:ascii="Calibri" w:hAnsi="Calibri" w:cs="Calibri"/>
                <w:b/>
                <w:bCs/>
                <w:color w:val="000000"/>
                <w:sz w:val="16"/>
                <w:szCs w:val="16"/>
              </w:rPr>
            </w:pPr>
            <w:r>
              <w:rPr>
                <w:rFonts w:ascii="Calibri" w:hAnsi="Calibri" w:cs="Calibri"/>
                <w:b/>
                <w:bCs/>
                <w:color w:val="000000"/>
                <w:sz w:val="16"/>
                <w:szCs w:val="16"/>
              </w:rPr>
              <w:t>10</w:t>
            </w:r>
            <w:r w:rsidR="00355747">
              <w:rPr>
                <w:rFonts w:ascii="Calibri" w:hAnsi="Calibri" w:cs="Calibri"/>
                <w:b/>
                <w:bCs/>
                <w:color w:val="000000"/>
                <w:sz w:val="16"/>
                <w:szCs w:val="16"/>
              </w:rPr>
              <w:t>5</w:t>
            </w:r>
          </w:p>
        </w:tc>
        <w:tc>
          <w:tcPr>
            <w:tcW w:w="917" w:type="dxa"/>
            <w:tcBorders>
              <w:top w:val="single" w:sz="8" w:space="0" w:color="auto"/>
              <w:left w:val="nil"/>
              <w:bottom w:val="single" w:sz="8" w:space="0" w:color="auto"/>
              <w:right w:val="single" w:sz="4" w:space="0" w:color="auto"/>
            </w:tcBorders>
            <w:shd w:val="clear" w:color="auto" w:fill="DBE5F1" w:themeFill="accent1" w:themeFillTint="33"/>
            <w:vAlign w:val="center"/>
            <w:hideMark/>
          </w:tcPr>
          <w:p w:rsidR="002B7F8E" w:rsidRPr="002B53E2" w:rsidP="00355747" w14:paraId="051F7826" w14:textId="44771537">
            <w:pPr>
              <w:jc w:val="center"/>
              <w:rPr>
                <w:rFonts w:ascii="Calibri" w:hAnsi="Calibri" w:cs="Calibri"/>
                <w:b/>
                <w:bCs/>
                <w:color w:val="000000"/>
                <w:sz w:val="16"/>
                <w:szCs w:val="16"/>
              </w:rPr>
            </w:pPr>
            <w:r>
              <w:rPr>
                <w:rFonts w:ascii="Calibri" w:hAnsi="Calibri" w:cs="Calibri"/>
                <w:b/>
                <w:bCs/>
                <w:color w:val="000000"/>
                <w:sz w:val="16"/>
                <w:szCs w:val="16"/>
              </w:rPr>
              <w:t>8</w:t>
            </w:r>
            <w:r w:rsidR="00355747">
              <w:rPr>
                <w:rFonts w:ascii="Calibri" w:hAnsi="Calibri" w:cs="Calibri"/>
                <w:b/>
                <w:bCs/>
                <w:color w:val="000000"/>
                <w:sz w:val="16"/>
                <w:szCs w:val="16"/>
              </w:rPr>
              <w:t>9</w:t>
            </w:r>
            <w:r>
              <w:rPr>
                <w:rFonts w:ascii="Calibri" w:hAnsi="Calibri" w:cs="Calibri"/>
                <w:b/>
                <w:bCs/>
                <w:color w:val="000000"/>
                <w:sz w:val="16"/>
                <w:szCs w:val="16"/>
              </w:rPr>
              <w:t>9</w:t>
            </w:r>
          </w:p>
        </w:tc>
        <w:tc>
          <w:tcPr>
            <w:tcW w:w="1016" w:type="dxa"/>
            <w:tcBorders>
              <w:top w:val="single" w:sz="8" w:space="0" w:color="auto"/>
              <w:left w:val="nil"/>
              <w:bottom w:val="single" w:sz="8" w:space="0" w:color="auto"/>
              <w:right w:val="single" w:sz="4" w:space="0" w:color="auto"/>
            </w:tcBorders>
            <w:shd w:val="clear" w:color="000000" w:fill="DDEBF7"/>
            <w:vAlign w:val="center"/>
            <w:hideMark/>
          </w:tcPr>
          <w:p w:rsidR="002B7F8E" w:rsidRPr="002B53E2" w:rsidP="00355747" w14:paraId="2350F68A" w14:textId="4207307F">
            <w:pPr>
              <w:jc w:val="center"/>
              <w:rPr>
                <w:rFonts w:ascii="Calibri" w:hAnsi="Calibri" w:cs="Calibri"/>
                <w:b/>
                <w:bCs/>
                <w:color w:val="000000"/>
                <w:sz w:val="16"/>
                <w:szCs w:val="16"/>
              </w:rPr>
            </w:pPr>
            <w:r>
              <w:rPr>
                <w:rFonts w:ascii="Calibri" w:hAnsi="Calibri" w:cs="Calibri"/>
                <w:b/>
                <w:bCs/>
                <w:color w:val="000000"/>
                <w:sz w:val="16"/>
                <w:szCs w:val="16"/>
              </w:rPr>
              <w:t xml:space="preserve"> $</w:t>
            </w:r>
            <w:r w:rsidR="00355747">
              <w:rPr>
                <w:rFonts w:ascii="Calibri" w:hAnsi="Calibri" w:cs="Calibri"/>
                <w:b/>
                <w:bCs/>
                <w:color w:val="000000"/>
                <w:sz w:val="16"/>
                <w:szCs w:val="16"/>
              </w:rPr>
              <w:t>1,737.85</w:t>
            </w:r>
            <w:r>
              <w:rPr>
                <w:rFonts w:ascii="Calibri" w:hAnsi="Calibri" w:cs="Calibri"/>
                <w:b/>
                <w:bCs/>
                <w:color w:val="000000"/>
                <w:sz w:val="16"/>
                <w:szCs w:val="16"/>
              </w:rPr>
              <w:t xml:space="preserve"> </w:t>
            </w:r>
          </w:p>
        </w:tc>
        <w:tc>
          <w:tcPr>
            <w:tcW w:w="1761" w:type="dxa"/>
            <w:tcBorders>
              <w:top w:val="nil"/>
              <w:left w:val="nil"/>
              <w:bottom w:val="single" w:sz="8" w:space="0" w:color="auto"/>
              <w:right w:val="single" w:sz="4" w:space="0" w:color="auto"/>
            </w:tcBorders>
            <w:shd w:val="clear" w:color="000000" w:fill="DDEBF7"/>
            <w:vAlign w:val="center"/>
            <w:hideMark/>
          </w:tcPr>
          <w:p w:rsidR="002B7F8E" w:rsidRPr="002B53E2" w:rsidP="00355747" w14:paraId="740ED077" w14:textId="1FF1132D">
            <w:pPr>
              <w:jc w:val="center"/>
              <w:rPr>
                <w:rFonts w:ascii="Calibri" w:hAnsi="Calibri" w:cs="Calibri"/>
                <w:b/>
                <w:bCs/>
                <w:color w:val="000000"/>
                <w:sz w:val="16"/>
                <w:szCs w:val="16"/>
              </w:rPr>
            </w:pPr>
            <w:r>
              <w:rPr>
                <w:rFonts w:ascii="Calibri" w:hAnsi="Calibri" w:cs="Calibri"/>
                <w:b/>
                <w:bCs/>
                <w:color w:val="000000"/>
                <w:sz w:val="16"/>
                <w:szCs w:val="16"/>
              </w:rPr>
              <w:t>$</w:t>
            </w:r>
            <w:r w:rsidR="00355747">
              <w:rPr>
                <w:rFonts w:ascii="Calibri" w:hAnsi="Calibri" w:cs="Calibri"/>
                <w:b/>
                <w:bCs/>
                <w:color w:val="000000"/>
                <w:sz w:val="16"/>
                <w:szCs w:val="16"/>
              </w:rPr>
              <w:t>101,746.55</w:t>
            </w:r>
          </w:p>
        </w:tc>
      </w:tr>
    </w:tbl>
    <w:p w:rsidR="002B53E2" w:rsidP="002302BC" w14:paraId="4042C425" w14:textId="77777777">
      <w:pPr>
        <w:spacing w:after="120"/>
      </w:pPr>
    </w:p>
    <w:p w:rsidR="002B53E2" w:rsidP="00D17192" w14:paraId="1EF0829F" w14:textId="77777777">
      <w:pPr>
        <w:pStyle w:val="ListParagraph"/>
        <w:widowControl w:val="0"/>
        <w:tabs>
          <w:tab w:val="left" w:pos="360"/>
        </w:tabs>
        <w:autoSpaceDE w:val="0"/>
        <w:autoSpaceDN w:val="0"/>
        <w:spacing w:before="80"/>
        <w:ind w:left="0"/>
        <w:contextualSpacing w:val="0"/>
        <w:rPr>
          <w:b/>
        </w:rPr>
      </w:pPr>
    </w:p>
    <w:p w:rsidR="00D17192" w:rsidRPr="00BD7237" w:rsidP="00D17192" w14:paraId="398CB353" w14:textId="2C7BA833">
      <w:pPr>
        <w:pStyle w:val="ListParagraph"/>
        <w:widowControl w:val="0"/>
        <w:tabs>
          <w:tab w:val="left" w:pos="360"/>
        </w:tabs>
        <w:autoSpaceDE w:val="0"/>
        <w:autoSpaceDN w:val="0"/>
        <w:spacing w:before="80"/>
        <w:ind w:left="0"/>
        <w:contextualSpacing w:val="0"/>
        <w:rPr>
          <w:b/>
          <w:szCs w:val="24"/>
        </w:rPr>
      </w:pPr>
      <w:r>
        <w:rPr>
          <w:b/>
        </w:rPr>
        <w:t xml:space="preserve">14. </w:t>
      </w:r>
      <w:r w:rsidRPr="00BD7237">
        <w:rPr>
          <w:b/>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E57BCA" w14:paraId="2703E27C" w14:textId="35D6DB04">
      <w:pPr>
        <w:rPr>
          <w:b/>
          <w:sz w:val="20"/>
        </w:rPr>
      </w:pPr>
    </w:p>
    <w:p w:rsidR="00570536" w:rsidP="002302BC" w14:paraId="100DBE46" w14:textId="54F3C61B">
      <w:pPr>
        <w:spacing w:after="120"/>
      </w:pPr>
      <w:r>
        <w:rPr>
          <w:b/>
          <w:sz w:val="20"/>
        </w:rPr>
        <w:t xml:space="preserve">Table </w:t>
      </w:r>
      <w:r w:rsidR="00D23A58">
        <w:rPr>
          <w:b/>
          <w:sz w:val="20"/>
        </w:rPr>
        <w:t>8</w:t>
      </w:r>
      <w:r w:rsidR="00276003">
        <w:rPr>
          <w:b/>
          <w:sz w:val="20"/>
        </w:rPr>
        <w:t>.</w:t>
      </w:r>
      <w:r>
        <w:rPr>
          <w:b/>
          <w:sz w:val="20"/>
        </w:rPr>
        <w:t xml:space="preserve"> Summary of the cost to the government for these information collections</w:t>
      </w:r>
    </w:p>
    <w:tbl>
      <w:tblPr>
        <w:tblW w:w="8660" w:type="dxa"/>
        <w:tblInd w:w="-10" w:type="dxa"/>
        <w:tblLook w:val="04A0"/>
      </w:tblPr>
      <w:tblGrid>
        <w:gridCol w:w="2400"/>
        <w:gridCol w:w="1180"/>
        <w:gridCol w:w="1200"/>
        <w:gridCol w:w="1160"/>
        <w:gridCol w:w="1340"/>
        <w:gridCol w:w="1380"/>
      </w:tblGrid>
      <w:tr w14:paraId="081CB4B5" w14:textId="77777777" w:rsidTr="00570536">
        <w:tblPrEx>
          <w:tblW w:w="8660" w:type="dxa"/>
          <w:tblInd w:w="-10" w:type="dxa"/>
          <w:tblLook w:val="04A0"/>
        </w:tblPrEx>
        <w:trPr>
          <w:trHeight w:val="420"/>
        </w:trPr>
        <w:tc>
          <w:tcPr>
            <w:tcW w:w="2400" w:type="dxa"/>
            <w:tcBorders>
              <w:top w:val="single" w:sz="8" w:space="0" w:color="auto"/>
              <w:left w:val="single" w:sz="8" w:space="0" w:color="auto"/>
              <w:bottom w:val="nil"/>
              <w:right w:val="single" w:sz="8" w:space="0" w:color="auto"/>
            </w:tcBorders>
            <w:shd w:val="clear" w:color="000000" w:fill="BDD7EE"/>
            <w:vAlign w:val="center"/>
            <w:hideMark/>
          </w:tcPr>
          <w:p w:rsidR="00570536" w:rsidRPr="00570536" w:rsidP="00570536" w14:paraId="43FC5351" w14:textId="77777777">
            <w:pPr>
              <w:jc w:val="center"/>
              <w:rPr>
                <w:rFonts w:ascii="Calibri" w:hAnsi="Calibri" w:cs="Calibri"/>
                <w:b/>
                <w:bCs/>
                <w:color w:val="000000"/>
                <w:sz w:val="16"/>
                <w:szCs w:val="16"/>
              </w:rPr>
            </w:pPr>
            <w:r w:rsidRPr="00570536">
              <w:rPr>
                <w:rFonts w:ascii="Calibri" w:hAnsi="Calibri" w:cs="Calibri"/>
                <w:b/>
                <w:bCs/>
                <w:color w:val="000000"/>
                <w:sz w:val="16"/>
                <w:szCs w:val="16"/>
              </w:rPr>
              <w:t>Cost Descriptions</w:t>
            </w:r>
          </w:p>
        </w:tc>
        <w:tc>
          <w:tcPr>
            <w:tcW w:w="1180" w:type="dxa"/>
            <w:tcBorders>
              <w:top w:val="single" w:sz="8" w:space="0" w:color="auto"/>
              <w:left w:val="nil"/>
              <w:bottom w:val="nil"/>
              <w:right w:val="single" w:sz="8" w:space="0" w:color="auto"/>
            </w:tcBorders>
            <w:shd w:val="clear" w:color="000000" w:fill="BDD7EE"/>
            <w:vAlign w:val="center"/>
            <w:hideMark/>
          </w:tcPr>
          <w:p w:rsidR="00570536" w:rsidRPr="00570536" w:rsidP="00570536" w14:paraId="42152E15" w14:textId="77777777">
            <w:pPr>
              <w:jc w:val="center"/>
              <w:rPr>
                <w:rFonts w:ascii="Calibri" w:hAnsi="Calibri" w:cs="Calibri"/>
                <w:b/>
                <w:bCs/>
                <w:color w:val="000000"/>
                <w:sz w:val="16"/>
                <w:szCs w:val="16"/>
              </w:rPr>
            </w:pPr>
            <w:r w:rsidRPr="00570536">
              <w:rPr>
                <w:rFonts w:ascii="Calibri" w:hAnsi="Calibri" w:cs="Calibri"/>
                <w:b/>
                <w:bCs/>
                <w:color w:val="000000"/>
                <w:sz w:val="16"/>
                <w:szCs w:val="16"/>
              </w:rPr>
              <w:t>Grade/Step</w:t>
            </w:r>
          </w:p>
        </w:tc>
        <w:tc>
          <w:tcPr>
            <w:tcW w:w="1200" w:type="dxa"/>
            <w:tcBorders>
              <w:top w:val="single" w:sz="8" w:space="0" w:color="auto"/>
              <w:left w:val="nil"/>
              <w:bottom w:val="nil"/>
              <w:right w:val="single" w:sz="8" w:space="0" w:color="auto"/>
            </w:tcBorders>
            <w:shd w:val="clear" w:color="000000" w:fill="BDD7EE"/>
            <w:vAlign w:val="center"/>
            <w:hideMark/>
          </w:tcPr>
          <w:p w:rsidR="00570536" w:rsidRPr="00570536" w:rsidP="00570536" w14:paraId="4195A56F" w14:textId="77777777">
            <w:pPr>
              <w:jc w:val="center"/>
              <w:rPr>
                <w:rFonts w:ascii="Calibri" w:hAnsi="Calibri" w:cs="Calibri"/>
                <w:b/>
                <w:bCs/>
                <w:color w:val="000000"/>
                <w:sz w:val="16"/>
                <w:szCs w:val="16"/>
              </w:rPr>
            </w:pPr>
            <w:r w:rsidRPr="00570536">
              <w:rPr>
                <w:rFonts w:ascii="Calibri" w:hAnsi="Calibri" w:cs="Calibri"/>
                <w:b/>
                <w:bCs/>
                <w:color w:val="000000"/>
                <w:sz w:val="16"/>
                <w:szCs w:val="16"/>
              </w:rPr>
              <w:t>Loaded Salary /Cost</w:t>
            </w:r>
          </w:p>
        </w:tc>
        <w:tc>
          <w:tcPr>
            <w:tcW w:w="1160" w:type="dxa"/>
            <w:tcBorders>
              <w:top w:val="single" w:sz="8" w:space="0" w:color="auto"/>
              <w:left w:val="nil"/>
              <w:bottom w:val="nil"/>
              <w:right w:val="single" w:sz="8" w:space="0" w:color="auto"/>
            </w:tcBorders>
            <w:shd w:val="clear" w:color="000000" w:fill="BDD7EE"/>
            <w:vAlign w:val="center"/>
            <w:hideMark/>
          </w:tcPr>
          <w:p w:rsidR="00570536" w:rsidRPr="00570536" w:rsidP="00570536" w14:paraId="24F869F1" w14:textId="77777777">
            <w:pPr>
              <w:jc w:val="center"/>
              <w:rPr>
                <w:rFonts w:ascii="Calibri" w:hAnsi="Calibri" w:cs="Calibri"/>
                <w:b/>
                <w:bCs/>
                <w:color w:val="000000"/>
                <w:sz w:val="16"/>
                <w:szCs w:val="16"/>
              </w:rPr>
            </w:pPr>
            <w:r w:rsidRPr="00570536">
              <w:rPr>
                <w:rFonts w:ascii="Calibri" w:hAnsi="Calibri" w:cs="Calibri"/>
                <w:b/>
                <w:bCs/>
                <w:color w:val="000000"/>
                <w:sz w:val="16"/>
                <w:szCs w:val="16"/>
              </w:rPr>
              <w:t>% of Effort</w:t>
            </w:r>
          </w:p>
        </w:tc>
        <w:tc>
          <w:tcPr>
            <w:tcW w:w="1340" w:type="dxa"/>
            <w:tcBorders>
              <w:top w:val="single" w:sz="8" w:space="0" w:color="auto"/>
              <w:left w:val="nil"/>
              <w:bottom w:val="nil"/>
              <w:right w:val="single" w:sz="8" w:space="0" w:color="auto"/>
            </w:tcBorders>
            <w:shd w:val="clear" w:color="000000" w:fill="BDD7EE"/>
            <w:vAlign w:val="center"/>
            <w:hideMark/>
          </w:tcPr>
          <w:p w:rsidR="00570536" w:rsidRPr="00570536" w:rsidP="00570536" w14:paraId="69051B7D" w14:textId="77777777">
            <w:pPr>
              <w:jc w:val="center"/>
              <w:rPr>
                <w:rFonts w:ascii="Calibri" w:hAnsi="Calibri" w:cs="Calibri"/>
                <w:b/>
                <w:bCs/>
                <w:color w:val="000000"/>
                <w:sz w:val="16"/>
                <w:szCs w:val="16"/>
              </w:rPr>
            </w:pPr>
            <w:r w:rsidRPr="00570536">
              <w:rPr>
                <w:rFonts w:ascii="Calibri" w:hAnsi="Calibri" w:cs="Calibri"/>
                <w:b/>
                <w:bCs/>
                <w:color w:val="000000"/>
                <w:sz w:val="16"/>
                <w:szCs w:val="16"/>
              </w:rPr>
              <w:t>Fringe (if Applicable)</w:t>
            </w:r>
          </w:p>
        </w:tc>
        <w:tc>
          <w:tcPr>
            <w:tcW w:w="1380" w:type="dxa"/>
            <w:tcBorders>
              <w:top w:val="single" w:sz="8" w:space="0" w:color="auto"/>
              <w:left w:val="nil"/>
              <w:bottom w:val="nil"/>
              <w:right w:val="single" w:sz="8" w:space="0" w:color="auto"/>
            </w:tcBorders>
            <w:shd w:val="clear" w:color="000000" w:fill="BDD7EE"/>
            <w:vAlign w:val="center"/>
            <w:hideMark/>
          </w:tcPr>
          <w:p w:rsidR="00570536" w:rsidRPr="00570536" w:rsidP="00570536" w14:paraId="03FC7B8E" w14:textId="77777777">
            <w:pPr>
              <w:jc w:val="center"/>
              <w:rPr>
                <w:rFonts w:ascii="Calibri" w:hAnsi="Calibri" w:cs="Calibri"/>
                <w:b/>
                <w:bCs/>
                <w:color w:val="000000"/>
                <w:sz w:val="16"/>
                <w:szCs w:val="16"/>
              </w:rPr>
            </w:pPr>
            <w:r w:rsidRPr="00570536">
              <w:rPr>
                <w:rFonts w:ascii="Calibri" w:hAnsi="Calibri" w:cs="Calibri"/>
                <w:b/>
                <w:bCs/>
                <w:color w:val="000000"/>
                <w:sz w:val="16"/>
                <w:szCs w:val="16"/>
              </w:rPr>
              <w:t>Total Cost to Government</w:t>
            </w:r>
          </w:p>
        </w:tc>
      </w:tr>
      <w:tr w14:paraId="1776FBCD" w14:textId="77777777" w:rsidTr="00570536">
        <w:tblPrEx>
          <w:tblW w:w="8660" w:type="dxa"/>
          <w:tblInd w:w="-10" w:type="dxa"/>
          <w:tblLook w:val="04A0"/>
        </w:tblPrEx>
        <w:trPr>
          <w:trHeight w:val="290"/>
        </w:trPr>
        <w:tc>
          <w:tcPr>
            <w:tcW w:w="2400" w:type="dxa"/>
            <w:tcBorders>
              <w:top w:val="single" w:sz="4" w:space="0" w:color="auto"/>
              <w:left w:val="single" w:sz="8" w:space="0" w:color="auto"/>
              <w:bottom w:val="single" w:sz="4" w:space="0" w:color="auto"/>
              <w:right w:val="single" w:sz="8" w:space="0" w:color="auto"/>
            </w:tcBorders>
            <w:shd w:val="clear" w:color="auto" w:fill="auto"/>
            <w:vAlign w:val="bottom"/>
            <w:hideMark/>
          </w:tcPr>
          <w:p w:rsidR="00570536" w:rsidRPr="00570536" w:rsidP="00570536" w14:paraId="504D271F" w14:textId="77777777">
            <w:pPr>
              <w:rPr>
                <w:rFonts w:ascii="Calibri" w:hAnsi="Calibri" w:cs="Calibri"/>
                <w:b/>
                <w:bCs/>
                <w:color w:val="000000"/>
                <w:sz w:val="16"/>
                <w:szCs w:val="16"/>
              </w:rPr>
            </w:pPr>
            <w:r w:rsidRPr="00570536">
              <w:rPr>
                <w:rFonts w:ascii="Calibri" w:hAnsi="Calibri" w:cs="Calibri"/>
                <w:b/>
                <w:bCs/>
                <w:color w:val="000000"/>
                <w:sz w:val="16"/>
                <w:szCs w:val="16"/>
              </w:rPr>
              <w:t>Federal Oversight</w:t>
            </w:r>
          </w:p>
        </w:tc>
        <w:tc>
          <w:tcPr>
            <w:tcW w:w="1180" w:type="dxa"/>
            <w:tcBorders>
              <w:top w:val="single" w:sz="4" w:space="0" w:color="auto"/>
              <w:left w:val="nil"/>
              <w:bottom w:val="single" w:sz="4" w:space="0" w:color="auto"/>
              <w:right w:val="single" w:sz="4" w:space="0" w:color="auto"/>
            </w:tcBorders>
            <w:shd w:val="clear" w:color="auto" w:fill="auto"/>
            <w:noWrap/>
            <w:vAlign w:val="bottom"/>
            <w:hideMark/>
          </w:tcPr>
          <w:p w:rsidR="00570536" w:rsidRPr="00570536" w:rsidP="00570536" w14:paraId="3AE29FE9" w14:textId="77777777">
            <w:pPr>
              <w:rPr>
                <w:rFonts w:ascii="Calibri" w:hAnsi="Calibri" w:cs="Calibri"/>
                <w:color w:val="000000"/>
                <w:sz w:val="16"/>
                <w:szCs w:val="16"/>
              </w:rPr>
            </w:pPr>
            <w:r w:rsidRPr="00570536">
              <w:rPr>
                <w:rFonts w:ascii="Calibri" w:hAnsi="Calibri" w:cs="Calibri"/>
                <w:color w:val="000000"/>
                <w:sz w:val="16"/>
                <w:szCs w:val="16"/>
              </w:rPr>
              <w:t>Band IV</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rsidR="00570536" w:rsidRPr="00570536" w:rsidP="00570536" w14:paraId="231D8AB5" w14:textId="7A8D4B8F">
            <w:pPr>
              <w:jc w:val="right"/>
              <w:rPr>
                <w:rFonts w:ascii="Calibri" w:hAnsi="Calibri" w:cs="Calibri"/>
                <w:color w:val="000000"/>
                <w:sz w:val="16"/>
                <w:szCs w:val="16"/>
              </w:rPr>
            </w:pPr>
            <w:r>
              <w:rPr>
                <w:rFonts w:ascii="Calibri" w:hAnsi="Calibri" w:cs="Calibri"/>
                <w:color w:val="000000"/>
                <w:sz w:val="16"/>
                <w:szCs w:val="16"/>
              </w:rPr>
              <w:t>$</w:t>
            </w:r>
            <w:r w:rsidRPr="00570536">
              <w:rPr>
                <w:rFonts w:ascii="Calibri" w:hAnsi="Calibri" w:cs="Calibri"/>
                <w:color w:val="000000"/>
                <w:sz w:val="16"/>
                <w:szCs w:val="16"/>
              </w:rPr>
              <w:t>136</w:t>
            </w:r>
            <w:r>
              <w:rPr>
                <w:rFonts w:ascii="Calibri" w:hAnsi="Calibri" w:cs="Calibri"/>
                <w:color w:val="000000"/>
                <w:sz w:val="16"/>
                <w:szCs w:val="16"/>
              </w:rPr>
              <w:t>,</w:t>
            </w:r>
            <w:r w:rsidRPr="00570536">
              <w:rPr>
                <w:rFonts w:ascii="Calibri" w:hAnsi="Calibri" w:cs="Calibri"/>
                <w:color w:val="000000"/>
                <w:sz w:val="16"/>
                <w:szCs w:val="16"/>
              </w:rPr>
              <w:t>847</w:t>
            </w:r>
          </w:p>
        </w:tc>
        <w:tc>
          <w:tcPr>
            <w:tcW w:w="1160" w:type="dxa"/>
            <w:tcBorders>
              <w:top w:val="single" w:sz="4" w:space="0" w:color="auto"/>
              <w:left w:val="nil"/>
              <w:bottom w:val="single" w:sz="4" w:space="0" w:color="auto"/>
              <w:right w:val="single" w:sz="4" w:space="0" w:color="auto"/>
            </w:tcBorders>
            <w:shd w:val="clear" w:color="auto" w:fill="auto"/>
            <w:noWrap/>
            <w:vAlign w:val="bottom"/>
            <w:hideMark/>
          </w:tcPr>
          <w:p w:rsidR="00570536" w:rsidRPr="00570536" w:rsidP="00570536" w14:paraId="3F5F0C28" w14:textId="77777777">
            <w:pPr>
              <w:jc w:val="right"/>
              <w:rPr>
                <w:rFonts w:ascii="Calibri" w:hAnsi="Calibri" w:cs="Calibri"/>
                <w:color w:val="000000"/>
                <w:sz w:val="16"/>
                <w:szCs w:val="16"/>
              </w:rPr>
            </w:pPr>
            <w:r w:rsidRPr="00570536">
              <w:rPr>
                <w:rFonts w:ascii="Calibri" w:hAnsi="Calibri" w:cs="Calibri"/>
                <w:color w:val="000000"/>
                <w:sz w:val="16"/>
                <w:szCs w:val="16"/>
              </w:rPr>
              <w:t>50%</w:t>
            </w:r>
          </w:p>
        </w:tc>
        <w:tc>
          <w:tcPr>
            <w:tcW w:w="1340" w:type="dxa"/>
            <w:tcBorders>
              <w:top w:val="single" w:sz="4" w:space="0" w:color="auto"/>
              <w:left w:val="nil"/>
              <w:bottom w:val="single" w:sz="4" w:space="0" w:color="auto"/>
              <w:right w:val="single" w:sz="4" w:space="0" w:color="auto"/>
            </w:tcBorders>
            <w:shd w:val="clear" w:color="000000" w:fill="808080"/>
            <w:noWrap/>
            <w:vAlign w:val="bottom"/>
            <w:hideMark/>
          </w:tcPr>
          <w:p w:rsidR="00570536" w:rsidRPr="00570536" w:rsidP="00570536" w14:paraId="3C624288" w14:textId="77777777">
            <w:pPr>
              <w:rPr>
                <w:rFonts w:ascii="Calibri" w:hAnsi="Calibri" w:cs="Calibri"/>
                <w:color w:val="000000"/>
                <w:sz w:val="16"/>
                <w:szCs w:val="16"/>
              </w:rPr>
            </w:pPr>
            <w:r w:rsidRPr="00570536">
              <w:rPr>
                <w:rFonts w:ascii="Calibri" w:hAnsi="Calibri" w:cs="Calibri"/>
                <w:color w:val="000000"/>
                <w:sz w:val="16"/>
                <w:szCs w:val="16"/>
              </w:rPr>
              <w:t> </w:t>
            </w:r>
          </w:p>
        </w:tc>
        <w:tc>
          <w:tcPr>
            <w:tcW w:w="1380" w:type="dxa"/>
            <w:tcBorders>
              <w:top w:val="single" w:sz="4" w:space="0" w:color="auto"/>
              <w:left w:val="nil"/>
              <w:bottom w:val="single" w:sz="4" w:space="0" w:color="auto"/>
              <w:right w:val="single" w:sz="8" w:space="0" w:color="auto"/>
            </w:tcBorders>
            <w:shd w:val="clear" w:color="auto" w:fill="auto"/>
            <w:noWrap/>
            <w:vAlign w:val="bottom"/>
            <w:hideMark/>
          </w:tcPr>
          <w:p w:rsidR="00570536" w:rsidRPr="00570536" w:rsidP="00F47AED" w14:paraId="209F39BE" w14:textId="20CB44A3">
            <w:pPr>
              <w:rPr>
                <w:rFonts w:ascii="Calibri" w:hAnsi="Calibri" w:cs="Calibri"/>
                <w:color w:val="000000"/>
                <w:sz w:val="16"/>
                <w:szCs w:val="16"/>
              </w:rPr>
            </w:pPr>
            <w:r>
              <w:rPr>
                <w:rFonts w:ascii="Calibri" w:hAnsi="Calibri" w:cs="Calibri"/>
                <w:color w:val="000000"/>
                <w:sz w:val="16"/>
                <w:szCs w:val="16"/>
              </w:rPr>
              <w:t xml:space="preserve"> $</w:t>
            </w:r>
            <w:r w:rsidR="00F47AED">
              <w:rPr>
                <w:rFonts w:ascii="Calibri" w:hAnsi="Calibri" w:cs="Calibri"/>
                <w:color w:val="000000"/>
                <w:sz w:val="16"/>
                <w:szCs w:val="16"/>
              </w:rPr>
              <w:t>67,923.50</w:t>
            </w:r>
            <w:r w:rsidRPr="00570536">
              <w:rPr>
                <w:rFonts w:ascii="Calibri" w:hAnsi="Calibri" w:cs="Calibri"/>
                <w:color w:val="000000"/>
                <w:sz w:val="16"/>
                <w:szCs w:val="16"/>
              </w:rPr>
              <w:t xml:space="preserve"> </w:t>
            </w:r>
          </w:p>
        </w:tc>
      </w:tr>
      <w:tr w14:paraId="24119532" w14:textId="77777777" w:rsidTr="00570536">
        <w:tblPrEx>
          <w:tblW w:w="8660" w:type="dxa"/>
          <w:tblInd w:w="-10" w:type="dxa"/>
          <w:tblLook w:val="04A0"/>
        </w:tblPrEx>
        <w:trPr>
          <w:trHeight w:val="290"/>
        </w:trPr>
        <w:tc>
          <w:tcPr>
            <w:tcW w:w="2400" w:type="dxa"/>
            <w:tcBorders>
              <w:top w:val="nil"/>
              <w:left w:val="single" w:sz="8" w:space="0" w:color="auto"/>
              <w:bottom w:val="single" w:sz="4" w:space="0" w:color="auto"/>
              <w:right w:val="single" w:sz="8" w:space="0" w:color="auto"/>
            </w:tcBorders>
            <w:shd w:val="clear" w:color="auto" w:fill="auto"/>
            <w:noWrap/>
            <w:vAlign w:val="bottom"/>
            <w:hideMark/>
          </w:tcPr>
          <w:p w:rsidR="00570536" w:rsidRPr="00570536" w:rsidP="00570536" w14:paraId="4AA6AFC7" w14:textId="77777777">
            <w:pPr>
              <w:rPr>
                <w:rFonts w:ascii="Calibri" w:hAnsi="Calibri" w:cs="Calibri"/>
                <w:color w:val="000000"/>
                <w:sz w:val="16"/>
                <w:szCs w:val="16"/>
              </w:rPr>
            </w:pPr>
            <w:r w:rsidRPr="00570536">
              <w:rPr>
                <w:rFonts w:ascii="Calibri" w:hAnsi="Calibri" w:cs="Calibri"/>
                <w:color w:val="000000"/>
                <w:sz w:val="16"/>
                <w:szCs w:val="16"/>
              </w:rPr>
              <w:t>Other Federal Positions</w:t>
            </w:r>
          </w:p>
        </w:tc>
        <w:tc>
          <w:tcPr>
            <w:tcW w:w="1180" w:type="dxa"/>
            <w:tcBorders>
              <w:top w:val="nil"/>
              <w:left w:val="nil"/>
              <w:bottom w:val="single" w:sz="4" w:space="0" w:color="auto"/>
              <w:right w:val="single" w:sz="4" w:space="0" w:color="auto"/>
            </w:tcBorders>
            <w:shd w:val="clear" w:color="auto" w:fill="auto"/>
            <w:noWrap/>
            <w:vAlign w:val="bottom"/>
            <w:hideMark/>
          </w:tcPr>
          <w:p w:rsidR="00570536" w:rsidRPr="00570536" w:rsidP="00570536" w14:paraId="77B249FE" w14:textId="77777777">
            <w:pPr>
              <w:rPr>
                <w:rFonts w:ascii="Calibri" w:hAnsi="Calibri" w:cs="Calibri"/>
                <w:color w:val="000000"/>
                <w:sz w:val="16"/>
                <w:szCs w:val="16"/>
              </w:rPr>
            </w:pPr>
            <w:r w:rsidRPr="00570536">
              <w:rPr>
                <w:rFonts w:ascii="Calibri" w:hAnsi="Calibri" w:cs="Calibri"/>
                <w:color w:val="000000"/>
                <w:sz w:val="16"/>
                <w:szCs w:val="16"/>
              </w:rPr>
              <w:t> </w:t>
            </w:r>
          </w:p>
        </w:tc>
        <w:tc>
          <w:tcPr>
            <w:tcW w:w="1200" w:type="dxa"/>
            <w:tcBorders>
              <w:top w:val="nil"/>
              <w:left w:val="nil"/>
              <w:bottom w:val="single" w:sz="4" w:space="0" w:color="auto"/>
              <w:right w:val="single" w:sz="4" w:space="0" w:color="auto"/>
            </w:tcBorders>
            <w:shd w:val="clear" w:color="auto" w:fill="auto"/>
            <w:noWrap/>
            <w:vAlign w:val="bottom"/>
            <w:hideMark/>
          </w:tcPr>
          <w:p w:rsidR="00570536" w:rsidRPr="00570536" w:rsidP="00570536" w14:paraId="0DCD9A46" w14:textId="77777777">
            <w:pPr>
              <w:rPr>
                <w:rFonts w:ascii="Calibri" w:hAnsi="Calibri" w:cs="Calibri"/>
                <w:color w:val="000000"/>
                <w:sz w:val="16"/>
                <w:szCs w:val="16"/>
              </w:rPr>
            </w:pPr>
            <w:r w:rsidRPr="00570536">
              <w:rPr>
                <w:rFonts w:ascii="Calibri" w:hAnsi="Calibri" w:cs="Calibri"/>
                <w:color w:val="000000"/>
                <w:sz w:val="16"/>
                <w:szCs w:val="16"/>
              </w:rPr>
              <w:t> </w:t>
            </w:r>
          </w:p>
        </w:tc>
        <w:tc>
          <w:tcPr>
            <w:tcW w:w="1160" w:type="dxa"/>
            <w:tcBorders>
              <w:top w:val="nil"/>
              <w:left w:val="nil"/>
              <w:bottom w:val="single" w:sz="4" w:space="0" w:color="auto"/>
              <w:right w:val="single" w:sz="4" w:space="0" w:color="auto"/>
            </w:tcBorders>
            <w:shd w:val="clear" w:color="auto" w:fill="auto"/>
            <w:noWrap/>
            <w:vAlign w:val="bottom"/>
            <w:hideMark/>
          </w:tcPr>
          <w:p w:rsidR="00570536" w:rsidRPr="00570536" w:rsidP="00570536" w14:paraId="23A432CB" w14:textId="77777777">
            <w:pPr>
              <w:rPr>
                <w:rFonts w:ascii="Calibri" w:hAnsi="Calibri" w:cs="Calibri"/>
                <w:color w:val="000000"/>
                <w:sz w:val="16"/>
                <w:szCs w:val="16"/>
              </w:rPr>
            </w:pPr>
            <w:r w:rsidRPr="00570536">
              <w:rPr>
                <w:rFonts w:ascii="Calibri" w:hAnsi="Calibri" w:cs="Calibri"/>
                <w:color w:val="000000"/>
                <w:sz w:val="16"/>
                <w:szCs w:val="16"/>
              </w:rPr>
              <w:t> </w:t>
            </w:r>
          </w:p>
        </w:tc>
        <w:tc>
          <w:tcPr>
            <w:tcW w:w="1340" w:type="dxa"/>
            <w:tcBorders>
              <w:top w:val="nil"/>
              <w:left w:val="nil"/>
              <w:bottom w:val="single" w:sz="4" w:space="0" w:color="auto"/>
              <w:right w:val="single" w:sz="4" w:space="0" w:color="auto"/>
            </w:tcBorders>
            <w:shd w:val="clear" w:color="000000" w:fill="808080"/>
            <w:noWrap/>
            <w:vAlign w:val="bottom"/>
            <w:hideMark/>
          </w:tcPr>
          <w:p w:rsidR="00570536" w:rsidRPr="00570536" w:rsidP="00570536" w14:paraId="6D3D5489" w14:textId="77777777">
            <w:pPr>
              <w:rPr>
                <w:rFonts w:ascii="Calibri" w:hAnsi="Calibri" w:cs="Calibri"/>
                <w:color w:val="000000"/>
                <w:sz w:val="16"/>
                <w:szCs w:val="16"/>
              </w:rPr>
            </w:pPr>
            <w:r w:rsidRPr="00570536">
              <w:rPr>
                <w:rFonts w:ascii="Calibri" w:hAnsi="Calibri" w:cs="Calibri"/>
                <w:color w:val="000000"/>
                <w:sz w:val="16"/>
                <w:szCs w:val="16"/>
              </w:rPr>
              <w:t> </w:t>
            </w:r>
          </w:p>
        </w:tc>
        <w:tc>
          <w:tcPr>
            <w:tcW w:w="1380" w:type="dxa"/>
            <w:tcBorders>
              <w:top w:val="nil"/>
              <w:left w:val="nil"/>
              <w:bottom w:val="single" w:sz="4" w:space="0" w:color="auto"/>
              <w:right w:val="single" w:sz="8" w:space="0" w:color="auto"/>
            </w:tcBorders>
            <w:shd w:val="clear" w:color="auto" w:fill="auto"/>
            <w:noWrap/>
            <w:vAlign w:val="bottom"/>
            <w:hideMark/>
          </w:tcPr>
          <w:p w:rsidR="00570536" w:rsidRPr="00570536" w:rsidP="00570536" w14:paraId="64E0EDD9" w14:textId="77777777">
            <w:pPr>
              <w:rPr>
                <w:rFonts w:ascii="Calibri" w:hAnsi="Calibri" w:cs="Calibri"/>
                <w:color w:val="000000"/>
                <w:sz w:val="16"/>
                <w:szCs w:val="16"/>
              </w:rPr>
            </w:pPr>
            <w:r w:rsidRPr="00570536">
              <w:rPr>
                <w:rFonts w:ascii="Calibri" w:hAnsi="Calibri" w:cs="Calibri"/>
                <w:color w:val="000000"/>
                <w:sz w:val="16"/>
                <w:szCs w:val="16"/>
              </w:rPr>
              <w:t> </w:t>
            </w:r>
          </w:p>
        </w:tc>
      </w:tr>
      <w:tr w14:paraId="09B3A01D" w14:textId="77777777" w:rsidTr="007A001C">
        <w:tblPrEx>
          <w:tblW w:w="8660" w:type="dxa"/>
          <w:tblInd w:w="-10" w:type="dxa"/>
          <w:tblLook w:val="04A0"/>
        </w:tblPrEx>
        <w:trPr>
          <w:trHeight w:val="290"/>
        </w:trPr>
        <w:tc>
          <w:tcPr>
            <w:tcW w:w="2400" w:type="dxa"/>
            <w:tcBorders>
              <w:top w:val="nil"/>
              <w:left w:val="single" w:sz="8" w:space="0" w:color="auto"/>
              <w:bottom w:val="single" w:sz="4" w:space="0" w:color="auto"/>
              <w:right w:val="single" w:sz="8" w:space="0" w:color="auto"/>
            </w:tcBorders>
            <w:shd w:val="clear" w:color="auto" w:fill="auto"/>
            <w:vAlign w:val="bottom"/>
            <w:hideMark/>
          </w:tcPr>
          <w:p w:rsidR="00570536" w:rsidRPr="00570536" w:rsidP="00570536" w14:paraId="51956033" w14:textId="77777777">
            <w:pPr>
              <w:rPr>
                <w:rFonts w:ascii="Calibri" w:hAnsi="Calibri" w:cs="Calibri"/>
                <w:b/>
                <w:bCs/>
                <w:color w:val="000000"/>
                <w:sz w:val="16"/>
                <w:szCs w:val="16"/>
              </w:rPr>
            </w:pPr>
            <w:r w:rsidRPr="00570536">
              <w:rPr>
                <w:rFonts w:ascii="Calibri" w:hAnsi="Calibri" w:cs="Calibri"/>
                <w:b/>
                <w:bCs/>
                <w:color w:val="000000"/>
                <w:sz w:val="16"/>
                <w:szCs w:val="16"/>
              </w:rPr>
              <w:t>Contractor Cost</w:t>
            </w:r>
          </w:p>
        </w:tc>
        <w:tc>
          <w:tcPr>
            <w:tcW w:w="1180" w:type="dxa"/>
            <w:tcBorders>
              <w:top w:val="nil"/>
              <w:left w:val="nil"/>
              <w:bottom w:val="single" w:sz="4" w:space="0" w:color="auto"/>
              <w:right w:val="single" w:sz="4" w:space="0" w:color="auto"/>
            </w:tcBorders>
            <w:shd w:val="clear" w:color="000000" w:fill="808080"/>
            <w:noWrap/>
            <w:vAlign w:val="bottom"/>
            <w:hideMark/>
          </w:tcPr>
          <w:p w:rsidR="00570536" w:rsidRPr="00570536" w:rsidP="00570536" w14:paraId="6A9877D7" w14:textId="77777777">
            <w:pPr>
              <w:rPr>
                <w:rFonts w:ascii="Calibri" w:hAnsi="Calibri" w:cs="Calibri"/>
                <w:color w:val="000000"/>
                <w:sz w:val="16"/>
                <w:szCs w:val="16"/>
              </w:rPr>
            </w:pPr>
            <w:r w:rsidRPr="00570536">
              <w:rPr>
                <w:rFonts w:ascii="Calibri" w:hAnsi="Calibri" w:cs="Calibri"/>
                <w:color w:val="000000"/>
                <w:sz w:val="16"/>
                <w:szCs w:val="16"/>
              </w:rPr>
              <w:t> </w:t>
            </w:r>
          </w:p>
        </w:tc>
        <w:tc>
          <w:tcPr>
            <w:tcW w:w="1200" w:type="dxa"/>
            <w:tcBorders>
              <w:top w:val="nil"/>
              <w:left w:val="nil"/>
              <w:bottom w:val="single" w:sz="4" w:space="0" w:color="auto"/>
              <w:right w:val="single" w:sz="4" w:space="0" w:color="auto"/>
            </w:tcBorders>
            <w:shd w:val="clear" w:color="auto" w:fill="auto"/>
            <w:noWrap/>
            <w:vAlign w:val="bottom"/>
          </w:tcPr>
          <w:p w:rsidR="00570536" w:rsidRPr="00570536" w:rsidP="00570536" w14:paraId="763A61D9" w14:textId="0FF2B19B">
            <w:pPr>
              <w:jc w:val="right"/>
              <w:rPr>
                <w:rFonts w:ascii="Calibri" w:hAnsi="Calibri" w:cs="Calibri"/>
                <w:color w:val="000000"/>
                <w:sz w:val="16"/>
                <w:szCs w:val="16"/>
              </w:rPr>
            </w:pPr>
            <w:r>
              <w:rPr>
                <w:rFonts w:ascii="Calibri" w:hAnsi="Calibri" w:cs="Calibri"/>
                <w:color w:val="000000"/>
                <w:sz w:val="16"/>
                <w:szCs w:val="16"/>
              </w:rPr>
              <w:t>$0</w:t>
            </w:r>
          </w:p>
        </w:tc>
        <w:tc>
          <w:tcPr>
            <w:tcW w:w="1160" w:type="dxa"/>
            <w:tcBorders>
              <w:top w:val="nil"/>
              <w:left w:val="nil"/>
              <w:bottom w:val="single" w:sz="4" w:space="0" w:color="auto"/>
              <w:right w:val="single" w:sz="4" w:space="0" w:color="auto"/>
            </w:tcBorders>
            <w:shd w:val="clear" w:color="auto" w:fill="auto"/>
            <w:noWrap/>
            <w:vAlign w:val="bottom"/>
          </w:tcPr>
          <w:p w:rsidR="00570536" w:rsidRPr="00570536" w:rsidP="00570536" w14:paraId="38C8AD81" w14:textId="1070AF85">
            <w:pPr>
              <w:jc w:val="right"/>
              <w:rPr>
                <w:rFonts w:ascii="Calibri" w:hAnsi="Calibri" w:cs="Calibri"/>
                <w:color w:val="000000"/>
                <w:sz w:val="16"/>
                <w:szCs w:val="16"/>
              </w:rPr>
            </w:pPr>
          </w:p>
        </w:tc>
        <w:tc>
          <w:tcPr>
            <w:tcW w:w="1340" w:type="dxa"/>
            <w:tcBorders>
              <w:top w:val="nil"/>
              <w:left w:val="nil"/>
              <w:bottom w:val="single" w:sz="4" w:space="0" w:color="auto"/>
              <w:right w:val="single" w:sz="4" w:space="0" w:color="auto"/>
            </w:tcBorders>
            <w:shd w:val="clear" w:color="auto" w:fill="auto"/>
            <w:noWrap/>
            <w:vAlign w:val="bottom"/>
          </w:tcPr>
          <w:p w:rsidR="00570536" w:rsidRPr="00570536" w:rsidP="00570536" w14:paraId="05B50875" w14:textId="28884FF8">
            <w:pPr>
              <w:rPr>
                <w:rFonts w:ascii="Calibri" w:hAnsi="Calibri" w:cs="Calibri"/>
                <w:color w:val="000000"/>
                <w:sz w:val="16"/>
                <w:szCs w:val="16"/>
              </w:rPr>
            </w:pPr>
          </w:p>
        </w:tc>
        <w:tc>
          <w:tcPr>
            <w:tcW w:w="1380" w:type="dxa"/>
            <w:tcBorders>
              <w:top w:val="nil"/>
              <w:left w:val="nil"/>
              <w:bottom w:val="single" w:sz="4" w:space="0" w:color="auto"/>
              <w:right w:val="single" w:sz="8" w:space="0" w:color="auto"/>
            </w:tcBorders>
            <w:shd w:val="clear" w:color="auto" w:fill="auto"/>
            <w:noWrap/>
            <w:vAlign w:val="bottom"/>
          </w:tcPr>
          <w:p w:rsidR="00570536" w:rsidRPr="00570536" w:rsidP="00570536" w14:paraId="0D1214C6" w14:textId="1071823C">
            <w:pPr>
              <w:rPr>
                <w:rFonts w:ascii="Calibri" w:hAnsi="Calibri" w:cs="Calibri"/>
                <w:color w:val="000000"/>
                <w:sz w:val="16"/>
                <w:szCs w:val="16"/>
              </w:rPr>
            </w:pPr>
            <w:r>
              <w:rPr>
                <w:rFonts w:ascii="Calibri" w:hAnsi="Calibri" w:cs="Calibri"/>
                <w:color w:val="000000"/>
                <w:sz w:val="16"/>
                <w:szCs w:val="16"/>
              </w:rPr>
              <w:t>$0</w:t>
            </w:r>
          </w:p>
        </w:tc>
      </w:tr>
      <w:tr w14:paraId="0A67F453" w14:textId="77777777" w:rsidTr="00570536">
        <w:tblPrEx>
          <w:tblW w:w="8660" w:type="dxa"/>
          <w:tblInd w:w="-10" w:type="dxa"/>
          <w:tblLook w:val="04A0"/>
        </w:tblPrEx>
        <w:trPr>
          <w:trHeight w:val="290"/>
        </w:trPr>
        <w:tc>
          <w:tcPr>
            <w:tcW w:w="2400" w:type="dxa"/>
            <w:tcBorders>
              <w:top w:val="nil"/>
              <w:left w:val="single" w:sz="8" w:space="0" w:color="auto"/>
              <w:bottom w:val="single" w:sz="4" w:space="0" w:color="auto"/>
              <w:right w:val="single" w:sz="8" w:space="0" w:color="auto"/>
            </w:tcBorders>
            <w:shd w:val="clear" w:color="auto" w:fill="auto"/>
            <w:noWrap/>
            <w:vAlign w:val="bottom"/>
            <w:hideMark/>
          </w:tcPr>
          <w:p w:rsidR="00570536" w:rsidRPr="00570536" w:rsidP="00570536" w14:paraId="4B122425" w14:textId="77777777">
            <w:pPr>
              <w:rPr>
                <w:rFonts w:ascii="Calibri" w:hAnsi="Calibri" w:cs="Calibri"/>
                <w:b/>
                <w:bCs/>
                <w:color w:val="000000"/>
                <w:sz w:val="16"/>
                <w:szCs w:val="16"/>
              </w:rPr>
            </w:pPr>
            <w:r w:rsidRPr="00570536">
              <w:rPr>
                <w:rFonts w:ascii="Calibri" w:hAnsi="Calibri" w:cs="Calibri"/>
                <w:b/>
                <w:bCs/>
                <w:color w:val="000000"/>
                <w:sz w:val="16"/>
                <w:szCs w:val="16"/>
              </w:rPr>
              <w:t>Travel</w:t>
            </w:r>
          </w:p>
        </w:tc>
        <w:tc>
          <w:tcPr>
            <w:tcW w:w="1180" w:type="dxa"/>
            <w:tcBorders>
              <w:top w:val="nil"/>
              <w:left w:val="nil"/>
              <w:bottom w:val="single" w:sz="4" w:space="0" w:color="auto"/>
              <w:right w:val="single" w:sz="4" w:space="0" w:color="auto"/>
            </w:tcBorders>
            <w:shd w:val="clear" w:color="000000" w:fill="808080"/>
            <w:noWrap/>
            <w:vAlign w:val="bottom"/>
            <w:hideMark/>
          </w:tcPr>
          <w:p w:rsidR="00570536" w:rsidRPr="00570536" w:rsidP="00570536" w14:paraId="12016E58" w14:textId="77777777">
            <w:pPr>
              <w:rPr>
                <w:rFonts w:ascii="Calibri" w:hAnsi="Calibri" w:cs="Calibri"/>
                <w:color w:val="000000"/>
                <w:sz w:val="16"/>
                <w:szCs w:val="16"/>
              </w:rPr>
            </w:pPr>
            <w:r w:rsidRPr="00570536">
              <w:rPr>
                <w:rFonts w:ascii="Calibri" w:hAnsi="Calibri" w:cs="Calibri"/>
                <w:color w:val="000000"/>
                <w:sz w:val="16"/>
                <w:szCs w:val="16"/>
              </w:rPr>
              <w:t> </w:t>
            </w:r>
          </w:p>
        </w:tc>
        <w:tc>
          <w:tcPr>
            <w:tcW w:w="1200" w:type="dxa"/>
            <w:tcBorders>
              <w:top w:val="nil"/>
              <w:left w:val="nil"/>
              <w:bottom w:val="single" w:sz="4" w:space="0" w:color="auto"/>
              <w:right w:val="single" w:sz="4" w:space="0" w:color="auto"/>
            </w:tcBorders>
            <w:shd w:val="clear" w:color="000000" w:fill="808080"/>
            <w:noWrap/>
            <w:vAlign w:val="bottom"/>
            <w:hideMark/>
          </w:tcPr>
          <w:p w:rsidR="00570536" w:rsidRPr="00570536" w:rsidP="00570536" w14:paraId="5BF2E3B5" w14:textId="77777777">
            <w:pPr>
              <w:rPr>
                <w:rFonts w:ascii="Calibri" w:hAnsi="Calibri" w:cs="Calibri"/>
                <w:color w:val="000000"/>
                <w:sz w:val="16"/>
                <w:szCs w:val="16"/>
              </w:rPr>
            </w:pPr>
            <w:r w:rsidRPr="00570536">
              <w:rPr>
                <w:rFonts w:ascii="Calibri" w:hAnsi="Calibri" w:cs="Calibri"/>
                <w:color w:val="000000"/>
                <w:sz w:val="16"/>
                <w:szCs w:val="16"/>
              </w:rPr>
              <w:t> </w:t>
            </w:r>
          </w:p>
        </w:tc>
        <w:tc>
          <w:tcPr>
            <w:tcW w:w="1160" w:type="dxa"/>
            <w:tcBorders>
              <w:top w:val="nil"/>
              <w:left w:val="nil"/>
              <w:bottom w:val="single" w:sz="4" w:space="0" w:color="auto"/>
              <w:right w:val="single" w:sz="4" w:space="0" w:color="auto"/>
            </w:tcBorders>
            <w:shd w:val="clear" w:color="000000" w:fill="808080"/>
            <w:noWrap/>
            <w:vAlign w:val="bottom"/>
            <w:hideMark/>
          </w:tcPr>
          <w:p w:rsidR="00570536" w:rsidRPr="00570536" w:rsidP="00570536" w14:paraId="10168A5F" w14:textId="77777777">
            <w:pPr>
              <w:rPr>
                <w:rFonts w:ascii="Calibri" w:hAnsi="Calibri" w:cs="Calibri"/>
                <w:color w:val="000000"/>
                <w:sz w:val="16"/>
                <w:szCs w:val="16"/>
              </w:rPr>
            </w:pPr>
            <w:r w:rsidRPr="00570536">
              <w:rPr>
                <w:rFonts w:ascii="Calibri" w:hAnsi="Calibri" w:cs="Calibri"/>
                <w:color w:val="000000"/>
                <w:sz w:val="16"/>
                <w:szCs w:val="16"/>
              </w:rPr>
              <w:t> </w:t>
            </w:r>
          </w:p>
        </w:tc>
        <w:tc>
          <w:tcPr>
            <w:tcW w:w="1340" w:type="dxa"/>
            <w:tcBorders>
              <w:top w:val="nil"/>
              <w:left w:val="nil"/>
              <w:bottom w:val="single" w:sz="4" w:space="0" w:color="auto"/>
              <w:right w:val="single" w:sz="4" w:space="0" w:color="auto"/>
            </w:tcBorders>
            <w:shd w:val="clear" w:color="000000" w:fill="808080"/>
            <w:noWrap/>
            <w:vAlign w:val="bottom"/>
            <w:hideMark/>
          </w:tcPr>
          <w:p w:rsidR="00570536" w:rsidRPr="00570536" w:rsidP="00570536" w14:paraId="4BC71C67" w14:textId="77777777">
            <w:pPr>
              <w:rPr>
                <w:rFonts w:ascii="Calibri" w:hAnsi="Calibri" w:cs="Calibri"/>
                <w:color w:val="000000"/>
                <w:sz w:val="16"/>
                <w:szCs w:val="16"/>
              </w:rPr>
            </w:pPr>
            <w:r w:rsidRPr="00570536">
              <w:rPr>
                <w:rFonts w:ascii="Calibri" w:hAnsi="Calibri" w:cs="Calibri"/>
                <w:color w:val="000000"/>
                <w:sz w:val="16"/>
                <w:szCs w:val="16"/>
              </w:rPr>
              <w:t> </w:t>
            </w:r>
          </w:p>
        </w:tc>
        <w:tc>
          <w:tcPr>
            <w:tcW w:w="1380" w:type="dxa"/>
            <w:tcBorders>
              <w:top w:val="nil"/>
              <w:left w:val="nil"/>
              <w:bottom w:val="single" w:sz="4" w:space="0" w:color="auto"/>
              <w:right w:val="single" w:sz="8" w:space="0" w:color="auto"/>
            </w:tcBorders>
            <w:shd w:val="clear" w:color="auto" w:fill="auto"/>
            <w:noWrap/>
            <w:vAlign w:val="bottom"/>
            <w:hideMark/>
          </w:tcPr>
          <w:p w:rsidR="00570536" w:rsidRPr="00570536" w:rsidP="00570536" w14:paraId="3099769B" w14:textId="77777777">
            <w:pPr>
              <w:rPr>
                <w:rFonts w:ascii="Calibri" w:hAnsi="Calibri" w:cs="Calibri"/>
                <w:color w:val="000000"/>
                <w:sz w:val="16"/>
                <w:szCs w:val="16"/>
              </w:rPr>
            </w:pPr>
            <w:r w:rsidRPr="00570536">
              <w:rPr>
                <w:rFonts w:ascii="Calibri" w:hAnsi="Calibri" w:cs="Calibri"/>
                <w:color w:val="000000"/>
                <w:sz w:val="16"/>
                <w:szCs w:val="16"/>
              </w:rPr>
              <w:t> </w:t>
            </w:r>
          </w:p>
        </w:tc>
      </w:tr>
      <w:tr w14:paraId="71F75B4A" w14:textId="77777777" w:rsidTr="00570536">
        <w:tblPrEx>
          <w:tblW w:w="8660" w:type="dxa"/>
          <w:tblInd w:w="-10" w:type="dxa"/>
          <w:tblLook w:val="04A0"/>
        </w:tblPrEx>
        <w:trPr>
          <w:trHeight w:val="525"/>
        </w:trPr>
        <w:tc>
          <w:tcPr>
            <w:tcW w:w="2400" w:type="dxa"/>
            <w:tcBorders>
              <w:top w:val="nil"/>
              <w:left w:val="single" w:sz="8" w:space="0" w:color="auto"/>
              <w:bottom w:val="nil"/>
              <w:right w:val="single" w:sz="8" w:space="0" w:color="auto"/>
            </w:tcBorders>
            <w:shd w:val="clear" w:color="auto" w:fill="auto"/>
            <w:vAlign w:val="center"/>
            <w:hideMark/>
          </w:tcPr>
          <w:p w:rsidR="00570536" w:rsidRPr="00570536" w:rsidP="00570536" w14:paraId="5114C9BA" w14:textId="77777777">
            <w:pPr>
              <w:rPr>
                <w:rFonts w:ascii="Calibri" w:hAnsi="Calibri" w:cs="Calibri"/>
                <w:b/>
                <w:bCs/>
                <w:color w:val="000000"/>
                <w:sz w:val="16"/>
                <w:szCs w:val="16"/>
              </w:rPr>
            </w:pPr>
            <w:r w:rsidRPr="00570536">
              <w:rPr>
                <w:rFonts w:ascii="Calibri" w:hAnsi="Calibri" w:cs="Calibri"/>
                <w:b/>
                <w:bCs/>
                <w:color w:val="000000"/>
                <w:sz w:val="16"/>
                <w:szCs w:val="16"/>
              </w:rPr>
              <w:t xml:space="preserve">Other Costs: </w:t>
            </w:r>
          </w:p>
        </w:tc>
        <w:tc>
          <w:tcPr>
            <w:tcW w:w="1180" w:type="dxa"/>
            <w:tcBorders>
              <w:top w:val="nil"/>
              <w:left w:val="nil"/>
              <w:bottom w:val="single" w:sz="4" w:space="0" w:color="auto"/>
              <w:right w:val="single" w:sz="4" w:space="0" w:color="auto"/>
            </w:tcBorders>
            <w:shd w:val="clear" w:color="000000" w:fill="808080"/>
            <w:noWrap/>
            <w:vAlign w:val="bottom"/>
            <w:hideMark/>
          </w:tcPr>
          <w:p w:rsidR="00570536" w:rsidRPr="00570536" w:rsidP="00570536" w14:paraId="258BB98A" w14:textId="77777777">
            <w:pPr>
              <w:rPr>
                <w:rFonts w:ascii="Calibri" w:hAnsi="Calibri" w:cs="Calibri"/>
                <w:color w:val="000000"/>
                <w:sz w:val="16"/>
                <w:szCs w:val="16"/>
              </w:rPr>
            </w:pPr>
            <w:r w:rsidRPr="00570536">
              <w:rPr>
                <w:rFonts w:ascii="Calibri" w:hAnsi="Calibri" w:cs="Calibri"/>
                <w:color w:val="000000"/>
                <w:sz w:val="16"/>
                <w:szCs w:val="16"/>
              </w:rPr>
              <w:t> </w:t>
            </w:r>
          </w:p>
        </w:tc>
        <w:tc>
          <w:tcPr>
            <w:tcW w:w="1200" w:type="dxa"/>
            <w:tcBorders>
              <w:top w:val="nil"/>
              <w:left w:val="nil"/>
              <w:bottom w:val="single" w:sz="4" w:space="0" w:color="auto"/>
              <w:right w:val="single" w:sz="4" w:space="0" w:color="auto"/>
            </w:tcBorders>
            <w:shd w:val="clear" w:color="000000" w:fill="808080"/>
            <w:noWrap/>
            <w:vAlign w:val="bottom"/>
            <w:hideMark/>
          </w:tcPr>
          <w:p w:rsidR="00570536" w:rsidRPr="00570536" w:rsidP="00570536" w14:paraId="7C59BC38" w14:textId="77777777">
            <w:pPr>
              <w:rPr>
                <w:rFonts w:ascii="Calibri" w:hAnsi="Calibri" w:cs="Calibri"/>
                <w:color w:val="000000"/>
                <w:sz w:val="16"/>
                <w:szCs w:val="16"/>
              </w:rPr>
            </w:pPr>
            <w:r w:rsidRPr="00570536">
              <w:rPr>
                <w:rFonts w:ascii="Calibri" w:hAnsi="Calibri" w:cs="Calibri"/>
                <w:color w:val="000000"/>
                <w:sz w:val="16"/>
                <w:szCs w:val="16"/>
              </w:rPr>
              <w:t> </w:t>
            </w:r>
          </w:p>
        </w:tc>
        <w:tc>
          <w:tcPr>
            <w:tcW w:w="1160" w:type="dxa"/>
            <w:tcBorders>
              <w:top w:val="nil"/>
              <w:left w:val="nil"/>
              <w:bottom w:val="single" w:sz="4" w:space="0" w:color="auto"/>
              <w:right w:val="single" w:sz="4" w:space="0" w:color="auto"/>
            </w:tcBorders>
            <w:shd w:val="clear" w:color="000000" w:fill="808080"/>
            <w:noWrap/>
            <w:vAlign w:val="bottom"/>
            <w:hideMark/>
          </w:tcPr>
          <w:p w:rsidR="00570536" w:rsidRPr="00570536" w:rsidP="00570536" w14:paraId="1996AF6D" w14:textId="77777777">
            <w:pPr>
              <w:rPr>
                <w:rFonts w:ascii="Calibri" w:hAnsi="Calibri" w:cs="Calibri"/>
                <w:color w:val="000000"/>
                <w:sz w:val="16"/>
                <w:szCs w:val="16"/>
              </w:rPr>
            </w:pPr>
            <w:r w:rsidRPr="00570536">
              <w:rPr>
                <w:rFonts w:ascii="Calibri" w:hAnsi="Calibri" w:cs="Calibri"/>
                <w:color w:val="000000"/>
                <w:sz w:val="16"/>
                <w:szCs w:val="16"/>
              </w:rPr>
              <w:t> </w:t>
            </w:r>
          </w:p>
        </w:tc>
        <w:tc>
          <w:tcPr>
            <w:tcW w:w="1340" w:type="dxa"/>
            <w:tcBorders>
              <w:top w:val="nil"/>
              <w:left w:val="nil"/>
              <w:bottom w:val="single" w:sz="4" w:space="0" w:color="auto"/>
              <w:right w:val="single" w:sz="4" w:space="0" w:color="auto"/>
            </w:tcBorders>
            <w:shd w:val="clear" w:color="000000" w:fill="808080"/>
            <w:noWrap/>
            <w:vAlign w:val="bottom"/>
            <w:hideMark/>
          </w:tcPr>
          <w:p w:rsidR="00570536" w:rsidRPr="00570536" w:rsidP="00570536" w14:paraId="44D49E79" w14:textId="77777777">
            <w:pPr>
              <w:rPr>
                <w:rFonts w:ascii="Calibri" w:hAnsi="Calibri" w:cs="Calibri"/>
                <w:color w:val="000000"/>
                <w:sz w:val="16"/>
                <w:szCs w:val="16"/>
              </w:rPr>
            </w:pPr>
            <w:r w:rsidRPr="00570536">
              <w:rPr>
                <w:rFonts w:ascii="Calibri" w:hAnsi="Calibri" w:cs="Calibri"/>
                <w:color w:val="000000"/>
                <w:sz w:val="16"/>
                <w:szCs w:val="16"/>
              </w:rPr>
              <w:t> </w:t>
            </w:r>
          </w:p>
        </w:tc>
        <w:tc>
          <w:tcPr>
            <w:tcW w:w="1380" w:type="dxa"/>
            <w:tcBorders>
              <w:top w:val="nil"/>
              <w:left w:val="nil"/>
              <w:bottom w:val="single" w:sz="4" w:space="0" w:color="auto"/>
              <w:right w:val="single" w:sz="8" w:space="0" w:color="auto"/>
            </w:tcBorders>
            <w:shd w:val="clear" w:color="auto" w:fill="auto"/>
            <w:noWrap/>
            <w:vAlign w:val="bottom"/>
            <w:hideMark/>
          </w:tcPr>
          <w:p w:rsidR="00570536" w:rsidRPr="00570536" w:rsidP="00570536" w14:paraId="2BD05270" w14:textId="77777777">
            <w:pPr>
              <w:rPr>
                <w:rFonts w:ascii="Calibri" w:hAnsi="Calibri" w:cs="Calibri"/>
                <w:color w:val="000000"/>
                <w:sz w:val="16"/>
                <w:szCs w:val="16"/>
              </w:rPr>
            </w:pPr>
            <w:r w:rsidRPr="00570536">
              <w:rPr>
                <w:rFonts w:ascii="Calibri" w:hAnsi="Calibri" w:cs="Calibri"/>
                <w:color w:val="000000"/>
                <w:sz w:val="16"/>
                <w:szCs w:val="16"/>
              </w:rPr>
              <w:t> </w:t>
            </w:r>
          </w:p>
        </w:tc>
      </w:tr>
      <w:tr w14:paraId="0024612C" w14:textId="77777777" w:rsidTr="00570536">
        <w:tblPrEx>
          <w:tblW w:w="8660" w:type="dxa"/>
          <w:tblInd w:w="-10" w:type="dxa"/>
          <w:tblLook w:val="04A0"/>
        </w:tblPrEx>
        <w:trPr>
          <w:trHeight w:val="300"/>
        </w:trPr>
        <w:tc>
          <w:tcPr>
            <w:tcW w:w="2400" w:type="dxa"/>
            <w:tcBorders>
              <w:top w:val="single" w:sz="8" w:space="0" w:color="auto"/>
              <w:left w:val="single" w:sz="8" w:space="0" w:color="auto"/>
              <w:bottom w:val="single" w:sz="8" w:space="0" w:color="auto"/>
              <w:right w:val="single" w:sz="8" w:space="0" w:color="auto"/>
            </w:tcBorders>
            <w:shd w:val="clear" w:color="000000" w:fill="DDEBF7"/>
            <w:noWrap/>
            <w:vAlign w:val="bottom"/>
            <w:hideMark/>
          </w:tcPr>
          <w:p w:rsidR="00570536" w:rsidRPr="00570536" w:rsidP="00570536" w14:paraId="39762676" w14:textId="77777777">
            <w:pPr>
              <w:rPr>
                <w:rFonts w:ascii="Calibri" w:hAnsi="Calibri" w:cs="Calibri"/>
                <w:b/>
                <w:bCs/>
                <w:color w:val="000000"/>
                <w:sz w:val="16"/>
                <w:szCs w:val="16"/>
              </w:rPr>
            </w:pPr>
            <w:r w:rsidRPr="00570536">
              <w:rPr>
                <w:rFonts w:ascii="Calibri" w:hAnsi="Calibri" w:cs="Calibri"/>
                <w:b/>
                <w:bCs/>
                <w:color w:val="000000"/>
                <w:sz w:val="16"/>
                <w:szCs w:val="16"/>
              </w:rPr>
              <w:t>TOTAL</w:t>
            </w:r>
          </w:p>
        </w:tc>
        <w:tc>
          <w:tcPr>
            <w:tcW w:w="1180" w:type="dxa"/>
            <w:tcBorders>
              <w:top w:val="single" w:sz="8" w:space="0" w:color="auto"/>
              <w:left w:val="nil"/>
              <w:bottom w:val="single" w:sz="8" w:space="0" w:color="auto"/>
              <w:right w:val="single" w:sz="8" w:space="0" w:color="auto"/>
            </w:tcBorders>
            <w:shd w:val="clear" w:color="000000" w:fill="808080"/>
            <w:noWrap/>
            <w:vAlign w:val="bottom"/>
            <w:hideMark/>
          </w:tcPr>
          <w:p w:rsidR="00570536" w:rsidRPr="00570536" w:rsidP="00570536" w14:paraId="04AE4B05" w14:textId="77777777">
            <w:pPr>
              <w:rPr>
                <w:rFonts w:ascii="Calibri" w:hAnsi="Calibri" w:cs="Calibri"/>
                <w:color w:val="000000"/>
                <w:sz w:val="16"/>
                <w:szCs w:val="16"/>
              </w:rPr>
            </w:pPr>
            <w:r w:rsidRPr="00570536">
              <w:rPr>
                <w:rFonts w:ascii="Calibri" w:hAnsi="Calibri" w:cs="Calibri"/>
                <w:color w:val="000000"/>
                <w:sz w:val="16"/>
                <w:szCs w:val="16"/>
              </w:rPr>
              <w:t> </w:t>
            </w:r>
          </w:p>
        </w:tc>
        <w:tc>
          <w:tcPr>
            <w:tcW w:w="1200" w:type="dxa"/>
            <w:tcBorders>
              <w:top w:val="single" w:sz="8" w:space="0" w:color="auto"/>
              <w:left w:val="nil"/>
              <w:bottom w:val="single" w:sz="8" w:space="0" w:color="auto"/>
              <w:right w:val="single" w:sz="8" w:space="0" w:color="auto"/>
            </w:tcBorders>
            <w:shd w:val="clear" w:color="000000" w:fill="DDEBF7"/>
            <w:noWrap/>
            <w:vAlign w:val="bottom"/>
            <w:hideMark/>
          </w:tcPr>
          <w:p w:rsidR="00570536" w:rsidRPr="00570536" w:rsidP="00570536" w14:paraId="2D80C39A" w14:textId="77777777">
            <w:pPr>
              <w:rPr>
                <w:rFonts w:ascii="Calibri" w:hAnsi="Calibri" w:cs="Calibri"/>
                <w:color w:val="000000"/>
                <w:sz w:val="16"/>
                <w:szCs w:val="16"/>
              </w:rPr>
            </w:pPr>
            <w:r w:rsidRPr="00570536">
              <w:rPr>
                <w:rFonts w:ascii="Calibri" w:hAnsi="Calibri" w:cs="Calibri"/>
                <w:color w:val="000000"/>
                <w:sz w:val="16"/>
                <w:szCs w:val="16"/>
              </w:rPr>
              <w:t> </w:t>
            </w:r>
          </w:p>
        </w:tc>
        <w:tc>
          <w:tcPr>
            <w:tcW w:w="1160" w:type="dxa"/>
            <w:tcBorders>
              <w:top w:val="single" w:sz="8" w:space="0" w:color="auto"/>
              <w:left w:val="nil"/>
              <w:bottom w:val="single" w:sz="8" w:space="0" w:color="auto"/>
              <w:right w:val="single" w:sz="8" w:space="0" w:color="auto"/>
            </w:tcBorders>
            <w:shd w:val="clear" w:color="000000" w:fill="757171"/>
            <w:noWrap/>
            <w:vAlign w:val="bottom"/>
            <w:hideMark/>
          </w:tcPr>
          <w:p w:rsidR="00570536" w:rsidRPr="00570536" w:rsidP="00570536" w14:paraId="3FDCBB0B" w14:textId="77777777">
            <w:pPr>
              <w:rPr>
                <w:rFonts w:ascii="Calibri" w:hAnsi="Calibri" w:cs="Calibri"/>
                <w:color w:val="000000"/>
                <w:sz w:val="16"/>
                <w:szCs w:val="16"/>
              </w:rPr>
            </w:pPr>
            <w:r w:rsidRPr="00570536">
              <w:rPr>
                <w:rFonts w:ascii="Calibri" w:hAnsi="Calibri" w:cs="Calibri"/>
                <w:color w:val="000000"/>
                <w:sz w:val="16"/>
                <w:szCs w:val="16"/>
              </w:rPr>
              <w:t> </w:t>
            </w:r>
          </w:p>
        </w:tc>
        <w:tc>
          <w:tcPr>
            <w:tcW w:w="1340" w:type="dxa"/>
            <w:tcBorders>
              <w:top w:val="single" w:sz="8" w:space="0" w:color="auto"/>
              <w:left w:val="nil"/>
              <w:bottom w:val="single" w:sz="8" w:space="0" w:color="auto"/>
              <w:right w:val="single" w:sz="8" w:space="0" w:color="auto"/>
            </w:tcBorders>
            <w:shd w:val="clear" w:color="000000" w:fill="DDEBF7"/>
            <w:noWrap/>
            <w:vAlign w:val="bottom"/>
            <w:hideMark/>
          </w:tcPr>
          <w:p w:rsidR="00570536" w:rsidRPr="00570536" w:rsidP="00570536" w14:paraId="12007582" w14:textId="77777777">
            <w:pPr>
              <w:rPr>
                <w:rFonts w:ascii="Calibri" w:hAnsi="Calibri" w:cs="Calibri"/>
                <w:color w:val="000000"/>
                <w:sz w:val="16"/>
                <w:szCs w:val="16"/>
              </w:rPr>
            </w:pPr>
            <w:r w:rsidRPr="00570536">
              <w:rPr>
                <w:rFonts w:ascii="Calibri" w:hAnsi="Calibri" w:cs="Calibri"/>
                <w:color w:val="000000"/>
                <w:sz w:val="16"/>
                <w:szCs w:val="16"/>
              </w:rPr>
              <w:t> </w:t>
            </w:r>
          </w:p>
        </w:tc>
        <w:tc>
          <w:tcPr>
            <w:tcW w:w="1380" w:type="dxa"/>
            <w:tcBorders>
              <w:top w:val="single" w:sz="8" w:space="0" w:color="auto"/>
              <w:left w:val="nil"/>
              <w:bottom w:val="single" w:sz="8" w:space="0" w:color="auto"/>
              <w:right w:val="single" w:sz="8" w:space="0" w:color="auto"/>
            </w:tcBorders>
            <w:shd w:val="clear" w:color="000000" w:fill="DDEBF7"/>
            <w:noWrap/>
            <w:vAlign w:val="bottom"/>
            <w:hideMark/>
          </w:tcPr>
          <w:p w:rsidR="00570536" w:rsidRPr="00570536" w:rsidP="007A001C" w14:paraId="36A8ADE8" w14:textId="397BCDBB">
            <w:pPr>
              <w:rPr>
                <w:rFonts w:ascii="Calibri" w:hAnsi="Calibri" w:cs="Calibri"/>
                <w:color w:val="000000"/>
                <w:sz w:val="16"/>
                <w:szCs w:val="16"/>
              </w:rPr>
            </w:pPr>
            <w:r>
              <w:rPr>
                <w:rFonts w:ascii="Calibri" w:hAnsi="Calibri" w:cs="Calibri"/>
                <w:color w:val="000000"/>
                <w:sz w:val="16"/>
                <w:szCs w:val="16"/>
              </w:rPr>
              <w:t xml:space="preserve"> </w:t>
            </w:r>
            <w:r w:rsidR="00F47AED">
              <w:rPr>
                <w:rFonts w:ascii="Calibri" w:hAnsi="Calibri" w:cs="Calibri"/>
                <w:color w:val="000000"/>
                <w:sz w:val="16"/>
                <w:szCs w:val="16"/>
              </w:rPr>
              <w:t>$67,923.50</w:t>
            </w:r>
          </w:p>
        </w:tc>
      </w:tr>
    </w:tbl>
    <w:p w:rsidR="004B075C" w:rsidP="00FA081B" w14:paraId="49163E3F" w14:textId="478F5FC5">
      <w:pPr>
        <w:pStyle w:val="NoSpacing"/>
      </w:pPr>
    </w:p>
    <w:p w:rsidR="00EB68C9" w:rsidRPr="00A608A6" w:rsidP="00FA081B" w14:paraId="6259DC8F" w14:textId="77777777">
      <w:pPr>
        <w:pStyle w:val="NoSpacing"/>
      </w:pPr>
    </w:p>
    <w:p w:rsidR="003F389D" w:rsidRPr="00BD7237" w:rsidP="003F389D" w14:paraId="51ED486E" w14:textId="77777777">
      <w:pPr>
        <w:pStyle w:val="ListParagraph"/>
        <w:widowControl w:val="0"/>
        <w:tabs>
          <w:tab w:val="left" w:pos="360"/>
        </w:tabs>
        <w:autoSpaceDE w:val="0"/>
        <w:autoSpaceDN w:val="0"/>
        <w:spacing w:before="80"/>
        <w:ind w:left="0"/>
        <w:contextualSpacing w:val="0"/>
        <w:rPr>
          <w:b/>
          <w:szCs w:val="24"/>
        </w:rPr>
      </w:pPr>
      <w:r>
        <w:rPr>
          <w:b/>
        </w:rPr>
        <w:t>15.</w:t>
      </w:r>
      <w:r w:rsidR="00B1698A">
        <w:rPr>
          <w:b/>
        </w:rPr>
        <w:t xml:space="preserve"> </w:t>
      </w:r>
      <w:r w:rsidRPr="00BD7237">
        <w:rPr>
          <w:b/>
          <w:szCs w:val="24"/>
        </w:rPr>
        <w:t>Explain the reasons for any program changes or adjustments reported in ROCIS.</w:t>
      </w:r>
    </w:p>
    <w:p w:rsidR="004B2924" w:rsidP="002302BC" w14:paraId="27D2F068" w14:textId="77777777">
      <w:pPr>
        <w:spacing w:after="120"/>
      </w:pPr>
    </w:p>
    <w:p w:rsidR="00A608A6" w:rsidP="002302BC" w14:paraId="53BEE71E" w14:textId="60BEE37D">
      <w:pPr>
        <w:spacing w:after="120"/>
        <w:rPr>
          <w:b/>
        </w:rPr>
      </w:pPr>
      <w:r>
        <w:t>Program changes:</w:t>
      </w:r>
      <w:r w:rsidR="005942AE">
        <w:t xml:space="preserve"> </w:t>
      </w:r>
      <w:r w:rsidR="007A001C">
        <w:t>Burden estimates and costs were adjusted to reflect several program changes, including a shift in EM sampling costs from the agency to the PLL fleet</w:t>
      </w:r>
      <w:r w:rsidR="006B4DBE">
        <w:t xml:space="preserve"> when fishing voluntarily within the new monitoring areas</w:t>
      </w:r>
      <w:r w:rsidR="007A001C">
        <w:t>, new VMS bycatch reports for vessels fishing with</w:t>
      </w:r>
      <w:r w:rsidR="006B4DBE">
        <w:t>in</w:t>
      </w:r>
      <w:r w:rsidR="007A001C">
        <w:t xml:space="preserve"> </w:t>
      </w:r>
      <w:r w:rsidR="006B4DBE">
        <w:t>monitoring</w:t>
      </w:r>
      <w:r w:rsidR="007A001C">
        <w:t xml:space="preserve"> areas under an EFP, and new reporting requirements for EM</w:t>
      </w:r>
      <w:r w:rsidR="006B4DBE">
        <w:t xml:space="preserve"> service providers</w:t>
      </w:r>
      <w:r w:rsidR="007A001C">
        <w:t>.</w:t>
      </w:r>
    </w:p>
    <w:p w:rsidR="0029746C" w:rsidRPr="002E4C14" w:rsidP="002302BC" w14:paraId="5DB54ED3" w14:textId="77777777">
      <w:pPr>
        <w:pStyle w:val="NoSpacing"/>
      </w:pPr>
    </w:p>
    <w:p w:rsidR="00695CAF" w:rsidRPr="005F716C" w:rsidP="002302BC" w14:paraId="0F9DE832" w14:textId="74F64529">
      <w:pPr>
        <w:spacing w:after="120"/>
        <w:rPr>
          <w:sz w:val="20"/>
        </w:rPr>
      </w:pPr>
      <w:r w:rsidRPr="00B1197B">
        <w:t>Adjustment</w:t>
      </w:r>
      <w:r w:rsidRPr="00B1197B" w:rsidR="00026161">
        <w:t>s</w:t>
      </w:r>
      <w:r w:rsidRPr="00B1197B">
        <w:t>:</w:t>
      </w:r>
      <w:r w:rsidR="00B1698A">
        <w:t xml:space="preserve"> </w:t>
      </w:r>
      <w:r w:rsidR="006B4DBE">
        <w:t>There are no adjustments to the burden hours and costs as these are all new reporting requirements.</w:t>
      </w:r>
    </w:p>
    <w:p w:rsidR="00272E53" w:rsidP="00FA081B" w14:paraId="0921F5B1" w14:textId="76DB2DE3">
      <w:pPr>
        <w:pStyle w:val="NoSpacing"/>
      </w:pPr>
    </w:p>
    <w:p w:rsidR="005F716C" w:rsidP="00FA081B" w14:paraId="103DF043" w14:textId="0E9CF688">
      <w:pPr>
        <w:pStyle w:val="NoSpacing"/>
        <w:rPr>
          <w:b/>
          <w:color w:val="000000"/>
          <w:sz w:val="20"/>
        </w:rPr>
      </w:pPr>
      <w:r w:rsidRPr="00C76EB4">
        <w:rPr>
          <w:b/>
          <w:sz w:val="20"/>
        </w:rPr>
        <w:t>T</w:t>
      </w:r>
      <w:r w:rsidRPr="00C76EB4">
        <w:rPr>
          <w:b/>
          <w:sz w:val="20"/>
        </w:rPr>
        <w:t xml:space="preserve">able </w:t>
      </w:r>
      <w:r w:rsidR="00D23A58">
        <w:rPr>
          <w:b/>
          <w:sz w:val="20"/>
        </w:rPr>
        <w:t>9</w:t>
      </w:r>
      <w:r w:rsidR="00276003">
        <w:rPr>
          <w:b/>
          <w:sz w:val="20"/>
        </w:rPr>
        <w:t>.</w:t>
      </w:r>
      <w:r w:rsidRPr="00C76EB4">
        <w:rPr>
          <w:b/>
          <w:sz w:val="20"/>
        </w:rPr>
        <w:t xml:space="preserve"> </w:t>
      </w:r>
      <w:r w:rsidRPr="00EB68C9" w:rsidR="00EB68C9">
        <w:rPr>
          <w:b/>
          <w:color w:val="000000"/>
          <w:sz w:val="20"/>
        </w:rPr>
        <w:t>Program respondent, response, and burden hour changes and adjustments</w:t>
      </w:r>
    </w:p>
    <w:p w:rsidR="006B4DBE" w:rsidRPr="00C76EB4" w:rsidP="00FA081B" w14:paraId="36AA7D39" w14:textId="77777777">
      <w:pPr>
        <w:pStyle w:val="NoSpacing"/>
        <w:rPr>
          <w:b/>
          <w:sz w:val="20"/>
        </w:rPr>
      </w:pPr>
    </w:p>
    <w:tbl>
      <w:tblPr>
        <w:tblW w:w="8790" w:type="dxa"/>
        <w:tblLook w:val="04A0"/>
      </w:tblPr>
      <w:tblGrid>
        <w:gridCol w:w="1345"/>
        <w:gridCol w:w="1032"/>
        <w:gridCol w:w="1124"/>
        <w:gridCol w:w="1039"/>
        <w:gridCol w:w="1039"/>
        <w:gridCol w:w="1039"/>
        <w:gridCol w:w="1039"/>
        <w:gridCol w:w="1133"/>
      </w:tblGrid>
      <w:tr w14:paraId="1533E3B4" w14:textId="77777777" w:rsidTr="00625FFD">
        <w:tblPrEx>
          <w:tblW w:w="8790" w:type="dxa"/>
          <w:tblLook w:val="04A0"/>
        </w:tblPrEx>
        <w:trPr>
          <w:trHeight w:val="315"/>
        </w:trPr>
        <w:tc>
          <w:tcPr>
            <w:tcW w:w="1345" w:type="dxa"/>
            <w:vMerge w:val="restart"/>
            <w:tcBorders>
              <w:top w:val="single" w:sz="8" w:space="0" w:color="auto"/>
              <w:left w:val="single" w:sz="8" w:space="0" w:color="auto"/>
              <w:bottom w:val="single" w:sz="8" w:space="0" w:color="000000"/>
              <w:right w:val="single" w:sz="8" w:space="0" w:color="auto"/>
            </w:tcBorders>
            <w:shd w:val="clear" w:color="000000" w:fill="548DD4"/>
            <w:vAlign w:val="center"/>
            <w:hideMark/>
          </w:tcPr>
          <w:p w:rsidR="00DD4B39" w:rsidRPr="00DD4B39" w:rsidP="00DD4B39" w14:paraId="76BDA84E" w14:textId="77777777">
            <w:pPr>
              <w:rPr>
                <w:rFonts w:ascii="Calibri" w:hAnsi="Calibri" w:cs="Calibri"/>
                <w:b/>
                <w:bCs/>
                <w:color w:val="000000"/>
                <w:sz w:val="18"/>
                <w:szCs w:val="18"/>
              </w:rPr>
            </w:pPr>
            <w:r w:rsidRPr="00DD4B39">
              <w:rPr>
                <w:rFonts w:ascii="Calibri" w:hAnsi="Calibri" w:cs="Calibri"/>
                <w:b/>
                <w:bCs/>
                <w:color w:val="000000"/>
                <w:sz w:val="18"/>
                <w:szCs w:val="18"/>
              </w:rPr>
              <w:t>Information Collection</w:t>
            </w:r>
          </w:p>
        </w:tc>
        <w:tc>
          <w:tcPr>
            <w:tcW w:w="2156" w:type="dxa"/>
            <w:gridSpan w:val="2"/>
            <w:tcBorders>
              <w:top w:val="single" w:sz="8" w:space="0" w:color="auto"/>
              <w:left w:val="nil"/>
              <w:bottom w:val="single" w:sz="8" w:space="0" w:color="auto"/>
              <w:right w:val="single" w:sz="8" w:space="0" w:color="000000"/>
            </w:tcBorders>
            <w:shd w:val="clear" w:color="000000" w:fill="548DD4"/>
            <w:vAlign w:val="center"/>
            <w:hideMark/>
          </w:tcPr>
          <w:p w:rsidR="00DD4B39" w:rsidRPr="00DD4B39" w:rsidP="00DD4B39" w14:paraId="64EEA1FC" w14:textId="77777777">
            <w:pPr>
              <w:rPr>
                <w:rFonts w:ascii="Calibri" w:hAnsi="Calibri" w:cs="Calibri"/>
                <w:b/>
                <w:bCs/>
                <w:color w:val="000000"/>
                <w:sz w:val="18"/>
                <w:szCs w:val="18"/>
              </w:rPr>
            </w:pPr>
            <w:r w:rsidRPr="00DD4B39">
              <w:rPr>
                <w:rFonts w:ascii="Calibri" w:hAnsi="Calibri" w:cs="Calibri"/>
                <w:b/>
                <w:bCs/>
                <w:color w:val="000000"/>
                <w:sz w:val="18"/>
                <w:szCs w:val="18"/>
              </w:rPr>
              <w:t>Respondents</w:t>
            </w:r>
          </w:p>
        </w:tc>
        <w:tc>
          <w:tcPr>
            <w:tcW w:w="2078" w:type="dxa"/>
            <w:gridSpan w:val="2"/>
            <w:tcBorders>
              <w:top w:val="single" w:sz="8" w:space="0" w:color="auto"/>
              <w:left w:val="nil"/>
              <w:bottom w:val="single" w:sz="8" w:space="0" w:color="auto"/>
              <w:right w:val="single" w:sz="8" w:space="0" w:color="000000"/>
            </w:tcBorders>
            <w:shd w:val="clear" w:color="000000" w:fill="548DD4"/>
            <w:vAlign w:val="center"/>
            <w:hideMark/>
          </w:tcPr>
          <w:p w:rsidR="00DD4B39" w:rsidRPr="00DD4B39" w:rsidP="00DD4B39" w14:paraId="31C91EE2" w14:textId="77777777">
            <w:pPr>
              <w:rPr>
                <w:rFonts w:ascii="Calibri" w:hAnsi="Calibri" w:cs="Calibri"/>
                <w:b/>
                <w:bCs/>
                <w:color w:val="000000"/>
                <w:sz w:val="18"/>
                <w:szCs w:val="18"/>
              </w:rPr>
            </w:pPr>
            <w:r w:rsidRPr="00DD4B39">
              <w:rPr>
                <w:rFonts w:ascii="Calibri" w:hAnsi="Calibri" w:cs="Calibri"/>
                <w:b/>
                <w:bCs/>
                <w:color w:val="000000"/>
                <w:sz w:val="18"/>
                <w:szCs w:val="18"/>
              </w:rPr>
              <w:t>Responses</w:t>
            </w:r>
          </w:p>
        </w:tc>
        <w:tc>
          <w:tcPr>
            <w:tcW w:w="2078" w:type="dxa"/>
            <w:gridSpan w:val="2"/>
            <w:tcBorders>
              <w:top w:val="single" w:sz="8" w:space="0" w:color="auto"/>
              <w:left w:val="nil"/>
              <w:bottom w:val="single" w:sz="8" w:space="0" w:color="auto"/>
              <w:right w:val="single" w:sz="8" w:space="0" w:color="000000"/>
            </w:tcBorders>
            <w:shd w:val="clear" w:color="000000" w:fill="548DD4"/>
            <w:vAlign w:val="center"/>
            <w:hideMark/>
          </w:tcPr>
          <w:p w:rsidR="00DD4B39" w:rsidRPr="00DD4B39" w:rsidP="00DD4B39" w14:paraId="0BB291E1" w14:textId="77777777">
            <w:pPr>
              <w:rPr>
                <w:rFonts w:ascii="Calibri" w:hAnsi="Calibri" w:cs="Calibri"/>
                <w:b/>
                <w:bCs/>
                <w:color w:val="000000"/>
                <w:sz w:val="18"/>
                <w:szCs w:val="18"/>
              </w:rPr>
            </w:pPr>
            <w:r w:rsidRPr="00DD4B39">
              <w:rPr>
                <w:rFonts w:ascii="Calibri" w:hAnsi="Calibri" w:cs="Calibri"/>
                <w:b/>
                <w:bCs/>
                <w:color w:val="000000"/>
                <w:sz w:val="18"/>
                <w:szCs w:val="18"/>
              </w:rPr>
              <w:t>Burden Hours</w:t>
            </w:r>
          </w:p>
        </w:tc>
        <w:tc>
          <w:tcPr>
            <w:tcW w:w="1133" w:type="dxa"/>
            <w:vMerge w:val="restart"/>
            <w:tcBorders>
              <w:top w:val="single" w:sz="8" w:space="0" w:color="auto"/>
              <w:left w:val="nil"/>
              <w:bottom w:val="single" w:sz="8" w:space="0" w:color="000000"/>
              <w:right w:val="single" w:sz="8" w:space="0" w:color="auto"/>
            </w:tcBorders>
            <w:shd w:val="clear" w:color="000000" w:fill="548DD4"/>
            <w:vAlign w:val="center"/>
            <w:hideMark/>
          </w:tcPr>
          <w:p w:rsidR="00DD4B39" w:rsidRPr="00DD4B39" w:rsidP="00DD4B39" w14:paraId="5C932D0B" w14:textId="77777777">
            <w:pPr>
              <w:rPr>
                <w:rFonts w:ascii="Calibri" w:hAnsi="Calibri" w:cs="Calibri"/>
                <w:b/>
                <w:bCs/>
                <w:color w:val="000000"/>
                <w:sz w:val="18"/>
                <w:szCs w:val="18"/>
              </w:rPr>
            </w:pPr>
            <w:r w:rsidRPr="00DD4B39">
              <w:rPr>
                <w:rFonts w:ascii="Calibri" w:hAnsi="Calibri" w:cs="Calibri"/>
                <w:b/>
                <w:bCs/>
                <w:color w:val="000000"/>
                <w:sz w:val="18"/>
                <w:szCs w:val="18"/>
              </w:rPr>
              <w:t>Reason for change or adjustment</w:t>
            </w:r>
          </w:p>
        </w:tc>
      </w:tr>
      <w:tr w14:paraId="0B016963" w14:textId="77777777" w:rsidTr="00625FFD">
        <w:tblPrEx>
          <w:tblW w:w="8790" w:type="dxa"/>
          <w:tblLook w:val="04A0"/>
        </w:tblPrEx>
        <w:trPr>
          <w:trHeight w:val="735"/>
        </w:trPr>
        <w:tc>
          <w:tcPr>
            <w:tcW w:w="1345" w:type="dxa"/>
            <w:vMerge/>
            <w:tcBorders>
              <w:top w:val="single" w:sz="8" w:space="0" w:color="auto"/>
              <w:left w:val="single" w:sz="8" w:space="0" w:color="auto"/>
              <w:bottom w:val="single" w:sz="8" w:space="0" w:color="000000"/>
              <w:right w:val="single" w:sz="8" w:space="0" w:color="auto"/>
            </w:tcBorders>
            <w:vAlign w:val="center"/>
            <w:hideMark/>
          </w:tcPr>
          <w:p w:rsidR="00DD4B39" w:rsidRPr="00DD4B39" w:rsidP="00DD4B39" w14:paraId="02B328AA" w14:textId="77777777">
            <w:pPr>
              <w:rPr>
                <w:rFonts w:ascii="Calibri" w:hAnsi="Calibri" w:cs="Calibri"/>
                <w:b/>
                <w:bCs/>
                <w:color w:val="000000"/>
                <w:sz w:val="18"/>
                <w:szCs w:val="18"/>
              </w:rPr>
            </w:pPr>
          </w:p>
        </w:tc>
        <w:tc>
          <w:tcPr>
            <w:tcW w:w="1032" w:type="dxa"/>
            <w:tcBorders>
              <w:top w:val="nil"/>
              <w:left w:val="nil"/>
              <w:bottom w:val="single" w:sz="8" w:space="0" w:color="auto"/>
              <w:right w:val="single" w:sz="8" w:space="0" w:color="auto"/>
            </w:tcBorders>
            <w:shd w:val="clear" w:color="000000" w:fill="FDE9D9"/>
            <w:vAlign w:val="center"/>
            <w:hideMark/>
          </w:tcPr>
          <w:p w:rsidR="00DD4B39" w:rsidRPr="00DD4B39" w:rsidP="00DD4B39" w14:paraId="2E2BC50B" w14:textId="77777777">
            <w:pPr>
              <w:rPr>
                <w:rFonts w:ascii="Calibri" w:hAnsi="Calibri" w:cs="Calibri"/>
                <w:b/>
                <w:bCs/>
                <w:color w:val="000000"/>
                <w:sz w:val="18"/>
                <w:szCs w:val="18"/>
              </w:rPr>
            </w:pPr>
            <w:r w:rsidRPr="00DD4B39">
              <w:rPr>
                <w:rFonts w:ascii="Calibri" w:hAnsi="Calibri" w:cs="Calibri"/>
                <w:b/>
                <w:bCs/>
                <w:color w:val="000000"/>
                <w:sz w:val="18"/>
                <w:szCs w:val="18"/>
              </w:rPr>
              <w:t>Current Renewal / Revision</w:t>
            </w:r>
          </w:p>
        </w:tc>
        <w:tc>
          <w:tcPr>
            <w:tcW w:w="1124" w:type="dxa"/>
            <w:tcBorders>
              <w:top w:val="nil"/>
              <w:left w:val="nil"/>
              <w:bottom w:val="single" w:sz="8" w:space="0" w:color="auto"/>
              <w:right w:val="single" w:sz="8" w:space="0" w:color="auto"/>
            </w:tcBorders>
            <w:shd w:val="clear" w:color="000000" w:fill="FDE9D9"/>
            <w:vAlign w:val="center"/>
            <w:hideMark/>
          </w:tcPr>
          <w:p w:rsidR="00DD4B39" w:rsidRPr="00DD4B39" w:rsidP="00DD4B39" w14:paraId="6033152F" w14:textId="77777777">
            <w:pPr>
              <w:rPr>
                <w:rFonts w:ascii="Calibri" w:hAnsi="Calibri" w:cs="Calibri"/>
                <w:b/>
                <w:bCs/>
                <w:color w:val="000000"/>
                <w:sz w:val="18"/>
                <w:szCs w:val="18"/>
              </w:rPr>
            </w:pPr>
            <w:r w:rsidRPr="00DD4B39">
              <w:rPr>
                <w:rFonts w:ascii="Calibri" w:hAnsi="Calibri" w:cs="Calibri"/>
                <w:b/>
                <w:bCs/>
                <w:color w:val="000000"/>
                <w:sz w:val="18"/>
                <w:szCs w:val="18"/>
              </w:rPr>
              <w:t>Previous Renewal / Revision</w:t>
            </w:r>
          </w:p>
        </w:tc>
        <w:tc>
          <w:tcPr>
            <w:tcW w:w="1039" w:type="dxa"/>
            <w:tcBorders>
              <w:top w:val="nil"/>
              <w:left w:val="nil"/>
              <w:bottom w:val="single" w:sz="8" w:space="0" w:color="auto"/>
              <w:right w:val="single" w:sz="8" w:space="0" w:color="auto"/>
            </w:tcBorders>
            <w:shd w:val="clear" w:color="000000" w:fill="FDE9D9"/>
            <w:vAlign w:val="center"/>
            <w:hideMark/>
          </w:tcPr>
          <w:p w:rsidR="00DD4B39" w:rsidRPr="00DD4B39" w:rsidP="00DD4B39" w14:paraId="22C082EB" w14:textId="77777777">
            <w:pPr>
              <w:rPr>
                <w:rFonts w:ascii="Calibri" w:hAnsi="Calibri" w:cs="Calibri"/>
                <w:b/>
                <w:bCs/>
                <w:color w:val="000000"/>
                <w:sz w:val="18"/>
                <w:szCs w:val="18"/>
              </w:rPr>
            </w:pPr>
            <w:r w:rsidRPr="00DD4B39">
              <w:rPr>
                <w:rFonts w:ascii="Calibri" w:hAnsi="Calibri" w:cs="Calibri"/>
                <w:b/>
                <w:bCs/>
                <w:color w:val="000000"/>
                <w:sz w:val="18"/>
                <w:szCs w:val="18"/>
              </w:rPr>
              <w:t>Current Renewal / Revision</w:t>
            </w:r>
          </w:p>
        </w:tc>
        <w:tc>
          <w:tcPr>
            <w:tcW w:w="1039" w:type="dxa"/>
            <w:tcBorders>
              <w:top w:val="nil"/>
              <w:left w:val="nil"/>
              <w:bottom w:val="single" w:sz="8" w:space="0" w:color="auto"/>
              <w:right w:val="single" w:sz="8" w:space="0" w:color="auto"/>
            </w:tcBorders>
            <w:shd w:val="clear" w:color="000000" w:fill="FDE9D9"/>
            <w:vAlign w:val="center"/>
            <w:hideMark/>
          </w:tcPr>
          <w:p w:rsidR="00DD4B39" w:rsidRPr="00DD4B39" w:rsidP="00DD4B39" w14:paraId="4E6B38DA" w14:textId="77777777">
            <w:pPr>
              <w:rPr>
                <w:rFonts w:ascii="Calibri" w:hAnsi="Calibri" w:cs="Calibri"/>
                <w:b/>
                <w:bCs/>
                <w:color w:val="000000"/>
                <w:sz w:val="18"/>
                <w:szCs w:val="18"/>
              </w:rPr>
            </w:pPr>
            <w:r w:rsidRPr="00DD4B39">
              <w:rPr>
                <w:rFonts w:ascii="Calibri" w:hAnsi="Calibri" w:cs="Calibri"/>
                <w:b/>
                <w:bCs/>
                <w:color w:val="000000"/>
                <w:sz w:val="18"/>
                <w:szCs w:val="18"/>
              </w:rPr>
              <w:t>Previous Renewal / Revision</w:t>
            </w:r>
          </w:p>
        </w:tc>
        <w:tc>
          <w:tcPr>
            <w:tcW w:w="1039" w:type="dxa"/>
            <w:tcBorders>
              <w:top w:val="nil"/>
              <w:left w:val="nil"/>
              <w:bottom w:val="single" w:sz="8" w:space="0" w:color="auto"/>
              <w:right w:val="single" w:sz="8" w:space="0" w:color="auto"/>
            </w:tcBorders>
            <w:shd w:val="clear" w:color="000000" w:fill="FDE9D9"/>
            <w:vAlign w:val="center"/>
            <w:hideMark/>
          </w:tcPr>
          <w:p w:rsidR="00DD4B39" w:rsidRPr="00DD4B39" w:rsidP="00DD4B39" w14:paraId="0270E7FA" w14:textId="77777777">
            <w:pPr>
              <w:rPr>
                <w:rFonts w:ascii="Calibri" w:hAnsi="Calibri" w:cs="Calibri"/>
                <w:b/>
                <w:bCs/>
                <w:color w:val="000000"/>
                <w:sz w:val="18"/>
                <w:szCs w:val="18"/>
              </w:rPr>
            </w:pPr>
            <w:r w:rsidRPr="00DD4B39">
              <w:rPr>
                <w:rFonts w:ascii="Calibri" w:hAnsi="Calibri" w:cs="Calibri"/>
                <w:b/>
                <w:bCs/>
                <w:color w:val="000000"/>
                <w:sz w:val="18"/>
                <w:szCs w:val="18"/>
              </w:rPr>
              <w:t>Current Renewal / Revision</w:t>
            </w:r>
          </w:p>
        </w:tc>
        <w:tc>
          <w:tcPr>
            <w:tcW w:w="1039" w:type="dxa"/>
            <w:tcBorders>
              <w:top w:val="nil"/>
              <w:left w:val="nil"/>
              <w:bottom w:val="single" w:sz="8" w:space="0" w:color="auto"/>
              <w:right w:val="single" w:sz="8" w:space="0" w:color="auto"/>
            </w:tcBorders>
            <w:shd w:val="clear" w:color="000000" w:fill="FDE9D9"/>
            <w:vAlign w:val="center"/>
            <w:hideMark/>
          </w:tcPr>
          <w:p w:rsidR="00DD4B39" w:rsidRPr="00DD4B39" w:rsidP="00DD4B39" w14:paraId="4080210F" w14:textId="77777777">
            <w:pPr>
              <w:rPr>
                <w:rFonts w:ascii="Calibri" w:hAnsi="Calibri" w:cs="Calibri"/>
                <w:b/>
                <w:bCs/>
                <w:color w:val="000000"/>
                <w:sz w:val="18"/>
                <w:szCs w:val="18"/>
              </w:rPr>
            </w:pPr>
            <w:r w:rsidRPr="00DD4B39">
              <w:rPr>
                <w:rFonts w:ascii="Calibri" w:hAnsi="Calibri" w:cs="Calibri"/>
                <w:b/>
                <w:bCs/>
                <w:color w:val="000000"/>
                <w:sz w:val="18"/>
                <w:szCs w:val="18"/>
              </w:rPr>
              <w:t>Previous Renewal / Revision</w:t>
            </w:r>
          </w:p>
        </w:tc>
        <w:tc>
          <w:tcPr>
            <w:tcW w:w="1133" w:type="dxa"/>
            <w:vMerge/>
            <w:tcBorders>
              <w:top w:val="single" w:sz="8" w:space="0" w:color="auto"/>
              <w:left w:val="nil"/>
              <w:bottom w:val="single" w:sz="8" w:space="0" w:color="000000"/>
              <w:right w:val="single" w:sz="8" w:space="0" w:color="auto"/>
            </w:tcBorders>
            <w:vAlign w:val="center"/>
            <w:hideMark/>
          </w:tcPr>
          <w:p w:rsidR="00DD4B39" w:rsidRPr="00DD4B39" w:rsidP="00DD4B39" w14:paraId="0E8121FC" w14:textId="77777777">
            <w:pPr>
              <w:rPr>
                <w:rFonts w:ascii="Calibri" w:hAnsi="Calibri" w:cs="Calibri"/>
                <w:b/>
                <w:bCs/>
                <w:color w:val="000000"/>
                <w:sz w:val="18"/>
                <w:szCs w:val="18"/>
              </w:rPr>
            </w:pPr>
          </w:p>
        </w:tc>
      </w:tr>
      <w:tr w14:paraId="015D72A8" w14:textId="77777777" w:rsidTr="00625FFD">
        <w:tblPrEx>
          <w:tblW w:w="8790" w:type="dxa"/>
          <w:tblLook w:val="04A0"/>
        </w:tblPrEx>
        <w:trPr>
          <w:trHeight w:val="700"/>
        </w:trPr>
        <w:tc>
          <w:tcPr>
            <w:tcW w:w="1345" w:type="dxa"/>
            <w:tcBorders>
              <w:top w:val="nil"/>
              <w:left w:val="single" w:sz="8" w:space="0" w:color="auto"/>
              <w:bottom w:val="single" w:sz="8" w:space="0" w:color="auto"/>
              <w:right w:val="single" w:sz="8" w:space="0" w:color="auto"/>
            </w:tcBorders>
            <w:shd w:val="clear" w:color="auto" w:fill="auto"/>
            <w:vAlign w:val="center"/>
          </w:tcPr>
          <w:p w:rsidR="00B9760F" w:rsidRPr="00DD4B39" w:rsidP="00B9760F" w14:paraId="39E21C12" w14:textId="1A292B7D">
            <w:pPr>
              <w:rPr>
                <w:rFonts w:ascii="Calibri" w:hAnsi="Calibri" w:cs="Calibri"/>
                <w:color w:val="000000"/>
                <w:sz w:val="16"/>
                <w:szCs w:val="16"/>
              </w:rPr>
            </w:pPr>
            <w:r>
              <w:rPr>
                <w:rFonts w:ascii="Calibri" w:hAnsi="Calibri" w:cs="Calibri"/>
                <w:b/>
                <w:color w:val="000000"/>
                <w:sz w:val="16"/>
                <w:szCs w:val="16"/>
              </w:rPr>
              <w:t>Vessel Owner/Operator Requirements</w:t>
            </w:r>
          </w:p>
        </w:tc>
        <w:tc>
          <w:tcPr>
            <w:tcW w:w="1032" w:type="dxa"/>
            <w:tcBorders>
              <w:top w:val="nil"/>
              <w:left w:val="nil"/>
              <w:bottom w:val="single" w:sz="8" w:space="0" w:color="auto"/>
              <w:right w:val="single" w:sz="8" w:space="0" w:color="auto"/>
            </w:tcBorders>
            <w:shd w:val="clear" w:color="auto" w:fill="auto"/>
            <w:vAlign w:val="center"/>
          </w:tcPr>
          <w:p w:rsidR="00B9760F" w:rsidRPr="00DD4B39" w:rsidP="00B9760F" w14:paraId="325BAF76" w14:textId="77777777">
            <w:pPr>
              <w:jc w:val="right"/>
              <w:rPr>
                <w:rFonts w:ascii="Calibri" w:hAnsi="Calibri" w:cs="Calibri"/>
                <w:color w:val="000000"/>
                <w:sz w:val="18"/>
                <w:szCs w:val="18"/>
              </w:rPr>
            </w:pPr>
          </w:p>
        </w:tc>
        <w:tc>
          <w:tcPr>
            <w:tcW w:w="1124" w:type="dxa"/>
            <w:tcBorders>
              <w:top w:val="nil"/>
              <w:left w:val="nil"/>
              <w:bottom w:val="single" w:sz="8" w:space="0" w:color="auto"/>
              <w:right w:val="single" w:sz="8" w:space="0" w:color="auto"/>
            </w:tcBorders>
            <w:shd w:val="clear" w:color="auto" w:fill="auto"/>
            <w:vAlign w:val="center"/>
          </w:tcPr>
          <w:p w:rsidR="00B9760F" w:rsidRPr="00DD4B39" w:rsidP="00B9760F" w14:paraId="0267224E" w14:textId="77777777">
            <w:pPr>
              <w:jc w:val="right"/>
              <w:rPr>
                <w:rFonts w:ascii="Calibri" w:hAnsi="Calibri" w:cs="Calibri"/>
                <w:color w:val="000000"/>
                <w:sz w:val="18"/>
                <w:szCs w:val="18"/>
              </w:rPr>
            </w:pPr>
          </w:p>
        </w:tc>
        <w:tc>
          <w:tcPr>
            <w:tcW w:w="1039" w:type="dxa"/>
            <w:tcBorders>
              <w:top w:val="nil"/>
              <w:left w:val="nil"/>
              <w:bottom w:val="single" w:sz="8" w:space="0" w:color="auto"/>
              <w:right w:val="single" w:sz="8" w:space="0" w:color="auto"/>
            </w:tcBorders>
            <w:shd w:val="clear" w:color="auto" w:fill="auto"/>
            <w:vAlign w:val="center"/>
          </w:tcPr>
          <w:p w:rsidR="00B9760F" w:rsidRPr="00DD4B39" w:rsidP="00B9760F" w14:paraId="499BB50B" w14:textId="77777777">
            <w:pPr>
              <w:jc w:val="right"/>
              <w:rPr>
                <w:rFonts w:ascii="Calibri" w:hAnsi="Calibri" w:cs="Calibri"/>
                <w:color w:val="000000"/>
                <w:sz w:val="18"/>
                <w:szCs w:val="18"/>
              </w:rPr>
            </w:pPr>
          </w:p>
        </w:tc>
        <w:tc>
          <w:tcPr>
            <w:tcW w:w="1039" w:type="dxa"/>
            <w:tcBorders>
              <w:top w:val="nil"/>
              <w:left w:val="nil"/>
              <w:bottom w:val="single" w:sz="8" w:space="0" w:color="auto"/>
              <w:right w:val="single" w:sz="8" w:space="0" w:color="auto"/>
            </w:tcBorders>
            <w:shd w:val="clear" w:color="auto" w:fill="auto"/>
            <w:vAlign w:val="center"/>
          </w:tcPr>
          <w:p w:rsidR="00B9760F" w:rsidRPr="00DD4B39" w:rsidP="00B9760F" w14:paraId="757D555D" w14:textId="77777777">
            <w:pPr>
              <w:jc w:val="right"/>
              <w:rPr>
                <w:rFonts w:ascii="Calibri" w:hAnsi="Calibri" w:cs="Calibri"/>
                <w:color w:val="000000"/>
                <w:sz w:val="18"/>
                <w:szCs w:val="18"/>
              </w:rPr>
            </w:pPr>
          </w:p>
        </w:tc>
        <w:tc>
          <w:tcPr>
            <w:tcW w:w="1039" w:type="dxa"/>
            <w:tcBorders>
              <w:top w:val="nil"/>
              <w:left w:val="nil"/>
              <w:bottom w:val="single" w:sz="8" w:space="0" w:color="auto"/>
              <w:right w:val="single" w:sz="8" w:space="0" w:color="auto"/>
            </w:tcBorders>
            <w:shd w:val="clear" w:color="auto" w:fill="auto"/>
            <w:vAlign w:val="center"/>
          </w:tcPr>
          <w:p w:rsidR="00B9760F" w:rsidRPr="00DD4B39" w:rsidP="00B9760F" w14:paraId="6440D6FB" w14:textId="77777777">
            <w:pPr>
              <w:jc w:val="right"/>
              <w:rPr>
                <w:rFonts w:ascii="Calibri" w:hAnsi="Calibri" w:cs="Calibri"/>
                <w:color w:val="000000"/>
                <w:sz w:val="18"/>
                <w:szCs w:val="18"/>
              </w:rPr>
            </w:pPr>
          </w:p>
        </w:tc>
        <w:tc>
          <w:tcPr>
            <w:tcW w:w="1039" w:type="dxa"/>
            <w:tcBorders>
              <w:top w:val="nil"/>
              <w:left w:val="nil"/>
              <w:bottom w:val="single" w:sz="8" w:space="0" w:color="auto"/>
              <w:right w:val="single" w:sz="8" w:space="0" w:color="auto"/>
            </w:tcBorders>
            <w:shd w:val="clear" w:color="auto" w:fill="auto"/>
            <w:vAlign w:val="center"/>
          </w:tcPr>
          <w:p w:rsidR="00B9760F" w:rsidRPr="00DD4B39" w:rsidP="00B9760F" w14:paraId="26844150" w14:textId="77777777">
            <w:pPr>
              <w:jc w:val="right"/>
              <w:rPr>
                <w:rFonts w:ascii="Calibri" w:hAnsi="Calibri" w:cs="Calibri"/>
                <w:color w:val="000000"/>
                <w:sz w:val="18"/>
                <w:szCs w:val="18"/>
              </w:rPr>
            </w:pPr>
          </w:p>
        </w:tc>
        <w:tc>
          <w:tcPr>
            <w:tcW w:w="1133" w:type="dxa"/>
            <w:tcBorders>
              <w:top w:val="nil"/>
              <w:left w:val="nil"/>
              <w:bottom w:val="single" w:sz="8" w:space="0" w:color="auto"/>
              <w:right w:val="single" w:sz="8" w:space="0" w:color="auto"/>
            </w:tcBorders>
            <w:shd w:val="clear" w:color="auto" w:fill="auto"/>
            <w:vAlign w:val="center"/>
          </w:tcPr>
          <w:p w:rsidR="00B9760F" w:rsidRPr="00DD4B39" w:rsidP="00B9760F" w14:paraId="3ACA63A5" w14:textId="77777777">
            <w:pPr>
              <w:rPr>
                <w:rFonts w:ascii="Calibri" w:hAnsi="Calibri" w:cs="Calibri"/>
                <w:color w:val="000000"/>
                <w:sz w:val="18"/>
                <w:szCs w:val="18"/>
              </w:rPr>
            </w:pPr>
          </w:p>
        </w:tc>
      </w:tr>
      <w:tr w14:paraId="58F2AB3D" w14:textId="77777777" w:rsidTr="00625FFD">
        <w:tblPrEx>
          <w:tblW w:w="8790" w:type="dxa"/>
          <w:tblLook w:val="04A0"/>
        </w:tblPrEx>
        <w:trPr>
          <w:trHeight w:val="915"/>
        </w:trPr>
        <w:tc>
          <w:tcPr>
            <w:tcW w:w="1345" w:type="dxa"/>
            <w:tcBorders>
              <w:top w:val="single" w:sz="4" w:space="0" w:color="auto"/>
              <w:left w:val="single" w:sz="8" w:space="0" w:color="auto"/>
              <w:bottom w:val="single" w:sz="8" w:space="0" w:color="auto"/>
              <w:right w:val="single" w:sz="8" w:space="0" w:color="auto"/>
            </w:tcBorders>
            <w:shd w:val="clear" w:color="auto" w:fill="auto"/>
            <w:vAlign w:val="center"/>
          </w:tcPr>
          <w:p w:rsidR="00A1369D" w:rsidRPr="00DD4B39" w:rsidP="00625FFD" w14:paraId="7D5B0E30" w14:textId="4DA696B1">
            <w:pPr>
              <w:rPr>
                <w:rFonts w:ascii="Calibri" w:hAnsi="Calibri" w:cs="Calibri"/>
                <w:color w:val="000000"/>
                <w:sz w:val="16"/>
                <w:szCs w:val="16"/>
              </w:rPr>
            </w:pPr>
            <w:r>
              <w:rPr>
                <w:rFonts w:ascii="Calibri" w:hAnsi="Calibri" w:cs="Calibri"/>
                <w:color w:val="000000"/>
                <w:sz w:val="16"/>
                <w:szCs w:val="16"/>
              </w:rPr>
              <w:t>M</w:t>
            </w:r>
            <w:r w:rsidRPr="00A1369D">
              <w:rPr>
                <w:rFonts w:ascii="Calibri" w:hAnsi="Calibri" w:cs="Calibri"/>
                <w:color w:val="000000"/>
                <w:sz w:val="16"/>
                <w:szCs w:val="16"/>
              </w:rPr>
              <w:t>ailing EM hard drives for monitoring area trips</w:t>
            </w:r>
          </w:p>
        </w:tc>
        <w:tc>
          <w:tcPr>
            <w:tcW w:w="1032" w:type="dxa"/>
            <w:tcBorders>
              <w:top w:val="single" w:sz="4" w:space="0" w:color="auto"/>
              <w:left w:val="nil"/>
              <w:bottom w:val="single" w:sz="8" w:space="0" w:color="auto"/>
              <w:right w:val="single" w:sz="8" w:space="0" w:color="auto"/>
            </w:tcBorders>
            <w:shd w:val="clear" w:color="auto" w:fill="auto"/>
            <w:vAlign w:val="center"/>
          </w:tcPr>
          <w:p w:rsidR="00A1369D" w:rsidP="00625FFD" w14:paraId="293C38CE" w14:textId="041E336F">
            <w:pPr>
              <w:jc w:val="right"/>
              <w:rPr>
                <w:rFonts w:ascii="Calibri" w:hAnsi="Calibri" w:cs="Calibri"/>
                <w:color w:val="000000"/>
                <w:sz w:val="18"/>
                <w:szCs w:val="18"/>
              </w:rPr>
            </w:pPr>
            <w:r>
              <w:rPr>
                <w:rFonts w:ascii="Calibri" w:hAnsi="Calibri" w:cs="Calibri"/>
                <w:color w:val="000000"/>
                <w:sz w:val="18"/>
                <w:szCs w:val="18"/>
              </w:rPr>
              <w:t>20</w:t>
            </w:r>
          </w:p>
        </w:tc>
        <w:tc>
          <w:tcPr>
            <w:tcW w:w="1124" w:type="dxa"/>
            <w:tcBorders>
              <w:top w:val="single" w:sz="4" w:space="0" w:color="auto"/>
              <w:left w:val="nil"/>
              <w:bottom w:val="single" w:sz="8" w:space="0" w:color="auto"/>
              <w:right w:val="single" w:sz="8" w:space="0" w:color="auto"/>
            </w:tcBorders>
            <w:shd w:val="clear" w:color="auto" w:fill="auto"/>
            <w:vAlign w:val="center"/>
          </w:tcPr>
          <w:p w:rsidR="00A1369D" w:rsidP="00625FFD" w14:paraId="065C09EF" w14:textId="61F70B5A">
            <w:pPr>
              <w:jc w:val="right"/>
              <w:rPr>
                <w:rFonts w:ascii="Calibri" w:hAnsi="Calibri" w:cs="Calibri"/>
                <w:color w:val="000000"/>
                <w:sz w:val="18"/>
                <w:szCs w:val="18"/>
              </w:rPr>
            </w:pPr>
            <w:r>
              <w:rPr>
                <w:rFonts w:ascii="Calibri" w:hAnsi="Calibri" w:cs="Calibri"/>
                <w:color w:val="000000"/>
                <w:sz w:val="18"/>
                <w:szCs w:val="18"/>
              </w:rPr>
              <w:t>20</w:t>
            </w:r>
          </w:p>
        </w:tc>
        <w:tc>
          <w:tcPr>
            <w:tcW w:w="1039" w:type="dxa"/>
            <w:tcBorders>
              <w:top w:val="single" w:sz="4" w:space="0" w:color="auto"/>
              <w:left w:val="nil"/>
              <w:bottom w:val="single" w:sz="8" w:space="0" w:color="auto"/>
              <w:right w:val="single" w:sz="8" w:space="0" w:color="auto"/>
            </w:tcBorders>
            <w:shd w:val="clear" w:color="auto" w:fill="auto"/>
            <w:vAlign w:val="center"/>
          </w:tcPr>
          <w:p w:rsidR="00A1369D" w:rsidP="00625FFD" w14:paraId="13F5DA29" w14:textId="21E292E5">
            <w:pPr>
              <w:jc w:val="right"/>
              <w:rPr>
                <w:rFonts w:ascii="Calibri" w:hAnsi="Calibri" w:cs="Calibri"/>
                <w:color w:val="000000"/>
                <w:sz w:val="18"/>
                <w:szCs w:val="18"/>
              </w:rPr>
            </w:pPr>
            <w:r>
              <w:rPr>
                <w:rFonts w:ascii="Calibri" w:hAnsi="Calibri" w:cs="Calibri"/>
                <w:color w:val="000000"/>
                <w:sz w:val="18"/>
                <w:szCs w:val="18"/>
              </w:rPr>
              <w:t>60</w:t>
            </w:r>
          </w:p>
        </w:tc>
        <w:tc>
          <w:tcPr>
            <w:tcW w:w="1039" w:type="dxa"/>
            <w:tcBorders>
              <w:top w:val="single" w:sz="4" w:space="0" w:color="auto"/>
              <w:left w:val="nil"/>
              <w:bottom w:val="single" w:sz="8" w:space="0" w:color="auto"/>
              <w:right w:val="single" w:sz="8" w:space="0" w:color="auto"/>
            </w:tcBorders>
            <w:shd w:val="clear" w:color="auto" w:fill="auto"/>
            <w:vAlign w:val="center"/>
          </w:tcPr>
          <w:p w:rsidR="00A1369D" w:rsidP="00625FFD" w14:paraId="59BF238C" w14:textId="0703730C">
            <w:pPr>
              <w:jc w:val="right"/>
              <w:rPr>
                <w:rFonts w:ascii="Calibri" w:hAnsi="Calibri" w:cs="Calibri"/>
                <w:color w:val="000000"/>
                <w:sz w:val="18"/>
                <w:szCs w:val="18"/>
              </w:rPr>
            </w:pPr>
            <w:r>
              <w:rPr>
                <w:rFonts w:ascii="Calibri" w:hAnsi="Calibri" w:cs="Calibri"/>
                <w:color w:val="000000"/>
                <w:sz w:val="18"/>
                <w:szCs w:val="18"/>
              </w:rPr>
              <w:t>60</w:t>
            </w:r>
          </w:p>
        </w:tc>
        <w:tc>
          <w:tcPr>
            <w:tcW w:w="1039" w:type="dxa"/>
            <w:tcBorders>
              <w:top w:val="single" w:sz="4" w:space="0" w:color="auto"/>
              <w:left w:val="nil"/>
              <w:bottom w:val="single" w:sz="8" w:space="0" w:color="auto"/>
              <w:right w:val="single" w:sz="8" w:space="0" w:color="auto"/>
            </w:tcBorders>
            <w:shd w:val="clear" w:color="auto" w:fill="auto"/>
            <w:vAlign w:val="center"/>
          </w:tcPr>
          <w:p w:rsidR="00A1369D" w:rsidP="00625FFD" w14:paraId="14C384BC" w14:textId="6EBD0E22">
            <w:pPr>
              <w:jc w:val="right"/>
              <w:rPr>
                <w:rFonts w:ascii="Calibri" w:hAnsi="Calibri" w:cs="Calibri"/>
                <w:color w:val="000000"/>
                <w:sz w:val="18"/>
                <w:szCs w:val="18"/>
              </w:rPr>
            </w:pPr>
            <w:r>
              <w:rPr>
                <w:rFonts w:ascii="Calibri" w:hAnsi="Calibri" w:cs="Calibri"/>
                <w:color w:val="000000"/>
                <w:sz w:val="18"/>
                <w:szCs w:val="18"/>
              </w:rPr>
              <w:t>60</w:t>
            </w:r>
          </w:p>
        </w:tc>
        <w:tc>
          <w:tcPr>
            <w:tcW w:w="1039" w:type="dxa"/>
            <w:tcBorders>
              <w:top w:val="single" w:sz="4" w:space="0" w:color="auto"/>
              <w:left w:val="nil"/>
              <w:bottom w:val="single" w:sz="8" w:space="0" w:color="auto"/>
              <w:right w:val="single" w:sz="8" w:space="0" w:color="auto"/>
            </w:tcBorders>
            <w:shd w:val="clear" w:color="auto" w:fill="auto"/>
            <w:vAlign w:val="center"/>
          </w:tcPr>
          <w:p w:rsidR="00A1369D" w:rsidP="00625FFD" w14:paraId="2BC7CFBA" w14:textId="134DC5E9">
            <w:pPr>
              <w:jc w:val="right"/>
              <w:rPr>
                <w:rFonts w:ascii="Calibri" w:hAnsi="Calibri" w:cs="Calibri"/>
                <w:color w:val="000000"/>
                <w:sz w:val="18"/>
                <w:szCs w:val="18"/>
              </w:rPr>
            </w:pPr>
            <w:r>
              <w:rPr>
                <w:rFonts w:ascii="Calibri" w:hAnsi="Calibri" w:cs="Calibri"/>
                <w:color w:val="000000"/>
                <w:sz w:val="18"/>
                <w:szCs w:val="18"/>
              </w:rPr>
              <w:t>60</w:t>
            </w:r>
          </w:p>
        </w:tc>
        <w:tc>
          <w:tcPr>
            <w:tcW w:w="1133" w:type="dxa"/>
            <w:tcBorders>
              <w:top w:val="single" w:sz="4" w:space="0" w:color="auto"/>
              <w:left w:val="nil"/>
              <w:bottom w:val="single" w:sz="8" w:space="0" w:color="auto"/>
              <w:right w:val="single" w:sz="8" w:space="0" w:color="auto"/>
            </w:tcBorders>
            <w:shd w:val="clear" w:color="auto" w:fill="auto"/>
            <w:vAlign w:val="center"/>
          </w:tcPr>
          <w:p w:rsidR="00A1369D" w:rsidRPr="00DD4B39" w:rsidP="00625FFD" w14:paraId="2B78EB96" w14:textId="346800B5">
            <w:pPr>
              <w:rPr>
                <w:rFonts w:ascii="Calibri" w:hAnsi="Calibri" w:cs="Calibri"/>
                <w:color w:val="000000"/>
                <w:sz w:val="18"/>
                <w:szCs w:val="18"/>
              </w:rPr>
            </w:pPr>
            <w:r>
              <w:rPr>
                <w:rFonts w:ascii="Calibri" w:hAnsi="Calibri" w:cs="Calibri"/>
                <w:color w:val="000000"/>
                <w:sz w:val="18"/>
                <w:szCs w:val="18"/>
              </w:rPr>
              <w:t>No change</w:t>
            </w:r>
          </w:p>
        </w:tc>
      </w:tr>
      <w:tr w14:paraId="4E0544D2" w14:textId="77777777" w:rsidTr="00625FFD">
        <w:tblPrEx>
          <w:tblW w:w="8790" w:type="dxa"/>
          <w:tblLook w:val="04A0"/>
        </w:tblPrEx>
        <w:trPr>
          <w:trHeight w:val="915"/>
        </w:trPr>
        <w:tc>
          <w:tcPr>
            <w:tcW w:w="1345" w:type="dxa"/>
            <w:tcBorders>
              <w:top w:val="single" w:sz="4" w:space="0" w:color="auto"/>
              <w:left w:val="single" w:sz="8" w:space="0" w:color="auto"/>
              <w:bottom w:val="single" w:sz="8" w:space="0" w:color="auto"/>
              <w:right w:val="single" w:sz="8" w:space="0" w:color="auto"/>
            </w:tcBorders>
            <w:shd w:val="clear" w:color="auto" w:fill="auto"/>
            <w:vAlign w:val="center"/>
            <w:hideMark/>
          </w:tcPr>
          <w:p w:rsidR="00625FFD" w:rsidRPr="00DD4B39" w:rsidP="00625FFD" w14:paraId="12E4A7F1" w14:textId="77777777">
            <w:pPr>
              <w:rPr>
                <w:rFonts w:ascii="Calibri" w:hAnsi="Calibri" w:cs="Calibri"/>
                <w:color w:val="000000"/>
                <w:sz w:val="16"/>
                <w:szCs w:val="16"/>
              </w:rPr>
            </w:pPr>
            <w:r w:rsidRPr="00DD4B39">
              <w:rPr>
                <w:rFonts w:ascii="Calibri" w:hAnsi="Calibri" w:cs="Calibri"/>
                <w:color w:val="000000"/>
                <w:sz w:val="16"/>
                <w:szCs w:val="16"/>
              </w:rPr>
              <w:t>VMS Monitoring Area Catch Reports</w:t>
            </w:r>
          </w:p>
        </w:tc>
        <w:tc>
          <w:tcPr>
            <w:tcW w:w="1032" w:type="dxa"/>
            <w:tcBorders>
              <w:top w:val="single" w:sz="4" w:space="0" w:color="auto"/>
              <w:left w:val="nil"/>
              <w:bottom w:val="single" w:sz="8" w:space="0" w:color="auto"/>
              <w:right w:val="single" w:sz="8" w:space="0" w:color="auto"/>
            </w:tcBorders>
            <w:shd w:val="clear" w:color="auto" w:fill="auto"/>
            <w:vAlign w:val="center"/>
            <w:hideMark/>
          </w:tcPr>
          <w:p w:rsidR="00625FFD" w:rsidRPr="00DD4B39" w:rsidP="00625FFD" w14:paraId="690B7176" w14:textId="039AC531">
            <w:pPr>
              <w:jc w:val="right"/>
              <w:rPr>
                <w:rFonts w:ascii="Calibri" w:hAnsi="Calibri" w:cs="Calibri"/>
                <w:color w:val="000000"/>
                <w:sz w:val="18"/>
                <w:szCs w:val="18"/>
              </w:rPr>
            </w:pPr>
            <w:r>
              <w:rPr>
                <w:rFonts w:ascii="Calibri" w:hAnsi="Calibri" w:cs="Calibri"/>
                <w:color w:val="000000"/>
                <w:sz w:val="18"/>
                <w:szCs w:val="18"/>
              </w:rPr>
              <w:t>20</w:t>
            </w:r>
          </w:p>
        </w:tc>
        <w:tc>
          <w:tcPr>
            <w:tcW w:w="1124" w:type="dxa"/>
            <w:tcBorders>
              <w:top w:val="single" w:sz="4" w:space="0" w:color="auto"/>
              <w:left w:val="nil"/>
              <w:bottom w:val="single" w:sz="8" w:space="0" w:color="auto"/>
              <w:right w:val="single" w:sz="8" w:space="0" w:color="auto"/>
            </w:tcBorders>
            <w:shd w:val="clear" w:color="auto" w:fill="auto"/>
            <w:vAlign w:val="center"/>
            <w:hideMark/>
          </w:tcPr>
          <w:p w:rsidR="00625FFD" w:rsidRPr="00DD4B39" w:rsidP="00625FFD" w14:paraId="770C9C72" w14:textId="638B91C9">
            <w:pPr>
              <w:jc w:val="right"/>
              <w:rPr>
                <w:rFonts w:ascii="Calibri" w:hAnsi="Calibri" w:cs="Calibri"/>
                <w:color w:val="000000"/>
                <w:sz w:val="18"/>
                <w:szCs w:val="18"/>
              </w:rPr>
            </w:pPr>
            <w:r>
              <w:rPr>
                <w:rFonts w:ascii="Calibri" w:hAnsi="Calibri" w:cs="Calibri"/>
                <w:color w:val="000000"/>
                <w:sz w:val="18"/>
                <w:szCs w:val="18"/>
              </w:rPr>
              <w:t> </w:t>
            </w:r>
          </w:p>
        </w:tc>
        <w:tc>
          <w:tcPr>
            <w:tcW w:w="1039" w:type="dxa"/>
            <w:tcBorders>
              <w:top w:val="single" w:sz="4" w:space="0" w:color="auto"/>
              <w:left w:val="nil"/>
              <w:bottom w:val="single" w:sz="8" w:space="0" w:color="auto"/>
              <w:right w:val="single" w:sz="8" w:space="0" w:color="auto"/>
            </w:tcBorders>
            <w:shd w:val="clear" w:color="auto" w:fill="auto"/>
            <w:vAlign w:val="center"/>
            <w:hideMark/>
          </w:tcPr>
          <w:p w:rsidR="00625FFD" w:rsidRPr="00DD4B39" w:rsidP="00625FFD" w14:paraId="39DAC6CA" w14:textId="7C64B391">
            <w:pPr>
              <w:jc w:val="right"/>
              <w:rPr>
                <w:rFonts w:ascii="Calibri" w:hAnsi="Calibri" w:cs="Calibri"/>
                <w:color w:val="000000"/>
                <w:sz w:val="18"/>
                <w:szCs w:val="18"/>
              </w:rPr>
            </w:pPr>
            <w:r>
              <w:rPr>
                <w:rFonts w:ascii="Calibri" w:hAnsi="Calibri" w:cs="Calibri"/>
                <w:color w:val="000000"/>
                <w:sz w:val="18"/>
                <w:szCs w:val="18"/>
              </w:rPr>
              <w:t>630</w:t>
            </w:r>
          </w:p>
        </w:tc>
        <w:tc>
          <w:tcPr>
            <w:tcW w:w="1039" w:type="dxa"/>
            <w:tcBorders>
              <w:top w:val="single" w:sz="4" w:space="0" w:color="auto"/>
              <w:left w:val="nil"/>
              <w:bottom w:val="single" w:sz="8" w:space="0" w:color="auto"/>
              <w:right w:val="single" w:sz="8" w:space="0" w:color="auto"/>
            </w:tcBorders>
            <w:shd w:val="clear" w:color="auto" w:fill="auto"/>
            <w:vAlign w:val="center"/>
            <w:hideMark/>
          </w:tcPr>
          <w:p w:rsidR="00625FFD" w:rsidRPr="00DD4B39" w:rsidP="00625FFD" w14:paraId="1908F326" w14:textId="3E49C2ED">
            <w:pPr>
              <w:jc w:val="right"/>
              <w:rPr>
                <w:rFonts w:ascii="Calibri" w:hAnsi="Calibri" w:cs="Calibri"/>
                <w:color w:val="000000"/>
                <w:sz w:val="18"/>
                <w:szCs w:val="18"/>
              </w:rPr>
            </w:pPr>
            <w:r>
              <w:rPr>
                <w:rFonts w:ascii="Calibri" w:hAnsi="Calibri" w:cs="Calibri"/>
                <w:color w:val="000000"/>
                <w:sz w:val="18"/>
                <w:szCs w:val="18"/>
              </w:rPr>
              <w:t> </w:t>
            </w:r>
          </w:p>
        </w:tc>
        <w:tc>
          <w:tcPr>
            <w:tcW w:w="1039" w:type="dxa"/>
            <w:tcBorders>
              <w:top w:val="single" w:sz="4" w:space="0" w:color="auto"/>
              <w:left w:val="nil"/>
              <w:bottom w:val="single" w:sz="8" w:space="0" w:color="auto"/>
              <w:right w:val="single" w:sz="8" w:space="0" w:color="auto"/>
            </w:tcBorders>
            <w:shd w:val="clear" w:color="auto" w:fill="auto"/>
            <w:vAlign w:val="center"/>
            <w:hideMark/>
          </w:tcPr>
          <w:p w:rsidR="00625FFD" w:rsidRPr="00DD4B39" w:rsidP="00625FFD" w14:paraId="0764C263" w14:textId="2EC7E4AD">
            <w:pPr>
              <w:jc w:val="right"/>
              <w:rPr>
                <w:rFonts w:ascii="Calibri" w:hAnsi="Calibri" w:cs="Calibri"/>
                <w:color w:val="000000"/>
                <w:sz w:val="18"/>
                <w:szCs w:val="18"/>
              </w:rPr>
            </w:pPr>
            <w:r>
              <w:rPr>
                <w:rFonts w:ascii="Calibri" w:hAnsi="Calibri" w:cs="Calibri"/>
                <w:color w:val="000000"/>
                <w:sz w:val="18"/>
                <w:szCs w:val="18"/>
              </w:rPr>
              <w:t>158</w:t>
            </w:r>
          </w:p>
        </w:tc>
        <w:tc>
          <w:tcPr>
            <w:tcW w:w="1039" w:type="dxa"/>
            <w:tcBorders>
              <w:top w:val="single" w:sz="4" w:space="0" w:color="auto"/>
              <w:left w:val="nil"/>
              <w:bottom w:val="single" w:sz="8" w:space="0" w:color="auto"/>
              <w:right w:val="single" w:sz="8" w:space="0" w:color="auto"/>
            </w:tcBorders>
            <w:shd w:val="clear" w:color="auto" w:fill="auto"/>
            <w:vAlign w:val="center"/>
            <w:hideMark/>
          </w:tcPr>
          <w:p w:rsidR="00625FFD" w:rsidRPr="00DD4B39" w:rsidP="00625FFD" w14:paraId="3F8211AD" w14:textId="459C8DE0">
            <w:pPr>
              <w:jc w:val="right"/>
              <w:rPr>
                <w:rFonts w:ascii="Calibri" w:hAnsi="Calibri" w:cs="Calibri"/>
                <w:color w:val="000000"/>
                <w:sz w:val="18"/>
                <w:szCs w:val="18"/>
              </w:rPr>
            </w:pPr>
            <w:r>
              <w:rPr>
                <w:rFonts w:ascii="Calibri" w:hAnsi="Calibri" w:cs="Calibri"/>
                <w:color w:val="000000"/>
                <w:sz w:val="18"/>
                <w:szCs w:val="18"/>
              </w:rPr>
              <w:t> </w:t>
            </w:r>
          </w:p>
        </w:tc>
        <w:tc>
          <w:tcPr>
            <w:tcW w:w="1133" w:type="dxa"/>
            <w:tcBorders>
              <w:top w:val="single" w:sz="4" w:space="0" w:color="auto"/>
              <w:left w:val="nil"/>
              <w:bottom w:val="single" w:sz="8" w:space="0" w:color="auto"/>
              <w:right w:val="single" w:sz="8" w:space="0" w:color="auto"/>
            </w:tcBorders>
            <w:shd w:val="clear" w:color="auto" w:fill="auto"/>
            <w:vAlign w:val="center"/>
            <w:hideMark/>
          </w:tcPr>
          <w:p w:rsidR="00625FFD" w:rsidRPr="00DD4B39" w:rsidP="00625FFD" w14:paraId="7BECFF26" w14:textId="77777777">
            <w:pPr>
              <w:rPr>
                <w:rFonts w:ascii="Calibri" w:hAnsi="Calibri" w:cs="Calibri"/>
                <w:color w:val="000000"/>
                <w:sz w:val="18"/>
                <w:szCs w:val="18"/>
              </w:rPr>
            </w:pPr>
            <w:r w:rsidRPr="00DD4B39">
              <w:rPr>
                <w:rFonts w:ascii="Calibri" w:hAnsi="Calibri" w:cs="Calibri"/>
                <w:color w:val="000000"/>
                <w:sz w:val="18"/>
                <w:szCs w:val="18"/>
              </w:rPr>
              <w:t>New collection</w:t>
            </w:r>
          </w:p>
        </w:tc>
      </w:tr>
      <w:tr w14:paraId="6B16A8AA" w14:textId="77777777" w:rsidTr="00625FFD">
        <w:tblPrEx>
          <w:tblW w:w="8790" w:type="dxa"/>
          <w:tblLook w:val="04A0"/>
        </w:tblPrEx>
        <w:trPr>
          <w:trHeight w:val="315"/>
        </w:trPr>
        <w:tc>
          <w:tcPr>
            <w:tcW w:w="1345" w:type="dxa"/>
            <w:tcBorders>
              <w:top w:val="nil"/>
              <w:left w:val="single" w:sz="8" w:space="0" w:color="auto"/>
              <w:bottom w:val="single" w:sz="8" w:space="0" w:color="auto"/>
              <w:right w:val="single" w:sz="8" w:space="0" w:color="auto"/>
            </w:tcBorders>
            <w:shd w:val="clear" w:color="auto" w:fill="auto"/>
            <w:vAlign w:val="center"/>
            <w:hideMark/>
          </w:tcPr>
          <w:p w:rsidR="00625FFD" w:rsidRPr="00DD4B39" w:rsidP="00625FFD" w14:paraId="3B2E1B69" w14:textId="77777777">
            <w:pPr>
              <w:rPr>
                <w:rFonts w:ascii="Calibri" w:hAnsi="Calibri" w:cs="Calibri"/>
                <w:color w:val="000000"/>
                <w:sz w:val="16"/>
                <w:szCs w:val="16"/>
              </w:rPr>
            </w:pPr>
            <w:r w:rsidRPr="00DD4B39">
              <w:rPr>
                <w:rFonts w:ascii="Calibri" w:hAnsi="Calibri" w:cs="Calibri"/>
                <w:color w:val="000000"/>
                <w:sz w:val="16"/>
                <w:szCs w:val="16"/>
              </w:rPr>
              <w:t> </w:t>
            </w:r>
          </w:p>
        </w:tc>
        <w:tc>
          <w:tcPr>
            <w:tcW w:w="1032" w:type="dxa"/>
            <w:tcBorders>
              <w:top w:val="nil"/>
              <w:left w:val="nil"/>
              <w:bottom w:val="single" w:sz="8" w:space="0" w:color="auto"/>
              <w:right w:val="single" w:sz="8" w:space="0" w:color="auto"/>
            </w:tcBorders>
            <w:shd w:val="clear" w:color="auto" w:fill="auto"/>
            <w:vAlign w:val="center"/>
            <w:hideMark/>
          </w:tcPr>
          <w:p w:rsidR="00625FFD" w:rsidRPr="00DD4B39" w:rsidP="00625FFD" w14:paraId="72DE4CEE" w14:textId="21FB99BA">
            <w:pPr>
              <w:jc w:val="right"/>
              <w:rPr>
                <w:rFonts w:ascii="Calibri" w:hAnsi="Calibri" w:cs="Calibri"/>
                <w:color w:val="000000"/>
                <w:sz w:val="18"/>
                <w:szCs w:val="18"/>
              </w:rPr>
            </w:pPr>
            <w:r>
              <w:rPr>
                <w:rFonts w:ascii="Calibri" w:hAnsi="Calibri" w:cs="Calibri"/>
                <w:color w:val="000000"/>
                <w:sz w:val="18"/>
                <w:szCs w:val="18"/>
              </w:rPr>
              <w:t> </w:t>
            </w:r>
          </w:p>
        </w:tc>
        <w:tc>
          <w:tcPr>
            <w:tcW w:w="1124" w:type="dxa"/>
            <w:tcBorders>
              <w:top w:val="nil"/>
              <w:left w:val="nil"/>
              <w:bottom w:val="single" w:sz="8" w:space="0" w:color="auto"/>
              <w:right w:val="single" w:sz="8" w:space="0" w:color="auto"/>
            </w:tcBorders>
            <w:shd w:val="clear" w:color="auto" w:fill="auto"/>
            <w:vAlign w:val="center"/>
            <w:hideMark/>
          </w:tcPr>
          <w:p w:rsidR="00625FFD" w:rsidRPr="00DD4B39" w:rsidP="00625FFD" w14:paraId="553A32BB" w14:textId="4C4535C2">
            <w:pPr>
              <w:jc w:val="right"/>
              <w:rPr>
                <w:rFonts w:ascii="Calibri" w:hAnsi="Calibri" w:cs="Calibri"/>
                <w:color w:val="000000"/>
                <w:sz w:val="18"/>
                <w:szCs w:val="18"/>
              </w:rPr>
            </w:pPr>
            <w:r>
              <w:rPr>
                <w:rFonts w:ascii="Calibri" w:hAnsi="Calibri" w:cs="Calibri"/>
                <w:color w:val="000000"/>
                <w:sz w:val="18"/>
                <w:szCs w:val="18"/>
              </w:rPr>
              <w:t> </w:t>
            </w:r>
          </w:p>
        </w:tc>
        <w:tc>
          <w:tcPr>
            <w:tcW w:w="1039" w:type="dxa"/>
            <w:tcBorders>
              <w:top w:val="nil"/>
              <w:left w:val="nil"/>
              <w:bottom w:val="single" w:sz="8" w:space="0" w:color="auto"/>
              <w:right w:val="single" w:sz="8" w:space="0" w:color="auto"/>
            </w:tcBorders>
            <w:shd w:val="clear" w:color="auto" w:fill="auto"/>
            <w:vAlign w:val="center"/>
            <w:hideMark/>
          </w:tcPr>
          <w:p w:rsidR="00625FFD" w:rsidRPr="00DD4B39" w:rsidP="00625FFD" w14:paraId="34B91BE8" w14:textId="162C2E5E">
            <w:pPr>
              <w:jc w:val="right"/>
              <w:rPr>
                <w:rFonts w:ascii="Calibri" w:hAnsi="Calibri" w:cs="Calibri"/>
                <w:color w:val="000000"/>
                <w:sz w:val="18"/>
                <w:szCs w:val="18"/>
              </w:rPr>
            </w:pPr>
            <w:r>
              <w:rPr>
                <w:rFonts w:ascii="Calibri" w:hAnsi="Calibri" w:cs="Calibri"/>
                <w:color w:val="000000"/>
                <w:sz w:val="18"/>
                <w:szCs w:val="18"/>
              </w:rPr>
              <w:t> </w:t>
            </w:r>
          </w:p>
        </w:tc>
        <w:tc>
          <w:tcPr>
            <w:tcW w:w="1039" w:type="dxa"/>
            <w:tcBorders>
              <w:top w:val="nil"/>
              <w:left w:val="nil"/>
              <w:bottom w:val="single" w:sz="8" w:space="0" w:color="auto"/>
              <w:right w:val="single" w:sz="8" w:space="0" w:color="auto"/>
            </w:tcBorders>
            <w:shd w:val="clear" w:color="auto" w:fill="auto"/>
            <w:vAlign w:val="center"/>
            <w:hideMark/>
          </w:tcPr>
          <w:p w:rsidR="00625FFD" w:rsidRPr="00DD4B39" w:rsidP="00625FFD" w14:paraId="3C70634E" w14:textId="37FB8C4A">
            <w:pPr>
              <w:jc w:val="right"/>
              <w:rPr>
                <w:rFonts w:ascii="Calibri" w:hAnsi="Calibri" w:cs="Calibri"/>
                <w:color w:val="000000"/>
                <w:sz w:val="18"/>
                <w:szCs w:val="18"/>
              </w:rPr>
            </w:pPr>
            <w:r>
              <w:rPr>
                <w:rFonts w:ascii="Calibri" w:hAnsi="Calibri" w:cs="Calibri"/>
                <w:color w:val="000000"/>
                <w:sz w:val="18"/>
                <w:szCs w:val="18"/>
              </w:rPr>
              <w:t> </w:t>
            </w:r>
          </w:p>
        </w:tc>
        <w:tc>
          <w:tcPr>
            <w:tcW w:w="1039" w:type="dxa"/>
            <w:tcBorders>
              <w:top w:val="nil"/>
              <w:left w:val="nil"/>
              <w:bottom w:val="single" w:sz="8" w:space="0" w:color="auto"/>
              <w:right w:val="single" w:sz="8" w:space="0" w:color="auto"/>
            </w:tcBorders>
            <w:shd w:val="clear" w:color="auto" w:fill="auto"/>
            <w:vAlign w:val="center"/>
            <w:hideMark/>
          </w:tcPr>
          <w:p w:rsidR="00625FFD" w:rsidRPr="00DD4B39" w:rsidP="00625FFD" w14:paraId="3E9E80E0" w14:textId="4841B8F1">
            <w:pPr>
              <w:jc w:val="right"/>
              <w:rPr>
                <w:rFonts w:ascii="Calibri" w:hAnsi="Calibri" w:cs="Calibri"/>
                <w:color w:val="000000"/>
                <w:sz w:val="18"/>
                <w:szCs w:val="18"/>
              </w:rPr>
            </w:pPr>
            <w:r>
              <w:rPr>
                <w:rFonts w:ascii="Calibri" w:hAnsi="Calibri" w:cs="Calibri"/>
                <w:color w:val="000000"/>
                <w:sz w:val="18"/>
                <w:szCs w:val="18"/>
              </w:rPr>
              <w:t> </w:t>
            </w:r>
          </w:p>
        </w:tc>
        <w:tc>
          <w:tcPr>
            <w:tcW w:w="1039" w:type="dxa"/>
            <w:tcBorders>
              <w:top w:val="nil"/>
              <w:left w:val="nil"/>
              <w:bottom w:val="single" w:sz="8" w:space="0" w:color="auto"/>
              <w:right w:val="single" w:sz="8" w:space="0" w:color="auto"/>
            </w:tcBorders>
            <w:shd w:val="clear" w:color="auto" w:fill="auto"/>
            <w:vAlign w:val="center"/>
            <w:hideMark/>
          </w:tcPr>
          <w:p w:rsidR="00625FFD" w:rsidRPr="00DD4B39" w:rsidP="00625FFD" w14:paraId="61C2ED89" w14:textId="1C60C906">
            <w:pPr>
              <w:jc w:val="right"/>
              <w:rPr>
                <w:rFonts w:ascii="Calibri" w:hAnsi="Calibri" w:cs="Calibri"/>
                <w:color w:val="000000"/>
                <w:sz w:val="18"/>
                <w:szCs w:val="18"/>
              </w:rPr>
            </w:pPr>
            <w:r>
              <w:rPr>
                <w:rFonts w:ascii="Calibri" w:hAnsi="Calibri" w:cs="Calibri"/>
                <w:color w:val="000000"/>
                <w:sz w:val="18"/>
                <w:szCs w:val="18"/>
              </w:rPr>
              <w:t> </w:t>
            </w:r>
          </w:p>
        </w:tc>
        <w:tc>
          <w:tcPr>
            <w:tcW w:w="1133" w:type="dxa"/>
            <w:tcBorders>
              <w:top w:val="nil"/>
              <w:left w:val="nil"/>
              <w:bottom w:val="single" w:sz="8" w:space="0" w:color="auto"/>
              <w:right w:val="single" w:sz="8" w:space="0" w:color="auto"/>
            </w:tcBorders>
            <w:shd w:val="clear" w:color="auto" w:fill="auto"/>
            <w:vAlign w:val="center"/>
            <w:hideMark/>
          </w:tcPr>
          <w:p w:rsidR="00625FFD" w:rsidRPr="00DD4B39" w:rsidP="00625FFD" w14:paraId="0E1F8AA6" w14:textId="77777777">
            <w:pPr>
              <w:rPr>
                <w:rFonts w:ascii="Calibri" w:hAnsi="Calibri" w:cs="Calibri"/>
                <w:color w:val="000000"/>
                <w:sz w:val="18"/>
                <w:szCs w:val="18"/>
              </w:rPr>
            </w:pPr>
            <w:r w:rsidRPr="00DD4B39">
              <w:rPr>
                <w:rFonts w:ascii="Calibri" w:hAnsi="Calibri" w:cs="Calibri"/>
                <w:color w:val="000000"/>
                <w:sz w:val="18"/>
                <w:szCs w:val="18"/>
              </w:rPr>
              <w:t> </w:t>
            </w:r>
          </w:p>
        </w:tc>
      </w:tr>
      <w:tr w14:paraId="698ABD0E" w14:textId="77777777" w:rsidTr="00625FFD">
        <w:tblPrEx>
          <w:tblW w:w="8790" w:type="dxa"/>
          <w:tblLook w:val="04A0"/>
        </w:tblPrEx>
        <w:trPr>
          <w:trHeight w:val="915"/>
        </w:trPr>
        <w:tc>
          <w:tcPr>
            <w:tcW w:w="1345" w:type="dxa"/>
            <w:tcBorders>
              <w:top w:val="nil"/>
              <w:left w:val="single" w:sz="8" w:space="0" w:color="auto"/>
              <w:bottom w:val="single" w:sz="8" w:space="0" w:color="auto"/>
              <w:right w:val="single" w:sz="8" w:space="0" w:color="auto"/>
            </w:tcBorders>
            <w:shd w:val="clear" w:color="auto" w:fill="auto"/>
            <w:vAlign w:val="center"/>
            <w:hideMark/>
          </w:tcPr>
          <w:p w:rsidR="00625FFD" w:rsidRPr="00DD4B39" w:rsidP="00625FFD" w14:paraId="5F5181F5" w14:textId="77777777">
            <w:pPr>
              <w:rPr>
                <w:rFonts w:ascii="Calibri" w:hAnsi="Calibri" w:cs="Calibri"/>
                <w:b/>
                <w:bCs/>
                <w:color w:val="000000"/>
                <w:sz w:val="16"/>
                <w:szCs w:val="16"/>
              </w:rPr>
            </w:pPr>
            <w:r w:rsidRPr="00DD4B39">
              <w:rPr>
                <w:rFonts w:ascii="Calibri" w:hAnsi="Calibri" w:cs="Calibri"/>
                <w:b/>
                <w:bCs/>
                <w:color w:val="000000"/>
                <w:sz w:val="16"/>
                <w:szCs w:val="16"/>
              </w:rPr>
              <w:t>EM Service Provider Requirements</w:t>
            </w:r>
          </w:p>
        </w:tc>
        <w:tc>
          <w:tcPr>
            <w:tcW w:w="1032" w:type="dxa"/>
            <w:tcBorders>
              <w:top w:val="nil"/>
              <w:left w:val="nil"/>
              <w:bottom w:val="single" w:sz="8" w:space="0" w:color="auto"/>
              <w:right w:val="single" w:sz="8" w:space="0" w:color="auto"/>
            </w:tcBorders>
            <w:shd w:val="clear" w:color="auto" w:fill="auto"/>
            <w:vAlign w:val="center"/>
            <w:hideMark/>
          </w:tcPr>
          <w:p w:rsidR="00625FFD" w:rsidRPr="00DD4B39" w:rsidP="00625FFD" w14:paraId="54F38C1D" w14:textId="480CABFE">
            <w:pPr>
              <w:jc w:val="right"/>
              <w:rPr>
                <w:rFonts w:ascii="Calibri" w:hAnsi="Calibri" w:cs="Calibri"/>
                <w:color w:val="000000"/>
                <w:sz w:val="18"/>
                <w:szCs w:val="18"/>
              </w:rPr>
            </w:pPr>
            <w:r>
              <w:rPr>
                <w:rFonts w:ascii="Calibri" w:hAnsi="Calibri" w:cs="Calibri"/>
                <w:color w:val="000000"/>
                <w:sz w:val="18"/>
                <w:szCs w:val="18"/>
              </w:rPr>
              <w:t> </w:t>
            </w:r>
          </w:p>
        </w:tc>
        <w:tc>
          <w:tcPr>
            <w:tcW w:w="1124" w:type="dxa"/>
            <w:tcBorders>
              <w:top w:val="nil"/>
              <w:left w:val="nil"/>
              <w:bottom w:val="single" w:sz="8" w:space="0" w:color="auto"/>
              <w:right w:val="single" w:sz="8" w:space="0" w:color="auto"/>
            </w:tcBorders>
            <w:shd w:val="clear" w:color="auto" w:fill="auto"/>
            <w:vAlign w:val="center"/>
            <w:hideMark/>
          </w:tcPr>
          <w:p w:rsidR="00625FFD" w:rsidRPr="00DD4B39" w:rsidP="00625FFD" w14:paraId="1E5314E5" w14:textId="292F0DAF">
            <w:pPr>
              <w:jc w:val="right"/>
              <w:rPr>
                <w:rFonts w:ascii="Calibri" w:hAnsi="Calibri" w:cs="Calibri"/>
                <w:color w:val="000000"/>
                <w:sz w:val="18"/>
                <w:szCs w:val="18"/>
              </w:rPr>
            </w:pPr>
            <w:r>
              <w:rPr>
                <w:rFonts w:ascii="Calibri" w:hAnsi="Calibri" w:cs="Calibri"/>
                <w:color w:val="000000"/>
                <w:sz w:val="18"/>
                <w:szCs w:val="18"/>
              </w:rPr>
              <w:t> </w:t>
            </w:r>
          </w:p>
        </w:tc>
        <w:tc>
          <w:tcPr>
            <w:tcW w:w="1039" w:type="dxa"/>
            <w:tcBorders>
              <w:top w:val="nil"/>
              <w:left w:val="nil"/>
              <w:bottom w:val="single" w:sz="8" w:space="0" w:color="auto"/>
              <w:right w:val="single" w:sz="8" w:space="0" w:color="auto"/>
            </w:tcBorders>
            <w:shd w:val="clear" w:color="auto" w:fill="auto"/>
            <w:vAlign w:val="center"/>
            <w:hideMark/>
          </w:tcPr>
          <w:p w:rsidR="00625FFD" w:rsidRPr="00DD4B39" w:rsidP="00625FFD" w14:paraId="74555F4B" w14:textId="0D2CC752">
            <w:pPr>
              <w:jc w:val="right"/>
              <w:rPr>
                <w:rFonts w:ascii="Calibri" w:hAnsi="Calibri" w:cs="Calibri"/>
                <w:color w:val="000000"/>
                <w:sz w:val="18"/>
                <w:szCs w:val="18"/>
              </w:rPr>
            </w:pPr>
            <w:r>
              <w:rPr>
                <w:rFonts w:ascii="Calibri" w:hAnsi="Calibri" w:cs="Calibri"/>
                <w:color w:val="000000"/>
                <w:sz w:val="18"/>
                <w:szCs w:val="18"/>
              </w:rPr>
              <w:t> </w:t>
            </w:r>
          </w:p>
        </w:tc>
        <w:tc>
          <w:tcPr>
            <w:tcW w:w="1039" w:type="dxa"/>
            <w:tcBorders>
              <w:top w:val="nil"/>
              <w:left w:val="nil"/>
              <w:bottom w:val="single" w:sz="8" w:space="0" w:color="auto"/>
              <w:right w:val="single" w:sz="8" w:space="0" w:color="auto"/>
            </w:tcBorders>
            <w:shd w:val="clear" w:color="auto" w:fill="auto"/>
            <w:vAlign w:val="center"/>
            <w:hideMark/>
          </w:tcPr>
          <w:p w:rsidR="00625FFD" w:rsidRPr="00DD4B39" w:rsidP="00625FFD" w14:paraId="0A35B2BD" w14:textId="09E758FA">
            <w:pPr>
              <w:jc w:val="right"/>
              <w:rPr>
                <w:rFonts w:ascii="Calibri" w:hAnsi="Calibri" w:cs="Calibri"/>
                <w:color w:val="000000"/>
                <w:sz w:val="18"/>
                <w:szCs w:val="18"/>
              </w:rPr>
            </w:pPr>
            <w:r>
              <w:rPr>
                <w:rFonts w:ascii="Calibri" w:hAnsi="Calibri" w:cs="Calibri"/>
                <w:color w:val="000000"/>
                <w:sz w:val="18"/>
                <w:szCs w:val="18"/>
              </w:rPr>
              <w:t> </w:t>
            </w:r>
          </w:p>
        </w:tc>
        <w:tc>
          <w:tcPr>
            <w:tcW w:w="1039" w:type="dxa"/>
            <w:tcBorders>
              <w:top w:val="nil"/>
              <w:left w:val="nil"/>
              <w:bottom w:val="single" w:sz="8" w:space="0" w:color="auto"/>
              <w:right w:val="single" w:sz="8" w:space="0" w:color="auto"/>
            </w:tcBorders>
            <w:shd w:val="clear" w:color="auto" w:fill="auto"/>
            <w:vAlign w:val="center"/>
            <w:hideMark/>
          </w:tcPr>
          <w:p w:rsidR="00625FFD" w:rsidRPr="00DD4B39" w:rsidP="00625FFD" w14:paraId="4916C51E" w14:textId="0B4D2D8A">
            <w:pPr>
              <w:jc w:val="right"/>
              <w:rPr>
                <w:rFonts w:ascii="Calibri" w:hAnsi="Calibri" w:cs="Calibri"/>
                <w:color w:val="000000"/>
                <w:sz w:val="18"/>
                <w:szCs w:val="18"/>
              </w:rPr>
            </w:pPr>
            <w:r>
              <w:rPr>
                <w:rFonts w:ascii="Calibri" w:hAnsi="Calibri" w:cs="Calibri"/>
                <w:color w:val="000000"/>
                <w:sz w:val="18"/>
                <w:szCs w:val="18"/>
              </w:rPr>
              <w:t> </w:t>
            </w:r>
          </w:p>
        </w:tc>
        <w:tc>
          <w:tcPr>
            <w:tcW w:w="1039" w:type="dxa"/>
            <w:tcBorders>
              <w:top w:val="nil"/>
              <w:left w:val="nil"/>
              <w:bottom w:val="single" w:sz="8" w:space="0" w:color="auto"/>
              <w:right w:val="single" w:sz="8" w:space="0" w:color="auto"/>
            </w:tcBorders>
            <w:shd w:val="clear" w:color="auto" w:fill="auto"/>
            <w:vAlign w:val="center"/>
            <w:hideMark/>
          </w:tcPr>
          <w:p w:rsidR="00625FFD" w:rsidRPr="00DD4B39" w:rsidP="00625FFD" w14:paraId="0994DC2E" w14:textId="2AD8BBE2">
            <w:pPr>
              <w:jc w:val="right"/>
              <w:rPr>
                <w:rFonts w:ascii="Calibri" w:hAnsi="Calibri" w:cs="Calibri"/>
                <w:color w:val="000000"/>
                <w:sz w:val="18"/>
                <w:szCs w:val="18"/>
              </w:rPr>
            </w:pPr>
            <w:r>
              <w:rPr>
                <w:rFonts w:ascii="Calibri" w:hAnsi="Calibri" w:cs="Calibri"/>
                <w:color w:val="000000"/>
                <w:sz w:val="18"/>
                <w:szCs w:val="18"/>
              </w:rPr>
              <w:t> </w:t>
            </w:r>
          </w:p>
        </w:tc>
        <w:tc>
          <w:tcPr>
            <w:tcW w:w="1133" w:type="dxa"/>
            <w:tcBorders>
              <w:top w:val="nil"/>
              <w:left w:val="nil"/>
              <w:bottom w:val="single" w:sz="8" w:space="0" w:color="auto"/>
              <w:right w:val="single" w:sz="8" w:space="0" w:color="auto"/>
            </w:tcBorders>
            <w:shd w:val="clear" w:color="auto" w:fill="auto"/>
            <w:vAlign w:val="center"/>
            <w:hideMark/>
          </w:tcPr>
          <w:p w:rsidR="00625FFD" w:rsidRPr="00DD4B39" w:rsidP="00625FFD" w14:paraId="2ECF80BE" w14:textId="77777777">
            <w:pPr>
              <w:rPr>
                <w:rFonts w:ascii="Calibri" w:hAnsi="Calibri" w:cs="Calibri"/>
                <w:color w:val="000000"/>
                <w:sz w:val="18"/>
                <w:szCs w:val="18"/>
              </w:rPr>
            </w:pPr>
            <w:r w:rsidRPr="00DD4B39">
              <w:rPr>
                <w:rFonts w:ascii="Calibri" w:hAnsi="Calibri" w:cs="Calibri"/>
                <w:color w:val="000000"/>
                <w:sz w:val="18"/>
                <w:szCs w:val="18"/>
              </w:rPr>
              <w:t> </w:t>
            </w:r>
          </w:p>
        </w:tc>
      </w:tr>
      <w:tr w14:paraId="13EC16E4" w14:textId="77777777" w:rsidTr="00625FFD">
        <w:tblPrEx>
          <w:tblW w:w="8790" w:type="dxa"/>
          <w:tblLook w:val="04A0"/>
        </w:tblPrEx>
        <w:trPr>
          <w:trHeight w:val="495"/>
        </w:trPr>
        <w:tc>
          <w:tcPr>
            <w:tcW w:w="1345" w:type="dxa"/>
            <w:tcBorders>
              <w:top w:val="nil"/>
              <w:left w:val="single" w:sz="8" w:space="0" w:color="auto"/>
              <w:bottom w:val="single" w:sz="8" w:space="0" w:color="auto"/>
              <w:right w:val="single" w:sz="8" w:space="0" w:color="auto"/>
            </w:tcBorders>
            <w:shd w:val="clear" w:color="auto" w:fill="auto"/>
            <w:vAlign w:val="center"/>
            <w:hideMark/>
          </w:tcPr>
          <w:p w:rsidR="00E07BD8" w:rsidRPr="00DD4B39" w:rsidP="00E07BD8" w14:paraId="0A83BF98" w14:textId="77777777">
            <w:pPr>
              <w:rPr>
                <w:rFonts w:ascii="Calibri" w:hAnsi="Calibri" w:cs="Calibri"/>
                <w:color w:val="000000"/>
                <w:sz w:val="16"/>
                <w:szCs w:val="16"/>
              </w:rPr>
            </w:pPr>
            <w:r w:rsidRPr="00DD4B39">
              <w:rPr>
                <w:rFonts w:ascii="Calibri" w:hAnsi="Calibri" w:cs="Calibri"/>
                <w:color w:val="000000"/>
                <w:sz w:val="16"/>
                <w:szCs w:val="16"/>
              </w:rPr>
              <w:t xml:space="preserve">    Application</w:t>
            </w:r>
          </w:p>
        </w:tc>
        <w:tc>
          <w:tcPr>
            <w:tcW w:w="1032" w:type="dxa"/>
            <w:tcBorders>
              <w:top w:val="nil"/>
              <w:left w:val="nil"/>
              <w:bottom w:val="single" w:sz="8" w:space="0" w:color="auto"/>
              <w:right w:val="single" w:sz="8" w:space="0" w:color="auto"/>
            </w:tcBorders>
            <w:shd w:val="clear" w:color="auto" w:fill="auto"/>
            <w:vAlign w:val="center"/>
            <w:hideMark/>
          </w:tcPr>
          <w:p w:rsidR="00E07BD8" w:rsidRPr="00DD4B39" w:rsidP="00E07BD8" w14:paraId="7B59E735" w14:textId="57ACA225">
            <w:pPr>
              <w:jc w:val="right"/>
              <w:rPr>
                <w:rFonts w:ascii="Calibri" w:hAnsi="Calibri" w:cs="Calibri"/>
                <w:color w:val="000000"/>
                <w:sz w:val="16"/>
                <w:szCs w:val="16"/>
              </w:rPr>
            </w:pPr>
            <w:r>
              <w:rPr>
                <w:rFonts w:ascii="Calibri" w:hAnsi="Calibri" w:cs="Calibri"/>
                <w:color w:val="000000"/>
                <w:sz w:val="16"/>
                <w:szCs w:val="16"/>
              </w:rPr>
              <w:t>4</w:t>
            </w:r>
          </w:p>
        </w:tc>
        <w:tc>
          <w:tcPr>
            <w:tcW w:w="1124" w:type="dxa"/>
            <w:tcBorders>
              <w:top w:val="nil"/>
              <w:left w:val="nil"/>
              <w:bottom w:val="single" w:sz="8" w:space="0" w:color="auto"/>
              <w:right w:val="single" w:sz="8" w:space="0" w:color="auto"/>
            </w:tcBorders>
            <w:shd w:val="clear" w:color="auto" w:fill="auto"/>
            <w:vAlign w:val="center"/>
            <w:hideMark/>
          </w:tcPr>
          <w:p w:rsidR="00E07BD8" w:rsidRPr="00DD4B39" w:rsidP="00E07BD8" w14:paraId="4307D6E9" w14:textId="14D54581">
            <w:pPr>
              <w:jc w:val="right"/>
              <w:rPr>
                <w:rFonts w:ascii="Calibri" w:hAnsi="Calibri" w:cs="Calibri"/>
                <w:color w:val="000000"/>
                <w:sz w:val="18"/>
                <w:szCs w:val="18"/>
              </w:rPr>
            </w:pPr>
            <w:r>
              <w:rPr>
                <w:rFonts w:ascii="Calibri" w:hAnsi="Calibri" w:cs="Calibri"/>
                <w:color w:val="000000"/>
                <w:sz w:val="18"/>
                <w:szCs w:val="18"/>
              </w:rPr>
              <w:t> </w:t>
            </w:r>
          </w:p>
        </w:tc>
        <w:tc>
          <w:tcPr>
            <w:tcW w:w="1039" w:type="dxa"/>
            <w:tcBorders>
              <w:top w:val="nil"/>
              <w:left w:val="nil"/>
              <w:bottom w:val="single" w:sz="8" w:space="0" w:color="auto"/>
              <w:right w:val="single" w:sz="8" w:space="0" w:color="auto"/>
            </w:tcBorders>
            <w:shd w:val="clear" w:color="auto" w:fill="auto"/>
            <w:vAlign w:val="center"/>
            <w:hideMark/>
          </w:tcPr>
          <w:p w:rsidR="00E07BD8" w:rsidRPr="00DD4B39" w:rsidP="00E07BD8" w14:paraId="1ECC8FD3" w14:textId="60FA9EED">
            <w:pPr>
              <w:jc w:val="right"/>
              <w:rPr>
                <w:rFonts w:ascii="Calibri" w:hAnsi="Calibri" w:cs="Calibri"/>
                <w:color w:val="000000"/>
                <w:sz w:val="16"/>
                <w:szCs w:val="16"/>
              </w:rPr>
            </w:pPr>
            <w:r>
              <w:rPr>
                <w:rFonts w:ascii="Calibri" w:hAnsi="Calibri" w:cs="Calibri"/>
                <w:color w:val="000000"/>
                <w:sz w:val="16"/>
                <w:szCs w:val="16"/>
              </w:rPr>
              <w:t>4</w:t>
            </w:r>
          </w:p>
        </w:tc>
        <w:tc>
          <w:tcPr>
            <w:tcW w:w="1039" w:type="dxa"/>
            <w:tcBorders>
              <w:top w:val="nil"/>
              <w:left w:val="nil"/>
              <w:bottom w:val="single" w:sz="8" w:space="0" w:color="auto"/>
              <w:right w:val="single" w:sz="8" w:space="0" w:color="auto"/>
            </w:tcBorders>
            <w:shd w:val="clear" w:color="auto" w:fill="auto"/>
            <w:vAlign w:val="center"/>
            <w:hideMark/>
          </w:tcPr>
          <w:p w:rsidR="00E07BD8" w:rsidRPr="00DD4B39" w:rsidP="00E07BD8" w14:paraId="28B649B3" w14:textId="0087B956">
            <w:pPr>
              <w:jc w:val="right"/>
              <w:rPr>
                <w:rFonts w:ascii="Calibri" w:hAnsi="Calibri" w:cs="Calibri"/>
                <w:color w:val="000000"/>
                <w:sz w:val="18"/>
                <w:szCs w:val="18"/>
              </w:rPr>
            </w:pPr>
            <w:r>
              <w:rPr>
                <w:rFonts w:ascii="Calibri" w:hAnsi="Calibri" w:cs="Calibri"/>
                <w:color w:val="000000"/>
                <w:sz w:val="18"/>
                <w:szCs w:val="18"/>
              </w:rPr>
              <w:t> </w:t>
            </w:r>
          </w:p>
        </w:tc>
        <w:tc>
          <w:tcPr>
            <w:tcW w:w="1039" w:type="dxa"/>
            <w:tcBorders>
              <w:top w:val="nil"/>
              <w:left w:val="nil"/>
              <w:bottom w:val="single" w:sz="8" w:space="0" w:color="auto"/>
              <w:right w:val="single" w:sz="8" w:space="0" w:color="auto"/>
            </w:tcBorders>
            <w:shd w:val="clear" w:color="auto" w:fill="auto"/>
            <w:vAlign w:val="center"/>
            <w:hideMark/>
          </w:tcPr>
          <w:p w:rsidR="00E07BD8" w:rsidRPr="00DD4B39" w:rsidP="00E07BD8" w14:paraId="74362CC5" w14:textId="58F3FE46">
            <w:pPr>
              <w:jc w:val="right"/>
              <w:rPr>
                <w:rFonts w:ascii="Calibri" w:hAnsi="Calibri" w:cs="Calibri"/>
                <w:color w:val="000000"/>
                <w:sz w:val="18"/>
                <w:szCs w:val="18"/>
              </w:rPr>
            </w:pPr>
            <w:r>
              <w:rPr>
                <w:rFonts w:ascii="Calibri" w:hAnsi="Calibri" w:cs="Calibri"/>
                <w:color w:val="000000"/>
                <w:sz w:val="18"/>
                <w:szCs w:val="18"/>
              </w:rPr>
              <w:t>60</w:t>
            </w:r>
          </w:p>
        </w:tc>
        <w:tc>
          <w:tcPr>
            <w:tcW w:w="1039" w:type="dxa"/>
            <w:tcBorders>
              <w:top w:val="nil"/>
              <w:left w:val="nil"/>
              <w:bottom w:val="single" w:sz="8" w:space="0" w:color="auto"/>
              <w:right w:val="single" w:sz="8" w:space="0" w:color="auto"/>
            </w:tcBorders>
            <w:shd w:val="clear" w:color="auto" w:fill="auto"/>
            <w:vAlign w:val="center"/>
            <w:hideMark/>
          </w:tcPr>
          <w:p w:rsidR="00E07BD8" w:rsidRPr="00DD4B39" w:rsidP="00E07BD8" w14:paraId="5D606C1D" w14:textId="6208C41B">
            <w:pPr>
              <w:jc w:val="right"/>
              <w:rPr>
                <w:rFonts w:ascii="Calibri" w:hAnsi="Calibri" w:cs="Calibri"/>
                <w:color w:val="000000"/>
                <w:sz w:val="18"/>
                <w:szCs w:val="18"/>
              </w:rPr>
            </w:pPr>
            <w:r>
              <w:rPr>
                <w:rFonts w:ascii="Calibri" w:hAnsi="Calibri" w:cs="Calibri"/>
                <w:color w:val="000000"/>
                <w:sz w:val="18"/>
                <w:szCs w:val="18"/>
              </w:rPr>
              <w:t> </w:t>
            </w:r>
          </w:p>
        </w:tc>
        <w:tc>
          <w:tcPr>
            <w:tcW w:w="1133" w:type="dxa"/>
            <w:tcBorders>
              <w:top w:val="nil"/>
              <w:left w:val="nil"/>
              <w:bottom w:val="single" w:sz="8" w:space="0" w:color="auto"/>
              <w:right w:val="single" w:sz="8" w:space="0" w:color="auto"/>
            </w:tcBorders>
            <w:shd w:val="clear" w:color="auto" w:fill="auto"/>
            <w:vAlign w:val="center"/>
            <w:hideMark/>
          </w:tcPr>
          <w:p w:rsidR="00E07BD8" w:rsidRPr="00DD4B39" w:rsidP="00E07BD8" w14:paraId="572079C3" w14:textId="77777777">
            <w:pPr>
              <w:rPr>
                <w:rFonts w:ascii="Calibri" w:hAnsi="Calibri" w:cs="Calibri"/>
                <w:color w:val="000000"/>
                <w:sz w:val="18"/>
                <w:szCs w:val="18"/>
              </w:rPr>
            </w:pPr>
            <w:r w:rsidRPr="00DD4B39">
              <w:rPr>
                <w:rFonts w:ascii="Calibri" w:hAnsi="Calibri" w:cs="Calibri"/>
                <w:color w:val="000000"/>
                <w:sz w:val="18"/>
                <w:szCs w:val="18"/>
              </w:rPr>
              <w:t>New collection</w:t>
            </w:r>
          </w:p>
        </w:tc>
      </w:tr>
      <w:tr w14:paraId="3E8DA14E" w14:textId="77777777" w:rsidTr="00625FFD">
        <w:tblPrEx>
          <w:tblW w:w="8790" w:type="dxa"/>
          <w:tblLook w:val="04A0"/>
        </w:tblPrEx>
        <w:trPr>
          <w:trHeight w:val="495"/>
        </w:trPr>
        <w:tc>
          <w:tcPr>
            <w:tcW w:w="1345" w:type="dxa"/>
            <w:tcBorders>
              <w:top w:val="nil"/>
              <w:left w:val="single" w:sz="8" w:space="0" w:color="auto"/>
              <w:bottom w:val="single" w:sz="8" w:space="0" w:color="auto"/>
              <w:right w:val="single" w:sz="8" w:space="0" w:color="auto"/>
            </w:tcBorders>
            <w:shd w:val="clear" w:color="auto" w:fill="auto"/>
            <w:vAlign w:val="center"/>
            <w:hideMark/>
          </w:tcPr>
          <w:p w:rsidR="00E07BD8" w:rsidRPr="00DD4B39" w:rsidP="00E07BD8" w14:paraId="688156F1" w14:textId="77777777">
            <w:pPr>
              <w:rPr>
                <w:rFonts w:ascii="Calibri" w:hAnsi="Calibri" w:cs="Calibri"/>
                <w:color w:val="000000"/>
                <w:sz w:val="16"/>
                <w:szCs w:val="16"/>
              </w:rPr>
            </w:pPr>
            <w:r w:rsidRPr="00DD4B39">
              <w:rPr>
                <w:rFonts w:ascii="Calibri" w:hAnsi="Calibri" w:cs="Calibri"/>
                <w:color w:val="000000"/>
                <w:sz w:val="16"/>
                <w:szCs w:val="16"/>
              </w:rPr>
              <w:t xml:space="preserve">          Copy of contracts</w:t>
            </w:r>
          </w:p>
        </w:tc>
        <w:tc>
          <w:tcPr>
            <w:tcW w:w="1032" w:type="dxa"/>
            <w:tcBorders>
              <w:top w:val="nil"/>
              <w:left w:val="nil"/>
              <w:bottom w:val="single" w:sz="8" w:space="0" w:color="auto"/>
              <w:right w:val="single" w:sz="8" w:space="0" w:color="auto"/>
            </w:tcBorders>
            <w:shd w:val="clear" w:color="auto" w:fill="auto"/>
            <w:vAlign w:val="center"/>
            <w:hideMark/>
          </w:tcPr>
          <w:p w:rsidR="00E07BD8" w:rsidRPr="00DD4B39" w:rsidP="00E07BD8" w14:paraId="44F151A3" w14:textId="586C85E0">
            <w:pPr>
              <w:jc w:val="right"/>
              <w:rPr>
                <w:rFonts w:ascii="Calibri" w:hAnsi="Calibri" w:cs="Calibri"/>
                <w:color w:val="000000"/>
                <w:sz w:val="16"/>
                <w:szCs w:val="16"/>
              </w:rPr>
            </w:pPr>
            <w:r>
              <w:rPr>
                <w:rFonts w:ascii="Calibri" w:hAnsi="Calibri" w:cs="Calibri"/>
                <w:color w:val="000000"/>
                <w:sz w:val="16"/>
                <w:szCs w:val="16"/>
              </w:rPr>
              <w:t>3</w:t>
            </w:r>
          </w:p>
        </w:tc>
        <w:tc>
          <w:tcPr>
            <w:tcW w:w="1124" w:type="dxa"/>
            <w:tcBorders>
              <w:top w:val="nil"/>
              <w:left w:val="nil"/>
              <w:bottom w:val="single" w:sz="8" w:space="0" w:color="auto"/>
              <w:right w:val="single" w:sz="8" w:space="0" w:color="auto"/>
            </w:tcBorders>
            <w:shd w:val="clear" w:color="auto" w:fill="auto"/>
            <w:vAlign w:val="center"/>
            <w:hideMark/>
          </w:tcPr>
          <w:p w:rsidR="00E07BD8" w:rsidRPr="00DD4B39" w:rsidP="00E07BD8" w14:paraId="78D5BE3E" w14:textId="5658CBDF">
            <w:pPr>
              <w:jc w:val="right"/>
              <w:rPr>
                <w:rFonts w:ascii="Calibri" w:hAnsi="Calibri" w:cs="Calibri"/>
                <w:color w:val="000000"/>
                <w:sz w:val="18"/>
                <w:szCs w:val="18"/>
              </w:rPr>
            </w:pPr>
            <w:r>
              <w:rPr>
                <w:rFonts w:ascii="Calibri" w:hAnsi="Calibri" w:cs="Calibri"/>
                <w:color w:val="000000"/>
                <w:sz w:val="18"/>
                <w:szCs w:val="18"/>
              </w:rPr>
              <w:t> </w:t>
            </w:r>
          </w:p>
        </w:tc>
        <w:tc>
          <w:tcPr>
            <w:tcW w:w="1039" w:type="dxa"/>
            <w:tcBorders>
              <w:top w:val="nil"/>
              <w:left w:val="nil"/>
              <w:bottom w:val="single" w:sz="8" w:space="0" w:color="auto"/>
              <w:right w:val="single" w:sz="8" w:space="0" w:color="auto"/>
            </w:tcBorders>
            <w:shd w:val="clear" w:color="auto" w:fill="auto"/>
            <w:vAlign w:val="center"/>
            <w:hideMark/>
          </w:tcPr>
          <w:p w:rsidR="00E07BD8" w:rsidRPr="00DD4B39" w:rsidP="00E07BD8" w14:paraId="3AF03D2C" w14:textId="373BDD04">
            <w:pPr>
              <w:jc w:val="right"/>
              <w:rPr>
                <w:rFonts w:ascii="Calibri" w:hAnsi="Calibri" w:cs="Calibri"/>
                <w:color w:val="000000"/>
                <w:sz w:val="16"/>
                <w:szCs w:val="16"/>
              </w:rPr>
            </w:pPr>
            <w:r>
              <w:rPr>
                <w:rFonts w:ascii="Calibri" w:hAnsi="Calibri" w:cs="Calibri"/>
                <w:color w:val="000000"/>
                <w:sz w:val="16"/>
                <w:szCs w:val="16"/>
              </w:rPr>
              <w:t>21</w:t>
            </w:r>
          </w:p>
        </w:tc>
        <w:tc>
          <w:tcPr>
            <w:tcW w:w="1039" w:type="dxa"/>
            <w:tcBorders>
              <w:top w:val="nil"/>
              <w:left w:val="nil"/>
              <w:bottom w:val="single" w:sz="8" w:space="0" w:color="auto"/>
              <w:right w:val="single" w:sz="8" w:space="0" w:color="auto"/>
            </w:tcBorders>
            <w:shd w:val="clear" w:color="auto" w:fill="auto"/>
            <w:vAlign w:val="center"/>
            <w:hideMark/>
          </w:tcPr>
          <w:p w:rsidR="00E07BD8" w:rsidRPr="00DD4B39" w:rsidP="00E07BD8" w14:paraId="2D678326" w14:textId="2BFA6235">
            <w:pPr>
              <w:jc w:val="right"/>
              <w:rPr>
                <w:rFonts w:ascii="Calibri" w:hAnsi="Calibri" w:cs="Calibri"/>
                <w:color w:val="000000"/>
                <w:sz w:val="18"/>
                <w:szCs w:val="18"/>
              </w:rPr>
            </w:pPr>
            <w:r>
              <w:rPr>
                <w:rFonts w:ascii="Calibri" w:hAnsi="Calibri" w:cs="Calibri"/>
                <w:color w:val="000000"/>
                <w:sz w:val="18"/>
                <w:szCs w:val="18"/>
              </w:rPr>
              <w:t> </w:t>
            </w:r>
          </w:p>
        </w:tc>
        <w:tc>
          <w:tcPr>
            <w:tcW w:w="1039" w:type="dxa"/>
            <w:tcBorders>
              <w:top w:val="nil"/>
              <w:left w:val="nil"/>
              <w:bottom w:val="single" w:sz="8" w:space="0" w:color="auto"/>
              <w:right w:val="single" w:sz="8" w:space="0" w:color="auto"/>
            </w:tcBorders>
            <w:shd w:val="clear" w:color="auto" w:fill="auto"/>
            <w:vAlign w:val="center"/>
            <w:hideMark/>
          </w:tcPr>
          <w:p w:rsidR="00E07BD8" w:rsidRPr="00DD4B39" w:rsidP="00E07BD8" w14:paraId="771F0B30" w14:textId="692368BD">
            <w:pPr>
              <w:jc w:val="right"/>
              <w:rPr>
                <w:rFonts w:ascii="Calibri" w:hAnsi="Calibri" w:cs="Calibri"/>
                <w:color w:val="000000"/>
                <w:sz w:val="18"/>
                <w:szCs w:val="18"/>
              </w:rPr>
            </w:pPr>
            <w:r>
              <w:rPr>
                <w:rFonts w:ascii="Calibri" w:hAnsi="Calibri" w:cs="Calibri"/>
                <w:color w:val="000000"/>
                <w:sz w:val="18"/>
                <w:szCs w:val="18"/>
              </w:rPr>
              <w:t>3.5</w:t>
            </w:r>
          </w:p>
        </w:tc>
        <w:tc>
          <w:tcPr>
            <w:tcW w:w="1039" w:type="dxa"/>
            <w:tcBorders>
              <w:top w:val="nil"/>
              <w:left w:val="nil"/>
              <w:bottom w:val="single" w:sz="8" w:space="0" w:color="auto"/>
              <w:right w:val="single" w:sz="8" w:space="0" w:color="auto"/>
            </w:tcBorders>
            <w:shd w:val="clear" w:color="auto" w:fill="auto"/>
            <w:vAlign w:val="center"/>
            <w:hideMark/>
          </w:tcPr>
          <w:p w:rsidR="00E07BD8" w:rsidRPr="00DD4B39" w:rsidP="00E07BD8" w14:paraId="7CFD2E17" w14:textId="062FECB9">
            <w:pPr>
              <w:jc w:val="right"/>
              <w:rPr>
                <w:rFonts w:ascii="Calibri" w:hAnsi="Calibri" w:cs="Calibri"/>
                <w:color w:val="000000"/>
                <w:sz w:val="18"/>
                <w:szCs w:val="18"/>
              </w:rPr>
            </w:pPr>
            <w:r>
              <w:rPr>
                <w:rFonts w:ascii="Calibri" w:hAnsi="Calibri" w:cs="Calibri"/>
                <w:color w:val="000000"/>
                <w:sz w:val="18"/>
                <w:szCs w:val="18"/>
              </w:rPr>
              <w:t> </w:t>
            </w:r>
          </w:p>
        </w:tc>
        <w:tc>
          <w:tcPr>
            <w:tcW w:w="1133" w:type="dxa"/>
            <w:tcBorders>
              <w:top w:val="nil"/>
              <w:left w:val="nil"/>
              <w:bottom w:val="single" w:sz="8" w:space="0" w:color="auto"/>
              <w:right w:val="single" w:sz="8" w:space="0" w:color="auto"/>
            </w:tcBorders>
            <w:shd w:val="clear" w:color="auto" w:fill="auto"/>
            <w:vAlign w:val="center"/>
            <w:hideMark/>
          </w:tcPr>
          <w:p w:rsidR="00E07BD8" w:rsidRPr="00DD4B39" w:rsidP="00E07BD8" w14:paraId="17DE19BA" w14:textId="77777777">
            <w:pPr>
              <w:rPr>
                <w:rFonts w:ascii="Calibri" w:hAnsi="Calibri" w:cs="Calibri"/>
                <w:color w:val="000000"/>
                <w:sz w:val="18"/>
                <w:szCs w:val="18"/>
              </w:rPr>
            </w:pPr>
            <w:r w:rsidRPr="00DD4B39">
              <w:rPr>
                <w:rFonts w:ascii="Calibri" w:hAnsi="Calibri" w:cs="Calibri"/>
                <w:color w:val="000000"/>
                <w:sz w:val="18"/>
                <w:szCs w:val="18"/>
              </w:rPr>
              <w:t>New collection</w:t>
            </w:r>
          </w:p>
        </w:tc>
      </w:tr>
      <w:tr w14:paraId="27545F7E" w14:textId="77777777" w:rsidTr="00625FFD">
        <w:tblPrEx>
          <w:tblW w:w="8790" w:type="dxa"/>
          <w:tblLook w:val="04A0"/>
        </w:tblPrEx>
        <w:trPr>
          <w:trHeight w:val="915"/>
        </w:trPr>
        <w:tc>
          <w:tcPr>
            <w:tcW w:w="1345" w:type="dxa"/>
            <w:tcBorders>
              <w:top w:val="nil"/>
              <w:left w:val="single" w:sz="8" w:space="0" w:color="auto"/>
              <w:bottom w:val="single" w:sz="8" w:space="0" w:color="auto"/>
              <w:right w:val="single" w:sz="8" w:space="0" w:color="auto"/>
            </w:tcBorders>
            <w:shd w:val="clear" w:color="auto" w:fill="auto"/>
            <w:vAlign w:val="center"/>
            <w:hideMark/>
          </w:tcPr>
          <w:p w:rsidR="00E07BD8" w:rsidRPr="00DD4B39" w:rsidP="00E07BD8" w14:paraId="5A71F1AB" w14:textId="77777777">
            <w:pPr>
              <w:rPr>
                <w:rFonts w:ascii="Calibri" w:hAnsi="Calibri" w:cs="Calibri"/>
                <w:color w:val="000000"/>
                <w:sz w:val="16"/>
                <w:szCs w:val="16"/>
              </w:rPr>
            </w:pPr>
            <w:r w:rsidRPr="00DD4B39">
              <w:rPr>
                <w:rFonts w:ascii="Calibri" w:hAnsi="Calibri" w:cs="Calibri"/>
                <w:color w:val="000000"/>
                <w:sz w:val="16"/>
                <w:szCs w:val="16"/>
              </w:rPr>
              <w:t xml:space="preserve">          Copies of additional documents</w:t>
            </w:r>
          </w:p>
        </w:tc>
        <w:tc>
          <w:tcPr>
            <w:tcW w:w="1032" w:type="dxa"/>
            <w:tcBorders>
              <w:top w:val="nil"/>
              <w:left w:val="nil"/>
              <w:bottom w:val="single" w:sz="8" w:space="0" w:color="auto"/>
              <w:right w:val="single" w:sz="8" w:space="0" w:color="auto"/>
            </w:tcBorders>
            <w:shd w:val="clear" w:color="auto" w:fill="auto"/>
            <w:vAlign w:val="center"/>
            <w:hideMark/>
          </w:tcPr>
          <w:p w:rsidR="00E07BD8" w:rsidRPr="00DD4B39" w:rsidP="00E07BD8" w14:paraId="60512022" w14:textId="7799375E">
            <w:pPr>
              <w:jc w:val="right"/>
              <w:rPr>
                <w:rFonts w:ascii="Calibri" w:hAnsi="Calibri" w:cs="Calibri"/>
                <w:color w:val="000000"/>
                <w:sz w:val="16"/>
                <w:szCs w:val="16"/>
              </w:rPr>
            </w:pPr>
            <w:r>
              <w:rPr>
                <w:rFonts w:ascii="Calibri" w:hAnsi="Calibri" w:cs="Calibri"/>
                <w:color w:val="000000"/>
                <w:sz w:val="16"/>
                <w:szCs w:val="16"/>
              </w:rPr>
              <w:t>3</w:t>
            </w:r>
          </w:p>
        </w:tc>
        <w:tc>
          <w:tcPr>
            <w:tcW w:w="1124" w:type="dxa"/>
            <w:tcBorders>
              <w:top w:val="nil"/>
              <w:left w:val="nil"/>
              <w:bottom w:val="single" w:sz="8" w:space="0" w:color="auto"/>
              <w:right w:val="single" w:sz="8" w:space="0" w:color="auto"/>
            </w:tcBorders>
            <w:shd w:val="clear" w:color="auto" w:fill="auto"/>
            <w:vAlign w:val="center"/>
            <w:hideMark/>
          </w:tcPr>
          <w:p w:rsidR="00E07BD8" w:rsidRPr="00DD4B39" w:rsidP="00E07BD8" w14:paraId="234AB196" w14:textId="4BEDF9E6">
            <w:pPr>
              <w:jc w:val="right"/>
              <w:rPr>
                <w:rFonts w:ascii="Calibri" w:hAnsi="Calibri" w:cs="Calibri"/>
                <w:color w:val="000000"/>
                <w:sz w:val="18"/>
                <w:szCs w:val="18"/>
              </w:rPr>
            </w:pPr>
            <w:r>
              <w:rPr>
                <w:rFonts w:ascii="Calibri" w:hAnsi="Calibri" w:cs="Calibri"/>
                <w:color w:val="000000"/>
                <w:sz w:val="18"/>
                <w:szCs w:val="18"/>
              </w:rPr>
              <w:t> </w:t>
            </w:r>
          </w:p>
        </w:tc>
        <w:tc>
          <w:tcPr>
            <w:tcW w:w="1039" w:type="dxa"/>
            <w:tcBorders>
              <w:top w:val="nil"/>
              <w:left w:val="nil"/>
              <w:bottom w:val="single" w:sz="8" w:space="0" w:color="auto"/>
              <w:right w:val="single" w:sz="8" w:space="0" w:color="auto"/>
            </w:tcBorders>
            <w:shd w:val="clear" w:color="auto" w:fill="auto"/>
            <w:vAlign w:val="center"/>
            <w:hideMark/>
          </w:tcPr>
          <w:p w:rsidR="00E07BD8" w:rsidRPr="00DD4B39" w:rsidP="00E07BD8" w14:paraId="038B9D4A" w14:textId="5F0E73BF">
            <w:pPr>
              <w:jc w:val="right"/>
              <w:rPr>
                <w:rFonts w:ascii="Calibri" w:hAnsi="Calibri" w:cs="Calibri"/>
                <w:color w:val="000000"/>
                <w:sz w:val="16"/>
                <w:szCs w:val="16"/>
              </w:rPr>
            </w:pPr>
            <w:r>
              <w:rPr>
                <w:rFonts w:ascii="Calibri" w:hAnsi="Calibri" w:cs="Calibri"/>
                <w:color w:val="000000"/>
                <w:sz w:val="16"/>
                <w:szCs w:val="16"/>
              </w:rPr>
              <w:t>9</w:t>
            </w:r>
          </w:p>
        </w:tc>
        <w:tc>
          <w:tcPr>
            <w:tcW w:w="1039" w:type="dxa"/>
            <w:tcBorders>
              <w:top w:val="nil"/>
              <w:left w:val="nil"/>
              <w:bottom w:val="single" w:sz="8" w:space="0" w:color="auto"/>
              <w:right w:val="single" w:sz="8" w:space="0" w:color="auto"/>
            </w:tcBorders>
            <w:shd w:val="clear" w:color="auto" w:fill="auto"/>
            <w:vAlign w:val="center"/>
            <w:hideMark/>
          </w:tcPr>
          <w:p w:rsidR="00E07BD8" w:rsidRPr="00DD4B39" w:rsidP="00E07BD8" w14:paraId="1E1DD289" w14:textId="16A3E681">
            <w:pPr>
              <w:jc w:val="right"/>
              <w:rPr>
                <w:rFonts w:ascii="Calibri" w:hAnsi="Calibri" w:cs="Calibri"/>
                <w:color w:val="000000"/>
                <w:sz w:val="18"/>
                <w:szCs w:val="18"/>
              </w:rPr>
            </w:pPr>
            <w:r>
              <w:rPr>
                <w:rFonts w:ascii="Calibri" w:hAnsi="Calibri" w:cs="Calibri"/>
                <w:color w:val="000000"/>
                <w:sz w:val="18"/>
                <w:szCs w:val="18"/>
              </w:rPr>
              <w:t> </w:t>
            </w:r>
          </w:p>
        </w:tc>
        <w:tc>
          <w:tcPr>
            <w:tcW w:w="1039" w:type="dxa"/>
            <w:tcBorders>
              <w:top w:val="nil"/>
              <w:left w:val="nil"/>
              <w:bottom w:val="single" w:sz="8" w:space="0" w:color="auto"/>
              <w:right w:val="single" w:sz="8" w:space="0" w:color="auto"/>
            </w:tcBorders>
            <w:shd w:val="clear" w:color="auto" w:fill="auto"/>
            <w:vAlign w:val="center"/>
            <w:hideMark/>
          </w:tcPr>
          <w:p w:rsidR="00E07BD8" w:rsidRPr="00DD4B39" w:rsidP="00E07BD8" w14:paraId="7922A383" w14:textId="63928639">
            <w:pPr>
              <w:jc w:val="right"/>
              <w:rPr>
                <w:rFonts w:ascii="Calibri" w:hAnsi="Calibri" w:cs="Calibri"/>
                <w:color w:val="000000"/>
                <w:sz w:val="18"/>
                <w:szCs w:val="18"/>
              </w:rPr>
            </w:pPr>
            <w:r>
              <w:rPr>
                <w:rFonts w:ascii="Calibri" w:hAnsi="Calibri" w:cs="Calibri"/>
                <w:color w:val="000000"/>
                <w:sz w:val="18"/>
                <w:szCs w:val="18"/>
              </w:rPr>
              <w:t>1.5</w:t>
            </w:r>
          </w:p>
        </w:tc>
        <w:tc>
          <w:tcPr>
            <w:tcW w:w="1039" w:type="dxa"/>
            <w:tcBorders>
              <w:top w:val="nil"/>
              <w:left w:val="nil"/>
              <w:bottom w:val="single" w:sz="8" w:space="0" w:color="auto"/>
              <w:right w:val="single" w:sz="8" w:space="0" w:color="auto"/>
            </w:tcBorders>
            <w:shd w:val="clear" w:color="auto" w:fill="auto"/>
            <w:vAlign w:val="center"/>
            <w:hideMark/>
          </w:tcPr>
          <w:p w:rsidR="00E07BD8" w:rsidRPr="00DD4B39" w:rsidP="00E07BD8" w14:paraId="40E7DF50" w14:textId="1ADCFD16">
            <w:pPr>
              <w:jc w:val="right"/>
              <w:rPr>
                <w:rFonts w:ascii="Calibri" w:hAnsi="Calibri" w:cs="Calibri"/>
                <w:color w:val="000000"/>
                <w:sz w:val="18"/>
                <w:szCs w:val="18"/>
              </w:rPr>
            </w:pPr>
            <w:r>
              <w:rPr>
                <w:rFonts w:ascii="Calibri" w:hAnsi="Calibri" w:cs="Calibri"/>
                <w:color w:val="000000"/>
                <w:sz w:val="18"/>
                <w:szCs w:val="18"/>
              </w:rPr>
              <w:t> </w:t>
            </w:r>
          </w:p>
        </w:tc>
        <w:tc>
          <w:tcPr>
            <w:tcW w:w="1133" w:type="dxa"/>
            <w:tcBorders>
              <w:top w:val="nil"/>
              <w:left w:val="nil"/>
              <w:bottom w:val="single" w:sz="8" w:space="0" w:color="auto"/>
              <w:right w:val="single" w:sz="8" w:space="0" w:color="auto"/>
            </w:tcBorders>
            <w:shd w:val="clear" w:color="auto" w:fill="auto"/>
            <w:vAlign w:val="center"/>
            <w:hideMark/>
          </w:tcPr>
          <w:p w:rsidR="00E07BD8" w:rsidRPr="00DD4B39" w:rsidP="00E07BD8" w14:paraId="1A6ECA52" w14:textId="77777777">
            <w:pPr>
              <w:rPr>
                <w:rFonts w:ascii="Calibri" w:hAnsi="Calibri" w:cs="Calibri"/>
                <w:color w:val="000000"/>
                <w:sz w:val="18"/>
                <w:szCs w:val="18"/>
              </w:rPr>
            </w:pPr>
            <w:r w:rsidRPr="00DD4B39">
              <w:rPr>
                <w:rFonts w:ascii="Calibri" w:hAnsi="Calibri" w:cs="Calibri"/>
                <w:color w:val="000000"/>
                <w:sz w:val="18"/>
                <w:szCs w:val="18"/>
              </w:rPr>
              <w:t>New collection</w:t>
            </w:r>
          </w:p>
        </w:tc>
      </w:tr>
      <w:tr w14:paraId="15609E4F" w14:textId="77777777" w:rsidTr="00625FFD">
        <w:tblPrEx>
          <w:tblW w:w="8790" w:type="dxa"/>
          <w:tblLook w:val="04A0"/>
        </w:tblPrEx>
        <w:trPr>
          <w:trHeight w:val="495"/>
        </w:trPr>
        <w:tc>
          <w:tcPr>
            <w:tcW w:w="1345" w:type="dxa"/>
            <w:tcBorders>
              <w:top w:val="nil"/>
              <w:left w:val="single" w:sz="8" w:space="0" w:color="auto"/>
              <w:bottom w:val="single" w:sz="8" w:space="0" w:color="auto"/>
              <w:right w:val="single" w:sz="8" w:space="0" w:color="auto"/>
            </w:tcBorders>
            <w:shd w:val="clear" w:color="auto" w:fill="auto"/>
            <w:vAlign w:val="center"/>
            <w:hideMark/>
          </w:tcPr>
          <w:p w:rsidR="00E07BD8" w:rsidRPr="00DD4B39" w:rsidP="00E07BD8" w14:paraId="6AE024FC" w14:textId="77777777">
            <w:pPr>
              <w:rPr>
                <w:rFonts w:ascii="Calibri" w:hAnsi="Calibri" w:cs="Calibri"/>
                <w:color w:val="000000"/>
                <w:sz w:val="16"/>
                <w:szCs w:val="16"/>
              </w:rPr>
            </w:pPr>
            <w:r w:rsidRPr="00DD4B39">
              <w:rPr>
                <w:rFonts w:ascii="Calibri" w:hAnsi="Calibri" w:cs="Calibri"/>
                <w:color w:val="000000"/>
                <w:sz w:val="16"/>
                <w:szCs w:val="16"/>
              </w:rPr>
              <w:t xml:space="preserve">    Appeal</w:t>
            </w:r>
          </w:p>
        </w:tc>
        <w:tc>
          <w:tcPr>
            <w:tcW w:w="1032" w:type="dxa"/>
            <w:tcBorders>
              <w:top w:val="nil"/>
              <w:left w:val="nil"/>
              <w:bottom w:val="single" w:sz="8" w:space="0" w:color="auto"/>
              <w:right w:val="single" w:sz="8" w:space="0" w:color="auto"/>
            </w:tcBorders>
            <w:shd w:val="clear" w:color="auto" w:fill="auto"/>
            <w:vAlign w:val="center"/>
            <w:hideMark/>
          </w:tcPr>
          <w:p w:rsidR="00E07BD8" w:rsidRPr="00DD4B39" w:rsidP="00E07BD8" w14:paraId="33F7CAF0" w14:textId="2AE5FE59">
            <w:pPr>
              <w:jc w:val="right"/>
              <w:rPr>
                <w:rFonts w:ascii="Calibri" w:hAnsi="Calibri" w:cs="Calibri"/>
                <w:color w:val="000000"/>
                <w:sz w:val="16"/>
                <w:szCs w:val="16"/>
              </w:rPr>
            </w:pPr>
            <w:r>
              <w:rPr>
                <w:rFonts w:ascii="Calibri" w:hAnsi="Calibri" w:cs="Calibri"/>
                <w:color w:val="000000"/>
                <w:sz w:val="16"/>
                <w:szCs w:val="16"/>
              </w:rPr>
              <w:t>1</w:t>
            </w:r>
          </w:p>
        </w:tc>
        <w:tc>
          <w:tcPr>
            <w:tcW w:w="1124" w:type="dxa"/>
            <w:tcBorders>
              <w:top w:val="nil"/>
              <w:left w:val="nil"/>
              <w:bottom w:val="single" w:sz="8" w:space="0" w:color="auto"/>
              <w:right w:val="single" w:sz="8" w:space="0" w:color="auto"/>
            </w:tcBorders>
            <w:shd w:val="clear" w:color="auto" w:fill="auto"/>
            <w:vAlign w:val="center"/>
            <w:hideMark/>
          </w:tcPr>
          <w:p w:rsidR="00E07BD8" w:rsidRPr="00DD4B39" w:rsidP="00E07BD8" w14:paraId="44312889" w14:textId="545B6F80">
            <w:pPr>
              <w:jc w:val="right"/>
              <w:rPr>
                <w:rFonts w:ascii="Calibri" w:hAnsi="Calibri" w:cs="Calibri"/>
                <w:color w:val="000000"/>
                <w:sz w:val="18"/>
                <w:szCs w:val="18"/>
              </w:rPr>
            </w:pPr>
            <w:r>
              <w:rPr>
                <w:rFonts w:ascii="Calibri" w:hAnsi="Calibri" w:cs="Calibri"/>
                <w:color w:val="000000"/>
                <w:sz w:val="18"/>
                <w:szCs w:val="18"/>
              </w:rPr>
              <w:t> </w:t>
            </w:r>
          </w:p>
        </w:tc>
        <w:tc>
          <w:tcPr>
            <w:tcW w:w="1039" w:type="dxa"/>
            <w:tcBorders>
              <w:top w:val="nil"/>
              <w:left w:val="nil"/>
              <w:bottom w:val="single" w:sz="8" w:space="0" w:color="auto"/>
              <w:right w:val="single" w:sz="8" w:space="0" w:color="auto"/>
            </w:tcBorders>
            <w:shd w:val="clear" w:color="auto" w:fill="auto"/>
            <w:vAlign w:val="center"/>
            <w:hideMark/>
          </w:tcPr>
          <w:p w:rsidR="00E07BD8" w:rsidRPr="00DD4B39" w:rsidP="00E07BD8" w14:paraId="2CECF752" w14:textId="3EE25A22">
            <w:pPr>
              <w:jc w:val="right"/>
              <w:rPr>
                <w:rFonts w:ascii="Calibri" w:hAnsi="Calibri" w:cs="Calibri"/>
                <w:color w:val="000000"/>
                <w:sz w:val="16"/>
                <w:szCs w:val="16"/>
              </w:rPr>
            </w:pPr>
            <w:r>
              <w:rPr>
                <w:rFonts w:ascii="Calibri" w:hAnsi="Calibri" w:cs="Calibri"/>
                <w:color w:val="000000"/>
                <w:sz w:val="16"/>
                <w:szCs w:val="16"/>
              </w:rPr>
              <w:t>1</w:t>
            </w:r>
          </w:p>
        </w:tc>
        <w:tc>
          <w:tcPr>
            <w:tcW w:w="1039" w:type="dxa"/>
            <w:tcBorders>
              <w:top w:val="nil"/>
              <w:left w:val="nil"/>
              <w:bottom w:val="single" w:sz="8" w:space="0" w:color="auto"/>
              <w:right w:val="single" w:sz="8" w:space="0" w:color="auto"/>
            </w:tcBorders>
            <w:shd w:val="clear" w:color="auto" w:fill="auto"/>
            <w:vAlign w:val="center"/>
            <w:hideMark/>
          </w:tcPr>
          <w:p w:rsidR="00E07BD8" w:rsidRPr="00DD4B39" w:rsidP="00E07BD8" w14:paraId="19D8DFAE" w14:textId="483C0127">
            <w:pPr>
              <w:jc w:val="right"/>
              <w:rPr>
                <w:rFonts w:ascii="Calibri" w:hAnsi="Calibri" w:cs="Calibri"/>
                <w:color w:val="000000"/>
                <w:sz w:val="18"/>
                <w:szCs w:val="18"/>
              </w:rPr>
            </w:pPr>
            <w:r>
              <w:rPr>
                <w:rFonts w:ascii="Calibri" w:hAnsi="Calibri" w:cs="Calibri"/>
                <w:color w:val="000000"/>
                <w:sz w:val="18"/>
                <w:szCs w:val="18"/>
              </w:rPr>
              <w:t> </w:t>
            </w:r>
          </w:p>
        </w:tc>
        <w:tc>
          <w:tcPr>
            <w:tcW w:w="1039" w:type="dxa"/>
            <w:tcBorders>
              <w:top w:val="nil"/>
              <w:left w:val="nil"/>
              <w:bottom w:val="single" w:sz="8" w:space="0" w:color="auto"/>
              <w:right w:val="single" w:sz="8" w:space="0" w:color="auto"/>
            </w:tcBorders>
            <w:shd w:val="clear" w:color="auto" w:fill="auto"/>
            <w:vAlign w:val="center"/>
            <w:hideMark/>
          </w:tcPr>
          <w:p w:rsidR="00E07BD8" w:rsidRPr="00DD4B39" w:rsidP="00E07BD8" w14:paraId="3009D65A" w14:textId="76C91339">
            <w:pPr>
              <w:jc w:val="right"/>
              <w:rPr>
                <w:rFonts w:ascii="Calibri" w:hAnsi="Calibri" w:cs="Calibri"/>
                <w:color w:val="000000"/>
                <w:sz w:val="18"/>
                <w:szCs w:val="18"/>
              </w:rPr>
            </w:pPr>
            <w:r>
              <w:rPr>
                <w:rFonts w:ascii="Calibri" w:hAnsi="Calibri" w:cs="Calibri"/>
                <w:color w:val="000000"/>
                <w:sz w:val="18"/>
                <w:szCs w:val="18"/>
              </w:rPr>
              <w:t>1.3</w:t>
            </w:r>
          </w:p>
        </w:tc>
        <w:tc>
          <w:tcPr>
            <w:tcW w:w="1039" w:type="dxa"/>
            <w:tcBorders>
              <w:top w:val="nil"/>
              <w:left w:val="nil"/>
              <w:bottom w:val="single" w:sz="8" w:space="0" w:color="auto"/>
              <w:right w:val="single" w:sz="8" w:space="0" w:color="auto"/>
            </w:tcBorders>
            <w:shd w:val="clear" w:color="auto" w:fill="auto"/>
            <w:vAlign w:val="center"/>
            <w:hideMark/>
          </w:tcPr>
          <w:p w:rsidR="00E07BD8" w:rsidRPr="00DD4B39" w:rsidP="00E07BD8" w14:paraId="047100C2" w14:textId="79209CC7">
            <w:pPr>
              <w:jc w:val="right"/>
              <w:rPr>
                <w:rFonts w:ascii="Calibri" w:hAnsi="Calibri" w:cs="Calibri"/>
                <w:color w:val="000000"/>
                <w:sz w:val="18"/>
                <w:szCs w:val="18"/>
              </w:rPr>
            </w:pPr>
            <w:r>
              <w:rPr>
                <w:rFonts w:ascii="Calibri" w:hAnsi="Calibri" w:cs="Calibri"/>
                <w:color w:val="000000"/>
                <w:sz w:val="18"/>
                <w:szCs w:val="18"/>
              </w:rPr>
              <w:t> </w:t>
            </w:r>
          </w:p>
        </w:tc>
        <w:tc>
          <w:tcPr>
            <w:tcW w:w="1133" w:type="dxa"/>
            <w:tcBorders>
              <w:top w:val="nil"/>
              <w:left w:val="nil"/>
              <w:bottom w:val="single" w:sz="8" w:space="0" w:color="auto"/>
              <w:right w:val="single" w:sz="8" w:space="0" w:color="auto"/>
            </w:tcBorders>
            <w:shd w:val="clear" w:color="auto" w:fill="auto"/>
            <w:vAlign w:val="center"/>
            <w:hideMark/>
          </w:tcPr>
          <w:p w:rsidR="00E07BD8" w:rsidRPr="00DD4B39" w:rsidP="00E07BD8" w14:paraId="7E36BF94" w14:textId="77777777">
            <w:pPr>
              <w:rPr>
                <w:rFonts w:ascii="Calibri" w:hAnsi="Calibri" w:cs="Calibri"/>
                <w:color w:val="000000"/>
                <w:sz w:val="18"/>
                <w:szCs w:val="18"/>
              </w:rPr>
            </w:pPr>
            <w:r w:rsidRPr="00DD4B39">
              <w:rPr>
                <w:rFonts w:ascii="Calibri" w:hAnsi="Calibri" w:cs="Calibri"/>
                <w:color w:val="000000"/>
                <w:sz w:val="18"/>
                <w:szCs w:val="18"/>
              </w:rPr>
              <w:t>New collection</w:t>
            </w:r>
          </w:p>
        </w:tc>
      </w:tr>
      <w:tr w14:paraId="28317031" w14:textId="77777777" w:rsidTr="00625FFD">
        <w:tblPrEx>
          <w:tblW w:w="8790" w:type="dxa"/>
          <w:tblLook w:val="04A0"/>
        </w:tblPrEx>
        <w:trPr>
          <w:trHeight w:val="495"/>
        </w:trPr>
        <w:tc>
          <w:tcPr>
            <w:tcW w:w="1345" w:type="dxa"/>
            <w:tcBorders>
              <w:top w:val="nil"/>
              <w:left w:val="single" w:sz="8" w:space="0" w:color="auto"/>
              <w:bottom w:val="single" w:sz="8" w:space="0" w:color="auto"/>
              <w:right w:val="single" w:sz="8" w:space="0" w:color="auto"/>
            </w:tcBorders>
            <w:shd w:val="clear" w:color="auto" w:fill="auto"/>
            <w:vAlign w:val="center"/>
            <w:hideMark/>
          </w:tcPr>
          <w:p w:rsidR="00E07BD8" w:rsidRPr="00DD4B39" w:rsidP="00E07BD8" w14:paraId="36A5F4D2" w14:textId="18FDE4A5">
            <w:pPr>
              <w:rPr>
                <w:rFonts w:ascii="Calibri" w:hAnsi="Calibri" w:cs="Calibri"/>
                <w:color w:val="000000"/>
                <w:sz w:val="16"/>
                <w:szCs w:val="16"/>
              </w:rPr>
            </w:pPr>
            <w:r>
              <w:rPr>
                <w:rFonts w:ascii="Calibri" w:hAnsi="Calibri" w:cs="Calibri"/>
                <w:color w:val="000000"/>
                <w:sz w:val="16"/>
                <w:szCs w:val="16"/>
              </w:rPr>
              <w:t>Revision to Application</w:t>
            </w:r>
          </w:p>
        </w:tc>
        <w:tc>
          <w:tcPr>
            <w:tcW w:w="1032" w:type="dxa"/>
            <w:tcBorders>
              <w:top w:val="nil"/>
              <w:left w:val="nil"/>
              <w:bottom w:val="single" w:sz="8" w:space="0" w:color="auto"/>
              <w:right w:val="single" w:sz="8" w:space="0" w:color="auto"/>
            </w:tcBorders>
            <w:shd w:val="clear" w:color="auto" w:fill="auto"/>
            <w:vAlign w:val="center"/>
            <w:hideMark/>
          </w:tcPr>
          <w:p w:rsidR="00E07BD8" w:rsidRPr="00DD4B39" w:rsidP="00E07BD8" w14:paraId="17ADF801" w14:textId="732B6910">
            <w:pPr>
              <w:jc w:val="right"/>
              <w:rPr>
                <w:rFonts w:ascii="Calibri" w:hAnsi="Calibri" w:cs="Calibri"/>
                <w:color w:val="000000"/>
                <w:sz w:val="16"/>
                <w:szCs w:val="16"/>
              </w:rPr>
            </w:pPr>
            <w:r>
              <w:rPr>
                <w:rFonts w:ascii="Calibri" w:hAnsi="Calibri" w:cs="Calibri"/>
                <w:color w:val="000000"/>
                <w:sz w:val="16"/>
                <w:szCs w:val="16"/>
              </w:rPr>
              <w:t>3</w:t>
            </w:r>
          </w:p>
        </w:tc>
        <w:tc>
          <w:tcPr>
            <w:tcW w:w="1124" w:type="dxa"/>
            <w:tcBorders>
              <w:top w:val="nil"/>
              <w:left w:val="nil"/>
              <w:bottom w:val="single" w:sz="8" w:space="0" w:color="auto"/>
              <w:right w:val="single" w:sz="8" w:space="0" w:color="auto"/>
            </w:tcBorders>
            <w:shd w:val="clear" w:color="auto" w:fill="auto"/>
            <w:vAlign w:val="center"/>
            <w:hideMark/>
          </w:tcPr>
          <w:p w:rsidR="00E07BD8" w:rsidRPr="00DD4B39" w:rsidP="00E07BD8" w14:paraId="080FFE6E" w14:textId="636A84DE">
            <w:pPr>
              <w:jc w:val="right"/>
              <w:rPr>
                <w:rFonts w:ascii="Calibri" w:hAnsi="Calibri" w:cs="Calibri"/>
                <w:color w:val="000000"/>
                <w:sz w:val="18"/>
                <w:szCs w:val="18"/>
              </w:rPr>
            </w:pPr>
            <w:r>
              <w:rPr>
                <w:rFonts w:ascii="Calibri" w:hAnsi="Calibri" w:cs="Calibri"/>
                <w:color w:val="000000"/>
                <w:sz w:val="18"/>
                <w:szCs w:val="18"/>
              </w:rPr>
              <w:t> </w:t>
            </w:r>
          </w:p>
        </w:tc>
        <w:tc>
          <w:tcPr>
            <w:tcW w:w="1039" w:type="dxa"/>
            <w:tcBorders>
              <w:top w:val="nil"/>
              <w:left w:val="nil"/>
              <w:bottom w:val="single" w:sz="8" w:space="0" w:color="auto"/>
              <w:right w:val="single" w:sz="8" w:space="0" w:color="auto"/>
            </w:tcBorders>
            <w:shd w:val="clear" w:color="auto" w:fill="auto"/>
            <w:vAlign w:val="center"/>
            <w:hideMark/>
          </w:tcPr>
          <w:p w:rsidR="00E07BD8" w:rsidRPr="00DD4B39" w:rsidP="00E07BD8" w14:paraId="68A0810C" w14:textId="3E2B2C67">
            <w:pPr>
              <w:jc w:val="right"/>
              <w:rPr>
                <w:rFonts w:ascii="Calibri" w:hAnsi="Calibri" w:cs="Calibri"/>
                <w:color w:val="000000"/>
                <w:sz w:val="16"/>
                <w:szCs w:val="16"/>
              </w:rPr>
            </w:pPr>
            <w:r>
              <w:rPr>
                <w:rFonts w:ascii="Calibri" w:hAnsi="Calibri" w:cs="Calibri"/>
                <w:color w:val="000000"/>
                <w:sz w:val="16"/>
                <w:szCs w:val="16"/>
              </w:rPr>
              <w:t>3</w:t>
            </w:r>
          </w:p>
        </w:tc>
        <w:tc>
          <w:tcPr>
            <w:tcW w:w="1039" w:type="dxa"/>
            <w:tcBorders>
              <w:top w:val="nil"/>
              <w:left w:val="nil"/>
              <w:bottom w:val="single" w:sz="8" w:space="0" w:color="auto"/>
              <w:right w:val="single" w:sz="8" w:space="0" w:color="auto"/>
            </w:tcBorders>
            <w:shd w:val="clear" w:color="auto" w:fill="auto"/>
            <w:vAlign w:val="center"/>
            <w:hideMark/>
          </w:tcPr>
          <w:p w:rsidR="00E07BD8" w:rsidRPr="00DD4B39" w:rsidP="00E07BD8" w14:paraId="7083A750" w14:textId="068E9BDB">
            <w:pPr>
              <w:jc w:val="right"/>
              <w:rPr>
                <w:rFonts w:ascii="Calibri" w:hAnsi="Calibri" w:cs="Calibri"/>
                <w:color w:val="000000"/>
                <w:sz w:val="18"/>
                <w:szCs w:val="18"/>
              </w:rPr>
            </w:pPr>
            <w:r>
              <w:rPr>
                <w:rFonts w:ascii="Calibri" w:hAnsi="Calibri" w:cs="Calibri"/>
                <w:color w:val="000000"/>
                <w:sz w:val="18"/>
                <w:szCs w:val="18"/>
              </w:rPr>
              <w:t> </w:t>
            </w:r>
          </w:p>
        </w:tc>
        <w:tc>
          <w:tcPr>
            <w:tcW w:w="1039" w:type="dxa"/>
            <w:tcBorders>
              <w:top w:val="nil"/>
              <w:left w:val="nil"/>
              <w:bottom w:val="single" w:sz="8" w:space="0" w:color="auto"/>
              <w:right w:val="single" w:sz="8" w:space="0" w:color="auto"/>
            </w:tcBorders>
            <w:shd w:val="clear" w:color="auto" w:fill="auto"/>
            <w:vAlign w:val="center"/>
            <w:hideMark/>
          </w:tcPr>
          <w:p w:rsidR="00E07BD8" w:rsidRPr="00DD4B39" w:rsidP="00E07BD8" w14:paraId="05B68EDE" w14:textId="06747FD8">
            <w:pPr>
              <w:jc w:val="right"/>
              <w:rPr>
                <w:rFonts w:ascii="Calibri" w:hAnsi="Calibri" w:cs="Calibri"/>
                <w:color w:val="000000"/>
                <w:sz w:val="18"/>
                <w:szCs w:val="18"/>
              </w:rPr>
            </w:pPr>
            <w:r>
              <w:rPr>
                <w:rFonts w:ascii="Calibri" w:hAnsi="Calibri" w:cs="Calibri"/>
                <w:color w:val="000000"/>
                <w:sz w:val="18"/>
                <w:szCs w:val="18"/>
              </w:rPr>
              <w:t>6</w:t>
            </w:r>
          </w:p>
        </w:tc>
        <w:tc>
          <w:tcPr>
            <w:tcW w:w="1039" w:type="dxa"/>
            <w:tcBorders>
              <w:top w:val="nil"/>
              <w:left w:val="nil"/>
              <w:bottom w:val="single" w:sz="8" w:space="0" w:color="auto"/>
              <w:right w:val="single" w:sz="8" w:space="0" w:color="auto"/>
            </w:tcBorders>
            <w:shd w:val="clear" w:color="auto" w:fill="auto"/>
            <w:vAlign w:val="center"/>
            <w:hideMark/>
          </w:tcPr>
          <w:p w:rsidR="00E07BD8" w:rsidRPr="00DD4B39" w:rsidP="00E07BD8" w14:paraId="47939637" w14:textId="4E85BCE8">
            <w:pPr>
              <w:jc w:val="right"/>
              <w:rPr>
                <w:rFonts w:ascii="Calibri" w:hAnsi="Calibri" w:cs="Calibri"/>
                <w:color w:val="000000"/>
                <w:sz w:val="18"/>
                <w:szCs w:val="18"/>
              </w:rPr>
            </w:pPr>
            <w:r>
              <w:rPr>
                <w:rFonts w:ascii="Calibri" w:hAnsi="Calibri" w:cs="Calibri"/>
                <w:color w:val="000000"/>
                <w:sz w:val="18"/>
                <w:szCs w:val="18"/>
              </w:rPr>
              <w:t> </w:t>
            </w:r>
          </w:p>
        </w:tc>
        <w:tc>
          <w:tcPr>
            <w:tcW w:w="1133" w:type="dxa"/>
            <w:tcBorders>
              <w:top w:val="nil"/>
              <w:left w:val="nil"/>
              <w:bottom w:val="single" w:sz="8" w:space="0" w:color="auto"/>
              <w:right w:val="single" w:sz="8" w:space="0" w:color="auto"/>
            </w:tcBorders>
            <w:shd w:val="clear" w:color="auto" w:fill="auto"/>
            <w:vAlign w:val="center"/>
            <w:hideMark/>
          </w:tcPr>
          <w:p w:rsidR="00E07BD8" w:rsidRPr="00DD4B39" w:rsidP="00E07BD8" w14:paraId="03F6A555" w14:textId="77777777">
            <w:pPr>
              <w:rPr>
                <w:rFonts w:ascii="Calibri" w:hAnsi="Calibri" w:cs="Calibri"/>
                <w:color w:val="000000"/>
                <w:sz w:val="18"/>
                <w:szCs w:val="18"/>
              </w:rPr>
            </w:pPr>
            <w:r w:rsidRPr="00DD4B39">
              <w:rPr>
                <w:rFonts w:ascii="Calibri" w:hAnsi="Calibri" w:cs="Calibri"/>
                <w:color w:val="000000"/>
                <w:sz w:val="18"/>
                <w:szCs w:val="18"/>
              </w:rPr>
              <w:t>New collection</w:t>
            </w:r>
          </w:p>
        </w:tc>
      </w:tr>
      <w:tr w14:paraId="5232233E" w14:textId="77777777" w:rsidTr="00625FFD">
        <w:tblPrEx>
          <w:tblW w:w="8790" w:type="dxa"/>
          <w:tblLook w:val="04A0"/>
        </w:tblPrEx>
        <w:trPr>
          <w:trHeight w:val="915"/>
        </w:trPr>
        <w:tc>
          <w:tcPr>
            <w:tcW w:w="1345" w:type="dxa"/>
            <w:tcBorders>
              <w:top w:val="nil"/>
              <w:left w:val="single" w:sz="8" w:space="0" w:color="auto"/>
              <w:bottom w:val="single" w:sz="8" w:space="0" w:color="auto"/>
              <w:right w:val="single" w:sz="8" w:space="0" w:color="auto"/>
            </w:tcBorders>
            <w:shd w:val="clear" w:color="auto" w:fill="auto"/>
            <w:vAlign w:val="center"/>
            <w:hideMark/>
          </w:tcPr>
          <w:p w:rsidR="00E07BD8" w:rsidRPr="00DD4B39" w:rsidP="00E07BD8" w14:paraId="0BA9D821" w14:textId="77777777">
            <w:pPr>
              <w:rPr>
                <w:rFonts w:ascii="Calibri" w:hAnsi="Calibri" w:cs="Calibri"/>
                <w:color w:val="000000"/>
                <w:sz w:val="16"/>
                <w:szCs w:val="16"/>
              </w:rPr>
            </w:pPr>
            <w:r w:rsidRPr="00DD4B39">
              <w:rPr>
                <w:rFonts w:ascii="Calibri" w:hAnsi="Calibri" w:cs="Calibri"/>
                <w:color w:val="000000"/>
                <w:sz w:val="16"/>
                <w:szCs w:val="16"/>
              </w:rPr>
              <w:t xml:space="preserve">    EM System Certification Form</w:t>
            </w:r>
          </w:p>
        </w:tc>
        <w:tc>
          <w:tcPr>
            <w:tcW w:w="1032" w:type="dxa"/>
            <w:tcBorders>
              <w:top w:val="nil"/>
              <w:left w:val="nil"/>
              <w:bottom w:val="single" w:sz="8" w:space="0" w:color="auto"/>
              <w:right w:val="single" w:sz="8" w:space="0" w:color="auto"/>
            </w:tcBorders>
            <w:shd w:val="clear" w:color="auto" w:fill="auto"/>
            <w:vAlign w:val="center"/>
            <w:hideMark/>
          </w:tcPr>
          <w:p w:rsidR="00E07BD8" w:rsidRPr="00DD4B39" w:rsidP="00E07BD8" w14:paraId="0DD512AE" w14:textId="7BAD00BF">
            <w:pPr>
              <w:jc w:val="right"/>
              <w:rPr>
                <w:rFonts w:ascii="Calibri" w:hAnsi="Calibri" w:cs="Calibri"/>
                <w:color w:val="000000"/>
                <w:sz w:val="16"/>
                <w:szCs w:val="16"/>
              </w:rPr>
            </w:pPr>
            <w:r>
              <w:rPr>
                <w:rFonts w:ascii="Calibri" w:hAnsi="Calibri" w:cs="Calibri"/>
                <w:color w:val="000000"/>
                <w:sz w:val="16"/>
                <w:szCs w:val="16"/>
              </w:rPr>
              <w:t>3</w:t>
            </w:r>
          </w:p>
        </w:tc>
        <w:tc>
          <w:tcPr>
            <w:tcW w:w="1124" w:type="dxa"/>
            <w:tcBorders>
              <w:top w:val="nil"/>
              <w:left w:val="nil"/>
              <w:bottom w:val="single" w:sz="8" w:space="0" w:color="auto"/>
              <w:right w:val="single" w:sz="8" w:space="0" w:color="auto"/>
            </w:tcBorders>
            <w:shd w:val="clear" w:color="auto" w:fill="auto"/>
            <w:vAlign w:val="center"/>
            <w:hideMark/>
          </w:tcPr>
          <w:p w:rsidR="00E07BD8" w:rsidRPr="00DD4B39" w:rsidP="00E07BD8" w14:paraId="423A4287" w14:textId="370291E1">
            <w:pPr>
              <w:jc w:val="right"/>
              <w:rPr>
                <w:rFonts w:ascii="Calibri" w:hAnsi="Calibri" w:cs="Calibri"/>
                <w:color w:val="000000"/>
                <w:sz w:val="18"/>
                <w:szCs w:val="18"/>
              </w:rPr>
            </w:pPr>
            <w:r>
              <w:rPr>
                <w:rFonts w:ascii="Calibri" w:hAnsi="Calibri" w:cs="Calibri"/>
                <w:color w:val="000000"/>
                <w:sz w:val="18"/>
                <w:szCs w:val="18"/>
              </w:rPr>
              <w:t> </w:t>
            </w:r>
          </w:p>
        </w:tc>
        <w:tc>
          <w:tcPr>
            <w:tcW w:w="1039" w:type="dxa"/>
            <w:tcBorders>
              <w:top w:val="nil"/>
              <w:left w:val="nil"/>
              <w:bottom w:val="single" w:sz="8" w:space="0" w:color="auto"/>
              <w:right w:val="single" w:sz="8" w:space="0" w:color="auto"/>
            </w:tcBorders>
            <w:shd w:val="clear" w:color="auto" w:fill="auto"/>
            <w:vAlign w:val="center"/>
            <w:hideMark/>
          </w:tcPr>
          <w:p w:rsidR="00E07BD8" w:rsidRPr="00DD4B39" w:rsidP="00E07BD8" w14:paraId="5016FA0D" w14:textId="297B1353">
            <w:pPr>
              <w:jc w:val="right"/>
              <w:rPr>
                <w:rFonts w:ascii="Calibri" w:hAnsi="Calibri" w:cs="Calibri"/>
                <w:color w:val="000000"/>
                <w:sz w:val="16"/>
                <w:szCs w:val="16"/>
              </w:rPr>
            </w:pPr>
            <w:r>
              <w:rPr>
                <w:rFonts w:ascii="Calibri" w:hAnsi="Calibri" w:cs="Calibri"/>
                <w:color w:val="000000"/>
                <w:sz w:val="16"/>
                <w:szCs w:val="16"/>
              </w:rPr>
              <w:t>9</w:t>
            </w:r>
          </w:p>
        </w:tc>
        <w:tc>
          <w:tcPr>
            <w:tcW w:w="1039" w:type="dxa"/>
            <w:tcBorders>
              <w:top w:val="nil"/>
              <w:left w:val="nil"/>
              <w:bottom w:val="single" w:sz="8" w:space="0" w:color="auto"/>
              <w:right w:val="single" w:sz="8" w:space="0" w:color="auto"/>
            </w:tcBorders>
            <w:shd w:val="clear" w:color="auto" w:fill="auto"/>
            <w:vAlign w:val="center"/>
            <w:hideMark/>
          </w:tcPr>
          <w:p w:rsidR="00E07BD8" w:rsidRPr="00DD4B39" w:rsidP="00E07BD8" w14:paraId="1C83A9BA" w14:textId="2709A371">
            <w:pPr>
              <w:jc w:val="right"/>
              <w:rPr>
                <w:rFonts w:ascii="Calibri" w:hAnsi="Calibri" w:cs="Calibri"/>
                <w:color w:val="000000"/>
                <w:sz w:val="18"/>
                <w:szCs w:val="18"/>
              </w:rPr>
            </w:pPr>
            <w:r>
              <w:rPr>
                <w:rFonts w:ascii="Calibri" w:hAnsi="Calibri" w:cs="Calibri"/>
                <w:color w:val="000000"/>
                <w:sz w:val="18"/>
                <w:szCs w:val="18"/>
              </w:rPr>
              <w:t> </w:t>
            </w:r>
          </w:p>
        </w:tc>
        <w:tc>
          <w:tcPr>
            <w:tcW w:w="1039" w:type="dxa"/>
            <w:tcBorders>
              <w:top w:val="nil"/>
              <w:left w:val="nil"/>
              <w:bottom w:val="single" w:sz="8" w:space="0" w:color="auto"/>
              <w:right w:val="single" w:sz="8" w:space="0" w:color="auto"/>
            </w:tcBorders>
            <w:shd w:val="clear" w:color="auto" w:fill="auto"/>
            <w:vAlign w:val="center"/>
            <w:hideMark/>
          </w:tcPr>
          <w:p w:rsidR="00E07BD8" w:rsidRPr="00DD4B39" w:rsidP="00E07BD8" w14:paraId="021318B8" w14:textId="7EF21DDA">
            <w:pPr>
              <w:jc w:val="right"/>
              <w:rPr>
                <w:rFonts w:ascii="Calibri" w:hAnsi="Calibri" w:cs="Calibri"/>
                <w:color w:val="000000"/>
                <w:sz w:val="18"/>
                <w:szCs w:val="18"/>
              </w:rPr>
            </w:pPr>
            <w:r>
              <w:rPr>
                <w:rFonts w:ascii="Calibri" w:hAnsi="Calibri" w:cs="Calibri"/>
                <w:color w:val="000000"/>
                <w:sz w:val="18"/>
                <w:szCs w:val="18"/>
              </w:rPr>
              <w:t>4.5</w:t>
            </w:r>
          </w:p>
        </w:tc>
        <w:tc>
          <w:tcPr>
            <w:tcW w:w="1039" w:type="dxa"/>
            <w:tcBorders>
              <w:top w:val="nil"/>
              <w:left w:val="nil"/>
              <w:bottom w:val="single" w:sz="8" w:space="0" w:color="auto"/>
              <w:right w:val="single" w:sz="8" w:space="0" w:color="auto"/>
            </w:tcBorders>
            <w:shd w:val="clear" w:color="auto" w:fill="auto"/>
            <w:vAlign w:val="center"/>
            <w:hideMark/>
          </w:tcPr>
          <w:p w:rsidR="00E07BD8" w:rsidRPr="00DD4B39" w:rsidP="00E07BD8" w14:paraId="31A7FDA5" w14:textId="411A2531">
            <w:pPr>
              <w:jc w:val="right"/>
              <w:rPr>
                <w:rFonts w:ascii="Calibri" w:hAnsi="Calibri" w:cs="Calibri"/>
                <w:color w:val="000000"/>
                <w:sz w:val="18"/>
                <w:szCs w:val="18"/>
              </w:rPr>
            </w:pPr>
            <w:r>
              <w:rPr>
                <w:rFonts w:ascii="Calibri" w:hAnsi="Calibri" w:cs="Calibri"/>
                <w:color w:val="000000"/>
                <w:sz w:val="18"/>
                <w:szCs w:val="18"/>
              </w:rPr>
              <w:t> </w:t>
            </w:r>
          </w:p>
        </w:tc>
        <w:tc>
          <w:tcPr>
            <w:tcW w:w="1133" w:type="dxa"/>
            <w:tcBorders>
              <w:top w:val="nil"/>
              <w:left w:val="nil"/>
              <w:bottom w:val="single" w:sz="8" w:space="0" w:color="auto"/>
              <w:right w:val="single" w:sz="8" w:space="0" w:color="auto"/>
            </w:tcBorders>
            <w:shd w:val="clear" w:color="auto" w:fill="auto"/>
            <w:vAlign w:val="center"/>
            <w:hideMark/>
          </w:tcPr>
          <w:p w:rsidR="00E07BD8" w:rsidRPr="00DD4B39" w:rsidP="00E07BD8" w14:paraId="14BA82A1" w14:textId="77777777">
            <w:pPr>
              <w:rPr>
                <w:rFonts w:ascii="Calibri" w:hAnsi="Calibri" w:cs="Calibri"/>
                <w:color w:val="000000"/>
                <w:sz w:val="18"/>
                <w:szCs w:val="18"/>
              </w:rPr>
            </w:pPr>
            <w:r w:rsidRPr="00DD4B39">
              <w:rPr>
                <w:rFonts w:ascii="Calibri" w:hAnsi="Calibri" w:cs="Calibri"/>
                <w:color w:val="000000"/>
                <w:sz w:val="18"/>
                <w:szCs w:val="18"/>
              </w:rPr>
              <w:t>New collection</w:t>
            </w:r>
          </w:p>
        </w:tc>
      </w:tr>
      <w:tr w14:paraId="628DA54C" w14:textId="77777777" w:rsidTr="00625FFD">
        <w:tblPrEx>
          <w:tblW w:w="8790" w:type="dxa"/>
          <w:tblLook w:val="04A0"/>
        </w:tblPrEx>
        <w:trPr>
          <w:trHeight w:val="690"/>
        </w:trPr>
        <w:tc>
          <w:tcPr>
            <w:tcW w:w="1345" w:type="dxa"/>
            <w:tcBorders>
              <w:top w:val="nil"/>
              <w:left w:val="single" w:sz="8" w:space="0" w:color="auto"/>
              <w:bottom w:val="single" w:sz="8" w:space="0" w:color="auto"/>
              <w:right w:val="single" w:sz="8" w:space="0" w:color="auto"/>
            </w:tcBorders>
            <w:shd w:val="clear" w:color="auto" w:fill="auto"/>
            <w:vAlign w:val="center"/>
            <w:hideMark/>
          </w:tcPr>
          <w:p w:rsidR="00E07BD8" w:rsidRPr="00DD4B39" w:rsidP="00E07BD8" w14:paraId="687EE9AC" w14:textId="77777777">
            <w:pPr>
              <w:rPr>
                <w:rFonts w:ascii="Calibri" w:hAnsi="Calibri" w:cs="Calibri"/>
                <w:color w:val="000000"/>
                <w:sz w:val="16"/>
                <w:szCs w:val="16"/>
              </w:rPr>
            </w:pPr>
            <w:r w:rsidRPr="00DD4B39">
              <w:rPr>
                <w:rFonts w:ascii="Calibri" w:hAnsi="Calibri" w:cs="Calibri"/>
                <w:color w:val="000000"/>
                <w:sz w:val="16"/>
                <w:szCs w:val="16"/>
              </w:rPr>
              <w:t xml:space="preserve">    Vessel Monitoring Plans</w:t>
            </w:r>
          </w:p>
        </w:tc>
        <w:tc>
          <w:tcPr>
            <w:tcW w:w="1032" w:type="dxa"/>
            <w:tcBorders>
              <w:top w:val="nil"/>
              <w:left w:val="nil"/>
              <w:bottom w:val="single" w:sz="8" w:space="0" w:color="auto"/>
              <w:right w:val="single" w:sz="8" w:space="0" w:color="auto"/>
            </w:tcBorders>
            <w:shd w:val="clear" w:color="auto" w:fill="auto"/>
            <w:vAlign w:val="center"/>
            <w:hideMark/>
          </w:tcPr>
          <w:p w:rsidR="00E07BD8" w:rsidRPr="00DD4B39" w:rsidP="00E07BD8" w14:paraId="67D757C1" w14:textId="231197B4">
            <w:pPr>
              <w:jc w:val="right"/>
              <w:rPr>
                <w:rFonts w:ascii="Calibri" w:hAnsi="Calibri" w:cs="Calibri"/>
                <w:color w:val="000000"/>
                <w:sz w:val="16"/>
                <w:szCs w:val="16"/>
              </w:rPr>
            </w:pPr>
            <w:r>
              <w:rPr>
                <w:rFonts w:ascii="Calibri" w:hAnsi="Calibri" w:cs="Calibri"/>
                <w:color w:val="000000"/>
                <w:sz w:val="16"/>
                <w:szCs w:val="16"/>
              </w:rPr>
              <w:t>3</w:t>
            </w:r>
          </w:p>
        </w:tc>
        <w:tc>
          <w:tcPr>
            <w:tcW w:w="1124" w:type="dxa"/>
            <w:tcBorders>
              <w:top w:val="nil"/>
              <w:left w:val="nil"/>
              <w:bottom w:val="single" w:sz="8" w:space="0" w:color="auto"/>
              <w:right w:val="single" w:sz="8" w:space="0" w:color="auto"/>
            </w:tcBorders>
            <w:shd w:val="clear" w:color="auto" w:fill="auto"/>
            <w:vAlign w:val="center"/>
            <w:hideMark/>
          </w:tcPr>
          <w:p w:rsidR="00E07BD8" w:rsidRPr="00DD4B39" w:rsidP="00E07BD8" w14:paraId="4B4E7302" w14:textId="74F59221">
            <w:pPr>
              <w:jc w:val="right"/>
              <w:rPr>
                <w:rFonts w:ascii="Calibri" w:hAnsi="Calibri" w:cs="Calibri"/>
                <w:color w:val="000000"/>
                <w:sz w:val="18"/>
                <w:szCs w:val="18"/>
              </w:rPr>
            </w:pPr>
            <w:r>
              <w:rPr>
                <w:rFonts w:ascii="Calibri" w:hAnsi="Calibri" w:cs="Calibri"/>
                <w:color w:val="000000"/>
                <w:sz w:val="18"/>
                <w:szCs w:val="18"/>
              </w:rPr>
              <w:t> </w:t>
            </w:r>
          </w:p>
        </w:tc>
        <w:tc>
          <w:tcPr>
            <w:tcW w:w="1039" w:type="dxa"/>
            <w:tcBorders>
              <w:top w:val="nil"/>
              <w:left w:val="nil"/>
              <w:bottom w:val="single" w:sz="8" w:space="0" w:color="auto"/>
              <w:right w:val="single" w:sz="8" w:space="0" w:color="auto"/>
            </w:tcBorders>
            <w:shd w:val="clear" w:color="auto" w:fill="auto"/>
            <w:vAlign w:val="center"/>
            <w:hideMark/>
          </w:tcPr>
          <w:p w:rsidR="00E07BD8" w:rsidRPr="00DD4B39" w:rsidP="00E07BD8" w14:paraId="1B9F0326" w14:textId="4D187205">
            <w:pPr>
              <w:jc w:val="right"/>
              <w:rPr>
                <w:rFonts w:ascii="Calibri" w:hAnsi="Calibri" w:cs="Calibri"/>
                <w:color w:val="000000"/>
                <w:sz w:val="16"/>
                <w:szCs w:val="16"/>
              </w:rPr>
            </w:pPr>
            <w:r>
              <w:rPr>
                <w:rFonts w:ascii="Calibri" w:hAnsi="Calibri" w:cs="Calibri"/>
                <w:color w:val="000000"/>
                <w:sz w:val="16"/>
                <w:szCs w:val="16"/>
              </w:rPr>
              <w:t>9</w:t>
            </w:r>
          </w:p>
        </w:tc>
        <w:tc>
          <w:tcPr>
            <w:tcW w:w="1039" w:type="dxa"/>
            <w:tcBorders>
              <w:top w:val="nil"/>
              <w:left w:val="nil"/>
              <w:bottom w:val="single" w:sz="8" w:space="0" w:color="auto"/>
              <w:right w:val="single" w:sz="8" w:space="0" w:color="auto"/>
            </w:tcBorders>
            <w:shd w:val="clear" w:color="auto" w:fill="auto"/>
            <w:vAlign w:val="center"/>
            <w:hideMark/>
          </w:tcPr>
          <w:p w:rsidR="00E07BD8" w:rsidRPr="00DD4B39" w:rsidP="00E07BD8" w14:paraId="3E48801A" w14:textId="283BCB47">
            <w:pPr>
              <w:jc w:val="right"/>
              <w:rPr>
                <w:rFonts w:ascii="Calibri" w:hAnsi="Calibri" w:cs="Calibri"/>
                <w:color w:val="000000"/>
                <w:sz w:val="18"/>
                <w:szCs w:val="18"/>
              </w:rPr>
            </w:pPr>
            <w:r>
              <w:rPr>
                <w:rFonts w:ascii="Calibri" w:hAnsi="Calibri" w:cs="Calibri"/>
                <w:color w:val="000000"/>
                <w:sz w:val="18"/>
                <w:szCs w:val="18"/>
              </w:rPr>
              <w:t> </w:t>
            </w:r>
          </w:p>
        </w:tc>
        <w:tc>
          <w:tcPr>
            <w:tcW w:w="1039" w:type="dxa"/>
            <w:tcBorders>
              <w:top w:val="nil"/>
              <w:left w:val="nil"/>
              <w:bottom w:val="single" w:sz="8" w:space="0" w:color="auto"/>
              <w:right w:val="single" w:sz="8" w:space="0" w:color="auto"/>
            </w:tcBorders>
            <w:shd w:val="clear" w:color="auto" w:fill="auto"/>
            <w:vAlign w:val="center"/>
            <w:hideMark/>
          </w:tcPr>
          <w:p w:rsidR="00E07BD8" w:rsidRPr="00DD4B39" w:rsidP="00E07BD8" w14:paraId="7E67413B" w14:textId="4DE7FDA3">
            <w:pPr>
              <w:jc w:val="right"/>
              <w:rPr>
                <w:rFonts w:ascii="Calibri" w:hAnsi="Calibri" w:cs="Calibri"/>
                <w:color w:val="000000"/>
                <w:sz w:val="18"/>
                <w:szCs w:val="18"/>
              </w:rPr>
            </w:pPr>
            <w:r>
              <w:rPr>
                <w:rFonts w:ascii="Calibri" w:hAnsi="Calibri" w:cs="Calibri"/>
                <w:color w:val="000000"/>
                <w:sz w:val="18"/>
                <w:szCs w:val="18"/>
              </w:rPr>
              <w:t>36</w:t>
            </w:r>
          </w:p>
        </w:tc>
        <w:tc>
          <w:tcPr>
            <w:tcW w:w="1039" w:type="dxa"/>
            <w:tcBorders>
              <w:top w:val="nil"/>
              <w:left w:val="nil"/>
              <w:bottom w:val="single" w:sz="8" w:space="0" w:color="auto"/>
              <w:right w:val="single" w:sz="8" w:space="0" w:color="auto"/>
            </w:tcBorders>
            <w:shd w:val="clear" w:color="auto" w:fill="auto"/>
            <w:vAlign w:val="center"/>
            <w:hideMark/>
          </w:tcPr>
          <w:p w:rsidR="00E07BD8" w:rsidRPr="00DD4B39" w:rsidP="00E07BD8" w14:paraId="5A3E61D4" w14:textId="1B8C3863">
            <w:pPr>
              <w:jc w:val="right"/>
              <w:rPr>
                <w:rFonts w:ascii="Calibri" w:hAnsi="Calibri" w:cs="Calibri"/>
                <w:color w:val="000000"/>
                <w:sz w:val="18"/>
                <w:szCs w:val="18"/>
              </w:rPr>
            </w:pPr>
            <w:r>
              <w:rPr>
                <w:rFonts w:ascii="Calibri" w:hAnsi="Calibri" w:cs="Calibri"/>
                <w:color w:val="000000"/>
                <w:sz w:val="18"/>
                <w:szCs w:val="18"/>
              </w:rPr>
              <w:t> </w:t>
            </w:r>
          </w:p>
        </w:tc>
        <w:tc>
          <w:tcPr>
            <w:tcW w:w="1133" w:type="dxa"/>
            <w:tcBorders>
              <w:top w:val="nil"/>
              <w:left w:val="nil"/>
              <w:bottom w:val="single" w:sz="8" w:space="0" w:color="auto"/>
              <w:right w:val="single" w:sz="8" w:space="0" w:color="auto"/>
            </w:tcBorders>
            <w:shd w:val="clear" w:color="auto" w:fill="auto"/>
            <w:vAlign w:val="center"/>
            <w:hideMark/>
          </w:tcPr>
          <w:p w:rsidR="00E07BD8" w:rsidRPr="00DD4B39" w:rsidP="00E07BD8" w14:paraId="263BE359" w14:textId="77777777">
            <w:pPr>
              <w:rPr>
                <w:rFonts w:ascii="Calibri" w:hAnsi="Calibri" w:cs="Calibri"/>
                <w:color w:val="000000"/>
                <w:sz w:val="18"/>
                <w:szCs w:val="18"/>
              </w:rPr>
            </w:pPr>
            <w:r w:rsidRPr="00DD4B39">
              <w:rPr>
                <w:rFonts w:ascii="Calibri" w:hAnsi="Calibri" w:cs="Calibri"/>
                <w:color w:val="000000"/>
                <w:sz w:val="18"/>
                <w:szCs w:val="18"/>
              </w:rPr>
              <w:t>New collection</w:t>
            </w:r>
          </w:p>
        </w:tc>
      </w:tr>
      <w:tr w14:paraId="39A6B4C5" w14:textId="77777777" w:rsidTr="00625FFD">
        <w:tblPrEx>
          <w:tblW w:w="8790" w:type="dxa"/>
          <w:tblLook w:val="04A0"/>
        </w:tblPrEx>
        <w:trPr>
          <w:trHeight w:val="915"/>
        </w:trPr>
        <w:tc>
          <w:tcPr>
            <w:tcW w:w="1345" w:type="dxa"/>
            <w:tcBorders>
              <w:top w:val="nil"/>
              <w:left w:val="single" w:sz="8" w:space="0" w:color="auto"/>
              <w:bottom w:val="single" w:sz="8" w:space="0" w:color="auto"/>
              <w:right w:val="single" w:sz="8" w:space="0" w:color="auto"/>
            </w:tcBorders>
            <w:shd w:val="clear" w:color="auto" w:fill="auto"/>
            <w:vAlign w:val="center"/>
            <w:hideMark/>
          </w:tcPr>
          <w:p w:rsidR="00E07BD8" w:rsidRPr="00DD4B39" w:rsidP="00E07BD8" w14:paraId="3154748B" w14:textId="77777777">
            <w:pPr>
              <w:rPr>
                <w:rFonts w:ascii="Calibri" w:hAnsi="Calibri" w:cs="Calibri"/>
                <w:color w:val="000000"/>
                <w:sz w:val="16"/>
                <w:szCs w:val="16"/>
              </w:rPr>
            </w:pPr>
            <w:r w:rsidRPr="00DD4B39">
              <w:rPr>
                <w:rFonts w:ascii="Calibri" w:hAnsi="Calibri" w:cs="Calibri"/>
                <w:color w:val="000000"/>
                <w:sz w:val="16"/>
                <w:szCs w:val="16"/>
              </w:rPr>
              <w:t xml:space="preserve">         Quarterly EM Review Reports</w:t>
            </w:r>
          </w:p>
        </w:tc>
        <w:tc>
          <w:tcPr>
            <w:tcW w:w="1032" w:type="dxa"/>
            <w:tcBorders>
              <w:top w:val="nil"/>
              <w:left w:val="nil"/>
              <w:bottom w:val="single" w:sz="8" w:space="0" w:color="auto"/>
              <w:right w:val="single" w:sz="8" w:space="0" w:color="auto"/>
            </w:tcBorders>
            <w:shd w:val="clear" w:color="auto" w:fill="auto"/>
            <w:vAlign w:val="center"/>
            <w:hideMark/>
          </w:tcPr>
          <w:p w:rsidR="00E07BD8" w:rsidRPr="00DD4B39" w:rsidP="00E07BD8" w14:paraId="1007D017" w14:textId="1446C8F4">
            <w:pPr>
              <w:jc w:val="right"/>
              <w:rPr>
                <w:rFonts w:ascii="Calibri" w:hAnsi="Calibri" w:cs="Calibri"/>
                <w:color w:val="000000"/>
                <w:sz w:val="16"/>
                <w:szCs w:val="16"/>
              </w:rPr>
            </w:pPr>
            <w:r>
              <w:rPr>
                <w:rFonts w:ascii="Calibri" w:hAnsi="Calibri" w:cs="Calibri"/>
                <w:color w:val="000000"/>
                <w:sz w:val="16"/>
                <w:szCs w:val="16"/>
              </w:rPr>
              <w:t>3</w:t>
            </w:r>
          </w:p>
        </w:tc>
        <w:tc>
          <w:tcPr>
            <w:tcW w:w="1124" w:type="dxa"/>
            <w:tcBorders>
              <w:top w:val="nil"/>
              <w:left w:val="nil"/>
              <w:bottom w:val="single" w:sz="8" w:space="0" w:color="auto"/>
              <w:right w:val="single" w:sz="8" w:space="0" w:color="auto"/>
            </w:tcBorders>
            <w:shd w:val="clear" w:color="auto" w:fill="auto"/>
            <w:vAlign w:val="center"/>
            <w:hideMark/>
          </w:tcPr>
          <w:p w:rsidR="00E07BD8" w:rsidRPr="00DD4B39" w:rsidP="00E07BD8" w14:paraId="16C6C2CC" w14:textId="7A97EF69">
            <w:pPr>
              <w:jc w:val="right"/>
              <w:rPr>
                <w:rFonts w:ascii="Calibri" w:hAnsi="Calibri" w:cs="Calibri"/>
                <w:color w:val="000000"/>
                <w:sz w:val="18"/>
                <w:szCs w:val="18"/>
              </w:rPr>
            </w:pPr>
            <w:r>
              <w:rPr>
                <w:rFonts w:ascii="Calibri" w:hAnsi="Calibri" w:cs="Calibri"/>
                <w:color w:val="000000"/>
                <w:sz w:val="18"/>
                <w:szCs w:val="18"/>
              </w:rPr>
              <w:t> </w:t>
            </w:r>
          </w:p>
        </w:tc>
        <w:tc>
          <w:tcPr>
            <w:tcW w:w="1039" w:type="dxa"/>
            <w:tcBorders>
              <w:top w:val="nil"/>
              <w:left w:val="nil"/>
              <w:bottom w:val="single" w:sz="8" w:space="0" w:color="auto"/>
              <w:right w:val="single" w:sz="8" w:space="0" w:color="auto"/>
            </w:tcBorders>
            <w:shd w:val="clear" w:color="auto" w:fill="auto"/>
            <w:vAlign w:val="center"/>
            <w:hideMark/>
          </w:tcPr>
          <w:p w:rsidR="00E07BD8" w:rsidRPr="00DD4B39" w:rsidP="00E07BD8" w14:paraId="622BC7AD" w14:textId="1DBCA7C4">
            <w:pPr>
              <w:jc w:val="right"/>
              <w:rPr>
                <w:rFonts w:ascii="Calibri" w:hAnsi="Calibri" w:cs="Calibri"/>
                <w:color w:val="000000"/>
                <w:sz w:val="16"/>
                <w:szCs w:val="16"/>
              </w:rPr>
            </w:pPr>
            <w:r>
              <w:rPr>
                <w:rFonts w:ascii="Calibri" w:hAnsi="Calibri" w:cs="Calibri"/>
                <w:color w:val="000000"/>
                <w:sz w:val="16"/>
                <w:szCs w:val="16"/>
              </w:rPr>
              <w:t>12</w:t>
            </w:r>
          </w:p>
        </w:tc>
        <w:tc>
          <w:tcPr>
            <w:tcW w:w="1039" w:type="dxa"/>
            <w:tcBorders>
              <w:top w:val="nil"/>
              <w:left w:val="nil"/>
              <w:bottom w:val="single" w:sz="8" w:space="0" w:color="auto"/>
              <w:right w:val="single" w:sz="8" w:space="0" w:color="auto"/>
            </w:tcBorders>
            <w:shd w:val="clear" w:color="auto" w:fill="auto"/>
            <w:vAlign w:val="center"/>
            <w:hideMark/>
          </w:tcPr>
          <w:p w:rsidR="00E07BD8" w:rsidRPr="00DD4B39" w:rsidP="00E07BD8" w14:paraId="44982132" w14:textId="74EB49C4">
            <w:pPr>
              <w:jc w:val="right"/>
              <w:rPr>
                <w:rFonts w:ascii="Calibri" w:hAnsi="Calibri" w:cs="Calibri"/>
                <w:color w:val="000000"/>
                <w:sz w:val="18"/>
                <w:szCs w:val="18"/>
              </w:rPr>
            </w:pPr>
            <w:r>
              <w:rPr>
                <w:rFonts w:ascii="Calibri" w:hAnsi="Calibri" w:cs="Calibri"/>
                <w:color w:val="000000"/>
                <w:sz w:val="18"/>
                <w:szCs w:val="18"/>
              </w:rPr>
              <w:t> </w:t>
            </w:r>
          </w:p>
        </w:tc>
        <w:tc>
          <w:tcPr>
            <w:tcW w:w="1039" w:type="dxa"/>
            <w:tcBorders>
              <w:top w:val="nil"/>
              <w:left w:val="nil"/>
              <w:bottom w:val="single" w:sz="8" w:space="0" w:color="auto"/>
              <w:right w:val="single" w:sz="8" w:space="0" w:color="auto"/>
            </w:tcBorders>
            <w:shd w:val="clear" w:color="auto" w:fill="auto"/>
            <w:vAlign w:val="center"/>
            <w:hideMark/>
          </w:tcPr>
          <w:p w:rsidR="00E07BD8" w:rsidRPr="00DD4B39" w:rsidP="00E07BD8" w14:paraId="1B3E63D7" w14:textId="0C92E8CC">
            <w:pPr>
              <w:jc w:val="right"/>
              <w:rPr>
                <w:rFonts w:ascii="Calibri" w:hAnsi="Calibri" w:cs="Calibri"/>
                <w:color w:val="000000"/>
                <w:sz w:val="18"/>
                <w:szCs w:val="18"/>
              </w:rPr>
            </w:pPr>
            <w:r>
              <w:rPr>
                <w:rFonts w:ascii="Calibri" w:hAnsi="Calibri" w:cs="Calibri"/>
                <w:color w:val="000000"/>
                <w:sz w:val="18"/>
                <w:szCs w:val="18"/>
              </w:rPr>
              <w:t>480</w:t>
            </w:r>
          </w:p>
        </w:tc>
        <w:tc>
          <w:tcPr>
            <w:tcW w:w="1039" w:type="dxa"/>
            <w:tcBorders>
              <w:top w:val="nil"/>
              <w:left w:val="nil"/>
              <w:bottom w:val="single" w:sz="8" w:space="0" w:color="auto"/>
              <w:right w:val="single" w:sz="8" w:space="0" w:color="auto"/>
            </w:tcBorders>
            <w:shd w:val="clear" w:color="auto" w:fill="auto"/>
            <w:vAlign w:val="center"/>
            <w:hideMark/>
          </w:tcPr>
          <w:p w:rsidR="00E07BD8" w:rsidRPr="00DD4B39" w:rsidP="00E07BD8" w14:paraId="4388FF6E" w14:textId="394DFD5C">
            <w:pPr>
              <w:jc w:val="right"/>
              <w:rPr>
                <w:rFonts w:ascii="Calibri" w:hAnsi="Calibri" w:cs="Calibri"/>
                <w:color w:val="000000"/>
                <w:sz w:val="18"/>
                <w:szCs w:val="18"/>
              </w:rPr>
            </w:pPr>
            <w:r>
              <w:rPr>
                <w:rFonts w:ascii="Calibri" w:hAnsi="Calibri" w:cs="Calibri"/>
                <w:color w:val="000000"/>
                <w:sz w:val="18"/>
                <w:szCs w:val="18"/>
              </w:rPr>
              <w:t> </w:t>
            </w:r>
          </w:p>
        </w:tc>
        <w:tc>
          <w:tcPr>
            <w:tcW w:w="1133" w:type="dxa"/>
            <w:tcBorders>
              <w:top w:val="nil"/>
              <w:left w:val="nil"/>
              <w:bottom w:val="single" w:sz="8" w:space="0" w:color="auto"/>
              <w:right w:val="single" w:sz="8" w:space="0" w:color="auto"/>
            </w:tcBorders>
            <w:shd w:val="clear" w:color="auto" w:fill="auto"/>
            <w:vAlign w:val="center"/>
            <w:hideMark/>
          </w:tcPr>
          <w:p w:rsidR="00E07BD8" w:rsidRPr="00DD4B39" w:rsidP="00E07BD8" w14:paraId="79BBEE02" w14:textId="77777777">
            <w:pPr>
              <w:rPr>
                <w:rFonts w:ascii="Calibri" w:hAnsi="Calibri" w:cs="Calibri"/>
                <w:color w:val="000000"/>
                <w:sz w:val="18"/>
                <w:szCs w:val="18"/>
              </w:rPr>
            </w:pPr>
            <w:r w:rsidRPr="00DD4B39">
              <w:rPr>
                <w:rFonts w:ascii="Calibri" w:hAnsi="Calibri" w:cs="Calibri"/>
                <w:color w:val="000000"/>
                <w:sz w:val="18"/>
                <w:szCs w:val="18"/>
              </w:rPr>
              <w:t>New collection</w:t>
            </w:r>
          </w:p>
        </w:tc>
      </w:tr>
      <w:tr w14:paraId="20798881" w14:textId="77777777" w:rsidTr="00625FFD">
        <w:tblPrEx>
          <w:tblW w:w="8790" w:type="dxa"/>
          <w:tblLook w:val="04A0"/>
        </w:tblPrEx>
        <w:trPr>
          <w:trHeight w:val="690"/>
        </w:trPr>
        <w:tc>
          <w:tcPr>
            <w:tcW w:w="1345" w:type="dxa"/>
            <w:tcBorders>
              <w:top w:val="nil"/>
              <w:left w:val="single" w:sz="8" w:space="0" w:color="auto"/>
              <w:bottom w:val="single" w:sz="8" w:space="0" w:color="auto"/>
              <w:right w:val="single" w:sz="8" w:space="0" w:color="auto"/>
            </w:tcBorders>
            <w:shd w:val="clear" w:color="auto" w:fill="auto"/>
            <w:vAlign w:val="center"/>
            <w:hideMark/>
          </w:tcPr>
          <w:p w:rsidR="00E07BD8" w:rsidRPr="00DD4B39" w:rsidP="00E07BD8" w14:paraId="4B71AEBA" w14:textId="77777777">
            <w:pPr>
              <w:rPr>
                <w:rFonts w:ascii="Calibri" w:hAnsi="Calibri" w:cs="Calibri"/>
                <w:color w:val="000000"/>
                <w:sz w:val="16"/>
                <w:szCs w:val="16"/>
              </w:rPr>
            </w:pPr>
            <w:r w:rsidRPr="00DD4B39">
              <w:rPr>
                <w:rFonts w:ascii="Calibri" w:hAnsi="Calibri" w:cs="Calibri"/>
                <w:color w:val="000000"/>
                <w:sz w:val="16"/>
                <w:szCs w:val="16"/>
              </w:rPr>
              <w:t xml:space="preserve">         Technical Assistance </w:t>
            </w:r>
          </w:p>
        </w:tc>
        <w:tc>
          <w:tcPr>
            <w:tcW w:w="1032" w:type="dxa"/>
            <w:tcBorders>
              <w:top w:val="nil"/>
              <w:left w:val="nil"/>
              <w:bottom w:val="single" w:sz="8" w:space="0" w:color="auto"/>
              <w:right w:val="single" w:sz="8" w:space="0" w:color="auto"/>
            </w:tcBorders>
            <w:shd w:val="clear" w:color="auto" w:fill="auto"/>
            <w:vAlign w:val="center"/>
            <w:hideMark/>
          </w:tcPr>
          <w:p w:rsidR="00E07BD8" w:rsidRPr="00DD4B39" w:rsidP="00E07BD8" w14:paraId="6348E225" w14:textId="7FFD74CE">
            <w:pPr>
              <w:jc w:val="right"/>
              <w:rPr>
                <w:rFonts w:ascii="Calibri" w:hAnsi="Calibri" w:cs="Calibri"/>
                <w:color w:val="000000"/>
                <w:sz w:val="16"/>
                <w:szCs w:val="16"/>
              </w:rPr>
            </w:pPr>
            <w:r>
              <w:rPr>
                <w:rFonts w:ascii="Calibri" w:hAnsi="Calibri" w:cs="Calibri"/>
                <w:color w:val="000000"/>
                <w:sz w:val="16"/>
                <w:szCs w:val="16"/>
              </w:rPr>
              <w:t>3</w:t>
            </w:r>
          </w:p>
        </w:tc>
        <w:tc>
          <w:tcPr>
            <w:tcW w:w="1124" w:type="dxa"/>
            <w:tcBorders>
              <w:top w:val="nil"/>
              <w:left w:val="nil"/>
              <w:bottom w:val="single" w:sz="8" w:space="0" w:color="auto"/>
              <w:right w:val="single" w:sz="8" w:space="0" w:color="auto"/>
            </w:tcBorders>
            <w:shd w:val="clear" w:color="auto" w:fill="auto"/>
            <w:vAlign w:val="center"/>
            <w:hideMark/>
          </w:tcPr>
          <w:p w:rsidR="00E07BD8" w:rsidRPr="00DD4B39" w:rsidP="00E07BD8" w14:paraId="7E1897B4" w14:textId="39770BF5">
            <w:pPr>
              <w:jc w:val="right"/>
              <w:rPr>
                <w:rFonts w:ascii="Calibri" w:hAnsi="Calibri" w:cs="Calibri"/>
                <w:color w:val="000000"/>
                <w:sz w:val="18"/>
                <w:szCs w:val="18"/>
              </w:rPr>
            </w:pPr>
            <w:r>
              <w:rPr>
                <w:rFonts w:ascii="Calibri" w:hAnsi="Calibri" w:cs="Calibri"/>
                <w:color w:val="000000"/>
                <w:sz w:val="18"/>
                <w:szCs w:val="18"/>
              </w:rPr>
              <w:t> </w:t>
            </w:r>
          </w:p>
        </w:tc>
        <w:tc>
          <w:tcPr>
            <w:tcW w:w="1039" w:type="dxa"/>
            <w:tcBorders>
              <w:top w:val="nil"/>
              <w:left w:val="nil"/>
              <w:bottom w:val="single" w:sz="8" w:space="0" w:color="auto"/>
              <w:right w:val="single" w:sz="8" w:space="0" w:color="auto"/>
            </w:tcBorders>
            <w:shd w:val="clear" w:color="auto" w:fill="auto"/>
            <w:vAlign w:val="center"/>
            <w:hideMark/>
          </w:tcPr>
          <w:p w:rsidR="00E07BD8" w:rsidRPr="00DD4B39" w:rsidP="00E07BD8" w14:paraId="1080D4AC" w14:textId="70E4951F">
            <w:pPr>
              <w:jc w:val="right"/>
              <w:rPr>
                <w:rFonts w:ascii="Calibri" w:hAnsi="Calibri" w:cs="Calibri"/>
                <w:color w:val="000000"/>
                <w:sz w:val="16"/>
                <w:szCs w:val="16"/>
              </w:rPr>
            </w:pPr>
            <w:r>
              <w:rPr>
                <w:rFonts w:ascii="Calibri" w:hAnsi="Calibri" w:cs="Calibri"/>
                <w:color w:val="000000"/>
                <w:sz w:val="16"/>
                <w:szCs w:val="16"/>
              </w:rPr>
              <w:t>30</w:t>
            </w:r>
          </w:p>
        </w:tc>
        <w:tc>
          <w:tcPr>
            <w:tcW w:w="1039" w:type="dxa"/>
            <w:tcBorders>
              <w:top w:val="nil"/>
              <w:left w:val="nil"/>
              <w:bottom w:val="single" w:sz="8" w:space="0" w:color="auto"/>
              <w:right w:val="single" w:sz="8" w:space="0" w:color="auto"/>
            </w:tcBorders>
            <w:shd w:val="clear" w:color="auto" w:fill="auto"/>
            <w:vAlign w:val="center"/>
            <w:hideMark/>
          </w:tcPr>
          <w:p w:rsidR="00E07BD8" w:rsidRPr="00DD4B39" w:rsidP="00E07BD8" w14:paraId="396B7CC3" w14:textId="0ABB4A76">
            <w:pPr>
              <w:jc w:val="right"/>
              <w:rPr>
                <w:rFonts w:ascii="Calibri" w:hAnsi="Calibri" w:cs="Calibri"/>
                <w:color w:val="000000"/>
                <w:sz w:val="18"/>
                <w:szCs w:val="18"/>
              </w:rPr>
            </w:pPr>
            <w:r>
              <w:rPr>
                <w:rFonts w:ascii="Calibri" w:hAnsi="Calibri" w:cs="Calibri"/>
                <w:color w:val="000000"/>
                <w:sz w:val="18"/>
                <w:szCs w:val="18"/>
              </w:rPr>
              <w:t> </w:t>
            </w:r>
          </w:p>
        </w:tc>
        <w:tc>
          <w:tcPr>
            <w:tcW w:w="1039" w:type="dxa"/>
            <w:tcBorders>
              <w:top w:val="nil"/>
              <w:left w:val="nil"/>
              <w:bottom w:val="single" w:sz="8" w:space="0" w:color="auto"/>
              <w:right w:val="single" w:sz="8" w:space="0" w:color="auto"/>
            </w:tcBorders>
            <w:shd w:val="clear" w:color="auto" w:fill="auto"/>
            <w:vAlign w:val="center"/>
            <w:hideMark/>
          </w:tcPr>
          <w:p w:rsidR="00E07BD8" w:rsidRPr="00DD4B39" w:rsidP="00E07BD8" w14:paraId="6B9E1A1B" w14:textId="55AD8326">
            <w:pPr>
              <w:jc w:val="right"/>
              <w:rPr>
                <w:rFonts w:ascii="Calibri" w:hAnsi="Calibri" w:cs="Calibri"/>
                <w:color w:val="000000"/>
                <w:sz w:val="18"/>
                <w:szCs w:val="18"/>
              </w:rPr>
            </w:pPr>
            <w:r>
              <w:rPr>
                <w:rFonts w:ascii="Calibri" w:hAnsi="Calibri" w:cs="Calibri"/>
                <w:color w:val="000000"/>
                <w:sz w:val="18"/>
                <w:szCs w:val="18"/>
              </w:rPr>
              <w:t>9.9</w:t>
            </w:r>
          </w:p>
        </w:tc>
        <w:tc>
          <w:tcPr>
            <w:tcW w:w="1039" w:type="dxa"/>
            <w:tcBorders>
              <w:top w:val="nil"/>
              <w:left w:val="nil"/>
              <w:bottom w:val="single" w:sz="8" w:space="0" w:color="auto"/>
              <w:right w:val="single" w:sz="8" w:space="0" w:color="auto"/>
            </w:tcBorders>
            <w:shd w:val="clear" w:color="auto" w:fill="auto"/>
            <w:vAlign w:val="center"/>
            <w:hideMark/>
          </w:tcPr>
          <w:p w:rsidR="00E07BD8" w:rsidRPr="00DD4B39" w:rsidP="00E07BD8" w14:paraId="2B5C72C6" w14:textId="5E538D2D">
            <w:pPr>
              <w:jc w:val="right"/>
              <w:rPr>
                <w:rFonts w:ascii="Calibri" w:hAnsi="Calibri" w:cs="Calibri"/>
                <w:color w:val="000000"/>
                <w:sz w:val="18"/>
                <w:szCs w:val="18"/>
              </w:rPr>
            </w:pPr>
            <w:r>
              <w:rPr>
                <w:rFonts w:ascii="Calibri" w:hAnsi="Calibri" w:cs="Calibri"/>
                <w:color w:val="000000"/>
                <w:sz w:val="18"/>
                <w:szCs w:val="18"/>
              </w:rPr>
              <w:t> </w:t>
            </w:r>
          </w:p>
        </w:tc>
        <w:tc>
          <w:tcPr>
            <w:tcW w:w="1133" w:type="dxa"/>
            <w:tcBorders>
              <w:top w:val="nil"/>
              <w:left w:val="nil"/>
              <w:bottom w:val="single" w:sz="8" w:space="0" w:color="auto"/>
              <w:right w:val="single" w:sz="8" w:space="0" w:color="auto"/>
            </w:tcBorders>
            <w:shd w:val="clear" w:color="auto" w:fill="auto"/>
            <w:vAlign w:val="center"/>
            <w:hideMark/>
          </w:tcPr>
          <w:p w:rsidR="00E07BD8" w:rsidRPr="00DD4B39" w:rsidP="00E07BD8" w14:paraId="14ABDE3D" w14:textId="77777777">
            <w:pPr>
              <w:rPr>
                <w:rFonts w:ascii="Calibri" w:hAnsi="Calibri" w:cs="Calibri"/>
                <w:color w:val="000000"/>
                <w:sz w:val="18"/>
                <w:szCs w:val="18"/>
              </w:rPr>
            </w:pPr>
            <w:r w:rsidRPr="00DD4B39">
              <w:rPr>
                <w:rFonts w:ascii="Calibri" w:hAnsi="Calibri" w:cs="Calibri"/>
                <w:color w:val="000000"/>
                <w:sz w:val="18"/>
                <w:szCs w:val="18"/>
              </w:rPr>
              <w:t>New collection</w:t>
            </w:r>
          </w:p>
        </w:tc>
      </w:tr>
      <w:tr w14:paraId="6A37551E" w14:textId="77777777" w:rsidTr="00625FFD">
        <w:tblPrEx>
          <w:tblW w:w="8790" w:type="dxa"/>
          <w:tblLook w:val="04A0"/>
        </w:tblPrEx>
        <w:trPr>
          <w:trHeight w:val="690"/>
        </w:trPr>
        <w:tc>
          <w:tcPr>
            <w:tcW w:w="1345" w:type="dxa"/>
            <w:tcBorders>
              <w:top w:val="nil"/>
              <w:left w:val="single" w:sz="8" w:space="0" w:color="auto"/>
              <w:bottom w:val="single" w:sz="8" w:space="0" w:color="auto"/>
              <w:right w:val="single" w:sz="8" w:space="0" w:color="auto"/>
            </w:tcBorders>
            <w:shd w:val="clear" w:color="auto" w:fill="auto"/>
            <w:vAlign w:val="center"/>
            <w:hideMark/>
          </w:tcPr>
          <w:p w:rsidR="00E07BD8" w:rsidRPr="00DD4B39" w:rsidP="00E07BD8" w14:paraId="71767522" w14:textId="77777777">
            <w:pPr>
              <w:rPr>
                <w:rFonts w:ascii="Calibri" w:hAnsi="Calibri" w:cs="Calibri"/>
                <w:color w:val="000000"/>
                <w:sz w:val="16"/>
                <w:szCs w:val="16"/>
              </w:rPr>
            </w:pPr>
            <w:r w:rsidRPr="00DD4B39">
              <w:rPr>
                <w:rFonts w:ascii="Calibri" w:hAnsi="Calibri" w:cs="Calibri"/>
                <w:color w:val="000000"/>
                <w:sz w:val="16"/>
                <w:szCs w:val="16"/>
              </w:rPr>
              <w:t xml:space="preserve">         Non-compliance Reports</w:t>
            </w:r>
          </w:p>
        </w:tc>
        <w:tc>
          <w:tcPr>
            <w:tcW w:w="1032" w:type="dxa"/>
            <w:tcBorders>
              <w:top w:val="nil"/>
              <w:left w:val="nil"/>
              <w:bottom w:val="single" w:sz="8" w:space="0" w:color="auto"/>
              <w:right w:val="single" w:sz="8" w:space="0" w:color="auto"/>
            </w:tcBorders>
            <w:shd w:val="clear" w:color="auto" w:fill="auto"/>
            <w:vAlign w:val="center"/>
            <w:hideMark/>
          </w:tcPr>
          <w:p w:rsidR="00E07BD8" w:rsidRPr="00DD4B39" w:rsidP="00E07BD8" w14:paraId="68788300" w14:textId="465BE5DE">
            <w:pPr>
              <w:jc w:val="right"/>
              <w:rPr>
                <w:rFonts w:ascii="Calibri" w:hAnsi="Calibri" w:cs="Calibri"/>
                <w:color w:val="000000"/>
                <w:sz w:val="16"/>
                <w:szCs w:val="16"/>
              </w:rPr>
            </w:pPr>
            <w:r>
              <w:rPr>
                <w:rFonts w:ascii="Calibri" w:hAnsi="Calibri" w:cs="Calibri"/>
                <w:color w:val="000000"/>
                <w:sz w:val="16"/>
                <w:szCs w:val="16"/>
              </w:rPr>
              <w:t>3</w:t>
            </w:r>
          </w:p>
        </w:tc>
        <w:tc>
          <w:tcPr>
            <w:tcW w:w="1124" w:type="dxa"/>
            <w:tcBorders>
              <w:top w:val="nil"/>
              <w:left w:val="nil"/>
              <w:bottom w:val="single" w:sz="8" w:space="0" w:color="auto"/>
              <w:right w:val="single" w:sz="8" w:space="0" w:color="auto"/>
            </w:tcBorders>
            <w:shd w:val="clear" w:color="auto" w:fill="auto"/>
            <w:vAlign w:val="center"/>
            <w:hideMark/>
          </w:tcPr>
          <w:p w:rsidR="00E07BD8" w:rsidRPr="00DD4B39" w:rsidP="00E07BD8" w14:paraId="72467555" w14:textId="4E8E4C6A">
            <w:pPr>
              <w:jc w:val="right"/>
              <w:rPr>
                <w:rFonts w:ascii="Calibri" w:hAnsi="Calibri" w:cs="Calibri"/>
                <w:color w:val="000000"/>
                <w:sz w:val="18"/>
                <w:szCs w:val="18"/>
              </w:rPr>
            </w:pPr>
            <w:r>
              <w:rPr>
                <w:rFonts w:ascii="Calibri" w:hAnsi="Calibri" w:cs="Calibri"/>
                <w:color w:val="000000"/>
                <w:sz w:val="18"/>
                <w:szCs w:val="18"/>
              </w:rPr>
              <w:t> </w:t>
            </w:r>
          </w:p>
        </w:tc>
        <w:tc>
          <w:tcPr>
            <w:tcW w:w="1039" w:type="dxa"/>
            <w:tcBorders>
              <w:top w:val="nil"/>
              <w:left w:val="nil"/>
              <w:bottom w:val="single" w:sz="8" w:space="0" w:color="auto"/>
              <w:right w:val="single" w:sz="8" w:space="0" w:color="auto"/>
            </w:tcBorders>
            <w:shd w:val="clear" w:color="auto" w:fill="auto"/>
            <w:vAlign w:val="center"/>
            <w:hideMark/>
          </w:tcPr>
          <w:p w:rsidR="00E07BD8" w:rsidRPr="00DD4B39" w:rsidP="00E07BD8" w14:paraId="14103205" w14:textId="1F8554B9">
            <w:pPr>
              <w:jc w:val="right"/>
              <w:rPr>
                <w:rFonts w:ascii="Calibri" w:hAnsi="Calibri" w:cs="Calibri"/>
                <w:color w:val="000000"/>
                <w:sz w:val="16"/>
                <w:szCs w:val="16"/>
              </w:rPr>
            </w:pPr>
            <w:r>
              <w:rPr>
                <w:rFonts w:ascii="Calibri" w:hAnsi="Calibri" w:cs="Calibri"/>
                <w:color w:val="000000"/>
                <w:sz w:val="16"/>
                <w:szCs w:val="16"/>
              </w:rPr>
              <w:t>30</w:t>
            </w:r>
          </w:p>
        </w:tc>
        <w:tc>
          <w:tcPr>
            <w:tcW w:w="1039" w:type="dxa"/>
            <w:tcBorders>
              <w:top w:val="nil"/>
              <w:left w:val="nil"/>
              <w:bottom w:val="single" w:sz="8" w:space="0" w:color="auto"/>
              <w:right w:val="single" w:sz="8" w:space="0" w:color="auto"/>
            </w:tcBorders>
            <w:shd w:val="clear" w:color="auto" w:fill="auto"/>
            <w:vAlign w:val="center"/>
            <w:hideMark/>
          </w:tcPr>
          <w:p w:rsidR="00E07BD8" w:rsidRPr="00DD4B39" w:rsidP="00E07BD8" w14:paraId="4C5BB246" w14:textId="2A3C4981">
            <w:pPr>
              <w:jc w:val="right"/>
              <w:rPr>
                <w:rFonts w:ascii="Calibri" w:hAnsi="Calibri" w:cs="Calibri"/>
                <w:color w:val="000000"/>
                <w:sz w:val="18"/>
                <w:szCs w:val="18"/>
              </w:rPr>
            </w:pPr>
            <w:r>
              <w:rPr>
                <w:rFonts w:ascii="Calibri" w:hAnsi="Calibri" w:cs="Calibri"/>
                <w:color w:val="000000"/>
                <w:sz w:val="18"/>
                <w:szCs w:val="18"/>
              </w:rPr>
              <w:t> </w:t>
            </w:r>
          </w:p>
        </w:tc>
        <w:tc>
          <w:tcPr>
            <w:tcW w:w="1039" w:type="dxa"/>
            <w:tcBorders>
              <w:top w:val="nil"/>
              <w:left w:val="nil"/>
              <w:bottom w:val="single" w:sz="8" w:space="0" w:color="auto"/>
              <w:right w:val="single" w:sz="8" w:space="0" w:color="auto"/>
            </w:tcBorders>
            <w:shd w:val="clear" w:color="auto" w:fill="auto"/>
            <w:vAlign w:val="center"/>
            <w:hideMark/>
          </w:tcPr>
          <w:p w:rsidR="00E07BD8" w:rsidRPr="00DD4B39" w:rsidP="00E07BD8" w14:paraId="74D2F3B4" w14:textId="51B574BA">
            <w:pPr>
              <w:jc w:val="right"/>
              <w:rPr>
                <w:rFonts w:ascii="Calibri" w:hAnsi="Calibri" w:cs="Calibri"/>
                <w:color w:val="000000"/>
                <w:sz w:val="18"/>
                <w:szCs w:val="18"/>
              </w:rPr>
            </w:pPr>
            <w:r>
              <w:rPr>
                <w:rFonts w:ascii="Calibri" w:hAnsi="Calibri" w:cs="Calibri"/>
                <w:color w:val="000000"/>
                <w:sz w:val="18"/>
                <w:szCs w:val="18"/>
              </w:rPr>
              <w:t>9.9</w:t>
            </w:r>
          </w:p>
        </w:tc>
        <w:tc>
          <w:tcPr>
            <w:tcW w:w="1039" w:type="dxa"/>
            <w:tcBorders>
              <w:top w:val="nil"/>
              <w:left w:val="nil"/>
              <w:bottom w:val="single" w:sz="8" w:space="0" w:color="auto"/>
              <w:right w:val="single" w:sz="8" w:space="0" w:color="auto"/>
            </w:tcBorders>
            <w:shd w:val="clear" w:color="auto" w:fill="auto"/>
            <w:vAlign w:val="center"/>
            <w:hideMark/>
          </w:tcPr>
          <w:p w:rsidR="00E07BD8" w:rsidRPr="00DD4B39" w:rsidP="00E07BD8" w14:paraId="5BDC3D25" w14:textId="5ADC009E">
            <w:pPr>
              <w:jc w:val="right"/>
              <w:rPr>
                <w:rFonts w:ascii="Calibri" w:hAnsi="Calibri" w:cs="Calibri"/>
                <w:color w:val="000000"/>
                <w:sz w:val="18"/>
                <w:szCs w:val="18"/>
              </w:rPr>
            </w:pPr>
            <w:r>
              <w:rPr>
                <w:rFonts w:ascii="Calibri" w:hAnsi="Calibri" w:cs="Calibri"/>
                <w:color w:val="000000"/>
                <w:sz w:val="18"/>
                <w:szCs w:val="18"/>
              </w:rPr>
              <w:t> </w:t>
            </w:r>
          </w:p>
        </w:tc>
        <w:tc>
          <w:tcPr>
            <w:tcW w:w="1133" w:type="dxa"/>
            <w:tcBorders>
              <w:top w:val="nil"/>
              <w:left w:val="nil"/>
              <w:bottom w:val="single" w:sz="8" w:space="0" w:color="auto"/>
              <w:right w:val="single" w:sz="8" w:space="0" w:color="auto"/>
            </w:tcBorders>
            <w:shd w:val="clear" w:color="auto" w:fill="auto"/>
            <w:vAlign w:val="center"/>
            <w:hideMark/>
          </w:tcPr>
          <w:p w:rsidR="00E07BD8" w:rsidRPr="00DD4B39" w:rsidP="00E07BD8" w14:paraId="2B229EEB" w14:textId="77777777">
            <w:pPr>
              <w:rPr>
                <w:rFonts w:ascii="Calibri" w:hAnsi="Calibri" w:cs="Calibri"/>
                <w:color w:val="000000"/>
                <w:sz w:val="18"/>
                <w:szCs w:val="18"/>
              </w:rPr>
            </w:pPr>
            <w:r w:rsidRPr="00DD4B39">
              <w:rPr>
                <w:rFonts w:ascii="Calibri" w:hAnsi="Calibri" w:cs="Calibri"/>
                <w:color w:val="000000"/>
                <w:sz w:val="18"/>
                <w:szCs w:val="18"/>
              </w:rPr>
              <w:t>New collection</w:t>
            </w:r>
          </w:p>
        </w:tc>
      </w:tr>
      <w:tr w14:paraId="3DB7E7D3" w14:textId="77777777" w:rsidTr="00625FFD">
        <w:tblPrEx>
          <w:tblW w:w="8790" w:type="dxa"/>
          <w:tblLook w:val="04A0"/>
        </w:tblPrEx>
        <w:trPr>
          <w:trHeight w:val="495"/>
        </w:trPr>
        <w:tc>
          <w:tcPr>
            <w:tcW w:w="1345" w:type="dxa"/>
            <w:tcBorders>
              <w:top w:val="nil"/>
              <w:left w:val="single" w:sz="8" w:space="0" w:color="auto"/>
              <w:bottom w:val="single" w:sz="8" w:space="0" w:color="auto"/>
              <w:right w:val="single" w:sz="8" w:space="0" w:color="auto"/>
            </w:tcBorders>
            <w:shd w:val="clear" w:color="auto" w:fill="auto"/>
            <w:vAlign w:val="center"/>
            <w:hideMark/>
          </w:tcPr>
          <w:p w:rsidR="00E07BD8" w:rsidRPr="00DD4B39" w:rsidP="00E07BD8" w14:paraId="67C93F21" w14:textId="77777777">
            <w:pPr>
              <w:rPr>
                <w:rFonts w:ascii="Calibri" w:hAnsi="Calibri" w:cs="Calibri"/>
                <w:color w:val="000000"/>
                <w:sz w:val="16"/>
                <w:szCs w:val="16"/>
              </w:rPr>
            </w:pPr>
            <w:r w:rsidRPr="00DD4B39">
              <w:rPr>
                <w:rFonts w:ascii="Calibri" w:hAnsi="Calibri" w:cs="Calibri"/>
                <w:color w:val="000000"/>
                <w:sz w:val="16"/>
                <w:szCs w:val="16"/>
              </w:rPr>
              <w:t xml:space="preserve">         Data Storage</w:t>
            </w:r>
          </w:p>
        </w:tc>
        <w:tc>
          <w:tcPr>
            <w:tcW w:w="1032" w:type="dxa"/>
            <w:tcBorders>
              <w:top w:val="nil"/>
              <w:left w:val="nil"/>
              <w:bottom w:val="single" w:sz="8" w:space="0" w:color="auto"/>
              <w:right w:val="single" w:sz="8" w:space="0" w:color="auto"/>
            </w:tcBorders>
            <w:shd w:val="clear" w:color="auto" w:fill="auto"/>
            <w:vAlign w:val="center"/>
            <w:hideMark/>
          </w:tcPr>
          <w:p w:rsidR="00E07BD8" w:rsidRPr="00DD4B39" w:rsidP="00E07BD8" w14:paraId="2E87D006" w14:textId="4510A090">
            <w:pPr>
              <w:jc w:val="right"/>
              <w:rPr>
                <w:rFonts w:ascii="Calibri" w:hAnsi="Calibri" w:cs="Calibri"/>
                <w:color w:val="000000"/>
                <w:sz w:val="16"/>
                <w:szCs w:val="16"/>
              </w:rPr>
            </w:pPr>
            <w:r>
              <w:rPr>
                <w:rFonts w:ascii="Calibri" w:hAnsi="Calibri" w:cs="Calibri"/>
                <w:color w:val="000000"/>
                <w:sz w:val="16"/>
                <w:szCs w:val="16"/>
              </w:rPr>
              <w:t>3</w:t>
            </w:r>
          </w:p>
        </w:tc>
        <w:tc>
          <w:tcPr>
            <w:tcW w:w="1124" w:type="dxa"/>
            <w:tcBorders>
              <w:top w:val="nil"/>
              <w:left w:val="nil"/>
              <w:bottom w:val="single" w:sz="8" w:space="0" w:color="auto"/>
              <w:right w:val="single" w:sz="8" w:space="0" w:color="auto"/>
            </w:tcBorders>
            <w:shd w:val="clear" w:color="auto" w:fill="auto"/>
            <w:vAlign w:val="center"/>
            <w:hideMark/>
          </w:tcPr>
          <w:p w:rsidR="00E07BD8" w:rsidRPr="00DD4B39" w:rsidP="00E07BD8" w14:paraId="2B443366" w14:textId="29EC951F">
            <w:pPr>
              <w:jc w:val="right"/>
              <w:rPr>
                <w:rFonts w:ascii="Calibri" w:hAnsi="Calibri" w:cs="Calibri"/>
                <w:color w:val="000000"/>
                <w:sz w:val="18"/>
                <w:szCs w:val="18"/>
              </w:rPr>
            </w:pPr>
            <w:r>
              <w:rPr>
                <w:rFonts w:ascii="Calibri" w:hAnsi="Calibri" w:cs="Calibri"/>
                <w:color w:val="000000"/>
                <w:sz w:val="18"/>
                <w:szCs w:val="18"/>
              </w:rPr>
              <w:t> </w:t>
            </w:r>
          </w:p>
        </w:tc>
        <w:tc>
          <w:tcPr>
            <w:tcW w:w="1039" w:type="dxa"/>
            <w:tcBorders>
              <w:top w:val="nil"/>
              <w:left w:val="nil"/>
              <w:bottom w:val="single" w:sz="8" w:space="0" w:color="auto"/>
              <w:right w:val="single" w:sz="8" w:space="0" w:color="auto"/>
            </w:tcBorders>
            <w:shd w:val="clear" w:color="auto" w:fill="auto"/>
            <w:vAlign w:val="center"/>
            <w:hideMark/>
          </w:tcPr>
          <w:p w:rsidR="00E07BD8" w:rsidRPr="00DD4B39" w:rsidP="00E07BD8" w14:paraId="727492E3" w14:textId="534F1E38">
            <w:pPr>
              <w:jc w:val="right"/>
              <w:rPr>
                <w:rFonts w:ascii="Calibri" w:hAnsi="Calibri" w:cs="Calibri"/>
                <w:color w:val="000000"/>
                <w:sz w:val="16"/>
                <w:szCs w:val="16"/>
              </w:rPr>
            </w:pPr>
            <w:r>
              <w:rPr>
                <w:rFonts w:ascii="Calibri" w:hAnsi="Calibri" w:cs="Calibri"/>
                <w:color w:val="000000"/>
                <w:sz w:val="16"/>
                <w:szCs w:val="16"/>
              </w:rPr>
              <w:t>60</w:t>
            </w:r>
          </w:p>
        </w:tc>
        <w:tc>
          <w:tcPr>
            <w:tcW w:w="1039" w:type="dxa"/>
            <w:tcBorders>
              <w:top w:val="nil"/>
              <w:left w:val="nil"/>
              <w:bottom w:val="single" w:sz="8" w:space="0" w:color="auto"/>
              <w:right w:val="single" w:sz="8" w:space="0" w:color="auto"/>
            </w:tcBorders>
            <w:shd w:val="clear" w:color="auto" w:fill="auto"/>
            <w:vAlign w:val="center"/>
            <w:hideMark/>
          </w:tcPr>
          <w:p w:rsidR="00E07BD8" w:rsidRPr="00DD4B39" w:rsidP="00E07BD8" w14:paraId="7D340F90" w14:textId="47306C54">
            <w:pPr>
              <w:jc w:val="right"/>
              <w:rPr>
                <w:rFonts w:ascii="Calibri" w:hAnsi="Calibri" w:cs="Calibri"/>
                <w:color w:val="000000"/>
                <w:sz w:val="18"/>
                <w:szCs w:val="18"/>
              </w:rPr>
            </w:pPr>
            <w:r>
              <w:rPr>
                <w:rFonts w:ascii="Calibri" w:hAnsi="Calibri" w:cs="Calibri"/>
                <w:color w:val="000000"/>
                <w:sz w:val="18"/>
                <w:szCs w:val="18"/>
              </w:rPr>
              <w:t> </w:t>
            </w:r>
          </w:p>
        </w:tc>
        <w:tc>
          <w:tcPr>
            <w:tcW w:w="1039" w:type="dxa"/>
            <w:tcBorders>
              <w:top w:val="nil"/>
              <w:left w:val="nil"/>
              <w:bottom w:val="single" w:sz="8" w:space="0" w:color="auto"/>
              <w:right w:val="single" w:sz="8" w:space="0" w:color="auto"/>
            </w:tcBorders>
            <w:shd w:val="clear" w:color="auto" w:fill="auto"/>
            <w:vAlign w:val="center"/>
            <w:hideMark/>
          </w:tcPr>
          <w:p w:rsidR="00E07BD8" w:rsidRPr="00DD4B39" w:rsidP="00E07BD8" w14:paraId="51460651" w14:textId="30AD3D78">
            <w:pPr>
              <w:jc w:val="right"/>
              <w:rPr>
                <w:rFonts w:ascii="Calibri" w:hAnsi="Calibri" w:cs="Calibri"/>
                <w:color w:val="000000"/>
                <w:sz w:val="18"/>
                <w:szCs w:val="18"/>
              </w:rPr>
            </w:pPr>
            <w:r>
              <w:rPr>
                <w:rFonts w:ascii="Calibri" w:hAnsi="Calibri" w:cs="Calibri"/>
                <w:color w:val="000000"/>
                <w:sz w:val="18"/>
                <w:szCs w:val="18"/>
              </w:rPr>
              <w:t>15</w:t>
            </w:r>
          </w:p>
        </w:tc>
        <w:tc>
          <w:tcPr>
            <w:tcW w:w="1039" w:type="dxa"/>
            <w:tcBorders>
              <w:top w:val="nil"/>
              <w:left w:val="nil"/>
              <w:bottom w:val="single" w:sz="8" w:space="0" w:color="auto"/>
              <w:right w:val="single" w:sz="8" w:space="0" w:color="auto"/>
            </w:tcBorders>
            <w:shd w:val="clear" w:color="auto" w:fill="auto"/>
            <w:vAlign w:val="center"/>
            <w:hideMark/>
          </w:tcPr>
          <w:p w:rsidR="00E07BD8" w:rsidRPr="00DD4B39" w:rsidP="00E07BD8" w14:paraId="066D26C6" w14:textId="707A0A98">
            <w:pPr>
              <w:jc w:val="right"/>
              <w:rPr>
                <w:rFonts w:ascii="Calibri" w:hAnsi="Calibri" w:cs="Calibri"/>
                <w:color w:val="000000"/>
                <w:sz w:val="18"/>
                <w:szCs w:val="18"/>
              </w:rPr>
            </w:pPr>
            <w:r>
              <w:rPr>
                <w:rFonts w:ascii="Calibri" w:hAnsi="Calibri" w:cs="Calibri"/>
                <w:color w:val="000000"/>
                <w:sz w:val="18"/>
                <w:szCs w:val="18"/>
              </w:rPr>
              <w:t> </w:t>
            </w:r>
          </w:p>
        </w:tc>
        <w:tc>
          <w:tcPr>
            <w:tcW w:w="1133" w:type="dxa"/>
            <w:tcBorders>
              <w:top w:val="nil"/>
              <w:left w:val="nil"/>
              <w:bottom w:val="single" w:sz="8" w:space="0" w:color="auto"/>
              <w:right w:val="single" w:sz="8" w:space="0" w:color="auto"/>
            </w:tcBorders>
            <w:shd w:val="clear" w:color="auto" w:fill="auto"/>
            <w:vAlign w:val="center"/>
            <w:hideMark/>
          </w:tcPr>
          <w:p w:rsidR="00E07BD8" w:rsidRPr="00DD4B39" w:rsidP="00E07BD8" w14:paraId="24752923" w14:textId="77777777">
            <w:pPr>
              <w:rPr>
                <w:rFonts w:ascii="Calibri" w:hAnsi="Calibri" w:cs="Calibri"/>
                <w:color w:val="000000"/>
                <w:sz w:val="18"/>
                <w:szCs w:val="18"/>
              </w:rPr>
            </w:pPr>
            <w:r w:rsidRPr="00DD4B39">
              <w:rPr>
                <w:rFonts w:ascii="Calibri" w:hAnsi="Calibri" w:cs="Calibri"/>
                <w:color w:val="000000"/>
                <w:sz w:val="18"/>
                <w:szCs w:val="18"/>
              </w:rPr>
              <w:t>New collection</w:t>
            </w:r>
          </w:p>
        </w:tc>
      </w:tr>
      <w:tr w14:paraId="0C643B09" w14:textId="77777777" w:rsidTr="00625FFD">
        <w:tblPrEx>
          <w:tblW w:w="8790" w:type="dxa"/>
          <w:tblLook w:val="04A0"/>
        </w:tblPrEx>
        <w:trPr>
          <w:trHeight w:val="495"/>
        </w:trPr>
        <w:tc>
          <w:tcPr>
            <w:tcW w:w="1345" w:type="dxa"/>
            <w:tcBorders>
              <w:top w:val="nil"/>
              <w:left w:val="single" w:sz="8" w:space="0" w:color="auto"/>
              <w:bottom w:val="single" w:sz="8" w:space="0" w:color="auto"/>
              <w:right w:val="single" w:sz="8" w:space="0" w:color="auto"/>
            </w:tcBorders>
            <w:shd w:val="clear" w:color="auto" w:fill="auto"/>
            <w:vAlign w:val="center"/>
            <w:hideMark/>
          </w:tcPr>
          <w:p w:rsidR="00E07BD8" w:rsidRPr="00DD4B39" w:rsidP="00E07BD8" w14:paraId="534567C3" w14:textId="77777777">
            <w:pPr>
              <w:rPr>
                <w:rFonts w:ascii="Calibri" w:hAnsi="Calibri" w:cs="Calibri"/>
                <w:color w:val="000000"/>
                <w:sz w:val="16"/>
                <w:szCs w:val="16"/>
              </w:rPr>
            </w:pPr>
            <w:r w:rsidRPr="00DD4B39">
              <w:rPr>
                <w:rFonts w:ascii="Calibri" w:hAnsi="Calibri" w:cs="Calibri"/>
                <w:color w:val="000000"/>
                <w:sz w:val="16"/>
                <w:szCs w:val="16"/>
              </w:rPr>
              <w:t xml:space="preserve">   Debrief of EM Staff</w:t>
            </w:r>
          </w:p>
        </w:tc>
        <w:tc>
          <w:tcPr>
            <w:tcW w:w="1032" w:type="dxa"/>
            <w:tcBorders>
              <w:top w:val="nil"/>
              <w:left w:val="nil"/>
              <w:bottom w:val="single" w:sz="8" w:space="0" w:color="auto"/>
              <w:right w:val="single" w:sz="8" w:space="0" w:color="auto"/>
            </w:tcBorders>
            <w:shd w:val="clear" w:color="auto" w:fill="auto"/>
            <w:vAlign w:val="center"/>
            <w:hideMark/>
          </w:tcPr>
          <w:p w:rsidR="00E07BD8" w:rsidRPr="00DD4B39" w:rsidP="00E07BD8" w14:paraId="28AA8313" w14:textId="14F55532">
            <w:pPr>
              <w:jc w:val="right"/>
              <w:rPr>
                <w:rFonts w:ascii="Calibri" w:hAnsi="Calibri" w:cs="Calibri"/>
                <w:color w:val="000000"/>
                <w:sz w:val="16"/>
                <w:szCs w:val="16"/>
              </w:rPr>
            </w:pPr>
            <w:r>
              <w:rPr>
                <w:rFonts w:ascii="Calibri" w:hAnsi="Calibri" w:cs="Calibri"/>
                <w:color w:val="000000"/>
                <w:sz w:val="16"/>
                <w:szCs w:val="16"/>
              </w:rPr>
              <w:t>3</w:t>
            </w:r>
          </w:p>
        </w:tc>
        <w:tc>
          <w:tcPr>
            <w:tcW w:w="1124" w:type="dxa"/>
            <w:tcBorders>
              <w:top w:val="nil"/>
              <w:left w:val="nil"/>
              <w:bottom w:val="single" w:sz="8" w:space="0" w:color="auto"/>
              <w:right w:val="single" w:sz="8" w:space="0" w:color="auto"/>
            </w:tcBorders>
            <w:shd w:val="clear" w:color="auto" w:fill="auto"/>
            <w:vAlign w:val="center"/>
            <w:hideMark/>
          </w:tcPr>
          <w:p w:rsidR="00E07BD8" w:rsidRPr="00DD4B39" w:rsidP="00E07BD8" w14:paraId="30734493" w14:textId="22D208E7">
            <w:pPr>
              <w:jc w:val="right"/>
              <w:rPr>
                <w:rFonts w:ascii="Calibri" w:hAnsi="Calibri" w:cs="Calibri"/>
                <w:color w:val="000000"/>
                <w:sz w:val="18"/>
                <w:szCs w:val="18"/>
              </w:rPr>
            </w:pPr>
            <w:r>
              <w:rPr>
                <w:rFonts w:ascii="Calibri" w:hAnsi="Calibri" w:cs="Calibri"/>
                <w:color w:val="000000"/>
                <w:sz w:val="18"/>
                <w:szCs w:val="18"/>
              </w:rPr>
              <w:t> </w:t>
            </w:r>
          </w:p>
        </w:tc>
        <w:tc>
          <w:tcPr>
            <w:tcW w:w="1039" w:type="dxa"/>
            <w:tcBorders>
              <w:top w:val="nil"/>
              <w:left w:val="nil"/>
              <w:bottom w:val="single" w:sz="8" w:space="0" w:color="auto"/>
              <w:right w:val="single" w:sz="8" w:space="0" w:color="auto"/>
            </w:tcBorders>
            <w:shd w:val="clear" w:color="auto" w:fill="auto"/>
            <w:vAlign w:val="center"/>
            <w:hideMark/>
          </w:tcPr>
          <w:p w:rsidR="00E07BD8" w:rsidRPr="00DD4B39" w:rsidP="00E07BD8" w14:paraId="511A789E" w14:textId="4FE7725B">
            <w:pPr>
              <w:jc w:val="right"/>
              <w:rPr>
                <w:rFonts w:ascii="Calibri" w:hAnsi="Calibri" w:cs="Calibri"/>
                <w:color w:val="000000"/>
                <w:sz w:val="16"/>
                <w:szCs w:val="16"/>
              </w:rPr>
            </w:pPr>
            <w:r>
              <w:rPr>
                <w:rFonts w:ascii="Calibri" w:hAnsi="Calibri" w:cs="Calibri"/>
                <w:color w:val="000000"/>
                <w:sz w:val="16"/>
                <w:szCs w:val="16"/>
              </w:rPr>
              <w:t>21</w:t>
            </w:r>
          </w:p>
        </w:tc>
        <w:tc>
          <w:tcPr>
            <w:tcW w:w="1039" w:type="dxa"/>
            <w:tcBorders>
              <w:top w:val="nil"/>
              <w:left w:val="nil"/>
              <w:bottom w:val="single" w:sz="8" w:space="0" w:color="auto"/>
              <w:right w:val="single" w:sz="8" w:space="0" w:color="auto"/>
            </w:tcBorders>
            <w:shd w:val="clear" w:color="auto" w:fill="auto"/>
            <w:vAlign w:val="center"/>
            <w:hideMark/>
          </w:tcPr>
          <w:p w:rsidR="00E07BD8" w:rsidRPr="00DD4B39" w:rsidP="00E07BD8" w14:paraId="7F922E98" w14:textId="61227DDA">
            <w:pPr>
              <w:jc w:val="right"/>
              <w:rPr>
                <w:rFonts w:ascii="Calibri" w:hAnsi="Calibri" w:cs="Calibri"/>
                <w:color w:val="000000"/>
                <w:sz w:val="18"/>
                <w:szCs w:val="18"/>
              </w:rPr>
            </w:pPr>
            <w:r>
              <w:rPr>
                <w:rFonts w:ascii="Calibri" w:hAnsi="Calibri" w:cs="Calibri"/>
                <w:color w:val="000000"/>
                <w:sz w:val="18"/>
                <w:szCs w:val="18"/>
              </w:rPr>
              <w:t> </w:t>
            </w:r>
          </w:p>
        </w:tc>
        <w:tc>
          <w:tcPr>
            <w:tcW w:w="1039" w:type="dxa"/>
            <w:tcBorders>
              <w:top w:val="nil"/>
              <w:left w:val="nil"/>
              <w:bottom w:val="single" w:sz="8" w:space="0" w:color="auto"/>
              <w:right w:val="single" w:sz="8" w:space="0" w:color="auto"/>
            </w:tcBorders>
            <w:shd w:val="clear" w:color="auto" w:fill="auto"/>
            <w:vAlign w:val="center"/>
            <w:hideMark/>
          </w:tcPr>
          <w:p w:rsidR="00E07BD8" w:rsidRPr="00DD4B39" w:rsidP="00E07BD8" w14:paraId="26127E52" w14:textId="299AFE65">
            <w:pPr>
              <w:jc w:val="right"/>
              <w:rPr>
                <w:rFonts w:ascii="Calibri" w:hAnsi="Calibri" w:cs="Calibri"/>
                <w:color w:val="000000"/>
                <w:sz w:val="18"/>
                <w:szCs w:val="18"/>
              </w:rPr>
            </w:pPr>
            <w:r>
              <w:rPr>
                <w:rFonts w:ascii="Calibri" w:hAnsi="Calibri" w:cs="Calibri"/>
                <w:color w:val="000000"/>
                <w:sz w:val="18"/>
                <w:szCs w:val="18"/>
              </w:rPr>
              <w:t>42</w:t>
            </w:r>
          </w:p>
        </w:tc>
        <w:tc>
          <w:tcPr>
            <w:tcW w:w="1039" w:type="dxa"/>
            <w:tcBorders>
              <w:top w:val="nil"/>
              <w:left w:val="nil"/>
              <w:bottom w:val="single" w:sz="8" w:space="0" w:color="auto"/>
              <w:right w:val="single" w:sz="8" w:space="0" w:color="auto"/>
            </w:tcBorders>
            <w:shd w:val="clear" w:color="auto" w:fill="auto"/>
            <w:vAlign w:val="center"/>
            <w:hideMark/>
          </w:tcPr>
          <w:p w:rsidR="00E07BD8" w:rsidRPr="00DD4B39" w:rsidP="00E07BD8" w14:paraId="2E84E86E" w14:textId="3C2B047E">
            <w:pPr>
              <w:jc w:val="right"/>
              <w:rPr>
                <w:rFonts w:ascii="Calibri" w:hAnsi="Calibri" w:cs="Calibri"/>
                <w:color w:val="000000"/>
                <w:sz w:val="18"/>
                <w:szCs w:val="18"/>
              </w:rPr>
            </w:pPr>
            <w:r>
              <w:rPr>
                <w:rFonts w:ascii="Calibri" w:hAnsi="Calibri" w:cs="Calibri"/>
                <w:color w:val="000000"/>
                <w:sz w:val="18"/>
                <w:szCs w:val="18"/>
              </w:rPr>
              <w:t> </w:t>
            </w:r>
          </w:p>
        </w:tc>
        <w:tc>
          <w:tcPr>
            <w:tcW w:w="1133" w:type="dxa"/>
            <w:tcBorders>
              <w:top w:val="nil"/>
              <w:left w:val="nil"/>
              <w:bottom w:val="single" w:sz="8" w:space="0" w:color="auto"/>
              <w:right w:val="single" w:sz="8" w:space="0" w:color="auto"/>
            </w:tcBorders>
            <w:shd w:val="clear" w:color="auto" w:fill="auto"/>
            <w:vAlign w:val="center"/>
            <w:hideMark/>
          </w:tcPr>
          <w:p w:rsidR="00E07BD8" w:rsidRPr="00DD4B39" w:rsidP="00E07BD8" w14:paraId="3BD5993B" w14:textId="77777777">
            <w:pPr>
              <w:rPr>
                <w:rFonts w:ascii="Calibri" w:hAnsi="Calibri" w:cs="Calibri"/>
                <w:color w:val="000000"/>
                <w:sz w:val="18"/>
                <w:szCs w:val="18"/>
              </w:rPr>
            </w:pPr>
            <w:r w:rsidRPr="00DD4B39">
              <w:rPr>
                <w:rFonts w:ascii="Calibri" w:hAnsi="Calibri" w:cs="Calibri"/>
                <w:color w:val="000000"/>
                <w:sz w:val="18"/>
                <w:szCs w:val="18"/>
              </w:rPr>
              <w:t>New collection</w:t>
            </w:r>
          </w:p>
        </w:tc>
      </w:tr>
      <w:tr w14:paraId="0C9B25B4" w14:textId="77777777" w:rsidTr="00625FFD">
        <w:tblPrEx>
          <w:tblW w:w="8790" w:type="dxa"/>
          <w:tblLook w:val="04A0"/>
        </w:tblPrEx>
        <w:trPr>
          <w:trHeight w:val="495"/>
        </w:trPr>
        <w:tc>
          <w:tcPr>
            <w:tcW w:w="1345" w:type="dxa"/>
            <w:tcBorders>
              <w:top w:val="nil"/>
              <w:left w:val="single" w:sz="12" w:space="0" w:color="auto"/>
              <w:bottom w:val="single" w:sz="12" w:space="0" w:color="auto"/>
              <w:right w:val="single" w:sz="12" w:space="0" w:color="auto"/>
            </w:tcBorders>
            <w:shd w:val="clear" w:color="000000" w:fill="DBE5F1"/>
            <w:vAlign w:val="center"/>
            <w:hideMark/>
          </w:tcPr>
          <w:p w:rsidR="00E07BD8" w:rsidRPr="00DD4B39" w:rsidP="00E07BD8" w14:paraId="7C39907F" w14:textId="77777777">
            <w:pPr>
              <w:rPr>
                <w:rFonts w:ascii="Calibri" w:hAnsi="Calibri" w:cs="Calibri"/>
                <w:b/>
                <w:bCs/>
                <w:color w:val="000000"/>
                <w:sz w:val="18"/>
                <w:szCs w:val="18"/>
              </w:rPr>
            </w:pPr>
            <w:r w:rsidRPr="00DD4B39">
              <w:rPr>
                <w:rFonts w:ascii="Calibri" w:hAnsi="Calibri" w:cs="Calibri"/>
                <w:b/>
                <w:bCs/>
                <w:color w:val="000000"/>
                <w:sz w:val="18"/>
                <w:szCs w:val="18"/>
              </w:rPr>
              <w:t>Total for Collection</w:t>
            </w:r>
          </w:p>
        </w:tc>
        <w:tc>
          <w:tcPr>
            <w:tcW w:w="1032" w:type="dxa"/>
            <w:tcBorders>
              <w:top w:val="nil"/>
              <w:left w:val="nil"/>
              <w:bottom w:val="single" w:sz="12" w:space="0" w:color="auto"/>
              <w:right w:val="single" w:sz="12" w:space="0" w:color="auto"/>
            </w:tcBorders>
            <w:shd w:val="clear" w:color="000000" w:fill="DBE5F1"/>
            <w:vAlign w:val="center"/>
            <w:hideMark/>
          </w:tcPr>
          <w:p w:rsidR="00E07BD8" w:rsidRPr="00DD4B39" w:rsidP="00E07BD8" w14:paraId="47695C3C" w14:textId="1B680D46">
            <w:pPr>
              <w:rPr>
                <w:rFonts w:ascii="Calibri" w:hAnsi="Calibri" w:cs="Calibri"/>
                <w:b/>
                <w:bCs/>
                <w:color w:val="000000"/>
                <w:sz w:val="18"/>
                <w:szCs w:val="18"/>
              </w:rPr>
            </w:pPr>
            <w:r>
              <w:rPr>
                <w:rFonts w:ascii="Calibri" w:hAnsi="Calibri" w:cs="Calibri"/>
                <w:b/>
                <w:bCs/>
                <w:color w:val="000000"/>
                <w:sz w:val="18"/>
                <w:szCs w:val="18"/>
              </w:rPr>
              <w:t>24 (unique)</w:t>
            </w:r>
          </w:p>
        </w:tc>
        <w:tc>
          <w:tcPr>
            <w:tcW w:w="1124" w:type="dxa"/>
            <w:tcBorders>
              <w:top w:val="nil"/>
              <w:left w:val="nil"/>
              <w:bottom w:val="single" w:sz="12" w:space="0" w:color="auto"/>
              <w:right w:val="single" w:sz="12" w:space="0" w:color="auto"/>
            </w:tcBorders>
            <w:shd w:val="clear" w:color="000000" w:fill="DBE5F1"/>
            <w:vAlign w:val="center"/>
            <w:hideMark/>
          </w:tcPr>
          <w:p w:rsidR="00E07BD8" w:rsidRPr="00DD4B39" w:rsidP="00E07BD8" w14:paraId="30044CA1" w14:textId="3D497502">
            <w:pPr>
              <w:rPr>
                <w:rFonts w:ascii="Calibri" w:hAnsi="Calibri" w:cs="Calibri"/>
                <w:b/>
                <w:bCs/>
                <w:color w:val="000000"/>
                <w:sz w:val="18"/>
                <w:szCs w:val="18"/>
              </w:rPr>
            </w:pPr>
            <w:r>
              <w:rPr>
                <w:rFonts w:ascii="Calibri" w:hAnsi="Calibri" w:cs="Calibri"/>
                <w:b/>
                <w:bCs/>
                <w:color w:val="000000"/>
                <w:sz w:val="18"/>
                <w:szCs w:val="18"/>
              </w:rPr>
              <w:t>20 (unique)</w:t>
            </w:r>
          </w:p>
        </w:tc>
        <w:tc>
          <w:tcPr>
            <w:tcW w:w="1039" w:type="dxa"/>
            <w:tcBorders>
              <w:top w:val="nil"/>
              <w:left w:val="nil"/>
              <w:bottom w:val="single" w:sz="12" w:space="0" w:color="auto"/>
              <w:right w:val="single" w:sz="12" w:space="0" w:color="auto"/>
            </w:tcBorders>
            <w:shd w:val="clear" w:color="000000" w:fill="DBE5F1"/>
            <w:vAlign w:val="center"/>
            <w:hideMark/>
          </w:tcPr>
          <w:p w:rsidR="00E07BD8" w:rsidRPr="00DD4B39" w:rsidP="00E07BD8" w14:paraId="2FFC865E" w14:textId="0AA0482C">
            <w:pPr>
              <w:jc w:val="right"/>
              <w:rPr>
                <w:rFonts w:ascii="Calibri" w:hAnsi="Calibri" w:cs="Calibri"/>
                <w:b/>
                <w:bCs/>
                <w:color w:val="000000"/>
                <w:sz w:val="18"/>
                <w:szCs w:val="18"/>
              </w:rPr>
            </w:pPr>
            <w:r>
              <w:rPr>
                <w:rFonts w:ascii="Calibri" w:hAnsi="Calibri" w:cs="Calibri"/>
                <w:b/>
                <w:bCs/>
                <w:color w:val="000000"/>
                <w:sz w:val="18"/>
                <w:szCs w:val="18"/>
              </w:rPr>
              <w:t>899</w:t>
            </w:r>
          </w:p>
        </w:tc>
        <w:tc>
          <w:tcPr>
            <w:tcW w:w="1039" w:type="dxa"/>
            <w:tcBorders>
              <w:top w:val="nil"/>
              <w:left w:val="nil"/>
              <w:bottom w:val="single" w:sz="12" w:space="0" w:color="auto"/>
              <w:right w:val="single" w:sz="12" w:space="0" w:color="auto"/>
            </w:tcBorders>
            <w:shd w:val="clear" w:color="000000" w:fill="DBE5F1"/>
            <w:vAlign w:val="center"/>
            <w:hideMark/>
          </w:tcPr>
          <w:p w:rsidR="00E07BD8" w:rsidRPr="00DD4B39" w:rsidP="00E07BD8" w14:paraId="05BBA1BD" w14:textId="7FE98F05">
            <w:pPr>
              <w:jc w:val="right"/>
              <w:rPr>
                <w:rFonts w:ascii="Calibri" w:hAnsi="Calibri" w:cs="Calibri"/>
                <w:b/>
                <w:bCs/>
                <w:color w:val="000000"/>
                <w:sz w:val="18"/>
                <w:szCs w:val="18"/>
              </w:rPr>
            </w:pPr>
            <w:r>
              <w:rPr>
                <w:rFonts w:ascii="Calibri" w:hAnsi="Calibri" w:cs="Calibri"/>
                <w:b/>
                <w:bCs/>
                <w:color w:val="000000"/>
                <w:sz w:val="18"/>
                <w:szCs w:val="18"/>
              </w:rPr>
              <w:t>60</w:t>
            </w:r>
          </w:p>
        </w:tc>
        <w:tc>
          <w:tcPr>
            <w:tcW w:w="1039" w:type="dxa"/>
            <w:tcBorders>
              <w:top w:val="nil"/>
              <w:left w:val="nil"/>
              <w:bottom w:val="single" w:sz="12" w:space="0" w:color="auto"/>
              <w:right w:val="single" w:sz="12" w:space="0" w:color="auto"/>
            </w:tcBorders>
            <w:shd w:val="clear" w:color="000000" w:fill="DBE5F1"/>
            <w:vAlign w:val="center"/>
            <w:hideMark/>
          </w:tcPr>
          <w:p w:rsidR="00E07BD8" w:rsidRPr="00DD4B39" w:rsidP="00E07BD8" w14:paraId="0A387E1F" w14:textId="33DA5060">
            <w:pPr>
              <w:jc w:val="right"/>
              <w:rPr>
                <w:rFonts w:ascii="Calibri" w:hAnsi="Calibri" w:cs="Calibri"/>
                <w:b/>
                <w:bCs/>
                <w:color w:val="000000"/>
                <w:sz w:val="18"/>
                <w:szCs w:val="18"/>
              </w:rPr>
            </w:pPr>
            <w:r>
              <w:rPr>
                <w:rFonts w:ascii="Calibri" w:hAnsi="Calibri" w:cs="Calibri"/>
                <w:b/>
                <w:bCs/>
                <w:color w:val="000000"/>
                <w:sz w:val="18"/>
                <w:szCs w:val="18"/>
              </w:rPr>
              <w:t>887</w:t>
            </w:r>
          </w:p>
        </w:tc>
        <w:tc>
          <w:tcPr>
            <w:tcW w:w="1039" w:type="dxa"/>
            <w:tcBorders>
              <w:top w:val="nil"/>
              <w:left w:val="nil"/>
              <w:bottom w:val="single" w:sz="12" w:space="0" w:color="auto"/>
              <w:right w:val="single" w:sz="12" w:space="0" w:color="auto"/>
            </w:tcBorders>
            <w:shd w:val="clear" w:color="000000" w:fill="DBE5F1"/>
            <w:vAlign w:val="center"/>
            <w:hideMark/>
          </w:tcPr>
          <w:p w:rsidR="00E07BD8" w:rsidRPr="00DD4B39" w:rsidP="00E07BD8" w14:paraId="344B100D" w14:textId="7A82823E">
            <w:pPr>
              <w:jc w:val="right"/>
              <w:rPr>
                <w:rFonts w:ascii="Calibri" w:hAnsi="Calibri" w:cs="Calibri"/>
                <w:b/>
                <w:bCs/>
                <w:color w:val="000000"/>
                <w:sz w:val="18"/>
                <w:szCs w:val="18"/>
              </w:rPr>
            </w:pPr>
            <w:r>
              <w:rPr>
                <w:rFonts w:ascii="Calibri" w:hAnsi="Calibri" w:cs="Calibri"/>
                <w:b/>
                <w:bCs/>
                <w:color w:val="000000"/>
                <w:sz w:val="18"/>
                <w:szCs w:val="18"/>
              </w:rPr>
              <w:t>60</w:t>
            </w:r>
          </w:p>
        </w:tc>
        <w:tc>
          <w:tcPr>
            <w:tcW w:w="1133" w:type="dxa"/>
            <w:tcBorders>
              <w:top w:val="nil"/>
              <w:left w:val="nil"/>
              <w:bottom w:val="single" w:sz="12" w:space="0" w:color="auto"/>
              <w:right w:val="single" w:sz="12" w:space="0" w:color="auto"/>
            </w:tcBorders>
            <w:shd w:val="clear" w:color="000000" w:fill="000000"/>
            <w:vAlign w:val="center"/>
            <w:hideMark/>
          </w:tcPr>
          <w:p w:rsidR="00E07BD8" w:rsidRPr="00DD4B39" w:rsidP="00E07BD8" w14:paraId="3EB3A3AE" w14:textId="77777777">
            <w:pPr>
              <w:rPr>
                <w:rFonts w:ascii="Calibri" w:hAnsi="Calibri" w:cs="Calibri"/>
                <w:b/>
                <w:bCs/>
                <w:color w:val="000000"/>
                <w:sz w:val="18"/>
                <w:szCs w:val="18"/>
              </w:rPr>
            </w:pPr>
            <w:r w:rsidRPr="00DD4B39">
              <w:rPr>
                <w:rFonts w:ascii="Calibri" w:hAnsi="Calibri" w:cs="Calibri"/>
                <w:b/>
                <w:bCs/>
                <w:color w:val="000000"/>
                <w:sz w:val="18"/>
                <w:szCs w:val="18"/>
              </w:rPr>
              <w:t> </w:t>
            </w:r>
          </w:p>
        </w:tc>
      </w:tr>
      <w:tr w14:paraId="1ECDA0EA" w14:textId="77777777" w:rsidTr="00625FFD">
        <w:tblPrEx>
          <w:tblW w:w="8790" w:type="dxa"/>
          <w:tblLook w:val="04A0"/>
        </w:tblPrEx>
        <w:trPr>
          <w:trHeight w:val="330"/>
        </w:trPr>
        <w:tc>
          <w:tcPr>
            <w:tcW w:w="1345" w:type="dxa"/>
            <w:tcBorders>
              <w:top w:val="nil"/>
              <w:left w:val="single" w:sz="12" w:space="0" w:color="auto"/>
              <w:bottom w:val="single" w:sz="12" w:space="0" w:color="auto"/>
              <w:right w:val="single" w:sz="12" w:space="0" w:color="auto"/>
            </w:tcBorders>
            <w:shd w:val="clear" w:color="000000" w:fill="FDE9D9"/>
            <w:vAlign w:val="center"/>
            <w:hideMark/>
          </w:tcPr>
          <w:p w:rsidR="00F47AED" w:rsidRPr="00DD4B39" w:rsidP="00F47AED" w14:paraId="3702158D" w14:textId="77777777">
            <w:pPr>
              <w:rPr>
                <w:rFonts w:ascii="Calibri" w:hAnsi="Calibri" w:cs="Calibri"/>
                <w:b/>
                <w:bCs/>
                <w:color w:val="000000"/>
                <w:sz w:val="18"/>
                <w:szCs w:val="18"/>
              </w:rPr>
            </w:pPr>
            <w:r w:rsidRPr="00DD4B39">
              <w:rPr>
                <w:rFonts w:ascii="Calibri" w:hAnsi="Calibri" w:cs="Calibri"/>
                <w:b/>
                <w:bCs/>
                <w:color w:val="000000"/>
                <w:sz w:val="18"/>
                <w:szCs w:val="18"/>
              </w:rPr>
              <w:t>Differences</w:t>
            </w:r>
          </w:p>
        </w:tc>
        <w:tc>
          <w:tcPr>
            <w:tcW w:w="2156" w:type="dxa"/>
            <w:gridSpan w:val="2"/>
            <w:tcBorders>
              <w:top w:val="single" w:sz="12" w:space="0" w:color="auto"/>
              <w:left w:val="nil"/>
              <w:bottom w:val="single" w:sz="12" w:space="0" w:color="auto"/>
              <w:right w:val="single" w:sz="12" w:space="0" w:color="000000"/>
            </w:tcBorders>
            <w:shd w:val="clear" w:color="000000" w:fill="FDE9D9"/>
            <w:vAlign w:val="center"/>
            <w:hideMark/>
          </w:tcPr>
          <w:p w:rsidR="00F47AED" w:rsidRPr="00DD4B39" w:rsidP="00F47AED" w14:paraId="66018DAC" w14:textId="0795779C">
            <w:pPr>
              <w:jc w:val="center"/>
              <w:rPr>
                <w:rFonts w:ascii="Calibri" w:hAnsi="Calibri" w:cs="Calibri"/>
                <w:b/>
                <w:bCs/>
                <w:color w:val="000000"/>
                <w:sz w:val="18"/>
                <w:szCs w:val="18"/>
              </w:rPr>
            </w:pPr>
            <w:r>
              <w:rPr>
                <w:rFonts w:ascii="Calibri" w:hAnsi="Calibri" w:cs="Calibri"/>
                <w:b/>
                <w:bCs/>
                <w:color w:val="000000"/>
                <w:sz w:val="18"/>
                <w:szCs w:val="18"/>
              </w:rPr>
              <w:t>4</w:t>
            </w:r>
          </w:p>
        </w:tc>
        <w:tc>
          <w:tcPr>
            <w:tcW w:w="2078" w:type="dxa"/>
            <w:gridSpan w:val="2"/>
            <w:tcBorders>
              <w:top w:val="single" w:sz="12" w:space="0" w:color="auto"/>
              <w:left w:val="nil"/>
              <w:bottom w:val="single" w:sz="12" w:space="0" w:color="auto"/>
              <w:right w:val="single" w:sz="12" w:space="0" w:color="000000"/>
            </w:tcBorders>
            <w:shd w:val="clear" w:color="000000" w:fill="FDE9D9"/>
            <w:vAlign w:val="center"/>
            <w:hideMark/>
          </w:tcPr>
          <w:p w:rsidR="00F47AED" w:rsidRPr="00DD4B39" w:rsidP="00F47AED" w14:paraId="64A4FC50" w14:textId="724933B5">
            <w:pPr>
              <w:jc w:val="center"/>
              <w:rPr>
                <w:rFonts w:ascii="Calibri" w:hAnsi="Calibri" w:cs="Calibri"/>
                <w:b/>
                <w:bCs/>
                <w:color w:val="000000"/>
                <w:sz w:val="18"/>
                <w:szCs w:val="18"/>
              </w:rPr>
            </w:pPr>
            <w:r>
              <w:rPr>
                <w:rFonts w:ascii="Calibri" w:hAnsi="Calibri" w:cs="Calibri"/>
                <w:b/>
                <w:bCs/>
                <w:color w:val="000000"/>
                <w:sz w:val="18"/>
                <w:szCs w:val="18"/>
              </w:rPr>
              <w:t>839</w:t>
            </w:r>
          </w:p>
        </w:tc>
        <w:tc>
          <w:tcPr>
            <w:tcW w:w="2078" w:type="dxa"/>
            <w:gridSpan w:val="2"/>
            <w:tcBorders>
              <w:top w:val="single" w:sz="12" w:space="0" w:color="auto"/>
              <w:left w:val="nil"/>
              <w:bottom w:val="single" w:sz="12" w:space="0" w:color="auto"/>
              <w:right w:val="single" w:sz="12" w:space="0" w:color="000000"/>
            </w:tcBorders>
            <w:shd w:val="clear" w:color="000000" w:fill="FDE9D9"/>
            <w:vAlign w:val="center"/>
            <w:hideMark/>
          </w:tcPr>
          <w:p w:rsidR="00F47AED" w:rsidRPr="00DD4B39" w:rsidP="00F47AED" w14:paraId="28707A6E" w14:textId="52F6512A">
            <w:pPr>
              <w:jc w:val="center"/>
              <w:rPr>
                <w:rFonts w:ascii="Calibri" w:hAnsi="Calibri" w:cs="Calibri"/>
                <w:b/>
                <w:bCs/>
                <w:color w:val="000000"/>
                <w:sz w:val="18"/>
                <w:szCs w:val="18"/>
              </w:rPr>
            </w:pPr>
            <w:r>
              <w:rPr>
                <w:rFonts w:ascii="Calibri" w:hAnsi="Calibri" w:cs="Calibri"/>
                <w:b/>
                <w:bCs/>
                <w:color w:val="000000"/>
                <w:sz w:val="18"/>
                <w:szCs w:val="18"/>
              </w:rPr>
              <w:t>827</w:t>
            </w:r>
          </w:p>
        </w:tc>
        <w:tc>
          <w:tcPr>
            <w:tcW w:w="1133" w:type="dxa"/>
            <w:tcBorders>
              <w:top w:val="nil"/>
              <w:left w:val="nil"/>
              <w:bottom w:val="single" w:sz="12" w:space="0" w:color="auto"/>
              <w:right w:val="single" w:sz="12" w:space="0" w:color="auto"/>
            </w:tcBorders>
            <w:shd w:val="clear" w:color="000000" w:fill="000000"/>
            <w:vAlign w:val="center"/>
            <w:hideMark/>
          </w:tcPr>
          <w:p w:rsidR="00F47AED" w:rsidRPr="00DD4B39" w:rsidP="00F47AED" w14:paraId="7E15A0FA" w14:textId="77777777">
            <w:pPr>
              <w:rPr>
                <w:rFonts w:ascii="Calibri" w:hAnsi="Calibri" w:cs="Calibri"/>
                <w:b/>
                <w:bCs/>
                <w:color w:val="000000"/>
                <w:sz w:val="18"/>
                <w:szCs w:val="18"/>
              </w:rPr>
            </w:pPr>
            <w:r w:rsidRPr="00DD4B39">
              <w:rPr>
                <w:rFonts w:ascii="Calibri" w:hAnsi="Calibri" w:cs="Calibri"/>
                <w:b/>
                <w:bCs/>
                <w:color w:val="000000"/>
                <w:sz w:val="18"/>
                <w:szCs w:val="18"/>
              </w:rPr>
              <w:t> </w:t>
            </w:r>
          </w:p>
        </w:tc>
      </w:tr>
    </w:tbl>
    <w:p w:rsidR="000317BF" w:rsidP="00FA081B" w14:paraId="402AFB04" w14:textId="4863E576">
      <w:pPr>
        <w:pStyle w:val="NoSpacing"/>
      </w:pPr>
    </w:p>
    <w:p w:rsidR="00736667" w:rsidP="00EB68C9" w14:paraId="3B66ADDE" w14:textId="0B5A0368">
      <w:pPr>
        <w:spacing w:after="7"/>
      </w:pPr>
    </w:p>
    <w:p w:rsidR="00B9760F" w14:paraId="183C63FC" w14:textId="77777777">
      <w:pPr>
        <w:rPr>
          <w:b/>
          <w:sz w:val="20"/>
        </w:rPr>
      </w:pPr>
      <w:r>
        <w:rPr>
          <w:b/>
          <w:sz w:val="20"/>
        </w:rPr>
        <w:br w:type="page"/>
      </w:r>
    </w:p>
    <w:p w:rsidR="00EB68C9" w:rsidP="00EB68C9" w14:paraId="6AE36F31" w14:textId="27F90B8A">
      <w:pPr>
        <w:spacing w:after="7"/>
        <w:rPr>
          <w:b/>
          <w:color w:val="000000"/>
          <w:szCs w:val="24"/>
        </w:rPr>
      </w:pPr>
      <w:r w:rsidRPr="00C76EB4">
        <w:rPr>
          <w:b/>
          <w:sz w:val="20"/>
        </w:rPr>
        <w:t xml:space="preserve">Table </w:t>
      </w:r>
      <w:r w:rsidR="00D23A58">
        <w:rPr>
          <w:b/>
          <w:sz w:val="20"/>
        </w:rPr>
        <w:t>10</w:t>
      </w:r>
      <w:r w:rsidR="00276003">
        <w:rPr>
          <w:b/>
          <w:sz w:val="20"/>
        </w:rPr>
        <w:t>.</w:t>
      </w:r>
      <w:r w:rsidRPr="00C76EB4">
        <w:rPr>
          <w:b/>
          <w:sz w:val="20"/>
        </w:rPr>
        <w:t xml:space="preserve"> </w:t>
      </w:r>
      <w:r w:rsidRPr="00EB68C9">
        <w:rPr>
          <w:b/>
          <w:color w:val="000000"/>
          <w:sz w:val="20"/>
          <w:szCs w:val="24"/>
        </w:rPr>
        <w:t>Program labor and miscellaneous cost changes and adjustments.</w:t>
      </w:r>
    </w:p>
    <w:p w:rsidR="00272E53" w:rsidP="007432A6" w14:paraId="4CDCD193" w14:textId="1EE67907">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b/>
        </w:rPr>
      </w:pPr>
    </w:p>
    <w:tbl>
      <w:tblPr>
        <w:tblW w:w="9286" w:type="dxa"/>
        <w:tblCellMar>
          <w:left w:w="0" w:type="dxa"/>
          <w:right w:w="0" w:type="dxa"/>
        </w:tblCellMar>
        <w:tblLook w:val="04A0"/>
      </w:tblPr>
      <w:tblGrid>
        <w:gridCol w:w="1159"/>
        <w:gridCol w:w="1717"/>
        <w:gridCol w:w="1718"/>
        <w:gridCol w:w="1899"/>
        <w:gridCol w:w="1718"/>
        <w:gridCol w:w="1075"/>
      </w:tblGrid>
      <w:tr w14:paraId="4A4BBBB8" w14:textId="77777777" w:rsidTr="00F47AED">
        <w:tblPrEx>
          <w:tblW w:w="9286" w:type="dxa"/>
          <w:tblCellMar>
            <w:left w:w="0" w:type="dxa"/>
            <w:right w:w="0" w:type="dxa"/>
          </w:tblCellMar>
          <w:tblLook w:val="04A0"/>
        </w:tblPrEx>
        <w:trPr>
          <w:trHeight w:val="315"/>
        </w:trPr>
        <w:tc>
          <w:tcPr>
            <w:tcW w:w="1159" w:type="dxa"/>
            <w:vMerge w:val="restart"/>
            <w:tcBorders>
              <w:top w:val="single" w:sz="8" w:space="0" w:color="auto"/>
              <w:left w:val="single" w:sz="8" w:space="0" w:color="auto"/>
              <w:bottom w:val="single" w:sz="8" w:space="0" w:color="000000"/>
              <w:right w:val="single" w:sz="8" w:space="0" w:color="auto"/>
            </w:tcBorders>
            <w:shd w:val="clear" w:color="000000" w:fill="548DD4"/>
            <w:tcMar>
              <w:top w:w="15" w:type="dxa"/>
              <w:left w:w="15" w:type="dxa"/>
              <w:bottom w:w="0" w:type="dxa"/>
              <w:right w:w="15" w:type="dxa"/>
            </w:tcMar>
            <w:vAlign w:val="center"/>
            <w:hideMark/>
          </w:tcPr>
          <w:p w:rsidR="00DD4B39" w14:paraId="07E35F0F" w14:textId="77777777">
            <w:pPr>
              <w:rPr>
                <w:rFonts w:ascii="Calibri" w:hAnsi="Calibri" w:cs="Calibri"/>
                <w:b/>
                <w:bCs/>
                <w:color w:val="000000"/>
                <w:sz w:val="18"/>
                <w:szCs w:val="18"/>
              </w:rPr>
            </w:pPr>
            <w:r>
              <w:rPr>
                <w:rFonts w:ascii="Calibri" w:hAnsi="Calibri" w:cs="Calibri"/>
                <w:b/>
                <w:bCs/>
                <w:color w:val="000000"/>
                <w:sz w:val="18"/>
                <w:szCs w:val="18"/>
              </w:rPr>
              <w:t>Information Collection</w:t>
            </w:r>
          </w:p>
        </w:tc>
        <w:tc>
          <w:tcPr>
            <w:tcW w:w="3435" w:type="dxa"/>
            <w:gridSpan w:val="2"/>
            <w:tcBorders>
              <w:top w:val="single" w:sz="8" w:space="0" w:color="auto"/>
              <w:left w:val="nil"/>
              <w:bottom w:val="single" w:sz="8" w:space="0" w:color="auto"/>
              <w:right w:val="single" w:sz="8" w:space="0" w:color="000000"/>
            </w:tcBorders>
            <w:shd w:val="clear" w:color="000000" w:fill="548DD4"/>
            <w:tcMar>
              <w:top w:w="15" w:type="dxa"/>
              <w:left w:w="15" w:type="dxa"/>
              <w:bottom w:w="0" w:type="dxa"/>
              <w:right w:w="15" w:type="dxa"/>
            </w:tcMar>
            <w:vAlign w:val="center"/>
            <w:hideMark/>
          </w:tcPr>
          <w:p w:rsidR="00DD4B39" w14:paraId="38C26810" w14:textId="77777777">
            <w:pPr>
              <w:jc w:val="center"/>
              <w:rPr>
                <w:rFonts w:ascii="Calibri" w:hAnsi="Calibri" w:cs="Calibri"/>
                <w:b/>
                <w:bCs/>
                <w:color w:val="000000"/>
                <w:sz w:val="18"/>
                <w:szCs w:val="18"/>
              </w:rPr>
            </w:pPr>
            <w:r>
              <w:rPr>
                <w:rFonts w:ascii="Calibri" w:hAnsi="Calibri" w:cs="Calibri"/>
                <w:b/>
                <w:bCs/>
                <w:color w:val="000000"/>
                <w:sz w:val="18"/>
                <w:szCs w:val="18"/>
              </w:rPr>
              <w:t>Labor Costs</w:t>
            </w:r>
          </w:p>
        </w:tc>
        <w:tc>
          <w:tcPr>
            <w:tcW w:w="3617" w:type="dxa"/>
            <w:gridSpan w:val="2"/>
            <w:tcBorders>
              <w:top w:val="single" w:sz="8" w:space="0" w:color="auto"/>
              <w:left w:val="nil"/>
              <w:bottom w:val="single" w:sz="8" w:space="0" w:color="auto"/>
              <w:right w:val="single" w:sz="8" w:space="0" w:color="000000"/>
            </w:tcBorders>
            <w:shd w:val="clear" w:color="000000" w:fill="548DD4"/>
            <w:tcMar>
              <w:top w:w="15" w:type="dxa"/>
              <w:left w:w="15" w:type="dxa"/>
              <w:bottom w:w="0" w:type="dxa"/>
              <w:right w:w="15" w:type="dxa"/>
            </w:tcMar>
            <w:vAlign w:val="center"/>
            <w:hideMark/>
          </w:tcPr>
          <w:p w:rsidR="00DD4B39" w14:paraId="151F0EB3" w14:textId="77777777">
            <w:pPr>
              <w:jc w:val="center"/>
              <w:rPr>
                <w:rFonts w:ascii="Calibri" w:hAnsi="Calibri" w:cs="Calibri"/>
                <w:b/>
                <w:bCs/>
                <w:color w:val="000000"/>
                <w:sz w:val="18"/>
                <w:szCs w:val="18"/>
              </w:rPr>
            </w:pPr>
            <w:r>
              <w:rPr>
                <w:rFonts w:ascii="Calibri" w:hAnsi="Calibri" w:cs="Calibri"/>
                <w:b/>
                <w:bCs/>
                <w:color w:val="000000"/>
                <w:sz w:val="18"/>
                <w:szCs w:val="18"/>
              </w:rPr>
              <w:t>Miscellaneous Costs</w:t>
            </w:r>
          </w:p>
        </w:tc>
        <w:tc>
          <w:tcPr>
            <w:tcW w:w="1075" w:type="dxa"/>
            <w:vMerge w:val="restart"/>
            <w:tcBorders>
              <w:top w:val="single" w:sz="8" w:space="0" w:color="auto"/>
              <w:left w:val="nil"/>
              <w:bottom w:val="single" w:sz="8" w:space="0" w:color="000000"/>
              <w:right w:val="single" w:sz="8" w:space="0" w:color="auto"/>
            </w:tcBorders>
            <w:shd w:val="clear" w:color="000000" w:fill="548DD4"/>
            <w:tcMar>
              <w:top w:w="15" w:type="dxa"/>
              <w:left w:w="15" w:type="dxa"/>
              <w:bottom w:w="0" w:type="dxa"/>
              <w:right w:w="15" w:type="dxa"/>
            </w:tcMar>
            <w:vAlign w:val="center"/>
            <w:hideMark/>
          </w:tcPr>
          <w:p w:rsidR="00DD4B39" w14:paraId="6383972E" w14:textId="77777777">
            <w:pPr>
              <w:jc w:val="center"/>
              <w:rPr>
                <w:rFonts w:ascii="Calibri" w:hAnsi="Calibri" w:cs="Calibri"/>
                <w:b/>
                <w:bCs/>
                <w:color w:val="000000"/>
                <w:sz w:val="18"/>
                <w:szCs w:val="18"/>
              </w:rPr>
            </w:pPr>
            <w:r>
              <w:rPr>
                <w:rFonts w:ascii="Calibri" w:hAnsi="Calibri" w:cs="Calibri"/>
                <w:b/>
                <w:bCs/>
                <w:color w:val="000000"/>
                <w:sz w:val="18"/>
                <w:szCs w:val="18"/>
              </w:rPr>
              <w:t>Reason for change or adjustment</w:t>
            </w:r>
          </w:p>
        </w:tc>
      </w:tr>
      <w:tr w14:paraId="55F24DE8" w14:textId="77777777" w:rsidTr="00F47AED">
        <w:tblPrEx>
          <w:tblW w:w="9286" w:type="dxa"/>
          <w:tblCellMar>
            <w:left w:w="0" w:type="dxa"/>
            <w:right w:w="0" w:type="dxa"/>
          </w:tblCellMar>
          <w:tblLook w:val="04A0"/>
        </w:tblPrEx>
        <w:trPr>
          <w:trHeight w:val="735"/>
        </w:trPr>
        <w:tc>
          <w:tcPr>
            <w:tcW w:w="0" w:type="auto"/>
            <w:vMerge/>
            <w:tcBorders>
              <w:top w:val="single" w:sz="8" w:space="0" w:color="auto"/>
              <w:left w:val="single" w:sz="8" w:space="0" w:color="auto"/>
              <w:bottom w:val="single" w:sz="8" w:space="0" w:color="000000"/>
              <w:right w:val="single" w:sz="8" w:space="0" w:color="auto"/>
            </w:tcBorders>
            <w:vAlign w:val="center"/>
            <w:hideMark/>
          </w:tcPr>
          <w:p w:rsidR="00DD4B39" w14:paraId="566D4CEC" w14:textId="77777777">
            <w:pPr>
              <w:rPr>
                <w:rFonts w:ascii="Calibri" w:hAnsi="Calibri" w:cs="Calibri"/>
                <w:b/>
                <w:bCs/>
                <w:color w:val="000000"/>
                <w:sz w:val="18"/>
                <w:szCs w:val="18"/>
              </w:rPr>
            </w:pPr>
          </w:p>
        </w:tc>
        <w:tc>
          <w:tcPr>
            <w:tcW w:w="1717" w:type="dxa"/>
            <w:tcBorders>
              <w:top w:val="nil"/>
              <w:left w:val="nil"/>
              <w:bottom w:val="nil"/>
              <w:right w:val="single" w:sz="8" w:space="0" w:color="auto"/>
            </w:tcBorders>
            <w:shd w:val="clear" w:color="000000" w:fill="FDE9D9"/>
            <w:tcMar>
              <w:top w:w="15" w:type="dxa"/>
              <w:left w:w="15" w:type="dxa"/>
              <w:bottom w:w="0" w:type="dxa"/>
              <w:right w:w="15" w:type="dxa"/>
            </w:tcMar>
            <w:vAlign w:val="center"/>
            <w:hideMark/>
          </w:tcPr>
          <w:p w:rsidR="00DD4B39" w14:paraId="3A2CD3B9" w14:textId="77777777">
            <w:pPr>
              <w:jc w:val="center"/>
              <w:rPr>
                <w:rFonts w:ascii="Calibri" w:hAnsi="Calibri" w:cs="Calibri"/>
                <w:b/>
                <w:bCs/>
                <w:color w:val="000000"/>
                <w:sz w:val="18"/>
                <w:szCs w:val="18"/>
              </w:rPr>
            </w:pPr>
            <w:r>
              <w:rPr>
                <w:rFonts w:ascii="Calibri" w:hAnsi="Calibri" w:cs="Calibri"/>
                <w:b/>
                <w:bCs/>
                <w:color w:val="000000"/>
                <w:sz w:val="18"/>
                <w:szCs w:val="18"/>
              </w:rPr>
              <w:t>Current</w:t>
            </w:r>
          </w:p>
        </w:tc>
        <w:tc>
          <w:tcPr>
            <w:tcW w:w="1718" w:type="dxa"/>
            <w:tcBorders>
              <w:top w:val="nil"/>
              <w:left w:val="nil"/>
              <w:bottom w:val="single" w:sz="8" w:space="0" w:color="auto"/>
              <w:right w:val="single" w:sz="8" w:space="0" w:color="auto"/>
            </w:tcBorders>
            <w:shd w:val="clear" w:color="000000" w:fill="FDE9D9"/>
            <w:tcMar>
              <w:top w:w="15" w:type="dxa"/>
              <w:left w:w="15" w:type="dxa"/>
              <w:bottom w:w="0" w:type="dxa"/>
              <w:right w:w="15" w:type="dxa"/>
            </w:tcMar>
            <w:vAlign w:val="center"/>
            <w:hideMark/>
          </w:tcPr>
          <w:p w:rsidR="00DD4B39" w14:paraId="64C33FD0" w14:textId="77777777">
            <w:pPr>
              <w:jc w:val="center"/>
              <w:rPr>
                <w:rFonts w:ascii="Calibri" w:hAnsi="Calibri" w:cs="Calibri"/>
                <w:b/>
                <w:bCs/>
                <w:color w:val="000000"/>
                <w:sz w:val="18"/>
                <w:szCs w:val="18"/>
              </w:rPr>
            </w:pPr>
            <w:r>
              <w:rPr>
                <w:rFonts w:ascii="Calibri" w:hAnsi="Calibri" w:cs="Calibri"/>
                <w:b/>
                <w:bCs/>
                <w:color w:val="000000"/>
                <w:sz w:val="18"/>
                <w:szCs w:val="18"/>
              </w:rPr>
              <w:t>Previous</w:t>
            </w:r>
          </w:p>
        </w:tc>
        <w:tc>
          <w:tcPr>
            <w:tcW w:w="1899" w:type="dxa"/>
            <w:tcBorders>
              <w:top w:val="nil"/>
              <w:left w:val="nil"/>
              <w:bottom w:val="single" w:sz="8" w:space="0" w:color="auto"/>
              <w:right w:val="single" w:sz="8" w:space="0" w:color="auto"/>
            </w:tcBorders>
            <w:shd w:val="clear" w:color="000000" w:fill="FDE9D9"/>
            <w:tcMar>
              <w:top w:w="15" w:type="dxa"/>
              <w:left w:w="15" w:type="dxa"/>
              <w:bottom w:w="0" w:type="dxa"/>
              <w:right w:w="15" w:type="dxa"/>
            </w:tcMar>
            <w:vAlign w:val="center"/>
            <w:hideMark/>
          </w:tcPr>
          <w:p w:rsidR="00DD4B39" w14:paraId="31740613" w14:textId="77777777">
            <w:pPr>
              <w:jc w:val="center"/>
              <w:rPr>
                <w:rFonts w:ascii="Calibri" w:hAnsi="Calibri" w:cs="Calibri"/>
                <w:b/>
                <w:bCs/>
                <w:color w:val="000000"/>
                <w:sz w:val="18"/>
                <w:szCs w:val="18"/>
              </w:rPr>
            </w:pPr>
            <w:r>
              <w:rPr>
                <w:rFonts w:ascii="Calibri" w:hAnsi="Calibri" w:cs="Calibri"/>
                <w:b/>
                <w:bCs/>
                <w:color w:val="000000"/>
                <w:sz w:val="18"/>
                <w:szCs w:val="18"/>
              </w:rPr>
              <w:t>Current</w:t>
            </w:r>
          </w:p>
        </w:tc>
        <w:tc>
          <w:tcPr>
            <w:tcW w:w="1718" w:type="dxa"/>
            <w:tcBorders>
              <w:top w:val="nil"/>
              <w:left w:val="nil"/>
              <w:bottom w:val="single" w:sz="8" w:space="0" w:color="auto"/>
              <w:right w:val="single" w:sz="8" w:space="0" w:color="auto"/>
            </w:tcBorders>
            <w:shd w:val="clear" w:color="000000" w:fill="FDE9D9"/>
            <w:tcMar>
              <w:top w:w="15" w:type="dxa"/>
              <w:left w:w="15" w:type="dxa"/>
              <w:bottom w:w="0" w:type="dxa"/>
              <w:right w:w="15" w:type="dxa"/>
            </w:tcMar>
            <w:vAlign w:val="center"/>
            <w:hideMark/>
          </w:tcPr>
          <w:p w:rsidR="00DD4B39" w14:paraId="4B19D5E0" w14:textId="77777777">
            <w:pPr>
              <w:jc w:val="center"/>
              <w:rPr>
                <w:rFonts w:ascii="Calibri" w:hAnsi="Calibri" w:cs="Calibri"/>
                <w:b/>
                <w:bCs/>
                <w:color w:val="000000"/>
                <w:sz w:val="18"/>
                <w:szCs w:val="18"/>
              </w:rPr>
            </w:pPr>
            <w:r>
              <w:rPr>
                <w:rFonts w:ascii="Calibri" w:hAnsi="Calibri" w:cs="Calibri"/>
                <w:b/>
                <w:bCs/>
                <w:color w:val="000000"/>
                <w:sz w:val="18"/>
                <w:szCs w:val="18"/>
              </w:rPr>
              <w:t>Previous</w:t>
            </w:r>
          </w:p>
        </w:tc>
        <w:tc>
          <w:tcPr>
            <w:tcW w:w="0" w:type="auto"/>
            <w:vMerge/>
            <w:tcBorders>
              <w:top w:val="single" w:sz="8" w:space="0" w:color="auto"/>
              <w:left w:val="nil"/>
              <w:bottom w:val="single" w:sz="8" w:space="0" w:color="000000"/>
              <w:right w:val="single" w:sz="8" w:space="0" w:color="auto"/>
            </w:tcBorders>
            <w:vAlign w:val="center"/>
            <w:hideMark/>
          </w:tcPr>
          <w:p w:rsidR="00DD4B39" w14:paraId="392EDD73" w14:textId="77777777">
            <w:pPr>
              <w:rPr>
                <w:rFonts w:ascii="Calibri" w:hAnsi="Calibri" w:cs="Calibri"/>
                <w:b/>
                <w:bCs/>
                <w:color w:val="000000"/>
                <w:sz w:val="18"/>
                <w:szCs w:val="18"/>
              </w:rPr>
            </w:pPr>
          </w:p>
        </w:tc>
      </w:tr>
      <w:tr w14:paraId="0B67C69C" w14:textId="77777777" w:rsidTr="00A1369D">
        <w:tblPrEx>
          <w:tblW w:w="9286" w:type="dxa"/>
          <w:tblCellMar>
            <w:left w:w="0" w:type="dxa"/>
            <w:right w:w="0" w:type="dxa"/>
          </w:tblCellMar>
          <w:tblLook w:val="04A0"/>
        </w:tblPrEx>
        <w:trPr>
          <w:trHeight w:val="1009"/>
        </w:trPr>
        <w:tc>
          <w:tcPr>
            <w:tcW w:w="1159" w:type="dxa"/>
            <w:tcBorders>
              <w:top w:val="nil"/>
              <w:left w:val="single" w:sz="8" w:space="0" w:color="auto"/>
              <w:bottom w:val="single" w:sz="8" w:space="0" w:color="auto"/>
              <w:right w:val="nil"/>
            </w:tcBorders>
            <w:shd w:val="clear" w:color="auto" w:fill="auto"/>
            <w:tcMar>
              <w:top w:w="15" w:type="dxa"/>
              <w:left w:w="15" w:type="dxa"/>
              <w:bottom w:w="0" w:type="dxa"/>
              <w:right w:w="15" w:type="dxa"/>
            </w:tcMar>
            <w:vAlign w:val="center"/>
          </w:tcPr>
          <w:p w:rsidR="00B9760F" w:rsidP="00B9760F" w14:paraId="41050F58" w14:textId="4F9F291D">
            <w:pPr>
              <w:rPr>
                <w:rFonts w:ascii="Calibri" w:hAnsi="Calibri" w:cs="Calibri"/>
                <w:color w:val="000000"/>
                <w:sz w:val="16"/>
                <w:szCs w:val="16"/>
              </w:rPr>
            </w:pPr>
            <w:r>
              <w:rPr>
                <w:rFonts w:ascii="Calibri" w:hAnsi="Calibri" w:cs="Calibri"/>
                <w:b/>
                <w:color w:val="000000"/>
                <w:sz w:val="16"/>
                <w:szCs w:val="16"/>
              </w:rPr>
              <w:t>Vessel Owner/Operator Requirements</w:t>
            </w:r>
          </w:p>
        </w:tc>
        <w:tc>
          <w:tcPr>
            <w:tcW w:w="0" w:type="auto"/>
            <w:tcBorders>
              <w:top w:val="single" w:sz="8" w:space="0" w:color="auto"/>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tcPr>
          <w:p w:rsidR="00B9760F" w:rsidP="00B9760F" w14:paraId="7A2A7430" w14:textId="77777777">
            <w:pPr>
              <w:jc w:val="right"/>
              <w:rPr>
                <w:rFonts w:ascii="Calibri" w:hAnsi="Calibri" w:cs="Calibri"/>
                <w:color w:val="000000"/>
                <w:sz w:val="16"/>
                <w:szCs w:val="16"/>
              </w:rPr>
            </w:pP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tcPr>
          <w:p w:rsidR="00B9760F" w:rsidP="00B9760F" w14:paraId="49B851BE" w14:textId="77777777">
            <w:pPr>
              <w:jc w:val="right"/>
              <w:rPr>
                <w:rFonts w:ascii="Calibri" w:hAnsi="Calibri" w:cs="Calibri"/>
                <w:color w:val="000000"/>
                <w:sz w:val="16"/>
                <w:szCs w:val="16"/>
              </w:rPr>
            </w:pP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tcPr>
          <w:p w:rsidR="00B9760F" w:rsidP="00B9760F" w14:paraId="3F24CD0D" w14:textId="77777777">
            <w:pPr>
              <w:jc w:val="right"/>
              <w:rPr>
                <w:rFonts w:ascii="Calibri" w:hAnsi="Calibri" w:cs="Calibri"/>
                <w:color w:val="000000"/>
                <w:sz w:val="16"/>
                <w:szCs w:val="16"/>
              </w:rPr>
            </w:pPr>
          </w:p>
        </w:tc>
        <w:tc>
          <w:tcPr>
            <w:tcW w:w="1718"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tcPr>
          <w:p w:rsidR="00B9760F" w:rsidP="00B9760F" w14:paraId="01DB3C33" w14:textId="77777777">
            <w:pPr>
              <w:jc w:val="right"/>
              <w:rPr>
                <w:rFonts w:ascii="Calibri" w:hAnsi="Calibri" w:cs="Calibri"/>
                <w:color w:val="000000"/>
                <w:sz w:val="18"/>
                <w:szCs w:val="18"/>
              </w:rPr>
            </w:pPr>
          </w:p>
        </w:tc>
        <w:tc>
          <w:tcPr>
            <w:tcW w:w="1075"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tcPr>
          <w:p w:rsidR="00B9760F" w:rsidP="00B9760F" w14:paraId="52A12726" w14:textId="77777777">
            <w:pPr>
              <w:rPr>
                <w:rFonts w:ascii="Calibri" w:hAnsi="Calibri" w:cs="Calibri"/>
                <w:color w:val="000000"/>
                <w:sz w:val="18"/>
                <w:szCs w:val="18"/>
              </w:rPr>
            </w:pPr>
          </w:p>
        </w:tc>
      </w:tr>
      <w:tr w14:paraId="6D9EEB64" w14:textId="77777777" w:rsidTr="00A1369D">
        <w:tblPrEx>
          <w:tblW w:w="9286" w:type="dxa"/>
          <w:tblCellMar>
            <w:left w:w="0" w:type="dxa"/>
            <w:right w:w="0" w:type="dxa"/>
          </w:tblCellMar>
          <w:tblLook w:val="04A0"/>
        </w:tblPrEx>
        <w:trPr>
          <w:trHeight w:val="2265"/>
        </w:trPr>
        <w:tc>
          <w:tcPr>
            <w:tcW w:w="1159" w:type="dxa"/>
            <w:tcBorders>
              <w:top w:val="single" w:sz="8" w:space="0" w:color="auto"/>
              <w:left w:val="single" w:sz="8" w:space="0" w:color="auto"/>
              <w:bottom w:val="single" w:sz="4" w:space="0" w:color="auto"/>
              <w:right w:val="nil"/>
            </w:tcBorders>
            <w:shd w:val="clear" w:color="auto" w:fill="auto"/>
            <w:tcMar>
              <w:top w:w="15" w:type="dxa"/>
              <w:left w:w="15" w:type="dxa"/>
              <w:bottom w:w="0" w:type="dxa"/>
              <w:right w:w="15" w:type="dxa"/>
            </w:tcMar>
            <w:vAlign w:val="center"/>
            <w:hideMark/>
          </w:tcPr>
          <w:p w:rsidR="00F47AED" w:rsidP="00F47AED" w14:paraId="3795D2C4" w14:textId="46308C2B">
            <w:pPr>
              <w:rPr>
                <w:rFonts w:ascii="Calibri" w:hAnsi="Calibri" w:cs="Calibri"/>
                <w:color w:val="000000"/>
                <w:sz w:val="16"/>
                <w:szCs w:val="16"/>
              </w:rPr>
            </w:pPr>
            <w:r>
              <w:rPr>
                <w:rFonts w:ascii="Calibri" w:hAnsi="Calibri" w:cs="Calibri"/>
                <w:color w:val="000000"/>
                <w:sz w:val="16"/>
                <w:szCs w:val="16"/>
              </w:rPr>
              <w:t>EM video processing fees for monitoring area trips</w:t>
            </w:r>
          </w:p>
        </w:tc>
        <w:tc>
          <w:tcPr>
            <w:tcW w:w="0" w:type="auto"/>
            <w:tcBorders>
              <w:top w:val="single" w:sz="8" w:space="0" w:color="auto"/>
              <w:left w:val="single" w:sz="8" w:space="0" w:color="auto"/>
              <w:bottom w:val="single" w:sz="4" w:space="0" w:color="auto"/>
              <w:right w:val="single" w:sz="8" w:space="0" w:color="auto"/>
            </w:tcBorders>
            <w:shd w:val="clear" w:color="auto" w:fill="auto"/>
            <w:noWrap/>
            <w:tcMar>
              <w:top w:w="15" w:type="dxa"/>
              <w:left w:w="15" w:type="dxa"/>
              <w:bottom w:w="0" w:type="dxa"/>
              <w:right w:w="15" w:type="dxa"/>
            </w:tcMar>
            <w:vAlign w:val="center"/>
            <w:hideMark/>
          </w:tcPr>
          <w:p w:rsidR="00F47AED" w:rsidP="00A1369D" w14:paraId="09C38A17" w14:textId="5DE06240">
            <w:pPr>
              <w:jc w:val="right"/>
              <w:rPr>
                <w:rFonts w:ascii="Calibri" w:hAnsi="Calibri" w:cs="Calibri"/>
                <w:color w:val="000000"/>
                <w:sz w:val="16"/>
                <w:szCs w:val="16"/>
              </w:rPr>
            </w:pPr>
            <w:r>
              <w:rPr>
                <w:rFonts w:ascii="Calibri" w:hAnsi="Calibri" w:cs="Calibri"/>
                <w:color w:val="000000"/>
                <w:sz w:val="16"/>
                <w:szCs w:val="16"/>
              </w:rPr>
              <w:t>$</w:t>
            </w:r>
            <w:r w:rsidR="00A1369D">
              <w:rPr>
                <w:rFonts w:ascii="Calibri" w:hAnsi="Calibri" w:cs="Calibri"/>
                <w:color w:val="000000"/>
                <w:sz w:val="16"/>
                <w:szCs w:val="16"/>
              </w:rPr>
              <w:t>1,570.80</w:t>
            </w:r>
            <w:r>
              <w:rPr>
                <w:rFonts w:ascii="Calibri" w:hAnsi="Calibri" w:cs="Calibri"/>
                <w:color w:val="000000"/>
                <w:sz w:val="16"/>
                <w:szCs w:val="16"/>
              </w:rPr>
              <w:t xml:space="preserve"> </w:t>
            </w:r>
          </w:p>
        </w:tc>
        <w:tc>
          <w:tcPr>
            <w:tcW w:w="0" w:type="auto"/>
            <w:tcBorders>
              <w:top w:val="single" w:sz="8" w:space="0" w:color="auto"/>
              <w:left w:val="nil"/>
              <w:bottom w:val="single" w:sz="4" w:space="0" w:color="auto"/>
              <w:right w:val="single" w:sz="8" w:space="0" w:color="auto"/>
            </w:tcBorders>
            <w:shd w:val="clear" w:color="auto" w:fill="auto"/>
            <w:noWrap/>
            <w:tcMar>
              <w:top w:w="15" w:type="dxa"/>
              <w:left w:w="15" w:type="dxa"/>
              <w:bottom w:w="0" w:type="dxa"/>
              <w:right w:w="15" w:type="dxa"/>
            </w:tcMar>
            <w:vAlign w:val="center"/>
            <w:hideMark/>
          </w:tcPr>
          <w:p w:rsidR="00F47AED" w:rsidP="00F47AED" w14:paraId="2D954283" w14:textId="52EEDF6B">
            <w:pPr>
              <w:jc w:val="right"/>
              <w:rPr>
                <w:rFonts w:ascii="Calibri" w:hAnsi="Calibri" w:cs="Calibri"/>
                <w:color w:val="000000"/>
                <w:sz w:val="16"/>
                <w:szCs w:val="16"/>
              </w:rPr>
            </w:pPr>
            <w:r>
              <w:rPr>
                <w:rFonts w:ascii="Calibri" w:hAnsi="Calibri" w:cs="Calibri"/>
                <w:color w:val="000000"/>
                <w:sz w:val="16"/>
                <w:szCs w:val="16"/>
              </w:rPr>
              <w:t>$1,465.20</w:t>
            </w:r>
            <w:r>
              <w:rPr>
                <w:rFonts w:ascii="Calibri" w:hAnsi="Calibri" w:cs="Calibri"/>
                <w:color w:val="000000"/>
                <w:sz w:val="16"/>
                <w:szCs w:val="16"/>
              </w:rPr>
              <w:t> </w:t>
            </w:r>
          </w:p>
        </w:tc>
        <w:tc>
          <w:tcPr>
            <w:tcW w:w="1899" w:type="dxa"/>
            <w:tcBorders>
              <w:top w:val="single" w:sz="8" w:space="0" w:color="auto"/>
              <w:left w:val="nil"/>
              <w:bottom w:val="single" w:sz="4" w:space="0" w:color="auto"/>
              <w:right w:val="single" w:sz="8" w:space="0" w:color="auto"/>
            </w:tcBorders>
            <w:shd w:val="clear" w:color="auto" w:fill="auto"/>
            <w:tcMar>
              <w:top w:w="15" w:type="dxa"/>
              <w:left w:w="15" w:type="dxa"/>
              <w:bottom w:w="0" w:type="dxa"/>
              <w:right w:w="15" w:type="dxa"/>
            </w:tcMar>
            <w:vAlign w:val="center"/>
            <w:hideMark/>
          </w:tcPr>
          <w:p w:rsidR="00F47AED" w:rsidP="00F47AED" w14:paraId="5225713B" w14:textId="07642850">
            <w:pPr>
              <w:jc w:val="right"/>
              <w:rPr>
                <w:rFonts w:ascii="Calibri" w:hAnsi="Calibri" w:cs="Calibri"/>
                <w:color w:val="000000"/>
                <w:sz w:val="18"/>
                <w:szCs w:val="18"/>
              </w:rPr>
            </w:pPr>
            <w:r>
              <w:rPr>
                <w:rFonts w:ascii="Calibri" w:hAnsi="Calibri" w:cs="Calibri"/>
                <w:color w:val="000000"/>
                <w:sz w:val="16"/>
                <w:szCs w:val="16"/>
              </w:rPr>
              <w:t xml:space="preserve">$100,800.00 </w:t>
            </w:r>
          </w:p>
        </w:tc>
        <w:tc>
          <w:tcPr>
            <w:tcW w:w="1718" w:type="dxa"/>
            <w:tcBorders>
              <w:top w:val="single" w:sz="8" w:space="0" w:color="auto"/>
              <w:left w:val="nil"/>
              <w:bottom w:val="single" w:sz="4" w:space="0" w:color="auto"/>
              <w:right w:val="single" w:sz="8" w:space="0" w:color="auto"/>
            </w:tcBorders>
            <w:shd w:val="clear" w:color="auto" w:fill="auto"/>
            <w:tcMar>
              <w:top w:w="15" w:type="dxa"/>
              <w:left w:w="15" w:type="dxa"/>
              <w:bottom w:w="0" w:type="dxa"/>
              <w:right w:w="15" w:type="dxa"/>
            </w:tcMar>
            <w:vAlign w:val="center"/>
            <w:hideMark/>
          </w:tcPr>
          <w:p w:rsidR="00F47AED" w:rsidP="00F47AED" w14:paraId="0175D5E1" w14:textId="14615019">
            <w:pPr>
              <w:jc w:val="right"/>
              <w:rPr>
                <w:rFonts w:ascii="Calibri" w:hAnsi="Calibri" w:cs="Calibri"/>
                <w:color w:val="000000"/>
                <w:sz w:val="18"/>
                <w:szCs w:val="18"/>
              </w:rPr>
            </w:pPr>
            <w:r>
              <w:rPr>
                <w:rFonts w:ascii="Calibri" w:hAnsi="Calibri" w:cs="Calibri"/>
                <w:color w:val="000000"/>
                <w:sz w:val="18"/>
                <w:szCs w:val="18"/>
              </w:rPr>
              <w:t>$0.00</w:t>
            </w:r>
            <w:r>
              <w:rPr>
                <w:rFonts w:ascii="Calibri" w:hAnsi="Calibri" w:cs="Calibri"/>
                <w:color w:val="000000"/>
                <w:sz w:val="18"/>
                <w:szCs w:val="18"/>
              </w:rPr>
              <w:t> </w:t>
            </w:r>
          </w:p>
        </w:tc>
        <w:tc>
          <w:tcPr>
            <w:tcW w:w="1075" w:type="dxa"/>
            <w:tcBorders>
              <w:top w:val="single" w:sz="8" w:space="0" w:color="auto"/>
              <w:left w:val="nil"/>
              <w:bottom w:val="single" w:sz="4" w:space="0" w:color="auto"/>
              <w:right w:val="single" w:sz="8" w:space="0" w:color="auto"/>
            </w:tcBorders>
            <w:shd w:val="clear" w:color="auto" w:fill="auto"/>
            <w:tcMar>
              <w:top w:w="15" w:type="dxa"/>
              <w:left w:w="15" w:type="dxa"/>
              <w:bottom w:w="0" w:type="dxa"/>
              <w:right w:w="15" w:type="dxa"/>
            </w:tcMar>
            <w:vAlign w:val="center"/>
            <w:hideMark/>
          </w:tcPr>
          <w:p w:rsidR="00F47AED" w:rsidP="00F47AED" w14:paraId="209ACC5E" w14:textId="1368F8E1">
            <w:pPr>
              <w:rPr>
                <w:rFonts w:ascii="Calibri" w:hAnsi="Calibri" w:cs="Calibri"/>
                <w:color w:val="000000"/>
                <w:sz w:val="18"/>
                <w:szCs w:val="18"/>
              </w:rPr>
            </w:pPr>
            <w:r>
              <w:rPr>
                <w:rFonts w:ascii="Calibri" w:hAnsi="Calibri" w:cs="Calibri"/>
                <w:color w:val="000000"/>
                <w:sz w:val="18"/>
                <w:szCs w:val="18"/>
              </w:rPr>
              <w:t>Miscellaneous cost increase due to shifting sampling costs to fleet for EM video review in monitoring areas</w:t>
            </w:r>
          </w:p>
        </w:tc>
      </w:tr>
      <w:tr w14:paraId="7F3304DA" w14:textId="77777777" w:rsidTr="00A1369D">
        <w:tblPrEx>
          <w:tblW w:w="9286" w:type="dxa"/>
          <w:tblCellMar>
            <w:left w:w="0" w:type="dxa"/>
            <w:right w:w="0" w:type="dxa"/>
          </w:tblCellMar>
          <w:tblLook w:val="04A0"/>
        </w:tblPrEx>
        <w:trPr>
          <w:trHeight w:val="915"/>
        </w:trPr>
        <w:tc>
          <w:tcPr>
            <w:tcW w:w="1159" w:type="dxa"/>
            <w:tcBorders>
              <w:top w:val="single" w:sz="4" w:space="0" w:color="auto"/>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rsidR="00625FFD" w:rsidP="00625FFD" w14:paraId="65615680" w14:textId="77777777">
            <w:pPr>
              <w:rPr>
                <w:rFonts w:ascii="Calibri" w:hAnsi="Calibri" w:cs="Calibri"/>
                <w:color w:val="000000"/>
                <w:sz w:val="16"/>
                <w:szCs w:val="16"/>
              </w:rPr>
            </w:pPr>
            <w:r>
              <w:rPr>
                <w:rFonts w:ascii="Calibri" w:hAnsi="Calibri" w:cs="Calibri"/>
                <w:color w:val="000000"/>
                <w:sz w:val="16"/>
                <w:szCs w:val="16"/>
              </w:rPr>
              <w:t>VMS Monitoring Area Catch Reports</w:t>
            </w:r>
          </w:p>
        </w:tc>
        <w:tc>
          <w:tcPr>
            <w:tcW w:w="0" w:type="auto"/>
            <w:tcBorders>
              <w:top w:val="single" w:sz="4" w:space="0" w:color="auto"/>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625FFD" w:rsidP="00625FFD" w14:paraId="62406954" w14:textId="157BF836">
            <w:pPr>
              <w:jc w:val="right"/>
              <w:rPr>
                <w:rFonts w:ascii="Calibri" w:hAnsi="Calibri" w:cs="Calibri"/>
                <w:color w:val="000000"/>
                <w:sz w:val="16"/>
                <w:szCs w:val="16"/>
              </w:rPr>
            </w:pPr>
            <w:r w:rsidRPr="0029305F">
              <w:rPr>
                <w:rFonts w:ascii="Calibri" w:hAnsi="Calibri" w:cs="Calibri"/>
                <w:sz w:val="16"/>
                <w:szCs w:val="16"/>
              </w:rPr>
              <w:t xml:space="preserve">$4,123.35 </w:t>
            </w:r>
          </w:p>
        </w:tc>
        <w:tc>
          <w:tcPr>
            <w:tcW w:w="1718" w:type="dxa"/>
            <w:tcBorders>
              <w:top w:val="single" w:sz="4" w:space="0" w:color="auto"/>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625FFD" w:rsidP="00625FFD" w14:paraId="5C15ACE1" w14:textId="4FEDE856">
            <w:pPr>
              <w:jc w:val="right"/>
              <w:rPr>
                <w:rFonts w:ascii="Calibri" w:hAnsi="Calibri" w:cs="Calibri"/>
                <w:color w:val="000000"/>
                <w:sz w:val="18"/>
                <w:szCs w:val="18"/>
              </w:rPr>
            </w:pPr>
            <w:r>
              <w:rPr>
                <w:rFonts w:ascii="Calibri" w:hAnsi="Calibri" w:cs="Calibri"/>
                <w:color w:val="000000"/>
                <w:sz w:val="18"/>
                <w:szCs w:val="18"/>
              </w:rPr>
              <w:t> </w:t>
            </w:r>
          </w:p>
        </w:tc>
        <w:tc>
          <w:tcPr>
            <w:tcW w:w="1899" w:type="dxa"/>
            <w:tcBorders>
              <w:top w:val="single" w:sz="4" w:space="0" w:color="auto"/>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625FFD" w:rsidP="00625FFD" w14:paraId="46962D1F" w14:textId="74F71856">
            <w:pPr>
              <w:jc w:val="right"/>
              <w:rPr>
                <w:rFonts w:ascii="Calibri" w:hAnsi="Calibri" w:cs="Calibri"/>
                <w:color w:val="000000"/>
                <w:sz w:val="18"/>
                <w:szCs w:val="18"/>
              </w:rPr>
            </w:pPr>
            <w:r>
              <w:rPr>
                <w:rFonts w:ascii="Calibri" w:hAnsi="Calibri" w:cs="Calibri"/>
                <w:color w:val="000000"/>
                <w:sz w:val="18"/>
                <w:szCs w:val="18"/>
              </w:rPr>
              <w:t xml:space="preserve">$0.00 </w:t>
            </w:r>
          </w:p>
        </w:tc>
        <w:tc>
          <w:tcPr>
            <w:tcW w:w="1718" w:type="dxa"/>
            <w:tcBorders>
              <w:top w:val="single" w:sz="4" w:space="0" w:color="auto"/>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625FFD" w:rsidP="00625FFD" w14:paraId="0A4DE1FF" w14:textId="466D8710">
            <w:pPr>
              <w:jc w:val="right"/>
              <w:rPr>
                <w:rFonts w:ascii="Calibri" w:hAnsi="Calibri" w:cs="Calibri"/>
                <w:color w:val="000000"/>
                <w:sz w:val="18"/>
                <w:szCs w:val="18"/>
              </w:rPr>
            </w:pPr>
            <w:r>
              <w:rPr>
                <w:rFonts w:ascii="Calibri" w:hAnsi="Calibri" w:cs="Calibri"/>
                <w:color w:val="000000"/>
                <w:sz w:val="18"/>
                <w:szCs w:val="18"/>
              </w:rPr>
              <w:t> </w:t>
            </w:r>
          </w:p>
        </w:tc>
        <w:tc>
          <w:tcPr>
            <w:tcW w:w="1075" w:type="dxa"/>
            <w:tcBorders>
              <w:top w:val="single" w:sz="4" w:space="0" w:color="auto"/>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625FFD" w:rsidP="00625FFD" w14:paraId="68E39E0B" w14:textId="77777777">
            <w:pPr>
              <w:rPr>
                <w:rFonts w:ascii="Calibri" w:hAnsi="Calibri" w:cs="Calibri"/>
                <w:color w:val="000000"/>
                <w:sz w:val="18"/>
                <w:szCs w:val="18"/>
              </w:rPr>
            </w:pPr>
            <w:r>
              <w:rPr>
                <w:rFonts w:ascii="Calibri" w:hAnsi="Calibri" w:cs="Calibri"/>
                <w:color w:val="000000"/>
                <w:sz w:val="18"/>
                <w:szCs w:val="18"/>
              </w:rPr>
              <w:t>New collection</w:t>
            </w:r>
          </w:p>
        </w:tc>
      </w:tr>
      <w:tr w14:paraId="1263B821" w14:textId="77777777" w:rsidTr="00F47AED">
        <w:tblPrEx>
          <w:tblW w:w="9286" w:type="dxa"/>
          <w:tblCellMar>
            <w:left w:w="0" w:type="dxa"/>
            <w:right w:w="0" w:type="dxa"/>
          </w:tblCellMar>
          <w:tblLook w:val="04A0"/>
        </w:tblPrEx>
        <w:trPr>
          <w:trHeight w:val="315"/>
        </w:trPr>
        <w:tc>
          <w:tcPr>
            <w:tcW w:w="1159"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rsidR="00625FFD" w:rsidP="00625FFD" w14:paraId="634E1EDF" w14:textId="77777777">
            <w:pPr>
              <w:rPr>
                <w:rFonts w:ascii="Calibri" w:hAnsi="Calibri" w:cs="Calibri"/>
                <w:color w:val="000000"/>
                <w:sz w:val="16"/>
                <w:szCs w:val="16"/>
              </w:rPr>
            </w:pPr>
            <w:r>
              <w:rPr>
                <w:rFonts w:ascii="Calibri" w:hAnsi="Calibri" w:cs="Calibri"/>
                <w:color w:val="000000"/>
                <w:sz w:val="16"/>
                <w:szCs w:val="16"/>
              </w:rPr>
              <w:t> </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625FFD" w:rsidP="00625FFD" w14:paraId="47033EA2" w14:textId="72E35956">
            <w:pPr>
              <w:jc w:val="right"/>
              <w:rPr>
                <w:rFonts w:ascii="Calibri" w:hAnsi="Calibri" w:cs="Calibri"/>
                <w:color w:val="000000"/>
                <w:sz w:val="16"/>
                <w:szCs w:val="16"/>
              </w:rPr>
            </w:pPr>
            <w:r>
              <w:rPr>
                <w:rFonts w:ascii="Calibri" w:hAnsi="Calibri" w:cs="Calibri"/>
                <w:color w:val="000000"/>
                <w:sz w:val="16"/>
                <w:szCs w:val="16"/>
              </w:rPr>
              <w:t> </w:t>
            </w:r>
          </w:p>
        </w:tc>
        <w:tc>
          <w:tcPr>
            <w:tcW w:w="1718"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625FFD" w:rsidP="00625FFD" w14:paraId="62869CB9" w14:textId="16E720FF">
            <w:pPr>
              <w:jc w:val="right"/>
              <w:rPr>
                <w:rFonts w:ascii="Calibri" w:hAnsi="Calibri" w:cs="Calibri"/>
                <w:color w:val="000000"/>
                <w:sz w:val="18"/>
                <w:szCs w:val="18"/>
              </w:rPr>
            </w:pPr>
            <w:r>
              <w:rPr>
                <w:rFonts w:ascii="Calibri" w:hAnsi="Calibri" w:cs="Calibri"/>
                <w:color w:val="000000"/>
                <w:sz w:val="18"/>
                <w:szCs w:val="18"/>
              </w:rPr>
              <w:t> </w:t>
            </w:r>
          </w:p>
        </w:tc>
        <w:tc>
          <w:tcPr>
            <w:tcW w:w="1899"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625FFD" w:rsidP="00625FFD" w14:paraId="6137572C" w14:textId="3BE987B7">
            <w:pPr>
              <w:jc w:val="right"/>
              <w:rPr>
                <w:rFonts w:ascii="Calibri" w:hAnsi="Calibri" w:cs="Calibri"/>
                <w:color w:val="000000"/>
                <w:sz w:val="18"/>
                <w:szCs w:val="18"/>
              </w:rPr>
            </w:pPr>
            <w:r>
              <w:rPr>
                <w:rFonts w:ascii="Calibri" w:hAnsi="Calibri" w:cs="Calibri"/>
                <w:color w:val="000000"/>
                <w:sz w:val="18"/>
                <w:szCs w:val="18"/>
              </w:rPr>
              <w:t> </w:t>
            </w:r>
          </w:p>
        </w:tc>
        <w:tc>
          <w:tcPr>
            <w:tcW w:w="1718"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625FFD" w:rsidP="00625FFD" w14:paraId="23181764" w14:textId="09085059">
            <w:pPr>
              <w:jc w:val="right"/>
              <w:rPr>
                <w:rFonts w:ascii="Calibri" w:hAnsi="Calibri" w:cs="Calibri"/>
                <w:color w:val="000000"/>
                <w:sz w:val="18"/>
                <w:szCs w:val="18"/>
              </w:rPr>
            </w:pPr>
            <w:r>
              <w:rPr>
                <w:rFonts w:ascii="Calibri" w:hAnsi="Calibri" w:cs="Calibri"/>
                <w:color w:val="000000"/>
                <w:sz w:val="18"/>
                <w:szCs w:val="18"/>
              </w:rPr>
              <w:t> </w:t>
            </w:r>
          </w:p>
        </w:tc>
        <w:tc>
          <w:tcPr>
            <w:tcW w:w="1075"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625FFD" w:rsidP="00625FFD" w14:paraId="6E461A16" w14:textId="77777777">
            <w:pPr>
              <w:rPr>
                <w:rFonts w:ascii="Calibri" w:hAnsi="Calibri" w:cs="Calibri"/>
                <w:color w:val="000000"/>
                <w:sz w:val="18"/>
                <w:szCs w:val="18"/>
              </w:rPr>
            </w:pPr>
            <w:r>
              <w:rPr>
                <w:rFonts w:ascii="Calibri" w:hAnsi="Calibri" w:cs="Calibri"/>
                <w:color w:val="000000"/>
                <w:sz w:val="18"/>
                <w:szCs w:val="18"/>
              </w:rPr>
              <w:t> </w:t>
            </w:r>
          </w:p>
        </w:tc>
      </w:tr>
      <w:tr w14:paraId="7503FF0B" w14:textId="77777777" w:rsidTr="00F47AED">
        <w:tblPrEx>
          <w:tblW w:w="9286" w:type="dxa"/>
          <w:tblCellMar>
            <w:left w:w="0" w:type="dxa"/>
            <w:right w:w="0" w:type="dxa"/>
          </w:tblCellMar>
          <w:tblLook w:val="04A0"/>
        </w:tblPrEx>
        <w:trPr>
          <w:trHeight w:val="915"/>
        </w:trPr>
        <w:tc>
          <w:tcPr>
            <w:tcW w:w="1159"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rsidR="00625FFD" w:rsidP="00625FFD" w14:paraId="169B8077" w14:textId="77777777">
            <w:pPr>
              <w:rPr>
                <w:rFonts w:ascii="Calibri" w:hAnsi="Calibri" w:cs="Calibri"/>
                <w:b/>
                <w:bCs/>
                <w:color w:val="000000"/>
                <w:sz w:val="16"/>
                <w:szCs w:val="16"/>
              </w:rPr>
            </w:pPr>
            <w:r>
              <w:rPr>
                <w:rFonts w:ascii="Calibri" w:hAnsi="Calibri" w:cs="Calibri"/>
                <w:b/>
                <w:bCs/>
                <w:color w:val="000000"/>
                <w:sz w:val="16"/>
                <w:szCs w:val="16"/>
              </w:rPr>
              <w:t>EM Service Provider Requirements</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625FFD" w:rsidP="00625FFD" w14:paraId="669C0ABA" w14:textId="1EFF2A25">
            <w:pPr>
              <w:jc w:val="right"/>
              <w:rPr>
                <w:rFonts w:ascii="Calibri" w:hAnsi="Calibri" w:cs="Calibri"/>
                <w:color w:val="000000"/>
                <w:sz w:val="16"/>
                <w:szCs w:val="16"/>
              </w:rPr>
            </w:pPr>
            <w:r>
              <w:rPr>
                <w:rFonts w:ascii="Calibri" w:hAnsi="Calibri" w:cs="Calibri"/>
                <w:color w:val="000000"/>
                <w:sz w:val="16"/>
                <w:szCs w:val="16"/>
              </w:rPr>
              <w:t> </w:t>
            </w:r>
          </w:p>
        </w:tc>
        <w:tc>
          <w:tcPr>
            <w:tcW w:w="1718"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625FFD" w:rsidP="00625FFD" w14:paraId="0B5475F0" w14:textId="3E008FAE">
            <w:pPr>
              <w:jc w:val="right"/>
              <w:rPr>
                <w:rFonts w:ascii="Calibri" w:hAnsi="Calibri" w:cs="Calibri"/>
                <w:color w:val="000000"/>
                <w:sz w:val="18"/>
                <w:szCs w:val="18"/>
              </w:rPr>
            </w:pPr>
            <w:r>
              <w:rPr>
                <w:rFonts w:ascii="Calibri" w:hAnsi="Calibri" w:cs="Calibri"/>
                <w:color w:val="000000"/>
                <w:sz w:val="18"/>
                <w:szCs w:val="18"/>
              </w:rPr>
              <w:t> </w:t>
            </w:r>
          </w:p>
        </w:tc>
        <w:tc>
          <w:tcPr>
            <w:tcW w:w="1899"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625FFD" w:rsidP="00625FFD" w14:paraId="423D2F09" w14:textId="3694CF91">
            <w:pPr>
              <w:jc w:val="right"/>
              <w:rPr>
                <w:rFonts w:ascii="Calibri" w:hAnsi="Calibri" w:cs="Calibri"/>
                <w:color w:val="000000"/>
                <w:sz w:val="18"/>
                <w:szCs w:val="18"/>
              </w:rPr>
            </w:pPr>
            <w:r>
              <w:rPr>
                <w:rFonts w:ascii="Calibri" w:hAnsi="Calibri" w:cs="Calibri"/>
                <w:color w:val="000000"/>
                <w:sz w:val="18"/>
                <w:szCs w:val="18"/>
              </w:rPr>
              <w:t> </w:t>
            </w:r>
          </w:p>
        </w:tc>
        <w:tc>
          <w:tcPr>
            <w:tcW w:w="1718"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625FFD" w:rsidP="00625FFD" w14:paraId="4042449C" w14:textId="05EBC0DA">
            <w:pPr>
              <w:jc w:val="right"/>
              <w:rPr>
                <w:rFonts w:ascii="Calibri" w:hAnsi="Calibri" w:cs="Calibri"/>
                <w:color w:val="000000"/>
                <w:sz w:val="18"/>
                <w:szCs w:val="18"/>
              </w:rPr>
            </w:pPr>
            <w:r>
              <w:rPr>
                <w:rFonts w:ascii="Calibri" w:hAnsi="Calibri" w:cs="Calibri"/>
                <w:color w:val="000000"/>
                <w:sz w:val="18"/>
                <w:szCs w:val="18"/>
              </w:rPr>
              <w:t> </w:t>
            </w:r>
          </w:p>
        </w:tc>
        <w:tc>
          <w:tcPr>
            <w:tcW w:w="1075"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625FFD" w:rsidP="00625FFD" w14:paraId="494EF46E" w14:textId="77777777">
            <w:pPr>
              <w:rPr>
                <w:rFonts w:ascii="Calibri" w:hAnsi="Calibri" w:cs="Calibri"/>
                <w:color w:val="000000"/>
                <w:sz w:val="18"/>
                <w:szCs w:val="18"/>
              </w:rPr>
            </w:pPr>
            <w:r>
              <w:rPr>
                <w:rFonts w:ascii="Calibri" w:hAnsi="Calibri" w:cs="Calibri"/>
                <w:color w:val="000000"/>
                <w:sz w:val="18"/>
                <w:szCs w:val="18"/>
              </w:rPr>
              <w:t> </w:t>
            </w:r>
          </w:p>
        </w:tc>
      </w:tr>
      <w:tr w14:paraId="6F2336D6" w14:textId="77777777" w:rsidTr="00F47AED">
        <w:tblPrEx>
          <w:tblW w:w="9286" w:type="dxa"/>
          <w:tblCellMar>
            <w:left w:w="0" w:type="dxa"/>
            <w:right w:w="0" w:type="dxa"/>
          </w:tblCellMar>
          <w:tblLook w:val="04A0"/>
        </w:tblPrEx>
        <w:trPr>
          <w:trHeight w:val="495"/>
        </w:trPr>
        <w:tc>
          <w:tcPr>
            <w:tcW w:w="1159"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rsidR="00625FFD" w:rsidP="00625FFD" w14:paraId="355C3618" w14:textId="77777777">
            <w:pPr>
              <w:rPr>
                <w:rFonts w:ascii="Calibri" w:hAnsi="Calibri" w:cs="Calibri"/>
                <w:color w:val="000000"/>
                <w:sz w:val="16"/>
                <w:szCs w:val="16"/>
              </w:rPr>
            </w:pPr>
            <w:r>
              <w:rPr>
                <w:rFonts w:ascii="Calibri" w:hAnsi="Calibri" w:cs="Calibri"/>
                <w:color w:val="000000"/>
                <w:sz w:val="16"/>
                <w:szCs w:val="16"/>
              </w:rPr>
              <w:t xml:space="preserve">    Application</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625FFD" w:rsidP="00625FFD" w14:paraId="2D93FC2E" w14:textId="40521023">
            <w:pPr>
              <w:jc w:val="right"/>
              <w:rPr>
                <w:rFonts w:ascii="Calibri" w:hAnsi="Calibri" w:cs="Calibri"/>
                <w:color w:val="000000"/>
                <w:sz w:val="16"/>
                <w:szCs w:val="16"/>
              </w:rPr>
            </w:pPr>
            <w:r>
              <w:rPr>
                <w:rFonts w:ascii="Calibri" w:hAnsi="Calibri" w:cs="Calibri"/>
                <w:color w:val="000000"/>
                <w:sz w:val="16"/>
                <w:szCs w:val="16"/>
              </w:rPr>
              <w:t xml:space="preserve">$3,662.40 </w:t>
            </w:r>
          </w:p>
        </w:tc>
        <w:tc>
          <w:tcPr>
            <w:tcW w:w="1718"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625FFD" w:rsidP="00625FFD" w14:paraId="213E32CD" w14:textId="2741D73F">
            <w:pPr>
              <w:jc w:val="right"/>
              <w:rPr>
                <w:rFonts w:ascii="Calibri" w:hAnsi="Calibri" w:cs="Calibri"/>
                <w:color w:val="000000"/>
                <w:sz w:val="18"/>
                <w:szCs w:val="18"/>
              </w:rPr>
            </w:pPr>
            <w:r>
              <w:rPr>
                <w:rFonts w:ascii="Calibri" w:hAnsi="Calibri" w:cs="Calibri"/>
                <w:color w:val="000000"/>
                <w:sz w:val="18"/>
                <w:szCs w:val="18"/>
              </w:rPr>
              <w:t> </w:t>
            </w:r>
          </w:p>
        </w:tc>
        <w:tc>
          <w:tcPr>
            <w:tcW w:w="1899"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625FFD" w:rsidP="00625FFD" w14:paraId="6A2F9DE3" w14:textId="23EB5F22">
            <w:pPr>
              <w:jc w:val="right"/>
              <w:rPr>
                <w:rFonts w:ascii="Calibri" w:hAnsi="Calibri" w:cs="Calibri"/>
                <w:color w:val="000000"/>
                <w:sz w:val="18"/>
                <w:szCs w:val="18"/>
              </w:rPr>
            </w:pPr>
            <w:r>
              <w:rPr>
                <w:rFonts w:ascii="Calibri" w:hAnsi="Calibri" w:cs="Calibri"/>
                <w:color w:val="000000"/>
                <w:sz w:val="18"/>
                <w:szCs w:val="18"/>
              </w:rPr>
              <w:t xml:space="preserve">$46.00 </w:t>
            </w:r>
          </w:p>
        </w:tc>
        <w:tc>
          <w:tcPr>
            <w:tcW w:w="1718"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625FFD" w:rsidP="00625FFD" w14:paraId="3FC90F3E" w14:textId="17AD6DA0">
            <w:pPr>
              <w:jc w:val="right"/>
              <w:rPr>
                <w:rFonts w:ascii="Calibri" w:hAnsi="Calibri" w:cs="Calibri"/>
                <w:color w:val="000000"/>
                <w:sz w:val="18"/>
                <w:szCs w:val="18"/>
              </w:rPr>
            </w:pPr>
            <w:r>
              <w:rPr>
                <w:rFonts w:ascii="Calibri" w:hAnsi="Calibri" w:cs="Calibri"/>
                <w:color w:val="000000"/>
                <w:sz w:val="18"/>
                <w:szCs w:val="18"/>
              </w:rPr>
              <w:t> </w:t>
            </w:r>
          </w:p>
        </w:tc>
        <w:tc>
          <w:tcPr>
            <w:tcW w:w="1075"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625FFD" w:rsidP="00625FFD" w14:paraId="1F5A8814" w14:textId="77777777">
            <w:pPr>
              <w:rPr>
                <w:rFonts w:ascii="Calibri" w:hAnsi="Calibri" w:cs="Calibri"/>
                <w:color w:val="000000"/>
                <w:sz w:val="18"/>
                <w:szCs w:val="18"/>
              </w:rPr>
            </w:pPr>
            <w:r>
              <w:rPr>
                <w:rFonts w:ascii="Calibri" w:hAnsi="Calibri" w:cs="Calibri"/>
                <w:color w:val="000000"/>
                <w:sz w:val="18"/>
                <w:szCs w:val="18"/>
              </w:rPr>
              <w:t>New collection</w:t>
            </w:r>
          </w:p>
        </w:tc>
      </w:tr>
      <w:tr w14:paraId="10ED28AD" w14:textId="77777777" w:rsidTr="00F47AED">
        <w:tblPrEx>
          <w:tblW w:w="9286" w:type="dxa"/>
          <w:tblCellMar>
            <w:left w:w="0" w:type="dxa"/>
            <w:right w:w="0" w:type="dxa"/>
          </w:tblCellMar>
          <w:tblLook w:val="04A0"/>
        </w:tblPrEx>
        <w:trPr>
          <w:trHeight w:val="495"/>
        </w:trPr>
        <w:tc>
          <w:tcPr>
            <w:tcW w:w="1159"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rsidR="00625FFD" w:rsidP="00625FFD" w14:paraId="2B51AEC1" w14:textId="77777777">
            <w:pPr>
              <w:rPr>
                <w:rFonts w:ascii="Calibri" w:hAnsi="Calibri" w:cs="Calibri"/>
                <w:color w:val="000000"/>
                <w:sz w:val="16"/>
                <w:szCs w:val="16"/>
              </w:rPr>
            </w:pPr>
            <w:r>
              <w:rPr>
                <w:rFonts w:ascii="Calibri" w:hAnsi="Calibri" w:cs="Calibri"/>
                <w:color w:val="000000"/>
                <w:sz w:val="16"/>
                <w:szCs w:val="16"/>
              </w:rPr>
              <w:t xml:space="preserve">          Copy of contracts</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625FFD" w:rsidP="00625FFD" w14:paraId="77A9DC41" w14:textId="32F709D2">
            <w:pPr>
              <w:jc w:val="right"/>
              <w:rPr>
                <w:rFonts w:ascii="Calibri" w:hAnsi="Calibri" w:cs="Calibri"/>
                <w:color w:val="000000"/>
                <w:sz w:val="16"/>
                <w:szCs w:val="16"/>
              </w:rPr>
            </w:pPr>
            <w:r>
              <w:rPr>
                <w:rFonts w:ascii="Calibri" w:hAnsi="Calibri" w:cs="Calibri"/>
                <w:color w:val="000000"/>
                <w:sz w:val="16"/>
                <w:szCs w:val="16"/>
              </w:rPr>
              <w:t xml:space="preserve">$213.64 </w:t>
            </w:r>
          </w:p>
        </w:tc>
        <w:tc>
          <w:tcPr>
            <w:tcW w:w="1718"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625FFD" w:rsidP="00625FFD" w14:paraId="4A73A804" w14:textId="4A407A81">
            <w:pPr>
              <w:jc w:val="right"/>
              <w:rPr>
                <w:rFonts w:ascii="Calibri" w:hAnsi="Calibri" w:cs="Calibri"/>
                <w:color w:val="000000"/>
                <w:sz w:val="18"/>
                <w:szCs w:val="18"/>
              </w:rPr>
            </w:pPr>
            <w:r>
              <w:rPr>
                <w:rFonts w:ascii="Calibri" w:hAnsi="Calibri" w:cs="Calibri"/>
                <w:color w:val="000000"/>
                <w:sz w:val="18"/>
                <w:szCs w:val="18"/>
              </w:rPr>
              <w:t> </w:t>
            </w:r>
          </w:p>
        </w:tc>
        <w:tc>
          <w:tcPr>
            <w:tcW w:w="1899"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625FFD" w:rsidP="00625FFD" w14:paraId="52018BC7" w14:textId="26A89011">
            <w:pPr>
              <w:jc w:val="right"/>
              <w:rPr>
                <w:rFonts w:ascii="Calibri" w:hAnsi="Calibri" w:cs="Calibri"/>
                <w:color w:val="000000"/>
                <w:sz w:val="18"/>
                <w:szCs w:val="18"/>
              </w:rPr>
            </w:pPr>
            <w:r>
              <w:rPr>
                <w:rFonts w:ascii="Calibri" w:hAnsi="Calibri" w:cs="Calibri"/>
                <w:color w:val="000000"/>
                <w:sz w:val="18"/>
                <w:szCs w:val="18"/>
              </w:rPr>
              <w:t xml:space="preserve">$32.55 </w:t>
            </w:r>
          </w:p>
        </w:tc>
        <w:tc>
          <w:tcPr>
            <w:tcW w:w="1718"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625FFD" w:rsidP="00625FFD" w14:paraId="205C2178" w14:textId="2BAB908D">
            <w:pPr>
              <w:jc w:val="right"/>
              <w:rPr>
                <w:rFonts w:ascii="Calibri" w:hAnsi="Calibri" w:cs="Calibri"/>
                <w:color w:val="000000"/>
                <w:sz w:val="18"/>
                <w:szCs w:val="18"/>
              </w:rPr>
            </w:pPr>
            <w:r>
              <w:rPr>
                <w:rFonts w:ascii="Calibri" w:hAnsi="Calibri" w:cs="Calibri"/>
                <w:color w:val="000000"/>
                <w:sz w:val="18"/>
                <w:szCs w:val="18"/>
              </w:rPr>
              <w:t> </w:t>
            </w:r>
          </w:p>
        </w:tc>
        <w:tc>
          <w:tcPr>
            <w:tcW w:w="1075"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625FFD" w:rsidP="00625FFD" w14:paraId="097CB9B6" w14:textId="77777777">
            <w:pPr>
              <w:rPr>
                <w:rFonts w:ascii="Calibri" w:hAnsi="Calibri" w:cs="Calibri"/>
                <w:color w:val="000000"/>
                <w:sz w:val="18"/>
                <w:szCs w:val="18"/>
              </w:rPr>
            </w:pPr>
            <w:r>
              <w:rPr>
                <w:rFonts w:ascii="Calibri" w:hAnsi="Calibri" w:cs="Calibri"/>
                <w:color w:val="000000"/>
                <w:sz w:val="18"/>
                <w:szCs w:val="18"/>
              </w:rPr>
              <w:t>New collection</w:t>
            </w:r>
          </w:p>
        </w:tc>
      </w:tr>
      <w:tr w14:paraId="67C3F3EE" w14:textId="77777777" w:rsidTr="00F47AED">
        <w:tblPrEx>
          <w:tblW w:w="9286" w:type="dxa"/>
          <w:tblCellMar>
            <w:left w:w="0" w:type="dxa"/>
            <w:right w:w="0" w:type="dxa"/>
          </w:tblCellMar>
          <w:tblLook w:val="04A0"/>
        </w:tblPrEx>
        <w:trPr>
          <w:trHeight w:val="915"/>
        </w:trPr>
        <w:tc>
          <w:tcPr>
            <w:tcW w:w="1159"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rsidR="00625FFD" w:rsidP="00625FFD" w14:paraId="753E391B" w14:textId="77777777">
            <w:pPr>
              <w:rPr>
                <w:rFonts w:ascii="Calibri" w:hAnsi="Calibri" w:cs="Calibri"/>
                <w:color w:val="000000"/>
                <w:sz w:val="16"/>
                <w:szCs w:val="16"/>
              </w:rPr>
            </w:pPr>
            <w:r>
              <w:rPr>
                <w:rFonts w:ascii="Calibri" w:hAnsi="Calibri" w:cs="Calibri"/>
                <w:color w:val="000000"/>
                <w:sz w:val="16"/>
                <w:szCs w:val="16"/>
              </w:rPr>
              <w:t xml:space="preserve">          Copies of additional documents</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625FFD" w:rsidP="00625FFD" w14:paraId="6F21ACDA" w14:textId="6FD549C9">
            <w:pPr>
              <w:jc w:val="right"/>
              <w:rPr>
                <w:rFonts w:ascii="Calibri" w:hAnsi="Calibri" w:cs="Calibri"/>
                <w:color w:val="000000"/>
                <w:sz w:val="16"/>
                <w:szCs w:val="16"/>
              </w:rPr>
            </w:pPr>
            <w:r>
              <w:rPr>
                <w:rFonts w:ascii="Calibri" w:hAnsi="Calibri" w:cs="Calibri"/>
                <w:color w:val="000000"/>
                <w:sz w:val="16"/>
                <w:szCs w:val="16"/>
              </w:rPr>
              <w:t xml:space="preserve">$91.56 </w:t>
            </w:r>
          </w:p>
        </w:tc>
        <w:tc>
          <w:tcPr>
            <w:tcW w:w="1718"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625FFD" w:rsidP="00625FFD" w14:paraId="79F124B2" w14:textId="647C98AE">
            <w:pPr>
              <w:jc w:val="right"/>
              <w:rPr>
                <w:rFonts w:ascii="Calibri" w:hAnsi="Calibri" w:cs="Calibri"/>
                <w:color w:val="000000"/>
                <w:sz w:val="18"/>
                <w:szCs w:val="18"/>
              </w:rPr>
            </w:pPr>
            <w:r>
              <w:rPr>
                <w:rFonts w:ascii="Calibri" w:hAnsi="Calibri" w:cs="Calibri"/>
                <w:color w:val="000000"/>
                <w:sz w:val="18"/>
                <w:szCs w:val="18"/>
              </w:rPr>
              <w:t> </w:t>
            </w:r>
          </w:p>
        </w:tc>
        <w:tc>
          <w:tcPr>
            <w:tcW w:w="1899"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625FFD" w:rsidP="00625FFD" w14:paraId="3319CA75" w14:textId="1AFA445F">
            <w:pPr>
              <w:jc w:val="right"/>
              <w:rPr>
                <w:rFonts w:ascii="Calibri" w:hAnsi="Calibri" w:cs="Calibri"/>
                <w:color w:val="000000"/>
                <w:sz w:val="18"/>
                <w:szCs w:val="18"/>
              </w:rPr>
            </w:pPr>
            <w:r>
              <w:rPr>
                <w:rFonts w:ascii="Calibri" w:hAnsi="Calibri" w:cs="Calibri"/>
                <w:color w:val="000000"/>
                <w:sz w:val="18"/>
                <w:szCs w:val="18"/>
              </w:rPr>
              <w:t xml:space="preserve">$13.95 </w:t>
            </w:r>
          </w:p>
        </w:tc>
        <w:tc>
          <w:tcPr>
            <w:tcW w:w="1718"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625FFD" w:rsidP="00625FFD" w14:paraId="7F78C5D7" w14:textId="0E1DBF57">
            <w:pPr>
              <w:jc w:val="right"/>
              <w:rPr>
                <w:rFonts w:ascii="Calibri" w:hAnsi="Calibri" w:cs="Calibri"/>
                <w:color w:val="000000"/>
                <w:sz w:val="18"/>
                <w:szCs w:val="18"/>
              </w:rPr>
            </w:pPr>
            <w:r>
              <w:rPr>
                <w:rFonts w:ascii="Calibri" w:hAnsi="Calibri" w:cs="Calibri"/>
                <w:color w:val="000000"/>
                <w:sz w:val="18"/>
                <w:szCs w:val="18"/>
              </w:rPr>
              <w:t> </w:t>
            </w:r>
          </w:p>
        </w:tc>
        <w:tc>
          <w:tcPr>
            <w:tcW w:w="1075"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625FFD" w:rsidP="00625FFD" w14:paraId="574AB30E" w14:textId="77777777">
            <w:pPr>
              <w:rPr>
                <w:rFonts w:ascii="Calibri" w:hAnsi="Calibri" w:cs="Calibri"/>
                <w:color w:val="000000"/>
                <w:sz w:val="18"/>
                <w:szCs w:val="18"/>
              </w:rPr>
            </w:pPr>
            <w:r>
              <w:rPr>
                <w:rFonts w:ascii="Calibri" w:hAnsi="Calibri" w:cs="Calibri"/>
                <w:color w:val="000000"/>
                <w:sz w:val="18"/>
                <w:szCs w:val="18"/>
              </w:rPr>
              <w:t>New collection</w:t>
            </w:r>
          </w:p>
        </w:tc>
      </w:tr>
      <w:tr w14:paraId="4DBDC700" w14:textId="77777777" w:rsidTr="00F47AED">
        <w:tblPrEx>
          <w:tblW w:w="9286" w:type="dxa"/>
          <w:tblCellMar>
            <w:left w:w="0" w:type="dxa"/>
            <w:right w:w="0" w:type="dxa"/>
          </w:tblCellMar>
          <w:tblLook w:val="04A0"/>
        </w:tblPrEx>
        <w:trPr>
          <w:trHeight w:val="495"/>
        </w:trPr>
        <w:tc>
          <w:tcPr>
            <w:tcW w:w="1159"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rsidR="00625FFD" w:rsidP="00625FFD" w14:paraId="6371D51D" w14:textId="77777777">
            <w:pPr>
              <w:rPr>
                <w:rFonts w:ascii="Calibri" w:hAnsi="Calibri" w:cs="Calibri"/>
                <w:color w:val="000000"/>
                <w:sz w:val="16"/>
                <w:szCs w:val="16"/>
              </w:rPr>
            </w:pPr>
            <w:r>
              <w:rPr>
                <w:rFonts w:ascii="Calibri" w:hAnsi="Calibri" w:cs="Calibri"/>
                <w:color w:val="000000"/>
                <w:sz w:val="16"/>
                <w:szCs w:val="16"/>
              </w:rPr>
              <w:t xml:space="preserve">    Appeal</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625FFD" w:rsidP="00625FFD" w14:paraId="2109A9B4" w14:textId="26422361">
            <w:pPr>
              <w:jc w:val="right"/>
              <w:rPr>
                <w:rFonts w:ascii="Calibri" w:hAnsi="Calibri" w:cs="Calibri"/>
                <w:color w:val="000000"/>
                <w:sz w:val="16"/>
                <w:szCs w:val="16"/>
              </w:rPr>
            </w:pPr>
            <w:r>
              <w:rPr>
                <w:rFonts w:ascii="Calibri" w:hAnsi="Calibri" w:cs="Calibri"/>
                <w:color w:val="000000"/>
                <w:sz w:val="16"/>
                <w:szCs w:val="16"/>
              </w:rPr>
              <w:t xml:space="preserve">$81.39 </w:t>
            </w:r>
          </w:p>
        </w:tc>
        <w:tc>
          <w:tcPr>
            <w:tcW w:w="1718"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625FFD" w:rsidP="00625FFD" w14:paraId="0AC03503" w14:textId="5254119C">
            <w:pPr>
              <w:jc w:val="right"/>
              <w:rPr>
                <w:rFonts w:ascii="Calibri" w:hAnsi="Calibri" w:cs="Calibri"/>
                <w:color w:val="000000"/>
                <w:sz w:val="18"/>
                <w:szCs w:val="18"/>
              </w:rPr>
            </w:pPr>
            <w:r>
              <w:rPr>
                <w:rFonts w:ascii="Calibri" w:hAnsi="Calibri" w:cs="Calibri"/>
                <w:color w:val="000000"/>
                <w:sz w:val="18"/>
                <w:szCs w:val="18"/>
              </w:rPr>
              <w:t> </w:t>
            </w:r>
          </w:p>
        </w:tc>
        <w:tc>
          <w:tcPr>
            <w:tcW w:w="1899"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625FFD" w:rsidP="00625FFD" w14:paraId="0ABE66AC" w14:textId="7E34718C">
            <w:pPr>
              <w:jc w:val="right"/>
              <w:rPr>
                <w:rFonts w:ascii="Calibri" w:hAnsi="Calibri" w:cs="Calibri"/>
                <w:color w:val="000000"/>
                <w:sz w:val="18"/>
                <w:szCs w:val="18"/>
              </w:rPr>
            </w:pPr>
            <w:r>
              <w:rPr>
                <w:rFonts w:ascii="Calibri" w:hAnsi="Calibri" w:cs="Calibri"/>
                <w:color w:val="000000"/>
                <w:sz w:val="18"/>
                <w:szCs w:val="18"/>
              </w:rPr>
              <w:t xml:space="preserve">$16.30 </w:t>
            </w:r>
          </w:p>
        </w:tc>
        <w:tc>
          <w:tcPr>
            <w:tcW w:w="1718"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625FFD" w:rsidP="00625FFD" w14:paraId="457578E6" w14:textId="3CF50CEF">
            <w:pPr>
              <w:jc w:val="right"/>
              <w:rPr>
                <w:rFonts w:ascii="Calibri" w:hAnsi="Calibri" w:cs="Calibri"/>
                <w:color w:val="000000"/>
                <w:sz w:val="18"/>
                <w:szCs w:val="18"/>
              </w:rPr>
            </w:pPr>
            <w:r>
              <w:rPr>
                <w:rFonts w:ascii="Calibri" w:hAnsi="Calibri" w:cs="Calibri"/>
                <w:color w:val="000000"/>
                <w:sz w:val="18"/>
                <w:szCs w:val="18"/>
              </w:rPr>
              <w:t> </w:t>
            </w:r>
          </w:p>
        </w:tc>
        <w:tc>
          <w:tcPr>
            <w:tcW w:w="1075"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625FFD" w:rsidP="00625FFD" w14:paraId="46ABF409" w14:textId="77777777">
            <w:pPr>
              <w:rPr>
                <w:rFonts w:ascii="Calibri" w:hAnsi="Calibri" w:cs="Calibri"/>
                <w:color w:val="000000"/>
                <w:sz w:val="18"/>
                <w:szCs w:val="18"/>
              </w:rPr>
            </w:pPr>
            <w:r>
              <w:rPr>
                <w:rFonts w:ascii="Calibri" w:hAnsi="Calibri" w:cs="Calibri"/>
                <w:color w:val="000000"/>
                <w:sz w:val="18"/>
                <w:szCs w:val="18"/>
              </w:rPr>
              <w:t>New collection</w:t>
            </w:r>
          </w:p>
        </w:tc>
      </w:tr>
      <w:tr w14:paraId="567BE49B" w14:textId="77777777" w:rsidTr="00F47AED">
        <w:tblPrEx>
          <w:tblW w:w="9286" w:type="dxa"/>
          <w:tblCellMar>
            <w:left w:w="0" w:type="dxa"/>
            <w:right w:w="0" w:type="dxa"/>
          </w:tblCellMar>
          <w:tblLook w:val="04A0"/>
        </w:tblPrEx>
        <w:trPr>
          <w:trHeight w:val="495"/>
        </w:trPr>
        <w:tc>
          <w:tcPr>
            <w:tcW w:w="1159"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rsidR="00625FFD" w:rsidP="00625FFD" w14:paraId="04881AA7" w14:textId="77777777">
            <w:pPr>
              <w:rPr>
                <w:rFonts w:ascii="Calibri" w:hAnsi="Calibri" w:cs="Calibri"/>
                <w:color w:val="000000"/>
                <w:sz w:val="16"/>
                <w:szCs w:val="16"/>
              </w:rPr>
            </w:pPr>
            <w:r>
              <w:rPr>
                <w:rFonts w:ascii="Calibri" w:hAnsi="Calibri" w:cs="Calibri"/>
                <w:color w:val="000000"/>
                <w:sz w:val="16"/>
                <w:szCs w:val="16"/>
              </w:rPr>
              <w:t xml:space="preserve">    Change to EMSP</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625FFD" w:rsidP="00625FFD" w14:paraId="74732F5D" w14:textId="1FFDF715">
            <w:pPr>
              <w:jc w:val="right"/>
              <w:rPr>
                <w:rFonts w:ascii="Calibri" w:hAnsi="Calibri" w:cs="Calibri"/>
                <w:color w:val="000000"/>
                <w:sz w:val="16"/>
                <w:szCs w:val="16"/>
              </w:rPr>
            </w:pPr>
            <w:r>
              <w:rPr>
                <w:rFonts w:ascii="Calibri" w:hAnsi="Calibri" w:cs="Calibri"/>
                <w:color w:val="000000"/>
                <w:sz w:val="16"/>
                <w:szCs w:val="16"/>
              </w:rPr>
              <w:t xml:space="preserve">$366.24 </w:t>
            </w:r>
          </w:p>
        </w:tc>
        <w:tc>
          <w:tcPr>
            <w:tcW w:w="1718"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625FFD" w:rsidP="00625FFD" w14:paraId="01ECF38E" w14:textId="6CFC9454">
            <w:pPr>
              <w:jc w:val="right"/>
              <w:rPr>
                <w:rFonts w:ascii="Calibri" w:hAnsi="Calibri" w:cs="Calibri"/>
                <w:color w:val="000000"/>
                <w:sz w:val="18"/>
                <w:szCs w:val="18"/>
              </w:rPr>
            </w:pPr>
            <w:r>
              <w:rPr>
                <w:rFonts w:ascii="Calibri" w:hAnsi="Calibri" w:cs="Calibri"/>
                <w:color w:val="000000"/>
                <w:sz w:val="18"/>
                <w:szCs w:val="18"/>
              </w:rPr>
              <w:t> </w:t>
            </w:r>
          </w:p>
        </w:tc>
        <w:tc>
          <w:tcPr>
            <w:tcW w:w="1899"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625FFD" w:rsidP="00625FFD" w14:paraId="7A48504B" w14:textId="30D34118">
            <w:pPr>
              <w:jc w:val="right"/>
              <w:rPr>
                <w:rFonts w:ascii="Calibri" w:hAnsi="Calibri" w:cs="Calibri"/>
                <w:color w:val="000000"/>
                <w:sz w:val="18"/>
                <w:szCs w:val="18"/>
              </w:rPr>
            </w:pPr>
            <w:r>
              <w:rPr>
                <w:rFonts w:ascii="Calibri" w:hAnsi="Calibri" w:cs="Calibri"/>
                <w:color w:val="000000"/>
                <w:sz w:val="18"/>
                <w:szCs w:val="18"/>
              </w:rPr>
              <w:t xml:space="preserve">$33.90 </w:t>
            </w:r>
          </w:p>
        </w:tc>
        <w:tc>
          <w:tcPr>
            <w:tcW w:w="1718"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625FFD" w:rsidP="00625FFD" w14:paraId="433D58EA" w14:textId="337502D2">
            <w:pPr>
              <w:jc w:val="right"/>
              <w:rPr>
                <w:rFonts w:ascii="Calibri" w:hAnsi="Calibri" w:cs="Calibri"/>
                <w:color w:val="000000"/>
                <w:sz w:val="18"/>
                <w:szCs w:val="18"/>
              </w:rPr>
            </w:pPr>
            <w:r>
              <w:rPr>
                <w:rFonts w:ascii="Calibri" w:hAnsi="Calibri" w:cs="Calibri"/>
                <w:color w:val="000000"/>
                <w:sz w:val="18"/>
                <w:szCs w:val="18"/>
              </w:rPr>
              <w:t> </w:t>
            </w:r>
          </w:p>
        </w:tc>
        <w:tc>
          <w:tcPr>
            <w:tcW w:w="1075"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625FFD" w:rsidP="00625FFD" w14:paraId="2388E9BE" w14:textId="77777777">
            <w:pPr>
              <w:rPr>
                <w:rFonts w:ascii="Calibri" w:hAnsi="Calibri" w:cs="Calibri"/>
                <w:color w:val="000000"/>
                <w:sz w:val="18"/>
                <w:szCs w:val="18"/>
              </w:rPr>
            </w:pPr>
            <w:r>
              <w:rPr>
                <w:rFonts w:ascii="Calibri" w:hAnsi="Calibri" w:cs="Calibri"/>
                <w:color w:val="000000"/>
                <w:sz w:val="18"/>
                <w:szCs w:val="18"/>
              </w:rPr>
              <w:t>New collection</w:t>
            </w:r>
          </w:p>
        </w:tc>
      </w:tr>
      <w:tr w14:paraId="2C5C1C4C" w14:textId="77777777" w:rsidTr="00F47AED">
        <w:tblPrEx>
          <w:tblW w:w="9286" w:type="dxa"/>
          <w:tblCellMar>
            <w:left w:w="0" w:type="dxa"/>
            <w:right w:w="0" w:type="dxa"/>
          </w:tblCellMar>
          <w:tblLook w:val="04A0"/>
        </w:tblPrEx>
        <w:trPr>
          <w:trHeight w:val="915"/>
        </w:trPr>
        <w:tc>
          <w:tcPr>
            <w:tcW w:w="1159"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rsidR="00625FFD" w:rsidP="00625FFD" w14:paraId="69FDEC31" w14:textId="77777777">
            <w:pPr>
              <w:rPr>
                <w:rFonts w:ascii="Calibri" w:hAnsi="Calibri" w:cs="Calibri"/>
                <w:color w:val="000000"/>
                <w:sz w:val="16"/>
                <w:szCs w:val="16"/>
              </w:rPr>
            </w:pPr>
            <w:r>
              <w:rPr>
                <w:rFonts w:ascii="Calibri" w:hAnsi="Calibri" w:cs="Calibri"/>
                <w:color w:val="000000"/>
                <w:sz w:val="16"/>
                <w:szCs w:val="16"/>
              </w:rPr>
              <w:t xml:space="preserve">    EM System Certification Form</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625FFD" w:rsidP="00625FFD" w14:paraId="4D5B047E" w14:textId="2AFA089C">
            <w:pPr>
              <w:jc w:val="right"/>
              <w:rPr>
                <w:rFonts w:ascii="Calibri" w:hAnsi="Calibri" w:cs="Calibri"/>
                <w:color w:val="000000"/>
                <w:sz w:val="16"/>
                <w:szCs w:val="16"/>
              </w:rPr>
            </w:pPr>
            <w:r>
              <w:rPr>
                <w:rFonts w:ascii="Calibri" w:hAnsi="Calibri" w:cs="Calibri"/>
                <w:color w:val="000000"/>
                <w:sz w:val="16"/>
                <w:szCs w:val="16"/>
              </w:rPr>
              <w:t xml:space="preserve">$274.68 </w:t>
            </w:r>
          </w:p>
        </w:tc>
        <w:tc>
          <w:tcPr>
            <w:tcW w:w="1718"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625FFD" w:rsidP="00625FFD" w14:paraId="37C836CE" w14:textId="552905BD">
            <w:pPr>
              <w:jc w:val="right"/>
              <w:rPr>
                <w:rFonts w:ascii="Calibri" w:hAnsi="Calibri" w:cs="Calibri"/>
                <w:color w:val="000000"/>
                <w:sz w:val="18"/>
                <w:szCs w:val="18"/>
              </w:rPr>
            </w:pPr>
            <w:r>
              <w:rPr>
                <w:rFonts w:ascii="Calibri" w:hAnsi="Calibri" w:cs="Calibri"/>
                <w:color w:val="000000"/>
                <w:sz w:val="18"/>
                <w:szCs w:val="18"/>
              </w:rPr>
              <w:t> </w:t>
            </w:r>
          </w:p>
        </w:tc>
        <w:tc>
          <w:tcPr>
            <w:tcW w:w="1899"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625FFD" w:rsidP="00625FFD" w14:paraId="16EB5F4B" w14:textId="21CDFEED">
            <w:pPr>
              <w:jc w:val="right"/>
              <w:rPr>
                <w:rFonts w:ascii="Calibri" w:hAnsi="Calibri" w:cs="Calibri"/>
                <w:color w:val="000000"/>
                <w:sz w:val="18"/>
                <w:szCs w:val="18"/>
              </w:rPr>
            </w:pPr>
            <w:r>
              <w:rPr>
                <w:rFonts w:ascii="Calibri" w:hAnsi="Calibri" w:cs="Calibri"/>
                <w:color w:val="000000"/>
                <w:sz w:val="18"/>
                <w:szCs w:val="18"/>
              </w:rPr>
              <w:t xml:space="preserve">$5.85 </w:t>
            </w:r>
          </w:p>
        </w:tc>
        <w:tc>
          <w:tcPr>
            <w:tcW w:w="1718"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625FFD" w:rsidP="00625FFD" w14:paraId="5EB38DA5" w14:textId="76B986B6">
            <w:pPr>
              <w:jc w:val="right"/>
              <w:rPr>
                <w:rFonts w:ascii="Calibri" w:hAnsi="Calibri" w:cs="Calibri"/>
                <w:color w:val="000000"/>
                <w:sz w:val="18"/>
                <w:szCs w:val="18"/>
              </w:rPr>
            </w:pPr>
            <w:r>
              <w:rPr>
                <w:rFonts w:ascii="Calibri" w:hAnsi="Calibri" w:cs="Calibri"/>
                <w:color w:val="000000"/>
                <w:sz w:val="18"/>
                <w:szCs w:val="18"/>
              </w:rPr>
              <w:t> </w:t>
            </w:r>
          </w:p>
        </w:tc>
        <w:tc>
          <w:tcPr>
            <w:tcW w:w="1075"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625FFD" w:rsidP="00625FFD" w14:paraId="294DE522" w14:textId="77777777">
            <w:pPr>
              <w:rPr>
                <w:rFonts w:ascii="Calibri" w:hAnsi="Calibri" w:cs="Calibri"/>
                <w:color w:val="000000"/>
                <w:sz w:val="18"/>
                <w:szCs w:val="18"/>
              </w:rPr>
            </w:pPr>
            <w:r>
              <w:rPr>
                <w:rFonts w:ascii="Calibri" w:hAnsi="Calibri" w:cs="Calibri"/>
                <w:color w:val="000000"/>
                <w:sz w:val="18"/>
                <w:szCs w:val="18"/>
              </w:rPr>
              <w:t>New collection</w:t>
            </w:r>
          </w:p>
        </w:tc>
      </w:tr>
      <w:tr w14:paraId="64390A93" w14:textId="77777777" w:rsidTr="00F47AED">
        <w:tblPrEx>
          <w:tblW w:w="9286" w:type="dxa"/>
          <w:tblCellMar>
            <w:left w:w="0" w:type="dxa"/>
            <w:right w:w="0" w:type="dxa"/>
          </w:tblCellMar>
          <w:tblLook w:val="04A0"/>
        </w:tblPrEx>
        <w:trPr>
          <w:trHeight w:val="690"/>
        </w:trPr>
        <w:tc>
          <w:tcPr>
            <w:tcW w:w="1159"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rsidR="00625FFD" w:rsidP="00625FFD" w14:paraId="64B66C5E" w14:textId="77777777">
            <w:pPr>
              <w:rPr>
                <w:rFonts w:ascii="Calibri" w:hAnsi="Calibri" w:cs="Calibri"/>
                <w:color w:val="000000"/>
                <w:sz w:val="16"/>
                <w:szCs w:val="16"/>
              </w:rPr>
            </w:pPr>
            <w:r>
              <w:rPr>
                <w:rFonts w:ascii="Calibri" w:hAnsi="Calibri" w:cs="Calibri"/>
                <w:color w:val="000000"/>
                <w:sz w:val="16"/>
                <w:szCs w:val="16"/>
              </w:rPr>
              <w:t xml:space="preserve">    Vessel Monitoring Plans</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625FFD" w:rsidP="00625FFD" w14:paraId="45684D68" w14:textId="4671F24C">
            <w:pPr>
              <w:jc w:val="right"/>
              <w:rPr>
                <w:rFonts w:ascii="Calibri" w:hAnsi="Calibri" w:cs="Calibri"/>
                <w:color w:val="000000"/>
                <w:sz w:val="16"/>
                <w:szCs w:val="16"/>
              </w:rPr>
            </w:pPr>
            <w:r>
              <w:rPr>
                <w:rFonts w:ascii="Calibri" w:hAnsi="Calibri" w:cs="Calibri"/>
                <w:color w:val="000000"/>
                <w:sz w:val="16"/>
                <w:szCs w:val="16"/>
              </w:rPr>
              <w:t xml:space="preserve">$2,197.44 </w:t>
            </w:r>
          </w:p>
        </w:tc>
        <w:tc>
          <w:tcPr>
            <w:tcW w:w="1718"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625FFD" w:rsidP="00625FFD" w14:paraId="4D6E60E7" w14:textId="1C6922F5">
            <w:pPr>
              <w:jc w:val="right"/>
              <w:rPr>
                <w:rFonts w:ascii="Calibri" w:hAnsi="Calibri" w:cs="Calibri"/>
                <w:color w:val="000000"/>
                <w:sz w:val="18"/>
                <w:szCs w:val="18"/>
              </w:rPr>
            </w:pPr>
            <w:r>
              <w:rPr>
                <w:rFonts w:ascii="Calibri" w:hAnsi="Calibri" w:cs="Calibri"/>
                <w:color w:val="000000"/>
                <w:sz w:val="18"/>
                <w:szCs w:val="18"/>
              </w:rPr>
              <w:t> </w:t>
            </w:r>
          </w:p>
        </w:tc>
        <w:tc>
          <w:tcPr>
            <w:tcW w:w="1899"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625FFD" w:rsidP="00625FFD" w14:paraId="1E885AC2" w14:textId="086EC036">
            <w:pPr>
              <w:jc w:val="right"/>
              <w:rPr>
                <w:rFonts w:ascii="Calibri" w:hAnsi="Calibri" w:cs="Calibri"/>
                <w:color w:val="000000"/>
                <w:sz w:val="18"/>
                <w:szCs w:val="18"/>
              </w:rPr>
            </w:pPr>
            <w:r>
              <w:rPr>
                <w:rFonts w:ascii="Calibri" w:hAnsi="Calibri" w:cs="Calibri"/>
                <w:color w:val="000000"/>
                <w:sz w:val="18"/>
                <w:szCs w:val="18"/>
              </w:rPr>
              <w:t xml:space="preserve">$18.00 </w:t>
            </w:r>
          </w:p>
        </w:tc>
        <w:tc>
          <w:tcPr>
            <w:tcW w:w="1718"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625FFD" w:rsidP="00625FFD" w14:paraId="700E79F9" w14:textId="1BD09BBB">
            <w:pPr>
              <w:jc w:val="right"/>
              <w:rPr>
                <w:rFonts w:ascii="Calibri" w:hAnsi="Calibri" w:cs="Calibri"/>
                <w:color w:val="000000"/>
                <w:sz w:val="18"/>
                <w:szCs w:val="18"/>
              </w:rPr>
            </w:pPr>
            <w:r>
              <w:rPr>
                <w:rFonts w:ascii="Calibri" w:hAnsi="Calibri" w:cs="Calibri"/>
                <w:color w:val="000000"/>
                <w:sz w:val="18"/>
                <w:szCs w:val="18"/>
              </w:rPr>
              <w:t> </w:t>
            </w:r>
          </w:p>
        </w:tc>
        <w:tc>
          <w:tcPr>
            <w:tcW w:w="1075"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625FFD" w:rsidP="00625FFD" w14:paraId="766A39D1" w14:textId="77777777">
            <w:pPr>
              <w:rPr>
                <w:rFonts w:ascii="Calibri" w:hAnsi="Calibri" w:cs="Calibri"/>
                <w:color w:val="000000"/>
                <w:sz w:val="18"/>
                <w:szCs w:val="18"/>
              </w:rPr>
            </w:pPr>
            <w:r>
              <w:rPr>
                <w:rFonts w:ascii="Calibri" w:hAnsi="Calibri" w:cs="Calibri"/>
                <w:color w:val="000000"/>
                <w:sz w:val="18"/>
                <w:szCs w:val="18"/>
              </w:rPr>
              <w:t>New collection</w:t>
            </w:r>
          </w:p>
        </w:tc>
      </w:tr>
      <w:tr w14:paraId="53FA9435" w14:textId="77777777" w:rsidTr="00F47AED">
        <w:tblPrEx>
          <w:tblW w:w="9286" w:type="dxa"/>
          <w:tblCellMar>
            <w:left w:w="0" w:type="dxa"/>
            <w:right w:w="0" w:type="dxa"/>
          </w:tblCellMar>
          <w:tblLook w:val="04A0"/>
        </w:tblPrEx>
        <w:trPr>
          <w:trHeight w:val="915"/>
        </w:trPr>
        <w:tc>
          <w:tcPr>
            <w:tcW w:w="1159"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rsidR="00625FFD" w:rsidP="00625FFD" w14:paraId="39260FCD" w14:textId="77777777">
            <w:pPr>
              <w:rPr>
                <w:rFonts w:ascii="Calibri" w:hAnsi="Calibri" w:cs="Calibri"/>
                <w:color w:val="000000"/>
                <w:sz w:val="16"/>
                <w:szCs w:val="16"/>
              </w:rPr>
            </w:pPr>
            <w:r>
              <w:rPr>
                <w:rFonts w:ascii="Calibri" w:hAnsi="Calibri" w:cs="Calibri"/>
                <w:color w:val="000000"/>
                <w:sz w:val="16"/>
                <w:szCs w:val="16"/>
              </w:rPr>
              <w:t xml:space="preserve">         Quarterly EM Review Reports</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625FFD" w:rsidP="00625FFD" w14:paraId="04390B9C" w14:textId="2E907675">
            <w:pPr>
              <w:jc w:val="right"/>
              <w:rPr>
                <w:rFonts w:ascii="Calibri" w:hAnsi="Calibri" w:cs="Calibri"/>
                <w:color w:val="000000"/>
                <w:sz w:val="16"/>
                <w:szCs w:val="16"/>
              </w:rPr>
            </w:pPr>
            <w:r>
              <w:rPr>
                <w:rFonts w:ascii="Calibri" w:hAnsi="Calibri" w:cs="Calibri"/>
                <w:color w:val="000000"/>
                <w:sz w:val="16"/>
                <w:szCs w:val="16"/>
              </w:rPr>
              <w:t xml:space="preserve">$29,299.20 </w:t>
            </w:r>
          </w:p>
        </w:tc>
        <w:tc>
          <w:tcPr>
            <w:tcW w:w="1718"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625FFD" w:rsidP="00625FFD" w14:paraId="1B7F14E0" w14:textId="771D382C">
            <w:pPr>
              <w:jc w:val="right"/>
              <w:rPr>
                <w:rFonts w:ascii="Calibri" w:hAnsi="Calibri" w:cs="Calibri"/>
                <w:color w:val="000000"/>
                <w:sz w:val="18"/>
                <w:szCs w:val="18"/>
              </w:rPr>
            </w:pPr>
            <w:r>
              <w:rPr>
                <w:rFonts w:ascii="Calibri" w:hAnsi="Calibri" w:cs="Calibri"/>
                <w:color w:val="000000"/>
                <w:sz w:val="18"/>
                <w:szCs w:val="18"/>
              </w:rPr>
              <w:t> </w:t>
            </w:r>
          </w:p>
        </w:tc>
        <w:tc>
          <w:tcPr>
            <w:tcW w:w="1899"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625FFD" w:rsidP="00625FFD" w14:paraId="75508780" w14:textId="3700EFBD">
            <w:pPr>
              <w:jc w:val="right"/>
              <w:rPr>
                <w:rFonts w:ascii="Calibri" w:hAnsi="Calibri" w:cs="Calibri"/>
                <w:color w:val="000000"/>
                <w:sz w:val="18"/>
                <w:szCs w:val="18"/>
              </w:rPr>
            </w:pPr>
            <w:r>
              <w:rPr>
                <w:rFonts w:ascii="Calibri" w:hAnsi="Calibri" w:cs="Calibri"/>
                <w:color w:val="000000"/>
                <w:sz w:val="18"/>
                <w:szCs w:val="18"/>
              </w:rPr>
              <w:t xml:space="preserve">$0.00 </w:t>
            </w:r>
          </w:p>
        </w:tc>
        <w:tc>
          <w:tcPr>
            <w:tcW w:w="1718"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625FFD" w:rsidP="00625FFD" w14:paraId="2D6B2732" w14:textId="39F9F3F6">
            <w:pPr>
              <w:jc w:val="right"/>
              <w:rPr>
                <w:rFonts w:ascii="Calibri" w:hAnsi="Calibri" w:cs="Calibri"/>
                <w:color w:val="000000"/>
                <w:sz w:val="18"/>
                <w:szCs w:val="18"/>
              </w:rPr>
            </w:pPr>
            <w:r>
              <w:rPr>
                <w:rFonts w:ascii="Calibri" w:hAnsi="Calibri" w:cs="Calibri"/>
                <w:color w:val="000000"/>
                <w:sz w:val="18"/>
                <w:szCs w:val="18"/>
              </w:rPr>
              <w:t> </w:t>
            </w:r>
          </w:p>
        </w:tc>
        <w:tc>
          <w:tcPr>
            <w:tcW w:w="1075"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625FFD" w:rsidP="00625FFD" w14:paraId="02CB8003" w14:textId="77777777">
            <w:pPr>
              <w:rPr>
                <w:rFonts w:ascii="Calibri" w:hAnsi="Calibri" w:cs="Calibri"/>
                <w:color w:val="000000"/>
                <w:sz w:val="18"/>
                <w:szCs w:val="18"/>
              </w:rPr>
            </w:pPr>
            <w:r>
              <w:rPr>
                <w:rFonts w:ascii="Calibri" w:hAnsi="Calibri" w:cs="Calibri"/>
                <w:color w:val="000000"/>
                <w:sz w:val="18"/>
                <w:szCs w:val="18"/>
              </w:rPr>
              <w:t>New collection</w:t>
            </w:r>
          </w:p>
        </w:tc>
      </w:tr>
      <w:tr w14:paraId="1508546C" w14:textId="77777777" w:rsidTr="00F47AED">
        <w:tblPrEx>
          <w:tblW w:w="9286" w:type="dxa"/>
          <w:tblCellMar>
            <w:left w:w="0" w:type="dxa"/>
            <w:right w:w="0" w:type="dxa"/>
          </w:tblCellMar>
          <w:tblLook w:val="04A0"/>
        </w:tblPrEx>
        <w:trPr>
          <w:trHeight w:val="690"/>
        </w:trPr>
        <w:tc>
          <w:tcPr>
            <w:tcW w:w="1159"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rsidR="00625FFD" w:rsidP="00625FFD" w14:paraId="4F149A09" w14:textId="77777777">
            <w:pPr>
              <w:rPr>
                <w:rFonts w:ascii="Calibri" w:hAnsi="Calibri" w:cs="Calibri"/>
                <w:color w:val="000000"/>
                <w:sz w:val="16"/>
                <w:szCs w:val="16"/>
              </w:rPr>
            </w:pPr>
            <w:r>
              <w:rPr>
                <w:rFonts w:ascii="Calibri" w:hAnsi="Calibri" w:cs="Calibri"/>
                <w:color w:val="000000"/>
                <w:sz w:val="16"/>
                <w:szCs w:val="16"/>
              </w:rPr>
              <w:t xml:space="preserve">         Technical Assistance </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625FFD" w:rsidP="00625FFD" w14:paraId="64662183" w14:textId="4510F717">
            <w:pPr>
              <w:jc w:val="right"/>
              <w:rPr>
                <w:rFonts w:ascii="Calibri" w:hAnsi="Calibri" w:cs="Calibri"/>
                <w:color w:val="000000"/>
                <w:sz w:val="16"/>
                <w:szCs w:val="16"/>
              </w:rPr>
            </w:pPr>
            <w:r>
              <w:rPr>
                <w:rFonts w:ascii="Calibri" w:hAnsi="Calibri" w:cs="Calibri"/>
                <w:color w:val="000000"/>
                <w:sz w:val="16"/>
                <w:szCs w:val="16"/>
              </w:rPr>
              <w:t xml:space="preserve">$604.30 </w:t>
            </w:r>
          </w:p>
        </w:tc>
        <w:tc>
          <w:tcPr>
            <w:tcW w:w="1718"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625FFD" w:rsidP="00625FFD" w14:paraId="3D207B0D" w14:textId="36E3F536">
            <w:pPr>
              <w:jc w:val="right"/>
              <w:rPr>
                <w:rFonts w:ascii="Calibri" w:hAnsi="Calibri" w:cs="Calibri"/>
                <w:color w:val="000000"/>
                <w:sz w:val="18"/>
                <w:szCs w:val="18"/>
              </w:rPr>
            </w:pPr>
            <w:r>
              <w:rPr>
                <w:rFonts w:ascii="Calibri" w:hAnsi="Calibri" w:cs="Calibri"/>
                <w:color w:val="000000"/>
                <w:sz w:val="18"/>
                <w:szCs w:val="18"/>
              </w:rPr>
              <w:t> </w:t>
            </w:r>
          </w:p>
        </w:tc>
        <w:tc>
          <w:tcPr>
            <w:tcW w:w="1899"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625FFD" w:rsidP="00625FFD" w14:paraId="221D811C" w14:textId="6242F9DF">
            <w:pPr>
              <w:jc w:val="right"/>
              <w:rPr>
                <w:rFonts w:ascii="Calibri" w:hAnsi="Calibri" w:cs="Calibri"/>
                <w:color w:val="000000"/>
                <w:sz w:val="18"/>
                <w:szCs w:val="18"/>
              </w:rPr>
            </w:pPr>
            <w:r>
              <w:rPr>
                <w:rFonts w:ascii="Calibri" w:hAnsi="Calibri" w:cs="Calibri"/>
                <w:color w:val="000000"/>
                <w:sz w:val="18"/>
                <w:szCs w:val="18"/>
              </w:rPr>
              <w:t xml:space="preserve">$0.00 </w:t>
            </w:r>
          </w:p>
        </w:tc>
        <w:tc>
          <w:tcPr>
            <w:tcW w:w="1718"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625FFD" w:rsidP="00625FFD" w14:paraId="60EECB6A" w14:textId="3E78D75F">
            <w:pPr>
              <w:jc w:val="right"/>
              <w:rPr>
                <w:rFonts w:ascii="Calibri" w:hAnsi="Calibri" w:cs="Calibri"/>
                <w:color w:val="000000"/>
                <w:sz w:val="18"/>
                <w:szCs w:val="18"/>
              </w:rPr>
            </w:pPr>
            <w:r>
              <w:rPr>
                <w:rFonts w:ascii="Calibri" w:hAnsi="Calibri" w:cs="Calibri"/>
                <w:color w:val="000000"/>
                <w:sz w:val="18"/>
                <w:szCs w:val="18"/>
              </w:rPr>
              <w:t> </w:t>
            </w:r>
          </w:p>
        </w:tc>
        <w:tc>
          <w:tcPr>
            <w:tcW w:w="1075"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625FFD" w:rsidP="00625FFD" w14:paraId="43FE7CD8" w14:textId="77777777">
            <w:pPr>
              <w:rPr>
                <w:rFonts w:ascii="Calibri" w:hAnsi="Calibri" w:cs="Calibri"/>
                <w:color w:val="000000"/>
                <w:sz w:val="18"/>
                <w:szCs w:val="18"/>
              </w:rPr>
            </w:pPr>
            <w:r>
              <w:rPr>
                <w:rFonts w:ascii="Calibri" w:hAnsi="Calibri" w:cs="Calibri"/>
                <w:color w:val="000000"/>
                <w:sz w:val="18"/>
                <w:szCs w:val="18"/>
              </w:rPr>
              <w:t>New collection</w:t>
            </w:r>
          </w:p>
        </w:tc>
      </w:tr>
      <w:tr w14:paraId="55E93722" w14:textId="77777777" w:rsidTr="00F47AED">
        <w:tblPrEx>
          <w:tblW w:w="9286" w:type="dxa"/>
          <w:tblCellMar>
            <w:left w:w="0" w:type="dxa"/>
            <w:right w:w="0" w:type="dxa"/>
          </w:tblCellMar>
          <w:tblLook w:val="04A0"/>
        </w:tblPrEx>
        <w:trPr>
          <w:trHeight w:val="690"/>
        </w:trPr>
        <w:tc>
          <w:tcPr>
            <w:tcW w:w="1159"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rsidR="00625FFD" w:rsidP="00625FFD" w14:paraId="7B9B6090" w14:textId="77777777">
            <w:pPr>
              <w:rPr>
                <w:rFonts w:ascii="Calibri" w:hAnsi="Calibri" w:cs="Calibri"/>
                <w:color w:val="000000"/>
                <w:sz w:val="16"/>
                <w:szCs w:val="16"/>
              </w:rPr>
            </w:pPr>
            <w:r>
              <w:rPr>
                <w:rFonts w:ascii="Calibri" w:hAnsi="Calibri" w:cs="Calibri"/>
                <w:color w:val="000000"/>
                <w:sz w:val="16"/>
                <w:szCs w:val="16"/>
              </w:rPr>
              <w:t xml:space="preserve">         Non-compliance Reports</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625FFD" w:rsidP="00625FFD" w14:paraId="12D47066" w14:textId="3CEB3EEA">
            <w:pPr>
              <w:jc w:val="right"/>
              <w:rPr>
                <w:rFonts w:ascii="Calibri" w:hAnsi="Calibri" w:cs="Calibri"/>
                <w:color w:val="000000"/>
                <w:sz w:val="16"/>
                <w:szCs w:val="16"/>
              </w:rPr>
            </w:pPr>
            <w:r>
              <w:rPr>
                <w:rFonts w:ascii="Calibri" w:hAnsi="Calibri" w:cs="Calibri"/>
                <w:color w:val="000000"/>
                <w:sz w:val="16"/>
                <w:szCs w:val="16"/>
              </w:rPr>
              <w:t xml:space="preserve">$604.30 </w:t>
            </w:r>
          </w:p>
        </w:tc>
        <w:tc>
          <w:tcPr>
            <w:tcW w:w="1718"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625FFD" w:rsidP="00625FFD" w14:paraId="7AE8A4BC" w14:textId="27D963F6">
            <w:pPr>
              <w:jc w:val="right"/>
              <w:rPr>
                <w:rFonts w:ascii="Calibri" w:hAnsi="Calibri" w:cs="Calibri"/>
                <w:color w:val="000000"/>
                <w:sz w:val="18"/>
                <w:szCs w:val="18"/>
              </w:rPr>
            </w:pPr>
            <w:r>
              <w:rPr>
                <w:rFonts w:ascii="Calibri" w:hAnsi="Calibri" w:cs="Calibri"/>
                <w:color w:val="000000"/>
                <w:sz w:val="18"/>
                <w:szCs w:val="18"/>
              </w:rPr>
              <w:t> </w:t>
            </w:r>
          </w:p>
        </w:tc>
        <w:tc>
          <w:tcPr>
            <w:tcW w:w="1899"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625FFD" w:rsidP="00625FFD" w14:paraId="4A04BC87" w14:textId="59DC9CBF">
            <w:pPr>
              <w:jc w:val="right"/>
              <w:rPr>
                <w:rFonts w:ascii="Calibri" w:hAnsi="Calibri" w:cs="Calibri"/>
                <w:color w:val="000000"/>
                <w:sz w:val="18"/>
                <w:szCs w:val="18"/>
              </w:rPr>
            </w:pPr>
            <w:r>
              <w:rPr>
                <w:rFonts w:ascii="Calibri" w:hAnsi="Calibri" w:cs="Calibri"/>
                <w:color w:val="000000"/>
                <w:sz w:val="18"/>
                <w:szCs w:val="18"/>
              </w:rPr>
              <w:t xml:space="preserve">$0.00 </w:t>
            </w:r>
          </w:p>
        </w:tc>
        <w:tc>
          <w:tcPr>
            <w:tcW w:w="1718"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625FFD" w:rsidP="00625FFD" w14:paraId="32C1672D" w14:textId="7F76370E">
            <w:pPr>
              <w:jc w:val="right"/>
              <w:rPr>
                <w:rFonts w:ascii="Calibri" w:hAnsi="Calibri" w:cs="Calibri"/>
                <w:color w:val="000000"/>
                <w:sz w:val="18"/>
                <w:szCs w:val="18"/>
              </w:rPr>
            </w:pPr>
            <w:r>
              <w:rPr>
                <w:rFonts w:ascii="Calibri" w:hAnsi="Calibri" w:cs="Calibri"/>
                <w:color w:val="000000"/>
                <w:sz w:val="18"/>
                <w:szCs w:val="18"/>
              </w:rPr>
              <w:t> </w:t>
            </w:r>
          </w:p>
        </w:tc>
        <w:tc>
          <w:tcPr>
            <w:tcW w:w="1075"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625FFD" w:rsidP="00625FFD" w14:paraId="40A004E9" w14:textId="77777777">
            <w:pPr>
              <w:rPr>
                <w:rFonts w:ascii="Calibri" w:hAnsi="Calibri" w:cs="Calibri"/>
                <w:color w:val="000000"/>
                <w:sz w:val="18"/>
                <w:szCs w:val="18"/>
              </w:rPr>
            </w:pPr>
            <w:r>
              <w:rPr>
                <w:rFonts w:ascii="Calibri" w:hAnsi="Calibri" w:cs="Calibri"/>
                <w:color w:val="000000"/>
                <w:sz w:val="18"/>
                <w:szCs w:val="18"/>
              </w:rPr>
              <w:t>New collection</w:t>
            </w:r>
          </w:p>
        </w:tc>
      </w:tr>
      <w:tr w14:paraId="3806C255" w14:textId="77777777" w:rsidTr="00F47AED">
        <w:tblPrEx>
          <w:tblW w:w="9286" w:type="dxa"/>
          <w:tblCellMar>
            <w:left w:w="0" w:type="dxa"/>
            <w:right w:w="0" w:type="dxa"/>
          </w:tblCellMar>
          <w:tblLook w:val="04A0"/>
        </w:tblPrEx>
        <w:trPr>
          <w:trHeight w:val="495"/>
        </w:trPr>
        <w:tc>
          <w:tcPr>
            <w:tcW w:w="1159"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rsidR="00625FFD" w:rsidP="00625FFD" w14:paraId="6EF5010B" w14:textId="77777777">
            <w:pPr>
              <w:rPr>
                <w:rFonts w:ascii="Calibri" w:hAnsi="Calibri" w:cs="Calibri"/>
                <w:color w:val="000000"/>
                <w:sz w:val="16"/>
                <w:szCs w:val="16"/>
              </w:rPr>
            </w:pPr>
            <w:r>
              <w:rPr>
                <w:rFonts w:ascii="Calibri" w:hAnsi="Calibri" w:cs="Calibri"/>
                <w:color w:val="000000"/>
                <w:sz w:val="16"/>
                <w:szCs w:val="16"/>
              </w:rPr>
              <w:t xml:space="preserve">         Data Storage</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625FFD" w:rsidP="00625FFD" w14:paraId="48360033" w14:textId="752B14F6">
            <w:pPr>
              <w:jc w:val="right"/>
              <w:rPr>
                <w:rFonts w:ascii="Calibri" w:hAnsi="Calibri" w:cs="Calibri"/>
                <w:color w:val="000000"/>
                <w:sz w:val="16"/>
                <w:szCs w:val="16"/>
              </w:rPr>
            </w:pPr>
            <w:r>
              <w:rPr>
                <w:rFonts w:ascii="Calibri" w:hAnsi="Calibri" w:cs="Calibri"/>
                <w:color w:val="000000"/>
                <w:sz w:val="16"/>
                <w:szCs w:val="16"/>
              </w:rPr>
              <w:t xml:space="preserve">$915.60 </w:t>
            </w:r>
          </w:p>
        </w:tc>
        <w:tc>
          <w:tcPr>
            <w:tcW w:w="1718"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625FFD" w:rsidP="00625FFD" w14:paraId="5AB29272" w14:textId="10D00B65">
            <w:pPr>
              <w:jc w:val="right"/>
              <w:rPr>
                <w:rFonts w:ascii="Calibri" w:hAnsi="Calibri" w:cs="Calibri"/>
                <w:color w:val="000000"/>
                <w:sz w:val="18"/>
                <w:szCs w:val="18"/>
              </w:rPr>
            </w:pPr>
            <w:r>
              <w:rPr>
                <w:rFonts w:ascii="Calibri" w:hAnsi="Calibri" w:cs="Calibri"/>
                <w:color w:val="000000"/>
                <w:sz w:val="18"/>
                <w:szCs w:val="18"/>
              </w:rPr>
              <w:t> </w:t>
            </w:r>
          </w:p>
        </w:tc>
        <w:tc>
          <w:tcPr>
            <w:tcW w:w="1899"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625FFD" w:rsidP="00625FFD" w14:paraId="0FA90B2A" w14:textId="1851D612">
            <w:pPr>
              <w:jc w:val="right"/>
              <w:rPr>
                <w:rFonts w:ascii="Calibri" w:hAnsi="Calibri" w:cs="Calibri"/>
                <w:color w:val="000000"/>
                <w:sz w:val="18"/>
                <w:szCs w:val="18"/>
              </w:rPr>
            </w:pPr>
            <w:r>
              <w:rPr>
                <w:rFonts w:ascii="Calibri" w:hAnsi="Calibri" w:cs="Calibri"/>
                <w:color w:val="000000"/>
                <w:sz w:val="18"/>
                <w:szCs w:val="18"/>
              </w:rPr>
              <w:t xml:space="preserve">$780.00 </w:t>
            </w:r>
          </w:p>
        </w:tc>
        <w:tc>
          <w:tcPr>
            <w:tcW w:w="1718"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625FFD" w:rsidP="00625FFD" w14:paraId="631E0560" w14:textId="168E22BE">
            <w:pPr>
              <w:jc w:val="right"/>
              <w:rPr>
                <w:rFonts w:ascii="Calibri" w:hAnsi="Calibri" w:cs="Calibri"/>
                <w:color w:val="000000"/>
                <w:sz w:val="18"/>
                <w:szCs w:val="18"/>
              </w:rPr>
            </w:pPr>
            <w:r>
              <w:rPr>
                <w:rFonts w:ascii="Calibri" w:hAnsi="Calibri" w:cs="Calibri"/>
                <w:color w:val="000000"/>
                <w:sz w:val="18"/>
                <w:szCs w:val="18"/>
              </w:rPr>
              <w:t> </w:t>
            </w:r>
          </w:p>
        </w:tc>
        <w:tc>
          <w:tcPr>
            <w:tcW w:w="1075"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625FFD" w:rsidP="00625FFD" w14:paraId="11C119C8" w14:textId="77777777">
            <w:pPr>
              <w:rPr>
                <w:rFonts w:ascii="Calibri" w:hAnsi="Calibri" w:cs="Calibri"/>
                <w:color w:val="000000"/>
                <w:sz w:val="18"/>
                <w:szCs w:val="18"/>
              </w:rPr>
            </w:pPr>
            <w:r>
              <w:rPr>
                <w:rFonts w:ascii="Calibri" w:hAnsi="Calibri" w:cs="Calibri"/>
                <w:color w:val="000000"/>
                <w:sz w:val="18"/>
                <w:szCs w:val="18"/>
              </w:rPr>
              <w:t>New collection</w:t>
            </w:r>
          </w:p>
        </w:tc>
      </w:tr>
      <w:tr w14:paraId="45FF7989" w14:textId="77777777" w:rsidTr="00F47AED">
        <w:tblPrEx>
          <w:tblW w:w="9286" w:type="dxa"/>
          <w:tblCellMar>
            <w:left w:w="0" w:type="dxa"/>
            <w:right w:w="0" w:type="dxa"/>
          </w:tblCellMar>
          <w:tblLook w:val="04A0"/>
        </w:tblPrEx>
        <w:trPr>
          <w:trHeight w:val="495"/>
        </w:trPr>
        <w:tc>
          <w:tcPr>
            <w:tcW w:w="1159"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rsidR="00625FFD" w:rsidP="00625FFD" w14:paraId="765A04F4" w14:textId="77777777">
            <w:pPr>
              <w:rPr>
                <w:rFonts w:ascii="Calibri" w:hAnsi="Calibri" w:cs="Calibri"/>
                <w:color w:val="000000"/>
                <w:sz w:val="16"/>
                <w:szCs w:val="16"/>
              </w:rPr>
            </w:pPr>
            <w:r>
              <w:rPr>
                <w:rFonts w:ascii="Calibri" w:hAnsi="Calibri" w:cs="Calibri"/>
                <w:color w:val="000000"/>
                <w:sz w:val="16"/>
                <w:szCs w:val="16"/>
              </w:rPr>
              <w:t xml:space="preserve">   Debrief of EM Staff</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625FFD" w:rsidP="00625FFD" w14:paraId="767CE8D1" w14:textId="65D7A152">
            <w:pPr>
              <w:jc w:val="right"/>
              <w:rPr>
                <w:rFonts w:ascii="Calibri" w:hAnsi="Calibri" w:cs="Calibri"/>
                <w:color w:val="000000"/>
                <w:sz w:val="16"/>
                <w:szCs w:val="16"/>
              </w:rPr>
            </w:pPr>
            <w:r>
              <w:rPr>
                <w:rFonts w:ascii="Calibri" w:hAnsi="Calibri" w:cs="Calibri"/>
                <w:color w:val="000000"/>
                <w:sz w:val="16"/>
                <w:szCs w:val="16"/>
              </w:rPr>
              <w:t xml:space="preserve">$2,563.68 </w:t>
            </w:r>
          </w:p>
        </w:tc>
        <w:tc>
          <w:tcPr>
            <w:tcW w:w="1718"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625FFD" w:rsidP="00625FFD" w14:paraId="30FC9496" w14:textId="1C54BFE0">
            <w:pPr>
              <w:jc w:val="right"/>
              <w:rPr>
                <w:rFonts w:ascii="Calibri" w:hAnsi="Calibri" w:cs="Calibri"/>
                <w:color w:val="000000"/>
                <w:sz w:val="18"/>
                <w:szCs w:val="18"/>
              </w:rPr>
            </w:pPr>
            <w:r>
              <w:rPr>
                <w:rFonts w:ascii="Calibri" w:hAnsi="Calibri" w:cs="Calibri"/>
                <w:color w:val="000000"/>
                <w:sz w:val="18"/>
                <w:szCs w:val="18"/>
              </w:rPr>
              <w:t> </w:t>
            </w:r>
          </w:p>
        </w:tc>
        <w:tc>
          <w:tcPr>
            <w:tcW w:w="1899"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625FFD" w:rsidP="00625FFD" w14:paraId="64DCFF4E" w14:textId="7A51BC3A">
            <w:pPr>
              <w:jc w:val="right"/>
              <w:rPr>
                <w:rFonts w:ascii="Calibri" w:hAnsi="Calibri" w:cs="Calibri"/>
                <w:color w:val="000000"/>
                <w:sz w:val="18"/>
                <w:szCs w:val="18"/>
              </w:rPr>
            </w:pPr>
            <w:r>
              <w:rPr>
                <w:rFonts w:ascii="Calibri" w:hAnsi="Calibri" w:cs="Calibri"/>
                <w:color w:val="000000"/>
                <w:sz w:val="18"/>
                <w:szCs w:val="18"/>
              </w:rPr>
              <w:t xml:space="preserve">$0.00 </w:t>
            </w:r>
          </w:p>
        </w:tc>
        <w:tc>
          <w:tcPr>
            <w:tcW w:w="1718"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625FFD" w:rsidP="00625FFD" w14:paraId="0D3B31C0" w14:textId="2CAF04B1">
            <w:pPr>
              <w:jc w:val="right"/>
              <w:rPr>
                <w:rFonts w:ascii="Calibri" w:hAnsi="Calibri" w:cs="Calibri"/>
                <w:color w:val="000000"/>
                <w:sz w:val="18"/>
                <w:szCs w:val="18"/>
              </w:rPr>
            </w:pPr>
            <w:r>
              <w:rPr>
                <w:rFonts w:ascii="Calibri" w:hAnsi="Calibri" w:cs="Calibri"/>
                <w:color w:val="000000"/>
                <w:sz w:val="18"/>
                <w:szCs w:val="18"/>
              </w:rPr>
              <w:t> </w:t>
            </w:r>
          </w:p>
        </w:tc>
        <w:tc>
          <w:tcPr>
            <w:tcW w:w="1075"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625FFD" w:rsidP="00625FFD" w14:paraId="32F04122" w14:textId="77777777">
            <w:pPr>
              <w:rPr>
                <w:rFonts w:ascii="Calibri" w:hAnsi="Calibri" w:cs="Calibri"/>
                <w:color w:val="000000"/>
                <w:sz w:val="18"/>
                <w:szCs w:val="18"/>
              </w:rPr>
            </w:pPr>
            <w:r>
              <w:rPr>
                <w:rFonts w:ascii="Calibri" w:hAnsi="Calibri" w:cs="Calibri"/>
                <w:color w:val="000000"/>
                <w:sz w:val="18"/>
                <w:szCs w:val="18"/>
              </w:rPr>
              <w:t>New collection</w:t>
            </w:r>
          </w:p>
        </w:tc>
      </w:tr>
      <w:tr w14:paraId="0671A86F" w14:textId="77777777" w:rsidTr="00F47AED">
        <w:tblPrEx>
          <w:tblW w:w="9286" w:type="dxa"/>
          <w:tblCellMar>
            <w:left w:w="0" w:type="dxa"/>
            <w:right w:w="0" w:type="dxa"/>
          </w:tblCellMar>
          <w:tblLook w:val="04A0"/>
        </w:tblPrEx>
        <w:trPr>
          <w:trHeight w:val="495"/>
        </w:trPr>
        <w:tc>
          <w:tcPr>
            <w:tcW w:w="0" w:type="auto"/>
            <w:tcBorders>
              <w:top w:val="nil"/>
              <w:left w:val="single" w:sz="12" w:space="0" w:color="auto"/>
              <w:bottom w:val="single" w:sz="12" w:space="0" w:color="auto"/>
              <w:right w:val="single" w:sz="12" w:space="0" w:color="auto"/>
            </w:tcBorders>
            <w:shd w:val="clear" w:color="000000" w:fill="DBE5F1"/>
            <w:noWrap/>
            <w:tcMar>
              <w:top w:w="15" w:type="dxa"/>
              <w:left w:w="15" w:type="dxa"/>
              <w:bottom w:w="0" w:type="dxa"/>
              <w:right w:w="15" w:type="dxa"/>
            </w:tcMar>
            <w:vAlign w:val="center"/>
            <w:hideMark/>
          </w:tcPr>
          <w:p w:rsidR="00625FFD" w:rsidP="00625FFD" w14:paraId="74E661D8" w14:textId="77777777">
            <w:pPr>
              <w:jc w:val="right"/>
              <w:rPr>
                <w:rFonts w:ascii="Calibri" w:hAnsi="Calibri" w:cs="Calibri"/>
                <w:b/>
                <w:bCs/>
                <w:color w:val="000000"/>
                <w:sz w:val="18"/>
                <w:szCs w:val="18"/>
              </w:rPr>
            </w:pPr>
            <w:r>
              <w:rPr>
                <w:rFonts w:ascii="Calibri" w:hAnsi="Calibri" w:cs="Calibri"/>
                <w:b/>
                <w:bCs/>
                <w:color w:val="000000"/>
                <w:sz w:val="18"/>
                <w:szCs w:val="18"/>
              </w:rPr>
              <w:t>Totals</w:t>
            </w:r>
          </w:p>
        </w:tc>
        <w:tc>
          <w:tcPr>
            <w:tcW w:w="0" w:type="auto"/>
            <w:tcBorders>
              <w:top w:val="nil"/>
              <w:left w:val="nil"/>
              <w:bottom w:val="single" w:sz="8" w:space="0" w:color="auto"/>
              <w:right w:val="single" w:sz="8" w:space="0" w:color="auto"/>
            </w:tcBorders>
            <w:shd w:val="clear" w:color="000000" w:fill="DDEBF7"/>
            <w:noWrap/>
            <w:tcMar>
              <w:top w:w="15" w:type="dxa"/>
              <w:left w:w="15" w:type="dxa"/>
              <w:bottom w:w="0" w:type="dxa"/>
              <w:right w:w="15" w:type="dxa"/>
            </w:tcMar>
            <w:vAlign w:val="center"/>
            <w:hideMark/>
          </w:tcPr>
          <w:p w:rsidR="00625FFD" w:rsidP="00A1369D" w14:paraId="45449CF2" w14:textId="68A3B70E">
            <w:pPr>
              <w:jc w:val="right"/>
              <w:rPr>
                <w:rFonts w:ascii="Calibri" w:hAnsi="Calibri" w:cs="Calibri"/>
                <w:b/>
                <w:bCs/>
                <w:color w:val="000000"/>
                <w:sz w:val="18"/>
                <w:szCs w:val="18"/>
              </w:rPr>
            </w:pPr>
            <w:r>
              <w:rPr>
                <w:rFonts w:ascii="Calibri" w:hAnsi="Calibri" w:cs="Calibri"/>
                <w:b/>
                <w:bCs/>
                <w:color w:val="000000"/>
                <w:sz w:val="18"/>
                <w:szCs w:val="18"/>
              </w:rPr>
              <w:t>$</w:t>
            </w:r>
            <w:r w:rsidR="00A1369D">
              <w:rPr>
                <w:rFonts w:ascii="Calibri" w:hAnsi="Calibri" w:cs="Calibri"/>
                <w:b/>
                <w:bCs/>
                <w:color w:val="000000"/>
                <w:sz w:val="18"/>
                <w:szCs w:val="18"/>
              </w:rPr>
              <w:t>46,568.57</w:t>
            </w:r>
            <w:r>
              <w:rPr>
                <w:rFonts w:ascii="Calibri" w:hAnsi="Calibri" w:cs="Calibri"/>
                <w:b/>
                <w:bCs/>
                <w:color w:val="000000"/>
                <w:sz w:val="18"/>
                <w:szCs w:val="18"/>
              </w:rPr>
              <w:t xml:space="preserve"> </w:t>
            </w:r>
          </w:p>
        </w:tc>
        <w:tc>
          <w:tcPr>
            <w:tcW w:w="0" w:type="auto"/>
            <w:tcBorders>
              <w:top w:val="nil"/>
              <w:left w:val="nil"/>
              <w:bottom w:val="single" w:sz="8" w:space="0" w:color="auto"/>
              <w:right w:val="single" w:sz="8" w:space="0" w:color="auto"/>
            </w:tcBorders>
            <w:shd w:val="clear" w:color="000000" w:fill="DDEBF7"/>
            <w:noWrap/>
            <w:tcMar>
              <w:top w:w="15" w:type="dxa"/>
              <w:left w:w="15" w:type="dxa"/>
              <w:bottom w:w="0" w:type="dxa"/>
              <w:right w:w="15" w:type="dxa"/>
            </w:tcMar>
            <w:vAlign w:val="center"/>
            <w:hideMark/>
          </w:tcPr>
          <w:p w:rsidR="00625FFD" w:rsidP="00A1369D" w14:paraId="7445C4F4" w14:textId="42FF951F">
            <w:pPr>
              <w:jc w:val="right"/>
              <w:rPr>
                <w:rFonts w:ascii="Calibri" w:hAnsi="Calibri" w:cs="Calibri"/>
                <w:b/>
                <w:bCs/>
                <w:color w:val="000000"/>
                <w:sz w:val="18"/>
                <w:szCs w:val="18"/>
              </w:rPr>
            </w:pPr>
            <w:r>
              <w:rPr>
                <w:rFonts w:ascii="Calibri" w:hAnsi="Calibri" w:cs="Calibri"/>
                <w:b/>
                <w:bCs/>
                <w:color w:val="000000"/>
                <w:sz w:val="18"/>
                <w:szCs w:val="18"/>
              </w:rPr>
              <w:t>$</w:t>
            </w:r>
            <w:r w:rsidR="00A1369D">
              <w:rPr>
                <w:rFonts w:ascii="Calibri" w:hAnsi="Calibri" w:cs="Calibri"/>
                <w:b/>
                <w:bCs/>
                <w:color w:val="000000"/>
                <w:sz w:val="18"/>
                <w:szCs w:val="18"/>
              </w:rPr>
              <w:t>1,465.20</w:t>
            </w:r>
            <w:r>
              <w:rPr>
                <w:rFonts w:ascii="Calibri" w:hAnsi="Calibri" w:cs="Calibri"/>
                <w:b/>
                <w:bCs/>
                <w:color w:val="000000"/>
                <w:sz w:val="18"/>
                <w:szCs w:val="18"/>
              </w:rPr>
              <w:t xml:space="preserve"> </w:t>
            </w:r>
          </w:p>
        </w:tc>
        <w:tc>
          <w:tcPr>
            <w:tcW w:w="0" w:type="auto"/>
            <w:tcBorders>
              <w:top w:val="nil"/>
              <w:left w:val="nil"/>
              <w:bottom w:val="single" w:sz="8" w:space="0" w:color="auto"/>
              <w:right w:val="single" w:sz="8" w:space="0" w:color="auto"/>
            </w:tcBorders>
            <w:shd w:val="clear" w:color="000000" w:fill="DDEBF7"/>
            <w:noWrap/>
            <w:tcMar>
              <w:top w:w="15" w:type="dxa"/>
              <w:left w:w="15" w:type="dxa"/>
              <w:bottom w:w="0" w:type="dxa"/>
              <w:right w:w="15" w:type="dxa"/>
            </w:tcMar>
            <w:vAlign w:val="center"/>
            <w:hideMark/>
          </w:tcPr>
          <w:p w:rsidR="00625FFD" w:rsidP="00A1369D" w14:paraId="33A1CB10" w14:textId="79D040A2">
            <w:pPr>
              <w:jc w:val="right"/>
              <w:rPr>
                <w:rFonts w:ascii="Calibri" w:hAnsi="Calibri" w:cs="Calibri"/>
                <w:b/>
                <w:bCs/>
                <w:color w:val="000000"/>
                <w:sz w:val="16"/>
                <w:szCs w:val="16"/>
              </w:rPr>
            </w:pPr>
            <w:r>
              <w:rPr>
                <w:rFonts w:ascii="Calibri" w:hAnsi="Calibri" w:cs="Calibri"/>
                <w:b/>
                <w:bCs/>
                <w:color w:val="000000"/>
                <w:sz w:val="18"/>
                <w:szCs w:val="18"/>
              </w:rPr>
              <w:t>$</w:t>
            </w:r>
            <w:r w:rsidR="00A1369D">
              <w:rPr>
                <w:rFonts w:ascii="Calibri" w:hAnsi="Calibri" w:cs="Calibri"/>
                <w:b/>
                <w:bCs/>
                <w:color w:val="000000"/>
                <w:sz w:val="18"/>
                <w:szCs w:val="18"/>
              </w:rPr>
              <w:t>101,746.55</w:t>
            </w:r>
            <w:r>
              <w:rPr>
                <w:rFonts w:ascii="Calibri" w:hAnsi="Calibri" w:cs="Calibri"/>
                <w:b/>
                <w:bCs/>
                <w:color w:val="000000"/>
                <w:sz w:val="18"/>
                <w:szCs w:val="18"/>
              </w:rPr>
              <w:t xml:space="preserve"> </w:t>
            </w:r>
          </w:p>
        </w:tc>
        <w:tc>
          <w:tcPr>
            <w:tcW w:w="0" w:type="auto"/>
            <w:tcBorders>
              <w:top w:val="nil"/>
              <w:left w:val="nil"/>
              <w:bottom w:val="single" w:sz="8" w:space="0" w:color="auto"/>
              <w:right w:val="single" w:sz="8" w:space="0" w:color="auto"/>
            </w:tcBorders>
            <w:shd w:val="clear" w:color="000000" w:fill="DDEBF7"/>
            <w:noWrap/>
            <w:tcMar>
              <w:top w:w="15" w:type="dxa"/>
              <w:left w:w="15" w:type="dxa"/>
              <w:bottom w:w="0" w:type="dxa"/>
              <w:right w:w="15" w:type="dxa"/>
            </w:tcMar>
            <w:vAlign w:val="center"/>
            <w:hideMark/>
          </w:tcPr>
          <w:p w:rsidR="00625FFD" w:rsidP="00A1369D" w14:paraId="60F7F98E" w14:textId="58641D62">
            <w:pPr>
              <w:jc w:val="right"/>
              <w:rPr>
                <w:rFonts w:ascii="Calibri" w:hAnsi="Calibri" w:cs="Calibri"/>
                <w:b/>
                <w:bCs/>
                <w:color w:val="000000"/>
                <w:sz w:val="18"/>
                <w:szCs w:val="18"/>
              </w:rPr>
            </w:pPr>
            <w:r>
              <w:rPr>
                <w:rFonts w:ascii="Calibri" w:hAnsi="Calibri" w:cs="Calibri"/>
                <w:b/>
                <w:bCs/>
                <w:color w:val="000000"/>
                <w:sz w:val="18"/>
                <w:szCs w:val="18"/>
              </w:rPr>
              <w:t>$</w:t>
            </w:r>
            <w:r w:rsidR="00A1369D">
              <w:rPr>
                <w:rFonts w:ascii="Calibri" w:hAnsi="Calibri" w:cs="Calibri"/>
                <w:b/>
                <w:bCs/>
                <w:color w:val="000000"/>
                <w:sz w:val="18"/>
                <w:szCs w:val="18"/>
              </w:rPr>
              <w:t>0.00</w:t>
            </w:r>
            <w:r>
              <w:rPr>
                <w:rFonts w:ascii="Calibri" w:hAnsi="Calibri" w:cs="Calibri"/>
                <w:b/>
                <w:bCs/>
                <w:color w:val="000000"/>
                <w:sz w:val="18"/>
                <w:szCs w:val="18"/>
              </w:rPr>
              <w:t xml:space="preserve"> </w:t>
            </w:r>
          </w:p>
        </w:tc>
        <w:tc>
          <w:tcPr>
            <w:tcW w:w="1075" w:type="dxa"/>
            <w:tcBorders>
              <w:top w:val="nil"/>
              <w:left w:val="nil"/>
              <w:bottom w:val="single" w:sz="12" w:space="0" w:color="auto"/>
              <w:right w:val="single" w:sz="12" w:space="0" w:color="auto"/>
            </w:tcBorders>
            <w:shd w:val="clear" w:color="000000" w:fill="000000"/>
            <w:tcMar>
              <w:top w:w="15" w:type="dxa"/>
              <w:left w:w="15" w:type="dxa"/>
              <w:bottom w:w="0" w:type="dxa"/>
              <w:right w:w="15" w:type="dxa"/>
            </w:tcMar>
            <w:vAlign w:val="center"/>
            <w:hideMark/>
          </w:tcPr>
          <w:p w:rsidR="00625FFD" w:rsidP="00625FFD" w14:paraId="242DA723" w14:textId="77777777">
            <w:pPr>
              <w:jc w:val="right"/>
              <w:rPr>
                <w:rFonts w:ascii="Calibri" w:hAnsi="Calibri" w:cs="Calibri"/>
                <w:b/>
                <w:bCs/>
                <w:color w:val="000000"/>
                <w:sz w:val="18"/>
                <w:szCs w:val="18"/>
              </w:rPr>
            </w:pPr>
            <w:r>
              <w:rPr>
                <w:rFonts w:ascii="Calibri" w:hAnsi="Calibri" w:cs="Calibri"/>
                <w:b/>
                <w:bCs/>
                <w:color w:val="000000"/>
                <w:sz w:val="18"/>
                <w:szCs w:val="18"/>
              </w:rPr>
              <w:t> </w:t>
            </w:r>
          </w:p>
        </w:tc>
      </w:tr>
      <w:tr w14:paraId="7833AB55" w14:textId="77777777" w:rsidTr="00F47AED">
        <w:tblPrEx>
          <w:tblW w:w="9286" w:type="dxa"/>
          <w:tblCellMar>
            <w:left w:w="0" w:type="dxa"/>
            <w:right w:w="0" w:type="dxa"/>
          </w:tblCellMar>
          <w:tblLook w:val="04A0"/>
        </w:tblPrEx>
        <w:trPr>
          <w:trHeight w:val="330"/>
        </w:trPr>
        <w:tc>
          <w:tcPr>
            <w:tcW w:w="0" w:type="auto"/>
            <w:tcBorders>
              <w:top w:val="nil"/>
              <w:left w:val="single" w:sz="12" w:space="0" w:color="auto"/>
              <w:bottom w:val="single" w:sz="12" w:space="0" w:color="auto"/>
              <w:right w:val="single" w:sz="12" w:space="0" w:color="auto"/>
            </w:tcBorders>
            <w:shd w:val="clear" w:color="000000" w:fill="FDE9D9"/>
            <w:noWrap/>
            <w:tcMar>
              <w:top w:w="15" w:type="dxa"/>
              <w:left w:w="15" w:type="dxa"/>
              <w:bottom w:w="0" w:type="dxa"/>
              <w:right w:w="15" w:type="dxa"/>
            </w:tcMar>
            <w:vAlign w:val="center"/>
            <w:hideMark/>
          </w:tcPr>
          <w:p w:rsidR="00625FFD" w:rsidP="00625FFD" w14:paraId="51575F13" w14:textId="77777777">
            <w:pPr>
              <w:rPr>
                <w:rFonts w:ascii="Calibri" w:hAnsi="Calibri" w:cs="Calibri"/>
                <w:b/>
                <w:bCs/>
                <w:color w:val="000000"/>
                <w:sz w:val="18"/>
                <w:szCs w:val="18"/>
              </w:rPr>
            </w:pPr>
            <w:r>
              <w:rPr>
                <w:rFonts w:ascii="Calibri" w:hAnsi="Calibri" w:cs="Calibri"/>
                <w:b/>
                <w:bCs/>
                <w:color w:val="000000"/>
                <w:sz w:val="18"/>
                <w:szCs w:val="18"/>
              </w:rPr>
              <w:t>Difference</w:t>
            </w:r>
          </w:p>
        </w:tc>
        <w:tc>
          <w:tcPr>
            <w:tcW w:w="0" w:type="auto"/>
            <w:gridSpan w:val="2"/>
            <w:tcBorders>
              <w:top w:val="single" w:sz="8" w:space="0" w:color="auto"/>
              <w:left w:val="nil"/>
              <w:bottom w:val="single" w:sz="12" w:space="0" w:color="auto"/>
              <w:right w:val="single" w:sz="12" w:space="0" w:color="000000"/>
            </w:tcBorders>
            <w:shd w:val="clear" w:color="000000" w:fill="FDE9D9"/>
            <w:noWrap/>
            <w:tcMar>
              <w:top w:w="15" w:type="dxa"/>
              <w:left w:w="15" w:type="dxa"/>
              <w:bottom w:w="0" w:type="dxa"/>
              <w:right w:w="15" w:type="dxa"/>
            </w:tcMar>
            <w:vAlign w:val="center"/>
            <w:hideMark/>
          </w:tcPr>
          <w:p w:rsidR="00625FFD" w:rsidP="00A1369D" w14:paraId="1FE730F3" w14:textId="64270912">
            <w:pPr>
              <w:jc w:val="center"/>
              <w:rPr>
                <w:rFonts w:ascii="Calibri" w:hAnsi="Calibri" w:cs="Calibri"/>
                <w:b/>
                <w:bCs/>
                <w:color w:val="FF0000"/>
                <w:sz w:val="18"/>
                <w:szCs w:val="18"/>
              </w:rPr>
            </w:pPr>
            <w:r>
              <w:rPr>
                <w:rFonts w:ascii="Calibri" w:hAnsi="Calibri" w:cs="Calibri"/>
                <w:b/>
                <w:bCs/>
                <w:color w:val="FF0000"/>
                <w:sz w:val="18"/>
                <w:szCs w:val="18"/>
              </w:rPr>
              <w:t>$</w:t>
            </w:r>
            <w:r w:rsidR="00A1369D">
              <w:rPr>
                <w:rFonts w:ascii="Calibri" w:hAnsi="Calibri" w:cs="Calibri"/>
                <w:b/>
                <w:bCs/>
                <w:color w:val="FF0000"/>
                <w:sz w:val="18"/>
                <w:szCs w:val="18"/>
              </w:rPr>
              <w:t>45,103</w:t>
            </w:r>
            <w:r>
              <w:rPr>
                <w:rFonts w:ascii="Calibri" w:hAnsi="Calibri" w:cs="Calibri"/>
                <w:b/>
                <w:bCs/>
                <w:color w:val="FF0000"/>
                <w:sz w:val="18"/>
                <w:szCs w:val="18"/>
              </w:rPr>
              <w:t xml:space="preserve"> </w:t>
            </w:r>
          </w:p>
        </w:tc>
        <w:tc>
          <w:tcPr>
            <w:tcW w:w="3617" w:type="dxa"/>
            <w:gridSpan w:val="2"/>
            <w:tcBorders>
              <w:top w:val="single" w:sz="8" w:space="0" w:color="auto"/>
              <w:left w:val="nil"/>
              <w:bottom w:val="single" w:sz="12" w:space="0" w:color="auto"/>
              <w:right w:val="single" w:sz="12" w:space="0" w:color="000000"/>
            </w:tcBorders>
            <w:shd w:val="clear" w:color="000000" w:fill="FDE9D9"/>
            <w:tcMar>
              <w:top w:w="15" w:type="dxa"/>
              <w:left w:w="15" w:type="dxa"/>
              <w:bottom w:w="0" w:type="dxa"/>
              <w:right w:w="15" w:type="dxa"/>
            </w:tcMar>
            <w:vAlign w:val="center"/>
            <w:hideMark/>
          </w:tcPr>
          <w:p w:rsidR="00625FFD" w:rsidP="00877264" w14:paraId="034D93FA" w14:textId="3E18CA99">
            <w:pPr>
              <w:jc w:val="center"/>
              <w:rPr>
                <w:rFonts w:ascii="Calibri" w:hAnsi="Calibri" w:cs="Calibri"/>
                <w:b/>
                <w:bCs/>
                <w:color w:val="FF0000"/>
                <w:sz w:val="18"/>
                <w:szCs w:val="18"/>
              </w:rPr>
            </w:pPr>
            <w:r>
              <w:rPr>
                <w:rFonts w:ascii="Calibri" w:hAnsi="Calibri" w:cs="Calibri"/>
                <w:b/>
                <w:bCs/>
                <w:color w:val="FF0000"/>
                <w:sz w:val="18"/>
                <w:szCs w:val="18"/>
              </w:rPr>
              <w:t>$101,</w:t>
            </w:r>
            <w:r w:rsidR="00877264">
              <w:rPr>
                <w:rFonts w:ascii="Calibri" w:hAnsi="Calibri" w:cs="Calibri"/>
                <w:b/>
                <w:bCs/>
                <w:color w:val="FF0000"/>
                <w:sz w:val="18"/>
                <w:szCs w:val="18"/>
              </w:rPr>
              <w:t>747</w:t>
            </w:r>
            <w:r>
              <w:rPr>
                <w:rFonts w:ascii="Calibri" w:hAnsi="Calibri" w:cs="Calibri"/>
                <w:b/>
                <w:bCs/>
                <w:color w:val="FF0000"/>
                <w:sz w:val="18"/>
                <w:szCs w:val="18"/>
              </w:rPr>
              <w:t xml:space="preserve"> </w:t>
            </w:r>
          </w:p>
        </w:tc>
        <w:tc>
          <w:tcPr>
            <w:tcW w:w="1075" w:type="dxa"/>
            <w:tcBorders>
              <w:top w:val="nil"/>
              <w:left w:val="nil"/>
              <w:bottom w:val="single" w:sz="12" w:space="0" w:color="auto"/>
              <w:right w:val="single" w:sz="12" w:space="0" w:color="auto"/>
            </w:tcBorders>
            <w:shd w:val="clear" w:color="000000" w:fill="000000"/>
            <w:tcMar>
              <w:top w:w="15" w:type="dxa"/>
              <w:left w:w="15" w:type="dxa"/>
              <w:bottom w:w="0" w:type="dxa"/>
              <w:right w:w="15" w:type="dxa"/>
            </w:tcMar>
            <w:vAlign w:val="center"/>
            <w:hideMark/>
          </w:tcPr>
          <w:p w:rsidR="00625FFD" w:rsidP="00625FFD" w14:paraId="52328C0D" w14:textId="77777777">
            <w:pPr>
              <w:rPr>
                <w:rFonts w:ascii="Calibri" w:hAnsi="Calibri" w:cs="Calibri"/>
                <w:b/>
                <w:bCs/>
                <w:color w:val="000000"/>
                <w:sz w:val="18"/>
                <w:szCs w:val="18"/>
              </w:rPr>
            </w:pPr>
            <w:r>
              <w:rPr>
                <w:rFonts w:ascii="Calibri" w:hAnsi="Calibri" w:cs="Calibri"/>
                <w:b/>
                <w:bCs/>
                <w:color w:val="000000"/>
                <w:sz w:val="18"/>
                <w:szCs w:val="18"/>
              </w:rPr>
              <w:t> </w:t>
            </w:r>
          </w:p>
        </w:tc>
      </w:tr>
    </w:tbl>
    <w:p w:rsidR="00B9760F" w:rsidP="003F389D" w14:paraId="478CFAE2" w14:textId="77777777">
      <w:pPr>
        <w:pStyle w:val="ListParagraph"/>
        <w:widowControl w:val="0"/>
        <w:tabs>
          <w:tab w:val="left" w:pos="360"/>
        </w:tabs>
        <w:autoSpaceDE w:val="0"/>
        <w:autoSpaceDN w:val="0"/>
        <w:spacing w:before="80"/>
        <w:ind w:left="0"/>
        <w:contextualSpacing w:val="0"/>
        <w:rPr>
          <w:b/>
        </w:rPr>
      </w:pPr>
    </w:p>
    <w:p w:rsidR="003F389D" w:rsidRPr="00BD7237" w:rsidP="003F389D" w14:paraId="295C8AE4" w14:textId="06819961">
      <w:pPr>
        <w:pStyle w:val="ListParagraph"/>
        <w:widowControl w:val="0"/>
        <w:tabs>
          <w:tab w:val="left" w:pos="360"/>
        </w:tabs>
        <w:autoSpaceDE w:val="0"/>
        <w:autoSpaceDN w:val="0"/>
        <w:spacing w:before="80"/>
        <w:ind w:left="0"/>
        <w:contextualSpacing w:val="0"/>
        <w:rPr>
          <w:b/>
          <w:szCs w:val="24"/>
        </w:rPr>
      </w:pPr>
      <w:r>
        <w:rPr>
          <w:b/>
        </w:rPr>
        <w:t>16.</w:t>
      </w:r>
      <w:r w:rsidR="00B1698A">
        <w:rPr>
          <w:b/>
        </w:rPr>
        <w:t xml:space="preserve"> </w:t>
      </w:r>
      <w:r w:rsidRPr="00BD7237">
        <w:rPr>
          <w:b/>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8244C5" w:rsidP="002302BC" w14:paraId="1DF8CA5F" w14:textId="6F67A7A2">
      <w:pPr>
        <w:spacing w:after="120"/>
        <w:rPr>
          <w:b/>
        </w:rPr>
      </w:pPr>
    </w:p>
    <w:p w:rsidR="008244C5" w:rsidP="002302BC" w14:paraId="612FEE96" w14:textId="4592771B">
      <w:pPr>
        <w:spacing w:after="120"/>
      </w:pPr>
      <w:r>
        <w:t>No formal scientific publications based on this program are planned at this time.</w:t>
      </w:r>
      <w:r w:rsidR="00B1698A">
        <w:t xml:space="preserve"> </w:t>
      </w:r>
      <w:r>
        <w:t xml:space="preserve">The data will be used for enforcement, management reports, and drafting or evaluating fishery management plan amendments by </w:t>
      </w:r>
      <w:r w:rsidR="00884C92">
        <w:t>NMFS</w:t>
      </w:r>
      <w:r>
        <w:t>.</w:t>
      </w:r>
      <w:r w:rsidR="00B1698A">
        <w:t xml:space="preserve"> </w:t>
      </w:r>
      <w:r>
        <w:t>Position data will remain confidential and will only be revealed to the public in aggregated form.</w:t>
      </w:r>
    </w:p>
    <w:p w:rsidR="00F23AE8" w:rsidP="002302BC" w14:paraId="06E0D99F" w14:textId="77777777">
      <w:pPr>
        <w:pStyle w:val="NoSpacing"/>
      </w:pPr>
    </w:p>
    <w:p w:rsidR="003F389D" w:rsidRPr="00BD7237" w:rsidP="003F389D" w14:paraId="78C27835" w14:textId="77777777">
      <w:pPr>
        <w:pStyle w:val="ListParagraph"/>
        <w:widowControl w:val="0"/>
        <w:tabs>
          <w:tab w:val="left" w:pos="360"/>
        </w:tabs>
        <w:autoSpaceDE w:val="0"/>
        <w:autoSpaceDN w:val="0"/>
        <w:spacing w:before="80"/>
        <w:ind w:left="0"/>
        <w:contextualSpacing w:val="0"/>
        <w:rPr>
          <w:b/>
          <w:szCs w:val="24"/>
        </w:rPr>
      </w:pPr>
      <w:r>
        <w:rPr>
          <w:b/>
        </w:rPr>
        <w:t>17.</w:t>
      </w:r>
      <w:r w:rsidR="00B1698A">
        <w:rPr>
          <w:b/>
        </w:rPr>
        <w:t xml:space="preserve"> </w:t>
      </w:r>
      <w:r w:rsidRPr="00BD7237">
        <w:rPr>
          <w:b/>
          <w:szCs w:val="24"/>
        </w:rPr>
        <w:t>If seeking approval to not display the expiration date for OMB approval of the information collection, explain the reasons that display would be inappropriate.</w:t>
      </w:r>
    </w:p>
    <w:p w:rsidR="008244C5" w:rsidP="002302BC" w14:paraId="7B09562A" w14:textId="3656B1A5">
      <w:pPr>
        <w:spacing w:after="120"/>
      </w:pPr>
    </w:p>
    <w:p w:rsidR="00927637" w:rsidRPr="000A181E" w:rsidP="002302BC" w14:paraId="07811525" w14:textId="7C77B99A">
      <w:pPr>
        <w:pStyle w:val="BodyText"/>
        <w:spacing w:before="90"/>
        <w:ind w:left="0"/>
        <w:rPr>
          <w:rFonts w:cs="Times New Roman"/>
        </w:rPr>
      </w:pPr>
      <w:r>
        <w:rPr>
          <w:rFonts w:cs="Times New Roman"/>
        </w:rPr>
        <w:t>All forms for this collection will display the OMB Control Number and expiration date.</w:t>
      </w:r>
      <w:r w:rsidR="00B1698A">
        <w:rPr>
          <w:rFonts w:cs="Times New Roman"/>
        </w:rPr>
        <w:t xml:space="preserve"> </w:t>
      </w:r>
      <w:r>
        <w:rPr>
          <w:rFonts w:cs="Times New Roman"/>
        </w:rPr>
        <w:t>It is not practical to place the OMB Control Number and expiration date VMS and EM units as these are electronic units.</w:t>
      </w:r>
    </w:p>
    <w:p w:rsidR="00FA081B" w:rsidP="002302BC" w14:paraId="6490303C" w14:textId="77777777">
      <w:pPr>
        <w:pStyle w:val="NoSpacing"/>
      </w:pPr>
    </w:p>
    <w:p w:rsidR="003F389D" w:rsidP="003F389D" w14:paraId="63A0CE10" w14:textId="6BCA7774">
      <w:pPr>
        <w:pStyle w:val="ListParagraph"/>
        <w:widowControl w:val="0"/>
        <w:tabs>
          <w:tab w:val="left" w:pos="360"/>
        </w:tabs>
        <w:autoSpaceDE w:val="0"/>
        <w:autoSpaceDN w:val="0"/>
        <w:spacing w:before="80"/>
        <w:ind w:left="0"/>
        <w:contextualSpacing w:val="0"/>
        <w:rPr>
          <w:b/>
          <w:szCs w:val="24"/>
        </w:rPr>
      </w:pPr>
      <w:r>
        <w:rPr>
          <w:b/>
        </w:rPr>
        <w:t>18.</w:t>
      </w:r>
      <w:r w:rsidR="00B1698A">
        <w:rPr>
          <w:b/>
        </w:rPr>
        <w:t xml:space="preserve"> </w:t>
      </w:r>
      <w:r w:rsidRPr="00BD7237">
        <w:rPr>
          <w:b/>
          <w:szCs w:val="24"/>
        </w:rPr>
        <w:t>Explain each exception to the certification statement identified in “Certification for Paperwork Reduction Act Submissions."</w:t>
      </w:r>
    </w:p>
    <w:p w:rsidR="003F389D" w:rsidRPr="00BD7237" w:rsidP="003F389D" w14:paraId="51559C71" w14:textId="77777777">
      <w:pPr>
        <w:pStyle w:val="ListParagraph"/>
        <w:widowControl w:val="0"/>
        <w:tabs>
          <w:tab w:val="left" w:pos="360"/>
        </w:tabs>
        <w:autoSpaceDE w:val="0"/>
        <w:autoSpaceDN w:val="0"/>
        <w:spacing w:before="80"/>
        <w:ind w:left="0"/>
        <w:contextualSpacing w:val="0"/>
        <w:rPr>
          <w:b/>
          <w:szCs w:val="24"/>
        </w:rPr>
      </w:pPr>
    </w:p>
    <w:p w:rsidR="008244C5" w:rsidRPr="003F389D" w:rsidP="003F389D" w14:paraId="411C1D9F" w14:textId="44170DE9">
      <w:pPr>
        <w:spacing w:after="120"/>
      </w:pPr>
      <w:r w:rsidRPr="003F389D">
        <w:rPr>
          <w:i/>
          <w:szCs w:val="24"/>
        </w:rPr>
        <w:t xml:space="preserve">The agency certifies compliance with </w:t>
      </w:r>
      <w:hyperlink r:id="rId12">
        <w:r w:rsidRPr="003F389D">
          <w:rPr>
            <w:i/>
            <w:color w:val="0563C1"/>
            <w:szCs w:val="24"/>
            <w:u w:val="thick" w:color="0563C1"/>
          </w:rPr>
          <w:t>5 CFR 1320.9</w:t>
        </w:r>
        <w:r w:rsidRPr="003F389D">
          <w:rPr>
            <w:i/>
            <w:color w:val="0563C1"/>
            <w:szCs w:val="24"/>
          </w:rPr>
          <w:t xml:space="preserve"> </w:t>
        </w:r>
      </w:hyperlink>
      <w:r w:rsidRPr="003F389D">
        <w:rPr>
          <w:i/>
          <w:szCs w:val="24"/>
        </w:rPr>
        <w:t xml:space="preserve">and the related provisions of </w:t>
      </w:r>
      <w:hyperlink r:id="rId13">
        <w:r w:rsidRPr="003F389D">
          <w:rPr>
            <w:i/>
            <w:color w:val="0563C1"/>
            <w:szCs w:val="24"/>
            <w:u w:val="thick" w:color="0563C1"/>
          </w:rPr>
          <w:t>5</w:t>
        </w:r>
        <w:r w:rsidRPr="003F389D">
          <w:rPr>
            <w:i/>
            <w:color w:val="0563C1"/>
            <w:spacing w:val="-42"/>
            <w:szCs w:val="24"/>
            <w:u w:val="thick" w:color="0563C1"/>
          </w:rPr>
          <w:t xml:space="preserve"> </w:t>
        </w:r>
        <w:r w:rsidRPr="003F389D">
          <w:rPr>
            <w:i/>
            <w:color w:val="0563C1"/>
            <w:szCs w:val="24"/>
            <w:u w:val="thick" w:color="0563C1"/>
          </w:rPr>
          <w:t>CFR</w:t>
        </w:r>
      </w:hyperlink>
      <w:r w:rsidRPr="003F389D">
        <w:rPr>
          <w:i/>
          <w:color w:val="0563C1"/>
          <w:szCs w:val="24"/>
        </w:rPr>
        <w:t xml:space="preserve"> </w:t>
      </w:r>
      <w:hyperlink r:id="rId13">
        <w:r w:rsidRPr="003F389D">
          <w:rPr>
            <w:i/>
            <w:color w:val="0563C1"/>
            <w:szCs w:val="24"/>
            <w:u w:val="thick" w:color="0563C1"/>
          </w:rPr>
          <w:t>1320.8(b)(3)</w:t>
        </w:r>
      </w:hyperlink>
      <w:r w:rsidRPr="003F389D">
        <w:rPr>
          <w:i/>
          <w:szCs w:val="24"/>
        </w:rPr>
        <w:t>.</w:t>
      </w:r>
    </w:p>
    <w:p w:rsidR="0029746C" w:rsidP="002302BC" w14:paraId="6EA92930" w14:textId="77777777">
      <w:pPr>
        <w:pStyle w:val="NoSpacing"/>
      </w:pPr>
    </w:p>
    <w:p w:rsidR="006157AC" w:rsidP="006157AC" w14:paraId="4AD271A7" w14:textId="01EB257F">
      <w:pPr>
        <w:spacing w:after="120"/>
      </w:pPr>
      <w:r>
        <w:t xml:space="preserve"> </w:t>
      </w:r>
    </w:p>
    <w:sectPr w:rsidSect="002B53E2">
      <w:footnotePr>
        <w:numFmt w:val="lowerLetter"/>
      </w:footnotePr>
      <w:endnotePr>
        <w:numFmt w:val="lowerLetter"/>
      </w:endnotePr>
      <w:pgSz w:w="12240" w:h="15840"/>
      <w:pgMar w:top="810" w:right="1440" w:bottom="1440" w:left="1440" w:header="810" w:footer="108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F73C9" w14:paraId="3B8D41C6" w14:textId="77777777">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F73C9" w14:paraId="63A23A52" w14:textId="77777777">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F73C9" w14:paraId="49C2C4BB" w14:textId="77777777">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1"/>
    <w:multiLevelType w:val="singleLevel"/>
    <w:tmpl w:val="00000001"/>
    <w:lvl w:ilvl="0">
      <w:start w:val="1"/>
      <w:numFmt w:val="decimal"/>
      <w:suff w:val="nothing"/>
      <w:lvlText w:val="%1."/>
      <w:lvlJc w:val="left"/>
    </w:lvl>
  </w:abstractNum>
  <w:abstractNum w:abstractNumId="1">
    <w:nsid w:val="0BEF731B"/>
    <w:multiLevelType w:val="hybridMultilevel"/>
    <w:tmpl w:val="1B40D87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E824539"/>
    <w:multiLevelType w:val="hybridMultilevel"/>
    <w:tmpl w:val="E3DAABA2"/>
    <w:lvl w:ilvl="0">
      <w:start w:val="1"/>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2C67914"/>
    <w:multiLevelType w:val="hybridMultilevel"/>
    <w:tmpl w:val="71FC71B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
    <w:nsid w:val="13903E61"/>
    <w:multiLevelType w:val="hybridMultilevel"/>
    <w:tmpl w:val="8D28B04C"/>
    <w:lvl w:ilvl="0">
      <w:start w:val="1"/>
      <w:numFmt w:val="bullet"/>
      <w:lvlText w:val=""/>
      <w:lvlJc w:val="left"/>
      <w:pPr>
        <w:ind w:left="990" w:hanging="360"/>
      </w:pPr>
      <w:rPr>
        <w:rFonts w:ascii="Symbol" w:hAnsi="Symbol" w:hint="default"/>
      </w:rPr>
    </w:lvl>
    <w:lvl w:ilvl="1" w:tentative="1">
      <w:start w:val="1"/>
      <w:numFmt w:val="bullet"/>
      <w:lvlText w:val="o"/>
      <w:lvlJc w:val="left"/>
      <w:pPr>
        <w:ind w:left="1710" w:hanging="360"/>
      </w:pPr>
      <w:rPr>
        <w:rFonts w:ascii="Courier New" w:hAnsi="Courier New" w:cs="Courier New" w:hint="default"/>
      </w:rPr>
    </w:lvl>
    <w:lvl w:ilvl="2" w:tentative="1">
      <w:start w:val="1"/>
      <w:numFmt w:val="bullet"/>
      <w:lvlText w:val=""/>
      <w:lvlJc w:val="left"/>
      <w:pPr>
        <w:ind w:left="2430" w:hanging="360"/>
      </w:pPr>
      <w:rPr>
        <w:rFonts w:ascii="Wingdings" w:hAnsi="Wingdings" w:hint="default"/>
      </w:rPr>
    </w:lvl>
    <w:lvl w:ilvl="3" w:tentative="1">
      <w:start w:val="1"/>
      <w:numFmt w:val="bullet"/>
      <w:lvlText w:val=""/>
      <w:lvlJc w:val="left"/>
      <w:pPr>
        <w:ind w:left="3150" w:hanging="360"/>
      </w:pPr>
      <w:rPr>
        <w:rFonts w:ascii="Symbol" w:hAnsi="Symbol" w:hint="default"/>
      </w:rPr>
    </w:lvl>
    <w:lvl w:ilvl="4" w:tentative="1">
      <w:start w:val="1"/>
      <w:numFmt w:val="bullet"/>
      <w:lvlText w:val="o"/>
      <w:lvlJc w:val="left"/>
      <w:pPr>
        <w:ind w:left="3870" w:hanging="360"/>
      </w:pPr>
      <w:rPr>
        <w:rFonts w:ascii="Courier New" w:hAnsi="Courier New" w:cs="Courier New" w:hint="default"/>
      </w:rPr>
    </w:lvl>
    <w:lvl w:ilvl="5" w:tentative="1">
      <w:start w:val="1"/>
      <w:numFmt w:val="bullet"/>
      <w:lvlText w:val=""/>
      <w:lvlJc w:val="left"/>
      <w:pPr>
        <w:ind w:left="4590" w:hanging="360"/>
      </w:pPr>
      <w:rPr>
        <w:rFonts w:ascii="Wingdings" w:hAnsi="Wingdings" w:hint="default"/>
      </w:rPr>
    </w:lvl>
    <w:lvl w:ilvl="6" w:tentative="1">
      <w:start w:val="1"/>
      <w:numFmt w:val="bullet"/>
      <w:lvlText w:val=""/>
      <w:lvlJc w:val="left"/>
      <w:pPr>
        <w:ind w:left="5310" w:hanging="360"/>
      </w:pPr>
      <w:rPr>
        <w:rFonts w:ascii="Symbol" w:hAnsi="Symbol" w:hint="default"/>
      </w:rPr>
    </w:lvl>
    <w:lvl w:ilvl="7" w:tentative="1">
      <w:start w:val="1"/>
      <w:numFmt w:val="bullet"/>
      <w:lvlText w:val="o"/>
      <w:lvlJc w:val="left"/>
      <w:pPr>
        <w:ind w:left="6030" w:hanging="360"/>
      </w:pPr>
      <w:rPr>
        <w:rFonts w:ascii="Courier New" w:hAnsi="Courier New" w:cs="Courier New" w:hint="default"/>
      </w:rPr>
    </w:lvl>
    <w:lvl w:ilvl="8" w:tentative="1">
      <w:start w:val="1"/>
      <w:numFmt w:val="bullet"/>
      <w:lvlText w:val=""/>
      <w:lvlJc w:val="left"/>
      <w:pPr>
        <w:ind w:left="6750" w:hanging="360"/>
      </w:pPr>
      <w:rPr>
        <w:rFonts w:ascii="Wingdings" w:hAnsi="Wingdings" w:hint="default"/>
      </w:rPr>
    </w:lvl>
  </w:abstractNum>
  <w:abstractNum w:abstractNumId="5">
    <w:nsid w:val="1DFD1A90"/>
    <w:multiLevelType w:val="hybridMultilevel"/>
    <w:tmpl w:val="9492419E"/>
    <w:lvl w:ilvl="0">
      <w:start w:val="1"/>
      <w:numFmt w:val="decimal"/>
      <w:lvlText w:val="%1."/>
      <w:lvlJc w:val="left"/>
      <w:pPr>
        <w:ind w:left="400" w:hanging="269"/>
      </w:pPr>
      <w:rPr>
        <w:rFonts w:ascii="Arial" w:eastAsia="Arial" w:hAnsi="Arial" w:cs="Arial" w:hint="default"/>
        <w:b/>
        <w:bCs/>
        <w:w w:val="100"/>
        <w:sz w:val="24"/>
        <w:szCs w:val="24"/>
        <w:lang w:val="en-US" w:eastAsia="en-US" w:bidi="en-US"/>
      </w:rPr>
    </w:lvl>
    <w:lvl w:ilvl="1">
      <w:start w:val="0"/>
      <w:numFmt w:val="bullet"/>
      <w:lvlText w:val=""/>
      <w:lvlJc w:val="left"/>
      <w:pPr>
        <w:ind w:left="1120" w:hanging="360"/>
      </w:pPr>
      <w:rPr>
        <w:rFonts w:hint="default"/>
        <w:w w:val="99"/>
        <w:lang w:val="en-US" w:eastAsia="en-US" w:bidi="en-US"/>
      </w:rPr>
    </w:lvl>
    <w:lvl w:ilvl="2">
      <w:start w:val="0"/>
      <w:numFmt w:val="bullet"/>
      <w:lvlText w:val="•"/>
      <w:lvlJc w:val="left"/>
      <w:pPr>
        <w:ind w:left="1220" w:hanging="360"/>
      </w:pPr>
      <w:rPr>
        <w:rFonts w:hint="default"/>
        <w:lang w:val="en-US" w:eastAsia="en-US" w:bidi="en-US"/>
      </w:rPr>
    </w:lvl>
    <w:lvl w:ilvl="3">
      <w:start w:val="0"/>
      <w:numFmt w:val="bullet"/>
      <w:lvlText w:val="•"/>
      <w:lvlJc w:val="left"/>
      <w:pPr>
        <w:ind w:left="2505" w:hanging="360"/>
      </w:pPr>
      <w:rPr>
        <w:rFonts w:hint="default"/>
        <w:lang w:val="en-US" w:eastAsia="en-US" w:bidi="en-US"/>
      </w:rPr>
    </w:lvl>
    <w:lvl w:ilvl="4">
      <w:start w:val="0"/>
      <w:numFmt w:val="bullet"/>
      <w:lvlText w:val="•"/>
      <w:lvlJc w:val="left"/>
      <w:pPr>
        <w:ind w:left="3790" w:hanging="360"/>
      </w:pPr>
      <w:rPr>
        <w:rFonts w:hint="default"/>
        <w:lang w:val="en-US" w:eastAsia="en-US" w:bidi="en-US"/>
      </w:rPr>
    </w:lvl>
    <w:lvl w:ilvl="5">
      <w:start w:val="0"/>
      <w:numFmt w:val="bullet"/>
      <w:lvlText w:val="•"/>
      <w:lvlJc w:val="left"/>
      <w:pPr>
        <w:ind w:left="5075" w:hanging="360"/>
      </w:pPr>
      <w:rPr>
        <w:rFonts w:hint="default"/>
        <w:lang w:val="en-US" w:eastAsia="en-US" w:bidi="en-US"/>
      </w:rPr>
    </w:lvl>
    <w:lvl w:ilvl="6">
      <w:start w:val="0"/>
      <w:numFmt w:val="bullet"/>
      <w:lvlText w:val="•"/>
      <w:lvlJc w:val="left"/>
      <w:pPr>
        <w:ind w:left="6360" w:hanging="360"/>
      </w:pPr>
      <w:rPr>
        <w:rFonts w:hint="default"/>
        <w:lang w:val="en-US" w:eastAsia="en-US" w:bidi="en-US"/>
      </w:rPr>
    </w:lvl>
    <w:lvl w:ilvl="7">
      <w:start w:val="0"/>
      <w:numFmt w:val="bullet"/>
      <w:lvlText w:val="•"/>
      <w:lvlJc w:val="left"/>
      <w:pPr>
        <w:ind w:left="7645" w:hanging="360"/>
      </w:pPr>
      <w:rPr>
        <w:rFonts w:hint="default"/>
        <w:lang w:val="en-US" w:eastAsia="en-US" w:bidi="en-US"/>
      </w:rPr>
    </w:lvl>
    <w:lvl w:ilvl="8">
      <w:start w:val="0"/>
      <w:numFmt w:val="bullet"/>
      <w:lvlText w:val="•"/>
      <w:lvlJc w:val="left"/>
      <w:pPr>
        <w:ind w:left="8930" w:hanging="360"/>
      </w:pPr>
      <w:rPr>
        <w:rFonts w:hint="default"/>
        <w:lang w:val="en-US" w:eastAsia="en-US" w:bidi="en-US"/>
      </w:rPr>
    </w:lvl>
  </w:abstractNum>
  <w:abstractNum w:abstractNumId="6">
    <w:nsid w:val="30AE374E"/>
    <w:multiLevelType w:val="hybridMultilevel"/>
    <w:tmpl w:val="D4CE5CF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361E6D36"/>
    <w:multiLevelType w:val="hybridMultilevel"/>
    <w:tmpl w:val="9672F8CA"/>
    <w:lvl w:ilvl="0">
      <w:start w:val="1"/>
      <w:numFmt w:val="decimal"/>
      <w:lvlText w:val="%1."/>
      <w:lvlJc w:val="left"/>
      <w:pPr>
        <w:ind w:left="810" w:hanging="360"/>
      </w:pPr>
      <w:rPr>
        <w:rFonts w:hint="default"/>
      </w:rPr>
    </w:lvl>
    <w:lvl w:ilvl="1" w:tentative="1">
      <w:start w:val="1"/>
      <w:numFmt w:val="lowerLetter"/>
      <w:lvlText w:val="%2."/>
      <w:lvlJc w:val="left"/>
      <w:pPr>
        <w:ind w:left="1530" w:hanging="360"/>
      </w:pPr>
    </w:lvl>
    <w:lvl w:ilvl="2" w:tentative="1">
      <w:start w:val="1"/>
      <w:numFmt w:val="lowerRoman"/>
      <w:lvlText w:val="%3."/>
      <w:lvlJc w:val="right"/>
      <w:pPr>
        <w:ind w:left="2250" w:hanging="180"/>
      </w:pPr>
    </w:lvl>
    <w:lvl w:ilvl="3" w:tentative="1">
      <w:start w:val="1"/>
      <w:numFmt w:val="decimal"/>
      <w:lvlText w:val="%4."/>
      <w:lvlJc w:val="left"/>
      <w:pPr>
        <w:ind w:left="2970" w:hanging="360"/>
      </w:pPr>
    </w:lvl>
    <w:lvl w:ilvl="4" w:tentative="1">
      <w:start w:val="1"/>
      <w:numFmt w:val="lowerLetter"/>
      <w:lvlText w:val="%5."/>
      <w:lvlJc w:val="left"/>
      <w:pPr>
        <w:ind w:left="3690" w:hanging="360"/>
      </w:pPr>
    </w:lvl>
    <w:lvl w:ilvl="5" w:tentative="1">
      <w:start w:val="1"/>
      <w:numFmt w:val="lowerRoman"/>
      <w:lvlText w:val="%6."/>
      <w:lvlJc w:val="right"/>
      <w:pPr>
        <w:ind w:left="4410" w:hanging="180"/>
      </w:pPr>
    </w:lvl>
    <w:lvl w:ilvl="6" w:tentative="1">
      <w:start w:val="1"/>
      <w:numFmt w:val="decimal"/>
      <w:lvlText w:val="%7."/>
      <w:lvlJc w:val="left"/>
      <w:pPr>
        <w:ind w:left="5130" w:hanging="360"/>
      </w:pPr>
    </w:lvl>
    <w:lvl w:ilvl="7" w:tentative="1">
      <w:start w:val="1"/>
      <w:numFmt w:val="lowerLetter"/>
      <w:lvlText w:val="%8."/>
      <w:lvlJc w:val="left"/>
      <w:pPr>
        <w:ind w:left="5850" w:hanging="360"/>
      </w:pPr>
    </w:lvl>
    <w:lvl w:ilvl="8" w:tentative="1">
      <w:start w:val="1"/>
      <w:numFmt w:val="lowerRoman"/>
      <w:lvlText w:val="%9."/>
      <w:lvlJc w:val="right"/>
      <w:pPr>
        <w:ind w:left="6570" w:hanging="180"/>
      </w:pPr>
    </w:lvl>
  </w:abstractNum>
  <w:abstractNum w:abstractNumId="8">
    <w:nsid w:val="3CD90455"/>
    <w:multiLevelType w:val="multilevel"/>
    <w:tmpl w:val="A7F4D1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nsid w:val="40634FAB"/>
    <w:multiLevelType w:val="hybridMultilevel"/>
    <w:tmpl w:val="5572498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42BC6E4F"/>
    <w:multiLevelType w:val="hybridMultilevel"/>
    <w:tmpl w:val="4FE8D666"/>
    <w:lvl w:ilvl="0">
      <w:start w:val="2"/>
      <w:numFmt w:val="decimal"/>
      <w:lvlText w:val="%1."/>
      <w:lvlJc w:val="left"/>
      <w:pPr>
        <w:ind w:left="1080" w:hanging="360"/>
      </w:pPr>
      <w:rPr>
        <w:rFonts w:hint="default"/>
        <w:b/>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1">
    <w:nsid w:val="44FD52DF"/>
    <w:multiLevelType w:val="hybridMultilevel"/>
    <w:tmpl w:val="0C44D82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50DA0FFF"/>
    <w:multiLevelType w:val="hybridMultilevel"/>
    <w:tmpl w:val="51F4670A"/>
    <w:lvl w:ilvl="0">
      <w:start w:val="1"/>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57B92D18"/>
    <w:multiLevelType w:val="hybridMultilevel"/>
    <w:tmpl w:val="42621D4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59486A34"/>
    <w:multiLevelType w:val="hybridMultilevel"/>
    <w:tmpl w:val="0C64D81E"/>
    <w:lvl w:ilvl="0">
      <w:start w:val="0"/>
      <w:numFmt w:val="bullet"/>
      <w:lvlText w:val="-"/>
      <w:lvlJc w:val="left"/>
      <w:pPr>
        <w:ind w:left="720" w:hanging="360"/>
      </w:pPr>
      <w:rPr>
        <w:rFonts w:ascii="Calibri" w:eastAsia="Times New Roman" w:hAnsi="Calibr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13"/>
  </w:num>
  <w:num w:numId="4">
    <w:abstractNumId w:val="12"/>
  </w:num>
  <w:num w:numId="5">
    <w:abstractNumId w:val="1"/>
  </w:num>
  <w:num w:numId="6">
    <w:abstractNumId w:val="10"/>
  </w:num>
  <w:num w:numId="7">
    <w:abstractNumId w:val="2"/>
  </w:num>
  <w:num w:numId="8">
    <w:abstractNumId w:val="14"/>
  </w:num>
  <w:num w:numId="9">
    <w:abstractNumId w:val="5"/>
  </w:num>
  <w:num w:numId="10">
    <w:abstractNumId w:val="3"/>
  </w:num>
  <w:num w:numId="11">
    <w:abstractNumId w:val="8"/>
  </w:num>
  <w:num w:numId="12">
    <w:abstractNumId w:val="11"/>
  </w:num>
  <w:num w:numId="13">
    <w:abstractNumId w:val="4"/>
  </w:num>
  <w:num w:numId="14">
    <w:abstractNumId w:val="6"/>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Fmt w:val="lowerLetter"/>
  </w:footnotePr>
  <w:endnotePr>
    <w:numFmt w:val="lowerLetter"/>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0B44"/>
    <w:rsid w:val="00000D93"/>
    <w:rsid w:val="000013FA"/>
    <w:rsid w:val="00001CCA"/>
    <w:rsid w:val="000020D9"/>
    <w:rsid w:val="000031E1"/>
    <w:rsid w:val="00003DF9"/>
    <w:rsid w:val="00005890"/>
    <w:rsid w:val="00006040"/>
    <w:rsid w:val="000069EB"/>
    <w:rsid w:val="00007B30"/>
    <w:rsid w:val="00011F78"/>
    <w:rsid w:val="00012FA4"/>
    <w:rsid w:val="000132D1"/>
    <w:rsid w:val="00014757"/>
    <w:rsid w:val="00016D7C"/>
    <w:rsid w:val="00017FFE"/>
    <w:rsid w:val="000219D5"/>
    <w:rsid w:val="000226E0"/>
    <w:rsid w:val="000234C7"/>
    <w:rsid w:val="0002352D"/>
    <w:rsid w:val="00024555"/>
    <w:rsid w:val="00024AF1"/>
    <w:rsid w:val="00026161"/>
    <w:rsid w:val="0003065A"/>
    <w:rsid w:val="00030702"/>
    <w:rsid w:val="00030F88"/>
    <w:rsid w:val="000317BF"/>
    <w:rsid w:val="00033EF8"/>
    <w:rsid w:val="0003484B"/>
    <w:rsid w:val="0003553A"/>
    <w:rsid w:val="00035AB1"/>
    <w:rsid w:val="00036C10"/>
    <w:rsid w:val="00037B2A"/>
    <w:rsid w:val="00037C7D"/>
    <w:rsid w:val="000404E5"/>
    <w:rsid w:val="0004157A"/>
    <w:rsid w:val="00041DE2"/>
    <w:rsid w:val="0004363C"/>
    <w:rsid w:val="00044BEF"/>
    <w:rsid w:val="00050888"/>
    <w:rsid w:val="00055930"/>
    <w:rsid w:val="00056326"/>
    <w:rsid w:val="00056D2D"/>
    <w:rsid w:val="00061D3B"/>
    <w:rsid w:val="00062B0F"/>
    <w:rsid w:val="00062DF2"/>
    <w:rsid w:val="00063697"/>
    <w:rsid w:val="0006455A"/>
    <w:rsid w:val="00065E43"/>
    <w:rsid w:val="00067958"/>
    <w:rsid w:val="00067C39"/>
    <w:rsid w:val="00070698"/>
    <w:rsid w:val="00073B4C"/>
    <w:rsid w:val="000758CD"/>
    <w:rsid w:val="00075DF1"/>
    <w:rsid w:val="00076B84"/>
    <w:rsid w:val="00081A83"/>
    <w:rsid w:val="00083CCE"/>
    <w:rsid w:val="000865B4"/>
    <w:rsid w:val="00090E31"/>
    <w:rsid w:val="0009560C"/>
    <w:rsid w:val="000956AA"/>
    <w:rsid w:val="00097E15"/>
    <w:rsid w:val="000A181E"/>
    <w:rsid w:val="000A18C6"/>
    <w:rsid w:val="000A1DB0"/>
    <w:rsid w:val="000A4CD4"/>
    <w:rsid w:val="000B0017"/>
    <w:rsid w:val="000B017A"/>
    <w:rsid w:val="000B342A"/>
    <w:rsid w:val="000B486C"/>
    <w:rsid w:val="000C36EC"/>
    <w:rsid w:val="000C4B7B"/>
    <w:rsid w:val="000C4D34"/>
    <w:rsid w:val="000C58C3"/>
    <w:rsid w:val="000D1225"/>
    <w:rsid w:val="000D127B"/>
    <w:rsid w:val="000D13B7"/>
    <w:rsid w:val="000D3C46"/>
    <w:rsid w:val="000D5DA7"/>
    <w:rsid w:val="000D709B"/>
    <w:rsid w:val="000D7982"/>
    <w:rsid w:val="000E0A8E"/>
    <w:rsid w:val="000E1005"/>
    <w:rsid w:val="000E1E6E"/>
    <w:rsid w:val="000F0D87"/>
    <w:rsid w:val="000F3C3E"/>
    <w:rsid w:val="000F425A"/>
    <w:rsid w:val="00100C7C"/>
    <w:rsid w:val="0010271D"/>
    <w:rsid w:val="0010380E"/>
    <w:rsid w:val="00104FCC"/>
    <w:rsid w:val="001051F1"/>
    <w:rsid w:val="00105649"/>
    <w:rsid w:val="00115E60"/>
    <w:rsid w:val="00116EB9"/>
    <w:rsid w:val="00120565"/>
    <w:rsid w:val="00122147"/>
    <w:rsid w:val="001226D4"/>
    <w:rsid w:val="00123F65"/>
    <w:rsid w:val="00124D34"/>
    <w:rsid w:val="00126167"/>
    <w:rsid w:val="00130320"/>
    <w:rsid w:val="00131860"/>
    <w:rsid w:val="00131C3B"/>
    <w:rsid w:val="00131CD1"/>
    <w:rsid w:val="00133256"/>
    <w:rsid w:val="0013443E"/>
    <w:rsid w:val="00135FB7"/>
    <w:rsid w:val="001363D1"/>
    <w:rsid w:val="00136C6C"/>
    <w:rsid w:val="0014021F"/>
    <w:rsid w:val="001416CF"/>
    <w:rsid w:val="00142076"/>
    <w:rsid w:val="001427C2"/>
    <w:rsid w:val="00142D73"/>
    <w:rsid w:val="00142D99"/>
    <w:rsid w:val="0014612E"/>
    <w:rsid w:val="001469D4"/>
    <w:rsid w:val="0014733B"/>
    <w:rsid w:val="0015089D"/>
    <w:rsid w:val="00151D3A"/>
    <w:rsid w:val="00152A2E"/>
    <w:rsid w:val="00153C5B"/>
    <w:rsid w:val="00154A8E"/>
    <w:rsid w:val="00156DCA"/>
    <w:rsid w:val="001640E6"/>
    <w:rsid w:val="0016467D"/>
    <w:rsid w:val="00167102"/>
    <w:rsid w:val="00167B56"/>
    <w:rsid w:val="0017081C"/>
    <w:rsid w:val="00170B92"/>
    <w:rsid w:val="001717E9"/>
    <w:rsid w:val="00171C0B"/>
    <w:rsid w:val="001732D8"/>
    <w:rsid w:val="00173A32"/>
    <w:rsid w:val="00174F2F"/>
    <w:rsid w:val="00175E7A"/>
    <w:rsid w:val="00177B8B"/>
    <w:rsid w:val="001829C5"/>
    <w:rsid w:val="0018329B"/>
    <w:rsid w:val="00183913"/>
    <w:rsid w:val="00185C54"/>
    <w:rsid w:val="00186473"/>
    <w:rsid w:val="00192FB3"/>
    <w:rsid w:val="001944B5"/>
    <w:rsid w:val="00195FAF"/>
    <w:rsid w:val="00196AA0"/>
    <w:rsid w:val="00197521"/>
    <w:rsid w:val="001A0269"/>
    <w:rsid w:val="001A1808"/>
    <w:rsid w:val="001A2AEA"/>
    <w:rsid w:val="001A2EF4"/>
    <w:rsid w:val="001A7800"/>
    <w:rsid w:val="001B0922"/>
    <w:rsid w:val="001B3D19"/>
    <w:rsid w:val="001B42B1"/>
    <w:rsid w:val="001B42FE"/>
    <w:rsid w:val="001B4938"/>
    <w:rsid w:val="001B76C7"/>
    <w:rsid w:val="001B7E1D"/>
    <w:rsid w:val="001C0029"/>
    <w:rsid w:val="001C0E1A"/>
    <w:rsid w:val="001C12CD"/>
    <w:rsid w:val="001C17A9"/>
    <w:rsid w:val="001C2109"/>
    <w:rsid w:val="001C2D07"/>
    <w:rsid w:val="001C310D"/>
    <w:rsid w:val="001C35C0"/>
    <w:rsid w:val="001C4C33"/>
    <w:rsid w:val="001C5432"/>
    <w:rsid w:val="001C5E20"/>
    <w:rsid w:val="001C6930"/>
    <w:rsid w:val="001C6E37"/>
    <w:rsid w:val="001D115D"/>
    <w:rsid w:val="001E0650"/>
    <w:rsid w:val="001E1C57"/>
    <w:rsid w:val="001E390C"/>
    <w:rsid w:val="001E5C7D"/>
    <w:rsid w:val="001F3172"/>
    <w:rsid w:val="001F3FAF"/>
    <w:rsid w:val="001F5AE2"/>
    <w:rsid w:val="001F66FF"/>
    <w:rsid w:val="0020154D"/>
    <w:rsid w:val="00202536"/>
    <w:rsid w:val="002026E9"/>
    <w:rsid w:val="0020563D"/>
    <w:rsid w:val="0020604C"/>
    <w:rsid w:val="00207C81"/>
    <w:rsid w:val="00211278"/>
    <w:rsid w:val="00211736"/>
    <w:rsid w:val="002125FF"/>
    <w:rsid w:val="00212E6D"/>
    <w:rsid w:val="002144A6"/>
    <w:rsid w:val="00215495"/>
    <w:rsid w:val="00221659"/>
    <w:rsid w:val="00221BF4"/>
    <w:rsid w:val="00221E4D"/>
    <w:rsid w:val="002249C7"/>
    <w:rsid w:val="002251EC"/>
    <w:rsid w:val="00227FF4"/>
    <w:rsid w:val="002302BC"/>
    <w:rsid w:val="002311F2"/>
    <w:rsid w:val="00231D88"/>
    <w:rsid w:val="00231DC4"/>
    <w:rsid w:val="002354FC"/>
    <w:rsid w:val="00240635"/>
    <w:rsid w:val="00242725"/>
    <w:rsid w:val="0024499D"/>
    <w:rsid w:val="002502E0"/>
    <w:rsid w:val="002512CD"/>
    <w:rsid w:val="00254375"/>
    <w:rsid w:val="002543FB"/>
    <w:rsid w:val="00256B22"/>
    <w:rsid w:val="00256CDA"/>
    <w:rsid w:val="00260404"/>
    <w:rsid w:val="0026107A"/>
    <w:rsid w:val="002612E0"/>
    <w:rsid w:val="00262694"/>
    <w:rsid w:val="00264272"/>
    <w:rsid w:val="0026737A"/>
    <w:rsid w:val="00270129"/>
    <w:rsid w:val="0027297E"/>
    <w:rsid w:val="00272E53"/>
    <w:rsid w:val="00276003"/>
    <w:rsid w:val="00280022"/>
    <w:rsid w:val="0028034F"/>
    <w:rsid w:val="00281C75"/>
    <w:rsid w:val="002837F9"/>
    <w:rsid w:val="002900E2"/>
    <w:rsid w:val="0029095D"/>
    <w:rsid w:val="002915E5"/>
    <w:rsid w:val="0029305F"/>
    <w:rsid w:val="00294E87"/>
    <w:rsid w:val="002950C4"/>
    <w:rsid w:val="0029540B"/>
    <w:rsid w:val="00296C39"/>
    <w:rsid w:val="0029746C"/>
    <w:rsid w:val="002A0224"/>
    <w:rsid w:val="002A0438"/>
    <w:rsid w:val="002A2545"/>
    <w:rsid w:val="002A2745"/>
    <w:rsid w:val="002A304D"/>
    <w:rsid w:val="002A5FAB"/>
    <w:rsid w:val="002A7B65"/>
    <w:rsid w:val="002B19A2"/>
    <w:rsid w:val="002B36F8"/>
    <w:rsid w:val="002B3756"/>
    <w:rsid w:val="002B378C"/>
    <w:rsid w:val="002B3A2A"/>
    <w:rsid w:val="002B53E2"/>
    <w:rsid w:val="002B7F8E"/>
    <w:rsid w:val="002C00AF"/>
    <w:rsid w:val="002C078B"/>
    <w:rsid w:val="002C295C"/>
    <w:rsid w:val="002C503C"/>
    <w:rsid w:val="002C607B"/>
    <w:rsid w:val="002C78DB"/>
    <w:rsid w:val="002C7A69"/>
    <w:rsid w:val="002D08C3"/>
    <w:rsid w:val="002D0B55"/>
    <w:rsid w:val="002D208F"/>
    <w:rsid w:val="002D22F9"/>
    <w:rsid w:val="002D3C76"/>
    <w:rsid w:val="002D3CC7"/>
    <w:rsid w:val="002D5E91"/>
    <w:rsid w:val="002E31A4"/>
    <w:rsid w:val="002E3954"/>
    <w:rsid w:val="002E43B8"/>
    <w:rsid w:val="002E4AC9"/>
    <w:rsid w:val="002E4C14"/>
    <w:rsid w:val="002E527A"/>
    <w:rsid w:val="002E56DE"/>
    <w:rsid w:val="002F1359"/>
    <w:rsid w:val="002F34C4"/>
    <w:rsid w:val="002F5943"/>
    <w:rsid w:val="002F6222"/>
    <w:rsid w:val="002F64AE"/>
    <w:rsid w:val="00300B44"/>
    <w:rsid w:val="00301755"/>
    <w:rsid w:val="003017D3"/>
    <w:rsid w:val="00303BD9"/>
    <w:rsid w:val="0030592B"/>
    <w:rsid w:val="0030680D"/>
    <w:rsid w:val="00306B11"/>
    <w:rsid w:val="003145FE"/>
    <w:rsid w:val="003228EC"/>
    <w:rsid w:val="00325A07"/>
    <w:rsid w:val="00326CB6"/>
    <w:rsid w:val="0032758A"/>
    <w:rsid w:val="00327614"/>
    <w:rsid w:val="003311D8"/>
    <w:rsid w:val="00331D99"/>
    <w:rsid w:val="00334600"/>
    <w:rsid w:val="00334F0A"/>
    <w:rsid w:val="00336587"/>
    <w:rsid w:val="00336EE4"/>
    <w:rsid w:val="003375B7"/>
    <w:rsid w:val="00337A69"/>
    <w:rsid w:val="00337F2C"/>
    <w:rsid w:val="003402E3"/>
    <w:rsid w:val="00341B9C"/>
    <w:rsid w:val="00344DDF"/>
    <w:rsid w:val="003450B5"/>
    <w:rsid w:val="003455C7"/>
    <w:rsid w:val="0034729C"/>
    <w:rsid w:val="003476BB"/>
    <w:rsid w:val="00350441"/>
    <w:rsid w:val="00350D8A"/>
    <w:rsid w:val="0035164B"/>
    <w:rsid w:val="00351B89"/>
    <w:rsid w:val="00352810"/>
    <w:rsid w:val="003531AA"/>
    <w:rsid w:val="00353490"/>
    <w:rsid w:val="00355747"/>
    <w:rsid w:val="00361C49"/>
    <w:rsid w:val="0036474C"/>
    <w:rsid w:val="003657B0"/>
    <w:rsid w:val="00366E37"/>
    <w:rsid w:val="003677BF"/>
    <w:rsid w:val="00367821"/>
    <w:rsid w:val="00367FF2"/>
    <w:rsid w:val="00370FE8"/>
    <w:rsid w:val="0037194B"/>
    <w:rsid w:val="00374343"/>
    <w:rsid w:val="00374941"/>
    <w:rsid w:val="003755A9"/>
    <w:rsid w:val="00375BC4"/>
    <w:rsid w:val="00377495"/>
    <w:rsid w:val="003775B0"/>
    <w:rsid w:val="003776FA"/>
    <w:rsid w:val="003812B0"/>
    <w:rsid w:val="00383FA7"/>
    <w:rsid w:val="003866B2"/>
    <w:rsid w:val="00386F30"/>
    <w:rsid w:val="00390F4E"/>
    <w:rsid w:val="003932FE"/>
    <w:rsid w:val="00395C90"/>
    <w:rsid w:val="0039607B"/>
    <w:rsid w:val="00397B13"/>
    <w:rsid w:val="003A0815"/>
    <w:rsid w:val="003A199B"/>
    <w:rsid w:val="003A3511"/>
    <w:rsid w:val="003A53BE"/>
    <w:rsid w:val="003A6A44"/>
    <w:rsid w:val="003B08DF"/>
    <w:rsid w:val="003B0F25"/>
    <w:rsid w:val="003B265A"/>
    <w:rsid w:val="003B26F5"/>
    <w:rsid w:val="003B50E6"/>
    <w:rsid w:val="003C0B1C"/>
    <w:rsid w:val="003C1352"/>
    <w:rsid w:val="003C2592"/>
    <w:rsid w:val="003C2E77"/>
    <w:rsid w:val="003C4C59"/>
    <w:rsid w:val="003C5DF0"/>
    <w:rsid w:val="003C7E8F"/>
    <w:rsid w:val="003D0E84"/>
    <w:rsid w:val="003D3C8C"/>
    <w:rsid w:val="003D409B"/>
    <w:rsid w:val="003D47B6"/>
    <w:rsid w:val="003D4CB1"/>
    <w:rsid w:val="003D68DF"/>
    <w:rsid w:val="003D6DD2"/>
    <w:rsid w:val="003E3D84"/>
    <w:rsid w:val="003E442C"/>
    <w:rsid w:val="003E5FE9"/>
    <w:rsid w:val="003F2DEB"/>
    <w:rsid w:val="003F389D"/>
    <w:rsid w:val="003F3CC7"/>
    <w:rsid w:val="003F41C4"/>
    <w:rsid w:val="003F6A0D"/>
    <w:rsid w:val="00400DD8"/>
    <w:rsid w:val="0040271C"/>
    <w:rsid w:val="004031F6"/>
    <w:rsid w:val="00411749"/>
    <w:rsid w:val="0041189C"/>
    <w:rsid w:val="004129D5"/>
    <w:rsid w:val="00413AC7"/>
    <w:rsid w:val="0041518C"/>
    <w:rsid w:val="00415617"/>
    <w:rsid w:val="004160C9"/>
    <w:rsid w:val="004175B9"/>
    <w:rsid w:val="00422FD9"/>
    <w:rsid w:val="00423E1E"/>
    <w:rsid w:val="00424492"/>
    <w:rsid w:val="00426368"/>
    <w:rsid w:val="00426C4C"/>
    <w:rsid w:val="004270DF"/>
    <w:rsid w:val="00427176"/>
    <w:rsid w:val="00427697"/>
    <w:rsid w:val="00430DB5"/>
    <w:rsid w:val="004323CF"/>
    <w:rsid w:val="0043476E"/>
    <w:rsid w:val="0043605E"/>
    <w:rsid w:val="004372CC"/>
    <w:rsid w:val="00437BA1"/>
    <w:rsid w:val="0044021E"/>
    <w:rsid w:val="00442BB8"/>
    <w:rsid w:val="00443517"/>
    <w:rsid w:val="00445C0C"/>
    <w:rsid w:val="0044753E"/>
    <w:rsid w:val="00447FD6"/>
    <w:rsid w:val="004500FA"/>
    <w:rsid w:val="00451943"/>
    <w:rsid w:val="0046233A"/>
    <w:rsid w:val="00462D5A"/>
    <w:rsid w:val="00464B4F"/>
    <w:rsid w:val="0046697B"/>
    <w:rsid w:val="0046705C"/>
    <w:rsid w:val="00471556"/>
    <w:rsid w:val="0047295A"/>
    <w:rsid w:val="004733B8"/>
    <w:rsid w:val="00473767"/>
    <w:rsid w:val="00477235"/>
    <w:rsid w:val="00484E06"/>
    <w:rsid w:val="004866EB"/>
    <w:rsid w:val="00486AA1"/>
    <w:rsid w:val="00487C0B"/>
    <w:rsid w:val="00487EEC"/>
    <w:rsid w:val="004947D5"/>
    <w:rsid w:val="00494A81"/>
    <w:rsid w:val="00495BEA"/>
    <w:rsid w:val="00495F99"/>
    <w:rsid w:val="004A103A"/>
    <w:rsid w:val="004A1B2E"/>
    <w:rsid w:val="004A319B"/>
    <w:rsid w:val="004A3F94"/>
    <w:rsid w:val="004A5B26"/>
    <w:rsid w:val="004A7E2C"/>
    <w:rsid w:val="004B057B"/>
    <w:rsid w:val="004B075C"/>
    <w:rsid w:val="004B0995"/>
    <w:rsid w:val="004B1D6C"/>
    <w:rsid w:val="004B2924"/>
    <w:rsid w:val="004B4126"/>
    <w:rsid w:val="004B6ECD"/>
    <w:rsid w:val="004B792E"/>
    <w:rsid w:val="004C1EC2"/>
    <w:rsid w:val="004C268C"/>
    <w:rsid w:val="004C2935"/>
    <w:rsid w:val="004C5ACB"/>
    <w:rsid w:val="004C5D82"/>
    <w:rsid w:val="004C60B6"/>
    <w:rsid w:val="004C662D"/>
    <w:rsid w:val="004C66DE"/>
    <w:rsid w:val="004C732A"/>
    <w:rsid w:val="004C7442"/>
    <w:rsid w:val="004D17A2"/>
    <w:rsid w:val="004D44E1"/>
    <w:rsid w:val="004D78BF"/>
    <w:rsid w:val="004E3B55"/>
    <w:rsid w:val="004E5677"/>
    <w:rsid w:val="004E6250"/>
    <w:rsid w:val="004E76B6"/>
    <w:rsid w:val="004F0944"/>
    <w:rsid w:val="004F5A6E"/>
    <w:rsid w:val="0050134F"/>
    <w:rsid w:val="005013C6"/>
    <w:rsid w:val="00501AFA"/>
    <w:rsid w:val="00501B99"/>
    <w:rsid w:val="00503077"/>
    <w:rsid w:val="00503F3F"/>
    <w:rsid w:val="0050486E"/>
    <w:rsid w:val="00505B93"/>
    <w:rsid w:val="005079B0"/>
    <w:rsid w:val="0051486E"/>
    <w:rsid w:val="00516CC0"/>
    <w:rsid w:val="00517F83"/>
    <w:rsid w:val="00520B08"/>
    <w:rsid w:val="00521FA7"/>
    <w:rsid w:val="005222C8"/>
    <w:rsid w:val="005273C5"/>
    <w:rsid w:val="00527522"/>
    <w:rsid w:val="00532995"/>
    <w:rsid w:val="00532EE9"/>
    <w:rsid w:val="005343DE"/>
    <w:rsid w:val="0053495F"/>
    <w:rsid w:val="00535DD2"/>
    <w:rsid w:val="00542063"/>
    <w:rsid w:val="005439EF"/>
    <w:rsid w:val="00545B79"/>
    <w:rsid w:val="00550CB2"/>
    <w:rsid w:val="005512C4"/>
    <w:rsid w:val="005517AD"/>
    <w:rsid w:val="00552B2E"/>
    <w:rsid w:val="00553021"/>
    <w:rsid w:val="00553CC1"/>
    <w:rsid w:val="00557E3C"/>
    <w:rsid w:val="00560A1D"/>
    <w:rsid w:val="00561225"/>
    <w:rsid w:val="0056276D"/>
    <w:rsid w:val="00563D28"/>
    <w:rsid w:val="00570536"/>
    <w:rsid w:val="00570F2A"/>
    <w:rsid w:val="005719AC"/>
    <w:rsid w:val="00572525"/>
    <w:rsid w:val="00572BBF"/>
    <w:rsid w:val="00574DE8"/>
    <w:rsid w:val="005765F6"/>
    <w:rsid w:val="00577EE8"/>
    <w:rsid w:val="00583081"/>
    <w:rsid w:val="00583776"/>
    <w:rsid w:val="00583DA9"/>
    <w:rsid w:val="005844D0"/>
    <w:rsid w:val="00585042"/>
    <w:rsid w:val="005857FF"/>
    <w:rsid w:val="00586086"/>
    <w:rsid w:val="005869B1"/>
    <w:rsid w:val="00586F56"/>
    <w:rsid w:val="00590A69"/>
    <w:rsid w:val="005914EE"/>
    <w:rsid w:val="005936EA"/>
    <w:rsid w:val="0059422B"/>
    <w:rsid w:val="005942AE"/>
    <w:rsid w:val="005950DA"/>
    <w:rsid w:val="00596B7D"/>
    <w:rsid w:val="0059758D"/>
    <w:rsid w:val="005A0966"/>
    <w:rsid w:val="005A317F"/>
    <w:rsid w:val="005B0676"/>
    <w:rsid w:val="005B192B"/>
    <w:rsid w:val="005B1F78"/>
    <w:rsid w:val="005B285E"/>
    <w:rsid w:val="005B2F09"/>
    <w:rsid w:val="005B5BF4"/>
    <w:rsid w:val="005C1F1B"/>
    <w:rsid w:val="005C5A7D"/>
    <w:rsid w:val="005C5D6B"/>
    <w:rsid w:val="005D131A"/>
    <w:rsid w:val="005D14AE"/>
    <w:rsid w:val="005D2C11"/>
    <w:rsid w:val="005D41E4"/>
    <w:rsid w:val="005D529D"/>
    <w:rsid w:val="005D7F03"/>
    <w:rsid w:val="005E1434"/>
    <w:rsid w:val="005E2282"/>
    <w:rsid w:val="005E66A6"/>
    <w:rsid w:val="005F0B6C"/>
    <w:rsid w:val="005F0C60"/>
    <w:rsid w:val="005F14E7"/>
    <w:rsid w:val="005F1D91"/>
    <w:rsid w:val="005F34CF"/>
    <w:rsid w:val="005F3B12"/>
    <w:rsid w:val="005F53C3"/>
    <w:rsid w:val="005F716C"/>
    <w:rsid w:val="00600988"/>
    <w:rsid w:val="00600CF2"/>
    <w:rsid w:val="00607EF9"/>
    <w:rsid w:val="00611DE7"/>
    <w:rsid w:val="006141FF"/>
    <w:rsid w:val="00614A71"/>
    <w:rsid w:val="00615684"/>
    <w:rsid w:val="006157AC"/>
    <w:rsid w:val="00615E5B"/>
    <w:rsid w:val="0062309D"/>
    <w:rsid w:val="00625FFD"/>
    <w:rsid w:val="00627026"/>
    <w:rsid w:val="006305CE"/>
    <w:rsid w:val="00630693"/>
    <w:rsid w:val="0063240E"/>
    <w:rsid w:val="006327AB"/>
    <w:rsid w:val="006335A0"/>
    <w:rsid w:val="00634AA8"/>
    <w:rsid w:val="00635257"/>
    <w:rsid w:val="006354F7"/>
    <w:rsid w:val="00635B7D"/>
    <w:rsid w:val="0063780B"/>
    <w:rsid w:val="0063789B"/>
    <w:rsid w:val="00641A45"/>
    <w:rsid w:val="0064332F"/>
    <w:rsid w:val="00643945"/>
    <w:rsid w:val="006446B8"/>
    <w:rsid w:val="00647C33"/>
    <w:rsid w:val="00653B72"/>
    <w:rsid w:val="006545BE"/>
    <w:rsid w:val="00656919"/>
    <w:rsid w:val="006571C4"/>
    <w:rsid w:val="00660F13"/>
    <w:rsid w:val="00661758"/>
    <w:rsid w:val="00662C9B"/>
    <w:rsid w:val="00662F36"/>
    <w:rsid w:val="006659D2"/>
    <w:rsid w:val="0066651A"/>
    <w:rsid w:val="006667B0"/>
    <w:rsid w:val="00671206"/>
    <w:rsid w:val="00672ECB"/>
    <w:rsid w:val="00673012"/>
    <w:rsid w:val="00673FB0"/>
    <w:rsid w:val="006762D0"/>
    <w:rsid w:val="00676E1C"/>
    <w:rsid w:val="006774EA"/>
    <w:rsid w:val="00677C2D"/>
    <w:rsid w:val="006804CD"/>
    <w:rsid w:val="0068139B"/>
    <w:rsid w:val="006814B2"/>
    <w:rsid w:val="006815DD"/>
    <w:rsid w:val="0068223B"/>
    <w:rsid w:val="00683C77"/>
    <w:rsid w:val="00686C4C"/>
    <w:rsid w:val="00687009"/>
    <w:rsid w:val="006911CC"/>
    <w:rsid w:val="00693141"/>
    <w:rsid w:val="006935B5"/>
    <w:rsid w:val="00693B17"/>
    <w:rsid w:val="0069464B"/>
    <w:rsid w:val="00695CAF"/>
    <w:rsid w:val="0069634F"/>
    <w:rsid w:val="00696A0D"/>
    <w:rsid w:val="00697DF6"/>
    <w:rsid w:val="006A021E"/>
    <w:rsid w:val="006A0F24"/>
    <w:rsid w:val="006A1E56"/>
    <w:rsid w:val="006A5009"/>
    <w:rsid w:val="006A54C2"/>
    <w:rsid w:val="006A7AA2"/>
    <w:rsid w:val="006B07CC"/>
    <w:rsid w:val="006B2324"/>
    <w:rsid w:val="006B3076"/>
    <w:rsid w:val="006B3266"/>
    <w:rsid w:val="006B33E8"/>
    <w:rsid w:val="006B4471"/>
    <w:rsid w:val="006B4DBE"/>
    <w:rsid w:val="006B503C"/>
    <w:rsid w:val="006B5852"/>
    <w:rsid w:val="006C0A29"/>
    <w:rsid w:val="006C129A"/>
    <w:rsid w:val="006C35FA"/>
    <w:rsid w:val="006C3EB3"/>
    <w:rsid w:val="006C41A5"/>
    <w:rsid w:val="006C5AAE"/>
    <w:rsid w:val="006C6DDE"/>
    <w:rsid w:val="006D15F7"/>
    <w:rsid w:val="006D366E"/>
    <w:rsid w:val="006D529F"/>
    <w:rsid w:val="006D55A7"/>
    <w:rsid w:val="006D7C46"/>
    <w:rsid w:val="006D7C60"/>
    <w:rsid w:val="006E36A3"/>
    <w:rsid w:val="006E3750"/>
    <w:rsid w:val="006E67E7"/>
    <w:rsid w:val="006F06E0"/>
    <w:rsid w:val="006F27D0"/>
    <w:rsid w:val="006F5E3F"/>
    <w:rsid w:val="006F71FE"/>
    <w:rsid w:val="006F7F43"/>
    <w:rsid w:val="00700F0D"/>
    <w:rsid w:val="007012FF"/>
    <w:rsid w:val="00705F2A"/>
    <w:rsid w:val="007070C0"/>
    <w:rsid w:val="0071253C"/>
    <w:rsid w:val="007164B9"/>
    <w:rsid w:val="007164F0"/>
    <w:rsid w:val="00716945"/>
    <w:rsid w:val="00717CC1"/>
    <w:rsid w:val="00720539"/>
    <w:rsid w:val="00720805"/>
    <w:rsid w:val="00720A8D"/>
    <w:rsid w:val="007217CD"/>
    <w:rsid w:val="00723A0C"/>
    <w:rsid w:val="00727CB0"/>
    <w:rsid w:val="007324AA"/>
    <w:rsid w:val="007324E6"/>
    <w:rsid w:val="007350CE"/>
    <w:rsid w:val="00736667"/>
    <w:rsid w:val="007403A1"/>
    <w:rsid w:val="007418FF"/>
    <w:rsid w:val="00742F77"/>
    <w:rsid w:val="007432A6"/>
    <w:rsid w:val="007449CB"/>
    <w:rsid w:val="007450F6"/>
    <w:rsid w:val="00746286"/>
    <w:rsid w:val="00746FA4"/>
    <w:rsid w:val="00747F12"/>
    <w:rsid w:val="00751151"/>
    <w:rsid w:val="00752BC0"/>
    <w:rsid w:val="00753140"/>
    <w:rsid w:val="0075319A"/>
    <w:rsid w:val="007541E6"/>
    <w:rsid w:val="007546A5"/>
    <w:rsid w:val="00756F50"/>
    <w:rsid w:val="00756FBB"/>
    <w:rsid w:val="007578CE"/>
    <w:rsid w:val="00762435"/>
    <w:rsid w:val="00762CF5"/>
    <w:rsid w:val="00763108"/>
    <w:rsid w:val="00763ED6"/>
    <w:rsid w:val="00765BA7"/>
    <w:rsid w:val="00766FB3"/>
    <w:rsid w:val="00767685"/>
    <w:rsid w:val="0077087C"/>
    <w:rsid w:val="00770A38"/>
    <w:rsid w:val="00770A97"/>
    <w:rsid w:val="007812A9"/>
    <w:rsid w:val="00781B41"/>
    <w:rsid w:val="00786027"/>
    <w:rsid w:val="00790856"/>
    <w:rsid w:val="00792437"/>
    <w:rsid w:val="00796920"/>
    <w:rsid w:val="0079765B"/>
    <w:rsid w:val="007A001C"/>
    <w:rsid w:val="007A1217"/>
    <w:rsid w:val="007A1E94"/>
    <w:rsid w:val="007A24D7"/>
    <w:rsid w:val="007A3C1F"/>
    <w:rsid w:val="007A5269"/>
    <w:rsid w:val="007A55FE"/>
    <w:rsid w:val="007B12AD"/>
    <w:rsid w:val="007B1A52"/>
    <w:rsid w:val="007B268E"/>
    <w:rsid w:val="007B29F8"/>
    <w:rsid w:val="007B5117"/>
    <w:rsid w:val="007B68A6"/>
    <w:rsid w:val="007C19D4"/>
    <w:rsid w:val="007C491C"/>
    <w:rsid w:val="007C4B4E"/>
    <w:rsid w:val="007C4D15"/>
    <w:rsid w:val="007C4DD1"/>
    <w:rsid w:val="007D02C2"/>
    <w:rsid w:val="007D12F8"/>
    <w:rsid w:val="007D3269"/>
    <w:rsid w:val="007D3EEF"/>
    <w:rsid w:val="007D4898"/>
    <w:rsid w:val="007D5F42"/>
    <w:rsid w:val="007D6D83"/>
    <w:rsid w:val="007D6FA4"/>
    <w:rsid w:val="007D7957"/>
    <w:rsid w:val="007E277A"/>
    <w:rsid w:val="007E2B36"/>
    <w:rsid w:val="007E55BD"/>
    <w:rsid w:val="007E6A16"/>
    <w:rsid w:val="007E7017"/>
    <w:rsid w:val="007E71F1"/>
    <w:rsid w:val="007E7606"/>
    <w:rsid w:val="007F018C"/>
    <w:rsid w:val="007F13DF"/>
    <w:rsid w:val="007F3FFA"/>
    <w:rsid w:val="007F5CC3"/>
    <w:rsid w:val="007F5DFD"/>
    <w:rsid w:val="007F7F95"/>
    <w:rsid w:val="008001E4"/>
    <w:rsid w:val="00803529"/>
    <w:rsid w:val="008046E0"/>
    <w:rsid w:val="008106FF"/>
    <w:rsid w:val="00810B97"/>
    <w:rsid w:val="00810C02"/>
    <w:rsid w:val="008123D6"/>
    <w:rsid w:val="00813482"/>
    <w:rsid w:val="008144DD"/>
    <w:rsid w:val="0081524A"/>
    <w:rsid w:val="008158D0"/>
    <w:rsid w:val="008205DB"/>
    <w:rsid w:val="00820B57"/>
    <w:rsid w:val="008244C5"/>
    <w:rsid w:val="00827322"/>
    <w:rsid w:val="00827DE0"/>
    <w:rsid w:val="008309EF"/>
    <w:rsid w:val="00830A85"/>
    <w:rsid w:val="00831D08"/>
    <w:rsid w:val="0084047C"/>
    <w:rsid w:val="00840DDA"/>
    <w:rsid w:val="00841910"/>
    <w:rsid w:val="00841E4E"/>
    <w:rsid w:val="008422D9"/>
    <w:rsid w:val="0084237F"/>
    <w:rsid w:val="00850A73"/>
    <w:rsid w:val="00851CBE"/>
    <w:rsid w:val="008546D9"/>
    <w:rsid w:val="00856C24"/>
    <w:rsid w:val="00860BD5"/>
    <w:rsid w:val="00861BA1"/>
    <w:rsid w:val="00861F52"/>
    <w:rsid w:val="00862427"/>
    <w:rsid w:val="00863572"/>
    <w:rsid w:val="0086556E"/>
    <w:rsid w:val="008655F9"/>
    <w:rsid w:val="00866F04"/>
    <w:rsid w:val="008674B4"/>
    <w:rsid w:val="0087198A"/>
    <w:rsid w:val="008723D0"/>
    <w:rsid w:val="0087402D"/>
    <w:rsid w:val="00875E88"/>
    <w:rsid w:val="00877264"/>
    <w:rsid w:val="008778D2"/>
    <w:rsid w:val="00877DC1"/>
    <w:rsid w:val="00883291"/>
    <w:rsid w:val="0088369B"/>
    <w:rsid w:val="008845DA"/>
    <w:rsid w:val="00884C92"/>
    <w:rsid w:val="00886481"/>
    <w:rsid w:val="0088770A"/>
    <w:rsid w:val="00890E7A"/>
    <w:rsid w:val="0089629C"/>
    <w:rsid w:val="00896E25"/>
    <w:rsid w:val="00897AC9"/>
    <w:rsid w:val="008A0249"/>
    <w:rsid w:val="008A13D6"/>
    <w:rsid w:val="008A1587"/>
    <w:rsid w:val="008A22B5"/>
    <w:rsid w:val="008A27A7"/>
    <w:rsid w:val="008A2F89"/>
    <w:rsid w:val="008B1BE4"/>
    <w:rsid w:val="008B2576"/>
    <w:rsid w:val="008B2A61"/>
    <w:rsid w:val="008B63EF"/>
    <w:rsid w:val="008B685B"/>
    <w:rsid w:val="008B7E05"/>
    <w:rsid w:val="008C643A"/>
    <w:rsid w:val="008C6A54"/>
    <w:rsid w:val="008C72D1"/>
    <w:rsid w:val="008C78A6"/>
    <w:rsid w:val="008C7FA1"/>
    <w:rsid w:val="008D2860"/>
    <w:rsid w:val="008D328D"/>
    <w:rsid w:val="008D499E"/>
    <w:rsid w:val="008D4B35"/>
    <w:rsid w:val="008D5AB1"/>
    <w:rsid w:val="008D7F56"/>
    <w:rsid w:val="008E7560"/>
    <w:rsid w:val="008F2BE1"/>
    <w:rsid w:val="008F2BFE"/>
    <w:rsid w:val="008F5142"/>
    <w:rsid w:val="008F6B87"/>
    <w:rsid w:val="00901B5E"/>
    <w:rsid w:val="0090717E"/>
    <w:rsid w:val="009075D6"/>
    <w:rsid w:val="00907620"/>
    <w:rsid w:val="00907723"/>
    <w:rsid w:val="0091096F"/>
    <w:rsid w:val="009121F3"/>
    <w:rsid w:val="00912CAD"/>
    <w:rsid w:val="00913C11"/>
    <w:rsid w:val="00915323"/>
    <w:rsid w:val="00916B32"/>
    <w:rsid w:val="00916F6D"/>
    <w:rsid w:val="0092184C"/>
    <w:rsid w:val="00922866"/>
    <w:rsid w:val="009236D8"/>
    <w:rsid w:val="00924FDD"/>
    <w:rsid w:val="009258B3"/>
    <w:rsid w:val="00927637"/>
    <w:rsid w:val="0093107A"/>
    <w:rsid w:val="0093205F"/>
    <w:rsid w:val="00934DD6"/>
    <w:rsid w:val="00937303"/>
    <w:rsid w:val="00940B44"/>
    <w:rsid w:val="00941401"/>
    <w:rsid w:val="0094503D"/>
    <w:rsid w:val="00952889"/>
    <w:rsid w:val="00953BB7"/>
    <w:rsid w:val="009554EB"/>
    <w:rsid w:val="00956639"/>
    <w:rsid w:val="009566AA"/>
    <w:rsid w:val="00960AE2"/>
    <w:rsid w:val="00964F01"/>
    <w:rsid w:val="00965138"/>
    <w:rsid w:val="009670F1"/>
    <w:rsid w:val="009702EA"/>
    <w:rsid w:val="00970A2E"/>
    <w:rsid w:val="00970B3C"/>
    <w:rsid w:val="009801BE"/>
    <w:rsid w:val="009801C6"/>
    <w:rsid w:val="00981465"/>
    <w:rsid w:val="009820EC"/>
    <w:rsid w:val="00982FB9"/>
    <w:rsid w:val="0098796F"/>
    <w:rsid w:val="00994484"/>
    <w:rsid w:val="00994A75"/>
    <w:rsid w:val="00994E75"/>
    <w:rsid w:val="00997BEE"/>
    <w:rsid w:val="009A0F9F"/>
    <w:rsid w:val="009A12A6"/>
    <w:rsid w:val="009A12A9"/>
    <w:rsid w:val="009A1683"/>
    <w:rsid w:val="009A23A4"/>
    <w:rsid w:val="009A40A9"/>
    <w:rsid w:val="009A4AC3"/>
    <w:rsid w:val="009A53E6"/>
    <w:rsid w:val="009A5570"/>
    <w:rsid w:val="009A7769"/>
    <w:rsid w:val="009A799B"/>
    <w:rsid w:val="009A7E0F"/>
    <w:rsid w:val="009B03F8"/>
    <w:rsid w:val="009B0DC7"/>
    <w:rsid w:val="009B2004"/>
    <w:rsid w:val="009B2803"/>
    <w:rsid w:val="009B45EF"/>
    <w:rsid w:val="009B7284"/>
    <w:rsid w:val="009C5FBB"/>
    <w:rsid w:val="009D34BC"/>
    <w:rsid w:val="009D40DA"/>
    <w:rsid w:val="009D4A74"/>
    <w:rsid w:val="009D557B"/>
    <w:rsid w:val="009D6353"/>
    <w:rsid w:val="009E1824"/>
    <w:rsid w:val="009E4634"/>
    <w:rsid w:val="009F12B9"/>
    <w:rsid w:val="009F17DE"/>
    <w:rsid w:val="009F2A86"/>
    <w:rsid w:val="009F346F"/>
    <w:rsid w:val="009F4071"/>
    <w:rsid w:val="009F456C"/>
    <w:rsid w:val="009F7164"/>
    <w:rsid w:val="009F7782"/>
    <w:rsid w:val="009F78C4"/>
    <w:rsid w:val="00A00BE3"/>
    <w:rsid w:val="00A031C1"/>
    <w:rsid w:val="00A0391C"/>
    <w:rsid w:val="00A04605"/>
    <w:rsid w:val="00A05BEC"/>
    <w:rsid w:val="00A11418"/>
    <w:rsid w:val="00A1369D"/>
    <w:rsid w:val="00A13CCD"/>
    <w:rsid w:val="00A13D1D"/>
    <w:rsid w:val="00A16D26"/>
    <w:rsid w:val="00A17E9F"/>
    <w:rsid w:val="00A2040B"/>
    <w:rsid w:val="00A21A85"/>
    <w:rsid w:val="00A21FE1"/>
    <w:rsid w:val="00A21FEF"/>
    <w:rsid w:val="00A230A8"/>
    <w:rsid w:val="00A242DD"/>
    <w:rsid w:val="00A302B9"/>
    <w:rsid w:val="00A316AB"/>
    <w:rsid w:val="00A31C12"/>
    <w:rsid w:val="00A32DED"/>
    <w:rsid w:val="00A3385D"/>
    <w:rsid w:val="00A33E29"/>
    <w:rsid w:val="00A33E69"/>
    <w:rsid w:val="00A3799D"/>
    <w:rsid w:val="00A40A1A"/>
    <w:rsid w:val="00A41228"/>
    <w:rsid w:val="00A41CAB"/>
    <w:rsid w:val="00A4201F"/>
    <w:rsid w:val="00A42AEF"/>
    <w:rsid w:val="00A4365B"/>
    <w:rsid w:val="00A44178"/>
    <w:rsid w:val="00A467D0"/>
    <w:rsid w:val="00A50A18"/>
    <w:rsid w:val="00A51402"/>
    <w:rsid w:val="00A54461"/>
    <w:rsid w:val="00A55C2D"/>
    <w:rsid w:val="00A55F2E"/>
    <w:rsid w:val="00A561FD"/>
    <w:rsid w:val="00A563EF"/>
    <w:rsid w:val="00A56B8B"/>
    <w:rsid w:val="00A608A6"/>
    <w:rsid w:val="00A629BA"/>
    <w:rsid w:val="00A654C1"/>
    <w:rsid w:val="00A65E92"/>
    <w:rsid w:val="00A66B62"/>
    <w:rsid w:val="00A72874"/>
    <w:rsid w:val="00A73986"/>
    <w:rsid w:val="00A75785"/>
    <w:rsid w:val="00A759A8"/>
    <w:rsid w:val="00A80A26"/>
    <w:rsid w:val="00A80A78"/>
    <w:rsid w:val="00A821B9"/>
    <w:rsid w:val="00A82794"/>
    <w:rsid w:val="00A845CF"/>
    <w:rsid w:val="00A8534F"/>
    <w:rsid w:val="00A85F28"/>
    <w:rsid w:val="00A877F2"/>
    <w:rsid w:val="00A90BA6"/>
    <w:rsid w:val="00A90F90"/>
    <w:rsid w:val="00A913EE"/>
    <w:rsid w:val="00A91649"/>
    <w:rsid w:val="00A92BA7"/>
    <w:rsid w:val="00A94877"/>
    <w:rsid w:val="00A94E2B"/>
    <w:rsid w:val="00A97174"/>
    <w:rsid w:val="00AA1095"/>
    <w:rsid w:val="00AA189A"/>
    <w:rsid w:val="00AA1DBC"/>
    <w:rsid w:val="00AA31AE"/>
    <w:rsid w:val="00AA4E09"/>
    <w:rsid w:val="00AA59FF"/>
    <w:rsid w:val="00AA5D4E"/>
    <w:rsid w:val="00AA60E4"/>
    <w:rsid w:val="00AA6AF1"/>
    <w:rsid w:val="00AA706C"/>
    <w:rsid w:val="00AB2414"/>
    <w:rsid w:val="00AB270B"/>
    <w:rsid w:val="00AC1934"/>
    <w:rsid w:val="00AC2E22"/>
    <w:rsid w:val="00AC3F39"/>
    <w:rsid w:val="00AC4018"/>
    <w:rsid w:val="00AC4CF7"/>
    <w:rsid w:val="00AC5330"/>
    <w:rsid w:val="00AC5D3C"/>
    <w:rsid w:val="00AC5E6E"/>
    <w:rsid w:val="00AC6FF2"/>
    <w:rsid w:val="00AD1FF2"/>
    <w:rsid w:val="00AD2BA8"/>
    <w:rsid w:val="00AD33DE"/>
    <w:rsid w:val="00AD46E9"/>
    <w:rsid w:val="00AD5E6B"/>
    <w:rsid w:val="00AD607C"/>
    <w:rsid w:val="00AD6F1F"/>
    <w:rsid w:val="00AD6FEC"/>
    <w:rsid w:val="00AD7720"/>
    <w:rsid w:val="00AE0096"/>
    <w:rsid w:val="00AE0182"/>
    <w:rsid w:val="00AE04D5"/>
    <w:rsid w:val="00AE17B9"/>
    <w:rsid w:val="00AE1AEB"/>
    <w:rsid w:val="00AE2FF5"/>
    <w:rsid w:val="00AE3F36"/>
    <w:rsid w:val="00AE4E63"/>
    <w:rsid w:val="00AE6A43"/>
    <w:rsid w:val="00AF04B2"/>
    <w:rsid w:val="00AF0ADC"/>
    <w:rsid w:val="00AF172D"/>
    <w:rsid w:val="00AF3193"/>
    <w:rsid w:val="00AF729E"/>
    <w:rsid w:val="00AF7C32"/>
    <w:rsid w:val="00B0415C"/>
    <w:rsid w:val="00B06E9A"/>
    <w:rsid w:val="00B1197B"/>
    <w:rsid w:val="00B11ED3"/>
    <w:rsid w:val="00B159CB"/>
    <w:rsid w:val="00B15C75"/>
    <w:rsid w:val="00B15F54"/>
    <w:rsid w:val="00B15F6B"/>
    <w:rsid w:val="00B1698A"/>
    <w:rsid w:val="00B1778D"/>
    <w:rsid w:val="00B251E6"/>
    <w:rsid w:val="00B25C21"/>
    <w:rsid w:val="00B27499"/>
    <w:rsid w:val="00B31BDB"/>
    <w:rsid w:val="00B35EEB"/>
    <w:rsid w:val="00B3645B"/>
    <w:rsid w:val="00B373CB"/>
    <w:rsid w:val="00B40801"/>
    <w:rsid w:val="00B42B67"/>
    <w:rsid w:val="00B45BF9"/>
    <w:rsid w:val="00B474F0"/>
    <w:rsid w:val="00B50042"/>
    <w:rsid w:val="00B54193"/>
    <w:rsid w:val="00B550A1"/>
    <w:rsid w:val="00B57167"/>
    <w:rsid w:val="00B623C9"/>
    <w:rsid w:val="00B6304C"/>
    <w:rsid w:val="00B66A4A"/>
    <w:rsid w:val="00B701E8"/>
    <w:rsid w:val="00B77274"/>
    <w:rsid w:val="00B77611"/>
    <w:rsid w:val="00B77636"/>
    <w:rsid w:val="00B77E18"/>
    <w:rsid w:val="00B818CE"/>
    <w:rsid w:val="00B82D45"/>
    <w:rsid w:val="00B848FF"/>
    <w:rsid w:val="00B867F6"/>
    <w:rsid w:val="00B90E83"/>
    <w:rsid w:val="00B92F42"/>
    <w:rsid w:val="00B95042"/>
    <w:rsid w:val="00B950B6"/>
    <w:rsid w:val="00B9760F"/>
    <w:rsid w:val="00B97AE0"/>
    <w:rsid w:val="00B97B43"/>
    <w:rsid w:val="00BA3863"/>
    <w:rsid w:val="00BB32B5"/>
    <w:rsid w:val="00BB7515"/>
    <w:rsid w:val="00BB7C50"/>
    <w:rsid w:val="00BC00DA"/>
    <w:rsid w:val="00BC0481"/>
    <w:rsid w:val="00BC116D"/>
    <w:rsid w:val="00BC11F6"/>
    <w:rsid w:val="00BC2760"/>
    <w:rsid w:val="00BC42F5"/>
    <w:rsid w:val="00BD0D15"/>
    <w:rsid w:val="00BD6CCE"/>
    <w:rsid w:val="00BD7237"/>
    <w:rsid w:val="00BE00B4"/>
    <w:rsid w:val="00BE0F9C"/>
    <w:rsid w:val="00BE120D"/>
    <w:rsid w:val="00BE181B"/>
    <w:rsid w:val="00BE2BDE"/>
    <w:rsid w:val="00BE3080"/>
    <w:rsid w:val="00BE3696"/>
    <w:rsid w:val="00BE38BE"/>
    <w:rsid w:val="00BE4850"/>
    <w:rsid w:val="00BE74DA"/>
    <w:rsid w:val="00BE7745"/>
    <w:rsid w:val="00BF0342"/>
    <w:rsid w:val="00BF1816"/>
    <w:rsid w:val="00BF2025"/>
    <w:rsid w:val="00BF3CB0"/>
    <w:rsid w:val="00BF5547"/>
    <w:rsid w:val="00BF7231"/>
    <w:rsid w:val="00BF74CF"/>
    <w:rsid w:val="00C00210"/>
    <w:rsid w:val="00C004A2"/>
    <w:rsid w:val="00C0231E"/>
    <w:rsid w:val="00C05E52"/>
    <w:rsid w:val="00C05F6A"/>
    <w:rsid w:val="00C06800"/>
    <w:rsid w:val="00C07984"/>
    <w:rsid w:val="00C100B3"/>
    <w:rsid w:val="00C11F1D"/>
    <w:rsid w:val="00C13DFB"/>
    <w:rsid w:val="00C1470A"/>
    <w:rsid w:val="00C14740"/>
    <w:rsid w:val="00C16D4F"/>
    <w:rsid w:val="00C17166"/>
    <w:rsid w:val="00C17476"/>
    <w:rsid w:val="00C1750C"/>
    <w:rsid w:val="00C25A07"/>
    <w:rsid w:val="00C272D3"/>
    <w:rsid w:val="00C30114"/>
    <w:rsid w:val="00C36D10"/>
    <w:rsid w:val="00C37434"/>
    <w:rsid w:val="00C410BE"/>
    <w:rsid w:val="00C429EA"/>
    <w:rsid w:val="00C42D1A"/>
    <w:rsid w:val="00C43F3E"/>
    <w:rsid w:val="00C452DE"/>
    <w:rsid w:val="00C45DD4"/>
    <w:rsid w:val="00C46F33"/>
    <w:rsid w:val="00C50D53"/>
    <w:rsid w:val="00C54EC6"/>
    <w:rsid w:val="00C55088"/>
    <w:rsid w:val="00C57E34"/>
    <w:rsid w:val="00C60160"/>
    <w:rsid w:val="00C60454"/>
    <w:rsid w:val="00C629CC"/>
    <w:rsid w:val="00C65AE6"/>
    <w:rsid w:val="00C70060"/>
    <w:rsid w:val="00C72495"/>
    <w:rsid w:val="00C74E22"/>
    <w:rsid w:val="00C76312"/>
    <w:rsid w:val="00C765DE"/>
    <w:rsid w:val="00C76EB4"/>
    <w:rsid w:val="00C77B48"/>
    <w:rsid w:val="00C81B82"/>
    <w:rsid w:val="00C84873"/>
    <w:rsid w:val="00C84F44"/>
    <w:rsid w:val="00C85C4E"/>
    <w:rsid w:val="00C86E53"/>
    <w:rsid w:val="00C87903"/>
    <w:rsid w:val="00C9079E"/>
    <w:rsid w:val="00C9197C"/>
    <w:rsid w:val="00C924A0"/>
    <w:rsid w:val="00C96929"/>
    <w:rsid w:val="00C96A81"/>
    <w:rsid w:val="00CA19A9"/>
    <w:rsid w:val="00CA2A68"/>
    <w:rsid w:val="00CA5DDE"/>
    <w:rsid w:val="00CA632A"/>
    <w:rsid w:val="00CA6F09"/>
    <w:rsid w:val="00CA6F96"/>
    <w:rsid w:val="00CA6FE0"/>
    <w:rsid w:val="00CB0E37"/>
    <w:rsid w:val="00CB1688"/>
    <w:rsid w:val="00CB1B58"/>
    <w:rsid w:val="00CB1F21"/>
    <w:rsid w:val="00CB2799"/>
    <w:rsid w:val="00CB4AE8"/>
    <w:rsid w:val="00CB4F44"/>
    <w:rsid w:val="00CB5AD0"/>
    <w:rsid w:val="00CB77D5"/>
    <w:rsid w:val="00CC04B5"/>
    <w:rsid w:val="00CD01BA"/>
    <w:rsid w:val="00CD0372"/>
    <w:rsid w:val="00CD4780"/>
    <w:rsid w:val="00CE1D74"/>
    <w:rsid w:val="00CE5D77"/>
    <w:rsid w:val="00CE6B5B"/>
    <w:rsid w:val="00CE7C77"/>
    <w:rsid w:val="00CF1BE8"/>
    <w:rsid w:val="00CF2F17"/>
    <w:rsid w:val="00CF5BAB"/>
    <w:rsid w:val="00CF734E"/>
    <w:rsid w:val="00D010EA"/>
    <w:rsid w:val="00D019AC"/>
    <w:rsid w:val="00D01E15"/>
    <w:rsid w:val="00D06184"/>
    <w:rsid w:val="00D12E20"/>
    <w:rsid w:val="00D1301F"/>
    <w:rsid w:val="00D15D0E"/>
    <w:rsid w:val="00D16218"/>
    <w:rsid w:val="00D16FE3"/>
    <w:rsid w:val="00D17192"/>
    <w:rsid w:val="00D17D62"/>
    <w:rsid w:val="00D17F93"/>
    <w:rsid w:val="00D2038B"/>
    <w:rsid w:val="00D2048A"/>
    <w:rsid w:val="00D211EF"/>
    <w:rsid w:val="00D213E6"/>
    <w:rsid w:val="00D22E60"/>
    <w:rsid w:val="00D23A58"/>
    <w:rsid w:val="00D23BE9"/>
    <w:rsid w:val="00D24270"/>
    <w:rsid w:val="00D247D8"/>
    <w:rsid w:val="00D261A9"/>
    <w:rsid w:val="00D27C9B"/>
    <w:rsid w:val="00D305FA"/>
    <w:rsid w:val="00D3207C"/>
    <w:rsid w:val="00D32578"/>
    <w:rsid w:val="00D3288F"/>
    <w:rsid w:val="00D34165"/>
    <w:rsid w:val="00D356E1"/>
    <w:rsid w:val="00D414E5"/>
    <w:rsid w:val="00D42092"/>
    <w:rsid w:val="00D424D9"/>
    <w:rsid w:val="00D44E8F"/>
    <w:rsid w:val="00D450BE"/>
    <w:rsid w:val="00D46DD7"/>
    <w:rsid w:val="00D46F15"/>
    <w:rsid w:val="00D479AE"/>
    <w:rsid w:val="00D47E76"/>
    <w:rsid w:val="00D5428E"/>
    <w:rsid w:val="00D54D2A"/>
    <w:rsid w:val="00D562C8"/>
    <w:rsid w:val="00D60409"/>
    <w:rsid w:val="00D61D8D"/>
    <w:rsid w:val="00D629C1"/>
    <w:rsid w:val="00D63E4B"/>
    <w:rsid w:val="00D64C9D"/>
    <w:rsid w:val="00D6640F"/>
    <w:rsid w:val="00D70733"/>
    <w:rsid w:val="00D70DDD"/>
    <w:rsid w:val="00D71458"/>
    <w:rsid w:val="00D779E5"/>
    <w:rsid w:val="00D80991"/>
    <w:rsid w:val="00D8357A"/>
    <w:rsid w:val="00D83A4B"/>
    <w:rsid w:val="00D83B44"/>
    <w:rsid w:val="00D91211"/>
    <w:rsid w:val="00D9232C"/>
    <w:rsid w:val="00D937D7"/>
    <w:rsid w:val="00D93DC9"/>
    <w:rsid w:val="00D95AA3"/>
    <w:rsid w:val="00DA0150"/>
    <w:rsid w:val="00DA2AAD"/>
    <w:rsid w:val="00DA2ED6"/>
    <w:rsid w:val="00DA3E6F"/>
    <w:rsid w:val="00DA7400"/>
    <w:rsid w:val="00DB0CA8"/>
    <w:rsid w:val="00DB26D0"/>
    <w:rsid w:val="00DB4D4E"/>
    <w:rsid w:val="00DB6F51"/>
    <w:rsid w:val="00DB7764"/>
    <w:rsid w:val="00DC1C04"/>
    <w:rsid w:val="00DC2C82"/>
    <w:rsid w:val="00DC2F17"/>
    <w:rsid w:val="00DC3717"/>
    <w:rsid w:val="00DC3987"/>
    <w:rsid w:val="00DC4613"/>
    <w:rsid w:val="00DC5093"/>
    <w:rsid w:val="00DC62CF"/>
    <w:rsid w:val="00DD02AE"/>
    <w:rsid w:val="00DD134A"/>
    <w:rsid w:val="00DD444C"/>
    <w:rsid w:val="00DD4B39"/>
    <w:rsid w:val="00DD5EA7"/>
    <w:rsid w:val="00DD5F19"/>
    <w:rsid w:val="00DD6AEB"/>
    <w:rsid w:val="00DD6E4D"/>
    <w:rsid w:val="00DE04C4"/>
    <w:rsid w:val="00DE1891"/>
    <w:rsid w:val="00DE1C51"/>
    <w:rsid w:val="00DE2C96"/>
    <w:rsid w:val="00DF3F77"/>
    <w:rsid w:val="00DF3F8A"/>
    <w:rsid w:val="00DF4382"/>
    <w:rsid w:val="00DF5FB3"/>
    <w:rsid w:val="00DF62CB"/>
    <w:rsid w:val="00DF73C9"/>
    <w:rsid w:val="00E00D29"/>
    <w:rsid w:val="00E028D7"/>
    <w:rsid w:val="00E053C8"/>
    <w:rsid w:val="00E07BD8"/>
    <w:rsid w:val="00E07D87"/>
    <w:rsid w:val="00E1042D"/>
    <w:rsid w:val="00E11ED6"/>
    <w:rsid w:val="00E1482F"/>
    <w:rsid w:val="00E1571E"/>
    <w:rsid w:val="00E16B5A"/>
    <w:rsid w:val="00E222A0"/>
    <w:rsid w:val="00E24F48"/>
    <w:rsid w:val="00E2612D"/>
    <w:rsid w:val="00E279E6"/>
    <w:rsid w:val="00E30E0C"/>
    <w:rsid w:val="00E31514"/>
    <w:rsid w:val="00E31874"/>
    <w:rsid w:val="00E3304D"/>
    <w:rsid w:val="00E35875"/>
    <w:rsid w:val="00E36354"/>
    <w:rsid w:val="00E37859"/>
    <w:rsid w:val="00E441CF"/>
    <w:rsid w:val="00E45D66"/>
    <w:rsid w:val="00E477C0"/>
    <w:rsid w:val="00E50D8D"/>
    <w:rsid w:val="00E50FEB"/>
    <w:rsid w:val="00E529E6"/>
    <w:rsid w:val="00E54AD6"/>
    <w:rsid w:val="00E564A4"/>
    <w:rsid w:val="00E570D8"/>
    <w:rsid w:val="00E575DB"/>
    <w:rsid w:val="00E57BCA"/>
    <w:rsid w:val="00E57FB8"/>
    <w:rsid w:val="00E60516"/>
    <w:rsid w:val="00E61FFA"/>
    <w:rsid w:val="00E6356B"/>
    <w:rsid w:val="00E63F1C"/>
    <w:rsid w:val="00E66E1F"/>
    <w:rsid w:val="00E7307D"/>
    <w:rsid w:val="00E7437A"/>
    <w:rsid w:val="00E74B29"/>
    <w:rsid w:val="00E762C4"/>
    <w:rsid w:val="00E77239"/>
    <w:rsid w:val="00E8072F"/>
    <w:rsid w:val="00E81F74"/>
    <w:rsid w:val="00E81FD6"/>
    <w:rsid w:val="00E8232B"/>
    <w:rsid w:val="00E83300"/>
    <w:rsid w:val="00E90A26"/>
    <w:rsid w:val="00E9382B"/>
    <w:rsid w:val="00EA528E"/>
    <w:rsid w:val="00EA708F"/>
    <w:rsid w:val="00EA73E6"/>
    <w:rsid w:val="00EA78DC"/>
    <w:rsid w:val="00EB19A7"/>
    <w:rsid w:val="00EB1F91"/>
    <w:rsid w:val="00EB2911"/>
    <w:rsid w:val="00EB3D97"/>
    <w:rsid w:val="00EB5283"/>
    <w:rsid w:val="00EB5525"/>
    <w:rsid w:val="00EB576B"/>
    <w:rsid w:val="00EB595A"/>
    <w:rsid w:val="00EB68C9"/>
    <w:rsid w:val="00EB6EBE"/>
    <w:rsid w:val="00EC159C"/>
    <w:rsid w:val="00EC22E7"/>
    <w:rsid w:val="00EC26D3"/>
    <w:rsid w:val="00EC2FAB"/>
    <w:rsid w:val="00EC4E32"/>
    <w:rsid w:val="00EC5854"/>
    <w:rsid w:val="00EC5C3B"/>
    <w:rsid w:val="00EC685E"/>
    <w:rsid w:val="00EC76AD"/>
    <w:rsid w:val="00ED0D63"/>
    <w:rsid w:val="00ED13B4"/>
    <w:rsid w:val="00ED1E15"/>
    <w:rsid w:val="00ED235C"/>
    <w:rsid w:val="00ED3272"/>
    <w:rsid w:val="00ED77E2"/>
    <w:rsid w:val="00EE01B5"/>
    <w:rsid w:val="00EE0E86"/>
    <w:rsid w:val="00EE2502"/>
    <w:rsid w:val="00EE2887"/>
    <w:rsid w:val="00EE36B0"/>
    <w:rsid w:val="00EE36FE"/>
    <w:rsid w:val="00EE5914"/>
    <w:rsid w:val="00EE706B"/>
    <w:rsid w:val="00EF0EB1"/>
    <w:rsid w:val="00EF1F2F"/>
    <w:rsid w:val="00EF3317"/>
    <w:rsid w:val="00EF42F3"/>
    <w:rsid w:val="00EF49D0"/>
    <w:rsid w:val="00EF6950"/>
    <w:rsid w:val="00F01976"/>
    <w:rsid w:val="00F02BC8"/>
    <w:rsid w:val="00F043F7"/>
    <w:rsid w:val="00F0500B"/>
    <w:rsid w:val="00F05BB0"/>
    <w:rsid w:val="00F06B04"/>
    <w:rsid w:val="00F101AC"/>
    <w:rsid w:val="00F1086B"/>
    <w:rsid w:val="00F12864"/>
    <w:rsid w:val="00F15AD9"/>
    <w:rsid w:val="00F170B6"/>
    <w:rsid w:val="00F17516"/>
    <w:rsid w:val="00F2077E"/>
    <w:rsid w:val="00F2105E"/>
    <w:rsid w:val="00F21704"/>
    <w:rsid w:val="00F21B5B"/>
    <w:rsid w:val="00F23AE8"/>
    <w:rsid w:val="00F24E6C"/>
    <w:rsid w:val="00F267D6"/>
    <w:rsid w:val="00F2769F"/>
    <w:rsid w:val="00F27C4F"/>
    <w:rsid w:val="00F3024A"/>
    <w:rsid w:val="00F305B6"/>
    <w:rsid w:val="00F306A0"/>
    <w:rsid w:val="00F31239"/>
    <w:rsid w:val="00F315B5"/>
    <w:rsid w:val="00F32203"/>
    <w:rsid w:val="00F4041C"/>
    <w:rsid w:val="00F43D80"/>
    <w:rsid w:val="00F44B34"/>
    <w:rsid w:val="00F47AED"/>
    <w:rsid w:val="00F47C29"/>
    <w:rsid w:val="00F50D62"/>
    <w:rsid w:val="00F51624"/>
    <w:rsid w:val="00F5386B"/>
    <w:rsid w:val="00F53ED5"/>
    <w:rsid w:val="00F541F4"/>
    <w:rsid w:val="00F603CE"/>
    <w:rsid w:val="00F61966"/>
    <w:rsid w:val="00F64F2D"/>
    <w:rsid w:val="00F657CD"/>
    <w:rsid w:val="00F70EA5"/>
    <w:rsid w:val="00F73E8D"/>
    <w:rsid w:val="00F742A4"/>
    <w:rsid w:val="00F76045"/>
    <w:rsid w:val="00F77668"/>
    <w:rsid w:val="00F86139"/>
    <w:rsid w:val="00F86639"/>
    <w:rsid w:val="00F94C1A"/>
    <w:rsid w:val="00F95CE6"/>
    <w:rsid w:val="00F96D99"/>
    <w:rsid w:val="00FA0346"/>
    <w:rsid w:val="00FA081B"/>
    <w:rsid w:val="00FA3890"/>
    <w:rsid w:val="00FA39EC"/>
    <w:rsid w:val="00FA6CB2"/>
    <w:rsid w:val="00FA7982"/>
    <w:rsid w:val="00FB0270"/>
    <w:rsid w:val="00FB02BF"/>
    <w:rsid w:val="00FB13E2"/>
    <w:rsid w:val="00FB58FD"/>
    <w:rsid w:val="00FB693D"/>
    <w:rsid w:val="00FB6B15"/>
    <w:rsid w:val="00FC0DA2"/>
    <w:rsid w:val="00FC1896"/>
    <w:rsid w:val="00FC2996"/>
    <w:rsid w:val="00FC5CF9"/>
    <w:rsid w:val="00FC6E8B"/>
    <w:rsid w:val="00FD0A24"/>
    <w:rsid w:val="00FD4FB3"/>
    <w:rsid w:val="00FD56CA"/>
    <w:rsid w:val="00FD6C23"/>
    <w:rsid w:val="00FE0AB9"/>
    <w:rsid w:val="00FE1699"/>
    <w:rsid w:val="00FE2D38"/>
    <w:rsid w:val="00FE2FA4"/>
    <w:rsid w:val="00FE39B6"/>
    <w:rsid w:val="00FE44BD"/>
    <w:rsid w:val="00FE4850"/>
    <w:rsid w:val="00FF1204"/>
    <w:rsid w:val="00FF57E4"/>
    <w:rsid w:val="00FF66AC"/>
    <w:rsid w:val="00FF6B92"/>
    <w:rsid w:val="00FF726C"/>
    <w:rsid w:val="00FF743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713661D"/>
  <w15:docId w15:val="{1B4CCEF7-C482-45DA-AF1F-BC64F3B64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7958"/>
    <w:rPr>
      <w:sz w:val="24"/>
    </w:rPr>
  </w:style>
  <w:style w:type="paragraph" w:styleId="Heading1">
    <w:name w:val="heading 1"/>
    <w:basedOn w:val="Normal"/>
    <w:link w:val="Heading1Char"/>
    <w:uiPriority w:val="1"/>
    <w:qFormat/>
    <w:rsid w:val="003F389D"/>
    <w:pPr>
      <w:widowControl w:val="0"/>
      <w:autoSpaceDE w:val="0"/>
      <w:autoSpaceDN w:val="0"/>
      <w:spacing w:before="80"/>
      <w:ind w:left="400"/>
      <w:outlineLvl w:val="0"/>
    </w:pPr>
    <w:rPr>
      <w:rFonts w:ascii="Arial" w:eastAsia="Arial" w:hAnsi="Arial" w:cs="Arial"/>
      <w:b/>
      <w:bCs/>
      <w:szCs w:val="24"/>
      <w:lang w:bidi="en-US"/>
    </w:rPr>
  </w:style>
  <w:style w:type="paragraph" w:styleId="Heading3">
    <w:name w:val="heading 3"/>
    <w:basedOn w:val="Normal"/>
    <w:next w:val="Normal"/>
    <w:link w:val="Heading3Char"/>
    <w:semiHidden/>
    <w:unhideWhenUsed/>
    <w:qFormat/>
    <w:rsid w:val="00326CB6"/>
    <w:pPr>
      <w:keepNext/>
      <w:keepLines/>
      <w:spacing w:before="40"/>
      <w:outlineLvl w:val="2"/>
    </w:pPr>
    <w:rPr>
      <w:rFonts w:asciiTheme="majorHAnsi" w:eastAsiaTheme="majorEastAsia" w:hAnsiTheme="majorHAnsi" w:cstheme="majorBidi"/>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16F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1">
    <w:name w:val="Level 1"/>
    <w:basedOn w:val="Normal"/>
    <w:rsid w:val="00067958"/>
    <w:pPr>
      <w:widowControl w:val="0"/>
    </w:pPr>
  </w:style>
  <w:style w:type="paragraph" w:styleId="BalloonText">
    <w:name w:val="Balloon Text"/>
    <w:basedOn w:val="Normal"/>
    <w:semiHidden/>
    <w:rsid w:val="00F4041C"/>
    <w:rPr>
      <w:rFonts w:ascii="Tahoma" w:hAnsi="Tahoma" w:cs="Tahoma"/>
      <w:sz w:val="16"/>
      <w:szCs w:val="16"/>
    </w:rPr>
  </w:style>
  <w:style w:type="character" w:styleId="CommentReference">
    <w:name w:val="annotation reference"/>
    <w:basedOn w:val="DefaultParagraphFont"/>
    <w:uiPriority w:val="99"/>
    <w:rsid w:val="00763108"/>
    <w:rPr>
      <w:sz w:val="16"/>
      <w:szCs w:val="16"/>
    </w:rPr>
  </w:style>
  <w:style w:type="paragraph" w:styleId="CommentText">
    <w:name w:val="annotation text"/>
    <w:basedOn w:val="Normal"/>
    <w:link w:val="CommentTextChar"/>
    <w:uiPriority w:val="99"/>
    <w:rsid w:val="00763108"/>
    <w:rPr>
      <w:sz w:val="20"/>
    </w:rPr>
  </w:style>
  <w:style w:type="paragraph" w:styleId="CommentSubject">
    <w:name w:val="annotation subject"/>
    <w:basedOn w:val="CommentText"/>
    <w:next w:val="CommentText"/>
    <w:semiHidden/>
    <w:rsid w:val="00763108"/>
    <w:rPr>
      <w:b/>
      <w:bCs/>
    </w:rPr>
  </w:style>
  <w:style w:type="character" w:styleId="Strong">
    <w:name w:val="Strong"/>
    <w:basedOn w:val="DefaultParagraphFont"/>
    <w:uiPriority w:val="22"/>
    <w:qFormat/>
    <w:rsid w:val="00C16D4F"/>
    <w:rPr>
      <w:b/>
      <w:bCs/>
    </w:rPr>
  </w:style>
  <w:style w:type="character" w:customStyle="1" w:styleId="CommentTextChar">
    <w:name w:val="Comment Text Char"/>
    <w:basedOn w:val="DefaultParagraphFont"/>
    <w:link w:val="CommentText"/>
    <w:uiPriority w:val="99"/>
    <w:rsid w:val="008C6A54"/>
  </w:style>
  <w:style w:type="paragraph" w:styleId="ListParagraph">
    <w:name w:val="List Paragraph"/>
    <w:basedOn w:val="Normal"/>
    <w:uiPriority w:val="34"/>
    <w:qFormat/>
    <w:rsid w:val="00207C81"/>
    <w:pPr>
      <w:ind w:left="720"/>
      <w:contextualSpacing/>
    </w:pPr>
  </w:style>
  <w:style w:type="character" w:styleId="Hyperlink">
    <w:name w:val="Hyperlink"/>
    <w:rsid w:val="00A821B9"/>
    <w:rPr>
      <w:color w:val="0000FF"/>
      <w:u w:val="single"/>
    </w:rPr>
  </w:style>
  <w:style w:type="paragraph" w:styleId="FootnoteText">
    <w:name w:val="footnote text"/>
    <w:basedOn w:val="Normal"/>
    <w:link w:val="FootnoteTextChar"/>
    <w:rsid w:val="00FC2996"/>
    <w:rPr>
      <w:sz w:val="20"/>
    </w:rPr>
  </w:style>
  <w:style w:type="character" w:customStyle="1" w:styleId="FootnoteTextChar">
    <w:name w:val="Footnote Text Char"/>
    <w:basedOn w:val="DefaultParagraphFont"/>
    <w:link w:val="FootnoteText"/>
    <w:rsid w:val="00FC2996"/>
  </w:style>
  <w:style w:type="character" w:styleId="FootnoteReference">
    <w:name w:val="footnote reference"/>
    <w:basedOn w:val="DefaultParagraphFont"/>
    <w:rsid w:val="00FC2996"/>
    <w:rPr>
      <w:vertAlign w:val="superscript"/>
    </w:rPr>
  </w:style>
  <w:style w:type="paragraph" w:styleId="Revision">
    <w:name w:val="Revision"/>
    <w:hidden/>
    <w:uiPriority w:val="99"/>
    <w:semiHidden/>
    <w:rsid w:val="00221659"/>
    <w:rPr>
      <w:sz w:val="24"/>
    </w:rPr>
  </w:style>
  <w:style w:type="paragraph" w:styleId="Header">
    <w:name w:val="header"/>
    <w:basedOn w:val="Normal"/>
    <w:link w:val="HeaderChar"/>
    <w:rsid w:val="00677C2D"/>
    <w:pPr>
      <w:tabs>
        <w:tab w:val="center" w:pos="4680"/>
        <w:tab w:val="right" w:pos="9360"/>
      </w:tabs>
    </w:pPr>
  </w:style>
  <w:style w:type="character" w:customStyle="1" w:styleId="HeaderChar">
    <w:name w:val="Header Char"/>
    <w:basedOn w:val="DefaultParagraphFont"/>
    <w:link w:val="Header"/>
    <w:rsid w:val="00677C2D"/>
    <w:rPr>
      <w:sz w:val="24"/>
    </w:rPr>
  </w:style>
  <w:style w:type="paragraph" w:styleId="Footer">
    <w:name w:val="footer"/>
    <w:basedOn w:val="Normal"/>
    <w:link w:val="FooterChar"/>
    <w:rsid w:val="00677C2D"/>
    <w:pPr>
      <w:tabs>
        <w:tab w:val="center" w:pos="4680"/>
        <w:tab w:val="right" w:pos="9360"/>
      </w:tabs>
    </w:pPr>
  </w:style>
  <w:style w:type="character" w:customStyle="1" w:styleId="FooterChar">
    <w:name w:val="Footer Char"/>
    <w:basedOn w:val="DefaultParagraphFont"/>
    <w:link w:val="Footer"/>
    <w:rsid w:val="00677C2D"/>
    <w:rPr>
      <w:sz w:val="24"/>
    </w:rPr>
  </w:style>
  <w:style w:type="paragraph" w:styleId="NoSpacing">
    <w:name w:val="No Spacing"/>
    <w:uiPriority w:val="1"/>
    <w:qFormat/>
    <w:rsid w:val="00B848FF"/>
    <w:rPr>
      <w:sz w:val="24"/>
    </w:rPr>
  </w:style>
  <w:style w:type="paragraph" w:styleId="BodyText">
    <w:name w:val="Body Text"/>
    <w:basedOn w:val="Normal"/>
    <w:link w:val="BodyTextChar"/>
    <w:uiPriority w:val="1"/>
    <w:qFormat/>
    <w:rsid w:val="00927637"/>
    <w:pPr>
      <w:widowControl w:val="0"/>
      <w:ind w:left="120"/>
    </w:pPr>
    <w:rPr>
      <w:rFonts w:cstheme="minorBidi"/>
      <w:szCs w:val="24"/>
    </w:rPr>
  </w:style>
  <w:style w:type="character" w:customStyle="1" w:styleId="BodyTextChar">
    <w:name w:val="Body Text Char"/>
    <w:basedOn w:val="DefaultParagraphFont"/>
    <w:link w:val="BodyText"/>
    <w:uiPriority w:val="1"/>
    <w:rsid w:val="00927637"/>
    <w:rPr>
      <w:rFonts w:cstheme="minorBidi"/>
      <w:sz w:val="24"/>
      <w:szCs w:val="24"/>
    </w:rPr>
  </w:style>
  <w:style w:type="character" w:customStyle="1" w:styleId="Heading1Char">
    <w:name w:val="Heading 1 Char"/>
    <w:basedOn w:val="DefaultParagraphFont"/>
    <w:link w:val="Heading1"/>
    <w:uiPriority w:val="1"/>
    <w:rsid w:val="003F389D"/>
    <w:rPr>
      <w:rFonts w:ascii="Arial" w:eastAsia="Arial" w:hAnsi="Arial" w:cs="Arial"/>
      <w:b/>
      <w:bCs/>
      <w:sz w:val="24"/>
      <w:szCs w:val="24"/>
      <w:lang w:bidi="en-US"/>
    </w:rPr>
  </w:style>
  <w:style w:type="character" w:customStyle="1" w:styleId="Heading3Char">
    <w:name w:val="Heading 3 Char"/>
    <w:basedOn w:val="DefaultParagraphFont"/>
    <w:link w:val="Heading3"/>
    <w:semiHidden/>
    <w:rsid w:val="00326CB6"/>
    <w:rPr>
      <w:rFonts w:asciiTheme="majorHAnsi" w:eastAsiaTheme="majorEastAsia" w:hAnsiTheme="majorHAnsi" w:cstheme="majorBidi"/>
      <w:color w:val="243F60" w:themeColor="accent1" w:themeShade="7F"/>
      <w:sz w:val="24"/>
      <w:szCs w:val="24"/>
    </w:rPr>
  </w:style>
  <w:style w:type="paragraph" w:styleId="Caption">
    <w:name w:val="caption"/>
    <w:basedOn w:val="Normal"/>
    <w:next w:val="Normal"/>
    <w:uiPriority w:val="35"/>
    <w:unhideWhenUsed/>
    <w:qFormat/>
    <w:rsid w:val="00326CB6"/>
    <w:pPr>
      <w:keepNext/>
      <w:spacing w:after="200"/>
    </w:pPr>
    <w:rPr>
      <w:rFonts w:ascii="Cambria" w:eastAsia="Cambria" w:hAnsi="Cambria" w:cs="Cambria"/>
      <w:b/>
      <w:iCs/>
      <w:color w:val="000000" w:themeColor="text1"/>
      <w:sz w:val="22"/>
      <w:szCs w:val="22"/>
    </w:rPr>
  </w:style>
  <w:style w:type="paragraph" w:customStyle="1" w:styleId="TableParagraph">
    <w:name w:val="Table Paragraph"/>
    <w:basedOn w:val="Normal"/>
    <w:uiPriority w:val="1"/>
    <w:qFormat/>
    <w:rsid w:val="0041189C"/>
    <w:rPr>
      <w:rFonts w:ascii="Cambria" w:eastAsia="Cambria" w:hAnsi="Cambria" w:cs="Cambria"/>
      <w:color w:val="0D0D0D"/>
      <w:sz w:val="22"/>
      <w:szCs w:val="22"/>
    </w:rPr>
  </w:style>
  <w:style w:type="paragraph" w:styleId="NormalWeb">
    <w:name w:val="Normal (Web)"/>
    <w:basedOn w:val="Normal"/>
    <w:uiPriority w:val="99"/>
    <w:semiHidden/>
    <w:unhideWhenUsed/>
    <w:rsid w:val="00443517"/>
    <w:pPr>
      <w:spacing w:before="100" w:beforeAutospacing="1" w:after="100" w:afterAutospacing="1"/>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yperlink" Target="http://www.gpo.gov/fdsys/pkg/CFR-2014-title5-vol3/pdf/CFR-2014-title5-vol3-sec1320-9.pdf" TargetMode="External" /><Relationship Id="rId13" Type="http://schemas.openxmlformats.org/officeDocument/2006/relationships/hyperlink" Target="http://www.gpo.gov/fdsys/pkg/CFR-2014-title5-vol3/pdf/CFR-2014-title5-vol3-sec1320-8.pdf" TargetMode="Externa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www.nmfs.noaa.gov/msa2005/docs/MSA_amended_msa%20_20070112_FINAL.pdf" TargetMode="External" /><Relationship Id="rId6" Type="http://schemas.openxmlformats.org/officeDocument/2006/relationships/hyperlink" Target="http://128.253.22.246/uscode/uscode16/usc_sup_01_16_10_16A.html" TargetMode="External" /><Relationship Id="rId7" Type="http://schemas.openxmlformats.org/officeDocument/2006/relationships/hyperlink" Target="http://www.fws.gov/informationquality/section515.html" TargetMode="External" /><Relationship Id="rId8" Type="http://schemas.openxmlformats.org/officeDocument/2006/relationships/hyperlink" Target="http://www.corporateservices.noaa.gov/ames/administrative_orders/chapter_216/216-100.html"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4D6144-B604-4C01-B8D6-0454ED64F6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20</Pages>
  <Words>7910</Words>
  <Characters>45090</Characters>
  <Application>Microsoft Office Word</Application>
  <DocSecurity>0</DocSecurity>
  <Lines>375</Lines>
  <Paragraphs>105</Paragraphs>
  <ScaleCrop>false</ScaleCrop>
  <HeadingPairs>
    <vt:vector size="2" baseType="variant">
      <vt:variant>
        <vt:lpstr>Title</vt:lpstr>
      </vt:variant>
      <vt:variant>
        <vt:i4>1</vt:i4>
      </vt:variant>
    </vt:vector>
  </HeadingPairs>
  <TitlesOfParts>
    <vt:vector size="1" baseType="lpstr">
      <vt:lpstr/>
    </vt:vector>
  </TitlesOfParts>
  <Company>NMFS</Company>
  <LinksUpToDate>false</LinksUpToDate>
  <CharactersWithSpaces>52895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CRilling</dc:creator>
  <cp:lastModifiedBy>Jazmin.Williams</cp:lastModifiedBy>
  <cp:revision>7</cp:revision>
  <cp:lastPrinted>2016-10-03T18:21:00Z</cp:lastPrinted>
  <dcterms:created xsi:type="dcterms:W3CDTF">2024-05-11T13:58:00Z</dcterms:created>
  <dcterms:modified xsi:type="dcterms:W3CDTF">2024-05-14T13:56:00Z</dcterms:modified>
</cp:coreProperties>
</file>