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15A68" w:rsidRPr="00015A68" w:rsidP="00015A68" w14:paraId="0AA3E34D" w14:textId="77777777">
      <w:pPr>
        <w:spacing w:after="0" w:line="249" w:lineRule="auto"/>
        <w:ind w:left="12" w:hanging="10"/>
        <w:jc w:val="center"/>
        <w:rPr>
          <w:rFonts w:ascii="Times New Roman" w:eastAsia="Calibri" w:hAnsi="Times New Roman" w:cs="Times New Roman"/>
          <w:color w:val="000000"/>
          <w:kern w:val="0"/>
          <w:szCs w:val="22"/>
          <w14:ligatures w14:val="none"/>
        </w:rPr>
      </w:pPr>
      <w:r w:rsidRPr="00015A68">
        <w:rPr>
          <w:rFonts w:ascii="Times New Roman" w:eastAsia="Calibri" w:hAnsi="Times New Roman" w:cs="Times New Roman"/>
          <w:color w:val="000000"/>
          <w:kern w:val="0"/>
          <w:szCs w:val="22"/>
          <w14:ligatures w14:val="none"/>
        </w:rPr>
        <w:t>United States Food and Drug Administration</w:t>
      </w:r>
    </w:p>
    <w:p w:rsidR="00015A68" w:rsidRPr="00015A68" w:rsidP="00015A68" w14:paraId="4C53C05D" w14:textId="77777777">
      <w:pPr>
        <w:spacing w:after="0" w:line="249" w:lineRule="auto"/>
        <w:ind w:left="12" w:hanging="10"/>
        <w:jc w:val="center"/>
        <w:rPr>
          <w:rFonts w:ascii="Times New Roman" w:eastAsia="Calibri" w:hAnsi="Times New Roman" w:cs="Times New Roman"/>
          <w:color w:val="000000"/>
          <w:kern w:val="0"/>
          <w:szCs w:val="22"/>
          <w14:ligatures w14:val="none"/>
        </w:rPr>
      </w:pPr>
    </w:p>
    <w:p w:rsidR="00015A68" w:rsidRPr="00015A68" w:rsidP="00015A68" w14:paraId="44077CE3" w14:textId="77777777">
      <w:pPr>
        <w:spacing w:after="0" w:line="249" w:lineRule="auto"/>
        <w:ind w:left="12" w:hanging="10"/>
        <w:jc w:val="center"/>
        <w:rPr>
          <w:rFonts w:ascii="Times New Roman" w:eastAsia="Calibri" w:hAnsi="Times New Roman" w:cs="Times New Roman"/>
          <w:color w:val="000000"/>
          <w:kern w:val="0"/>
          <w:szCs w:val="22"/>
          <w14:ligatures w14:val="none"/>
        </w:rPr>
      </w:pPr>
      <w:r w:rsidRPr="00015A68">
        <w:rPr>
          <w:rFonts w:ascii="Times New Roman" w:eastAsia="Calibri" w:hAnsi="Times New Roman" w:cs="Times New Roman"/>
          <w:color w:val="000000"/>
          <w:kern w:val="0"/>
          <w:szCs w:val="22"/>
          <w14:ligatures w14:val="none"/>
        </w:rPr>
        <w:t>Adverse Event Program for Medical Devices (Medical Product Safety Network (</w:t>
      </w:r>
      <w:r w:rsidRPr="00015A68">
        <w:rPr>
          <w:rFonts w:ascii="Times New Roman" w:eastAsia="Calibri" w:hAnsi="Times New Roman" w:cs="Times New Roman"/>
          <w:color w:val="000000"/>
          <w:kern w:val="0"/>
          <w:szCs w:val="22"/>
          <w14:ligatures w14:val="none"/>
        </w:rPr>
        <w:t>MedSun</w:t>
      </w:r>
      <w:r w:rsidRPr="00015A68">
        <w:rPr>
          <w:rFonts w:ascii="Times New Roman" w:eastAsia="Calibri" w:hAnsi="Times New Roman" w:cs="Times New Roman"/>
          <w:color w:val="000000"/>
          <w:kern w:val="0"/>
          <w:szCs w:val="22"/>
          <w14:ligatures w14:val="none"/>
        </w:rPr>
        <w:t>))</w:t>
      </w:r>
    </w:p>
    <w:p w:rsidR="00015A68" w:rsidRPr="00015A68" w:rsidP="00015A68" w14:paraId="6E4EE6C8" w14:textId="77777777">
      <w:pPr>
        <w:spacing w:after="0" w:line="249" w:lineRule="auto"/>
        <w:ind w:left="12" w:hanging="10"/>
        <w:jc w:val="center"/>
        <w:rPr>
          <w:rFonts w:ascii="Times New Roman" w:eastAsia="Calibri" w:hAnsi="Times New Roman" w:cs="Times New Roman"/>
          <w:color w:val="000000"/>
          <w:kern w:val="0"/>
          <w:szCs w:val="22"/>
          <w14:ligatures w14:val="none"/>
        </w:rPr>
      </w:pPr>
    </w:p>
    <w:p w:rsidR="00015A68" w:rsidRPr="00015A68" w:rsidP="00015A68" w14:paraId="63F86A16" w14:textId="77777777">
      <w:pPr>
        <w:spacing w:after="0" w:line="249" w:lineRule="auto"/>
        <w:ind w:left="12" w:hanging="10"/>
        <w:jc w:val="center"/>
        <w:rPr>
          <w:rFonts w:ascii="Times New Roman" w:eastAsia="Calibri" w:hAnsi="Times New Roman" w:cs="Times New Roman"/>
          <w:color w:val="000000"/>
          <w:kern w:val="0"/>
          <w:szCs w:val="22"/>
          <w14:ligatures w14:val="none"/>
        </w:rPr>
      </w:pPr>
      <w:r w:rsidRPr="00015A68">
        <w:rPr>
          <w:rFonts w:ascii="Times New Roman" w:eastAsia="Calibri" w:hAnsi="Times New Roman" w:cs="Times New Roman"/>
          <w:color w:val="000000"/>
          <w:kern w:val="0"/>
          <w:szCs w:val="22"/>
          <w14:ligatures w14:val="none"/>
        </w:rPr>
        <w:t>OMB Control No. 0910-0471</w:t>
      </w:r>
    </w:p>
    <w:p w:rsidR="00015A68" w:rsidRPr="00015A68" w:rsidP="00015A68" w14:paraId="4C0AA954" w14:textId="77777777">
      <w:pPr>
        <w:spacing w:after="0" w:line="249" w:lineRule="auto"/>
        <w:ind w:left="12" w:hanging="10"/>
        <w:jc w:val="center"/>
        <w:rPr>
          <w:rFonts w:ascii="Times New Roman" w:eastAsia="Calibri" w:hAnsi="Times New Roman" w:cs="Times New Roman"/>
          <w:color w:val="000000"/>
          <w:kern w:val="0"/>
          <w:szCs w:val="22"/>
          <w14:ligatures w14:val="none"/>
        </w:rPr>
      </w:pPr>
    </w:p>
    <w:p w:rsidR="00015A68" w:rsidRPr="00015A68" w:rsidP="00015A68" w14:paraId="500EE577" w14:textId="77777777">
      <w:pPr>
        <w:spacing w:after="0" w:line="249" w:lineRule="auto"/>
        <w:ind w:left="12" w:hanging="10"/>
        <w:jc w:val="center"/>
        <w:rPr>
          <w:rFonts w:ascii="Times New Roman" w:eastAsia="Calibri" w:hAnsi="Times New Roman" w:cs="Times New Roman"/>
          <w:color w:val="000000"/>
          <w:kern w:val="0"/>
          <w:szCs w:val="22"/>
          <w14:ligatures w14:val="none"/>
        </w:rPr>
      </w:pPr>
      <w:r w:rsidRPr="00015A68">
        <w:rPr>
          <w:rFonts w:ascii="Times New Roman" w:eastAsia="Calibri" w:hAnsi="Times New Roman" w:cs="Times New Roman"/>
          <w:color w:val="000000"/>
          <w:kern w:val="0"/>
          <w:szCs w:val="22"/>
          <w14:ligatures w14:val="none"/>
        </w:rPr>
        <w:t>SUPPORTING STATEMENT</w:t>
      </w:r>
    </w:p>
    <w:p w:rsidR="00015A68" w:rsidRPr="00015A68" w:rsidP="00015A68" w14:paraId="6685D9EC" w14:textId="77777777">
      <w:pPr>
        <w:spacing w:after="0" w:line="249" w:lineRule="auto"/>
        <w:ind w:left="12" w:hanging="10"/>
        <w:jc w:val="center"/>
        <w:rPr>
          <w:rFonts w:ascii="Times New Roman" w:eastAsia="Calibri" w:hAnsi="Times New Roman" w:cs="Times New Roman"/>
          <w:color w:val="000000"/>
          <w:kern w:val="0"/>
          <w:szCs w:val="22"/>
          <w14:ligatures w14:val="none"/>
        </w:rPr>
      </w:pPr>
    </w:p>
    <w:p w:rsidR="00015A68" w:rsidRPr="00015A68" w:rsidP="00015A68" w14:paraId="38062ED1" w14:textId="77777777">
      <w:pPr>
        <w:spacing w:after="0" w:line="259" w:lineRule="auto"/>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b/>
          <w:color w:val="000000"/>
          <w:kern w:val="0"/>
          <w:szCs w:val="22"/>
          <w14:ligatures w14:val="none"/>
        </w:rPr>
        <w:t>Part B</w:t>
      </w:r>
      <w:r w:rsidRPr="00015A68">
        <w:rPr>
          <w:rFonts w:ascii="Times New Roman" w:eastAsia="Times New Roman" w:hAnsi="Times New Roman" w:cs="Times New Roman"/>
          <w:b/>
          <w:color w:val="000000"/>
          <w:kern w:val="0"/>
          <w:szCs w:val="22"/>
          <w14:ligatures w14:val="none"/>
        </w:rPr>
        <w:t>:  Statistical</w:t>
      </w:r>
      <w:r w:rsidRPr="00015A68">
        <w:rPr>
          <w:rFonts w:ascii="Times New Roman" w:eastAsia="Times New Roman" w:hAnsi="Times New Roman" w:cs="Times New Roman"/>
          <w:b/>
          <w:color w:val="000000"/>
          <w:kern w:val="0"/>
          <w:szCs w:val="22"/>
          <w14:ligatures w14:val="none"/>
        </w:rPr>
        <w:t xml:space="preserve"> Methods</w:t>
      </w:r>
      <w:r w:rsidRPr="00015A68">
        <w:rPr>
          <w:rFonts w:ascii="Times New Roman" w:eastAsia="Times New Roman" w:hAnsi="Times New Roman" w:cs="Times New Roman"/>
          <w:color w:val="000000"/>
          <w:kern w:val="0"/>
          <w:szCs w:val="22"/>
          <w14:ligatures w14:val="none"/>
        </w:rPr>
        <w:t xml:space="preserve"> </w:t>
      </w:r>
    </w:p>
    <w:p w:rsidR="00015A68" w:rsidRPr="00015A68" w:rsidP="00015A68" w14:paraId="603ED9F8" w14:textId="77777777">
      <w:pPr>
        <w:spacing w:after="0" w:line="259" w:lineRule="auto"/>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 </w:t>
      </w:r>
    </w:p>
    <w:p w:rsidR="00015A68" w:rsidRPr="00015A68" w:rsidP="00015A68" w14:paraId="663CFB53"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While the </w:t>
      </w:r>
      <w:r w:rsidRPr="00015A68">
        <w:rPr>
          <w:rFonts w:ascii="Times New Roman" w:eastAsia="Times New Roman" w:hAnsi="Times New Roman" w:cs="Times New Roman"/>
          <w:color w:val="000000"/>
          <w:kern w:val="0"/>
          <w:szCs w:val="22"/>
          <w14:ligatures w14:val="none"/>
        </w:rPr>
        <w:t>MedSun</w:t>
      </w:r>
      <w:r w:rsidRPr="00015A68">
        <w:rPr>
          <w:rFonts w:ascii="Times New Roman" w:eastAsia="Times New Roman" w:hAnsi="Times New Roman" w:cs="Times New Roman"/>
          <w:color w:val="000000"/>
          <w:kern w:val="0"/>
          <w:szCs w:val="22"/>
          <w14:ligatures w14:val="none"/>
        </w:rPr>
        <w:t xml:space="preserve"> sample is not based on statistical methodology, it is a loosely representative sample of sizes and types of hospitals in the country.  The following is a description </w:t>
      </w:r>
      <w:r w:rsidRPr="00015A68">
        <w:rPr>
          <w:rFonts w:ascii="Times New Roman" w:eastAsia="Times New Roman" w:hAnsi="Times New Roman" w:cs="Times New Roman"/>
          <w:color w:val="000000"/>
          <w:kern w:val="0"/>
          <w:szCs w:val="22"/>
          <w14:ligatures w14:val="none"/>
        </w:rPr>
        <w:t>for</w:t>
      </w:r>
      <w:r w:rsidRPr="00015A68">
        <w:rPr>
          <w:rFonts w:ascii="Times New Roman" w:eastAsia="Times New Roman" w:hAnsi="Times New Roman" w:cs="Times New Roman"/>
          <w:color w:val="000000"/>
          <w:kern w:val="0"/>
          <w:szCs w:val="22"/>
          <w14:ligatures w14:val="none"/>
        </w:rPr>
        <w:t xml:space="preserve"> how the sample is drawn and maintained. </w:t>
      </w:r>
    </w:p>
    <w:p w:rsidR="00015A68" w:rsidRPr="00015A68" w:rsidP="00015A68" w14:paraId="4C827F23" w14:textId="77777777">
      <w:pPr>
        <w:pStyle w:val="ListParagraph"/>
        <w:keepNext/>
        <w:keepLines/>
        <w:numPr>
          <w:ilvl w:val="0"/>
          <w:numId w:val="1"/>
        </w:numPr>
        <w:spacing w:after="200" w:line="240" w:lineRule="auto"/>
        <w:outlineLvl w:val="0"/>
        <w:rPr>
          <w:rFonts w:ascii="Times New Roman" w:eastAsia="Times New Roman" w:hAnsi="Times New Roman" w:cs="Times New Roman"/>
          <w:color w:val="000000"/>
          <w:kern w:val="0"/>
          <w:szCs w:val="22"/>
          <w:u w:val="single" w:color="000000"/>
          <w14:ligatures w14:val="none"/>
        </w:rPr>
      </w:pPr>
      <w:r w:rsidRPr="00015A68">
        <w:rPr>
          <w:rFonts w:ascii="Times New Roman" w:eastAsia="Times New Roman" w:hAnsi="Times New Roman" w:cs="Times New Roman"/>
          <w:color w:val="000000"/>
          <w:kern w:val="0"/>
          <w:szCs w:val="22"/>
          <w:u w:val="single" w:color="000000"/>
          <w14:ligatures w14:val="none"/>
        </w:rPr>
        <w:t>Respondent Universe and Sampling Methods</w:t>
      </w:r>
      <w:r w:rsidRPr="00015A68">
        <w:rPr>
          <w:rFonts w:ascii="Times New Roman" w:eastAsia="Times New Roman" w:hAnsi="Times New Roman" w:cs="Times New Roman"/>
          <w:color w:val="000000"/>
          <w:kern w:val="0"/>
          <w:szCs w:val="22"/>
          <w:u w:color="000000"/>
          <w14:ligatures w14:val="none"/>
        </w:rPr>
        <w:t xml:space="preserve"> </w:t>
      </w:r>
    </w:p>
    <w:p w:rsidR="00015A68" w:rsidRPr="00015A68" w:rsidP="00015A68" w14:paraId="45542F57"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The sample size is now 300 sites, with the potential respondent universe including 6,000 hospitals, 17,000 nursing homes, and approximately 20,000 “other” types of health facilities (outpatient treatment centers, outpatient diagnostic centers, emergency health services, and home health services). The number in the sample is intended to achieve a roughly representative sample of small, medium, and large hospitals across the country.  For purposes of continuing this as a program, FDA believes that 300 sites (of greater than 100 beds) is the number we can continue to accommodate in the program.  Ongoing training and encouragement </w:t>
      </w:r>
      <w:r w:rsidRPr="00015A68">
        <w:rPr>
          <w:rFonts w:ascii="Times New Roman" w:eastAsia="Times New Roman" w:hAnsi="Times New Roman" w:cs="Times New Roman"/>
          <w:color w:val="000000"/>
          <w:kern w:val="0"/>
          <w:szCs w:val="22"/>
          <w14:ligatures w14:val="none"/>
        </w:rPr>
        <w:t>is</w:t>
      </w:r>
      <w:r w:rsidRPr="00015A68">
        <w:rPr>
          <w:rFonts w:ascii="Times New Roman" w:eastAsia="Times New Roman" w:hAnsi="Times New Roman" w:cs="Times New Roman"/>
          <w:color w:val="000000"/>
          <w:kern w:val="0"/>
          <w:szCs w:val="22"/>
          <w14:ligatures w14:val="none"/>
        </w:rPr>
        <w:t xml:space="preserve"> provided to continue the hospitals’ reporting into the program; it is very labor intensive.  Hospitals in the program have the expectation that each report will receive individual attention, which the staff currently struggles to achieve due to the number of reports coming in from this successful program. </w:t>
      </w:r>
    </w:p>
    <w:p w:rsidR="00015A68" w:rsidRPr="00015A68" w:rsidP="00015A68" w14:paraId="49A8FD56"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Therefore, the program cannot exceed the current number because of cost and time restraints.  Ultimately, while we strive to keep the sample roughly representative as to size of facilities spread throughout the 5 census regions of the country, the final sample may best be described as a convenience sample, because in addition to our loosely representative sample, we also include sites which ask to be part of the program.  Because denominator data is unknown for the number and types of incidents that occur with each of the medical devices in the United States, FDA will not use the data collected to make national estimates of devices problems, use problems, etc.  The purpose of this </w:t>
      </w:r>
      <w:r w:rsidRPr="00015A68">
        <w:rPr>
          <w:rFonts w:ascii="Times New Roman" w:eastAsia="Times New Roman" w:hAnsi="Times New Roman" w:cs="Times New Roman"/>
          <w:color w:val="000000"/>
          <w:kern w:val="0"/>
          <w:szCs w:val="22"/>
          <w14:ligatures w14:val="none"/>
        </w:rPr>
        <w:t>postmarket</w:t>
      </w:r>
      <w:r w:rsidRPr="00015A68">
        <w:rPr>
          <w:rFonts w:ascii="Times New Roman" w:eastAsia="Times New Roman" w:hAnsi="Times New Roman" w:cs="Times New Roman"/>
          <w:color w:val="000000"/>
          <w:kern w:val="0"/>
          <w:szCs w:val="22"/>
          <w14:ligatures w14:val="none"/>
        </w:rPr>
        <w:t xml:space="preserve"> surveillance is to obtain signals that problems are occurring and to learn as much as possible about the incidents.  </w:t>
      </w:r>
    </w:p>
    <w:p w:rsidR="00015A68" w:rsidRPr="00015A68" w:rsidP="00015A68" w14:paraId="730BB92F"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Therefore, in the future, if FDA does determine it has the resources to increase the number of sites above 300, it will identify replacement facilities in the same census region and the same size as the site being removed. We also take into consideration how willing a potential </w:t>
      </w:r>
      <w:r w:rsidRPr="00015A68">
        <w:rPr>
          <w:rFonts w:ascii="Times New Roman" w:eastAsia="Times New Roman" w:hAnsi="Times New Roman" w:cs="Times New Roman"/>
          <w:color w:val="000000"/>
          <w:kern w:val="0"/>
          <w:szCs w:val="22"/>
          <w14:ligatures w14:val="none"/>
        </w:rPr>
        <w:t>new recruit</w:t>
      </w:r>
      <w:r w:rsidRPr="00015A68">
        <w:rPr>
          <w:rFonts w:ascii="Times New Roman" w:eastAsia="Times New Roman" w:hAnsi="Times New Roman" w:cs="Times New Roman"/>
          <w:color w:val="000000"/>
          <w:kern w:val="0"/>
          <w:szCs w:val="22"/>
          <w14:ligatures w14:val="none"/>
        </w:rPr>
        <w:t xml:space="preserve"> may be to work closely with FDA to continue the program.  The greatest participation, and thus the best signals, is obtained from facilities that have organizational structures and cultures that are willing to share information in the interest of increased patient safety.  Additionally, most of the current larger hospitals have other types of adjunct facilities as part of the organization, such as long-term care facilities (</w:t>
      </w:r>
      <w:r w:rsidRPr="00015A68">
        <w:rPr>
          <w:rFonts w:ascii="Times New Roman" w:eastAsia="Times New Roman" w:hAnsi="Times New Roman" w:cs="Times New Roman"/>
          <w:color w:val="000000"/>
          <w:kern w:val="0"/>
          <w:szCs w:val="22"/>
          <w14:ligatures w14:val="none"/>
        </w:rPr>
        <w:t>similar to</w:t>
      </w:r>
      <w:r w:rsidRPr="00015A68">
        <w:rPr>
          <w:rFonts w:ascii="Times New Roman" w:eastAsia="Times New Roman" w:hAnsi="Times New Roman" w:cs="Times New Roman"/>
          <w:color w:val="000000"/>
          <w:kern w:val="0"/>
          <w:szCs w:val="22"/>
          <w14:ligatures w14:val="none"/>
        </w:rPr>
        <w:t xml:space="preserve"> nursing homes), outpatient treatment centers, outpatient diagnostic centers, and home health agencies.  </w:t>
      </w:r>
      <w:r w:rsidRPr="00015A68">
        <w:rPr>
          <w:rFonts w:ascii="Times New Roman" w:eastAsia="Times New Roman" w:hAnsi="Times New Roman" w:cs="Times New Roman"/>
          <w:color w:val="000000"/>
          <w:kern w:val="0"/>
          <w:szCs w:val="22"/>
          <w14:ligatures w14:val="none"/>
        </w:rPr>
        <w:t>The larger</w:t>
      </w:r>
      <w:r w:rsidRPr="00015A68">
        <w:rPr>
          <w:rFonts w:ascii="Times New Roman" w:eastAsia="Times New Roman" w:hAnsi="Times New Roman" w:cs="Times New Roman"/>
          <w:color w:val="000000"/>
          <w:kern w:val="0"/>
          <w:szCs w:val="22"/>
          <w14:ligatures w14:val="none"/>
        </w:rPr>
        <w:t xml:space="preserve"> institutions are more apt to have experience with diverse medical devices and, given the volume </w:t>
      </w:r>
      <w:r w:rsidRPr="00015A68">
        <w:rPr>
          <w:rFonts w:ascii="Times New Roman" w:eastAsia="Times New Roman" w:hAnsi="Times New Roman" w:cs="Times New Roman"/>
          <w:color w:val="000000"/>
          <w:kern w:val="0"/>
          <w:szCs w:val="22"/>
          <w14:ligatures w14:val="none"/>
        </w:rPr>
        <w:t xml:space="preserve">of patients admitted each year, are also more likely to have adverse events occur with those medical devices.  Enrollment into the program is voluntary. </w:t>
      </w:r>
    </w:p>
    <w:p w:rsidR="00015A68" w:rsidRPr="00015A68" w:rsidP="00015A68" w14:paraId="23CC4453" w14:textId="77777777">
      <w:pPr>
        <w:pStyle w:val="ListParagraph"/>
        <w:keepNext/>
        <w:keepLines/>
        <w:numPr>
          <w:ilvl w:val="0"/>
          <w:numId w:val="1"/>
        </w:numPr>
        <w:spacing w:after="200" w:line="240" w:lineRule="auto"/>
        <w:outlineLvl w:val="0"/>
        <w:rPr>
          <w:rFonts w:ascii="Times New Roman" w:eastAsia="Times New Roman" w:hAnsi="Times New Roman" w:cs="Times New Roman"/>
          <w:color w:val="000000"/>
          <w:kern w:val="0"/>
          <w:szCs w:val="22"/>
          <w:u w:val="single" w:color="000000"/>
          <w14:ligatures w14:val="none"/>
        </w:rPr>
      </w:pPr>
      <w:r w:rsidRPr="00015A68">
        <w:rPr>
          <w:rFonts w:ascii="Times New Roman" w:eastAsia="Times New Roman" w:hAnsi="Times New Roman" w:cs="Times New Roman"/>
          <w:color w:val="000000"/>
          <w:kern w:val="0"/>
          <w:szCs w:val="22"/>
          <w:u w:val="single" w:color="000000"/>
          <w14:ligatures w14:val="none"/>
        </w:rPr>
        <w:t>Procedures for the Collection of Information</w:t>
      </w:r>
      <w:r w:rsidRPr="00015A68">
        <w:rPr>
          <w:rFonts w:ascii="Times New Roman" w:eastAsia="Times New Roman" w:hAnsi="Times New Roman" w:cs="Times New Roman"/>
          <w:color w:val="000000"/>
          <w:kern w:val="0"/>
          <w:szCs w:val="22"/>
          <w:u w:color="000000"/>
          <w14:ligatures w14:val="none"/>
        </w:rPr>
        <w:t xml:space="preserve"> </w:t>
      </w:r>
    </w:p>
    <w:p w:rsidR="00015A68" w:rsidRPr="00015A68" w:rsidP="00015A68" w14:paraId="6E65EE8E"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After selecting potential candidates based on the criteria described above, replacement facilities are invited to participate in the program.  If they agree to participate, they sign a Memorandum of Participation which describes the reporting procedure they will be expected to complete (send adverse event reports via the web – both mandatory and voluntary reports), participate in training in how to participate prior to submitting adverse event reports, and protect their passwords.  The facilities will report incidents of adverse events via the Internet-based reporting system to FDA.  The facility will answer the questions that currently appear on the Form FDA 3500A MedWatch form as well as some additional questions (approved under OMB control number 0910-0291).  FDA analysts will review the reports for completeness and will follow up with the facility as needed to ensure the report is </w:t>
      </w:r>
      <w:r w:rsidRPr="00015A68">
        <w:rPr>
          <w:rFonts w:ascii="Times New Roman" w:eastAsia="Times New Roman" w:hAnsi="Times New Roman" w:cs="Times New Roman"/>
          <w:color w:val="000000"/>
          <w:kern w:val="0"/>
          <w:szCs w:val="22"/>
          <w14:ligatures w14:val="none"/>
        </w:rPr>
        <w:t>a complete</w:t>
      </w:r>
      <w:r w:rsidRPr="00015A68">
        <w:rPr>
          <w:rFonts w:ascii="Times New Roman" w:eastAsia="Times New Roman" w:hAnsi="Times New Roman" w:cs="Times New Roman"/>
          <w:color w:val="000000"/>
          <w:kern w:val="0"/>
          <w:szCs w:val="22"/>
          <w14:ligatures w14:val="none"/>
        </w:rPr>
        <w:t xml:space="preserve"> as possible and to more fully understand why the event may have occurred. </w:t>
      </w:r>
    </w:p>
    <w:p w:rsidR="00015A68" w:rsidRPr="00015A68" w:rsidP="00015A68" w14:paraId="577DA596" w14:textId="77777777">
      <w:pPr>
        <w:pStyle w:val="ListParagraph"/>
        <w:keepNext/>
        <w:keepLines/>
        <w:numPr>
          <w:ilvl w:val="0"/>
          <w:numId w:val="1"/>
        </w:numPr>
        <w:spacing w:after="200" w:line="240" w:lineRule="auto"/>
        <w:outlineLvl w:val="0"/>
        <w:rPr>
          <w:rFonts w:ascii="Times New Roman" w:eastAsia="Times New Roman" w:hAnsi="Times New Roman" w:cs="Times New Roman"/>
          <w:color w:val="000000"/>
          <w:kern w:val="0"/>
          <w:szCs w:val="22"/>
          <w:u w:val="single" w:color="000000"/>
          <w14:ligatures w14:val="none"/>
        </w:rPr>
      </w:pPr>
      <w:r w:rsidRPr="00015A68">
        <w:rPr>
          <w:rFonts w:ascii="Times New Roman" w:eastAsia="Times New Roman" w:hAnsi="Times New Roman" w:cs="Times New Roman"/>
          <w:color w:val="000000"/>
          <w:kern w:val="0"/>
          <w:szCs w:val="22"/>
          <w:u w:val="single" w:color="000000"/>
          <w14:ligatures w14:val="none"/>
        </w:rPr>
        <w:t>Methods to Maximize Response Rates and Deal with Non-response</w:t>
      </w:r>
      <w:r w:rsidRPr="00015A68">
        <w:rPr>
          <w:rFonts w:ascii="Times New Roman" w:eastAsia="Times New Roman" w:hAnsi="Times New Roman" w:cs="Times New Roman"/>
          <w:color w:val="000000"/>
          <w:kern w:val="0"/>
          <w:szCs w:val="22"/>
          <w:u w:color="000000"/>
          <w14:ligatures w14:val="none"/>
        </w:rPr>
        <w:t xml:space="preserve"> </w:t>
      </w:r>
    </w:p>
    <w:p w:rsidR="00015A68" w:rsidRPr="00015A68" w:rsidP="00015A68" w14:paraId="0A4649D5"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Every effort will be made to maximize responses.  However, in </w:t>
      </w:r>
      <w:r w:rsidRPr="00015A68">
        <w:rPr>
          <w:rFonts w:ascii="Times New Roman" w:eastAsia="Times New Roman" w:hAnsi="Times New Roman" w:cs="Times New Roman"/>
          <w:color w:val="000000"/>
          <w:kern w:val="0"/>
          <w:szCs w:val="22"/>
          <w14:ligatures w14:val="none"/>
        </w:rPr>
        <w:t>postmarket</w:t>
      </w:r>
      <w:r w:rsidRPr="00015A68">
        <w:rPr>
          <w:rFonts w:ascii="Times New Roman" w:eastAsia="Times New Roman" w:hAnsi="Times New Roman" w:cs="Times New Roman"/>
          <w:color w:val="000000"/>
          <w:kern w:val="0"/>
          <w:szCs w:val="22"/>
          <w14:ligatures w14:val="none"/>
        </w:rPr>
        <w:t xml:space="preserve"> surveillance that is based on numerator data, rather than denominator data, obtaining important signals that problems may be occurring is more critical than obtaining large numbers of reports. </w:t>
      </w:r>
    </w:p>
    <w:p w:rsidR="00015A68" w:rsidRPr="00015A68" w:rsidP="00015A68" w14:paraId="458B17CB"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Facilities will continue to use the Internet-based system to report adverse events.  FDA's </w:t>
      </w:r>
      <w:r w:rsidRPr="00015A68">
        <w:rPr>
          <w:rFonts w:ascii="Times New Roman" w:eastAsia="Times New Roman" w:hAnsi="Times New Roman" w:cs="Times New Roman"/>
          <w:color w:val="000000"/>
          <w:kern w:val="0"/>
          <w:szCs w:val="22"/>
          <w14:ligatures w14:val="none"/>
        </w:rPr>
        <w:t>MedSun</w:t>
      </w:r>
      <w:r w:rsidRPr="00015A68">
        <w:rPr>
          <w:rFonts w:ascii="Times New Roman" w:eastAsia="Times New Roman" w:hAnsi="Times New Roman" w:cs="Times New Roman"/>
          <w:color w:val="000000"/>
          <w:kern w:val="0"/>
          <w:szCs w:val="22"/>
          <w14:ligatures w14:val="none"/>
        </w:rPr>
        <w:t xml:space="preserve"> </w:t>
      </w:r>
      <w:r w:rsidRPr="00015A68">
        <w:rPr>
          <w:rFonts w:ascii="Times New Roman" w:eastAsia="Times New Roman" w:hAnsi="Times New Roman" w:cs="Times New Roman"/>
          <w:color w:val="000000"/>
          <w:kern w:val="0"/>
          <w:szCs w:val="22"/>
          <w14:ligatures w14:val="none"/>
        </w:rPr>
        <w:t>postmarket</w:t>
      </w:r>
      <w:r w:rsidRPr="00015A68">
        <w:rPr>
          <w:rFonts w:ascii="Times New Roman" w:eastAsia="Times New Roman" w:hAnsi="Times New Roman" w:cs="Times New Roman"/>
          <w:color w:val="000000"/>
          <w:kern w:val="0"/>
          <w:szCs w:val="22"/>
          <w14:ligatures w14:val="none"/>
        </w:rPr>
        <w:t xml:space="preserve"> medical device adverse event reporting is considered ‘enhanced’ surveillance, rather than the ‘passive’ surveillance of our other reporting systems.  Since reporting first requires individuals working within a facility to recognize that an adverse event was related to the use of a medical device and then to report that incident through the appropriate channels within that facility, FDA supplies many tools to the hospitals to train staff.  However, while FDA will train each facility in the mechanisms of reporting, facilities will still only forward reports if the ‘lead’ reporter with the </w:t>
      </w:r>
      <w:r w:rsidRPr="00015A68">
        <w:rPr>
          <w:rFonts w:ascii="Times New Roman" w:eastAsia="Times New Roman" w:hAnsi="Times New Roman" w:cs="Times New Roman"/>
          <w:color w:val="000000"/>
          <w:kern w:val="0"/>
          <w:szCs w:val="22"/>
          <w14:ligatures w14:val="none"/>
        </w:rPr>
        <w:t>MedSun</w:t>
      </w:r>
      <w:r w:rsidRPr="00015A68">
        <w:rPr>
          <w:rFonts w:ascii="Times New Roman" w:eastAsia="Times New Roman" w:hAnsi="Times New Roman" w:cs="Times New Roman"/>
          <w:color w:val="000000"/>
          <w:kern w:val="0"/>
          <w:szCs w:val="22"/>
          <w14:ligatures w14:val="none"/>
        </w:rPr>
        <w:t xml:space="preserve"> system password learns about a medical device adverse event from </w:t>
      </w:r>
      <w:r w:rsidRPr="00015A68">
        <w:rPr>
          <w:rFonts w:ascii="Times New Roman" w:eastAsia="Times New Roman" w:hAnsi="Times New Roman" w:cs="Times New Roman"/>
          <w:color w:val="000000"/>
          <w:kern w:val="0"/>
          <w:szCs w:val="22"/>
          <w14:ligatures w14:val="none"/>
        </w:rPr>
        <w:t>staff, or</w:t>
      </w:r>
      <w:r w:rsidRPr="00015A68">
        <w:rPr>
          <w:rFonts w:ascii="Times New Roman" w:eastAsia="Times New Roman" w:hAnsi="Times New Roman" w:cs="Times New Roman"/>
          <w:color w:val="000000"/>
          <w:kern w:val="0"/>
          <w:szCs w:val="22"/>
          <w14:ligatures w14:val="none"/>
        </w:rPr>
        <w:t xml:space="preserve"> learns of the potential for an adverse event to occur.  It is impossible to predict how many adverse events will occur per year at each facility.  We are striving for an average of 15 reports per year.   </w:t>
      </w:r>
    </w:p>
    <w:p w:rsidR="00015A68" w:rsidRPr="00015A68" w:rsidP="00015A68" w14:paraId="041C8F0E"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If a facility sends less than 2 reports in the first 6-months of entering the pilot, the FDA analyst calls the facility contact person to ask how the system seems to be working, if the facility needs more training in the mechanics of working in the pilot project, etc.  This gentle probing is to remind the facility contact person that the success of the project depends on each facility forwarding all medical </w:t>
      </w:r>
      <w:r w:rsidRPr="00015A68">
        <w:rPr>
          <w:rFonts w:ascii="Times New Roman" w:eastAsia="Times New Roman" w:hAnsi="Times New Roman" w:cs="Times New Roman"/>
          <w:color w:val="000000"/>
          <w:kern w:val="0"/>
          <w:szCs w:val="22"/>
          <w14:ligatures w14:val="none"/>
        </w:rPr>
        <w:t>device</w:t>
      </w:r>
      <w:r w:rsidRPr="00015A68">
        <w:rPr>
          <w:rFonts w:ascii="Times New Roman" w:eastAsia="Times New Roman" w:hAnsi="Times New Roman" w:cs="Times New Roman"/>
          <w:color w:val="000000"/>
          <w:kern w:val="0"/>
          <w:szCs w:val="22"/>
          <w14:ligatures w14:val="none"/>
        </w:rPr>
        <w:t xml:space="preserve"> related adverse events.  But, if the site continues to perform poorly, it is cycled out of the program and replaced. </w:t>
      </w:r>
    </w:p>
    <w:p w:rsidR="00015A68" w:rsidRPr="00015A68" w:rsidP="00015A68" w14:paraId="56A8CA6D"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Facilities will voluntarily fill in answers to data fields not currently included in the 3500A form (OMB approved questions).  To encourage the facilities to fill in these data elements, the FDA </w:t>
      </w:r>
      <w:r w:rsidRPr="00015A68">
        <w:rPr>
          <w:rFonts w:ascii="Times New Roman" w:eastAsia="Times New Roman" w:hAnsi="Times New Roman" w:cs="Times New Roman"/>
          <w:color w:val="000000"/>
          <w:kern w:val="0"/>
          <w:szCs w:val="22"/>
          <w14:ligatures w14:val="none"/>
        </w:rPr>
        <w:t>MedSun</w:t>
      </w:r>
      <w:r w:rsidRPr="00015A68">
        <w:rPr>
          <w:rFonts w:ascii="Times New Roman" w:eastAsia="Times New Roman" w:hAnsi="Times New Roman" w:cs="Times New Roman"/>
          <w:color w:val="000000"/>
          <w:kern w:val="0"/>
          <w:szCs w:val="22"/>
          <w14:ligatures w14:val="none"/>
        </w:rPr>
        <w:t xml:space="preserve"> staff calls the facility’s contact person to ascertain the reason the items were not filled in.  The responses given by the contact person will aid FDA in determining if the questions are too difficult for the facility to find in a timely manner, or if the facility is not comfortable, for whatever reason, in providing the answers.  This information can then be reflected in changes brought forth in the next 3-year OMB approval cycle. </w:t>
      </w:r>
    </w:p>
    <w:p w:rsidR="00015A68" w:rsidRPr="00015A68" w:rsidP="00015A68" w14:paraId="246A963C" w14:textId="77777777">
      <w:pPr>
        <w:pStyle w:val="ListParagraph"/>
        <w:keepNext/>
        <w:keepLines/>
        <w:numPr>
          <w:ilvl w:val="0"/>
          <w:numId w:val="1"/>
        </w:numPr>
        <w:spacing w:after="200" w:line="240" w:lineRule="auto"/>
        <w:outlineLvl w:val="0"/>
        <w:rPr>
          <w:rFonts w:ascii="Times New Roman" w:eastAsia="Times New Roman" w:hAnsi="Times New Roman" w:cs="Times New Roman"/>
          <w:color w:val="000000"/>
          <w:kern w:val="0"/>
          <w:szCs w:val="22"/>
          <w:u w:val="single" w:color="000000"/>
          <w14:ligatures w14:val="none"/>
        </w:rPr>
      </w:pPr>
      <w:r w:rsidRPr="00015A68">
        <w:rPr>
          <w:rFonts w:ascii="Times New Roman" w:eastAsia="Times New Roman" w:hAnsi="Times New Roman" w:cs="Times New Roman"/>
          <w:color w:val="000000"/>
          <w:kern w:val="0"/>
          <w:szCs w:val="22"/>
          <w:u w:val="single" w:color="000000"/>
          <w14:ligatures w14:val="none"/>
        </w:rPr>
        <w:t>Test of Procedures or Methods to be Undertaken</w:t>
      </w:r>
      <w:r w:rsidRPr="00015A68">
        <w:rPr>
          <w:rFonts w:ascii="Times New Roman" w:eastAsia="Times New Roman" w:hAnsi="Times New Roman" w:cs="Times New Roman"/>
          <w:color w:val="000000"/>
          <w:kern w:val="0"/>
          <w:szCs w:val="22"/>
          <w:u w:color="000000"/>
          <w14:ligatures w14:val="none"/>
        </w:rPr>
        <w:t xml:space="preserve"> </w:t>
      </w:r>
    </w:p>
    <w:p w:rsidR="00015A68" w:rsidRPr="00015A68" w:rsidP="00015A68" w14:paraId="28123F16"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 xml:space="preserve">The need for user facilities to report adverse events associated with medical devices is currently mandated by law, so the fundamental mechanics of how to work with a reporting program is well-known to facilities.  Before </w:t>
      </w:r>
      <w:r w:rsidRPr="00015A68">
        <w:rPr>
          <w:rFonts w:ascii="Times New Roman" w:eastAsia="Times New Roman" w:hAnsi="Times New Roman" w:cs="Times New Roman"/>
          <w:color w:val="000000"/>
          <w:kern w:val="0"/>
          <w:szCs w:val="22"/>
          <w14:ligatures w14:val="none"/>
        </w:rPr>
        <w:t>MedSun</w:t>
      </w:r>
      <w:r w:rsidRPr="00015A68">
        <w:rPr>
          <w:rFonts w:ascii="Times New Roman" w:eastAsia="Times New Roman" w:hAnsi="Times New Roman" w:cs="Times New Roman"/>
          <w:color w:val="000000"/>
          <w:kern w:val="0"/>
          <w:szCs w:val="22"/>
          <w14:ligatures w14:val="none"/>
        </w:rPr>
        <w:t xml:space="preserve">, all reporting had been a paper system, so the pilot was the first test of a new electronic version.  Now that we have implemented the full program, our methods are well-tested and yielding excellent results. </w:t>
      </w:r>
    </w:p>
    <w:p w:rsidR="00015A68" w:rsidRPr="00015A68" w:rsidP="00015A68" w14:paraId="5F0AE6D0" w14:textId="77777777">
      <w:pPr>
        <w:pStyle w:val="ListParagraph"/>
        <w:keepNext/>
        <w:keepLines/>
        <w:numPr>
          <w:ilvl w:val="0"/>
          <w:numId w:val="1"/>
        </w:numPr>
        <w:spacing w:after="200" w:line="240" w:lineRule="auto"/>
        <w:outlineLvl w:val="0"/>
        <w:rPr>
          <w:rFonts w:ascii="Times New Roman" w:eastAsia="Times New Roman" w:hAnsi="Times New Roman" w:cs="Times New Roman"/>
          <w:color w:val="000000"/>
          <w:kern w:val="0"/>
          <w:szCs w:val="22"/>
          <w:u w:val="single" w:color="000000"/>
          <w14:ligatures w14:val="none"/>
        </w:rPr>
      </w:pPr>
      <w:r w:rsidRPr="00015A68">
        <w:rPr>
          <w:rFonts w:ascii="Times New Roman" w:eastAsia="Times New Roman" w:hAnsi="Times New Roman" w:cs="Times New Roman"/>
          <w:color w:val="000000"/>
          <w:kern w:val="0"/>
          <w:szCs w:val="22"/>
          <w:u w:val="single" w:color="000000"/>
          <w14:ligatures w14:val="none"/>
        </w:rPr>
        <w:t>Individuals Consulted on Statistical Aspects and Individuals Collecting and/or Analyzing</w:t>
      </w:r>
      <w:r w:rsidRPr="00015A68">
        <w:rPr>
          <w:rFonts w:ascii="Times New Roman" w:eastAsia="Times New Roman" w:hAnsi="Times New Roman" w:cs="Times New Roman"/>
          <w:color w:val="000000"/>
          <w:kern w:val="0"/>
          <w:szCs w:val="22"/>
          <w:u w:color="000000"/>
          <w14:ligatures w14:val="none"/>
        </w:rPr>
        <w:t xml:space="preserve"> </w:t>
      </w:r>
      <w:r w:rsidRPr="00015A68">
        <w:rPr>
          <w:rFonts w:ascii="Times New Roman" w:eastAsia="Times New Roman" w:hAnsi="Times New Roman" w:cs="Times New Roman"/>
          <w:color w:val="000000"/>
          <w:kern w:val="0"/>
          <w:szCs w:val="22"/>
          <w:u w:val="single" w:color="000000"/>
          <w14:ligatures w14:val="none"/>
        </w:rPr>
        <w:t>Data</w:t>
      </w:r>
      <w:r w:rsidRPr="00015A68">
        <w:rPr>
          <w:rFonts w:ascii="Times New Roman" w:eastAsia="Times New Roman" w:hAnsi="Times New Roman" w:cs="Times New Roman"/>
          <w:color w:val="000000"/>
          <w:kern w:val="0"/>
          <w:szCs w:val="22"/>
          <w:u w:color="000000"/>
          <w14:ligatures w14:val="none"/>
        </w:rPr>
        <w:t xml:space="preserve"> </w:t>
      </w:r>
    </w:p>
    <w:p w:rsidR="00015A68" w:rsidRPr="00015A68" w:rsidP="00015A68" w14:paraId="40459FC4" w14:textId="77777777">
      <w:pPr>
        <w:spacing w:after="200" w:line="240" w:lineRule="auto"/>
        <w:ind w:hanging="10"/>
        <w:rPr>
          <w:rFonts w:ascii="Times New Roman" w:eastAsia="Times New Roman" w:hAnsi="Times New Roman" w:cs="Times New Roman"/>
          <w:color w:val="000000"/>
          <w:kern w:val="0"/>
          <w:szCs w:val="22"/>
          <w14:ligatures w14:val="none"/>
        </w:rPr>
      </w:pPr>
      <w:r w:rsidRPr="00015A68">
        <w:rPr>
          <w:rFonts w:ascii="Times New Roman" w:eastAsia="Times New Roman" w:hAnsi="Times New Roman" w:cs="Times New Roman"/>
          <w:color w:val="000000"/>
          <w:kern w:val="0"/>
          <w:szCs w:val="22"/>
          <w14:ligatures w14:val="none"/>
        </w:rPr>
        <w:t>The Office of Clinical Evidence and Analysis in FDA’s Center for Devices and Radiological Health (CDRH) collects and analyzes the data.</w:t>
      </w:r>
    </w:p>
    <w:p w:rsidR="00D76C2A" w14:paraId="0EBC1025" w14:textId="77777777"/>
    <w:sectPr w:rsidSect="00015A68">
      <w:footerReference w:type="default" r:id="rId4"/>
      <w:pgSz w:w="12240" w:h="15840"/>
      <w:pgMar w:top="1451" w:right="1442" w:bottom="71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8090892"/>
      <w:docPartObj>
        <w:docPartGallery w:val="Page Numbers (Bottom of Page)"/>
        <w:docPartUnique/>
      </w:docPartObj>
    </w:sdtPr>
    <w:sdtEndPr>
      <w:rPr>
        <w:noProof/>
      </w:rPr>
    </w:sdtEndPr>
    <w:sdtContent>
      <w:p w:rsidR="00015A68" w14:paraId="4A0EF2C0"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15A68" w14:paraId="3A8393B4"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AE61218"/>
    <w:multiLevelType w:val="hybridMultilevel"/>
    <w:tmpl w:val="7522260C"/>
    <w:lvl w:ilvl="0">
      <w:start w:val="1"/>
      <w:numFmt w:val="decimal"/>
      <w:lvlText w:val="%1."/>
      <w:lvlJc w:val="left"/>
      <w:pPr>
        <w:ind w:left="420" w:hanging="360"/>
      </w:p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num w:numId="1" w16cid:durableId="590744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A68"/>
    <w:rsid w:val="00015A68"/>
    <w:rsid w:val="004D5281"/>
    <w:rsid w:val="005F0885"/>
    <w:rsid w:val="006925F5"/>
    <w:rsid w:val="0072132A"/>
    <w:rsid w:val="007A3F2B"/>
    <w:rsid w:val="009918C2"/>
    <w:rsid w:val="00C84DF7"/>
    <w:rsid w:val="00CB765A"/>
    <w:rsid w:val="00D76C2A"/>
    <w:rsid w:val="00F33A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607E86"/>
  <w15:chartTrackingRefBased/>
  <w15:docId w15:val="{332E4F9B-95E1-4684-971A-54620986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5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5A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5A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5A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5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5A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5A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5A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A68"/>
    <w:rPr>
      <w:rFonts w:eastAsiaTheme="majorEastAsia" w:cstheme="majorBidi"/>
      <w:color w:val="272727" w:themeColor="text1" w:themeTint="D8"/>
    </w:rPr>
  </w:style>
  <w:style w:type="paragraph" w:styleId="Title">
    <w:name w:val="Title"/>
    <w:basedOn w:val="Normal"/>
    <w:next w:val="Normal"/>
    <w:link w:val="TitleChar"/>
    <w:uiPriority w:val="10"/>
    <w:qFormat/>
    <w:rsid w:val="00015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A68"/>
    <w:pPr>
      <w:spacing w:before="160"/>
      <w:jc w:val="center"/>
    </w:pPr>
    <w:rPr>
      <w:i/>
      <w:iCs/>
      <w:color w:val="404040" w:themeColor="text1" w:themeTint="BF"/>
    </w:rPr>
  </w:style>
  <w:style w:type="character" w:customStyle="1" w:styleId="QuoteChar">
    <w:name w:val="Quote Char"/>
    <w:basedOn w:val="DefaultParagraphFont"/>
    <w:link w:val="Quote"/>
    <w:uiPriority w:val="29"/>
    <w:rsid w:val="00015A68"/>
    <w:rPr>
      <w:i/>
      <w:iCs/>
      <w:color w:val="404040" w:themeColor="text1" w:themeTint="BF"/>
    </w:rPr>
  </w:style>
  <w:style w:type="paragraph" w:styleId="ListParagraph">
    <w:name w:val="List Paragraph"/>
    <w:basedOn w:val="Normal"/>
    <w:uiPriority w:val="34"/>
    <w:qFormat/>
    <w:rsid w:val="00015A68"/>
    <w:pPr>
      <w:ind w:left="720"/>
      <w:contextualSpacing/>
    </w:pPr>
  </w:style>
  <w:style w:type="character" w:styleId="IntenseEmphasis">
    <w:name w:val="Intense Emphasis"/>
    <w:basedOn w:val="DefaultParagraphFont"/>
    <w:uiPriority w:val="21"/>
    <w:qFormat/>
    <w:rsid w:val="00015A68"/>
    <w:rPr>
      <w:i/>
      <w:iCs/>
      <w:color w:val="0F4761" w:themeColor="accent1" w:themeShade="BF"/>
    </w:rPr>
  </w:style>
  <w:style w:type="paragraph" w:styleId="IntenseQuote">
    <w:name w:val="Intense Quote"/>
    <w:basedOn w:val="Normal"/>
    <w:next w:val="Normal"/>
    <w:link w:val="IntenseQuoteChar"/>
    <w:uiPriority w:val="30"/>
    <w:qFormat/>
    <w:rsid w:val="00015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A68"/>
    <w:rPr>
      <w:i/>
      <w:iCs/>
      <w:color w:val="0F4761" w:themeColor="accent1" w:themeShade="BF"/>
    </w:rPr>
  </w:style>
  <w:style w:type="character" w:styleId="IntenseReference">
    <w:name w:val="Intense Reference"/>
    <w:basedOn w:val="DefaultParagraphFont"/>
    <w:uiPriority w:val="32"/>
    <w:qFormat/>
    <w:rsid w:val="00015A68"/>
    <w:rPr>
      <w:b/>
      <w:bCs/>
      <w:smallCaps/>
      <w:color w:val="0F4761" w:themeColor="accent1" w:themeShade="BF"/>
      <w:spacing w:val="5"/>
    </w:rPr>
  </w:style>
  <w:style w:type="paragraph" w:styleId="Footer">
    <w:name w:val="footer"/>
    <w:basedOn w:val="Normal"/>
    <w:link w:val="FooterChar"/>
    <w:uiPriority w:val="99"/>
    <w:unhideWhenUsed/>
    <w:rsid w:val="00015A68"/>
    <w:pPr>
      <w:tabs>
        <w:tab w:val="center" w:pos="4680"/>
        <w:tab w:val="right" w:pos="9360"/>
      </w:tabs>
      <w:spacing w:after="0" w:line="240" w:lineRule="auto"/>
      <w:ind w:left="12" w:hanging="10"/>
    </w:pPr>
    <w:rPr>
      <w:rFonts w:ascii="Times New Roman" w:eastAsia="Times New Roman" w:hAnsi="Times New Roman" w:cs="Times New Roman"/>
      <w:color w:val="000000"/>
      <w:kern w:val="0"/>
      <w:szCs w:val="22"/>
    </w:rPr>
  </w:style>
  <w:style w:type="character" w:customStyle="1" w:styleId="FooterChar">
    <w:name w:val="Footer Char"/>
    <w:basedOn w:val="DefaultParagraphFont"/>
    <w:link w:val="Footer"/>
    <w:uiPriority w:val="99"/>
    <w:rsid w:val="00015A68"/>
    <w:rPr>
      <w:rFonts w:ascii="Times New Roman" w:eastAsia="Times New Roman" w:hAnsi="Times New Roman" w:cs="Times New Roman"/>
      <w:color w:val="000000"/>
      <w:kern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6453</Characters>
  <Application>Microsoft Office Word</Application>
  <DocSecurity>0</DocSecurity>
  <Lines>53</Lines>
  <Paragraphs>15</Paragraphs>
  <ScaleCrop>false</ScaleCrop>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Carraway, Schnell *</dc:creator>
  <cp:lastModifiedBy>Barrett, Amber</cp:lastModifiedBy>
  <cp:revision>2</cp:revision>
  <dcterms:created xsi:type="dcterms:W3CDTF">2026-10-14T14:09:00Z</dcterms:created>
  <dcterms:modified xsi:type="dcterms:W3CDTF">2026-10-14T14:09:00Z</dcterms:modified>
</cp:coreProperties>
</file>