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DA0B10" w:rsidP="00DA0B10" w14:paraId="5D5F875D" w14:textId="41665333">
      <w:pPr>
        <w:rPr>
          <w:b/>
          <w:sz w:val="40"/>
        </w:rPr>
      </w:pPr>
      <w:r w:rsidRPr="006F0C05">
        <w:rPr>
          <w:b/>
          <w:sz w:val="40"/>
        </w:rPr>
        <w:t>Part B X08 Allocations Report</w:t>
      </w:r>
    </w:p>
    <w:tbl>
      <w:tblPr>
        <w:tblW w:w="6073" w:type="pct"/>
        <w:tblInd w:w="-720" w:type="dxa"/>
        <w:tblLayout w:type="fixed"/>
        <w:tblLook w:val="04A0"/>
      </w:tblPr>
      <w:tblGrid>
        <w:gridCol w:w="5400"/>
        <w:gridCol w:w="1010"/>
        <w:gridCol w:w="991"/>
        <w:gridCol w:w="989"/>
        <w:gridCol w:w="996"/>
        <w:gridCol w:w="994"/>
        <w:gridCol w:w="989"/>
      </w:tblGrid>
      <w:tr w14:paraId="013BC371" w14:textId="3BC4031D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41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34D8EE5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FY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XXXX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RWHAP Part B Supplemental Program Award Allocations Report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69B8359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5AECDBB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14:paraId="6FA5D846" w14:textId="271D9EBB" w:rsidTr="00041AFA">
        <w:tblPrEx>
          <w:tblW w:w="6073" w:type="pct"/>
          <w:tblInd w:w="-720" w:type="dxa"/>
          <w:tblLayout w:type="fixed"/>
          <w:tblLook w:val="04A0"/>
        </w:tblPrEx>
        <w:trPr>
          <w:trHeight w:val="270"/>
        </w:trPr>
        <w:tc>
          <w:tcPr>
            <w:tcW w:w="41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6CC57EF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365F29C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7BD17EF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14:paraId="26543DC6" w14:textId="55F72B36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23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041AFA" w:rsidRPr="008A3695" w:rsidP="004C0E75" w14:paraId="4866E08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Recipient Name</w:t>
            </w:r>
          </w:p>
        </w:tc>
        <w:tc>
          <w:tcPr>
            <w:tcW w:w="175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hideMark/>
          </w:tcPr>
          <w:p w:rsidR="00041AFA" w:rsidRPr="008A3695" w:rsidP="004C0E75" w14:paraId="2DBF7E12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</w:tcPr>
          <w:p w:rsidR="00041AFA" w:rsidRPr="008A3695" w:rsidP="004C0E75" w14:paraId="0641A032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</w:tcPr>
          <w:p w:rsidR="00041AFA" w:rsidRPr="008A3695" w:rsidP="004C0E75" w14:paraId="1EAB4F05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5D2777BC" w14:textId="4E0AFCB5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237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hideMark/>
          </w:tcPr>
          <w:p w:rsidR="00041AFA" w:rsidRPr="008A3695" w:rsidP="004C0E75" w14:paraId="08D2A87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Preparer Name</w:t>
            </w:r>
          </w:p>
        </w:tc>
        <w:tc>
          <w:tcPr>
            <w:tcW w:w="175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hideMark/>
          </w:tcPr>
          <w:p w:rsidR="00041AFA" w:rsidRPr="008A3695" w:rsidP="004C0E75" w14:paraId="1496181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</w:tcPr>
          <w:p w:rsidR="00041AFA" w:rsidRPr="008A3695" w:rsidP="004C0E75" w14:paraId="168D7FC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</w:tcPr>
          <w:p w:rsidR="00041AFA" w:rsidRPr="008A3695" w:rsidP="004C0E75" w14:paraId="4D6AB3F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4E18793E" w14:textId="349CE903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23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:rsidR="00041AFA" w:rsidRPr="008A3695" w:rsidP="004C0E75" w14:paraId="4E293C6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Preparer Phone Number</w:t>
            </w:r>
          </w:p>
        </w:tc>
        <w:tc>
          <w:tcPr>
            <w:tcW w:w="175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hideMark/>
          </w:tcPr>
          <w:p w:rsidR="00041AFA" w:rsidRPr="008A3695" w:rsidP="004C0E75" w14:paraId="1EFF95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</w:tcPr>
          <w:p w:rsidR="00041AFA" w:rsidRPr="008A3695" w:rsidP="004C0E75" w14:paraId="02A3E0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</w:tcPr>
          <w:p w:rsidR="00041AFA" w:rsidRPr="008A3695" w:rsidP="004C0E75" w14:paraId="63D6080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4840B62C" w14:textId="168CFB1D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1BF01C8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41AFA" w:rsidRPr="008A3695" w:rsidP="004C0E75" w14:paraId="658291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41AFA" w:rsidRPr="008A3695" w:rsidP="004C0E75" w14:paraId="5D027F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41AFA" w:rsidRPr="008A3695" w:rsidP="004C0E75" w14:paraId="43DA8A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3210C4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398A3C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0734B1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D170C86" w14:textId="4BDA270D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2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:rsidR="00041AFA" w:rsidRPr="008A3695" w:rsidP="004C0E75" w14:paraId="759998D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FY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XXXX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RWHAP Part B Supplemental Program Award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041AFA" w:rsidRPr="008A3695" w:rsidP="004C0E75" w14:paraId="208853C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</w:tcPr>
          <w:p w:rsidR="00041AFA" w:rsidRPr="008A3695" w:rsidP="004C0E75" w14:paraId="2903E393" w14:textId="197AC8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5" w:type="pct"/>
            <w:tcBorders>
              <w:right w:val="nil"/>
            </w:tcBorders>
            <w:shd w:val="clear" w:color="auto" w:fill="auto"/>
          </w:tcPr>
          <w:p w:rsidR="00041AFA" w:rsidRPr="008A3695" w:rsidP="004C0E75" w14:paraId="153E3A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0F6267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0B18F9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58231D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DA5CCDF" w14:textId="14658C1F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237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0848452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5790AB4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6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640878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33F709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273815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16BD2B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722A39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C8D11F2" w14:textId="2817E166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041AFA" w:rsidRPr="008A3695" w:rsidP="004C0E75" w14:paraId="4CB1541D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Section A: Planned Funding by Program Component</w:t>
            </w:r>
          </w:p>
        </w:tc>
        <w:tc>
          <w:tcPr>
            <w:tcW w:w="88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00CCFF"/>
            <w:hideMark/>
          </w:tcPr>
          <w:p w:rsidR="00041AFA" w:rsidRPr="008A3695" w:rsidP="004C0E75" w14:paraId="49F4B2DA" w14:textId="0CFC4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Total</w:t>
            </w:r>
            <w:r w:rsidRPr="00406A4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4"/>
              </w:rPr>
              <w:t xml:space="preserve"> 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RWHAP Part B Supplemental Program Award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4B7E38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444F2D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372EDD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1BE2EA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924464C" w14:textId="74EE43C8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AFA" w:rsidRPr="008A3695" w:rsidP="004C0E75" w14:paraId="3AF648BB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80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41AFA" w:rsidRPr="008A3695" w:rsidP="004C0E75" w14:paraId="15510348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5FF790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376A03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73AB39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0AC243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5B7EB68" w14:textId="2F93D589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23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AFA" w:rsidRPr="008A3695" w:rsidP="004C0E75" w14:paraId="7FA9D734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CFF"/>
            <w:hideMark/>
          </w:tcPr>
          <w:p w:rsidR="00041AFA" w:rsidRPr="008A3695" w:rsidP="004C0E75" w14:paraId="31B1E10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Amount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hideMark/>
          </w:tcPr>
          <w:p w:rsidR="00041AFA" w:rsidRPr="008A3695" w:rsidP="004C0E75" w14:paraId="1011814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Percent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0A98AD0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1E329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5573C7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55C40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C7B9ABE" w14:textId="01FD0086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41AFA" w:rsidRPr="008A3695" w:rsidP="004C0E75" w14:paraId="4BCEAAF4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1. RWHAP Part B Supplemental AIDS Drug Assistance Program Subtotal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41AFA" w:rsidRPr="008A3695" w:rsidP="004C0E75" w14:paraId="528138F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41AFA" w:rsidRPr="008A3695" w:rsidP="004C0E75" w14:paraId="427446C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01CB5C3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719C83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6209B7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29E394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466D97F" w14:textId="19941416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FA" w:rsidRPr="008A3695" w:rsidP="004C0E75" w14:paraId="4CEC3354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 xml:space="preserve">  a. ADAP Services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041AFA" w:rsidRPr="008A3695" w:rsidP="004C0E75" w14:paraId="1C7A023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41AFA" w:rsidRPr="008A3695" w:rsidP="004C0E75" w14:paraId="0FB3FCF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06FCEC7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300895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60D35C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2795F8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F928A0C" w14:textId="4B0E57A6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FA" w:rsidRPr="008A3695" w:rsidP="004C0E75" w14:paraId="08B2ADB0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 xml:space="preserve">  b. Health Insurance to Provide Medications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041AFA" w:rsidRPr="008A3695" w:rsidP="004C0E75" w14:paraId="49BDF68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41AFA" w:rsidRPr="008A3695" w:rsidP="004C0E75" w14:paraId="17A77EB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0FB5455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3831F5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00455B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7FDA52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A96A783" w14:textId="3021CD41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FA" w:rsidRPr="008A3695" w:rsidP="004C0E75" w14:paraId="63C6F381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 xml:space="preserve">  c. ADAP Access/Adherence/Monitoring Services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hideMark/>
          </w:tcPr>
          <w:p w:rsidR="00041AFA" w:rsidRPr="008A3695" w:rsidP="004C0E75" w14:paraId="6278938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41AFA" w:rsidRPr="008A3695" w:rsidP="004C0E75" w14:paraId="46C0589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5C137BA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727CD8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1BCBFC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7B8F47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0E01104" w14:textId="0386BDAB" w:rsidTr="00041AFA">
        <w:tblPrEx>
          <w:tblW w:w="6073" w:type="pct"/>
          <w:tblInd w:w="-720" w:type="dxa"/>
          <w:tblLayout w:type="fixed"/>
          <w:tblLook w:val="04A0"/>
        </w:tblPrEx>
        <w:trPr>
          <w:trHeight w:val="710"/>
        </w:trPr>
        <w:tc>
          <w:tcPr>
            <w:tcW w:w="2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AFA" w:rsidRPr="008A3695" w:rsidP="004C0E75" w14:paraId="40A5217C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 xml:space="preserve">2. RWHAP Part B Supplemental Health Insurance Premium &amp; Cost Sharing Assistance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for Low Income Individuals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041AFA" w:rsidRPr="008A3695" w:rsidP="004C0E75" w14:paraId="1A02642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41AFA" w:rsidRPr="008A3695" w:rsidP="004C0E75" w14:paraId="68C9A27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1A6A3E5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78E76A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632706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6B41F9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229344F" w14:textId="0D210F67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AFA" w:rsidRPr="008A3695" w:rsidP="004C0E75" w14:paraId="0EF99ECC" w14:textId="07089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3. RWHAP Part B Supplemental Home and Community-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B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ased Health Services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041AFA" w:rsidRPr="008A3695" w:rsidP="004C0E75" w14:paraId="194DB18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41AFA" w:rsidRPr="008A3695" w:rsidP="004C0E75" w14:paraId="549F80F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0622B10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7BED85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4858A5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0BD6E8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C130AA9" w14:textId="6C067D24" w:rsidTr="00041AFA">
        <w:tblPrEx>
          <w:tblW w:w="6073" w:type="pct"/>
          <w:tblInd w:w="-720" w:type="dxa"/>
          <w:tblLayout w:type="fixed"/>
          <w:tblLook w:val="04A0"/>
        </w:tblPrEx>
        <w:trPr>
          <w:trHeight w:val="375"/>
        </w:trPr>
        <w:tc>
          <w:tcPr>
            <w:tcW w:w="237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41AFA" w:rsidRPr="008A3695" w:rsidP="004C0E75" w14:paraId="61C89CA1" w14:textId="05BC4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RWHAP Part B Supplemental HIV Care Consortia (Provide detail in Section B)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  <w:vertAlign w:val="superscript"/>
              </w:rPr>
              <w:t xml:space="preserve"> 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:rsidR="00041AFA" w:rsidRPr="008A3695" w:rsidP="004C0E75" w14:paraId="682DB5D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41AFA" w:rsidRPr="008A3695" w:rsidP="004C0E75" w14:paraId="3CA5BB6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3D13C83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3AF3F5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4FFBC8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09453B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8F59950" w14:textId="683160E6" w:rsidTr="00041AFA">
        <w:tblPrEx>
          <w:tblW w:w="6073" w:type="pct"/>
          <w:tblInd w:w="-720" w:type="dxa"/>
          <w:tblLayout w:type="fixed"/>
          <w:tblLook w:val="04A0"/>
        </w:tblPrEx>
        <w:trPr>
          <w:trHeight w:val="375"/>
        </w:trPr>
        <w:tc>
          <w:tcPr>
            <w:tcW w:w="237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041AFA" w:rsidRPr="008A3695" w:rsidP="00972E9B" w14:paraId="13D7A965" w14:textId="32055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4b. RWHAP Part B Supplemental HIV Care Consortia Administration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</w:tcPr>
          <w:p w:rsidR="00041AFA" w:rsidRPr="008A3695" w:rsidP="00972E9B" w14:paraId="538A42CF" w14:textId="7B545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041AFA" w:rsidRPr="008A3695" w:rsidP="00972E9B" w14:paraId="7A31E519" w14:textId="6C99DE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1AFA" w:rsidRPr="008A3695" w:rsidP="00972E9B" w14:paraId="672EF17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1AFA" w:rsidRPr="008A3695" w:rsidP="00972E9B" w14:paraId="0EF2F0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495F42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668623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CA3378F" w14:textId="124B154A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41AFA" w:rsidRPr="008A3695" w:rsidP="00972E9B" w14:paraId="418CBA67" w14:textId="44D1E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5. RWHAP Part B Supplemental State Direct Services</w:t>
            </w:r>
            <w:r w:rsidRPr="008A3695">
              <w:rPr>
                <w:rFonts w:ascii="Arial" w:eastAsia="Times New Roman" w:hAnsi="Arial" w:cs="Arial"/>
                <w:b/>
                <w:bCs/>
                <w:color w:val="FF6600"/>
                <w:sz w:val="20"/>
                <w:szCs w:val="24"/>
              </w:rPr>
              <w:t xml:space="preserve"> 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(Provide detail in Section B)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:rsidR="00041AFA" w:rsidRPr="008A3695" w:rsidP="00972E9B" w14:paraId="4ED7E66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41AFA" w:rsidRPr="008A3695" w:rsidP="00972E9B" w14:paraId="4BAF916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29690F6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3E80C2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657C72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72350E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CFF8431" w14:textId="1EC68777" w:rsidTr="00041AFA">
        <w:tblPrEx>
          <w:tblW w:w="6073" w:type="pct"/>
          <w:tblInd w:w="-720" w:type="dxa"/>
          <w:tblLayout w:type="fixed"/>
          <w:tblLook w:val="04A0"/>
        </w:tblPrEx>
        <w:trPr>
          <w:trHeight w:val="375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AFA" w:rsidRPr="008A3695" w:rsidP="00972E9B" w14:paraId="4C975A2A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6. RWHAP Part B Supplemental Clinical Quality Management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  <w:vertAlign w:val="superscript"/>
              </w:rPr>
              <w:t xml:space="preserve"> 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041AFA" w:rsidRPr="008A3695" w:rsidP="00972E9B" w14:paraId="656AE8C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41AFA" w:rsidRPr="008A3695" w:rsidP="00972E9B" w14:paraId="51710D3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791582B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4943E6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414791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71A9DC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1254A19" w14:textId="47BD0A02" w:rsidTr="00041AFA">
        <w:tblPrEx>
          <w:tblW w:w="6073" w:type="pct"/>
          <w:tblInd w:w="-720" w:type="dxa"/>
          <w:tblLayout w:type="fixed"/>
          <w:tblLook w:val="04A0"/>
        </w:tblPrEx>
        <w:trPr>
          <w:trHeight w:val="375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AFA" w:rsidRPr="008A3695" w:rsidP="00972E9B" w14:paraId="017F2113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7. RWHAP Part B Supplemental Recipient Planning &amp; Evaluation Activities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041AFA" w:rsidRPr="008A3695" w:rsidP="00972E9B" w14:paraId="05247E2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41AFA" w:rsidRPr="008A3695" w:rsidP="00972E9B" w14:paraId="6407F34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200E06E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552CC2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3A35B8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39E3D0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477C18D" w14:textId="0A564EE7" w:rsidTr="00041AFA">
        <w:tblPrEx>
          <w:tblW w:w="6073" w:type="pct"/>
          <w:tblInd w:w="-720" w:type="dxa"/>
          <w:tblLayout w:type="fixed"/>
          <w:tblLook w:val="04A0"/>
        </w:tblPrEx>
        <w:trPr>
          <w:trHeight w:val="39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1AFA" w:rsidRPr="008A3695" w:rsidP="00972E9B" w14:paraId="7E987F0A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8. Recipient Administration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CC"/>
            <w:hideMark/>
          </w:tcPr>
          <w:p w:rsidR="00041AFA" w:rsidRPr="008A3695" w:rsidP="00972E9B" w14:paraId="3B4E9A4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41AFA" w:rsidRPr="008A3695" w:rsidP="00972E9B" w14:paraId="51820C3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051C1D3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229A4C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2C1D9F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07894C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AC9CA47" w14:textId="0C8EA2E4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1AFA" w:rsidRPr="008A3695" w:rsidP="00972E9B" w14:paraId="5148E928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9. Total RWHAP Part B Supplemental Program Funding Amounts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:rsidR="00041AFA" w:rsidRPr="008A3695" w:rsidP="00972E9B" w14:paraId="7525807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041AFA" w:rsidRPr="008A3695" w:rsidP="00972E9B" w14:paraId="3ABD51E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0.00%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0BFB150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3A639E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570BB3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7703A1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8030ADA" w14:textId="685F3CD8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4A61D1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25A814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1AFA" w:rsidRPr="008A3695" w:rsidP="00972E9B" w14:paraId="3C1CBBF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1AFA" w:rsidRPr="008A3695" w:rsidP="00972E9B" w14:paraId="3563530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1AFA" w:rsidRPr="008A3695" w:rsidP="00972E9B" w14:paraId="3E75607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41AFA" w:rsidRPr="008A3695" w:rsidP="00972E9B" w14:paraId="28AE1E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41AFA" w:rsidRPr="008A3695" w:rsidP="00972E9B" w14:paraId="3AD6461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2696800A" w14:textId="77EC3D97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1AFA" w:rsidP="00972E9B" w14:paraId="08CBF70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 </w:t>
            </w:r>
          </w:p>
          <w:p w:rsidR="00041AFA" w:rsidP="00972E9B" w14:paraId="4F7CAEAA" w14:textId="0911B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:rsidR="00041AFA" w:rsidP="00972E9B" w14:paraId="085665A7" w14:textId="7028F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:rsidR="00041AFA" w:rsidRPr="008A3695" w:rsidP="00972E9B" w14:paraId="67C42190" w14:textId="13D0E2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1AFA" w:rsidRPr="008A3695" w:rsidP="00972E9B" w14:paraId="6A487F6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1AFA" w:rsidRPr="008A3695" w:rsidP="00972E9B" w14:paraId="7A4BA5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1AFA" w:rsidRPr="008A3695" w:rsidP="00972E9B" w14:paraId="432927F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1AFA" w:rsidRPr="008A3695" w:rsidP="00972E9B" w14:paraId="1CEF623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41AFA" w:rsidRPr="008A3695" w:rsidP="00972E9B" w14:paraId="3D03B5A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41AFA" w:rsidP="00972E9B" w14:paraId="3C35FBE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:rsidR="00AE03EB" w:rsidP="00972E9B" w14:paraId="49088DA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:rsidR="00AE03EB" w:rsidP="00972E9B" w14:paraId="0212283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:rsidR="00AE03EB" w:rsidP="00972E9B" w14:paraId="493E2E5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:rsidR="00AE03EB" w:rsidRPr="008A3695" w:rsidP="00972E9B" w14:paraId="525D965F" w14:textId="0D9C8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14:paraId="53EEB059" w14:textId="207FC9DB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41AFA" w:rsidRPr="008A3695" w:rsidP="00972E9B" w14:paraId="76BAC6BD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Section B: Breakdown for Consortia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and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State Direct Services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Final Funding</w:t>
            </w:r>
          </w:p>
        </w:tc>
        <w:tc>
          <w:tcPr>
            <w:tcW w:w="88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041AFA" w:rsidRPr="008A3695" w:rsidP="00972E9B" w14:paraId="766728F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Consortia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87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hideMark/>
          </w:tcPr>
          <w:p w:rsidR="00041AFA" w:rsidRPr="008A3695" w:rsidP="00972E9B" w14:paraId="6E9B393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Direct Services</w:t>
            </w:r>
          </w:p>
        </w:tc>
        <w:tc>
          <w:tcPr>
            <w:tcW w:w="8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</w:tcPr>
          <w:p w:rsidR="00041AFA" w:rsidRPr="008A3695" w:rsidP="00972E9B" w14:paraId="13C97680" w14:textId="62204C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Combined Total</w:t>
            </w:r>
          </w:p>
        </w:tc>
      </w:tr>
      <w:tr w14:paraId="3B42B0F7" w14:textId="110FCD65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23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AFA" w:rsidRPr="008A3695" w:rsidP="00972E9B" w14:paraId="06F0172F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hideMark/>
          </w:tcPr>
          <w:p w:rsidR="00041AFA" w:rsidRPr="008A3695" w:rsidP="00972E9B" w14:paraId="43B6192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Amount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hideMark/>
          </w:tcPr>
          <w:p w:rsidR="00041AFA" w:rsidRPr="008A3695" w:rsidP="00972E9B" w14:paraId="3BF0A88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Percent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hideMark/>
          </w:tcPr>
          <w:p w:rsidR="00041AFA" w:rsidRPr="008A3695" w:rsidP="00972E9B" w14:paraId="1A7EA42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Amount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hideMark/>
          </w:tcPr>
          <w:p w:rsidR="00041AFA" w:rsidRPr="008A3695" w:rsidP="00972E9B" w14:paraId="076B525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Percent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</w:tcPr>
          <w:p w:rsidR="00041AFA" w:rsidRPr="008A3695" w:rsidP="00972E9B" w14:paraId="264762F3" w14:textId="1132B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Amount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</w:tcPr>
          <w:p w:rsidR="00041AFA" w:rsidRPr="008A3695" w:rsidP="0075165D" w14:paraId="1BABD427" w14:textId="5F83B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Percent</w:t>
            </w:r>
          </w:p>
        </w:tc>
      </w:tr>
      <w:tr w14:paraId="1D952967" w14:textId="6A245737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088BDA03" w14:textId="70501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1. Core Medical Services Sub-total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7837563D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7DF4685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2454513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:rsidR="00041AFA" w:rsidRPr="008A3695" w:rsidP="00972E9B" w14:paraId="51BB681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</w:tcPr>
          <w:p w:rsidR="00041AFA" w:rsidRPr="008A3695" w:rsidP="00972E9B" w14:paraId="0F32D33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</w:tcPr>
          <w:p w:rsidR="00041AFA" w:rsidRPr="008A3695" w:rsidP="00972E9B" w14:paraId="2BDCBC1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14:paraId="15B50CD8" w14:textId="1156398D" w:rsidTr="00CB5199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7E620F3C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a. AIDS Drug Assistance Program (ADAP) Treatments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12EF613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047059F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1AFA" w:rsidRPr="008A3695" w:rsidP="00972E9B" w14:paraId="6537FEF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041AFA" w:rsidRPr="008A3695" w:rsidP="00972E9B" w14:paraId="303C55D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1AFA" w:rsidRPr="008A3695" w:rsidP="00972E9B" w14:paraId="33EAA10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1AFA" w:rsidRPr="008A3695" w:rsidP="00972E9B" w14:paraId="4B2F617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31C9478B" w14:textId="457B62AB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5DBA6CBF" w14:textId="6BEF4A89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b. AIDS Pharmaceutical Assistance 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(LPAP)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53EAB0A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6D87EBA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12676E1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24F6F95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41AFA" w:rsidRPr="008A3695" w:rsidP="00972E9B" w14:paraId="29850B9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41AFA" w:rsidRPr="008A3695" w:rsidP="00972E9B" w14:paraId="7019A48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4B217853" w14:textId="34663B14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11CA6269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c. Early Intervention Services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1C2E117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2E61BCD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7696EC3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16F1890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50F53C1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6B101A2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69C31F80" w14:textId="5CF34E92" w:rsidTr="00CB5199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99" w:rsidRPr="008A3695" w:rsidP="00CB5199" w14:paraId="5E11F240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d. Health Insurance Premium &amp; Cost Sharing Assistance 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for Low Income Individuals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B5199" w:rsidRPr="008A3695" w:rsidP="00CB5199" w14:paraId="718762E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B5199" w:rsidRPr="008A3695" w:rsidP="00CB5199" w14:paraId="71E9459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B5199" w:rsidRPr="008A3695" w:rsidP="00CB5199" w14:paraId="1D1F11B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CB5199" w:rsidRPr="008A3695" w:rsidP="00CB5199" w14:paraId="4BF74FF4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5199" w:rsidRPr="008A3695" w:rsidP="00CB5199" w14:paraId="7D1A22D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5199" w:rsidRPr="008A3695" w:rsidP="00CB5199" w14:paraId="6EB83A5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46328751" w14:textId="77603999" w:rsidTr="00CB5199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99" w:rsidRPr="008A3695" w:rsidP="00CB5199" w14:paraId="7D9C65DC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e. Home and Community-based Health Services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B5199" w:rsidRPr="008A3695" w:rsidP="00CB5199" w14:paraId="73FCAC7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B5199" w:rsidRPr="008A3695" w:rsidP="00CB5199" w14:paraId="3F725C7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B5199" w:rsidRPr="008A3695" w:rsidP="00CB5199" w14:paraId="2152942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CB5199" w:rsidRPr="008A3695" w:rsidP="00CB5199" w14:paraId="780A823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5199" w:rsidRPr="008A3695" w:rsidP="00CB5199" w14:paraId="418E952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5199" w:rsidRPr="008A3695" w:rsidP="00CB5199" w14:paraId="15FCA24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539D96AF" w14:textId="6BD946D7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1B7E1AB3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f. Home Health Care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4FD30A8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6E48FF5D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017996D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309B5F2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097F8B7D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7D16E4B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09BD58E6" w14:textId="5534005F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5FAA9C2A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g. Hospice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2F35DEA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40ABC65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18E50CB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26258DC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46FF16E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431D6B7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0C56B748" w14:textId="4F39A7C2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40083337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h. Medical Case Management (including Treatment Adherence Services)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15A19FA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74764E8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79AFD68D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69C6D7E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71E592A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0F38981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3DF4A865" w14:textId="0C5245F4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75C1F542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i. Medical Nutrition Therapy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2CEAD65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482DC11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1E546D8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27FA073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4B5252C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303F159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07FAE9F8" w14:textId="7410C9D3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6DED007B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j. Mental Health Services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38386E1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67E32D8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1157A74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6ABA4BCD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431B8F8D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135EDD4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699D6BDF" w14:textId="756E347D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3FEE7130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k. Oral Health Care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39790AB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739CE4D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6505296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1212784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1FE0A71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08778ED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5533B6D8" w14:textId="1B2F3A0E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574044AB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l. Outpatient /Ambulatory Health Services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57973B3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5FC7D12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0FAF77A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598EC54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7DD2DF3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1DCAEAD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08D630D3" w14:textId="74F5EE78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3BFA6C30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m. Substance Abuse Outpatient Care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1115409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775C6BF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2FA71E5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394435F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19CA6AA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056B5D1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719A644D" w14:textId="6C345E31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1C1BD310" w14:textId="4C3C1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2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. Support Services Sub-total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727CE06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3BBAD11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08F39C2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C0C0C0"/>
            <w:hideMark/>
          </w:tcPr>
          <w:p w:rsidR="00041AFA" w:rsidRPr="008A3695" w:rsidP="00972E9B" w14:paraId="04BA13E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C0C0C0"/>
          </w:tcPr>
          <w:p w:rsidR="00041AFA" w:rsidRPr="008A3695" w:rsidP="00972E9B" w14:paraId="300E61C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C0C0C0"/>
          </w:tcPr>
          <w:p w:rsidR="00041AFA" w:rsidRPr="008A3695" w:rsidP="00972E9B" w14:paraId="32C90EF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14:paraId="17AD74A0" w14:textId="4D370ACF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4B06C094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a. Child Care Services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5D16C91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4E2DD46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4F39FA6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7E477DA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53A67EF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3560BD64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5A82E196" w14:textId="3E730E8E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745FCDB4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b. Emergency Financial Assistance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1A63595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70674E9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464018C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2404782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5F02295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70F8BA9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0AB25AE9" w14:textId="13752030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6A151AC5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c. Food Bank/Home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</w:t>
            </w: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Delivered Meals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46B0EB4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0C3E07D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42BF73C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45CAA89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0F60986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07C3350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3A7A7A05" w14:textId="4135B3AD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77565D01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d. Health Education/Risk Reduction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473AF0B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3B307D8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4E4DA6D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1405B84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443ACD5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1EE34B4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7E080059" w14:textId="69F3D68A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07A7D495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e. Housing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4C93058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3F48357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5037976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7FB92D3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4A7A526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51B85DA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3A2D6219" w14:textId="003A453E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14025C3B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f. Linguistics Services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39990DB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3FAEF30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35AD2D94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4FBA53C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567EFAF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606FC734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685DBD78" w14:textId="08275930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7A191A44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g. Medical Transportation Services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3011A3F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2FCBAE3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33E7675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4F7576D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689536E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3F689CD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2BF1BE4C" w14:textId="259415FB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6F3AA5D8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h. Non-Medical Case Management Services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37F935F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6E98578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6562366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03CEB49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3D1BF66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74C7C9E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4AF85533" w14:textId="459498EB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741E361C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i. Other Professional Services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460EBB7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3E3AC8A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702FA0C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6E36E4E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70BB419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5ACF3B7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0C06E490" w14:textId="3159FE26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33E952EE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j. Outreach Services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191F404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5EF229D4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0B3B86C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05AE553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6477BB8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60627EC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4E9C1BAD" w14:textId="3747AB8D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7F7B1EC8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k. Psychosocial Support Services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3158E0E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39B80C4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64BADE6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6FF2BF2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538D1D5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67AC23C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7663832F" w14:textId="09A80A00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55DE93E3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l. Referral for Health Care and Support Services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56DC55B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5DD116A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3960232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3832228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0E9455B4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6BA8A61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0AA2BD8C" w14:textId="60383A77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62ACA2B9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m. Rehabilitation Services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13EB8EC4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4ED0BCD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38E92A1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6400B814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6827CFC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5A5A07DD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18A4B14E" w14:textId="15DC10B8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204E5504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n. Respite Care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782033E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0674CAC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49946A2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5DB8E13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367A246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06D3812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24BE95B2" w14:textId="3A59AF04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0132CB44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o. Substance Abuse Services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(Residential)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14AC9F9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3D72F39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7DF7D2BD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275C8DF4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1D9BF96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03BBD32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2341D2D7" w14:textId="160CEB77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2375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3E818F27" w14:textId="38617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3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.  Total Funding Amounts</w:t>
            </w:r>
          </w:p>
        </w:tc>
        <w:tc>
          <w:tcPr>
            <w:tcW w:w="444" w:type="pct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0B5D9B9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436" w:type="pct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2125DFB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4503773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438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041AFA" w:rsidRPr="008A3695" w:rsidP="00972E9B" w14:paraId="31018B1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041AFA" w:rsidRPr="008A3695" w:rsidP="00972E9B" w14:paraId="08B1E88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041AFA" w:rsidRPr="008A3695" w:rsidP="00972E9B" w14:paraId="2C327B0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14:paraId="05970FE3" w14:textId="5FD58D86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2F4241A5" w14:textId="0AAEB8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ab/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1BDD31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0FD338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352220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793872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1EA343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7862FA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5462E1F" w14:textId="228B9928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41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41AFA" w:rsidRPr="008A3695" w:rsidP="00972E9B" w14:paraId="0F492CBE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(1) May not exceed 5% of the FY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XXXX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RWHAP Part B Supplemental Program award, or $3 million, whichever amount is smaller.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41AFA" w:rsidRPr="008A3695" w:rsidP="00972E9B" w14:paraId="607F6008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41AFA" w:rsidRPr="008A3695" w:rsidP="00972E9B" w14:paraId="1193FE35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14:paraId="4BF1DF2C" w14:textId="54E812B9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41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41AFA" w:rsidRPr="008A3695" w:rsidP="00972E9B" w14:paraId="70641E78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(2) May not use more than 10% of the FY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XXXX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RWHAP Part B Supplemental Program award for either Planning and Evaluation or Recipient 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Administration;  additionally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, the combined costs for these two categories may not exceed 15% of the FY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XXXX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RWHAP Part B Supplemental award.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41AFA" w:rsidRPr="008A3695" w:rsidP="00972E9B" w14:paraId="66233459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41AFA" w:rsidRPr="008A3695" w:rsidP="00972E9B" w14:paraId="6F9C1ECF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14:paraId="6A05F7DF" w14:textId="78947D40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4128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41AFA" w:rsidRPr="008A3695" w:rsidP="00972E9B" w14:paraId="190B854F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(3) All services in this column 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are considered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Support Services.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41AFA" w:rsidRPr="008A3695" w:rsidP="00972E9B" w14:paraId="7395F104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41AFA" w:rsidRPr="008A3695" w:rsidP="00972E9B" w14:paraId="5A4C0E87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</w:tbl>
    <w:p w:rsidR="00BB733C" w14:paraId="2CC8A924" w14:textId="4740021A"/>
    <w:p w:rsidR="00931BE0" w:rsidP="3D10A330" w14:paraId="7D9D7396" w14:textId="1655ED06">
      <w:pPr>
        <w:suppressLineNumbers w:val="0"/>
        <w:bidi w:val="0"/>
        <w:spacing w:before="0" w:beforeAutospacing="0" w:after="160" w:afterAutospacing="0" w:line="259" w:lineRule="auto"/>
        <w:ind w:left="0" w:right="0"/>
        <w:jc w:val="left"/>
      </w:pPr>
      <w:r>
        <w:br w:type="column"/>
      </w:r>
      <w:r w:rsidRPr="3D10A330">
        <w:rPr>
          <w:b/>
          <w:bCs/>
        </w:rPr>
        <w:t>Public Burden Statement</w:t>
      </w:r>
      <w:r>
        <w:t xml:space="preserve">:  </w:t>
      </w:r>
      <w:r>
        <w:t xml:space="preserve">The purpose of this data collection system is to collect allocations information </w:t>
      </w:r>
      <w:r>
        <w:t>regarding</w:t>
      </w:r>
      <w:r>
        <w:t xml:space="preserve"> Ryan White HIV/AIDS Program (RWHAP) Parts A, B, C, D grant funding.  HAB will use these data to show the impact of RWHAP funding on the care and treatment of people with HIV in the United States</w:t>
      </w:r>
      <w:r>
        <w:t xml:space="preserve">.  </w:t>
      </w:r>
      <w:r>
        <w:t xml:space="preserve">An agency may not conduct or sponsor, and a person </w:t>
      </w:r>
      <w:r>
        <w:t>is not required</w:t>
      </w:r>
      <w:r>
        <w:t xml:space="preserve"> to</w:t>
      </w:r>
      <w:r>
        <w:t xml:space="preserve"> respond to, a collection of information unless it displays a currently valid OMB control number</w:t>
      </w:r>
      <w:r>
        <w:t xml:space="preserve">.  </w:t>
      </w:r>
      <w:r>
        <w:t>The OMB control number for this information collection is 0915-0318 and it is valid until 4/30/2026</w:t>
      </w:r>
      <w:r>
        <w:t xml:space="preserve">.  </w:t>
      </w:r>
      <w:r>
        <w:t>This information collection is mandatory (through increased Authority under the Public Health Service Act, Section 311(c) (42 USC 243(c)</w:t>
      </w:r>
      <w:r>
        <w:t>)</w:t>
      </w:r>
      <w:r>
        <w:t xml:space="preserve"> and title XXVI (42 U.S.C. §§ 300ff-11 et seq.)</w:t>
      </w:r>
      <w:r>
        <w:t xml:space="preserve">.  </w:t>
      </w:r>
      <w:r>
        <w:t xml:space="preserve">Public reporting burden for this collection of information </w:t>
      </w:r>
      <w:r>
        <w:t>is estimated</w:t>
      </w:r>
      <w:r>
        <w:t xml:space="preserve"> to average </w:t>
      </w:r>
      <w:r>
        <w:t>6</w:t>
      </w:r>
      <w:r>
        <w:t xml:space="preserve"> hours per response, including the time for reviewing instructions, searching existing data sources, and completing and reviewing the collection of information</w:t>
      </w:r>
      <w:r>
        <w:t xml:space="preserve">.  </w:t>
      </w:r>
      <w:r>
        <w:t xml:space="preserve">Send comments </w:t>
      </w:r>
      <w:r>
        <w:t>regarding</w:t>
      </w:r>
      <w:r>
        <w:t xml:space="preserve"> this burden estimate or any other aspect of this collection of information, including suggestions for reducing this burden, to HRSA Reports Clearance Officer, 5600 Fishers Lane, Room </w:t>
      </w:r>
      <w:r w:rsidR="27360750">
        <w:t>13N82</w:t>
      </w:r>
      <w:r>
        <w:t>, Rockville, Maryland, 20857 or paperwork@hrsa.gov</w:t>
      </w:r>
      <w:r>
        <w:t>.</w:t>
      </w:r>
    </w:p>
    <w:sectPr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0" w:type="auto"/>
      <w:tblLook w:val="06A0"/>
    </w:tblPr>
    <w:tblGrid>
      <w:gridCol w:w="3120"/>
      <w:gridCol w:w="3120"/>
      <w:gridCol w:w="3120"/>
    </w:tblGrid>
    <w:tr w14:paraId="13ACFEC2" w:rsidTr="3D10A330">
      <w:tblPrEx>
        <w:tblW w:w="0" w:type="auto"/>
        <w:tblLook w:val="06A0"/>
      </w:tblPrEx>
      <w:trPr>
        <w:trHeight w:val="300"/>
      </w:trPr>
      <w:tc>
        <w:tcPr>
          <w:tcW w:w="3120" w:type="dxa"/>
        </w:tcPr>
        <w:p w:rsidR="3D10A330" w:rsidP="3D10A330" w14:paraId="3EDB83E6" w14:textId="32891CE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</w:tcPr>
        <w:p w:rsidR="3D10A330" w:rsidP="3D10A330" w14:paraId="7AA03D96" w14:textId="278C388D">
          <w:pPr>
            <w:pStyle w:val="Header"/>
            <w:bidi w:val="0"/>
            <w:jc w:val="center"/>
          </w:pPr>
        </w:p>
      </w:tc>
      <w:tc>
        <w:tcPr>
          <w:tcW w:w="3120" w:type="dxa"/>
        </w:tcPr>
        <w:p w:rsidR="3D10A330" w:rsidP="3D10A330" w14:paraId="66F62F8F" w14:textId="5EAD557D">
          <w:pPr>
            <w:pStyle w:val="Header"/>
            <w:bidi w:val="0"/>
            <w:ind w:right="-115"/>
            <w:jc w:val="right"/>
          </w:pPr>
        </w:p>
      </w:tc>
    </w:tr>
  </w:tbl>
  <w:p w:rsidR="3D10A330" w:rsidP="3D10A330" w14:paraId="72F1F0BD" w14:textId="335D04E7">
    <w:pPr>
      <w:pStyle w:val="Footer"/>
      <w:bidi w:val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ABA" w:rsidP="00F86ABA" w14:paraId="7D1D3F4A" w14:textId="4A1FFA7C">
    <w:pPr>
      <w:pStyle w:val="Header"/>
      <w:jc w:val="right"/>
    </w:pPr>
    <w:r w:rsidR="3D10A330">
      <w:t>OMB # 0915-</w:t>
    </w:r>
    <w:r w:rsidR="3D10A330">
      <w:t>0318</w:t>
    </w:r>
    <w:r w:rsidR="3D10A330">
      <w:t>, Expiration 0</w:t>
    </w:r>
    <w:r w:rsidR="3D10A330">
      <w:t>4/30</w:t>
    </w:r>
    <w:r w:rsidR="3D10A330">
      <w:t>/202</w:t>
    </w:r>
    <w:r w:rsidR="3D10A330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10"/>
    <w:rsid w:val="00003C72"/>
    <w:rsid w:val="00041AFA"/>
    <w:rsid w:val="00130AF3"/>
    <w:rsid w:val="001346A5"/>
    <w:rsid w:val="001546F0"/>
    <w:rsid w:val="00155454"/>
    <w:rsid w:val="00162CB4"/>
    <w:rsid w:val="00171E65"/>
    <w:rsid w:val="00293F69"/>
    <w:rsid w:val="002B3692"/>
    <w:rsid w:val="00401AD9"/>
    <w:rsid w:val="00406A4A"/>
    <w:rsid w:val="00411070"/>
    <w:rsid w:val="004544DA"/>
    <w:rsid w:val="004551AD"/>
    <w:rsid w:val="004659E5"/>
    <w:rsid w:val="00485D12"/>
    <w:rsid w:val="004C0E75"/>
    <w:rsid w:val="00534461"/>
    <w:rsid w:val="005868FE"/>
    <w:rsid w:val="005D2CFC"/>
    <w:rsid w:val="005D73FC"/>
    <w:rsid w:val="006E0CBF"/>
    <w:rsid w:val="006F0C05"/>
    <w:rsid w:val="00713E3C"/>
    <w:rsid w:val="0075165D"/>
    <w:rsid w:val="0076269B"/>
    <w:rsid w:val="00763E10"/>
    <w:rsid w:val="007C40A4"/>
    <w:rsid w:val="008143CF"/>
    <w:rsid w:val="00845A62"/>
    <w:rsid w:val="008565DB"/>
    <w:rsid w:val="008A3695"/>
    <w:rsid w:val="008C1513"/>
    <w:rsid w:val="008E5374"/>
    <w:rsid w:val="00931BE0"/>
    <w:rsid w:val="00972E9B"/>
    <w:rsid w:val="009A3B9C"/>
    <w:rsid w:val="00A56D9E"/>
    <w:rsid w:val="00AB31EC"/>
    <w:rsid w:val="00AE03EB"/>
    <w:rsid w:val="00B10273"/>
    <w:rsid w:val="00B77CBD"/>
    <w:rsid w:val="00B87CD9"/>
    <w:rsid w:val="00BB733C"/>
    <w:rsid w:val="00C04C04"/>
    <w:rsid w:val="00C10F62"/>
    <w:rsid w:val="00CB5199"/>
    <w:rsid w:val="00D74D06"/>
    <w:rsid w:val="00DA0B10"/>
    <w:rsid w:val="00DA4DCB"/>
    <w:rsid w:val="00DC6AB5"/>
    <w:rsid w:val="00E431EB"/>
    <w:rsid w:val="00E464C2"/>
    <w:rsid w:val="00E9390D"/>
    <w:rsid w:val="00F42EA8"/>
    <w:rsid w:val="00F80F72"/>
    <w:rsid w:val="00F86ABA"/>
    <w:rsid w:val="00FA6A3A"/>
    <w:rsid w:val="00FB11C0"/>
    <w:rsid w:val="21B6B3E8"/>
    <w:rsid w:val="27360750"/>
    <w:rsid w:val="3D10A330"/>
  </w:rsids>
  <w:docVars>
    <w:docVar w:name="__Grammarly_42___1" w:val="H4sIAAAAAAAEAKtWcslP9kxRslIyNDYyM7I0NLcwN7QwtDQxsDBU0lEKTi0uzszPAymwqAUA9wZUM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02471A"/>
  <w15:chartTrackingRefBased/>
  <w15:docId w15:val="{F929F6A9-677D-4C49-84C5-7BF1E34C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C15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5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5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5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51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E0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939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6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ABA"/>
  </w:style>
  <w:style w:type="paragraph" w:styleId="Footer">
    <w:name w:val="footer"/>
    <w:basedOn w:val="Normal"/>
    <w:link w:val="FooterChar"/>
    <w:uiPriority w:val="99"/>
    <w:unhideWhenUsed/>
    <w:rsid w:val="00F86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AB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AEActionNeeded xmlns="67db86a1-9af1-43d3-bfc7-627a4d2f08a0">true</OPAEActionNeeded>
    <ActionNeeded xmlns="67db86a1-9af1-43d3-bfc7-627a4d2f08a0" xsi:nil="true"/>
    <Notes xmlns="67db86a1-9af1-43d3-bfc7-627a4d2f08a0" xsi:nil="true"/>
    <Priority xmlns="67db86a1-9af1-43d3-bfc7-627a4d2f08a0" xsi:nil="true"/>
    <CurrentReviewer xmlns="67db86a1-9af1-43d3-bfc7-627a4d2f08a0">
      <UserInfo>
        <DisplayName/>
        <AccountId xsi:nil="true"/>
        <AccountType/>
      </UserInfo>
    </CurrentReviewer>
    <_dlc_DocId xmlns="68c2e6f3-6ea4-42c3-835e-44e49d8f3a1e">YEJUMFDJ6KMC-483555117-47901</_dlc_DocId>
    <_dlc_DocIdUrl xmlns="68c2e6f3-6ea4-42c3-835e-44e49d8f3a1e">
      <Url>https://nih.sharepoint.com/sites/HRSA-OA-OPAE/Teams/officeofexternalengagement/_layouts/15/DocIdRedir.aspx?ID=YEJUMFDJ6KMC-483555117-47901</Url>
      <Description>YEJUMFDJ6KMC-483555117-47901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7B7FA2AFEB499C29ED11FCDA9ADA" ma:contentTypeVersion="19" ma:contentTypeDescription="Create a new document." ma:contentTypeScope="" ma:versionID="62331714fc3ef69f901577649c866b28">
  <xsd:schema xmlns:xsd="http://www.w3.org/2001/XMLSchema" xmlns:xs="http://www.w3.org/2001/XMLSchema" xmlns:p="http://schemas.microsoft.com/office/2006/metadata/properties" xmlns:ns2="68c2e6f3-6ea4-42c3-835e-44e49d8f3a1e" xmlns:ns3="67db86a1-9af1-43d3-bfc7-627a4d2f08a0" targetNamespace="http://schemas.microsoft.com/office/2006/metadata/properties" ma:root="true" ma:fieldsID="fa7e9ea6cec6845c6c4108670de20676" ns2:_="" ns3:_="">
    <xsd:import namespace="68c2e6f3-6ea4-42c3-835e-44e49d8f3a1e"/>
    <xsd:import namespace="67db86a1-9af1-43d3-bfc7-627a4d2f08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iority" minOccurs="0"/>
                <xsd:element ref="ns3:CurrentReviewer" minOccurs="0"/>
                <xsd:element ref="ns3:Notes" minOccurs="0"/>
                <xsd:element ref="ns3:OPAEActionNeeded" minOccurs="0"/>
                <xsd:element ref="ns3:ActionNee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86a1-9af1-43d3-bfc7-627a4d2f08a0" elementFormDefault="qualified">
    <xsd:import namespace="http://schemas.microsoft.com/office/2006/documentManagement/types"/>
    <xsd:import namespace="http://schemas.microsoft.com/office/infopath/2007/PartnerControls"/>
    <xsd:element name="Priority" ma:index="11" nillable="true" ma:displayName="Priority" ma:format="Dropdown" ma:internalName="Priority">
      <xsd:simpleType>
        <xsd:restriction base="dms:Choice">
          <xsd:enumeration value="High"/>
          <xsd:enumeration value="Medium"/>
          <xsd:enumeration value="Low"/>
          <xsd:enumeration value="Not Under Review"/>
        </xsd:restriction>
      </xsd:simpleType>
    </xsd:element>
    <xsd:element name="CurrentReviewer" ma:index="12" nillable="true" ma:displayName="Current Reviewer" ma:format="Dropdown" ma:indexed="true" ma:list="UserInfo" ma:SharePointGroup="0" ma:internalName="Current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OPAEActionNeeded" ma:index="14" nillable="true" ma:displayName="OPAE Action Needed" ma:default="1" ma:format="Dropdown" ma:internalName="OPAEActionNeeded">
      <xsd:simpleType>
        <xsd:restriction base="dms:Boolean"/>
      </xsd:simpleType>
    </xsd:element>
    <xsd:element name="ActionNeeded" ma:index="15" nillable="true" ma:displayName="Action Needed" ma:format="Dropdown" ma:internalName="ActionNeeded">
      <xsd:simpleType>
        <xsd:restriction base="dms:Choice">
          <xsd:enumeration value="Yes - Drafting"/>
          <xsd:enumeration value="Yes - Initial Review"/>
          <xsd:enumeration value="Yes - Second Review"/>
          <xsd:enumeration value="Yes - Ready for Sam"/>
          <xsd:enumeration value="Yes - With Sam"/>
          <xsd:enumeration value="Yes - Ready for B/O Revision"/>
          <xsd:enumeration value="Yes - Ready for OMB"/>
          <xsd:enumeration value="Yes - Notify B/O re comment period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0EED0-5752-4008-9750-8EE248424790}">
  <ds:schemaRefs/>
</ds:datastoreItem>
</file>

<file path=customXml/itemProps2.xml><?xml version="1.0" encoding="utf-8"?>
<ds:datastoreItem xmlns:ds="http://schemas.openxmlformats.org/officeDocument/2006/customXml" ds:itemID="{924BD669-D416-4102-A77E-D130B5F7E76F}">
  <ds:schemaRefs/>
</ds:datastoreItem>
</file>

<file path=customXml/itemProps3.xml><?xml version="1.0" encoding="utf-8"?>
<ds:datastoreItem xmlns:ds="http://schemas.openxmlformats.org/officeDocument/2006/customXml" ds:itemID="{744F7630-7B9F-42B3-8EBF-351AB488E264}">
  <ds:schemaRefs/>
</ds:datastoreItem>
</file>

<file path=customXml/itemProps4.xml><?xml version="1.0" encoding="utf-8"?>
<ds:datastoreItem xmlns:ds="http://schemas.openxmlformats.org/officeDocument/2006/customXml" ds:itemID="{5541E955-1D2D-4CBF-9DA6-AE8B7F4862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HRSA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Cohen, Stacy (HRSA)</dc:creator>
  <cp:lastModifiedBy>Cooper, Laura (HRSA)</cp:lastModifiedBy>
  <cp:revision>9</cp:revision>
  <dcterms:created xsi:type="dcterms:W3CDTF">2021-05-12T12:39:00Z</dcterms:created>
  <dcterms:modified xsi:type="dcterms:W3CDTF">2026-02-27T16:07:38Z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0x01010095FF7B7FA2AFEB499C29ED11FCDA9ADA</vt:lpwstr>
  </property>
  <property fmtid="{D5CDD505-2E9C-101B-9397-08002B2CF9AE}" pid="4" name="Order">
    <vt:r8>100</vt:r8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dlc_DocIdItemGuid">
    <vt:lpwstr>6cb63f40-0461-4781-a8eb-6f208cfdc0a5</vt:lpwstr>
  </property>
  <property fmtid="{D5CDD505-2E9C-101B-9397-08002B2CF9AE}" pid="10" name="_ExtendedDescription">
    <vt:lpwstr/>
  </property>
  <property fmtid="{D5CDD505-2E9C-101B-9397-08002B2CF9AE}" pid="11" name="_SharedFileIndex">
    <vt:lpwstr/>
  </property>
  <property fmtid="{D5CDD505-2E9C-101B-9397-08002B2CF9AE}" pid="12" name="_SourceUrl">
    <vt:lpwstr/>
  </property>
</Properties>
</file>