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colors1.xml" ContentType="application/vnd.ms-office.chartcolorstyle+xml"/>
  <Override PartName="/word/charts/chart/style1.xml" ContentType="application/vnd.ms-office.chartstyle+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57282" w:rsidRPr="00D73DE4" w:rsidP="003A3554" w14:paraId="33E9E892" w14:textId="54525A9E">
      <w:pPr>
        <w:widowControl/>
        <w:jc w:val="center"/>
        <w:rPr>
          <w:rFonts w:cs="Arial"/>
          <w:b/>
          <w:i/>
          <w:sz w:val="44"/>
          <w:szCs w:val="44"/>
        </w:rPr>
      </w:pPr>
      <w:r w:rsidRPr="00D73DE4">
        <w:rPr>
          <w:rFonts w:cs="Arial"/>
          <w:b/>
          <w:i/>
          <w:sz w:val="44"/>
          <w:szCs w:val="44"/>
        </w:rPr>
        <w:t xml:space="preserve">Attachment </w:t>
      </w:r>
      <w:r w:rsidRPr="00D73DE4" w:rsidR="00807136">
        <w:rPr>
          <w:rFonts w:cs="Arial"/>
          <w:b/>
          <w:i/>
          <w:sz w:val="44"/>
          <w:szCs w:val="44"/>
        </w:rPr>
        <w:t>10</w:t>
      </w:r>
    </w:p>
    <w:p w:rsidR="00957282" w:rsidRPr="00942A86" w:rsidP="003A3554" w14:paraId="2F8BFD7C" w14:textId="77777777">
      <w:pPr>
        <w:widowControl/>
        <w:jc w:val="center"/>
        <w:rPr>
          <w:rFonts w:cs="Arial"/>
          <w:b/>
          <w:sz w:val="44"/>
          <w:szCs w:val="44"/>
        </w:rPr>
      </w:pPr>
    </w:p>
    <w:p w:rsidR="00957282" w:rsidRPr="00D73DE4" w:rsidP="003A3554" w14:paraId="28884CB9" w14:textId="77777777">
      <w:pPr>
        <w:widowControl/>
        <w:jc w:val="center"/>
        <w:rPr>
          <w:rFonts w:cs="Arial"/>
          <w:b/>
          <w:i/>
          <w:sz w:val="36"/>
          <w:szCs w:val="36"/>
        </w:rPr>
        <w:sectPr w:rsidSect="00957282">
          <w:footerReference w:type="even" r:id="rId8"/>
          <w:footerReference w:type="default" r:id="rId9"/>
          <w:footerReference w:type="first" r:id="rId10"/>
          <w:pgSz w:w="12240" w:h="15840" w:code="1"/>
          <w:pgMar w:top="1440" w:right="1800" w:bottom="1440" w:left="1800" w:header="720" w:footer="720" w:gutter="0"/>
          <w:cols w:space="720"/>
          <w:docGrid w:linePitch="360"/>
        </w:sectPr>
      </w:pPr>
      <w:r w:rsidRPr="00D73DE4">
        <w:rPr>
          <w:rFonts w:cs="Arial"/>
          <w:b/>
          <w:i/>
          <w:sz w:val="36"/>
          <w:szCs w:val="36"/>
        </w:rPr>
        <w:t>NHANES History</w:t>
      </w:r>
    </w:p>
    <w:p w:rsidR="00957282" w:rsidRPr="00746C71" w:rsidP="003A3554" w14:paraId="0FF42469" w14:textId="0A742B5A">
      <w:pPr>
        <w:widowControl/>
        <w:spacing w:after="240"/>
        <w:jc w:val="center"/>
        <w:outlineLvl w:val="1"/>
        <w:rPr>
          <w:rFonts w:cs="Arial"/>
          <w:color w:val="000000"/>
          <w:szCs w:val="22"/>
        </w:rPr>
      </w:pPr>
      <w:r>
        <w:rPr>
          <w:rFonts w:cs="Arial"/>
          <w:b/>
          <w:bCs/>
          <w:color w:val="000000"/>
          <w:szCs w:val="22"/>
        </w:rPr>
        <w:t xml:space="preserve">Attachment </w:t>
      </w:r>
      <w:r>
        <w:rPr>
          <w:rFonts w:cs="Arial"/>
          <w:b/>
          <w:bCs/>
          <w:color w:val="000000"/>
          <w:szCs w:val="22"/>
        </w:rPr>
        <w:t>#</w:t>
      </w:r>
      <w:r w:rsidR="00807136">
        <w:rPr>
          <w:rFonts w:cs="Arial"/>
          <w:b/>
          <w:bCs/>
          <w:color w:val="000000"/>
          <w:szCs w:val="22"/>
        </w:rPr>
        <w:t>10</w:t>
      </w:r>
      <w:r w:rsidR="00C16F6E">
        <w:rPr>
          <w:rFonts w:cs="Arial"/>
          <w:b/>
          <w:bCs/>
          <w:color w:val="000000"/>
          <w:szCs w:val="22"/>
        </w:rPr>
        <w:t>:</w:t>
      </w:r>
      <w:r>
        <w:rPr>
          <w:rFonts w:cs="Arial"/>
          <w:b/>
          <w:bCs/>
          <w:color w:val="000000"/>
          <w:szCs w:val="22"/>
        </w:rPr>
        <w:t xml:space="preserve"> </w:t>
      </w:r>
      <w:r>
        <w:rPr>
          <w:rFonts w:cs="Arial"/>
          <w:b/>
          <w:bCs/>
          <w:color w:val="000000"/>
          <w:szCs w:val="22"/>
        </w:rPr>
        <w:t>NHANES History</w:t>
      </w:r>
    </w:p>
    <w:p w:rsidR="00957282" w:rsidRPr="003A3554" w:rsidP="003A3554" w14:paraId="3FE51519" w14:textId="1DFD264E">
      <w:pPr>
        <w:widowControl/>
        <w:spacing w:after="120"/>
        <w:rPr>
          <w:rFonts w:cs="Arial"/>
          <w:b/>
          <w:color w:val="000000"/>
          <w:szCs w:val="22"/>
        </w:rPr>
      </w:pPr>
      <w:r w:rsidRPr="003A3554">
        <w:rPr>
          <w:rFonts w:cs="Arial"/>
          <w:b/>
          <w:color w:val="000000"/>
          <w:szCs w:val="22"/>
        </w:rPr>
        <w:t xml:space="preserve">History of </w:t>
      </w:r>
      <w:r w:rsidRPr="003A3554">
        <w:rPr>
          <w:rFonts w:cs="Arial"/>
          <w:b/>
        </w:rPr>
        <w:t>NHANES</w:t>
      </w:r>
      <w:r w:rsidRPr="003A3554">
        <w:rPr>
          <w:rFonts w:cs="Arial"/>
          <w:b/>
          <w:color w:val="000000"/>
          <w:szCs w:val="22"/>
        </w:rPr>
        <w:t xml:space="preserve"> Content</w:t>
      </w:r>
    </w:p>
    <w:p w:rsidR="00957282" w:rsidRPr="00930564" w:rsidP="06FCE058" w14:paraId="5CA1AA5B" w14:textId="25AFDF5C">
      <w:pPr>
        <w:widowControl/>
        <w:spacing w:after="120"/>
        <w:rPr>
          <w:rFonts w:cs="Arial"/>
          <w:color w:val="000000"/>
        </w:rPr>
      </w:pPr>
      <w:r w:rsidRPr="006877F5">
        <w:rPr>
          <w:rFonts w:cs="Arial"/>
          <w:color w:val="000000" w:themeColor="text1"/>
        </w:rPr>
        <w:t xml:space="preserve">Since 1999, each </w:t>
      </w:r>
      <w:r>
        <w:rPr>
          <w:rFonts w:cs="Arial"/>
          <w:color w:val="000000" w:themeColor="text1"/>
        </w:rPr>
        <w:t>NHANES data collection cycle</w:t>
      </w:r>
      <w:r w:rsidRPr="006877F5">
        <w:rPr>
          <w:rFonts w:cs="Arial"/>
          <w:color w:val="000000" w:themeColor="text1"/>
        </w:rPr>
        <w:t xml:space="preserve"> has incorporated </w:t>
      </w:r>
      <w:r w:rsidR="008C290E">
        <w:rPr>
          <w:rFonts w:cs="Arial"/>
          <w:color w:val="000000" w:themeColor="text1"/>
        </w:rPr>
        <w:t xml:space="preserve">personal interviews, </w:t>
      </w:r>
      <w:r w:rsidRPr="006877F5">
        <w:rPr>
          <w:rFonts w:cs="Arial"/>
          <w:color w:val="000000" w:themeColor="text1"/>
        </w:rPr>
        <w:t xml:space="preserve">body measurement, blood pressure and pulse assessments, biospecimen collections, and dietary assessments. Other rotating components have included physical and physiological measurements and tests such as vision and hearing tests, physical fitness and performance tests, lower extremity disease testing, spirometry, dual-energy x-ray absorptiometry (DXA) testing, dental examinations, and a substantial number of laboratory tests on blood, urine, and other biological specimens. </w:t>
      </w:r>
      <w:r w:rsidRPr="06FCE058" w:rsidR="7973295C">
        <w:rPr>
          <w:rFonts w:cs="Arial"/>
          <w:color w:val="000000" w:themeColor="text1"/>
        </w:rPr>
        <w:t>Much of the content proposed</w:t>
      </w:r>
      <w:r w:rsidR="008C290E">
        <w:rPr>
          <w:rFonts w:cs="Arial"/>
          <w:color w:val="000000" w:themeColor="text1"/>
        </w:rPr>
        <w:t xml:space="preserve"> for</w:t>
      </w:r>
      <w:r w:rsidRPr="06FCE058" w:rsidR="7973295C">
        <w:rPr>
          <w:rFonts w:cs="Arial"/>
          <w:color w:val="000000" w:themeColor="text1"/>
        </w:rPr>
        <w:t xml:space="preserve"> </w:t>
      </w:r>
      <w:r w:rsidR="008C290E">
        <w:rPr>
          <w:rFonts w:cs="Arial"/>
          <w:color w:val="000000" w:themeColor="text1"/>
        </w:rPr>
        <w:t>2025</w:t>
      </w:r>
      <w:r w:rsidR="00524068">
        <w:rPr>
          <w:rFonts w:cs="Arial"/>
          <w:color w:val="000000" w:themeColor="text1"/>
        </w:rPr>
        <w:t>–</w:t>
      </w:r>
      <w:r w:rsidR="008C290E">
        <w:rPr>
          <w:rFonts w:cs="Arial"/>
          <w:color w:val="000000" w:themeColor="text1"/>
        </w:rPr>
        <w:t xml:space="preserve">2026 </w:t>
      </w:r>
      <w:r w:rsidRPr="06FCE058" w:rsidR="7973295C">
        <w:rPr>
          <w:rFonts w:cs="Arial"/>
          <w:color w:val="000000" w:themeColor="text1"/>
        </w:rPr>
        <w:t xml:space="preserve">NHANES field operations </w:t>
      </w:r>
      <w:r w:rsidRPr="06FCE058" w:rsidR="6B6E0AB1">
        <w:rPr>
          <w:rFonts w:cs="Arial"/>
          <w:color w:val="000000" w:themeColor="text1"/>
        </w:rPr>
        <w:t xml:space="preserve">was </w:t>
      </w:r>
      <w:r w:rsidRPr="06FCE058" w:rsidR="7973295C">
        <w:rPr>
          <w:rFonts w:cs="Arial"/>
          <w:color w:val="000000" w:themeColor="text1"/>
        </w:rPr>
        <w:t>part of previous NHANES</w:t>
      </w:r>
      <w:r w:rsidR="000148CB">
        <w:rPr>
          <w:rFonts w:cs="Arial"/>
          <w:color w:val="000000" w:themeColor="text1"/>
        </w:rPr>
        <w:t xml:space="preserve"> data collection cycles</w:t>
      </w:r>
      <w:r w:rsidRPr="06FCE058" w:rsidR="7973295C">
        <w:rPr>
          <w:rFonts w:cs="Arial"/>
          <w:color w:val="000000" w:themeColor="text1"/>
        </w:rPr>
        <w:t xml:space="preserve">. This includes </w:t>
      </w:r>
      <w:r w:rsidRPr="06FCE058" w:rsidR="7973295C">
        <w:rPr>
          <w:rFonts w:cs="Arial"/>
        </w:rPr>
        <w:t>operational</w:t>
      </w:r>
      <w:r w:rsidRPr="06FCE058" w:rsidR="7973295C">
        <w:rPr>
          <w:rFonts w:cs="Arial"/>
          <w:color w:val="000000" w:themeColor="text1"/>
        </w:rPr>
        <w:t xml:space="preserve"> features such as </w:t>
      </w:r>
      <w:r w:rsidRPr="06FCE058" w:rsidR="25F4CFEB">
        <w:rPr>
          <w:rFonts w:cs="Arial"/>
          <w:color w:val="000000" w:themeColor="text1"/>
        </w:rPr>
        <w:t xml:space="preserve">dwelling unit </w:t>
      </w:r>
      <w:r w:rsidRPr="06FCE058" w:rsidR="7973295C">
        <w:rPr>
          <w:rFonts w:cs="Arial"/>
          <w:color w:val="000000" w:themeColor="text1"/>
        </w:rPr>
        <w:t>listing and screening, sections of the questionnaires</w:t>
      </w:r>
      <w:r w:rsidRPr="06FCE058" w:rsidR="1DB5AAD5">
        <w:rPr>
          <w:rFonts w:cs="Arial"/>
          <w:color w:val="000000" w:themeColor="text1"/>
        </w:rPr>
        <w:t>,</w:t>
      </w:r>
      <w:r w:rsidRPr="06FCE058" w:rsidR="7973295C">
        <w:rPr>
          <w:rFonts w:cs="Arial"/>
          <w:color w:val="000000" w:themeColor="text1"/>
        </w:rPr>
        <w:t xml:space="preserve"> and components of the examination. </w:t>
      </w:r>
    </w:p>
    <w:p w:rsidR="00957282" w:rsidRPr="00930564" w:rsidP="003A3554" w14:paraId="4D3F53E2" w14:textId="671880B8">
      <w:pPr>
        <w:widowControl/>
        <w:spacing w:after="120"/>
        <w:rPr>
          <w:rFonts w:cs="Arial"/>
          <w:color w:val="000000"/>
        </w:rPr>
      </w:pPr>
      <w:r w:rsidRPr="0359FFBA">
        <w:rPr>
          <w:rFonts w:cs="Arial"/>
          <w:color w:val="000000" w:themeColor="text1"/>
        </w:rPr>
        <w:t xml:space="preserve">The questionnaire items in </w:t>
      </w:r>
      <w:r w:rsidR="00DE1344">
        <w:rPr>
          <w:rFonts w:cs="Arial"/>
          <w:color w:val="000000" w:themeColor="text1"/>
        </w:rPr>
        <w:t>2025</w:t>
      </w:r>
      <w:r w:rsidR="00524068">
        <w:rPr>
          <w:rFonts w:cs="Arial"/>
          <w:color w:val="000000" w:themeColor="text1"/>
        </w:rPr>
        <w:t>–</w:t>
      </w:r>
      <w:r w:rsidR="00DE1344">
        <w:rPr>
          <w:rFonts w:cs="Arial"/>
          <w:color w:val="000000" w:themeColor="text1"/>
        </w:rPr>
        <w:t xml:space="preserve">2026 </w:t>
      </w:r>
      <w:r w:rsidRPr="0359FFBA">
        <w:rPr>
          <w:rFonts w:cs="Arial"/>
          <w:color w:val="000000" w:themeColor="text1"/>
        </w:rPr>
        <w:t>NHANES came from many sources that ensured adequate testing of the wording of the questions and selection of appropriate response categories</w:t>
      </w:r>
      <w:r w:rsidRPr="00886AA1">
        <w:rPr>
          <w:rFonts w:cs="Arial"/>
          <w:color w:val="000000" w:themeColor="text1"/>
        </w:rPr>
        <w:t xml:space="preserve">. Many questions were taken from the National Health Interview Survey core questionnaires (OMB No. 0920-0214, Exp. Date 12/31/2023). These questions have been tested in the NCHS Questionnaire Design Research Laboratory (OMB No. 0920-0222, Exp. Date </w:t>
      </w:r>
      <w:r w:rsidRPr="00497014" w:rsidR="007650B4">
        <w:rPr>
          <w:rFonts w:cs="Arial"/>
          <w:color w:val="000000" w:themeColor="text1"/>
        </w:rPr>
        <w:t>01/31/2026</w:t>
      </w:r>
      <w:r w:rsidRPr="00886AA1">
        <w:rPr>
          <w:rFonts w:cs="Arial"/>
          <w:color w:val="000000" w:themeColor="text1"/>
        </w:rPr>
        <w:t>) and then used in the field with thousands of respondents. Additional NHANES questions were derived from standard instruments</w:t>
      </w:r>
      <w:r w:rsidR="00012944">
        <w:rPr>
          <w:rFonts w:cs="Arial"/>
          <w:color w:val="000000" w:themeColor="text1"/>
        </w:rPr>
        <w:t xml:space="preserve">, </w:t>
      </w:r>
      <w:r w:rsidRPr="00886AA1">
        <w:rPr>
          <w:rFonts w:cs="Arial"/>
          <w:color w:val="000000" w:themeColor="text1"/>
        </w:rPr>
        <w:t>tests</w:t>
      </w:r>
      <w:r w:rsidR="00AE3134">
        <w:rPr>
          <w:rFonts w:cs="Arial"/>
          <w:color w:val="000000" w:themeColor="text1"/>
        </w:rPr>
        <w:t>,</w:t>
      </w:r>
      <w:r w:rsidRPr="00886AA1">
        <w:rPr>
          <w:rFonts w:cs="Arial"/>
          <w:color w:val="000000" w:themeColor="text1"/>
        </w:rPr>
        <w:t xml:space="preserve"> </w:t>
      </w:r>
      <w:r w:rsidR="00015D79">
        <w:rPr>
          <w:rFonts w:cs="Arial"/>
          <w:color w:val="000000" w:themeColor="text1"/>
        </w:rPr>
        <w:t>and</w:t>
      </w:r>
      <w:r w:rsidRPr="00886AA1">
        <w:rPr>
          <w:rFonts w:cs="Arial"/>
          <w:color w:val="000000" w:themeColor="text1"/>
        </w:rPr>
        <w:t xml:space="preserve"> surveys done by other agencies and organizations. Examples of these are the </w:t>
      </w:r>
      <w:r w:rsidR="00FA5C3E">
        <w:rPr>
          <w:rFonts w:cs="Arial"/>
          <w:color w:val="000000" w:themeColor="text1"/>
        </w:rPr>
        <w:t xml:space="preserve">questions related </w:t>
      </w:r>
      <w:r w:rsidR="00EF2990">
        <w:rPr>
          <w:rFonts w:cs="Arial"/>
          <w:color w:val="000000" w:themeColor="text1"/>
        </w:rPr>
        <w:t xml:space="preserve">to </w:t>
      </w:r>
      <w:r w:rsidR="00FA5C3E">
        <w:rPr>
          <w:rFonts w:cs="Arial"/>
          <w:color w:val="000000" w:themeColor="text1"/>
        </w:rPr>
        <w:t>diet</w:t>
      </w:r>
      <w:r w:rsidR="00DE1344">
        <w:rPr>
          <w:rFonts w:cs="Arial"/>
          <w:color w:val="000000" w:themeColor="text1"/>
        </w:rPr>
        <w:t>ary</w:t>
      </w:r>
      <w:r w:rsidRPr="00886AA1">
        <w:rPr>
          <w:rFonts w:cs="Arial"/>
          <w:color w:val="000000" w:themeColor="text1"/>
        </w:rPr>
        <w:t xml:space="preserve"> and mental health. Still other NHANES questions were taken from previous NHANES surveys.</w:t>
      </w:r>
    </w:p>
    <w:p w:rsidR="00957282" w:rsidRPr="00930564" w:rsidP="003A3554" w14:paraId="3D7DDECB" w14:textId="546CDD52">
      <w:pPr>
        <w:widowControl/>
        <w:spacing w:after="120"/>
        <w:rPr>
          <w:rFonts w:cs="Arial"/>
          <w:color w:val="000000"/>
          <w:szCs w:val="22"/>
        </w:rPr>
      </w:pPr>
      <w:r>
        <w:rPr>
          <w:rFonts w:cs="Arial"/>
          <w:color w:val="000000"/>
          <w:szCs w:val="22"/>
        </w:rPr>
        <w:t>The e</w:t>
      </w:r>
      <w:r w:rsidRPr="00930564">
        <w:rPr>
          <w:rFonts w:cs="Arial"/>
          <w:color w:val="000000"/>
          <w:szCs w:val="22"/>
        </w:rPr>
        <w:t xml:space="preserve">xamination components </w:t>
      </w:r>
      <w:r>
        <w:rPr>
          <w:rFonts w:cs="Arial"/>
          <w:color w:val="000000"/>
          <w:szCs w:val="22"/>
        </w:rPr>
        <w:t>for 2025</w:t>
      </w:r>
      <w:r w:rsidR="00524068">
        <w:rPr>
          <w:rFonts w:cs="Arial"/>
          <w:color w:val="000000"/>
          <w:szCs w:val="22"/>
        </w:rPr>
        <w:t>–</w:t>
      </w:r>
      <w:r>
        <w:rPr>
          <w:rFonts w:cs="Arial"/>
          <w:color w:val="000000"/>
          <w:szCs w:val="22"/>
        </w:rPr>
        <w:t xml:space="preserve">2026 </w:t>
      </w:r>
      <w:r w:rsidRPr="00930564">
        <w:rPr>
          <w:rFonts w:cs="Arial"/>
          <w:color w:val="000000"/>
          <w:szCs w:val="22"/>
        </w:rPr>
        <w:t xml:space="preserve">have been included in previous NHANES </w:t>
      </w:r>
      <w:r w:rsidR="00A75A1D">
        <w:rPr>
          <w:rFonts w:cs="Arial"/>
          <w:color w:val="000000"/>
          <w:szCs w:val="22"/>
        </w:rPr>
        <w:t xml:space="preserve">data collection cycles </w:t>
      </w:r>
      <w:r w:rsidRPr="00930564">
        <w:rPr>
          <w:rFonts w:cs="Arial"/>
          <w:color w:val="000000"/>
          <w:szCs w:val="22"/>
        </w:rPr>
        <w:t>or other population</w:t>
      </w:r>
      <w:r>
        <w:rPr>
          <w:rFonts w:cs="Arial"/>
          <w:color w:val="000000"/>
          <w:szCs w:val="22"/>
        </w:rPr>
        <w:t>-</w:t>
      </w:r>
      <w:r w:rsidRPr="00930564">
        <w:rPr>
          <w:rFonts w:cs="Arial"/>
          <w:color w:val="000000"/>
          <w:szCs w:val="22"/>
        </w:rPr>
        <w:t xml:space="preserve">based studies. A criterion for inclusion of examination content for the early years of NHANES was the existence of a standardized procedure for use on NHANES. To incorporate new content in future years of the continuous NHANES, evaluation of objective data collection procedures used in other studies and testing of new procedures concurrent to NHANES data collection </w:t>
      </w:r>
      <w:r w:rsidR="006F1497">
        <w:rPr>
          <w:rFonts w:cs="Arial"/>
          <w:color w:val="000000"/>
          <w:szCs w:val="22"/>
        </w:rPr>
        <w:t>are</w:t>
      </w:r>
      <w:r w:rsidRPr="00930564" w:rsidR="006F1497">
        <w:rPr>
          <w:rFonts w:cs="Arial"/>
          <w:color w:val="000000"/>
          <w:szCs w:val="22"/>
        </w:rPr>
        <w:t xml:space="preserve"> </w:t>
      </w:r>
      <w:r w:rsidRPr="00930564">
        <w:rPr>
          <w:rFonts w:cs="Arial"/>
          <w:color w:val="000000"/>
          <w:szCs w:val="22"/>
        </w:rPr>
        <w:t xml:space="preserve">required. This </w:t>
      </w:r>
      <w:r>
        <w:rPr>
          <w:rFonts w:cs="Arial"/>
          <w:color w:val="000000"/>
          <w:szCs w:val="22"/>
        </w:rPr>
        <w:t>developmental work</w:t>
      </w:r>
      <w:r w:rsidRPr="00930564">
        <w:rPr>
          <w:rFonts w:cs="Arial"/>
          <w:color w:val="000000"/>
          <w:szCs w:val="22"/>
        </w:rPr>
        <w:t xml:space="preserve"> may be done </w:t>
      </w:r>
      <w:r w:rsidR="00800F77">
        <w:rPr>
          <w:rFonts w:cs="Arial"/>
          <w:color w:val="000000"/>
          <w:szCs w:val="22"/>
        </w:rPr>
        <w:t>as a component of</w:t>
      </w:r>
      <w:r w:rsidRPr="00930564">
        <w:rPr>
          <w:rFonts w:cs="Arial"/>
          <w:color w:val="000000"/>
          <w:szCs w:val="22"/>
        </w:rPr>
        <w:t xml:space="preserve"> the NHANES field operations or as a standalone study not using NHANES participants. All </w:t>
      </w:r>
      <w:r w:rsidR="00611D3C">
        <w:rPr>
          <w:rFonts w:cs="Arial"/>
          <w:color w:val="000000"/>
          <w:szCs w:val="22"/>
        </w:rPr>
        <w:t xml:space="preserve">proposed </w:t>
      </w:r>
      <w:r w:rsidRPr="00930564">
        <w:rPr>
          <w:rFonts w:cs="Arial"/>
          <w:color w:val="000000"/>
          <w:szCs w:val="22"/>
        </w:rPr>
        <w:t xml:space="preserve">laboratory methods </w:t>
      </w:r>
      <w:r w:rsidR="00067465">
        <w:rPr>
          <w:rFonts w:cs="Arial"/>
          <w:color w:val="000000"/>
          <w:szCs w:val="22"/>
        </w:rPr>
        <w:t xml:space="preserve">need to </w:t>
      </w:r>
      <w:r w:rsidRPr="00930564">
        <w:rPr>
          <w:rFonts w:cs="Arial"/>
          <w:color w:val="000000"/>
          <w:szCs w:val="22"/>
        </w:rPr>
        <w:t>have been tested and deemed reliable and valid prior to their inclusion in NHANES.</w:t>
      </w:r>
    </w:p>
    <w:p w:rsidR="008C5ABF" w:rsidRPr="003A3554" w:rsidP="00D73DE4" w14:paraId="7F407A3E" w14:textId="5F17E5CD">
      <w:pPr>
        <w:widowControl/>
        <w:spacing w:before="240" w:after="120"/>
        <w:rPr>
          <w:rFonts w:cs="Arial"/>
          <w:b/>
          <w:color w:val="000000"/>
        </w:rPr>
      </w:pPr>
      <w:r w:rsidRPr="003A3554">
        <w:rPr>
          <w:rFonts w:cs="Arial"/>
          <w:b/>
          <w:color w:val="000000"/>
        </w:rPr>
        <w:t xml:space="preserve">History of </w:t>
      </w:r>
      <w:r w:rsidR="00822043">
        <w:rPr>
          <w:rFonts w:cs="Arial"/>
          <w:b/>
          <w:color w:val="000000"/>
        </w:rPr>
        <w:t xml:space="preserve">NHANES </w:t>
      </w:r>
      <w:r w:rsidRPr="003A3554">
        <w:rPr>
          <w:rFonts w:cs="Arial"/>
          <w:b/>
          <w:color w:val="000000"/>
        </w:rPr>
        <w:t>Response Rates</w:t>
      </w:r>
    </w:p>
    <w:p w:rsidR="008C0A09" w:rsidP="008C5ABF" w14:paraId="64719E64" w14:textId="7347671A">
      <w:pPr>
        <w:widowControl/>
        <w:spacing w:after="120"/>
        <w:rPr>
          <w:rFonts w:eastAsiaTheme="minorEastAsia"/>
        </w:rPr>
      </w:pPr>
      <w:r>
        <w:rPr>
          <w:rFonts w:eastAsiaTheme="minorEastAsia"/>
        </w:rPr>
        <w:t>NHANES generally</w:t>
      </w:r>
      <w:r w:rsidR="00F45306">
        <w:rPr>
          <w:rFonts w:eastAsiaTheme="minorEastAsia"/>
        </w:rPr>
        <w:t xml:space="preserve"> uses two types of response rates to </w:t>
      </w:r>
      <w:r w:rsidR="000769C5">
        <w:rPr>
          <w:rFonts w:eastAsiaTheme="minorEastAsia"/>
        </w:rPr>
        <w:t xml:space="preserve">measure </w:t>
      </w:r>
      <w:r w:rsidR="00D840E0">
        <w:rPr>
          <w:rFonts w:eastAsiaTheme="minorEastAsia"/>
        </w:rPr>
        <w:t>performance</w:t>
      </w:r>
      <w:r w:rsidR="006C029D">
        <w:rPr>
          <w:rFonts w:eastAsiaTheme="minorEastAsia"/>
        </w:rPr>
        <w:t xml:space="preserve">: MEC </w:t>
      </w:r>
      <w:r w:rsidR="008A7076">
        <w:rPr>
          <w:rFonts w:eastAsiaTheme="minorEastAsia"/>
        </w:rPr>
        <w:t xml:space="preserve">exam conditional response rates and </w:t>
      </w:r>
      <w:r>
        <w:rPr>
          <w:rFonts w:eastAsiaTheme="minorEastAsia"/>
        </w:rPr>
        <w:t>MEC stage response rate</w:t>
      </w:r>
      <w:r w:rsidR="00AD6DFB">
        <w:rPr>
          <w:rFonts w:eastAsiaTheme="minorEastAsia"/>
        </w:rPr>
        <w:t>s</w:t>
      </w:r>
      <w:r w:rsidR="00790B20">
        <w:rPr>
          <w:rFonts w:eastAsiaTheme="minorEastAsia"/>
        </w:rPr>
        <w:t xml:space="preserve">. </w:t>
      </w:r>
      <w:r w:rsidRPr="008C0A09" w:rsidR="1C232DFF">
        <w:rPr>
          <w:rFonts w:eastAsiaTheme="minorEastAsia"/>
        </w:rPr>
        <w:t>The</w:t>
      </w:r>
      <w:r w:rsidRPr="22BB2530" w:rsidR="1C232DFF">
        <w:rPr>
          <w:rFonts w:eastAsiaTheme="minorEastAsia"/>
        </w:rPr>
        <w:t xml:space="preserve"> </w:t>
      </w:r>
      <w:r w:rsidR="00F52F5A">
        <w:rPr>
          <w:rFonts w:eastAsiaTheme="minorEastAsia"/>
        </w:rPr>
        <w:t xml:space="preserve">MEC exam </w:t>
      </w:r>
      <w:r w:rsidRPr="00D73DE4" w:rsidR="060B38F8">
        <w:rPr>
          <w:rFonts w:eastAsiaTheme="minorEastAsia"/>
          <w:b/>
          <w:bCs/>
        </w:rPr>
        <w:t xml:space="preserve">conditional </w:t>
      </w:r>
      <w:r w:rsidRPr="00D73DE4" w:rsidR="1C232DFF">
        <w:rPr>
          <w:rFonts w:eastAsiaTheme="minorEastAsia"/>
          <w:b/>
          <w:bCs/>
        </w:rPr>
        <w:t>response</w:t>
      </w:r>
      <w:r w:rsidR="008A7076">
        <w:rPr>
          <w:rFonts w:eastAsiaTheme="minorEastAsia"/>
          <w:b/>
          <w:bCs/>
        </w:rPr>
        <w:t xml:space="preserve"> rate</w:t>
      </w:r>
      <w:r w:rsidRPr="22BB2530" w:rsidR="219B91A3">
        <w:rPr>
          <w:rFonts w:eastAsiaTheme="minorEastAsia"/>
        </w:rPr>
        <w:t xml:space="preserve"> </w:t>
      </w:r>
      <w:r w:rsidR="00902443">
        <w:rPr>
          <w:rFonts w:eastAsiaTheme="minorEastAsia"/>
        </w:rPr>
        <w:t xml:space="preserve">is calculated as </w:t>
      </w:r>
      <w:r w:rsidR="00201A04">
        <w:rPr>
          <w:rFonts w:eastAsiaTheme="minorEastAsia"/>
        </w:rPr>
        <w:t xml:space="preserve">the number of </w:t>
      </w:r>
      <w:r w:rsidRPr="22BB2530" w:rsidR="719001C1">
        <w:rPr>
          <w:rFonts w:eastAsiaTheme="minorEastAsia"/>
        </w:rPr>
        <w:t xml:space="preserve">MEC </w:t>
      </w:r>
      <w:r w:rsidRPr="22BB2530" w:rsidR="5E1D9421">
        <w:rPr>
          <w:rFonts w:eastAsiaTheme="minorEastAsia"/>
        </w:rPr>
        <w:t>examined</w:t>
      </w:r>
      <w:r w:rsidRPr="22BB2530" w:rsidR="219D0D58">
        <w:rPr>
          <w:rFonts w:eastAsiaTheme="minorEastAsia"/>
        </w:rPr>
        <w:t xml:space="preserve"> </w:t>
      </w:r>
      <w:r w:rsidRPr="22BB2530" w:rsidR="66B63FC7">
        <w:rPr>
          <w:rFonts w:eastAsiaTheme="minorEastAsia"/>
        </w:rPr>
        <w:t>partici</w:t>
      </w:r>
      <w:r w:rsidRPr="22BB2530" w:rsidR="00C7543C">
        <w:rPr>
          <w:rFonts w:eastAsiaTheme="minorEastAsia"/>
        </w:rPr>
        <w:t xml:space="preserve">pants </w:t>
      </w:r>
      <w:r w:rsidRPr="00D73DE4" w:rsidR="242B5D42">
        <w:rPr>
          <w:rFonts w:eastAsiaTheme="minorEastAsia"/>
          <w:i/>
          <w:iCs/>
        </w:rPr>
        <w:t xml:space="preserve">out of </w:t>
      </w:r>
      <w:r w:rsidRPr="00D73DE4" w:rsidR="00C7543C">
        <w:rPr>
          <w:rFonts w:eastAsiaTheme="minorEastAsia"/>
          <w:i/>
          <w:iCs/>
        </w:rPr>
        <w:t>all s</w:t>
      </w:r>
      <w:r w:rsidR="00EF08C7">
        <w:rPr>
          <w:rFonts w:eastAsiaTheme="minorEastAsia"/>
          <w:i/>
          <w:iCs/>
        </w:rPr>
        <w:t>urvey</w:t>
      </w:r>
      <w:r w:rsidRPr="00D73DE4" w:rsidR="00C7543C">
        <w:rPr>
          <w:rFonts w:eastAsiaTheme="minorEastAsia"/>
          <w:i/>
          <w:iCs/>
        </w:rPr>
        <w:t xml:space="preserve"> p</w:t>
      </w:r>
      <w:r w:rsidR="00EF08C7">
        <w:rPr>
          <w:rFonts w:eastAsiaTheme="minorEastAsia"/>
          <w:i/>
          <w:iCs/>
        </w:rPr>
        <w:t>articipants</w:t>
      </w:r>
      <w:r w:rsidRPr="22BB2530" w:rsidR="00C7543C">
        <w:rPr>
          <w:rFonts w:eastAsiaTheme="minorEastAsia"/>
        </w:rPr>
        <w:t xml:space="preserve"> (SPs)</w:t>
      </w:r>
      <w:r w:rsidR="002C3A2F">
        <w:rPr>
          <w:rFonts w:eastAsiaTheme="minorEastAsia"/>
        </w:rPr>
        <w:t xml:space="preserve">, regardless of whether they completed the </w:t>
      </w:r>
      <w:r w:rsidR="00B10A31">
        <w:rPr>
          <w:rFonts w:eastAsiaTheme="minorEastAsia"/>
        </w:rPr>
        <w:t>SP interview</w:t>
      </w:r>
      <w:r w:rsidR="004D602B">
        <w:rPr>
          <w:rFonts w:eastAsiaTheme="minorEastAsia"/>
        </w:rPr>
        <w:t>.</w:t>
      </w:r>
      <w:r>
        <w:rPr>
          <w:rFonts w:eastAsiaTheme="minorEastAsia"/>
        </w:rPr>
        <w:t xml:space="preserve"> The </w:t>
      </w:r>
      <w:r w:rsidRPr="00D73DE4">
        <w:rPr>
          <w:rFonts w:eastAsiaTheme="minorEastAsia"/>
          <w:b/>
          <w:bCs/>
        </w:rPr>
        <w:t xml:space="preserve">MEC </w:t>
      </w:r>
      <w:r w:rsidR="0022022E">
        <w:rPr>
          <w:rFonts w:eastAsiaTheme="minorEastAsia"/>
          <w:b/>
          <w:bCs/>
        </w:rPr>
        <w:t xml:space="preserve">exam </w:t>
      </w:r>
      <w:r w:rsidRPr="00D73DE4">
        <w:rPr>
          <w:rFonts w:eastAsiaTheme="minorEastAsia"/>
          <w:b/>
          <w:bCs/>
        </w:rPr>
        <w:t>stage response rate</w:t>
      </w:r>
      <w:r>
        <w:rPr>
          <w:rFonts w:eastAsiaTheme="minorEastAsia"/>
        </w:rPr>
        <w:t xml:space="preserve"> is calculated as </w:t>
      </w:r>
      <w:r w:rsidR="00041106">
        <w:rPr>
          <w:rFonts w:eastAsiaTheme="minorEastAsia"/>
        </w:rPr>
        <w:t xml:space="preserve">the number of MEC </w:t>
      </w:r>
      <w:r w:rsidR="00B77F7E">
        <w:rPr>
          <w:rFonts w:eastAsiaTheme="minorEastAsia"/>
        </w:rPr>
        <w:t xml:space="preserve">examined participants </w:t>
      </w:r>
      <w:r w:rsidRPr="00D73DE4" w:rsidR="00B77F7E">
        <w:rPr>
          <w:rFonts w:eastAsiaTheme="minorEastAsia"/>
          <w:i/>
          <w:iCs/>
        </w:rPr>
        <w:t xml:space="preserve">out </w:t>
      </w:r>
      <w:r w:rsidRPr="495754D1" w:rsidR="312EC914">
        <w:rPr>
          <w:rFonts w:eastAsiaTheme="minorEastAsia"/>
          <w:i/>
          <w:iCs/>
        </w:rPr>
        <w:t xml:space="preserve">of </w:t>
      </w:r>
      <w:r w:rsidRPr="00D73DE4" w:rsidR="00B77F7E">
        <w:rPr>
          <w:rFonts w:eastAsiaTheme="minorEastAsia"/>
          <w:i/>
          <w:iCs/>
        </w:rPr>
        <w:t>SPs who completed the SP interview</w:t>
      </w:r>
      <w:r w:rsidR="00B77F7E">
        <w:rPr>
          <w:rFonts w:eastAsiaTheme="minorEastAsia"/>
          <w:i/>
          <w:iCs/>
        </w:rPr>
        <w:t>.</w:t>
      </w:r>
      <w:r w:rsidR="00B77F7E">
        <w:rPr>
          <w:rFonts w:eastAsiaTheme="minorEastAsia"/>
        </w:rPr>
        <w:t xml:space="preserve"> </w:t>
      </w:r>
      <w:r w:rsidR="00B77F7E">
        <w:rPr>
          <w:rFonts w:eastAsiaTheme="minorEastAsia"/>
        </w:rPr>
        <w:t xml:space="preserve">By definition, </w:t>
      </w:r>
      <w:r w:rsidR="00A9509F">
        <w:rPr>
          <w:rFonts w:eastAsiaTheme="minorEastAsia"/>
        </w:rPr>
        <w:t>for</w:t>
      </w:r>
      <w:r w:rsidR="00A9509F">
        <w:rPr>
          <w:rFonts w:eastAsiaTheme="minorEastAsia"/>
        </w:rPr>
        <w:t xml:space="preserve"> the same </w:t>
      </w:r>
      <w:r w:rsidR="00252AF1">
        <w:rPr>
          <w:rFonts w:eastAsiaTheme="minorEastAsia"/>
        </w:rPr>
        <w:t xml:space="preserve">cycle, </w:t>
      </w:r>
      <w:r w:rsidR="00B77F7E">
        <w:rPr>
          <w:rFonts w:eastAsiaTheme="minorEastAsia"/>
        </w:rPr>
        <w:t xml:space="preserve">the </w:t>
      </w:r>
      <w:r w:rsidR="00CC53C1">
        <w:rPr>
          <w:rFonts w:eastAsiaTheme="minorEastAsia"/>
        </w:rPr>
        <w:t xml:space="preserve">MEC </w:t>
      </w:r>
      <w:r w:rsidR="00B109B8">
        <w:rPr>
          <w:rFonts w:eastAsiaTheme="minorEastAsia"/>
        </w:rPr>
        <w:t xml:space="preserve">stage response rate will always be higher </w:t>
      </w:r>
      <w:r w:rsidR="00252AF1">
        <w:rPr>
          <w:rFonts w:eastAsiaTheme="minorEastAsia"/>
        </w:rPr>
        <w:t xml:space="preserve">than the MEC </w:t>
      </w:r>
      <w:r w:rsidR="00CD7CE4">
        <w:rPr>
          <w:rFonts w:eastAsiaTheme="minorEastAsia"/>
        </w:rPr>
        <w:t>conditional response rate</w:t>
      </w:r>
      <w:r w:rsidRPr="22BB2530" w:rsidR="1C232DFF">
        <w:rPr>
          <w:rFonts w:eastAsiaTheme="minorEastAsia"/>
        </w:rPr>
        <w:t xml:space="preserve">. </w:t>
      </w:r>
    </w:p>
    <w:p w:rsidR="008C5ABF" w:rsidRPr="00E54913" w:rsidP="008C5ABF" w14:paraId="1DDF1162" w14:textId="2B48AE8D">
      <w:pPr>
        <w:widowControl/>
        <w:spacing w:after="120"/>
        <w:rPr>
          <w:rFonts w:cs="Arial"/>
        </w:rPr>
      </w:pPr>
      <w:r w:rsidRPr="4ACFC745">
        <w:rPr>
          <w:rFonts w:eastAsiaTheme="minorEastAsia"/>
        </w:rPr>
        <w:t>The graph below presents MEC</w:t>
      </w:r>
      <w:r w:rsidRPr="4ACFC745" w:rsidR="00732412">
        <w:rPr>
          <w:rFonts w:eastAsiaTheme="minorEastAsia"/>
        </w:rPr>
        <w:t xml:space="preserve"> </w:t>
      </w:r>
      <w:r w:rsidRPr="4ACFC745" w:rsidR="00037DC6">
        <w:rPr>
          <w:rFonts w:eastAsiaTheme="minorEastAsia"/>
        </w:rPr>
        <w:t xml:space="preserve">exam </w:t>
      </w:r>
      <w:r w:rsidRPr="4ACFC745" w:rsidR="00732412">
        <w:rPr>
          <w:rFonts w:eastAsiaTheme="minorEastAsia"/>
        </w:rPr>
        <w:t xml:space="preserve">conditional </w:t>
      </w:r>
      <w:r w:rsidRPr="4ACFC745" w:rsidR="00037DC6">
        <w:rPr>
          <w:rFonts w:eastAsiaTheme="minorEastAsia"/>
        </w:rPr>
        <w:t xml:space="preserve">response rates </w:t>
      </w:r>
      <w:r w:rsidRPr="4ACFC745" w:rsidR="009C0BB1">
        <w:rPr>
          <w:rFonts w:eastAsiaTheme="minorEastAsia"/>
        </w:rPr>
        <w:t xml:space="preserve">over time, </w:t>
      </w:r>
      <w:r w:rsidRPr="4ACFC745" w:rsidR="001E7BF1">
        <w:rPr>
          <w:rFonts w:eastAsiaTheme="minorEastAsia"/>
        </w:rPr>
        <w:t>highlighting</w:t>
      </w:r>
      <w:r w:rsidRPr="4ACFC745" w:rsidR="00C123ED">
        <w:rPr>
          <w:rFonts w:eastAsiaTheme="minorEastAsia"/>
        </w:rPr>
        <w:t xml:space="preserve"> </w:t>
      </w:r>
      <w:r w:rsidRPr="4ACFC745" w:rsidR="1B9AF413">
        <w:rPr>
          <w:rFonts w:eastAsiaTheme="minorEastAsia"/>
        </w:rPr>
        <w:t>a</w:t>
      </w:r>
      <w:r w:rsidRPr="4ACFC745" w:rsidR="00C123ED">
        <w:rPr>
          <w:rFonts w:eastAsiaTheme="minorEastAsia"/>
        </w:rPr>
        <w:t xml:space="preserve"> </w:t>
      </w:r>
      <w:r w:rsidRPr="4ACFC745" w:rsidR="1B9AF413">
        <w:rPr>
          <w:rFonts w:eastAsiaTheme="minorEastAsia"/>
        </w:rPr>
        <w:t>downward trend</w:t>
      </w:r>
      <w:r w:rsidRPr="4ACFC745" w:rsidR="2DCDDE83">
        <w:rPr>
          <w:rFonts w:eastAsiaTheme="minorEastAsia"/>
        </w:rPr>
        <w:t xml:space="preserve"> </w:t>
      </w:r>
      <w:r w:rsidRPr="4ACFC745" w:rsidR="1B9AF413">
        <w:rPr>
          <w:rFonts w:eastAsiaTheme="minorEastAsia"/>
        </w:rPr>
        <w:t xml:space="preserve">that </w:t>
      </w:r>
      <w:r w:rsidRPr="4ACFC745" w:rsidR="2DCDDE83">
        <w:rPr>
          <w:rFonts w:eastAsiaTheme="minorEastAsia"/>
        </w:rPr>
        <w:t>has accelerated in recent years</w:t>
      </w:r>
      <w:r w:rsidRPr="4ACFC745" w:rsidR="004E25EE">
        <w:rPr>
          <w:rFonts w:eastAsiaTheme="minorEastAsia"/>
        </w:rPr>
        <w:t xml:space="preserve">. </w:t>
      </w:r>
      <w:r w:rsidRPr="4ACFC745" w:rsidR="008E4DE8">
        <w:rPr>
          <w:rFonts w:eastAsiaTheme="minorEastAsia"/>
        </w:rPr>
        <w:t>NHANES</w:t>
      </w:r>
      <w:r w:rsidRPr="4ACFC745" w:rsidR="10ED7462">
        <w:rPr>
          <w:rFonts w:eastAsiaTheme="minorEastAsia"/>
        </w:rPr>
        <w:t xml:space="preserve"> </w:t>
      </w:r>
      <w:r w:rsidRPr="4ACFC745" w:rsidR="5228E57C">
        <w:rPr>
          <w:rFonts w:eastAsiaTheme="minorEastAsia"/>
        </w:rPr>
        <w:t xml:space="preserve">(along with other </w:t>
      </w:r>
      <w:r w:rsidRPr="4ACFC745" w:rsidR="7F137532">
        <w:rPr>
          <w:rFonts w:eastAsiaTheme="minorEastAsia"/>
        </w:rPr>
        <w:t>surveys</w:t>
      </w:r>
      <w:r w:rsidRPr="4ACFC745" w:rsidR="5228E57C">
        <w:rPr>
          <w:rFonts w:eastAsiaTheme="minorEastAsia"/>
        </w:rPr>
        <w:t>)</w:t>
      </w:r>
      <w:r w:rsidRPr="4ACFC745" w:rsidR="10ED7462">
        <w:rPr>
          <w:rFonts w:eastAsiaTheme="minorEastAsia"/>
        </w:rPr>
        <w:t xml:space="preserve"> </w:t>
      </w:r>
      <w:r w:rsidRPr="4ACFC745" w:rsidR="00294900">
        <w:rPr>
          <w:rFonts w:eastAsiaTheme="minorEastAsia"/>
        </w:rPr>
        <w:t xml:space="preserve">is affected by </w:t>
      </w:r>
      <w:r w:rsidRPr="4ACFC745" w:rsidR="10ED7462">
        <w:rPr>
          <w:rFonts w:eastAsiaTheme="minorEastAsia"/>
        </w:rPr>
        <w:t>continued challenges in the field</w:t>
      </w:r>
      <w:r w:rsidRPr="4ACFC745" w:rsidR="00294900">
        <w:rPr>
          <w:rFonts w:eastAsiaTheme="minorEastAsia"/>
        </w:rPr>
        <w:t>,</w:t>
      </w:r>
      <w:r w:rsidRPr="4ACFC745" w:rsidR="6CB7B31E">
        <w:rPr>
          <w:rFonts w:eastAsiaTheme="minorEastAsia"/>
        </w:rPr>
        <w:t xml:space="preserve"> including the recent COVID</w:t>
      </w:r>
      <w:r w:rsidRPr="4ACFC745" w:rsidR="563B962D">
        <w:rPr>
          <w:rFonts w:eastAsiaTheme="minorEastAsia"/>
        </w:rPr>
        <w:t>-19 pandemic</w:t>
      </w:r>
      <w:r w:rsidRPr="4ACFC745" w:rsidR="2DCDDE83">
        <w:rPr>
          <w:rFonts w:eastAsiaTheme="minorEastAsia"/>
        </w:rPr>
        <w:t xml:space="preserve">. </w:t>
      </w:r>
      <w:r w:rsidRPr="4ACFC745" w:rsidR="432CF37A">
        <w:rPr>
          <w:rFonts w:cs="Arial"/>
        </w:rPr>
        <w:t xml:space="preserve">Because of the COVID-19 pandemic, </w:t>
      </w:r>
      <w:r w:rsidRPr="4ACFC745" w:rsidR="1C232DFF">
        <w:rPr>
          <w:rFonts w:cs="Arial"/>
        </w:rPr>
        <w:t xml:space="preserve">NHANES </w:t>
      </w:r>
      <w:r w:rsidRPr="4ACFC745" w:rsidR="176D5CE7">
        <w:rPr>
          <w:rFonts w:cs="Arial"/>
        </w:rPr>
        <w:t>was paused</w:t>
      </w:r>
      <w:r w:rsidRPr="4ACFC745" w:rsidR="1C232DFF">
        <w:rPr>
          <w:rFonts w:cs="Arial"/>
        </w:rPr>
        <w:t xml:space="preserve"> </w:t>
      </w:r>
      <w:r w:rsidRPr="4ACFC745" w:rsidR="000E6534">
        <w:rPr>
          <w:rFonts w:cs="Arial"/>
        </w:rPr>
        <w:t xml:space="preserve">in March 2020 </w:t>
      </w:r>
      <w:r w:rsidRPr="4ACFC745" w:rsidR="1C232DFF">
        <w:rPr>
          <w:rFonts w:cs="Arial"/>
        </w:rPr>
        <w:t xml:space="preserve">for the first time since continuous data collection began in 1999. As a result, the cycle was not </w:t>
      </w:r>
      <w:r w:rsidRPr="4ACFC745" w:rsidR="1C232DFF">
        <w:rPr>
          <w:rFonts w:cs="Arial"/>
        </w:rPr>
        <w:t>completed</w:t>
      </w:r>
      <w:r w:rsidRPr="4ACFC745" w:rsidR="000E6534">
        <w:rPr>
          <w:rFonts w:cs="Arial"/>
        </w:rPr>
        <w:t xml:space="preserve"> and </w:t>
      </w:r>
      <w:r w:rsidRPr="4ACFC745" w:rsidR="1C232DFF">
        <w:rPr>
          <w:rFonts w:cs="Arial"/>
        </w:rPr>
        <w:t xml:space="preserve">no response rate information is available for 2020. </w:t>
      </w:r>
      <w:r w:rsidRPr="4ACFC745" w:rsidR="563B962D">
        <w:rPr>
          <w:rFonts w:cs="Arial"/>
        </w:rPr>
        <w:t xml:space="preserve">However, there was a </w:t>
      </w:r>
      <w:r w:rsidRPr="4ACFC745" w:rsidR="7F26B15C">
        <w:rPr>
          <w:rFonts w:cs="Arial"/>
        </w:rPr>
        <w:t>notable dec</w:t>
      </w:r>
      <w:r w:rsidRPr="4ACFC745" w:rsidR="22F76A72">
        <w:rPr>
          <w:rFonts w:cs="Arial"/>
        </w:rPr>
        <w:t>r</w:t>
      </w:r>
      <w:r w:rsidRPr="4ACFC745" w:rsidR="7F26B15C">
        <w:rPr>
          <w:rFonts w:cs="Arial"/>
        </w:rPr>
        <w:t>ease in response rates when d</w:t>
      </w:r>
      <w:r w:rsidRPr="4ACFC745" w:rsidR="21A112BA">
        <w:rPr>
          <w:rFonts w:cs="Arial"/>
        </w:rPr>
        <w:t xml:space="preserve">ata collection resumed in the field in August 2021. </w:t>
      </w:r>
      <w:r w:rsidRPr="4ACFC745" w:rsidR="563B962D">
        <w:rPr>
          <w:rFonts w:eastAsiaTheme="minorEastAsia"/>
        </w:rPr>
        <w:t xml:space="preserve">The conditional </w:t>
      </w:r>
      <w:r w:rsidRPr="4ACFC745" w:rsidR="4E35239A">
        <w:rPr>
          <w:rFonts w:eastAsiaTheme="minorEastAsia"/>
        </w:rPr>
        <w:t xml:space="preserve">MEC </w:t>
      </w:r>
      <w:r w:rsidRPr="4ACFC745" w:rsidR="563B962D">
        <w:rPr>
          <w:rFonts w:eastAsiaTheme="minorEastAsia"/>
        </w:rPr>
        <w:t>response rate for participants examined in 2019 was 53%</w:t>
      </w:r>
      <w:r w:rsidRPr="4ACFC745" w:rsidR="22F76A72">
        <w:rPr>
          <w:rFonts w:eastAsiaTheme="minorEastAsia"/>
        </w:rPr>
        <w:t>;</w:t>
      </w:r>
      <w:r w:rsidRPr="4ACFC745" w:rsidR="7215CF80">
        <w:rPr>
          <w:rFonts w:eastAsiaTheme="minorEastAsia"/>
        </w:rPr>
        <w:t xml:space="preserve"> the August 2021</w:t>
      </w:r>
      <w:r w:rsidRPr="4ACFC745" w:rsidR="000E6534">
        <w:rPr>
          <w:rFonts w:eastAsiaTheme="minorEastAsia"/>
        </w:rPr>
        <w:t>–</w:t>
      </w:r>
      <w:r w:rsidRPr="4ACFC745" w:rsidR="7215CF80">
        <w:rPr>
          <w:rFonts w:eastAsiaTheme="minorEastAsia"/>
        </w:rPr>
        <w:t xml:space="preserve">August 2023 </w:t>
      </w:r>
      <w:r w:rsidRPr="4ACFC745" w:rsidR="21A112BA">
        <w:rPr>
          <w:rFonts w:cs="Arial"/>
        </w:rPr>
        <w:t xml:space="preserve">data collection </w:t>
      </w:r>
      <w:r w:rsidRPr="4ACFC745" w:rsidR="7215CF80">
        <w:rPr>
          <w:rFonts w:cs="Arial"/>
        </w:rPr>
        <w:t>cycle end</w:t>
      </w:r>
      <w:r w:rsidRPr="4ACFC745" w:rsidR="5228E57C">
        <w:rPr>
          <w:rFonts w:cs="Arial"/>
        </w:rPr>
        <w:t xml:space="preserve">ed with </w:t>
      </w:r>
      <w:r w:rsidRPr="4ACFC745" w:rsidR="22F76A72">
        <w:rPr>
          <w:rFonts w:cs="Arial"/>
        </w:rPr>
        <w:t xml:space="preserve">a </w:t>
      </w:r>
      <w:r w:rsidRPr="4ACFC745" w:rsidR="5228E57C">
        <w:rPr>
          <w:rFonts w:cs="Arial"/>
        </w:rPr>
        <w:t>39% con</w:t>
      </w:r>
      <w:r w:rsidRPr="4ACFC745" w:rsidR="21A112BA">
        <w:rPr>
          <w:rFonts w:cs="Arial"/>
        </w:rPr>
        <w:t>ditional response rate</w:t>
      </w:r>
      <w:r w:rsidRPr="4ACFC745" w:rsidR="1C232DFF">
        <w:rPr>
          <w:rFonts w:cs="Arial"/>
        </w:rPr>
        <w:t xml:space="preserve">. </w:t>
      </w:r>
    </w:p>
    <w:p w:rsidR="00807136" w:rsidRPr="00D73DE4" w:rsidP="00D73DE4" w14:paraId="1DF560CA" w14:textId="093A258F">
      <w:pPr>
        <w:widowControl/>
        <w:spacing w:after="120"/>
        <w:rPr>
          <w:rStyle w:val="FootnoteReference"/>
          <w:sz w:val="18"/>
          <w:szCs w:val="18"/>
        </w:rPr>
      </w:pPr>
      <w:r>
        <w:rPr>
          <w:noProof/>
        </w:rPr>
        <w:drawing>
          <wp:inline distT="0" distB="0" distL="0" distR="0">
            <wp:extent cx="5943600" cy="4314825"/>
            <wp:effectExtent l="0" t="0" r="0" b="9525"/>
            <wp:docPr id="6" name="Chart 6">
              <a:extLst xmlns:a="http://schemas.openxmlformats.org/drawingml/2006/main">
                <a:ext xmlns:a="http://schemas.openxmlformats.org/drawingml/2006/main" uri="{FF2B5EF4-FFF2-40B4-BE49-F238E27FC236}">
                  <a16:creationId xmlns:a16="http://schemas.microsoft.com/office/drawing/2014/main" id="{94E07B79-51F5-58AB-36FC-44960E1704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D73DE4">
        <w:rPr>
          <w:rFonts w:eastAsiaTheme="minorEastAsia"/>
          <w:sz w:val="18"/>
          <w:szCs w:val="18"/>
        </w:rPr>
        <w:t xml:space="preserve">Figure </w:t>
      </w:r>
      <w:r w:rsidRPr="00D73DE4">
        <w:rPr>
          <w:rFonts w:cs="Arial"/>
          <w:sz w:val="18"/>
          <w:szCs w:val="18"/>
        </w:rPr>
        <w:t xml:space="preserve">note: “2020!” indicates incomplete data collection in 2020; “2021*” and “2022*” indicate </w:t>
      </w:r>
      <w:r w:rsidRPr="00D73DE4" w:rsidR="00D52EF6">
        <w:rPr>
          <w:rFonts w:cs="Arial"/>
          <w:sz w:val="18"/>
          <w:szCs w:val="18"/>
        </w:rPr>
        <w:t xml:space="preserve">data collection from </w:t>
      </w:r>
      <w:r w:rsidRPr="00D73DE4">
        <w:rPr>
          <w:rFonts w:cs="Arial"/>
          <w:sz w:val="18"/>
          <w:szCs w:val="18"/>
        </w:rPr>
        <w:t>August 2021</w:t>
      </w:r>
      <w:r w:rsidRPr="00D73DE4" w:rsidR="000E6534">
        <w:rPr>
          <w:rFonts w:cs="Arial"/>
          <w:sz w:val="18"/>
          <w:szCs w:val="18"/>
        </w:rPr>
        <w:t xml:space="preserve"> </w:t>
      </w:r>
      <w:r w:rsidRPr="00D73DE4" w:rsidR="00375C6A">
        <w:rPr>
          <w:rFonts w:cs="Arial"/>
          <w:sz w:val="18"/>
          <w:szCs w:val="18"/>
        </w:rPr>
        <w:t xml:space="preserve">through </w:t>
      </w:r>
      <w:r w:rsidRPr="00D73DE4">
        <w:rPr>
          <w:rFonts w:cs="Arial"/>
          <w:sz w:val="18"/>
          <w:szCs w:val="18"/>
        </w:rPr>
        <w:t>August 2022</w:t>
      </w:r>
      <w:r w:rsidRPr="00D73DE4" w:rsidR="00D52EF6">
        <w:rPr>
          <w:rFonts w:cs="Arial"/>
          <w:sz w:val="18"/>
          <w:szCs w:val="18"/>
        </w:rPr>
        <w:t>.</w:t>
      </w:r>
    </w:p>
    <w:p w:rsidR="00957282" w:rsidRPr="003A3554" w:rsidP="00D73DE4" w14:paraId="30300726" w14:textId="2D68F98D">
      <w:pPr>
        <w:widowControl/>
        <w:spacing w:before="240" w:after="120"/>
        <w:rPr>
          <w:rFonts w:cs="Arial"/>
          <w:b/>
          <w:bCs/>
          <w:color w:val="000000"/>
        </w:rPr>
      </w:pPr>
      <w:r w:rsidRPr="00D73DE4">
        <w:rPr>
          <w:rFonts w:cs="Arial"/>
          <w:b/>
          <w:color w:val="000000"/>
        </w:rPr>
        <w:t xml:space="preserve">History of </w:t>
      </w:r>
      <w:r w:rsidRPr="00D73DE4" w:rsidR="3F5AD0C2">
        <w:rPr>
          <w:rFonts w:cs="Arial"/>
          <w:b/>
          <w:color w:val="000000"/>
        </w:rPr>
        <w:t xml:space="preserve">NHANES </w:t>
      </w:r>
      <w:r w:rsidRPr="00D73DE4">
        <w:rPr>
          <w:rFonts w:cs="Arial"/>
          <w:b/>
          <w:color w:val="000000"/>
        </w:rPr>
        <w:t>Incentives</w:t>
      </w:r>
    </w:p>
    <w:p w:rsidR="00EF41DF" w:rsidP="003A3554" w14:paraId="11D21C7F" w14:textId="79B01C0A">
      <w:pPr>
        <w:widowControl/>
        <w:spacing w:after="120"/>
        <w:rPr>
          <w:rFonts w:cs="Arial"/>
        </w:rPr>
      </w:pPr>
      <w:r w:rsidRPr="06FCE058">
        <w:rPr>
          <w:rFonts w:cs="Arial"/>
        </w:rPr>
        <w:t xml:space="preserve">To </w:t>
      </w:r>
      <w:r w:rsidR="0044394B">
        <w:rPr>
          <w:rFonts w:cs="Arial"/>
        </w:rPr>
        <w:t xml:space="preserve">improve </w:t>
      </w:r>
      <w:r w:rsidRPr="06FCE058">
        <w:rPr>
          <w:rFonts w:cs="Arial"/>
        </w:rPr>
        <w:t>response rates for the examination</w:t>
      </w:r>
      <w:r w:rsidR="003E39A7">
        <w:rPr>
          <w:rFonts w:cs="Arial"/>
        </w:rPr>
        <w:t xml:space="preserve"> component</w:t>
      </w:r>
      <w:r w:rsidRPr="06FCE058">
        <w:rPr>
          <w:rFonts w:cs="Arial"/>
        </w:rPr>
        <w:t xml:space="preserve">, NHANES participants have received incentives for their examination participation since the 1970s. </w:t>
      </w:r>
      <w:r w:rsidR="00541FC4">
        <w:rPr>
          <w:rFonts w:cs="Arial"/>
        </w:rPr>
        <w:t>Since the implementation of incen</w:t>
      </w:r>
      <w:r>
        <w:rPr>
          <w:rFonts w:cs="Arial"/>
        </w:rPr>
        <w:t>tive</w:t>
      </w:r>
      <w:r w:rsidR="006933E4">
        <w:rPr>
          <w:rFonts w:cs="Arial"/>
        </w:rPr>
        <w:t>s</w:t>
      </w:r>
      <w:r>
        <w:rPr>
          <w:rFonts w:cs="Arial"/>
        </w:rPr>
        <w:t xml:space="preserve"> on NHANES, experiments have been conducted to determine their effectiveness in increasing response rates and reducing nonresponse bias. </w:t>
      </w:r>
      <w:r w:rsidR="00DB6114">
        <w:rPr>
          <w:rFonts w:cs="Arial"/>
        </w:rPr>
        <w:t>The</w:t>
      </w:r>
      <w:r w:rsidR="00D430DF">
        <w:rPr>
          <w:rFonts w:cs="Arial"/>
        </w:rPr>
        <w:t xml:space="preserve"> major incentive experiments and </w:t>
      </w:r>
      <w:r w:rsidR="00EF5C99">
        <w:rPr>
          <w:rFonts w:cs="Arial"/>
        </w:rPr>
        <w:t xml:space="preserve">changes to incentive amounts are summarized in this section. </w:t>
      </w:r>
      <w:r w:rsidRPr="5D108CA1" w:rsidR="74440D56">
        <w:rPr>
          <w:rFonts w:cs="Arial"/>
        </w:rPr>
        <w:t>The response rates described below are not</w:t>
      </w:r>
      <w:r w:rsidR="00F759C4">
        <w:rPr>
          <w:rFonts w:cs="Arial"/>
        </w:rPr>
        <w:t xml:space="preserve"> necessarily</w:t>
      </w:r>
      <w:r w:rsidRPr="5D108CA1" w:rsidR="74440D56">
        <w:rPr>
          <w:rFonts w:cs="Arial"/>
        </w:rPr>
        <w:t xml:space="preserve"> the same conditional rates reported in the figure</w:t>
      </w:r>
      <w:r w:rsidR="004E0F0C">
        <w:rPr>
          <w:rFonts w:cs="Arial"/>
        </w:rPr>
        <w:t xml:space="preserve"> above</w:t>
      </w:r>
      <w:r w:rsidRPr="5D108CA1" w:rsidR="74440D56">
        <w:rPr>
          <w:rFonts w:cs="Arial"/>
        </w:rPr>
        <w:t>. Calculations may vary across reports.</w:t>
      </w:r>
    </w:p>
    <w:p w:rsidR="007277F2" w:rsidP="007277F2" w14:paraId="14854862" w14:textId="40A5B9BD">
      <w:pPr>
        <w:widowControl/>
        <w:spacing w:after="120"/>
        <w:rPr>
          <w:rFonts w:cs="Arial"/>
        </w:rPr>
      </w:pPr>
      <w:r w:rsidRPr="22BB2530">
        <w:rPr>
          <w:rFonts w:cs="Arial"/>
        </w:rPr>
        <w:t xml:space="preserve">Incentives began after a study was conducted to test the effect of giving incentives to </w:t>
      </w:r>
      <w:r w:rsidRPr="22BB2530" w:rsidR="0EEA13B4">
        <w:rPr>
          <w:rFonts w:cs="Arial"/>
        </w:rPr>
        <w:t>SP</w:t>
      </w:r>
      <w:r w:rsidRPr="22BB2530" w:rsidR="3C1F1FF6">
        <w:rPr>
          <w:rFonts w:cs="Arial"/>
        </w:rPr>
        <w:t xml:space="preserve">s </w:t>
      </w:r>
      <w:r w:rsidRPr="22BB2530">
        <w:rPr>
          <w:rFonts w:cs="Arial"/>
        </w:rPr>
        <w:t>who participated in NHANES I</w:t>
      </w:r>
      <w:r w:rsidRPr="5D108CA1" w:rsidR="74BB6BE2">
        <w:rPr>
          <w:rFonts w:cs="Arial"/>
        </w:rPr>
        <w:t xml:space="preserve"> (1971</w:t>
      </w:r>
      <w:r w:rsidR="00E64688">
        <w:rPr>
          <w:rFonts w:cs="Arial"/>
        </w:rPr>
        <w:t>–19</w:t>
      </w:r>
      <w:r w:rsidRPr="5D108CA1" w:rsidR="74BB6BE2">
        <w:rPr>
          <w:rFonts w:cs="Arial"/>
        </w:rPr>
        <w:t>74)</w:t>
      </w:r>
      <w:r w:rsidRPr="22BB2530">
        <w:rPr>
          <w:rFonts w:cs="Arial"/>
        </w:rPr>
        <w:t xml:space="preserve">. </w:t>
      </w:r>
      <w:r w:rsidRPr="22BB2530" w:rsidR="0D6811D7">
        <w:rPr>
          <w:rFonts w:cs="Arial"/>
        </w:rPr>
        <w:t xml:space="preserve">The study </w:t>
      </w:r>
      <w:r w:rsidRPr="22BB2530" w:rsidR="7331160A">
        <w:rPr>
          <w:rFonts w:cs="Arial"/>
        </w:rPr>
        <w:t xml:space="preserve">demonstrated </w:t>
      </w:r>
      <w:r w:rsidRPr="22BB2530" w:rsidR="0D6811D7">
        <w:rPr>
          <w:rFonts w:cs="Arial"/>
        </w:rPr>
        <w:t xml:space="preserve">that SPs who were told they </w:t>
      </w:r>
      <w:r w:rsidRPr="22BB2530" w:rsidR="6CDC41D8">
        <w:rPr>
          <w:rFonts w:cs="Arial"/>
        </w:rPr>
        <w:t xml:space="preserve">would </w:t>
      </w:r>
      <w:r w:rsidRPr="22BB2530" w:rsidR="0D6811D7">
        <w:rPr>
          <w:rFonts w:cs="Arial"/>
        </w:rPr>
        <w:t xml:space="preserve">receive an incentive had a </w:t>
      </w:r>
      <w:r w:rsidR="008A54C9">
        <w:rPr>
          <w:rFonts w:cs="Arial"/>
        </w:rPr>
        <w:t xml:space="preserve">MEC </w:t>
      </w:r>
      <w:r w:rsidR="0067622B">
        <w:rPr>
          <w:rFonts w:cs="Arial"/>
        </w:rPr>
        <w:t xml:space="preserve">exam conditional </w:t>
      </w:r>
      <w:r w:rsidRPr="22BB2530" w:rsidR="0D6811D7">
        <w:rPr>
          <w:rFonts w:cs="Arial"/>
        </w:rPr>
        <w:t xml:space="preserve">response rate (82%) </w:t>
      </w:r>
      <w:r w:rsidRPr="22BB2530" w:rsidR="001E756D">
        <w:rPr>
          <w:rFonts w:cs="Arial"/>
        </w:rPr>
        <w:t>12 percentage point</w:t>
      </w:r>
      <w:r w:rsidR="001E756D">
        <w:rPr>
          <w:rFonts w:cs="Arial"/>
        </w:rPr>
        <w:t>s higher</w:t>
      </w:r>
      <w:r w:rsidRPr="22BB2530" w:rsidR="001E756D">
        <w:rPr>
          <w:rFonts w:cs="Arial"/>
        </w:rPr>
        <w:t xml:space="preserve"> </w:t>
      </w:r>
      <w:r w:rsidRPr="22BB2530" w:rsidR="0D6811D7">
        <w:rPr>
          <w:rFonts w:cs="Arial"/>
        </w:rPr>
        <w:t xml:space="preserve">than SPs </w:t>
      </w:r>
      <w:r w:rsidRPr="22BB2530">
        <w:rPr>
          <w:rFonts w:cs="Arial"/>
        </w:rPr>
        <w:t xml:space="preserve">who were not told they would receive an incentive </w:t>
      </w:r>
      <w:r w:rsidRPr="22BB2530" w:rsidR="0D6811D7">
        <w:rPr>
          <w:rFonts w:cs="Arial"/>
        </w:rPr>
        <w:t>(</w:t>
      </w:r>
      <w:r w:rsidRPr="22BB2530">
        <w:rPr>
          <w:rFonts w:cs="Arial"/>
        </w:rPr>
        <w:t>70%</w:t>
      </w:r>
      <w:r w:rsidRPr="22BB2530" w:rsidR="0D6811D7">
        <w:rPr>
          <w:rFonts w:cs="Arial"/>
        </w:rPr>
        <w:t>)</w:t>
      </w:r>
      <w:r w:rsidRPr="22BB2530">
        <w:rPr>
          <w:rFonts w:cs="Arial"/>
        </w:rPr>
        <w:t xml:space="preserve">. Results of the study were published </w:t>
      </w:r>
      <w:r w:rsidRPr="22BB2530" w:rsidR="7CE9FAC9">
        <w:rPr>
          <w:rFonts w:cs="Arial"/>
        </w:rPr>
        <w:t xml:space="preserve">in the </w:t>
      </w:r>
      <w:r w:rsidRPr="22BB2530" w:rsidR="6EEE0C42">
        <w:rPr>
          <w:rFonts w:cs="Arial"/>
        </w:rPr>
        <w:t>report</w:t>
      </w:r>
      <w:r w:rsidRPr="22BB2530">
        <w:rPr>
          <w:rFonts w:cs="Arial"/>
        </w:rPr>
        <w:t xml:space="preserve"> </w:t>
      </w:r>
      <w:r w:rsidRPr="22BB2530" w:rsidR="4D6D307F">
        <w:rPr>
          <w:rFonts w:cs="Arial"/>
        </w:rPr>
        <w:t>“</w:t>
      </w:r>
      <w:r w:rsidRPr="22BB2530">
        <w:rPr>
          <w:rFonts w:cs="Arial"/>
        </w:rPr>
        <w:t>A Study of the Effect of Remuneration Upon Response in the Health and Nutrition Examination Survey, United States,</w:t>
      </w:r>
      <w:r w:rsidRPr="22BB2530" w:rsidR="4D6D307F">
        <w:rPr>
          <w:rFonts w:cs="Arial"/>
        </w:rPr>
        <w:t>”</w:t>
      </w:r>
      <w:r w:rsidRPr="22BB2530">
        <w:rPr>
          <w:rFonts w:cs="Arial"/>
        </w:rPr>
        <w:t xml:space="preserve"> </w:t>
      </w:r>
      <w:r w:rsidRPr="00D73DE4">
        <w:rPr>
          <w:rFonts w:cs="Arial"/>
          <w:i/>
        </w:rPr>
        <w:t>Vital and Health Statistics</w:t>
      </w:r>
      <w:r w:rsidRPr="22BB2530">
        <w:rPr>
          <w:rFonts w:cs="Arial"/>
        </w:rPr>
        <w:t xml:space="preserve">, Series 2-No.67. </w:t>
      </w:r>
    </w:p>
    <w:p w:rsidR="00957282" w:rsidRPr="000C3FAF" w:rsidP="007277F2" w14:paraId="31DB125A" w14:textId="5E148429">
      <w:pPr>
        <w:widowControl/>
        <w:spacing w:after="120"/>
        <w:rPr>
          <w:rFonts w:cs="Arial"/>
        </w:rPr>
      </w:pPr>
      <w:r w:rsidRPr="22BB2530">
        <w:rPr>
          <w:rFonts w:cs="Arial"/>
        </w:rPr>
        <w:t xml:space="preserve">During NHANES </w:t>
      </w:r>
      <w:r w:rsidRPr="5D108CA1" w:rsidR="00BA28B3">
        <w:rPr>
          <w:rFonts w:cs="Arial"/>
        </w:rPr>
        <w:t>II</w:t>
      </w:r>
      <w:r w:rsidRPr="5D108CA1" w:rsidR="53B0FAEB">
        <w:rPr>
          <w:rFonts w:cs="Arial"/>
        </w:rPr>
        <w:t xml:space="preserve"> (1976</w:t>
      </w:r>
      <w:r w:rsidR="00325DBB">
        <w:rPr>
          <w:rFonts w:cs="Arial"/>
        </w:rPr>
        <w:t>–19</w:t>
      </w:r>
      <w:r w:rsidRPr="5D108CA1" w:rsidR="53B0FAEB">
        <w:rPr>
          <w:rFonts w:cs="Arial"/>
        </w:rPr>
        <w:t>80)</w:t>
      </w:r>
      <w:r w:rsidRPr="22BB2530">
        <w:rPr>
          <w:rFonts w:cs="Arial"/>
        </w:rPr>
        <w:t xml:space="preserve">, a </w:t>
      </w:r>
      <w:r w:rsidRPr="22BB2530" w:rsidR="332DBAFB">
        <w:rPr>
          <w:rFonts w:cs="Arial"/>
        </w:rPr>
        <w:t>study was conducted</w:t>
      </w:r>
      <w:r w:rsidRPr="22BB2530">
        <w:rPr>
          <w:rFonts w:cs="Arial"/>
        </w:rPr>
        <w:t xml:space="preserve"> </w:t>
      </w:r>
      <w:r w:rsidRPr="22BB2530" w:rsidR="12C657C8">
        <w:rPr>
          <w:rFonts w:cs="Arial"/>
        </w:rPr>
        <w:t xml:space="preserve">to determine </w:t>
      </w:r>
      <w:r w:rsidRPr="22BB2530" w:rsidR="332DBAFB">
        <w:rPr>
          <w:rFonts w:cs="Arial"/>
        </w:rPr>
        <w:t>the effect of increasing incentives</w:t>
      </w:r>
      <w:r w:rsidRPr="22BB2530" w:rsidR="7504E919">
        <w:rPr>
          <w:rFonts w:cs="Arial"/>
        </w:rPr>
        <w:t xml:space="preserve"> on survey response rates</w:t>
      </w:r>
      <w:r w:rsidRPr="22BB2530" w:rsidR="332DBAFB">
        <w:rPr>
          <w:rFonts w:cs="Arial"/>
        </w:rPr>
        <w:t xml:space="preserve">. It </w:t>
      </w:r>
      <w:r w:rsidRPr="22BB2530" w:rsidR="7504E919">
        <w:rPr>
          <w:rFonts w:cs="Arial"/>
        </w:rPr>
        <w:t xml:space="preserve">revealed </w:t>
      </w:r>
      <w:r w:rsidRPr="22BB2530" w:rsidR="332DBAFB">
        <w:rPr>
          <w:rFonts w:cs="Arial"/>
        </w:rPr>
        <w:t xml:space="preserve">that those </w:t>
      </w:r>
      <w:r w:rsidR="00325DBB">
        <w:rPr>
          <w:rFonts w:cs="Arial"/>
        </w:rPr>
        <w:t>who were</w:t>
      </w:r>
      <w:r w:rsidRPr="22BB2530" w:rsidR="332DBAFB">
        <w:rPr>
          <w:rFonts w:cs="Arial"/>
        </w:rPr>
        <w:t xml:space="preserve"> told they would receive </w:t>
      </w:r>
      <w:r w:rsidRPr="22BB2530" w:rsidR="332DBAFB">
        <w:rPr>
          <w:rFonts w:cs="Arial"/>
        </w:rPr>
        <w:t xml:space="preserve">$20 after their examination had a </w:t>
      </w:r>
      <w:r w:rsidRPr="22BB2530" w:rsidR="1E60FD8E">
        <w:rPr>
          <w:rFonts w:cs="Arial"/>
        </w:rPr>
        <w:t xml:space="preserve">higher </w:t>
      </w:r>
      <w:r w:rsidR="0067622B">
        <w:rPr>
          <w:rFonts w:cs="Arial"/>
        </w:rPr>
        <w:t xml:space="preserve">MEC </w:t>
      </w:r>
      <w:r w:rsidR="008C112E">
        <w:rPr>
          <w:rFonts w:cs="Arial"/>
        </w:rPr>
        <w:t xml:space="preserve">exam conditional </w:t>
      </w:r>
      <w:r w:rsidRPr="22BB2530" w:rsidR="5CF56EAB">
        <w:rPr>
          <w:rFonts w:cs="Arial"/>
        </w:rPr>
        <w:t xml:space="preserve">response </w:t>
      </w:r>
      <w:r w:rsidRPr="22BB2530" w:rsidR="332DBAFB">
        <w:rPr>
          <w:rFonts w:cs="Arial"/>
        </w:rPr>
        <w:t xml:space="preserve">rate </w:t>
      </w:r>
      <w:r w:rsidRPr="22BB2530" w:rsidR="1E60FD8E">
        <w:rPr>
          <w:rFonts w:cs="Arial"/>
        </w:rPr>
        <w:t>(</w:t>
      </w:r>
      <w:r w:rsidRPr="22BB2530" w:rsidR="332DBAFB">
        <w:rPr>
          <w:rFonts w:cs="Arial"/>
        </w:rPr>
        <w:t>79%</w:t>
      </w:r>
      <w:r w:rsidRPr="22BB2530" w:rsidR="1E60FD8E">
        <w:rPr>
          <w:rFonts w:cs="Arial"/>
        </w:rPr>
        <w:t xml:space="preserve">) </w:t>
      </w:r>
      <w:r w:rsidRPr="22BB2530" w:rsidR="6604AEF2">
        <w:rPr>
          <w:rFonts w:cs="Arial"/>
        </w:rPr>
        <w:t>than</w:t>
      </w:r>
      <w:r w:rsidRPr="22BB2530" w:rsidR="5CF56EAB">
        <w:rPr>
          <w:rFonts w:cs="Arial"/>
        </w:rPr>
        <w:t xml:space="preserve"> </w:t>
      </w:r>
      <w:r w:rsidRPr="22BB2530" w:rsidR="332DBAFB">
        <w:rPr>
          <w:rFonts w:cs="Arial"/>
        </w:rPr>
        <w:t xml:space="preserve">those told they would receive </w:t>
      </w:r>
      <w:r w:rsidRPr="22BB2530" w:rsidR="0F82A626">
        <w:rPr>
          <w:rFonts w:cs="Arial"/>
        </w:rPr>
        <w:t>only</w:t>
      </w:r>
      <w:r w:rsidRPr="22BB2530" w:rsidR="332DBAFB">
        <w:rPr>
          <w:rFonts w:cs="Arial"/>
        </w:rPr>
        <w:t xml:space="preserve"> $10 </w:t>
      </w:r>
      <w:r w:rsidRPr="22BB2530" w:rsidR="5321601C">
        <w:rPr>
          <w:rFonts w:cs="Arial"/>
        </w:rPr>
        <w:t xml:space="preserve">(74%). </w:t>
      </w:r>
    </w:p>
    <w:p w:rsidR="00957282" w:rsidRPr="00553B6A" w:rsidP="003A3554" w14:paraId="2AC1E4F4" w14:textId="3F8CB638">
      <w:pPr>
        <w:widowControl/>
        <w:spacing w:after="120"/>
        <w:rPr>
          <w:rFonts w:cs="Arial"/>
          <w:strike/>
        </w:rPr>
      </w:pPr>
      <w:r w:rsidRPr="06FCE058">
        <w:rPr>
          <w:rFonts w:cs="Arial"/>
        </w:rPr>
        <w:t>In NHANES III (1988</w:t>
      </w:r>
      <w:r w:rsidR="00260D46">
        <w:rPr>
          <w:rFonts w:cs="Arial"/>
        </w:rPr>
        <w:t>–19</w:t>
      </w:r>
      <w:r w:rsidRPr="06FCE058">
        <w:rPr>
          <w:rFonts w:cs="Arial"/>
        </w:rPr>
        <w:t>94)</w:t>
      </w:r>
      <w:r w:rsidR="00E77294">
        <w:rPr>
          <w:rFonts w:cs="Arial"/>
        </w:rPr>
        <w:t>,</w:t>
      </w:r>
      <w:r w:rsidRPr="06FCE058">
        <w:rPr>
          <w:rFonts w:cs="Arial"/>
        </w:rPr>
        <w:t xml:space="preserve"> differential incentives were successfully </w:t>
      </w:r>
      <w:r w:rsidR="008505EB">
        <w:rPr>
          <w:rFonts w:cs="Arial"/>
        </w:rPr>
        <w:t>utilized to persuade SP</w:t>
      </w:r>
      <w:r w:rsidRPr="06FCE058">
        <w:rPr>
          <w:rFonts w:cs="Arial"/>
        </w:rPr>
        <w:t xml:space="preserve">s to </w:t>
      </w:r>
      <w:r w:rsidR="00404C9D">
        <w:rPr>
          <w:rFonts w:cs="Arial"/>
        </w:rPr>
        <w:t xml:space="preserve">attend </w:t>
      </w:r>
      <w:r w:rsidR="003E5612">
        <w:rPr>
          <w:rFonts w:cs="Arial"/>
        </w:rPr>
        <w:t xml:space="preserve">an </w:t>
      </w:r>
      <w:r w:rsidRPr="06FCE058">
        <w:rPr>
          <w:rFonts w:cs="Arial"/>
        </w:rPr>
        <w:t xml:space="preserve">examination session (morning, afternoon, or evening) to which they were randomly assigned. </w:t>
      </w:r>
      <w:r w:rsidR="00277039">
        <w:rPr>
          <w:rFonts w:cs="Arial"/>
        </w:rPr>
        <w:t xml:space="preserve">In </w:t>
      </w:r>
      <w:r w:rsidRPr="06FCE058">
        <w:rPr>
          <w:rFonts w:cs="Arial"/>
        </w:rPr>
        <w:t>prior years</w:t>
      </w:r>
      <w:r w:rsidR="00732F02">
        <w:rPr>
          <w:rFonts w:cs="Arial"/>
        </w:rPr>
        <w:t>,</w:t>
      </w:r>
      <w:r w:rsidRPr="06FCE058">
        <w:rPr>
          <w:rFonts w:cs="Arial"/>
        </w:rPr>
        <w:t xml:space="preserve"> participants were asked to fast for certain tests and </w:t>
      </w:r>
      <w:r w:rsidR="00031DC6">
        <w:rPr>
          <w:rFonts w:cs="Arial"/>
        </w:rPr>
        <w:t>to</w:t>
      </w:r>
      <w:r w:rsidRPr="06FCE058">
        <w:rPr>
          <w:rFonts w:cs="Arial"/>
        </w:rPr>
        <w:t xml:space="preserve"> arrive at specific session times </w:t>
      </w:r>
      <w:r w:rsidR="00031DC6">
        <w:rPr>
          <w:rFonts w:cs="Arial"/>
        </w:rPr>
        <w:t xml:space="preserve">that </w:t>
      </w:r>
      <w:r w:rsidRPr="06FCE058">
        <w:rPr>
          <w:rFonts w:cs="Arial"/>
        </w:rPr>
        <w:t>correspond</w:t>
      </w:r>
      <w:r w:rsidR="008F0B84">
        <w:rPr>
          <w:rFonts w:cs="Arial"/>
        </w:rPr>
        <w:t>ed to the test requirements</w:t>
      </w:r>
      <w:r w:rsidR="00B10D28">
        <w:rPr>
          <w:rFonts w:cs="Arial"/>
        </w:rPr>
        <w:t xml:space="preserve"> with no variations in </w:t>
      </w:r>
      <w:r w:rsidR="000C2818">
        <w:rPr>
          <w:rFonts w:cs="Arial"/>
        </w:rPr>
        <w:t>incentive remunerations</w:t>
      </w:r>
      <w:r w:rsidRPr="00D90ACF" w:rsidR="000C2818">
        <w:rPr>
          <w:rFonts w:cs="Arial"/>
        </w:rPr>
        <w:t xml:space="preserve">. </w:t>
      </w:r>
      <w:r w:rsidR="00424C13">
        <w:rPr>
          <w:rFonts w:cs="Arial"/>
        </w:rPr>
        <w:t xml:space="preserve">Shifting to the </w:t>
      </w:r>
      <w:r w:rsidR="00D90ACF">
        <w:rPr>
          <w:rFonts w:cs="Arial"/>
        </w:rPr>
        <w:t>administration</w:t>
      </w:r>
      <w:r w:rsidR="00424C13">
        <w:rPr>
          <w:rFonts w:cs="Arial"/>
        </w:rPr>
        <w:t xml:space="preserve"> of differ</w:t>
      </w:r>
      <w:r w:rsidR="00F746CB">
        <w:rPr>
          <w:rFonts w:cs="Arial"/>
        </w:rPr>
        <w:t xml:space="preserve">ential incentives based on </w:t>
      </w:r>
      <w:r w:rsidR="007171AF">
        <w:rPr>
          <w:rFonts w:cs="Arial"/>
        </w:rPr>
        <w:t xml:space="preserve">appointment scheduling </w:t>
      </w:r>
      <w:r w:rsidR="00A769E8">
        <w:rPr>
          <w:rFonts w:cs="Arial"/>
        </w:rPr>
        <w:t>help</w:t>
      </w:r>
      <w:r w:rsidR="00D76700">
        <w:rPr>
          <w:rFonts w:cs="Arial"/>
        </w:rPr>
        <w:t>ed</w:t>
      </w:r>
      <w:r w:rsidR="00A769E8">
        <w:rPr>
          <w:rFonts w:cs="Arial"/>
        </w:rPr>
        <w:t xml:space="preserve"> achieve sufficient </w:t>
      </w:r>
      <w:r w:rsidR="00CD7845">
        <w:rPr>
          <w:rFonts w:cs="Arial"/>
        </w:rPr>
        <w:t>representation</w:t>
      </w:r>
      <w:r w:rsidR="00A769E8">
        <w:rPr>
          <w:rFonts w:cs="Arial"/>
        </w:rPr>
        <w:t xml:space="preserve"> </w:t>
      </w:r>
      <w:r w:rsidR="00D84667">
        <w:rPr>
          <w:rFonts w:cs="Arial"/>
        </w:rPr>
        <w:t xml:space="preserve">for </w:t>
      </w:r>
      <w:r w:rsidR="00D17F01">
        <w:rPr>
          <w:rFonts w:cs="Arial"/>
        </w:rPr>
        <w:t xml:space="preserve">both the fasting and </w:t>
      </w:r>
      <w:r w:rsidR="00D17F01">
        <w:rPr>
          <w:rFonts w:cs="Arial"/>
        </w:rPr>
        <w:t>nonfasting</w:t>
      </w:r>
      <w:r w:rsidR="00D17F01">
        <w:rPr>
          <w:rFonts w:cs="Arial"/>
        </w:rPr>
        <w:t xml:space="preserve"> </w:t>
      </w:r>
      <w:r w:rsidR="00D90ACF">
        <w:rPr>
          <w:rFonts w:cs="Arial"/>
        </w:rPr>
        <w:t>participants</w:t>
      </w:r>
      <w:r w:rsidR="00CE3222">
        <w:rPr>
          <w:rFonts w:cs="Arial"/>
        </w:rPr>
        <w:t xml:space="preserve">. </w:t>
      </w:r>
    </w:p>
    <w:p w:rsidR="00957282" w:rsidRPr="000C3FAF" w:rsidP="003A3554" w14:paraId="22C6C43B" w14:textId="577BBB60">
      <w:pPr>
        <w:widowControl/>
        <w:spacing w:after="120"/>
        <w:rPr>
          <w:rFonts w:cs="Arial"/>
        </w:rPr>
      </w:pPr>
      <w:r>
        <w:rPr>
          <w:rFonts w:cs="Arial"/>
        </w:rPr>
        <w:t>When c</w:t>
      </w:r>
      <w:r w:rsidRPr="000C3FAF">
        <w:rPr>
          <w:rFonts w:cs="Arial"/>
        </w:rPr>
        <w:t>ontinuous NHANES began in 1999</w:t>
      </w:r>
      <w:r>
        <w:rPr>
          <w:rFonts w:cs="Arial"/>
        </w:rPr>
        <w:t>,</w:t>
      </w:r>
      <w:r w:rsidRPr="000C3FAF">
        <w:rPr>
          <w:rFonts w:cs="Arial"/>
        </w:rPr>
        <w:t xml:space="preserve"> the </w:t>
      </w:r>
      <w:r w:rsidR="00A20088">
        <w:rPr>
          <w:rFonts w:cs="Arial"/>
        </w:rPr>
        <w:t xml:space="preserve">MEC exam </w:t>
      </w:r>
      <w:r w:rsidR="00FE74FA">
        <w:rPr>
          <w:rFonts w:cs="Arial"/>
        </w:rPr>
        <w:t xml:space="preserve">conditional </w:t>
      </w:r>
      <w:r w:rsidRPr="000C3FAF">
        <w:rPr>
          <w:rFonts w:cs="Arial"/>
        </w:rPr>
        <w:t xml:space="preserve">response rate </w:t>
      </w:r>
      <w:r w:rsidR="00DA5CE7">
        <w:rPr>
          <w:rFonts w:cs="Arial"/>
        </w:rPr>
        <w:t xml:space="preserve">of </w:t>
      </w:r>
      <w:r w:rsidRPr="000C3FAF">
        <w:rPr>
          <w:rFonts w:cs="Arial"/>
        </w:rPr>
        <w:t>72%</w:t>
      </w:r>
      <w:r>
        <w:rPr>
          <w:rFonts w:cs="Arial"/>
        </w:rPr>
        <w:t xml:space="preserve"> </w:t>
      </w:r>
      <w:r w:rsidR="00DA5CE7">
        <w:rPr>
          <w:rFonts w:cs="Arial"/>
        </w:rPr>
        <w:t>was</w:t>
      </w:r>
      <w:r>
        <w:rPr>
          <w:rFonts w:cs="Arial"/>
        </w:rPr>
        <w:t xml:space="preserve"> </w:t>
      </w:r>
      <w:r>
        <w:rPr>
          <w:rFonts w:cs="Arial"/>
        </w:rPr>
        <w:t xml:space="preserve">lower than previous response rates </w:t>
      </w:r>
      <w:r w:rsidR="00DA5CE7">
        <w:rPr>
          <w:rFonts w:cs="Arial"/>
        </w:rPr>
        <w:t>experience</w:t>
      </w:r>
      <w:r w:rsidR="00FA0CD8">
        <w:rPr>
          <w:rFonts w:cs="Arial"/>
        </w:rPr>
        <w:t>d</w:t>
      </w:r>
      <w:r w:rsidR="00DA5CE7">
        <w:rPr>
          <w:rFonts w:cs="Arial"/>
        </w:rPr>
        <w:t xml:space="preserve"> </w:t>
      </w:r>
      <w:r>
        <w:rPr>
          <w:rFonts w:cs="Arial"/>
        </w:rPr>
        <w:t>for NHANES I, II</w:t>
      </w:r>
      <w:r w:rsidR="008D368C">
        <w:rPr>
          <w:rFonts w:cs="Arial"/>
        </w:rPr>
        <w:t>,</w:t>
      </w:r>
      <w:r>
        <w:rPr>
          <w:rFonts w:cs="Arial"/>
        </w:rPr>
        <w:t xml:space="preserve"> or III</w:t>
      </w:r>
      <w:r>
        <w:rPr>
          <w:rFonts w:cs="Arial"/>
        </w:rPr>
        <w:t xml:space="preserve">. </w:t>
      </w:r>
      <w:r w:rsidR="00E2203F">
        <w:rPr>
          <w:rFonts w:cs="Arial"/>
        </w:rPr>
        <w:t xml:space="preserve">To help address this decline in survey response rate, </w:t>
      </w:r>
      <w:r w:rsidRPr="000C3FAF">
        <w:rPr>
          <w:rFonts w:cs="Arial"/>
        </w:rPr>
        <w:t>a</w:t>
      </w:r>
      <w:r>
        <w:rPr>
          <w:rFonts w:cs="Arial"/>
        </w:rPr>
        <w:t>n</w:t>
      </w:r>
      <w:r w:rsidRPr="000C3FAF">
        <w:rPr>
          <w:rFonts w:cs="Arial"/>
        </w:rPr>
        <w:t xml:space="preserve"> </w:t>
      </w:r>
      <w:r>
        <w:rPr>
          <w:rFonts w:cs="Arial"/>
        </w:rPr>
        <w:t>incentive</w:t>
      </w:r>
      <w:r w:rsidRPr="000C3FAF">
        <w:rPr>
          <w:rFonts w:cs="Arial"/>
        </w:rPr>
        <w:t xml:space="preserve"> study </w:t>
      </w:r>
      <w:r>
        <w:rPr>
          <w:rFonts w:cs="Arial"/>
        </w:rPr>
        <w:t xml:space="preserve">was implemented </w:t>
      </w:r>
      <w:r w:rsidRPr="000C3FAF">
        <w:rPr>
          <w:rFonts w:cs="Arial"/>
        </w:rPr>
        <w:t xml:space="preserve">in 2000. The </w:t>
      </w:r>
      <w:r w:rsidR="006F0A10">
        <w:rPr>
          <w:rFonts w:cs="Arial"/>
        </w:rPr>
        <w:t xml:space="preserve">study </w:t>
      </w:r>
      <w:r w:rsidR="00CA098F">
        <w:rPr>
          <w:rFonts w:cs="Arial"/>
        </w:rPr>
        <w:t>treatment</w:t>
      </w:r>
      <w:r w:rsidRPr="000C3FAF">
        <w:rPr>
          <w:rFonts w:cs="Arial"/>
        </w:rPr>
        <w:t xml:space="preserve"> groups </w:t>
      </w:r>
      <w:r w:rsidR="00CA098F">
        <w:rPr>
          <w:rFonts w:cs="Arial"/>
        </w:rPr>
        <w:t xml:space="preserve">received </w:t>
      </w:r>
      <w:r w:rsidR="00802000">
        <w:rPr>
          <w:rFonts w:cs="Arial"/>
        </w:rPr>
        <w:t xml:space="preserve">either </w:t>
      </w:r>
      <w:r w:rsidRPr="000C3FAF">
        <w:rPr>
          <w:rFonts w:cs="Arial"/>
        </w:rPr>
        <w:t xml:space="preserve">the current </w:t>
      </w:r>
      <w:r>
        <w:rPr>
          <w:rFonts w:cs="Arial"/>
        </w:rPr>
        <w:t xml:space="preserve">incentive </w:t>
      </w:r>
      <w:r w:rsidRPr="000C3FAF">
        <w:rPr>
          <w:rFonts w:cs="Arial"/>
        </w:rPr>
        <w:t xml:space="preserve">level </w:t>
      </w:r>
      <w:r w:rsidR="0059070E">
        <w:rPr>
          <w:rFonts w:cs="Arial"/>
        </w:rPr>
        <w:t xml:space="preserve">or </w:t>
      </w:r>
      <w:r w:rsidR="00315540">
        <w:rPr>
          <w:rFonts w:cs="Arial"/>
        </w:rPr>
        <w:t>one that was</w:t>
      </w:r>
      <w:r>
        <w:rPr>
          <w:rFonts w:cs="Arial"/>
        </w:rPr>
        <w:t xml:space="preserve"> </w:t>
      </w:r>
      <w:r w:rsidRPr="000C3FAF">
        <w:rPr>
          <w:rFonts w:cs="Arial"/>
        </w:rPr>
        <w:t>approximately 50</w:t>
      </w:r>
      <w:r w:rsidR="0006563F">
        <w:rPr>
          <w:rFonts w:cs="Arial"/>
        </w:rPr>
        <w:t>%</w:t>
      </w:r>
      <w:r w:rsidRPr="000C3FAF">
        <w:rPr>
          <w:rFonts w:cs="Arial"/>
        </w:rPr>
        <w:t xml:space="preserve"> higher. Interviewers were not blinded to the </w:t>
      </w:r>
      <w:r>
        <w:rPr>
          <w:rFonts w:cs="Arial"/>
        </w:rPr>
        <w:t>incentive</w:t>
      </w:r>
      <w:r w:rsidR="000F0BE8">
        <w:rPr>
          <w:rFonts w:cs="Arial"/>
        </w:rPr>
        <w:t xml:space="preserve"> </w:t>
      </w:r>
      <w:r>
        <w:rPr>
          <w:rFonts w:cs="Arial"/>
        </w:rPr>
        <w:t xml:space="preserve">groups </w:t>
      </w:r>
      <w:r w:rsidR="005F586F">
        <w:rPr>
          <w:rFonts w:cs="Arial"/>
        </w:rPr>
        <w:t>because</w:t>
      </w:r>
      <w:r>
        <w:rPr>
          <w:rFonts w:cs="Arial"/>
        </w:rPr>
        <w:t xml:space="preserve"> their </w:t>
      </w:r>
      <w:r w:rsidRPr="000C3FAF">
        <w:rPr>
          <w:rFonts w:cs="Arial"/>
        </w:rPr>
        <w:t xml:space="preserve">primary objective </w:t>
      </w:r>
      <w:r>
        <w:rPr>
          <w:rFonts w:cs="Arial"/>
        </w:rPr>
        <w:t>was</w:t>
      </w:r>
      <w:r w:rsidRPr="000C3FAF">
        <w:rPr>
          <w:rFonts w:cs="Arial"/>
        </w:rPr>
        <w:t xml:space="preserve"> to get the participant</w:t>
      </w:r>
      <w:r>
        <w:rPr>
          <w:rFonts w:cs="Arial"/>
        </w:rPr>
        <w:t>s</w:t>
      </w:r>
      <w:r w:rsidRPr="000C3FAF">
        <w:rPr>
          <w:rFonts w:cs="Arial"/>
        </w:rPr>
        <w:t xml:space="preserve"> to the examination center. </w:t>
      </w:r>
      <w:r w:rsidRPr="000C3FAF" w:rsidR="00C7686B">
        <w:rPr>
          <w:rFonts w:cs="Arial"/>
        </w:rPr>
        <w:t xml:space="preserve">After 5,900 observations, the overall response rate </w:t>
      </w:r>
      <w:r w:rsidR="009C1A7B">
        <w:rPr>
          <w:rFonts w:cs="Arial"/>
        </w:rPr>
        <w:t xml:space="preserve">did not differ </w:t>
      </w:r>
      <w:r w:rsidR="00715EB0">
        <w:rPr>
          <w:rFonts w:cs="Arial"/>
        </w:rPr>
        <w:t xml:space="preserve">across treatment </w:t>
      </w:r>
      <w:r w:rsidRPr="000C3FAF" w:rsidR="00C7686B">
        <w:rPr>
          <w:rFonts w:cs="Arial"/>
        </w:rPr>
        <w:t xml:space="preserve">groups. </w:t>
      </w:r>
      <w:r w:rsidR="00C7686B">
        <w:rPr>
          <w:rFonts w:cs="Arial"/>
        </w:rPr>
        <w:t xml:space="preserve">However, </w:t>
      </w:r>
      <w:r w:rsidR="006B0D7F">
        <w:rPr>
          <w:rFonts w:cs="Arial"/>
        </w:rPr>
        <w:t>c</w:t>
      </w:r>
      <w:r w:rsidRPr="000C3FAF">
        <w:rPr>
          <w:rFonts w:cs="Arial"/>
        </w:rPr>
        <w:t>omments made during the debriefing suggested that interviewers spent more time convincing the lower</w:t>
      </w:r>
      <w:r w:rsidR="008302E6">
        <w:rPr>
          <w:rFonts w:cs="Arial"/>
        </w:rPr>
        <w:t>-</w:t>
      </w:r>
      <w:r>
        <w:rPr>
          <w:rFonts w:cs="Arial"/>
        </w:rPr>
        <w:t>incentive</w:t>
      </w:r>
      <w:r w:rsidRPr="000C3FAF">
        <w:rPr>
          <w:rFonts w:cs="Arial"/>
        </w:rPr>
        <w:t xml:space="preserve"> group to be examined. </w:t>
      </w:r>
    </w:p>
    <w:p w:rsidR="00197E24" w:rsidP="003A3554" w14:paraId="7FA477B8" w14:textId="5D987191">
      <w:pPr>
        <w:widowControl/>
        <w:spacing w:after="120"/>
        <w:rPr>
          <w:rFonts w:cs="Arial"/>
        </w:rPr>
      </w:pPr>
      <w:r w:rsidRPr="4EEBC3C8">
        <w:rPr>
          <w:rFonts w:cs="Arial"/>
        </w:rPr>
        <w:t xml:space="preserve">Between January and October 2019, NHANES conducted a pilot study </w:t>
      </w:r>
      <w:r w:rsidR="00432091">
        <w:rPr>
          <w:rFonts w:cs="Arial"/>
        </w:rPr>
        <w:t>that</w:t>
      </w:r>
      <w:r w:rsidRPr="4EEBC3C8">
        <w:rPr>
          <w:rFonts w:cs="Arial"/>
        </w:rPr>
        <w:t xml:space="preserve"> offer</w:t>
      </w:r>
      <w:r w:rsidR="006B0D7F">
        <w:rPr>
          <w:rFonts w:cs="Arial"/>
        </w:rPr>
        <w:t>ed</w:t>
      </w:r>
      <w:r w:rsidRPr="4EEBC3C8">
        <w:rPr>
          <w:rFonts w:cs="Arial"/>
        </w:rPr>
        <w:t xml:space="preserve"> incentives for the screening and SP interview components. </w:t>
      </w:r>
      <w:r w:rsidRPr="008F6013" w:rsidR="008F6013">
        <w:rPr>
          <w:rFonts w:cs="Arial"/>
        </w:rPr>
        <w:t>This was the first time that incentive</w:t>
      </w:r>
      <w:r w:rsidR="008302E6">
        <w:rPr>
          <w:rFonts w:cs="Arial"/>
        </w:rPr>
        <w:t>s</w:t>
      </w:r>
      <w:r w:rsidRPr="008F6013" w:rsidR="008F6013">
        <w:rPr>
          <w:rFonts w:cs="Arial"/>
        </w:rPr>
        <w:t xml:space="preserve"> at the screening and SP interviews were tested in NHANES. Historically, NHANES has only used incentives for participants completing the exam at the MEC. </w:t>
      </w:r>
      <w:r w:rsidRPr="4EEBC3C8">
        <w:rPr>
          <w:rFonts w:cs="Arial"/>
        </w:rPr>
        <w:t xml:space="preserve">The purpose of this pilot was to assess what impact, if any, different incentive levels have on response, effort, and data quality. </w:t>
      </w:r>
      <w:r w:rsidRPr="00D03C6D" w:rsidR="00D03C6D">
        <w:rPr>
          <w:rFonts w:cs="Arial"/>
        </w:rPr>
        <w:t>This pilot was conducted in 10 NHANES locations across seven states.</w:t>
      </w:r>
    </w:p>
    <w:p w:rsidR="00197E24" w:rsidRPr="002422A7" w:rsidP="00D73DE4" w14:paraId="70E0EBAD" w14:textId="79E2FABF">
      <w:pPr>
        <w:pStyle w:val="ListParagraph"/>
        <w:widowControl/>
        <w:numPr>
          <w:ilvl w:val="0"/>
          <w:numId w:val="1"/>
        </w:numPr>
        <w:rPr>
          <w:rFonts w:cs="Arial"/>
        </w:rPr>
      </w:pPr>
      <w:r w:rsidRPr="00197E24">
        <w:rPr>
          <w:rFonts w:cs="Arial"/>
        </w:rPr>
        <w:t>For the screener, the incentive levels being compared were $0 (control), $2</w:t>
      </w:r>
      <w:r w:rsidR="009D7EE6">
        <w:rPr>
          <w:rFonts w:cs="Arial"/>
        </w:rPr>
        <w:t>,</w:t>
      </w:r>
      <w:r w:rsidRPr="00197E24">
        <w:rPr>
          <w:rFonts w:cs="Arial"/>
        </w:rPr>
        <w:t xml:space="preserve"> and $5.</w:t>
      </w:r>
      <w:r w:rsidR="002422A7">
        <w:rPr>
          <w:rFonts w:cs="Arial"/>
        </w:rPr>
        <w:t xml:space="preserve"> </w:t>
      </w:r>
      <w:r w:rsidRPr="002422A7">
        <w:rPr>
          <w:rFonts w:cs="Arial"/>
        </w:rPr>
        <w:t>During the pilot</w:t>
      </w:r>
      <w:r w:rsidR="003B5369">
        <w:rPr>
          <w:rFonts w:cs="Arial"/>
        </w:rPr>
        <w:t>,</w:t>
      </w:r>
      <w:r w:rsidRPr="002422A7">
        <w:rPr>
          <w:rFonts w:cs="Arial"/>
        </w:rPr>
        <w:t xml:space="preserve"> some benefit was observed for the $2 prepaid incentive. However, this benefit was not large enough to support using any incentive at the screening </w:t>
      </w:r>
      <w:r w:rsidRPr="002422A7" w:rsidR="00743E61">
        <w:rPr>
          <w:rFonts w:cs="Arial"/>
        </w:rPr>
        <w:t xml:space="preserve">stage </w:t>
      </w:r>
      <w:r w:rsidRPr="002422A7">
        <w:rPr>
          <w:rFonts w:cs="Arial"/>
        </w:rPr>
        <w:t xml:space="preserve">of NHANES. </w:t>
      </w:r>
    </w:p>
    <w:p w:rsidR="00CF008B" w:rsidRPr="007C68CF" w:rsidP="00D73DE4" w14:paraId="3D0DA54F" w14:textId="3C49B49F">
      <w:pPr>
        <w:pStyle w:val="ListParagraph"/>
        <w:widowControl/>
        <w:numPr>
          <w:ilvl w:val="0"/>
          <w:numId w:val="1"/>
        </w:numPr>
        <w:rPr>
          <w:rFonts w:cs="Arial"/>
        </w:rPr>
      </w:pPr>
      <w:r w:rsidRPr="66A29210">
        <w:rPr>
          <w:rFonts w:cs="Arial"/>
        </w:rPr>
        <w:t xml:space="preserve">For the SP interview, the incentive levels being compared were $0 (control), $20, and $40. </w:t>
      </w:r>
      <w:r w:rsidRPr="66A29210" w:rsidR="007C68CF">
        <w:rPr>
          <w:rFonts w:cs="Arial"/>
        </w:rPr>
        <w:t>B</w:t>
      </w:r>
      <w:r w:rsidRPr="66A29210" w:rsidR="458E2306">
        <w:rPr>
          <w:rFonts w:cs="Arial"/>
        </w:rPr>
        <w:t xml:space="preserve">oth the $20 and $40 SP interview incentives positively increased </w:t>
      </w:r>
      <w:r w:rsidR="006059A0">
        <w:rPr>
          <w:rFonts w:cs="Arial"/>
        </w:rPr>
        <w:t xml:space="preserve">overall </w:t>
      </w:r>
      <w:r w:rsidRPr="66A29210" w:rsidR="00E46A35">
        <w:rPr>
          <w:rFonts w:cs="Arial"/>
        </w:rPr>
        <w:t>r</w:t>
      </w:r>
      <w:r w:rsidRPr="66A29210" w:rsidR="458E2306">
        <w:rPr>
          <w:rFonts w:cs="Arial"/>
        </w:rPr>
        <w:t xml:space="preserve">esponse </w:t>
      </w:r>
      <w:r w:rsidRPr="66A29210" w:rsidR="007C68CF">
        <w:rPr>
          <w:rFonts w:cs="Arial"/>
        </w:rPr>
        <w:t xml:space="preserve">rates </w:t>
      </w:r>
      <w:r w:rsidRPr="66A29210" w:rsidR="458E2306">
        <w:rPr>
          <w:rFonts w:cs="Arial"/>
        </w:rPr>
        <w:t xml:space="preserve">and reduced </w:t>
      </w:r>
      <w:r w:rsidRPr="66A29210" w:rsidR="00BF7544">
        <w:rPr>
          <w:rFonts w:cs="Arial"/>
        </w:rPr>
        <w:t xml:space="preserve">the number of </w:t>
      </w:r>
      <w:r w:rsidRPr="66A29210" w:rsidR="458E2306">
        <w:rPr>
          <w:rFonts w:cs="Arial"/>
        </w:rPr>
        <w:t xml:space="preserve">contacts per completed SP interview. </w:t>
      </w:r>
      <w:r w:rsidRPr="66A29210" w:rsidR="003145CA">
        <w:rPr>
          <w:rFonts w:cs="Arial"/>
        </w:rPr>
        <w:t>Additionally, significant increases in the c</w:t>
      </w:r>
      <w:r w:rsidRPr="66A29210" w:rsidR="458E2306">
        <w:rPr>
          <w:rFonts w:cs="Arial"/>
        </w:rPr>
        <w:t xml:space="preserve">onditional SP </w:t>
      </w:r>
      <w:r w:rsidRPr="66A29210" w:rsidR="00D4351E">
        <w:rPr>
          <w:rFonts w:cs="Arial"/>
        </w:rPr>
        <w:t>interview</w:t>
      </w:r>
      <w:r w:rsidRPr="66A29210" w:rsidR="458E2306">
        <w:rPr>
          <w:rFonts w:cs="Arial"/>
        </w:rPr>
        <w:t xml:space="preserve"> response </w:t>
      </w:r>
      <w:r w:rsidRPr="66A29210" w:rsidR="6546B4BF">
        <w:rPr>
          <w:rFonts w:cs="Arial"/>
        </w:rPr>
        <w:t xml:space="preserve">rate </w:t>
      </w:r>
      <w:r w:rsidRPr="66A29210" w:rsidR="458E2306">
        <w:rPr>
          <w:rFonts w:cs="Arial"/>
        </w:rPr>
        <w:t xml:space="preserve">among women, children 11 </w:t>
      </w:r>
      <w:r w:rsidRPr="66A29210" w:rsidR="008D2805">
        <w:rPr>
          <w:rFonts w:cs="Arial"/>
        </w:rPr>
        <w:t xml:space="preserve">years of age </w:t>
      </w:r>
      <w:r w:rsidRPr="66A29210" w:rsidR="458E2306">
        <w:rPr>
          <w:rFonts w:cs="Arial"/>
        </w:rPr>
        <w:t xml:space="preserve">and younger, </w:t>
      </w:r>
      <w:r w:rsidRPr="66A29210" w:rsidR="00E4503B">
        <w:rPr>
          <w:rFonts w:cs="Arial"/>
        </w:rPr>
        <w:t>non-Hispanic Blacks</w:t>
      </w:r>
      <w:r w:rsidRPr="66A29210" w:rsidR="61FC2671">
        <w:rPr>
          <w:rFonts w:cs="Arial"/>
        </w:rPr>
        <w:t>,</w:t>
      </w:r>
      <w:r w:rsidRPr="66A29210" w:rsidR="458E2306">
        <w:rPr>
          <w:rFonts w:cs="Arial"/>
        </w:rPr>
        <w:t xml:space="preserve"> and Hispanics</w:t>
      </w:r>
      <w:r w:rsidRPr="66A29210" w:rsidR="003145CA">
        <w:rPr>
          <w:rFonts w:cs="Arial"/>
        </w:rPr>
        <w:t xml:space="preserve"> were </w:t>
      </w:r>
      <w:r w:rsidRPr="66A29210" w:rsidR="006E24BA">
        <w:rPr>
          <w:rFonts w:cs="Arial"/>
        </w:rPr>
        <w:t xml:space="preserve">achieved </w:t>
      </w:r>
      <w:r w:rsidRPr="66A29210" w:rsidR="003145CA">
        <w:rPr>
          <w:rFonts w:cs="Arial"/>
        </w:rPr>
        <w:t>with both the $20 and $40 incentive</w:t>
      </w:r>
      <w:r w:rsidRPr="66A29210" w:rsidR="1CD894D4">
        <w:rPr>
          <w:rFonts w:cs="Arial"/>
        </w:rPr>
        <w:t>.</w:t>
      </w:r>
    </w:p>
    <w:p w:rsidR="00CF008B" w:rsidRPr="00CF008B" w:rsidP="003A3554" w14:paraId="4F8B9AA5" w14:textId="77777777">
      <w:pPr>
        <w:widowControl/>
        <w:rPr>
          <w:rFonts w:cs="Arial"/>
        </w:rPr>
      </w:pPr>
    </w:p>
    <w:p w:rsidR="00957282" w:rsidP="003A3554" w14:paraId="71E30D08" w14:textId="75824BA1">
      <w:pPr>
        <w:widowControl/>
        <w:spacing w:after="120"/>
        <w:rPr>
          <w:rFonts w:cs="Arial"/>
        </w:rPr>
      </w:pPr>
      <w:r w:rsidRPr="66A29210">
        <w:rPr>
          <w:rFonts w:cs="Arial"/>
        </w:rPr>
        <w:t xml:space="preserve">As a result of this </w:t>
      </w:r>
      <w:r w:rsidRPr="66A29210" w:rsidR="006E24BA">
        <w:rPr>
          <w:rFonts w:cs="Arial"/>
        </w:rPr>
        <w:t>pilot study</w:t>
      </w:r>
      <w:r w:rsidRPr="66A29210">
        <w:rPr>
          <w:rFonts w:cs="Arial"/>
        </w:rPr>
        <w:t xml:space="preserve">, </w:t>
      </w:r>
      <w:r w:rsidRPr="66A29210" w:rsidR="00DE2339">
        <w:rPr>
          <w:rFonts w:cs="Arial"/>
        </w:rPr>
        <w:t xml:space="preserve">starting in 2021 </w:t>
      </w:r>
      <w:r w:rsidRPr="66A29210">
        <w:rPr>
          <w:rFonts w:cs="Arial"/>
        </w:rPr>
        <w:t xml:space="preserve">the program began implementing an incentive of $25 for the SP interview (conditional on SPs completing the SP interview) in the NHANES main study. </w:t>
      </w:r>
      <w:r w:rsidR="0036519E">
        <w:rPr>
          <w:rFonts w:cs="Arial"/>
        </w:rPr>
        <w:t>The intention was for the incentive to boost interview responses and</w:t>
      </w:r>
      <w:r w:rsidR="00731A0F">
        <w:rPr>
          <w:rFonts w:cs="Arial"/>
        </w:rPr>
        <w:t>,</w:t>
      </w:r>
      <w:r w:rsidR="0036519E">
        <w:rPr>
          <w:rFonts w:cs="Arial"/>
        </w:rPr>
        <w:t xml:space="preserve"> in turn</w:t>
      </w:r>
      <w:r w:rsidR="00731A0F">
        <w:rPr>
          <w:rFonts w:cs="Arial"/>
        </w:rPr>
        <w:t>,</w:t>
      </w:r>
      <w:r w:rsidR="0036519E">
        <w:rPr>
          <w:rFonts w:cs="Arial"/>
        </w:rPr>
        <w:t xml:space="preserve"> participatio</w:t>
      </w:r>
      <w:r w:rsidR="00B45D24">
        <w:rPr>
          <w:rFonts w:cs="Arial"/>
        </w:rPr>
        <w:t xml:space="preserve">n in the MEC examination. </w:t>
      </w:r>
      <w:r w:rsidRPr="66A29210" w:rsidR="00B762DE">
        <w:rPr>
          <w:rFonts w:cs="Arial"/>
        </w:rPr>
        <w:t>Additionally</w:t>
      </w:r>
      <w:r w:rsidRPr="66A29210" w:rsidR="00A34BAC">
        <w:rPr>
          <w:rFonts w:cs="Arial"/>
        </w:rPr>
        <w:t>,</w:t>
      </w:r>
      <w:r w:rsidRPr="66A29210" w:rsidR="00B762DE">
        <w:rPr>
          <w:rFonts w:cs="Arial"/>
        </w:rPr>
        <w:t xml:space="preserve"> in 2021</w:t>
      </w:r>
      <w:r w:rsidRPr="66A29210" w:rsidR="0004787E">
        <w:rPr>
          <w:rFonts w:cs="Arial"/>
        </w:rPr>
        <w:t xml:space="preserve"> t</w:t>
      </w:r>
      <w:r w:rsidRPr="66A29210" w:rsidR="00B762DE">
        <w:rPr>
          <w:rFonts w:eastAsia="Arial" w:cs="Arial"/>
        </w:rPr>
        <w:t>he MEC examination incentive was</w:t>
      </w:r>
      <w:r w:rsidRPr="66A29210" w:rsidR="0004787E">
        <w:rPr>
          <w:rFonts w:eastAsia="Arial" w:cs="Arial"/>
        </w:rPr>
        <w:t xml:space="preserve"> lowered to</w:t>
      </w:r>
      <w:r w:rsidRPr="66A29210" w:rsidR="00B762DE">
        <w:rPr>
          <w:rFonts w:eastAsia="Arial" w:cs="Arial"/>
        </w:rPr>
        <w:t xml:space="preserve"> $85</w:t>
      </w:r>
      <w:r w:rsidRPr="66A29210" w:rsidR="0004787E">
        <w:rPr>
          <w:rFonts w:eastAsia="Arial" w:cs="Arial"/>
        </w:rPr>
        <w:t xml:space="preserve"> from</w:t>
      </w:r>
      <w:r w:rsidRPr="66A29210" w:rsidR="00B762DE">
        <w:rPr>
          <w:rFonts w:eastAsia="Arial" w:cs="Arial"/>
        </w:rPr>
        <w:t xml:space="preserve"> the $125 used in 2009</w:t>
      </w:r>
      <w:r w:rsidR="00731A0F">
        <w:rPr>
          <w:rFonts w:eastAsia="Arial" w:cs="Arial"/>
        </w:rPr>
        <w:t>–</w:t>
      </w:r>
      <w:r w:rsidRPr="66A29210" w:rsidR="00B762DE">
        <w:rPr>
          <w:rFonts w:eastAsia="Arial" w:cs="Arial"/>
        </w:rPr>
        <w:t>2020</w:t>
      </w:r>
      <w:r w:rsidRPr="66A29210" w:rsidR="0004787E">
        <w:rPr>
          <w:rFonts w:eastAsia="Arial" w:cs="Arial"/>
        </w:rPr>
        <w:t xml:space="preserve">. </w:t>
      </w:r>
    </w:p>
    <w:p w:rsidR="000E28BD" w:rsidP="06FCE058" w14:paraId="4BF58EA6" w14:textId="5E8F9265">
      <w:pPr>
        <w:widowControl/>
        <w:spacing w:after="120"/>
        <w:rPr>
          <w:rFonts w:eastAsia="Arial" w:cs="Arial"/>
        </w:rPr>
      </w:pPr>
      <w:r w:rsidRPr="66A29210">
        <w:rPr>
          <w:rFonts w:eastAsia="Arial" w:cs="Arial"/>
        </w:rPr>
        <w:t xml:space="preserve">Despite using an SP interview incentive in 2021, the project </w:t>
      </w:r>
      <w:r w:rsidRPr="66A29210" w:rsidR="00425A02">
        <w:rPr>
          <w:rFonts w:eastAsia="Arial" w:cs="Arial"/>
        </w:rPr>
        <w:t>experienced decreasing response rates among interviewed SPs who went on to complete a MEC examination. In the 2019</w:t>
      </w:r>
      <w:r w:rsidR="00731A0F">
        <w:rPr>
          <w:rFonts w:eastAsia="Arial" w:cs="Arial"/>
        </w:rPr>
        <w:t>–</w:t>
      </w:r>
      <w:r w:rsidRPr="66A29210" w:rsidR="00425A02">
        <w:rPr>
          <w:rFonts w:eastAsia="Arial" w:cs="Arial"/>
        </w:rPr>
        <w:t xml:space="preserve">2020 cycle, the </w:t>
      </w:r>
      <w:r w:rsidRPr="66A29210" w:rsidR="00E860C8">
        <w:rPr>
          <w:rFonts w:eastAsia="Arial" w:cs="Arial"/>
        </w:rPr>
        <w:t xml:space="preserve">MEC exam stage </w:t>
      </w:r>
      <w:r w:rsidRPr="66A29210" w:rsidR="00425A02">
        <w:rPr>
          <w:rFonts w:eastAsia="Arial" w:cs="Arial"/>
        </w:rPr>
        <w:t xml:space="preserve">response rate among </w:t>
      </w:r>
      <w:r w:rsidRPr="66A29210" w:rsidR="00C135B7">
        <w:rPr>
          <w:rFonts w:eastAsia="Arial" w:cs="Arial"/>
        </w:rPr>
        <w:t>interviewed SPs</w:t>
      </w:r>
      <w:r w:rsidRPr="66A29210" w:rsidR="00425A02">
        <w:rPr>
          <w:rFonts w:eastAsia="Arial" w:cs="Arial"/>
        </w:rPr>
        <w:t xml:space="preserve"> was 89%. However, in the first four locations of 2021, only 72% of interviewed participants went on to complete a MEC examination.</w:t>
      </w:r>
      <w:r w:rsidRPr="66A29210" w:rsidR="006053D9">
        <w:rPr>
          <w:rFonts w:eastAsia="Arial" w:cs="Arial"/>
        </w:rPr>
        <w:t xml:space="preserve"> To address declining response rates, i</w:t>
      </w:r>
      <w:r w:rsidRPr="66A29210" w:rsidR="4FF7C5F9">
        <w:rPr>
          <w:rFonts w:eastAsia="Arial" w:cs="Arial"/>
        </w:rPr>
        <w:t>n 2022 NHANES received OMB approval to restore the MEC incentive for adults (16</w:t>
      </w:r>
      <w:r w:rsidRPr="66A29210" w:rsidR="00B35C1C">
        <w:rPr>
          <w:rFonts w:eastAsia="Arial" w:cs="Arial"/>
        </w:rPr>
        <w:t xml:space="preserve"> years of age and older</w:t>
      </w:r>
      <w:r w:rsidRPr="66A29210" w:rsidR="4FF7C5F9">
        <w:rPr>
          <w:rFonts w:eastAsia="Arial" w:cs="Arial"/>
        </w:rPr>
        <w:t xml:space="preserve">) from the initial amount of $85 implemented </w:t>
      </w:r>
      <w:r w:rsidRPr="66A29210" w:rsidR="7E18C117">
        <w:rPr>
          <w:rFonts w:eastAsia="Arial" w:cs="Arial"/>
        </w:rPr>
        <w:t>in</w:t>
      </w:r>
      <w:r w:rsidRPr="66A29210" w:rsidR="4FF7C5F9">
        <w:rPr>
          <w:rFonts w:eastAsia="Arial" w:cs="Arial"/>
        </w:rPr>
        <w:t xml:space="preserve"> 2021</w:t>
      </w:r>
      <w:r w:rsidRPr="66A29210" w:rsidR="6020A705">
        <w:rPr>
          <w:rFonts w:eastAsia="Arial" w:cs="Arial"/>
        </w:rPr>
        <w:t xml:space="preserve"> </w:t>
      </w:r>
      <w:r w:rsidRPr="66A29210" w:rsidR="186CE85B">
        <w:rPr>
          <w:rFonts w:eastAsia="Arial" w:cs="Arial"/>
        </w:rPr>
        <w:t>back</w:t>
      </w:r>
      <w:r w:rsidRPr="66A29210" w:rsidR="4FF7C5F9">
        <w:rPr>
          <w:rFonts w:eastAsia="Arial" w:cs="Arial"/>
        </w:rPr>
        <w:t xml:space="preserve"> to </w:t>
      </w:r>
      <w:r w:rsidRPr="66A29210" w:rsidR="005430F1">
        <w:rPr>
          <w:rFonts w:eastAsia="Arial" w:cs="Arial"/>
        </w:rPr>
        <w:t xml:space="preserve">the </w:t>
      </w:r>
      <w:r w:rsidRPr="66A29210" w:rsidR="4FF7C5F9">
        <w:rPr>
          <w:rFonts w:eastAsia="Arial" w:cs="Arial"/>
        </w:rPr>
        <w:t xml:space="preserve">$125 </w:t>
      </w:r>
      <w:r w:rsidRPr="66A29210" w:rsidR="73359485">
        <w:rPr>
          <w:rFonts w:eastAsia="Arial" w:cs="Arial"/>
        </w:rPr>
        <w:t>that was</w:t>
      </w:r>
      <w:r w:rsidRPr="66A29210" w:rsidR="4FF7C5F9">
        <w:rPr>
          <w:rFonts w:eastAsia="Arial" w:cs="Arial"/>
        </w:rPr>
        <w:t xml:space="preserve"> </w:t>
      </w:r>
      <w:r w:rsidRPr="66A29210" w:rsidR="00ED247A">
        <w:rPr>
          <w:rFonts w:eastAsia="Arial" w:cs="Arial"/>
        </w:rPr>
        <w:t>used</w:t>
      </w:r>
      <w:r w:rsidRPr="66A29210" w:rsidR="4FF7C5F9">
        <w:rPr>
          <w:rFonts w:eastAsia="Arial" w:cs="Arial"/>
        </w:rPr>
        <w:t xml:space="preserve"> </w:t>
      </w:r>
      <w:r w:rsidRPr="66A29210" w:rsidR="73359485">
        <w:rPr>
          <w:rFonts w:eastAsia="Arial" w:cs="Arial"/>
        </w:rPr>
        <w:t>in</w:t>
      </w:r>
      <w:r w:rsidRPr="66A29210" w:rsidR="4FF7C5F9">
        <w:rPr>
          <w:rFonts w:eastAsia="Arial" w:cs="Arial"/>
        </w:rPr>
        <w:t xml:space="preserve"> 2009</w:t>
      </w:r>
      <w:r w:rsidR="00731A0F">
        <w:rPr>
          <w:rFonts w:eastAsia="Arial" w:cs="Arial"/>
        </w:rPr>
        <w:t>–</w:t>
      </w:r>
      <w:r w:rsidRPr="66A29210" w:rsidR="4FF7C5F9">
        <w:rPr>
          <w:rFonts w:eastAsia="Arial" w:cs="Arial"/>
        </w:rPr>
        <w:t xml:space="preserve">2020. </w:t>
      </w:r>
      <w:r w:rsidRPr="66A29210" w:rsidR="701B51E6">
        <w:rPr>
          <w:rFonts w:eastAsia="Arial" w:cs="Arial"/>
        </w:rPr>
        <w:t>Utilizing the higher MEC incentive resulted in</w:t>
      </w:r>
      <w:r w:rsidRPr="66A29210" w:rsidR="0AFC1C4C">
        <w:rPr>
          <w:rFonts w:eastAsia="Arial" w:cs="Arial"/>
        </w:rPr>
        <w:t xml:space="preserve"> a 7</w:t>
      </w:r>
      <w:r w:rsidRPr="66A29210" w:rsidR="00DB5F96">
        <w:rPr>
          <w:rFonts w:eastAsia="Arial" w:cs="Arial"/>
        </w:rPr>
        <w:t xml:space="preserve"> </w:t>
      </w:r>
      <w:r w:rsidRPr="66A29210" w:rsidR="0AFC1C4C">
        <w:rPr>
          <w:rFonts w:eastAsia="Arial" w:cs="Arial"/>
        </w:rPr>
        <w:t xml:space="preserve">percentage point increase in the </w:t>
      </w:r>
      <w:r w:rsidRPr="66A29210" w:rsidR="003C65BE">
        <w:rPr>
          <w:rFonts w:eastAsia="Arial" w:cs="Arial"/>
        </w:rPr>
        <w:t>MEC</w:t>
      </w:r>
      <w:r w:rsidRPr="66A29210" w:rsidR="00AE00E7">
        <w:rPr>
          <w:rFonts w:eastAsia="Arial" w:cs="Arial"/>
        </w:rPr>
        <w:t xml:space="preserve"> exam stage </w:t>
      </w:r>
      <w:r w:rsidRPr="66A29210" w:rsidR="0AFC1C4C">
        <w:rPr>
          <w:rFonts w:eastAsia="Arial" w:cs="Arial"/>
        </w:rPr>
        <w:t xml:space="preserve">response rate, a </w:t>
      </w:r>
      <w:r w:rsidRPr="66A29210" w:rsidR="0AFC1C4C">
        <w:rPr>
          <w:rFonts w:eastAsia="Arial" w:cs="Arial"/>
        </w:rPr>
        <w:t xml:space="preserve">narrower range in response rates across </w:t>
      </w:r>
      <w:r w:rsidRPr="66A29210" w:rsidR="33B84EAB">
        <w:rPr>
          <w:rFonts w:eastAsia="Arial" w:cs="Arial"/>
        </w:rPr>
        <w:t>primary sampling units</w:t>
      </w:r>
      <w:r w:rsidRPr="66A29210" w:rsidR="0AFC1C4C">
        <w:rPr>
          <w:rFonts w:eastAsia="Arial" w:cs="Arial"/>
        </w:rPr>
        <w:t>, and reduced variability in response rates across demographic groups</w:t>
      </w:r>
      <w:r w:rsidRPr="66A29210" w:rsidR="00905B7B">
        <w:rPr>
          <w:rFonts w:eastAsia="Arial" w:cs="Arial"/>
        </w:rPr>
        <w:t xml:space="preserve"> for participants 16</w:t>
      </w:r>
      <w:r w:rsidRPr="66A29210" w:rsidR="008835C2">
        <w:rPr>
          <w:rFonts w:eastAsia="Arial" w:cs="Arial"/>
        </w:rPr>
        <w:t xml:space="preserve"> years of age and older, </w:t>
      </w:r>
      <w:r w:rsidRPr="66A29210" w:rsidR="0055133C">
        <w:rPr>
          <w:rFonts w:eastAsia="Arial" w:cs="Arial"/>
        </w:rPr>
        <w:t xml:space="preserve">the </w:t>
      </w:r>
      <w:r w:rsidRPr="66A29210" w:rsidR="0089380D">
        <w:rPr>
          <w:rFonts w:eastAsia="Arial" w:cs="Arial"/>
        </w:rPr>
        <w:t xml:space="preserve">experiment </w:t>
      </w:r>
      <w:r w:rsidRPr="66A29210" w:rsidR="00486AF5">
        <w:rPr>
          <w:rFonts w:eastAsia="Arial" w:cs="Arial"/>
        </w:rPr>
        <w:t>age group</w:t>
      </w:r>
      <w:r w:rsidRPr="66A29210" w:rsidR="0AFC1C4C">
        <w:rPr>
          <w:rFonts w:eastAsia="Arial" w:cs="Arial"/>
        </w:rPr>
        <w:t xml:space="preserve">. </w:t>
      </w:r>
    </w:p>
    <w:p w:rsidR="00957282" w:rsidP="00BF2265" w14:paraId="58328634" w14:textId="7C89D598">
      <w:pPr>
        <w:widowControl/>
        <w:spacing w:after="120"/>
      </w:pPr>
      <w:r w:rsidRPr="2D86C9A7">
        <w:rPr>
          <w:rFonts w:eastAsia="Arial" w:cs="Arial"/>
        </w:rPr>
        <w:t>For 2025</w:t>
      </w:r>
      <w:r w:rsidRPr="2D86C9A7" w:rsidR="00731A0F">
        <w:rPr>
          <w:rFonts w:eastAsia="Arial" w:cs="Arial"/>
        </w:rPr>
        <w:t>–</w:t>
      </w:r>
      <w:r w:rsidRPr="2D86C9A7">
        <w:rPr>
          <w:rFonts w:eastAsia="Arial" w:cs="Arial"/>
        </w:rPr>
        <w:t xml:space="preserve">2026, the </w:t>
      </w:r>
      <w:r w:rsidRPr="2D86C9A7" w:rsidR="000429FE">
        <w:rPr>
          <w:rFonts w:eastAsia="Arial" w:cs="Arial"/>
        </w:rPr>
        <w:t>p</w:t>
      </w:r>
      <w:r w:rsidRPr="2D86C9A7">
        <w:rPr>
          <w:rFonts w:eastAsia="Arial" w:cs="Arial"/>
        </w:rPr>
        <w:t xml:space="preserve">rogram plans </w:t>
      </w:r>
      <w:r w:rsidRPr="2D86C9A7" w:rsidR="00D212D9">
        <w:rPr>
          <w:rFonts w:eastAsia="Arial" w:cs="Arial"/>
        </w:rPr>
        <w:t>t</w:t>
      </w:r>
      <w:r w:rsidRPr="2D86C9A7" w:rsidR="007C3FA4">
        <w:rPr>
          <w:rFonts w:eastAsia="Arial" w:cs="Arial"/>
        </w:rPr>
        <w:t>o balance response rate and cost considerations</w:t>
      </w:r>
      <w:r w:rsidRPr="2D86C9A7" w:rsidR="00D212D9">
        <w:rPr>
          <w:rFonts w:eastAsia="Arial" w:cs="Arial"/>
        </w:rPr>
        <w:t xml:space="preserve"> with </w:t>
      </w:r>
      <w:r w:rsidRPr="2D86C9A7" w:rsidR="009574FF">
        <w:rPr>
          <w:rFonts w:eastAsia="Arial" w:cs="Arial"/>
        </w:rPr>
        <w:t>a MEC incentive of $100</w:t>
      </w:r>
      <w:r w:rsidRPr="2D86C9A7" w:rsidR="00EA7355">
        <w:rPr>
          <w:rFonts w:eastAsia="Arial" w:cs="Arial"/>
        </w:rPr>
        <w:t xml:space="preserve">, </w:t>
      </w:r>
      <w:r w:rsidRPr="2D86C9A7" w:rsidR="003A1759">
        <w:rPr>
          <w:rFonts w:eastAsia="Arial" w:cs="Arial"/>
        </w:rPr>
        <w:t xml:space="preserve">an amount falling </w:t>
      </w:r>
      <w:r w:rsidRPr="2D86C9A7" w:rsidR="00EA7355">
        <w:rPr>
          <w:rFonts w:eastAsia="Arial" w:cs="Arial"/>
        </w:rPr>
        <w:t xml:space="preserve">between the $85 used </w:t>
      </w:r>
      <w:r w:rsidRPr="2D86C9A7" w:rsidR="00540BD0">
        <w:rPr>
          <w:rFonts w:eastAsia="Arial" w:cs="Arial"/>
        </w:rPr>
        <w:t>in 2021</w:t>
      </w:r>
      <w:r w:rsidRPr="2D86C9A7" w:rsidR="0094061D">
        <w:rPr>
          <w:rFonts w:eastAsia="Arial" w:cs="Arial"/>
        </w:rPr>
        <w:t xml:space="preserve"> </w:t>
      </w:r>
      <w:r w:rsidRPr="2D86C9A7" w:rsidR="00540BD0">
        <w:rPr>
          <w:rFonts w:eastAsia="Arial" w:cs="Arial"/>
        </w:rPr>
        <w:t xml:space="preserve">and the $125 used </w:t>
      </w:r>
      <w:r w:rsidRPr="2D86C9A7" w:rsidR="0053686A">
        <w:rPr>
          <w:rFonts w:eastAsia="Arial" w:cs="Arial"/>
        </w:rPr>
        <w:t xml:space="preserve">in </w:t>
      </w:r>
      <w:r w:rsidRPr="2D86C9A7" w:rsidR="00371FDF">
        <w:rPr>
          <w:rFonts w:eastAsia="Arial" w:cs="Arial"/>
        </w:rPr>
        <w:t>2009</w:t>
      </w:r>
      <w:r w:rsidRPr="2D86C9A7" w:rsidR="00731A0F">
        <w:rPr>
          <w:rFonts w:eastAsia="Arial" w:cs="Arial"/>
        </w:rPr>
        <w:t>–</w:t>
      </w:r>
      <w:r w:rsidRPr="2D86C9A7" w:rsidR="00371FDF">
        <w:rPr>
          <w:rFonts w:eastAsia="Arial" w:cs="Arial"/>
        </w:rPr>
        <w:t xml:space="preserve">2020 and </w:t>
      </w:r>
      <w:r w:rsidRPr="2D86C9A7" w:rsidR="0053686A">
        <w:rPr>
          <w:rFonts w:eastAsia="Arial" w:cs="Arial"/>
        </w:rPr>
        <w:t>202</w:t>
      </w:r>
      <w:r w:rsidRPr="2D86C9A7" w:rsidR="0094061D">
        <w:rPr>
          <w:rFonts w:eastAsia="Arial" w:cs="Arial"/>
        </w:rPr>
        <w:t>2</w:t>
      </w:r>
      <w:r w:rsidRPr="2D86C9A7" w:rsidR="00731A0F">
        <w:rPr>
          <w:rFonts w:eastAsia="Arial" w:cs="Arial"/>
        </w:rPr>
        <w:t>–</w:t>
      </w:r>
      <w:r w:rsidRPr="2D86C9A7" w:rsidR="00371FDF">
        <w:rPr>
          <w:rFonts w:eastAsia="Arial" w:cs="Arial"/>
        </w:rPr>
        <w:t>2023.</w:t>
      </w:r>
      <w:r w:rsidRPr="2D86C9A7" w:rsidR="002F6D8E">
        <w:rPr>
          <w:rFonts w:eastAsia="Arial" w:cs="Arial"/>
        </w:rPr>
        <w:t xml:space="preserve"> </w:t>
      </w:r>
      <w:r w:rsidRPr="2D86C9A7" w:rsidR="21A6C859">
        <w:rPr>
          <w:rFonts w:eastAsia="Arial" w:cs="Arial"/>
        </w:rPr>
        <w:t xml:space="preserve"> Because evidence supports that increasing the incentive above $85 for the MEC exam is effective, the program has increased to $100.  Should budget allow and response rates warrant, program may propose a higher amount in future data cycles.</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6234" w:rsidP="000C6234" w14:paraId="4E6772D0" w14:textId="0D94D9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64B8B">
      <w:rPr>
        <w:rStyle w:val="PageNumber"/>
        <w:noProof/>
      </w:rPr>
      <w:t>1</w:t>
    </w:r>
    <w:r>
      <w:rPr>
        <w:rStyle w:val="PageNumber"/>
      </w:rPr>
      <w:fldChar w:fldCharType="end"/>
    </w:r>
  </w:p>
  <w:p w:rsidR="000C6234" w14:paraId="71AC619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0A33" w:rsidRPr="00164B8B" w14:paraId="3F52AF6D" w14:textId="6B5740BF">
    <w:pPr>
      <w:pStyle w:val="Footer"/>
      <w:jc w:val="center"/>
      <w:rPr>
        <w:rFonts w:ascii="Arial" w:hAnsi="Arial" w:cs="Arial"/>
        <w:sz w:val="20"/>
      </w:rPr>
    </w:pPr>
    <w:r w:rsidRPr="00164B8B">
      <w:rPr>
        <w:rFonts w:ascii="Arial" w:hAnsi="Arial" w:cs="Arial"/>
        <w:sz w:val="20"/>
      </w:rPr>
      <w:t>10-</w:t>
    </w:r>
    <w:sdt>
      <w:sdtPr>
        <w:rPr>
          <w:rFonts w:ascii="Arial" w:hAnsi="Arial" w:cs="Arial"/>
          <w:sz w:val="20"/>
        </w:rPr>
        <w:id w:val="-836073217"/>
        <w:docPartObj>
          <w:docPartGallery w:val="Page Numbers (Bottom of Page)"/>
          <w:docPartUnique/>
        </w:docPartObj>
      </w:sdtPr>
      <w:sdtEndPr>
        <w:rPr>
          <w:noProof/>
        </w:rPr>
      </w:sdtEndPr>
      <w:sdtContent>
        <w:r w:rsidRPr="00164B8B">
          <w:rPr>
            <w:rFonts w:ascii="Arial" w:hAnsi="Arial" w:cs="Arial"/>
            <w:sz w:val="20"/>
          </w:rPr>
          <w:fldChar w:fldCharType="begin"/>
        </w:r>
        <w:r w:rsidRPr="00164B8B">
          <w:rPr>
            <w:rFonts w:ascii="Arial" w:hAnsi="Arial" w:cs="Arial"/>
            <w:sz w:val="20"/>
          </w:rPr>
          <w:instrText xml:space="preserve"> PAGE   \* MERGEFORMAT </w:instrText>
        </w:r>
        <w:r w:rsidRPr="00164B8B">
          <w:rPr>
            <w:rFonts w:ascii="Arial" w:hAnsi="Arial" w:cs="Arial"/>
            <w:sz w:val="20"/>
          </w:rPr>
          <w:fldChar w:fldCharType="separate"/>
        </w:r>
        <w:r w:rsidRPr="00164B8B">
          <w:rPr>
            <w:rFonts w:ascii="Arial" w:hAnsi="Arial" w:cs="Arial"/>
            <w:noProof/>
            <w:sz w:val="20"/>
          </w:rPr>
          <w:t>2</w:t>
        </w:r>
        <w:r w:rsidRPr="00164B8B">
          <w:rPr>
            <w:rFonts w:ascii="Arial" w:hAnsi="Arial" w:cs="Arial"/>
            <w:noProof/>
            <w:sz w:val="20"/>
          </w:rPr>
          <w:fldChar w:fldCharType="end"/>
        </w:r>
      </w:sdtContent>
    </w:sdt>
  </w:p>
  <w:p w:rsidR="000C6234" w14:paraId="42B3F403" w14:textId="093E8A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6234" w:rsidP="000C6234" w14:paraId="6E547BD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C6234" w:rsidP="000C6234" w14:paraId="3A1F2D30" w14:textId="77777777">
    <w:pPr>
      <w:pStyle w:val="Footer"/>
      <w:tabs>
        <w:tab w:val="left" w:pos="4320"/>
        <w:tab w:val="clear" w:pos="8640"/>
      </w:tabs>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8300F45"/>
    <w:multiLevelType w:val="hybridMultilevel"/>
    <w:tmpl w:val="1F5C57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59891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282"/>
    <w:rsid w:val="0000029B"/>
    <w:rsid w:val="000005F6"/>
    <w:rsid w:val="00012944"/>
    <w:rsid w:val="00013A41"/>
    <w:rsid w:val="000148CB"/>
    <w:rsid w:val="00015D79"/>
    <w:rsid w:val="00022372"/>
    <w:rsid w:val="00024851"/>
    <w:rsid w:val="000250E2"/>
    <w:rsid w:val="00026A3C"/>
    <w:rsid w:val="000304C1"/>
    <w:rsid w:val="000307E5"/>
    <w:rsid w:val="00031DC6"/>
    <w:rsid w:val="00037DC6"/>
    <w:rsid w:val="00041106"/>
    <w:rsid w:val="000429FE"/>
    <w:rsid w:val="00044EDE"/>
    <w:rsid w:val="00045412"/>
    <w:rsid w:val="0004787E"/>
    <w:rsid w:val="00050B87"/>
    <w:rsid w:val="000561B4"/>
    <w:rsid w:val="00056B84"/>
    <w:rsid w:val="00062685"/>
    <w:rsid w:val="0006563F"/>
    <w:rsid w:val="00067465"/>
    <w:rsid w:val="00071F17"/>
    <w:rsid w:val="0007301D"/>
    <w:rsid w:val="00074F28"/>
    <w:rsid w:val="000769C5"/>
    <w:rsid w:val="00081EF2"/>
    <w:rsid w:val="0008698A"/>
    <w:rsid w:val="0009095F"/>
    <w:rsid w:val="00091476"/>
    <w:rsid w:val="00092D30"/>
    <w:rsid w:val="000A36EC"/>
    <w:rsid w:val="000A38B8"/>
    <w:rsid w:val="000B1F58"/>
    <w:rsid w:val="000B2812"/>
    <w:rsid w:val="000B35B0"/>
    <w:rsid w:val="000B6251"/>
    <w:rsid w:val="000C14FB"/>
    <w:rsid w:val="000C2818"/>
    <w:rsid w:val="000C3FAF"/>
    <w:rsid w:val="000C4FD7"/>
    <w:rsid w:val="000C6234"/>
    <w:rsid w:val="000D16C4"/>
    <w:rsid w:val="000E28BD"/>
    <w:rsid w:val="000E6534"/>
    <w:rsid w:val="000F0BE8"/>
    <w:rsid w:val="000F5E75"/>
    <w:rsid w:val="000F6251"/>
    <w:rsid w:val="00105C29"/>
    <w:rsid w:val="00106405"/>
    <w:rsid w:val="00121956"/>
    <w:rsid w:val="0013041D"/>
    <w:rsid w:val="0013781F"/>
    <w:rsid w:val="001403FE"/>
    <w:rsid w:val="00143D25"/>
    <w:rsid w:val="00150D7E"/>
    <w:rsid w:val="0015324A"/>
    <w:rsid w:val="001555DE"/>
    <w:rsid w:val="001569F7"/>
    <w:rsid w:val="00156AAF"/>
    <w:rsid w:val="00164B8B"/>
    <w:rsid w:val="00167436"/>
    <w:rsid w:val="00170645"/>
    <w:rsid w:val="001743CD"/>
    <w:rsid w:val="00176D6A"/>
    <w:rsid w:val="001774AA"/>
    <w:rsid w:val="0018454A"/>
    <w:rsid w:val="00190024"/>
    <w:rsid w:val="00197E24"/>
    <w:rsid w:val="001A0313"/>
    <w:rsid w:val="001A7A0F"/>
    <w:rsid w:val="001B1091"/>
    <w:rsid w:val="001B31F9"/>
    <w:rsid w:val="001B4996"/>
    <w:rsid w:val="001B7241"/>
    <w:rsid w:val="001C256A"/>
    <w:rsid w:val="001C3C7C"/>
    <w:rsid w:val="001C3E1B"/>
    <w:rsid w:val="001C472E"/>
    <w:rsid w:val="001C654F"/>
    <w:rsid w:val="001C67D2"/>
    <w:rsid w:val="001C7FBE"/>
    <w:rsid w:val="001D1878"/>
    <w:rsid w:val="001D7B4B"/>
    <w:rsid w:val="001E0F13"/>
    <w:rsid w:val="001E1721"/>
    <w:rsid w:val="001E4CB2"/>
    <w:rsid w:val="001E756D"/>
    <w:rsid w:val="001E7BF1"/>
    <w:rsid w:val="001F64A6"/>
    <w:rsid w:val="00201A04"/>
    <w:rsid w:val="00210CBB"/>
    <w:rsid w:val="0022022E"/>
    <w:rsid w:val="002204B9"/>
    <w:rsid w:val="00234B1F"/>
    <w:rsid w:val="002410E9"/>
    <w:rsid w:val="002422A7"/>
    <w:rsid w:val="00243EE6"/>
    <w:rsid w:val="0024735C"/>
    <w:rsid w:val="00252AF1"/>
    <w:rsid w:val="0025461D"/>
    <w:rsid w:val="0025782C"/>
    <w:rsid w:val="00260D46"/>
    <w:rsid w:val="00266807"/>
    <w:rsid w:val="00266CDC"/>
    <w:rsid w:val="002672F4"/>
    <w:rsid w:val="002704A8"/>
    <w:rsid w:val="0027088E"/>
    <w:rsid w:val="002714AC"/>
    <w:rsid w:val="00273BB2"/>
    <w:rsid w:val="00274ED1"/>
    <w:rsid w:val="00277039"/>
    <w:rsid w:val="002812C8"/>
    <w:rsid w:val="00281673"/>
    <w:rsid w:val="00285AFB"/>
    <w:rsid w:val="00294900"/>
    <w:rsid w:val="002A3B1A"/>
    <w:rsid w:val="002A414A"/>
    <w:rsid w:val="002B2A75"/>
    <w:rsid w:val="002B4638"/>
    <w:rsid w:val="002B6FD0"/>
    <w:rsid w:val="002C17B5"/>
    <w:rsid w:val="002C3A2F"/>
    <w:rsid w:val="002E2E45"/>
    <w:rsid w:val="002E7C8E"/>
    <w:rsid w:val="002F2266"/>
    <w:rsid w:val="002F30DF"/>
    <w:rsid w:val="002F46E6"/>
    <w:rsid w:val="002F6D8E"/>
    <w:rsid w:val="0030021D"/>
    <w:rsid w:val="00304FD5"/>
    <w:rsid w:val="003145CA"/>
    <w:rsid w:val="00315540"/>
    <w:rsid w:val="00315EBC"/>
    <w:rsid w:val="00317AF1"/>
    <w:rsid w:val="00325DBB"/>
    <w:rsid w:val="003304EF"/>
    <w:rsid w:val="00330DF7"/>
    <w:rsid w:val="003320F9"/>
    <w:rsid w:val="00337719"/>
    <w:rsid w:val="00337896"/>
    <w:rsid w:val="003416BB"/>
    <w:rsid w:val="00345F63"/>
    <w:rsid w:val="0035247B"/>
    <w:rsid w:val="00361B5F"/>
    <w:rsid w:val="0036519E"/>
    <w:rsid w:val="00366125"/>
    <w:rsid w:val="00371FDF"/>
    <w:rsid w:val="00374E85"/>
    <w:rsid w:val="00375C6A"/>
    <w:rsid w:val="00382984"/>
    <w:rsid w:val="00391ECE"/>
    <w:rsid w:val="00392EDA"/>
    <w:rsid w:val="003A1759"/>
    <w:rsid w:val="003A3554"/>
    <w:rsid w:val="003A714B"/>
    <w:rsid w:val="003B26E9"/>
    <w:rsid w:val="003B5369"/>
    <w:rsid w:val="003B6A49"/>
    <w:rsid w:val="003C3500"/>
    <w:rsid w:val="003C65BE"/>
    <w:rsid w:val="003D00DA"/>
    <w:rsid w:val="003D4462"/>
    <w:rsid w:val="003D68E7"/>
    <w:rsid w:val="003E39A7"/>
    <w:rsid w:val="003E49CE"/>
    <w:rsid w:val="003E5612"/>
    <w:rsid w:val="003E6CC0"/>
    <w:rsid w:val="004019CB"/>
    <w:rsid w:val="00404C9D"/>
    <w:rsid w:val="004130A3"/>
    <w:rsid w:val="004159A9"/>
    <w:rsid w:val="0042424C"/>
    <w:rsid w:val="00424C13"/>
    <w:rsid w:val="00425A02"/>
    <w:rsid w:val="00425E27"/>
    <w:rsid w:val="00425EDD"/>
    <w:rsid w:val="00426D3D"/>
    <w:rsid w:val="00432091"/>
    <w:rsid w:val="00434885"/>
    <w:rsid w:val="004370DB"/>
    <w:rsid w:val="004371F1"/>
    <w:rsid w:val="0044394B"/>
    <w:rsid w:val="00443B24"/>
    <w:rsid w:val="0044612C"/>
    <w:rsid w:val="00446C09"/>
    <w:rsid w:val="00456D0F"/>
    <w:rsid w:val="00457F70"/>
    <w:rsid w:val="004676E2"/>
    <w:rsid w:val="0047464B"/>
    <w:rsid w:val="00474C38"/>
    <w:rsid w:val="004800C2"/>
    <w:rsid w:val="00486AF5"/>
    <w:rsid w:val="00494513"/>
    <w:rsid w:val="00495212"/>
    <w:rsid w:val="00497014"/>
    <w:rsid w:val="004A0F46"/>
    <w:rsid w:val="004A2A12"/>
    <w:rsid w:val="004A6B6A"/>
    <w:rsid w:val="004B0DB4"/>
    <w:rsid w:val="004B4B5D"/>
    <w:rsid w:val="004B594A"/>
    <w:rsid w:val="004B703C"/>
    <w:rsid w:val="004D36EA"/>
    <w:rsid w:val="004D5899"/>
    <w:rsid w:val="004D602B"/>
    <w:rsid w:val="004D635B"/>
    <w:rsid w:val="004E0F0C"/>
    <w:rsid w:val="004E25EE"/>
    <w:rsid w:val="004E58CD"/>
    <w:rsid w:val="004E754A"/>
    <w:rsid w:val="004F0BD0"/>
    <w:rsid w:val="004F5802"/>
    <w:rsid w:val="004F78E4"/>
    <w:rsid w:val="0050006B"/>
    <w:rsid w:val="00500554"/>
    <w:rsid w:val="00501430"/>
    <w:rsid w:val="00507225"/>
    <w:rsid w:val="00511EBD"/>
    <w:rsid w:val="0051270B"/>
    <w:rsid w:val="0051672A"/>
    <w:rsid w:val="00524068"/>
    <w:rsid w:val="0053276E"/>
    <w:rsid w:val="00533602"/>
    <w:rsid w:val="00533C4B"/>
    <w:rsid w:val="005345CC"/>
    <w:rsid w:val="00536713"/>
    <w:rsid w:val="0053686A"/>
    <w:rsid w:val="00540BD0"/>
    <w:rsid w:val="00541FC4"/>
    <w:rsid w:val="005430F1"/>
    <w:rsid w:val="005472E1"/>
    <w:rsid w:val="00547D08"/>
    <w:rsid w:val="0055032B"/>
    <w:rsid w:val="0055133C"/>
    <w:rsid w:val="00553B6A"/>
    <w:rsid w:val="0055788C"/>
    <w:rsid w:val="00557C81"/>
    <w:rsid w:val="00560994"/>
    <w:rsid w:val="005612ED"/>
    <w:rsid w:val="00564097"/>
    <w:rsid w:val="00567A17"/>
    <w:rsid w:val="00573490"/>
    <w:rsid w:val="0057479C"/>
    <w:rsid w:val="0058708E"/>
    <w:rsid w:val="0059070E"/>
    <w:rsid w:val="00592AE1"/>
    <w:rsid w:val="00593B2D"/>
    <w:rsid w:val="005961A8"/>
    <w:rsid w:val="005B32B6"/>
    <w:rsid w:val="005B7926"/>
    <w:rsid w:val="005C2C43"/>
    <w:rsid w:val="005D458D"/>
    <w:rsid w:val="005E1FE4"/>
    <w:rsid w:val="005E719D"/>
    <w:rsid w:val="005E738F"/>
    <w:rsid w:val="005F041C"/>
    <w:rsid w:val="005F1461"/>
    <w:rsid w:val="005F2578"/>
    <w:rsid w:val="005F56F0"/>
    <w:rsid w:val="005F586F"/>
    <w:rsid w:val="00604E21"/>
    <w:rsid w:val="006053D9"/>
    <w:rsid w:val="006059A0"/>
    <w:rsid w:val="0061114D"/>
    <w:rsid w:val="00611D3C"/>
    <w:rsid w:val="00612462"/>
    <w:rsid w:val="006127AD"/>
    <w:rsid w:val="00614E7F"/>
    <w:rsid w:val="0062272A"/>
    <w:rsid w:val="006245D7"/>
    <w:rsid w:val="00630C9F"/>
    <w:rsid w:val="00636ABE"/>
    <w:rsid w:val="00636DA0"/>
    <w:rsid w:val="00637C3C"/>
    <w:rsid w:val="0064027D"/>
    <w:rsid w:val="006426B4"/>
    <w:rsid w:val="0065539A"/>
    <w:rsid w:val="006555CE"/>
    <w:rsid w:val="0066131E"/>
    <w:rsid w:val="00661590"/>
    <w:rsid w:val="00661708"/>
    <w:rsid w:val="00665D81"/>
    <w:rsid w:val="00665E28"/>
    <w:rsid w:val="00666A3B"/>
    <w:rsid w:val="006718F1"/>
    <w:rsid w:val="0067622B"/>
    <w:rsid w:val="00686993"/>
    <w:rsid w:val="0068728B"/>
    <w:rsid w:val="006877F5"/>
    <w:rsid w:val="006905A1"/>
    <w:rsid w:val="00690DDF"/>
    <w:rsid w:val="006933CF"/>
    <w:rsid w:val="006933E4"/>
    <w:rsid w:val="00693841"/>
    <w:rsid w:val="006938ED"/>
    <w:rsid w:val="006A0FAF"/>
    <w:rsid w:val="006A613F"/>
    <w:rsid w:val="006A686A"/>
    <w:rsid w:val="006B0CA3"/>
    <w:rsid w:val="006B0D7F"/>
    <w:rsid w:val="006C029D"/>
    <w:rsid w:val="006C1262"/>
    <w:rsid w:val="006C3A00"/>
    <w:rsid w:val="006C57B5"/>
    <w:rsid w:val="006C7005"/>
    <w:rsid w:val="006D7009"/>
    <w:rsid w:val="006E0DAB"/>
    <w:rsid w:val="006E133F"/>
    <w:rsid w:val="006E24BA"/>
    <w:rsid w:val="006E3FCA"/>
    <w:rsid w:val="006E54E6"/>
    <w:rsid w:val="006F0A10"/>
    <w:rsid w:val="006F1264"/>
    <w:rsid w:val="006F1497"/>
    <w:rsid w:val="006F55BF"/>
    <w:rsid w:val="006F573F"/>
    <w:rsid w:val="006F716D"/>
    <w:rsid w:val="00700F3E"/>
    <w:rsid w:val="00705372"/>
    <w:rsid w:val="0071398A"/>
    <w:rsid w:val="00713E1E"/>
    <w:rsid w:val="00714889"/>
    <w:rsid w:val="00714B3C"/>
    <w:rsid w:val="00714F73"/>
    <w:rsid w:val="00715EB0"/>
    <w:rsid w:val="007171AF"/>
    <w:rsid w:val="00717575"/>
    <w:rsid w:val="0072192C"/>
    <w:rsid w:val="00723A2B"/>
    <w:rsid w:val="00725F0B"/>
    <w:rsid w:val="007277F2"/>
    <w:rsid w:val="007278F4"/>
    <w:rsid w:val="00731A0F"/>
    <w:rsid w:val="00732158"/>
    <w:rsid w:val="00732412"/>
    <w:rsid w:val="00732F02"/>
    <w:rsid w:val="007339C0"/>
    <w:rsid w:val="0073698F"/>
    <w:rsid w:val="007429F7"/>
    <w:rsid w:val="00743E61"/>
    <w:rsid w:val="00746C71"/>
    <w:rsid w:val="00746CE3"/>
    <w:rsid w:val="00753671"/>
    <w:rsid w:val="007565E1"/>
    <w:rsid w:val="007627EE"/>
    <w:rsid w:val="007650B4"/>
    <w:rsid w:val="007700CC"/>
    <w:rsid w:val="007711BE"/>
    <w:rsid w:val="007764D7"/>
    <w:rsid w:val="007800F6"/>
    <w:rsid w:val="00782918"/>
    <w:rsid w:val="0078305D"/>
    <w:rsid w:val="007857A6"/>
    <w:rsid w:val="007858C0"/>
    <w:rsid w:val="00785E8E"/>
    <w:rsid w:val="00790B20"/>
    <w:rsid w:val="007954A0"/>
    <w:rsid w:val="007A3F98"/>
    <w:rsid w:val="007B56F9"/>
    <w:rsid w:val="007C004B"/>
    <w:rsid w:val="007C3ACB"/>
    <w:rsid w:val="007C3FA4"/>
    <w:rsid w:val="007C5FFE"/>
    <w:rsid w:val="007C60F0"/>
    <w:rsid w:val="007C68CF"/>
    <w:rsid w:val="007D26CB"/>
    <w:rsid w:val="007D343B"/>
    <w:rsid w:val="007D6B04"/>
    <w:rsid w:val="007E118C"/>
    <w:rsid w:val="007E3EBA"/>
    <w:rsid w:val="007E65DA"/>
    <w:rsid w:val="007F1C57"/>
    <w:rsid w:val="00800F77"/>
    <w:rsid w:val="00802000"/>
    <w:rsid w:val="00807136"/>
    <w:rsid w:val="00822043"/>
    <w:rsid w:val="008229CA"/>
    <w:rsid w:val="00822D58"/>
    <w:rsid w:val="0082315E"/>
    <w:rsid w:val="008302E6"/>
    <w:rsid w:val="0084103D"/>
    <w:rsid w:val="008505EB"/>
    <w:rsid w:val="008640F7"/>
    <w:rsid w:val="00864FD7"/>
    <w:rsid w:val="008658B8"/>
    <w:rsid w:val="0087454C"/>
    <w:rsid w:val="008835C2"/>
    <w:rsid w:val="00883D85"/>
    <w:rsid w:val="00886AA1"/>
    <w:rsid w:val="0089380D"/>
    <w:rsid w:val="008A0BCB"/>
    <w:rsid w:val="008A54C9"/>
    <w:rsid w:val="008A6998"/>
    <w:rsid w:val="008A7076"/>
    <w:rsid w:val="008B5219"/>
    <w:rsid w:val="008C0A09"/>
    <w:rsid w:val="008C112E"/>
    <w:rsid w:val="008C240D"/>
    <w:rsid w:val="008C290E"/>
    <w:rsid w:val="008C2BA6"/>
    <w:rsid w:val="008C5ABF"/>
    <w:rsid w:val="008C64B7"/>
    <w:rsid w:val="008C67D5"/>
    <w:rsid w:val="008D2805"/>
    <w:rsid w:val="008D368C"/>
    <w:rsid w:val="008E0479"/>
    <w:rsid w:val="008E4C77"/>
    <w:rsid w:val="008E4DE8"/>
    <w:rsid w:val="008F047C"/>
    <w:rsid w:val="008F0B84"/>
    <w:rsid w:val="008F29F7"/>
    <w:rsid w:val="008F45BA"/>
    <w:rsid w:val="008F6013"/>
    <w:rsid w:val="008F6A48"/>
    <w:rsid w:val="00902443"/>
    <w:rsid w:val="00904010"/>
    <w:rsid w:val="009058F6"/>
    <w:rsid w:val="00905B7B"/>
    <w:rsid w:val="009066F6"/>
    <w:rsid w:val="00910E9F"/>
    <w:rsid w:val="009174D5"/>
    <w:rsid w:val="009209B1"/>
    <w:rsid w:val="00925B2C"/>
    <w:rsid w:val="00930564"/>
    <w:rsid w:val="0094061D"/>
    <w:rsid w:val="00942A86"/>
    <w:rsid w:val="009455B4"/>
    <w:rsid w:val="00950B8D"/>
    <w:rsid w:val="0095168D"/>
    <w:rsid w:val="00953BB6"/>
    <w:rsid w:val="00954461"/>
    <w:rsid w:val="00957282"/>
    <w:rsid w:val="009574FF"/>
    <w:rsid w:val="009601E8"/>
    <w:rsid w:val="00976A07"/>
    <w:rsid w:val="00983D09"/>
    <w:rsid w:val="009872D2"/>
    <w:rsid w:val="009929EE"/>
    <w:rsid w:val="00996717"/>
    <w:rsid w:val="009A3FA3"/>
    <w:rsid w:val="009A60F3"/>
    <w:rsid w:val="009B10C2"/>
    <w:rsid w:val="009C073E"/>
    <w:rsid w:val="009C0BB1"/>
    <w:rsid w:val="009C1A7B"/>
    <w:rsid w:val="009C4A16"/>
    <w:rsid w:val="009C7C71"/>
    <w:rsid w:val="009D2EA2"/>
    <w:rsid w:val="009D3269"/>
    <w:rsid w:val="009D7912"/>
    <w:rsid w:val="009D7EE6"/>
    <w:rsid w:val="009E0278"/>
    <w:rsid w:val="009E172D"/>
    <w:rsid w:val="009F0B26"/>
    <w:rsid w:val="009F320C"/>
    <w:rsid w:val="009F7C33"/>
    <w:rsid w:val="00A01473"/>
    <w:rsid w:val="00A14DD6"/>
    <w:rsid w:val="00A16C00"/>
    <w:rsid w:val="00A20088"/>
    <w:rsid w:val="00A34BAC"/>
    <w:rsid w:val="00A35C22"/>
    <w:rsid w:val="00A40319"/>
    <w:rsid w:val="00A44BD0"/>
    <w:rsid w:val="00A456F1"/>
    <w:rsid w:val="00A45D4C"/>
    <w:rsid w:val="00A46704"/>
    <w:rsid w:val="00A46CF8"/>
    <w:rsid w:val="00A563BB"/>
    <w:rsid w:val="00A60C71"/>
    <w:rsid w:val="00A6102C"/>
    <w:rsid w:val="00A61A29"/>
    <w:rsid w:val="00A62B56"/>
    <w:rsid w:val="00A6507D"/>
    <w:rsid w:val="00A719E3"/>
    <w:rsid w:val="00A75A1D"/>
    <w:rsid w:val="00A769E8"/>
    <w:rsid w:val="00A8198A"/>
    <w:rsid w:val="00A86324"/>
    <w:rsid w:val="00A8680D"/>
    <w:rsid w:val="00A91741"/>
    <w:rsid w:val="00A9509F"/>
    <w:rsid w:val="00A95C84"/>
    <w:rsid w:val="00AB5331"/>
    <w:rsid w:val="00AC5B89"/>
    <w:rsid w:val="00AC5F23"/>
    <w:rsid w:val="00AD1FAE"/>
    <w:rsid w:val="00AD6DFB"/>
    <w:rsid w:val="00AE00E7"/>
    <w:rsid w:val="00AE3134"/>
    <w:rsid w:val="00AE3B60"/>
    <w:rsid w:val="00AE4CF0"/>
    <w:rsid w:val="00AE7D55"/>
    <w:rsid w:val="00AF4CC4"/>
    <w:rsid w:val="00B005F4"/>
    <w:rsid w:val="00B00DD7"/>
    <w:rsid w:val="00B04729"/>
    <w:rsid w:val="00B0483F"/>
    <w:rsid w:val="00B05B9D"/>
    <w:rsid w:val="00B109B8"/>
    <w:rsid w:val="00B10A31"/>
    <w:rsid w:val="00B10A33"/>
    <w:rsid w:val="00B10D28"/>
    <w:rsid w:val="00B131B3"/>
    <w:rsid w:val="00B24059"/>
    <w:rsid w:val="00B35C1C"/>
    <w:rsid w:val="00B3756E"/>
    <w:rsid w:val="00B37F72"/>
    <w:rsid w:val="00B4182A"/>
    <w:rsid w:val="00B428B3"/>
    <w:rsid w:val="00B45C7A"/>
    <w:rsid w:val="00B45D24"/>
    <w:rsid w:val="00B548B7"/>
    <w:rsid w:val="00B57DE0"/>
    <w:rsid w:val="00B6476A"/>
    <w:rsid w:val="00B6697E"/>
    <w:rsid w:val="00B67CCD"/>
    <w:rsid w:val="00B70E99"/>
    <w:rsid w:val="00B72BBF"/>
    <w:rsid w:val="00B762DE"/>
    <w:rsid w:val="00B774A7"/>
    <w:rsid w:val="00B77F7E"/>
    <w:rsid w:val="00B83FF2"/>
    <w:rsid w:val="00B87A0D"/>
    <w:rsid w:val="00B97BDD"/>
    <w:rsid w:val="00BA0154"/>
    <w:rsid w:val="00BA0E2B"/>
    <w:rsid w:val="00BA16F0"/>
    <w:rsid w:val="00BA28B3"/>
    <w:rsid w:val="00BB4FEE"/>
    <w:rsid w:val="00BC00B6"/>
    <w:rsid w:val="00BC5FC0"/>
    <w:rsid w:val="00BD0897"/>
    <w:rsid w:val="00BD15AA"/>
    <w:rsid w:val="00BD20B8"/>
    <w:rsid w:val="00BD32CF"/>
    <w:rsid w:val="00BE5356"/>
    <w:rsid w:val="00BF2265"/>
    <w:rsid w:val="00BF7544"/>
    <w:rsid w:val="00BF7E46"/>
    <w:rsid w:val="00C015DC"/>
    <w:rsid w:val="00C06AF9"/>
    <w:rsid w:val="00C07FB0"/>
    <w:rsid w:val="00C123ED"/>
    <w:rsid w:val="00C135B7"/>
    <w:rsid w:val="00C15329"/>
    <w:rsid w:val="00C16F6E"/>
    <w:rsid w:val="00C25620"/>
    <w:rsid w:val="00C336DA"/>
    <w:rsid w:val="00C33A0C"/>
    <w:rsid w:val="00C36A98"/>
    <w:rsid w:val="00C3763C"/>
    <w:rsid w:val="00C46012"/>
    <w:rsid w:val="00C47179"/>
    <w:rsid w:val="00C50150"/>
    <w:rsid w:val="00C5338F"/>
    <w:rsid w:val="00C53992"/>
    <w:rsid w:val="00C67953"/>
    <w:rsid w:val="00C67A02"/>
    <w:rsid w:val="00C7098C"/>
    <w:rsid w:val="00C7207D"/>
    <w:rsid w:val="00C7543C"/>
    <w:rsid w:val="00C7686B"/>
    <w:rsid w:val="00C77D85"/>
    <w:rsid w:val="00C83074"/>
    <w:rsid w:val="00C92A5A"/>
    <w:rsid w:val="00C95FF7"/>
    <w:rsid w:val="00C9654A"/>
    <w:rsid w:val="00C978EE"/>
    <w:rsid w:val="00CA098F"/>
    <w:rsid w:val="00CB15FF"/>
    <w:rsid w:val="00CB6264"/>
    <w:rsid w:val="00CC0E51"/>
    <w:rsid w:val="00CC33AB"/>
    <w:rsid w:val="00CC502D"/>
    <w:rsid w:val="00CC53C1"/>
    <w:rsid w:val="00CD43BC"/>
    <w:rsid w:val="00CD7845"/>
    <w:rsid w:val="00CD7CE4"/>
    <w:rsid w:val="00CE3222"/>
    <w:rsid w:val="00CE3469"/>
    <w:rsid w:val="00CE55BC"/>
    <w:rsid w:val="00CF008B"/>
    <w:rsid w:val="00CF41DA"/>
    <w:rsid w:val="00CF6CA7"/>
    <w:rsid w:val="00D00125"/>
    <w:rsid w:val="00D03C6D"/>
    <w:rsid w:val="00D06C29"/>
    <w:rsid w:val="00D1683D"/>
    <w:rsid w:val="00D17F01"/>
    <w:rsid w:val="00D212D9"/>
    <w:rsid w:val="00D24E26"/>
    <w:rsid w:val="00D26B2E"/>
    <w:rsid w:val="00D430DF"/>
    <w:rsid w:val="00D4351E"/>
    <w:rsid w:val="00D46262"/>
    <w:rsid w:val="00D51EB5"/>
    <w:rsid w:val="00D52EF6"/>
    <w:rsid w:val="00D70F52"/>
    <w:rsid w:val="00D73DE4"/>
    <w:rsid w:val="00D76700"/>
    <w:rsid w:val="00D840E0"/>
    <w:rsid w:val="00D84667"/>
    <w:rsid w:val="00D90ACF"/>
    <w:rsid w:val="00D921EA"/>
    <w:rsid w:val="00D934CE"/>
    <w:rsid w:val="00D93990"/>
    <w:rsid w:val="00DA5CE7"/>
    <w:rsid w:val="00DB079F"/>
    <w:rsid w:val="00DB5F96"/>
    <w:rsid w:val="00DB6114"/>
    <w:rsid w:val="00DC300B"/>
    <w:rsid w:val="00DC47C1"/>
    <w:rsid w:val="00DC5550"/>
    <w:rsid w:val="00DC6C04"/>
    <w:rsid w:val="00DC7204"/>
    <w:rsid w:val="00DE1344"/>
    <w:rsid w:val="00DE2339"/>
    <w:rsid w:val="00DF29A3"/>
    <w:rsid w:val="00DF2B1F"/>
    <w:rsid w:val="00DF5391"/>
    <w:rsid w:val="00DF54AD"/>
    <w:rsid w:val="00E14621"/>
    <w:rsid w:val="00E157A5"/>
    <w:rsid w:val="00E174A7"/>
    <w:rsid w:val="00E21999"/>
    <w:rsid w:val="00E2203F"/>
    <w:rsid w:val="00E222AC"/>
    <w:rsid w:val="00E2304F"/>
    <w:rsid w:val="00E23FFA"/>
    <w:rsid w:val="00E30C67"/>
    <w:rsid w:val="00E360E3"/>
    <w:rsid w:val="00E43E45"/>
    <w:rsid w:val="00E4503B"/>
    <w:rsid w:val="00E45F51"/>
    <w:rsid w:val="00E46668"/>
    <w:rsid w:val="00E46A35"/>
    <w:rsid w:val="00E50229"/>
    <w:rsid w:val="00E50445"/>
    <w:rsid w:val="00E54913"/>
    <w:rsid w:val="00E607CF"/>
    <w:rsid w:val="00E633C1"/>
    <w:rsid w:val="00E63B1F"/>
    <w:rsid w:val="00E64688"/>
    <w:rsid w:val="00E7595D"/>
    <w:rsid w:val="00E77294"/>
    <w:rsid w:val="00E860C8"/>
    <w:rsid w:val="00E86734"/>
    <w:rsid w:val="00E902E1"/>
    <w:rsid w:val="00E90F16"/>
    <w:rsid w:val="00E93D74"/>
    <w:rsid w:val="00E96D12"/>
    <w:rsid w:val="00EA2A3D"/>
    <w:rsid w:val="00EA7355"/>
    <w:rsid w:val="00EB5C6C"/>
    <w:rsid w:val="00EC2859"/>
    <w:rsid w:val="00EC677C"/>
    <w:rsid w:val="00ED0E73"/>
    <w:rsid w:val="00ED0F79"/>
    <w:rsid w:val="00ED247A"/>
    <w:rsid w:val="00ED520E"/>
    <w:rsid w:val="00EE5758"/>
    <w:rsid w:val="00EE7F7E"/>
    <w:rsid w:val="00EF08C7"/>
    <w:rsid w:val="00EF2990"/>
    <w:rsid w:val="00EF41DF"/>
    <w:rsid w:val="00EF5C99"/>
    <w:rsid w:val="00F0027E"/>
    <w:rsid w:val="00F03378"/>
    <w:rsid w:val="00F17AA4"/>
    <w:rsid w:val="00F45306"/>
    <w:rsid w:val="00F52F5A"/>
    <w:rsid w:val="00F6545D"/>
    <w:rsid w:val="00F7416B"/>
    <w:rsid w:val="00F746CB"/>
    <w:rsid w:val="00F759C4"/>
    <w:rsid w:val="00F8111B"/>
    <w:rsid w:val="00F830CB"/>
    <w:rsid w:val="00F83E1C"/>
    <w:rsid w:val="00F85FC3"/>
    <w:rsid w:val="00FA0CD8"/>
    <w:rsid w:val="00FA5C3E"/>
    <w:rsid w:val="00FA5C4A"/>
    <w:rsid w:val="00FA5D56"/>
    <w:rsid w:val="00FB1D1B"/>
    <w:rsid w:val="00FB229C"/>
    <w:rsid w:val="00FB402E"/>
    <w:rsid w:val="00FB5626"/>
    <w:rsid w:val="00FC4C20"/>
    <w:rsid w:val="00FC4F58"/>
    <w:rsid w:val="00FC5EA8"/>
    <w:rsid w:val="00FD52A3"/>
    <w:rsid w:val="00FD76F1"/>
    <w:rsid w:val="00FE2B7B"/>
    <w:rsid w:val="00FE74FA"/>
    <w:rsid w:val="00FF3DC2"/>
    <w:rsid w:val="01F05F8F"/>
    <w:rsid w:val="01FD32E2"/>
    <w:rsid w:val="02019358"/>
    <w:rsid w:val="0359FFBA"/>
    <w:rsid w:val="03E8A803"/>
    <w:rsid w:val="03FD76C5"/>
    <w:rsid w:val="060B38F8"/>
    <w:rsid w:val="06FCE058"/>
    <w:rsid w:val="08C63D08"/>
    <w:rsid w:val="092E77FA"/>
    <w:rsid w:val="09E1D6F3"/>
    <w:rsid w:val="09E20F88"/>
    <w:rsid w:val="0A0ED2B3"/>
    <w:rsid w:val="0ABD4921"/>
    <w:rsid w:val="0AFC1C4C"/>
    <w:rsid w:val="0BA8FD45"/>
    <w:rsid w:val="0BCF4C11"/>
    <w:rsid w:val="0BDE7163"/>
    <w:rsid w:val="0BF2A346"/>
    <w:rsid w:val="0CCBF744"/>
    <w:rsid w:val="0CF6F5AD"/>
    <w:rsid w:val="0D6811D7"/>
    <w:rsid w:val="0D8F2186"/>
    <w:rsid w:val="0E1BE41F"/>
    <w:rsid w:val="0E21665B"/>
    <w:rsid w:val="0E2B1FE6"/>
    <w:rsid w:val="0E92C60E"/>
    <w:rsid w:val="0ECEA907"/>
    <w:rsid w:val="0EEA13B4"/>
    <w:rsid w:val="0F078D4B"/>
    <w:rsid w:val="0F82A626"/>
    <w:rsid w:val="10ED7462"/>
    <w:rsid w:val="11AC1530"/>
    <w:rsid w:val="11C5A452"/>
    <w:rsid w:val="11D2D5E6"/>
    <w:rsid w:val="12C657C8"/>
    <w:rsid w:val="1438E441"/>
    <w:rsid w:val="14AD1B2C"/>
    <w:rsid w:val="1618314A"/>
    <w:rsid w:val="1646B423"/>
    <w:rsid w:val="16E4D1B8"/>
    <w:rsid w:val="1722B29C"/>
    <w:rsid w:val="176D5CE7"/>
    <w:rsid w:val="186CE85B"/>
    <w:rsid w:val="19DBD90A"/>
    <w:rsid w:val="1B91AC71"/>
    <w:rsid w:val="1B9AF413"/>
    <w:rsid w:val="1C232DFF"/>
    <w:rsid w:val="1CD894D4"/>
    <w:rsid w:val="1CF7FC3A"/>
    <w:rsid w:val="1D631D2B"/>
    <w:rsid w:val="1D6B544A"/>
    <w:rsid w:val="1D9C2F75"/>
    <w:rsid w:val="1DB5AAD5"/>
    <w:rsid w:val="1E60FD8E"/>
    <w:rsid w:val="1E68D55E"/>
    <w:rsid w:val="202FD8B7"/>
    <w:rsid w:val="219B91A3"/>
    <w:rsid w:val="219D0D58"/>
    <w:rsid w:val="21A112BA"/>
    <w:rsid w:val="21A6C859"/>
    <w:rsid w:val="2286EE2E"/>
    <w:rsid w:val="22BB2530"/>
    <w:rsid w:val="22F76A72"/>
    <w:rsid w:val="242B5D42"/>
    <w:rsid w:val="25460A19"/>
    <w:rsid w:val="25AA97AC"/>
    <w:rsid w:val="25F4CFEB"/>
    <w:rsid w:val="28DA9B38"/>
    <w:rsid w:val="28E771B4"/>
    <w:rsid w:val="291E8E4E"/>
    <w:rsid w:val="2BC5C2BF"/>
    <w:rsid w:val="2CDC16DA"/>
    <w:rsid w:val="2D86C9A7"/>
    <w:rsid w:val="2DCDDE83"/>
    <w:rsid w:val="2EB54EBB"/>
    <w:rsid w:val="2F511D8F"/>
    <w:rsid w:val="3035AF9A"/>
    <w:rsid w:val="3050D6F9"/>
    <w:rsid w:val="312EC914"/>
    <w:rsid w:val="31D50A1A"/>
    <w:rsid w:val="321039E1"/>
    <w:rsid w:val="332DBAFB"/>
    <w:rsid w:val="33B84EAB"/>
    <w:rsid w:val="34591391"/>
    <w:rsid w:val="3569CAE1"/>
    <w:rsid w:val="3660550A"/>
    <w:rsid w:val="3791B8DE"/>
    <w:rsid w:val="394AEED4"/>
    <w:rsid w:val="396AFA0C"/>
    <w:rsid w:val="3B1B92A9"/>
    <w:rsid w:val="3C1F1FF6"/>
    <w:rsid w:val="3DE4ACC9"/>
    <w:rsid w:val="3EFBCA3B"/>
    <w:rsid w:val="3F5AD0C2"/>
    <w:rsid w:val="3FA433BF"/>
    <w:rsid w:val="3FB8DAEE"/>
    <w:rsid w:val="3FC9C861"/>
    <w:rsid w:val="3FF8F89F"/>
    <w:rsid w:val="4296E56D"/>
    <w:rsid w:val="42AFAEA1"/>
    <w:rsid w:val="432CF37A"/>
    <w:rsid w:val="43A8D03D"/>
    <w:rsid w:val="43C9D082"/>
    <w:rsid w:val="44731337"/>
    <w:rsid w:val="449D5EE3"/>
    <w:rsid w:val="458E2306"/>
    <w:rsid w:val="45B84D0E"/>
    <w:rsid w:val="47961D47"/>
    <w:rsid w:val="482E5D8F"/>
    <w:rsid w:val="4931EDA8"/>
    <w:rsid w:val="495754D1"/>
    <w:rsid w:val="4ACFC745"/>
    <w:rsid w:val="4ADC5675"/>
    <w:rsid w:val="4B0A959C"/>
    <w:rsid w:val="4B9CDA02"/>
    <w:rsid w:val="4C10CFC6"/>
    <w:rsid w:val="4C33756D"/>
    <w:rsid w:val="4CC87968"/>
    <w:rsid w:val="4D1D99A2"/>
    <w:rsid w:val="4D6D307F"/>
    <w:rsid w:val="4E35239A"/>
    <w:rsid w:val="4E6710A7"/>
    <w:rsid w:val="4EEBC3C8"/>
    <w:rsid w:val="4F34901E"/>
    <w:rsid w:val="4FF7C5F9"/>
    <w:rsid w:val="5205DD1F"/>
    <w:rsid w:val="5228E57C"/>
    <w:rsid w:val="5321601C"/>
    <w:rsid w:val="53B0FAEB"/>
    <w:rsid w:val="544BBDB3"/>
    <w:rsid w:val="54A9EE38"/>
    <w:rsid w:val="5592B20A"/>
    <w:rsid w:val="563B962D"/>
    <w:rsid w:val="581DC266"/>
    <w:rsid w:val="5938AA83"/>
    <w:rsid w:val="5AB3F0C4"/>
    <w:rsid w:val="5B282E5C"/>
    <w:rsid w:val="5C08C995"/>
    <w:rsid w:val="5CE06BCE"/>
    <w:rsid w:val="5CEBA2ED"/>
    <w:rsid w:val="5CF56EAB"/>
    <w:rsid w:val="5D108CA1"/>
    <w:rsid w:val="5D5422CA"/>
    <w:rsid w:val="5E1D9421"/>
    <w:rsid w:val="5E9D0009"/>
    <w:rsid w:val="5FB591E7"/>
    <w:rsid w:val="6020A705"/>
    <w:rsid w:val="603B406B"/>
    <w:rsid w:val="61ECA587"/>
    <w:rsid w:val="61FC2671"/>
    <w:rsid w:val="63493CF0"/>
    <w:rsid w:val="6546B4BF"/>
    <w:rsid w:val="6604AEF2"/>
    <w:rsid w:val="66A29210"/>
    <w:rsid w:val="66B63FC7"/>
    <w:rsid w:val="67D23D79"/>
    <w:rsid w:val="6823DFE9"/>
    <w:rsid w:val="6908326A"/>
    <w:rsid w:val="6964368E"/>
    <w:rsid w:val="6A40DF1B"/>
    <w:rsid w:val="6A76C2A2"/>
    <w:rsid w:val="6B6E0AB1"/>
    <w:rsid w:val="6CB7B31E"/>
    <w:rsid w:val="6CDC41D8"/>
    <w:rsid w:val="6D033585"/>
    <w:rsid w:val="6D5D8878"/>
    <w:rsid w:val="6EEE0C42"/>
    <w:rsid w:val="701B51E6"/>
    <w:rsid w:val="70C9E9AE"/>
    <w:rsid w:val="711277AD"/>
    <w:rsid w:val="7186E84A"/>
    <w:rsid w:val="719001C1"/>
    <w:rsid w:val="7215CF80"/>
    <w:rsid w:val="72770C72"/>
    <w:rsid w:val="7331160A"/>
    <w:rsid w:val="73359485"/>
    <w:rsid w:val="74440D56"/>
    <w:rsid w:val="74BB6BE2"/>
    <w:rsid w:val="7504E919"/>
    <w:rsid w:val="753CC634"/>
    <w:rsid w:val="7656E51A"/>
    <w:rsid w:val="7669A2D8"/>
    <w:rsid w:val="771F9984"/>
    <w:rsid w:val="787CE9BB"/>
    <w:rsid w:val="78BE9184"/>
    <w:rsid w:val="78F76FC4"/>
    <w:rsid w:val="7973295C"/>
    <w:rsid w:val="799AC41E"/>
    <w:rsid w:val="7A127928"/>
    <w:rsid w:val="7BED4439"/>
    <w:rsid w:val="7C8CF363"/>
    <w:rsid w:val="7CE9FAC9"/>
    <w:rsid w:val="7D488ED6"/>
    <w:rsid w:val="7E18C117"/>
    <w:rsid w:val="7E1953F7"/>
    <w:rsid w:val="7E9A48C7"/>
    <w:rsid w:val="7F137532"/>
    <w:rsid w:val="7F26B15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7912D82"/>
  <w15:chartTrackingRefBased/>
  <w15:docId w15:val="{439844AC-4C9A-4439-A08F-87D24657E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7282"/>
    <w:pPr>
      <w:widowControl w:val="0"/>
      <w:autoSpaceDE w:val="0"/>
      <w:autoSpaceDN w:val="0"/>
      <w:adjustRightInd w:val="0"/>
      <w:spacing w:after="0" w:line="240" w:lineRule="auto"/>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57282"/>
    <w:pPr>
      <w:tabs>
        <w:tab w:val="center" w:pos="4320"/>
        <w:tab w:val="right" w:pos="8640"/>
      </w:tabs>
    </w:pPr>
  </w:style>
  <w:style w:type="character" w:customStyle="1" w:styleId="HeaderChar">
    <w:name w:val="Header Char"/>
    <w:basedOn w:val="DefaultParagraphFont"/>
    <w:link w:val="Header"/>
    <w:rsid w:val="00957282"/>
    <w:rPr>
      <w:rFonts w:ascii="Arial" w:eastAsia="Times New Roman" w:hAnsi="Arial" w:cs="Times New Roman"/>
      <w:szCs w:val="20"/>
    </w:rPr>
  </w:style>
  <w:style w:type="paragraph" w:styleId="Footer">
    <w:name w:val="footer"/>
    <w:basedOn w:val="Normal"/>
    <w:link w:val="FooterChar"/>
    <w:uiPriority w:val="99"/>
    <w:rsid w:val="00957282"/>
    <w:pPr>
      <w:tabs>
        <w:tab w:val="center" w:pos="4320"/>
        <w:tab w:val="right" w:pos="8640"/>
      </w:tabs>
    </w:pPr>
    <w:rPr>
      <w:rFonts w:ascii="Times New Roman" w:hAnsi="Times New Roman"/>
    </w:rPr>
  </w:style>
  <w:style w:type="character" w:customStyle="1" w:styleId="FooterChar">
    <w:name w:val="Footer Char"/>
    <w:basedOn w:val="DefaultParagraphFont"/>
    <w:link w:val="Footer"/>
    <w:uiPriority w:val="99"/>
    <w:rsid w:val="00957282"/>
    <w:rPr>
      <w:rFonts w:ascii="Times New Roman" w:eastAsia="Times New Roman" w:hAnsi="Times New Roman" w:cs="Times New Roman"/>
      <w:szCs w:val="20"/>
    </w:rPr>
  </w:style>
  <w:style w:type="character" w:styleId="PageNumber">
    <w:name w:val="page number"/>
    <w:basedOn w:val="DefaultParagraphFont"/>
    <w:rsid w:val="00957282"/>
  </w:style>
  <w:style w:type="paragraph" w:styleId="BodyText">
    <w:name w:val="Body Text"/>
    <w:basedOn w:val="Normal"/>
    <w:link w:val="BodyTextChar"/>
    <w:rsid w:val="00957282"/>
    <w:pPr>
      <w:keepLines/>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pPr>
    <w:rPr>
      <w:szCs w:val="22"/>
    </w:rPr>
  </w:style>
  <w:style w:type="character" w:customStyle="1" w:styleId="BodyTextChar">
    <w:name w:val="Body Text Char"/>
    <w:basedOn w:val="DefaultParagraphFont"/>
    <w:link w:val="BodyText"/>
    <w:rsid w:val="00957282"/>
    <w:rPr>
      <w:rFonts w:ascii="Arial" w:eastAsia="Times New Roman" w:hAnsi="Arial" w:cs="Times New Roman"/>
    </w:rPr>
  </w:style>
  <w:style w:type="character" w:styleId="CommentReference">
    <w:name w:val="annotation reference"/>
    <w:semiHidden/>
    <w:rsid w:val="00957282"/>
    <w:rPr>
      <w:sz w:val="16"/>
      <w:szCs w:val="16"/>
    </w:rPr>
  </w:style>
  <w:style w:type="paragraph" w:styleId="CommentText">
    <w:name w:val="annotation text"/>
    <w:basedOn w:val="Normal"/>
    <w:link w:val="CommentTextChar"/>
    <w:semiHidden/>
    <w:rsid w:val="00957282"/>
    <w:rPr>
      <w:sz w:val="20"/>
    </w:rPr>
  </w:style>
  <w:style w:type="character" w:customStyle="1" w:styleId="CommentTextChar">
    <w:name w:val="Comment Text Char"/>
    <w:basedOn w:val="DefaultParagraphFont"/>
    <w:link w:val="CommentText"/>
    <w:semiHidden/>
    <w:rsid w:val="00957282"/>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BD0897"/>
    <w:rPr>
      <w:b/>
      <w:bCs/>
    </w:rPr>
  </w:style>
  <w:style w:type="character" w:customStyle="1" w:styleId="CommentSubjectChar">
    <w:name w:val="Comment Subject Char"/>
    <w:basedOn w:val="CommentTextChar"/>
    <w:link w:val="CommentSubject"/>
    <w:uiPriority w:val="99"/>
    <w:semiHidden/>
    <w:rsid w:val="00BD0897"/>
    <w:rPr>
      <w:rFonts w:ascii="Arial" w:eastAsia="Times New Roman" w:hAnsi="Arial" w:cs="Times New Roman"/>
      <w:b/>
      <w:bCs/>
      <w:sz w:val="20"/>
      <w:szCs w:val="20"/>
    </w:rPr>
  </w:style>
  <w:style w:type="character" w:styleId="Mention">
    <w:name w:val="Mention"/>
    <w:basedOn w:val="DefaultParagraphFont"/>
    <w:uiPriority w:val="99"/>
    <w:unhideWhenUsed/>
    <w:rsid w:val="00BD0897"/>
    <w:rPr>
      <w:color w:val="2B579A"/>
      <w:shd w:val="clear" w:color="auto" w:fill="E1DFDD"/>
    </w:rPr>
  </w:style>
  <w:style w:type="paragraph" w:styleId="Revision">
    <w:name w:val="Revision"/>
    <w:hidden/>
    <w:uiPriority w:val="99"/>
    <w:semiHidden/>
    <w:rsid w:val="00434885"/>
    <w:pPr>
      <w:spacing w:after="0" w:line="240" w:lineRule="auto"/>
    </w:pPr>
    <w:rPr>
      <w:rFonts w:ascii="Arial" w:eastAsia="Times New Roman" w:hAnsi="Arial" w:cs="Times New Roman"/>
      <w:szCs w:val="20"/>
    </w:rPr>
  </w:style>
  <w:style w:type="paragraph" w:styleId="ListParagraph">
    <w:name w:val="List Paragraph"/>
    <w:basedOn w:val="Normal"/>
    <w:uiPriority w:val="34"/>
    <w:qFormat/>
    <w:rsid w:val="00197E24"/>
    <w:pPr>
      <w:ind w:left="720"/>
      <w:contextualSpacing/>
    </w:pPr>
  </w:style>
  <w:style w:type="character" w:styleId="Hyperlink">
    <w:name w:val="Hyperlink"/>
    <w:basedOn w:val="DefaultParagraphFont"/>
    <w:uiPriority w:val="99"/>
    <w:unhideWhenUsed/>
    <w:rsid w:val="006B0CA3"/>
    <w:rPr>
      <w:color w:val="0563C1" w:themeColor="hyperlink"/>
      <w:u w:val="single"/>
    </w:rPr>
  </w:style>
  <w:style w:type="character" w:styleId="UnresolvedMention">
    <w:name w:val="Unresolved Mention"/>
    <w:basedOn w:val="DefaultParagraphFont"/>
    <w:uiPriority w:val="99"/>
    <w:semiHidden/>
    <w:unhideWhenUsed/>
    <w:rsid w:val="006B0CA3"/>
    <w:rPr>
      <w:color w:val="605E5C"/>
      <w:shd w:val="clear" w:color="auto" w:fill="E1DFDD"/>
    </w:rPr>
  </w:style>
  <w:style w:type="character" w:styleId="FootnoteReference">
    <w:name w:val="footnote reference"/>
    <w:basedOn w:val="DefaultParagraphFont"/>
    <w:uiPriority w:val="99"/>
    <w:semiHidden/>
    <w:unhideWhenUsed/>
    <w:rsid w:val="00DC6C04"/>
    <w:rPr>
      <w:vertAlign w:val="superscript"/>
    </w:rPr>
  </w:style>
  <w:style w:type="character" w:customStyle="1" w:styleId="FootnoteTextChar">
    <w:name w:val="Footnote Text Char"/>
    <w:basedOn w:val="DefaultParagraphFont"/>
    <w:link w:val="FootnoteText"/>
    <w:uiPriority w:val="99"/>
    <w:semiHidden/>
    <w:rsid w:val="00DC6C04"/>
    <w:rPr>
      <w:rFonts w:ascii="Arial" w:eastAsia="Times New Roman" w:hAnsi="Arial" w:cs="Times New Roman"/>
      <w:sz w:val="20"/>
      <w:szCs w:val="20"/>
    </w:rPr>
  </w:style>
  <w:style w:type="paragraph" w:styleId="FootnoteText">
    <w:name w:val="footnote text"/>
    <w:basedOn w:val="Normal"/>
    <w:link w:val="FootnoteTextChar"/>
    <w:uiPriority w:val="99"/>
    <w:semiHidden/>
    <w:unhideWhenUsed/>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chart" Target="charts/chart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footer" Target="footer2.xml" /></Relationships>
</file>

<file path=word/charts/_rels/chart1.xml.rels><?xml version="1.0" encoding="utf-8" standalone="yes"?><Relationships xmlns="http://schemas.openxmlformats.org/package/2006/relationships"><Relationship Id="rId1" Type="http://schemas.openxmlformats.org/officeDocument/2006/relationships/oleObject" Target="https://cdc-my.sharepoint.com/personal/hsw3_cdc_gov/Documents/+My_Documents/NHANES%202025/ERB%20&amp;%20OMB/MEC%20response%20rate%20plot.xlsx" TargetMode="External" /><Relationship Id="rId2" Type="http://schemas.microsoft.com/office/2011/relationships/chartColorStyle" Target="chart/colors1.xml" /><Relationship Id="rId3" Type="http://schemas.microsoft.com/office/2011/relationships/chartStyle" Target="chart/style1.xml" /></Relationships>
</file>

<file path=word/charts/chart/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Conditional Participant MEC Examination Response Rates</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Sheet1!$I$1</c:f>
              <c:strCache>
                <c:ptCount val="1"/>
                <c:pt idx="0">
                  <c:v>MEC_RR (Conditional)</c:v>
                </c:pt>
              </c:strCache>
            </c:strRef>
          </c:tx>
          <c:spPr>
            <a:ln w="28575" cap="rnd">
              <a:solidFill>
                <a:schemeClr val="tx1"/>
              </a:solidFill>
              <a:round/>
            </a:ln>
            <a:effectLst/>
          </c:spPr>
          <c:marker>
            <c:symbol val="diamond"/>
            <c:size val="7"/>
            <c:spPr>
              <a:solidFill>
                <a:schemeClr val="tx1"/>
              </a:solidFill>
              <a:ln w="9525">
                <a:solidFill>
                  <a:schemeClr val="tx1"/>
                </a:solidFill>
              </a:ln>
              <a:effectLst/>
            </c:spPr>
          </c:marker>
          <c:cat>
            <c:strRef>
              <c:f>Sheet1!$A$2:$A$26</c:f>
              <c:strCache>
                <c:ptCount val="25"/>
                <c:pt idx="0">
                  <c:v>1999</c:v>
                </c:pt>
                <c:pt idx="1">
                  <c:v>2000</c:v>
                </c:pt>
                <c:pt idx="2">
                  <c:v>2001</c:v>
                </c:pt>
                <c:pt idx="3">
                  <c:v>2002</c:v>
                </c:pt>
                <c:pt idx="4">
                  <c:v>2003</c:v>
                </c:pt>
                <c:pt idx="5">
                  <c:v>2004</c:v>
                </c:pt>
                <c:pt idx="6">
                  <c:v>2005</c:v>
                </c:pt>
                <c:pt idx="7">
                  <c:v>2006</c:v>
                </c:pt>
                <c:pt idx="8">
                  <c:v>2007</c:v>
                </c:pt>
                <c:pt idx="9">
                  <c:v>2008</c:v>
                </c:pt>
                <c:pt idx="10">
                  <c:v>2009</c:v>
                </c:pt>
                <c:pt idx="11">
                  <c:v>2010</c:v>
                </c:pt>
                <c:pt idx="12">
                  <c:v>2011</c:v>
                </c:pt>
                <c:pt idx="13">
                  <c:v>2012</c:v>
                </c:pt>
                <c:pt idx="14">
                  <c:v>2013</c:v>
                </c:pt>
                <c:pt idx="15">
                  <c:v>2014</c:v>
                </c:pt>
                <c:pt idx="16">
                  <c:v>2015</c:v>
                </c:pt>
                <c:pt idx="17">
                  <c:v>2016</c:v>
                </c:pt>
                <c:pt idx="18">
                  <c:v>2017</c:v>
                </c:pt>
                <c:pt idx="19">
                  <c:v>2018</c:v>
                </c:pt>
                <c:pt idx="20">
                  <c:v>2019</c:v>
                </c:pt>
                <c:pt idx="21">
                  <c:v>2020!</c:v>
                </c:pt>
                <c:pt idx="23">
                  <c:v>2021*</c:v>
                </c:pt>
                <c:pt idx="24">
                  <c:v>2022*</c:v>
                </c:pt>
              </c:strCache>
            </c:strRef>
          </c:cat>
          <c:val>
            <c:numRef>
              <c:f>Sheet1!$I$2:$I$26</c:f>
              <c:numCache>
                <c:formatCode>0</c:formatCode>
                <c:ptCount val="25"/>
                <c:pt idx="0">
                  <c:v>71.586854460093889</c:v>
                </c:pt>
                <c:pt idx="1">
                  <c:v>80.029261155815661</c:v>
                </c:pt>
                <c:pt idx="2">
                  <c:v>81.32678132678133</c:v>
                </c:pt>
                <c:pt idx="3">
                  <c:v>77.980132450331126</c:v>
                </c:pt>
                <c:pt idx="4">
                  <c:v>75.131946600434645</c:v>
                </c:pt>
                <c:pt idx="5">
                  <c:v>76.008862161734442</c:v>
                </c:pt>
                <c:pt idx="6">
                  <c:v>77.85098039215687</c:v>
                </c:pt>
                <c:pt idx="7">
                  <c:v>76.876830584245411</c:v>
                </c:pt>
                <c:pt idx="8">
                  <c:v>74.204563091727465</c:v>
                </c:pt>
                <c:pt idx="9">
                  <c:v>76.630769230769232</c:v>
                </c:pt>
                <c:pt idx="10">
                  <c:v>77.798277982779823</c:v>
                </c:pt>
                <c:pt idx="11">
                  <c:v>76.728723404255319</c:v>
                </c:pt>
                <c:pt idx="12">
                  <c:v>72.291730241074148</c:v>
                </c:pt>
                <c:pt idx="13">
                  <c:v>66.889632107023417</c:v>
                </c:pt>
                <c:pt idx="14">
                  <c:v>70.2218547609205</c:v>
                </c:pt>
                <c:pt idx="15">
                  <c:v>66.6713780918728</c:v>
                </c:pt>
                <c:pt idx="16">
                  <c:v>65.504441203765083</c:v>
                </c:pt>
                <c:pt idx="17">
                  <c:v>59.134121274409047</c:v>
                </c:pt>
                <c:pt idx="18">
                  <c:v>54.491558190488462</c:v>
                </c:pt>
                <c:pt idx="19">
                  <c:v>52.957879791765258</c:v>
                </c:pt>
                <c:pt idx="20">
                  <c:v>52.786309784993414</c:v>
                </c:pt>
                <c:pt idx="21">
                  <c:v>45.08338125359402</c:v>
                </c:pt>
                <c:pt idx="23">
                  <c:v>37.527013060227382</c:v>
                </c:pt>
                <c:pt idx="24">
                  <c:v>40.492635433136392</c:v>
                </c:pt>
              </c:numCache>
            </c:numRef>
          </c:val>
          <c:smooth val="0"/>
          <c:extLst>
            <c:ext xmlns:c16="http://schemas.microsoft.com/office/drawing/2014/chart" uri="{C3380CC4-5D6E-409C-BE32-E72D297353CC}">
              <c16:uniqueId val="{00000000-E2C1-41F1-A491-252A8C3C28F1}"/>
            </c:ext>
          </c:extLst>
        </c:ser>
        <c:dLbls>
          <c:showLegendKey val="0"/>
          <c:showVal val="0"/>
          <c:showCatName val="0"/>
          <c:showSerName val="0"/>
          <c:showPercent val="0"/>
          <c:showBubbleSize val="0"/>
        </c:dLbls>
        <c:marker val="1"/>
        <c:smooth val="0"/>
        <c:axId val="647023551"/>
        <c:axId val="330289791"/>
      </c:lineChart>
      <c:catAx>
        <c:axId val="64702355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0289791"/>
        <c:crosses val="autoZero"/>
        <c:auto val="1"/>
        <c:lblAlgn val="ctr"/>
        <c:lblOffset val="100"/>
        <c:noMultiLvlLbl val="0"/>
      </c:catAx>
      <c:valAx>
        <c:axId val="330289791"/>
        <c:scaling>
          <c:orientation val="minMax"/>
          <c:max val="90"/>
          <c:min val="20"/>
        </c:scaling>
        <c:delete val="0"/>
        <c:axPos val="l"/>
        <c:majorGridlines>
          <c:spPr>
            <a:ln w="9525">
              <a:solidFill>
                <a:schemeClr val="tx1"/>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Response Rates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7023551"/>
        <c:crosses val="autoZero"/>
        <c:crossBetween val="between"/>
        <c:majorUnit val="5"/>
      </c:valAx>
      <c:spPr>
        <a:solidFill>
          <a:schemeClr val="bg1">
            <a:lumMod val="85000"/>
          </a:schemeClr>
        </a:solidFill>
        <a:ln>
          <a:solidFill>
            <a:schemeClr val="tx1"/>
          </a:solidFill>
        </a:ln>
        <a:effectLst/>
      </c:spPr>
    </c:plotArea>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D2D250F897D247A13B824656BD67F9" ma:contentTypeVersion="15" ma:contentTypeDescription="Create a new document." ma:contentTypeScope="" ma:versionID="672cba2cd31665ea91fcabc496b69d7b">
  <xsd:schema xmlns:xsd="http://www.w3.org/2001/XMLSchema" xmlns:xs="http://www.w3.org/2001/XMLSchema" xmlns:p="http://schemas.microsoft.com/office/2006/metadata/properties" xmlns:ns2="96130f07-0140-4a5a-91a6-61f831c6cbf1" xmlns:ns3="ee6d41b0-f7e1-44c2-825b-44eaef1c1ca7" targetNamespace="http://schemas.microsoft.com/office/2006/metadata/properties" ma:root="true" ma:fieldsID="6945e7fbe29fa66fd63a92230acf6c10" ns2:_="" ns3:_="">
    <xsd:import namespace="96130f07-0140-4a5a-91a6-61f831c6cbf1"/>
    <xsd:import namespace="ee6d41b0-f7e1-44c2-825b-44eaef1c1c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30f07-0140-4a5a-91a6-61f831c6cb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3b40f3a-84d0-4acf-ad34-a39173ff9c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6d41b0-f7e1-44c2-825b-44eaef1c1ca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e4d1898-2f7e-4f67-ab9a-c6ea878b0c30}" ma:internalName="TaxCatchAll" ma:showField="CatchAllData" ma:web="ee6d41b0-f7e1-44c2-825b-44eaef1c1ca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e6d41b0-f7e1-44c2-825b-44eaef1c1ca7" xsi:nil="true"/>
    <lcf76f155ced4ddcb4097134ff3c332f xmlns="96130f07-0140-4a5a-91a6-61f831c6cbf1">
      <Terms xmlns="http://schemas.microsoft.com/office/infopath/2007/PartnerControls"/>
    </lcf76f155ced4ddcb4097134ff3c332f>
    <SharedWithUsers xmlns="ee6d41b0-f7e1-44c2-825b-44eaef1c1ca7">
      <UserInfo>
        <DisplayName/>
        <AccountId xsi:nil="true"/>
        <AccountType/>
      </UserInfo>
    </SharedWithUsers>
    <MediaLengthInSeconds xmlns="96130f07-0140-4a5a-91a6-61f831c6cbf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89973-AB3F-4598-A7CF-8D4223C99E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30f07-0140-4a5a-91a6-61f831c6cbf1"/>
    <ds:schemaRef ds:uri="ee6d41b0-f7e1-44c2-825b-44eaef1c1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3A6A1D-C242-4355-82FA-5E6299945F3C}">
  <ds:schemaRefs>
    <ds:schemaRef ds:uri="http://schemas.microsoft.com/office/2006/metadata/properties"/>
    <ds:schemaRef ds:uri="http://schemas.microsoft.com/office/infopath/2007/PartnerControls"/>
    <ds:schemaRef ds:uri="69c12e85-ea9a-4a92-8c36-da5f1e0f6986"/>
    <ds:schemaRef ds:uri="3597f9fb-0113-491a-b5be-a2367042f90d"/>
    <ds:schemaRef ds:uri="ee6d41b0-f7e1-44c2-825b-44eaef1c1ca7"/>
    <ds:schemaRef ds:uri="96130f07-0140-4a5a-91a6-61f831c6cbf1"/>
  </ds:schemaRefs>
</ds:datastoreItem>
</file>

<file path=customXml/itemProps3.xml><?xml version="1.0" encoding="utf-8"?>
<ds:datastoreItem xmlns:ds="http://schemas.openxmlformats.org/officeDocument/2006/customXml" ds:itemID="{3AF75036-4181-4BB9-AE99-B10B99FEAC4F}">
  <ds:schemaRefs>
    <ds:schemaRef ds:uri="http://schemas.microsoft.com/sharepoint/v3/contenttype/forms"/>
  </ds:schemaRefs>
</ds:datastoreItem>
</file>

<file path=customXml/itemProps4.xml><?xml version="1.0" encoding="utf-8"?>
<ds:datastoreItem xmlns:ds="http://schemas.openxmlformats.org/officeDocument/2006/customXml" ds:itemID="{B658349B-0D74-432B-B28D-0BC4EE21A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1473</Words>
  <Characters>8399</Characters>
  <Application>Microsoft Office Word</Application>
  <DocSecurity>0</DocSecurity>
  <Lines>69</Lines>
  <Paragraphs>19</Paragraphs>
  <ScaleCrop>false</ScaleCrop>
  <Company/>
  <LinksUpToDate>false</LinksUpToDate>
  <CharactersWithSpaces>9853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Touarti, Christina</dc:creator>
  <cp:lastModifiedBy>Ogburn, Damon (CDC/IOD/OPHDST/NCHS)</cp:lastModifiedBy>
  <cp:revision>15</cp:revision>
  <dcterms:created xsi:type="dcterms:W3CDTF">2023-12-01T21:23:00Z</dcterms:created>
  <dcterms:modified xsi:type="dcterms:W3CDTF">2024-07-16T20:21:00Z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0x010100F0D2D250F897D247A13B824656BD67F9</vt:lpwstr>
  </property>
  <property fmtid="{D5CDD505-2E9C-101B-9397-08002B2CF9AE}" pid="4" name="MediaServiceImageTags">
    <vt:lpwstr/>
  </property>
  <property fmtid="{D5CDD505-2E9C-101B-9397-08002B2CF9AE}" pid="5" name="MSIP_Label_7b94a7b8-f06c-4dfe-bdcc-9b548fd58c31_ActionId">
    <vt:lpwstr>94460f46-c643-444a-a231-46278f81f5a4</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2023-10-16T12:59:20Z</vt:lpwstr>
  </property>
  <property fmtid="{D5CDD505-2E9C-101B-9397-08002B2CF9AE}" pid="11" name="MSIP_Label_7b94a7b8-f06c-4dfe-bdcc-9b548fd58c31_SiteId">
    <vt:lpwstr>9ce70869-60db-44fd-abe8-d2767077fc8f</vt:lpwstr>
  </property>
  <property fmtid="{D5CDD505-2E9C-101B-9397-08002B2CF9AE}" pid="12" name="Order">
    <vt:r8>696800</vt:r8>
  </property>
  <property fmtid="{D5CDD505-2E9C-101B-9397-08002B2CF9AE}" pid="13" name="TemplateUrl">
    <vt:lpwstr/>
  </property>
  <property fmtid="{D5CDD505-2E9C-101B-9397-08002B2CF9AE}" pid="14" name="TriggerFlowInfo">
    <vt:lpwstr/>
  </property>
  <property fmtid="{D5CDD505-2E9C-101B-9397-08002B2CF9AE}" pid="15" name="WorkflowStatus">
    <vt:lpwstr>In Progress</vt:lpwstr>
  </property>
  <property fmtid="{D5CDD505-2E9C-101B-9397-08002B2CF9AE}" pid="16" name="xd_ProgID">
    <vt:lpwstr/>
  </property>
  <property fmtid="{D5CDD505-2E9C-101B-9397-08002B2CF9AE}" pid="17" name="xd_Signature">
    <vt:bool>false</vt:bool>
  </property>
  <property fmtid="{D5CDD505-2E9C-101B-9397-08002B2CF9AE}" pid="18" name="_ExtendedDescription">
    <vt:lpwstr/>
  </property>
</Properties>
</file>